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CAEBD1">
      <w:pPr>
        <w:pBdr>
          <w:bottom w:val="single" w:color="auto" w:sz="4" w:space="1"/>
        </w:pBdr>
        <w:adjustRightInd w:val="0"/>
        <w:jc w:val="center"/>
        <w:rPr>
          <w:rFonts w:eastAsia="宋体"/>
          <w:b/>
          <w:sz w:val="44"/>
          <w:szCs w:val="44"/>
          <w:lang w:eastAsia="zh-CN"/>
        </w:rPr>
      </w:pPr>
      <w:bookmarkStart w:id="3" w:name="_GoBack"/>
      <w:bookmarkEnd w:id="3"/>
      <w:r>
        <w:rPr>
          <w:rFonts w:eastAsia="宋体"/>
          <w:b/>
          <w:sz w:val="44"/>
          <w:szCs w:val="44"/>
          <w:lang w:eastAsia="zh-CN"/>
        </w:rPr>
        <w:t>小鼠胚胎试验用辅助生殖技术器械</w:t>
      </w:r>
    </w:p>
    <w:p w14:paraId="5A3D83C8">
      <w:pPr>
        <w:adjustRightInd w:val="0"/>
        <w:jc w:val="center"/>
        <w:rPr>
          <w:rFonts w:eastAsia="宋体"/>
          <w:b/>
          <w:sz w:val="44"/>
          <w:szCs w:val="44"/>
          <w:lang w:eastAsia="zh-CN"/>
        </w:rPr>
      </w:pPr>
      <w:r>
        <w:rPr>
          <w:rFonts w:eastAsia="宋体"/>
          <w:b/>
          <w:sz w:val="44"/>
          <w:szCs w:val="44"/>
          <w:lang w:eastAsia="zh-CN"/>
        </w:rPr>
        <w:t>行业和美国食品药品监督管理局工作人员指南</w:t>
      </w:r>
    </w:p>
    <w:p w14:paraId="58FF35FE">
      <w:pPr>
        <w:adjustRightInd w:val="0"/>
        <w:jc w:val="center"/>
        <w:rPr>
          <w:rFonts w:eastAsia="宋体"/>
          <w:b/>
          <w:sz w:val="24"/>
          <w:szCs w:val="24"/>
          <w:lang w:eastAsia="zh-CN"/>
        </w:rPr>
      </w:pPr>
    </w:p>
    <w:p w14:paraId="24841284">
      <w:pPr>
        <w:adjustRightInd w:val="0"/>
        <w:jc w:val="center"/>
        <w:rPr>
          <w:rFonts w:eastAsia="宋体"/>
          <w:b/>
          <w:sz w:val="24"/>
          <w:szCs w:val="24"/>
          <w:lang w:eastAsia="zh-CN"/>
        </w:rPr>
      </w:pPr>
    </w:p>
    <w:p w14:paraId="7BC5A3DD">
      <w:pPr>
        <w:adjustRightInd w:val="0"/>
        <w:jc w:val="center"/>
        <w:rPr>
          <w:rFonts w:eastAsia="宋体"/>
          <w:b/>
          <w:sz w:val="24"/>
          <w:szCs w:val="24"/>
          <w:lang w:eastAsia="zh-CN"/>
        </w:rPr>
      </w:pPr>
      <w:r>
        <w:rPr>
          <w:rFonts w:eastAsia="宋体"/>
          <w:b/>
          <w:sz w:val="24"/>
          <w:szCs w:val="24"/>
          <w:lang w:eastAsia="zh-CN"/>
        </w:rPr>
        <w:t>文件发布日期：2021年1月5日</w:t>
      </w:r>
    </w:p>
    <w:p w14:paraId="682C478C">
      <w:pPr>
        <w:adjustRightInd w:val="0"/>
        <w:jc w:val="center"/>
        <w:rPr>
          <w:rFonts w:eastAsia="宋体"/>
          <w:b/>
          <w:sz w:val="24"/>
          <w:szCs w:val="24"/>
          <w:lang w:eastAsia="zh-CN"/>
        </w:rPr>
      </w:pPr>
    </w:p>
    <w:p w14:paraId="05C1C637">
      <w:pPr>
        <w:adjustRightInd w:val="0"/>
        <w:jc w:val="center"/>
        <w:rPr>
          <w:rFonts w:eastAsia="宋体"/>
          <w:b/>
          <w:sz w:val="24"/>
          <w:szCs w:val="24"/>
          <w:lang w:eastAsia="zh-CN"/>
        </w:rPr>
      </w:pPr>
      <w:r>
        <w:rPr>
          <w:rFonts w:eastAsia="宋体"/>
          <w:b/>
          <w:sz w:val="24"/>
          <w:szCs w:val="24"/>
          <w:lang w:eastAsia="zh-CN"/>
        </w:rPr>
        <w:t>文件草案发布日期：2019年6月13日</w:t>
      </w:r>
    </w:p>
    <w:p w14:paraId="75DDE539">
      <w:pPr>
        <w:adjustRightInd w:val="0"/>
        <w:jc w:val="both"/>
        <w:rPr>
          <w:rFonts w:eastAsia="宋体"/>
          <w:b/>
          <w:sz w:val="24"/>
          <w:szCs w:val="24"/>
          <w:lang w:eastAsia="zh-CN"/>
        </w:rPr>
      </w:pPr>
    </w:p>
    <w:p w14:paraId="79C72246">
      <w:pPr>
        <w:adjustRightInd w:val="0"/>
        <w:jc w:val="both"/>
        <w:rPr>
          <w:rFonts w:eastAsia="宋体"/>
          <w:b/>
          <w:sz w:val="24"/>
          <w:szCs w:val="24"/>
          <w:lang w:eastAsia="zh-CN"/>
        </w:rPr>
      </w:pPr>
    </w:p>
    <w:p w14:paraId="5CAFB337">
      <w:pPr>
        <w:adjustRightInd w:val="0"/>
        <w:ind w:firstLine="480" w:firstLineChars="200"/>
        <w:jc w:val="both"/>
        <w:rPr>
          <w:rFonts w:eastAsia="宋体"/>
          <w:sz w:val="24"/>
          <w:szCs w:val="24"/>
          <w:lang w:eastAsia="zh-CN"/>
        </w:rPr>
      </w:pPr>
      <w:r>
        <w:rPr>
          <w:rFonts w:eastAsia="宋体"/>
          <w:sz w:val="24"/>
          <w:szCs w:val="24"/>
          <w:lang w:eastAsia="zh-CN"/>
        </w:rPr>
        <w:t>如对本文件有任何疑问，请致电（301）796-7030联系OHT3：胃肠、妇科、综合医院和泌尿科器械办公室/DHT3B：生殖、妇科和泌尿科器械部。</w:t>
      </w:r>
    </w:p>
    <w:p w14:paraId="5B7B3A64">
      <w:pPr>
        <w:adjustRightInd w:val="0"/>
        <w:jc w:val="both"/>
        <w:rPr>
          <w:rFonts w:eastAsia="宋体"/>
          <w:sz w:val="24"/>
          <w:szCs w:val="24"/>
          <w:lang w:eastAsia="zh-CN"/>
        </w:rPr>
      </w:pPr>
    </w:p>
    <w:p w14:paraId="217C005F">
      <w:pPr>
        <w:adjustRightInd w:val="0"/>
        <w:jc w:val="both"/>
        <w:rPr>
          <w:rFonts w:eastAsia="宋体"/>
          <w:sz w:val="24"/>
          <w:szCs w:val="24"/>
          <w:lang w:eastAsia="zh-CN"/>
        </w:rPr>
      </w:pPr>
    </w:p>
    <w:p w14:paraId="2D270186">
      <w:pPr>
        <w:adjustRightInd w:val="0"/>
        <w:jc w:val="both"/>
        <w:rPr>
          <w:rFonts w:eastAsia="宋体"/>
          <w:sz w:val="24"/>
          <w:szCs w:val="24"/>
          <w:lang w:eastAsia="zh-CN"/>
        </w:rPr>
      </w:pPr>
    </w:p>
    <w:p w14:paraId="4C723052">
      <w:pPr>
        <w:adjustRightInd w:val="0"/>
        <w:jc w:val="both"/>
        <w:rPr>
          <w:rFonts w:eastAsia="宋体"/>
          <w:sz w:val="24"/>
          <w:szCs w:val="24"/>
          <w:lang w:eastAsia="zh-CN"/>
        </w:rPr>
      </w:pPr>
    </w:p>
    <w:p w14:paraId="53B48DEF">
      <w:pPr>
        <w:adjustRightInd w:val="0"/>
        <w:jc w:val="both"/>
        <w:rPr>
          <w:rFonts w:eastAsia="宋体"/>
          <w:sz w:val="24"/>
          <w:szCs w:val="24"/>
          <w:lang w:eastAsia="zh-CN"/>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96"/>
        <w:gridCol w:w="4775"/>
      </w:tblGrid>
      <w:tr w14:paraId="0306A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00" w:type="dxa"/>
          </w:tcPr>
          <w:p w14:paraId="50B5E2FD">
            <w:pPr>
              <w:adjustRightInd w:val="0"/>
              <w:jc w:val="both"/>
              <w:rPr>
                <w:rFonts w:eastAsia="宋体"/>
                <w:sz w:val="21"/>
                <w:szCs w:val="21"/>
              </w:rPr>
            </w:pPr>
            <w:r>
              <w:rPr>
                <w:rFonts w:eastAsia="宋体"/>
                <w:sz w:val="21"/>
                <w:szCs w:val="21"/>
                <w:lang w:eastAsia="zh-CN" w:bidi="ar-SA"/>
              </w:rPr>
              <w:drawing>
                <wp:inline distT="0" distB="0" distL="0" distR="0">
                  <wp:extent cx="2428240" cy="6756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2428571" cy="676190"/>
                          </a:xfrm>
                          <a:prstGeom prst="rect">
                            <a:avLst/>
                          </a:prstGeom>
                        </pic:spPr>
                      </pic:pic>
                    </a:graphicData>
                  </a:graphic>
                </wp:inline>
              </w:drawing>
            </w:r>
          </w:p>
        </w:tc>
        <w:tc>
          <w:tcPr>
            <w:tcW w:w="4800" w:type="dxa"/>
          </w:tcPr>
          <w:p w14:paraId="6CD1E397">
            <w:pPr>
              <w:adjustRightInd w:val="0"/>
              <w:jc w:val="right"/>
              <w:rPr>
                <w:rFonts w:eastAsia="宋体"/>
                <w:b/>
                <w:sz w:val="21"/>
                <w:szCs w:val="21"/>
                <w:lang w:eastAsia="zh-CN"/>
              </w:rPr>
            </w:pPr>
            <w:r>
              <w:rPr>
                <w:rFonts w:eastAsia="宋体"/>
                <w:b/>
                <w:sz w:val="21"/>
                <w:szCs w:val="21"/>
                <w:lang w:eastAsia="zh-CN"/>
              </w:rPr>
              <w:t>美国卫生与公共服务部</w:t>
            </w:r>
          </w:p>
          <w:p w14:paraId="0350A8C8">
            <w:pPr>
              <w:adjustRightInd w:val="0"/>
              <w:jc w:val="right"/>
              <w:rPr>
                <w:rFonts w:eastAsia="宋体"/>
                <w:b/>
                <w:sz w:val="21"/>
                <w:szCs w:val="21"/>
                <w:lang w:eastAsia="zh-CN"/>
              </w:rPr>
            </w:pPr>
            <w:r>
              <w:rPr>
                <w:rFonts w:eastAsia="宋体"/>
                <w:b/>
                <w:sz w:val="21"/>
                <w:szCs w:val="21"/>
                <w:lang w:eastAsia="zh-CN"/>
              </w:rPr>
              <w:t>美国食品药品监督管理局</w:t>
            </w:r>
          </w:p>
          <w:p w14:paraId="4B151656">
            <w:pPr>
              <w:adjustRightInd w:val="0"/>
              <w:jc w:val="right"/>
              <w:rPr>
                <w:rFonts w:eastAsia="宋体"/>
                <w:b/>
                <w:sz w:val="21"/>
                <w:szCs w:val="21"/>
                <w:lang w:eastAsia="zh-CN"/>
              </w:rPr>
            </w:pPr>
            <w:r>
              <w:rPr>
                <w:rFonts w:eastAsia="宋体"/>
                <w:b/>
                <w:sz w:val="21"/>
                <w:szCs w:val="21"/>
                <w:lang w:eastAsia="zh-CN"/>
              </w:rPr>
              <w:t>医疗器械和辐射健康中心</w:t>
            </w:r>
          </w:p>
        </w:tc>
      </w:tr>
    </w:tbl>
    <w:p w14:paraId="3205002B">
      <w:pPr>
        <w:adjustRightInd w:val="0"/>
        <w:jc w:val="both"/>
        <w:rPr>
          <w:rFonts w:eastAsia="宋体"/>
          <w:sz w:val="24"/>
          <w:szCs w:val="24"/>
          <w:lang w:eastAsia="zh-CN"/>
        </w:rPr>
      </w:pPr>
    </w:p>
    <w:p w14:paraId="04E4373C">
      <w:pPr>
        <w:rPr>
          <w:rFonts w:eastAsia="宋体"/>
          <w:b/>
          <w:sz w:val="24"/>
          <w:szCs w:val="24"/>
          <w:lang w:eastAsia="zh-CN"/>
        </w:rPr>
      </w:pPr>
      <w:r>
        <w:rPr>
          <w:rFonts w:eastAsia="宋体"/>
          <w:sz w:val="24"/>
          <w:szCs w:val="24"/>
          <w:lang w:eastAsia="zh-CN"/>
        </w:rPr>
        <w:br w:type="page"/>
      </w:r>
    </w:p>
    <w:p w14:paraId="4227B976">
      <w:pPr>
        <w:adjustRightInd w:val="0"/>
        <w:jc w:val="center"/>
        <w:rPr>
          <w:rFonts w:eastAsia="宋体"/>
          <w:b/>
          <w:sz w:val="36"/>
          <w:szCs w:val="36"/>
        </w:rPr>
      </w:pPr>
      <w:r>
        <w:rPr>
          <w:rFonts w:eastAsia="宋体"/>
          <w:b/>
          <w:sz w:val="36"/>
          <w:szCs w:val="36"/>
        </w:rPr>
        <w:t>前言</w:t>
      </w:r>
    </w:p>
    <w:p w14:paraId="0902B458">
      <w:pPr>
        <w:rPr>
          <w:rFonts w:eastAsia="宋体"/>
          <w:b/>
          <w:sz w:val="32"/>
          <w:szCs w:val="32"/>
        </w:rPr>
      </w:pPr>
      <w:r>
        <w:rPr>
          <w:rFonts w:eastAsia="宋体"/>
          <w:b/>
          <w:sz w:val="32"/>
          <w:szCs w:val="32"/>
        </w:rPr>
        <w:t>公众意见</w:t>
      </w:r>
    </w:p>
    <w:p w14:paraId="687E38DD">
      <w:pPr>
        <w:autoSpaceDE/>
        <w:autoSpaceDN/>
        <w:ind w:firstLine="480" w:firstLineChars="200"/>
        <w:jc w:val="both"/>
        <w:rPr>
          <w:rFonts w:eastAsia="宋体"/>
          <w:sz w:val="24"/>
          <w:szCs w:val="24"/>
          <w:lang w:eastAsia="zh-CN" w:bidi="ar-SA"/>
        </w:rPr>
      </w:pPr>
      <w:r>
        <w:rPr>
          <w:rFonts w:eastAsia="宋体"/>
          <w:sz w:val="24"/>
          <w:szCs w:val="24"/>
          <w:lang w:bidi="ar-SA"/>
        </w:rPr>
        <w:t>电子版意见和建议可随时提交至</w:t>
      </w:r>
      <w:r>
        <w:fldChar w:fldCharType="begin"/>
      </w:r>
      <w:r>
        <w:instrText xml:space="preserve"> HYPERLINK "https://www.regulations.gov/" \h </w:instrText>
      </w:r>
      <w:r>
        <w:fldChar w:fldCharType="separate"/>
      </w:r>
      <w:r>
        <w:rPr>
          <w:rFonts w:eastAsia="宋体"/>
          <w:color w:val="0000FF"/>
          <w:sz w:val="24"/>
          <w:szCs w:val="24"/>
          <w:u w:val="single" w:color="0000FF"/>
          <w:lang w:bidi="ar-SA"/>
        </w:rPr>
        <w:t>http://www.regulations.gov</w:t>
      </w:r>
      <w:r>
        <w:rPr>
          <w:rFonts w:eastAsia="宋体"/>
          <w:color w:val="0000FF"/>
          <w:sz w:val="24"/>
          <w:szCs w:val="24"/>
          <w:u w:val="single" w:color="0000FF"/>
          <w:lang w:bidi="ar-SA"/>
        </w:rPr>
        <w:fldChar w:fldCharType="end"/>
      </w:r>
      <w:r>
        <w:rPr>
          <w:rFonts w:eastAsia="宋体"/>
          <w:sz w:val="24"/>
          <w:szCs w:val="24"/>
          <w:lang w:bidi="ar-SA"/>
        </w:rPr>
        <w:t>，供FDA审议。</w:t>
      </w:r>
      <w:r>
        <w:rPr>
          <w:rFonts w:eastAsia="宋体"/>
          <w:color w:val="000000"/>
          <w:sz w:val="24"/>
          <w:szCs w:val="24"/>
          <w:lang w:eastAsia="zh-CN" w:bidi="ar-SA"/>
        </w:rPr>
        <w:t>可将书面意见提交至：美国食品药品监督管理局备案文件管理部</w:t>
      </w:r>
      <w:r>
        <w:rPr>
          <w:rFonts w:hint="eastAsia" w:eastAsia="宋体"/>
          <w:color w:val="000000"/>
          <w:sz w:val="24"/>
          <w:szCs w:val="24"/>
          <w:lang w:eastAsia="zh-CN" w:bidi="ar-SA"/>
        </w:rPr>
        <w:t>，</w:t>
      </w:r>
      <w:r>
        <w:rPr>
          <w:rFonts w:eastAsia="宋体"/>
          <w:color w:val="000000"/>
          <w:sz w:val="24"/>
          <w:szCs w:val="24"/>
          <w:lang w:eastAsia="zh-CN" w:bidi="ar-SA"/>
        </w:rPr>
        <w:t>5630 Fishers Lane, Room 1061, (HFA-305), Rockville, MD 20852</w:t>
      </w:r>
      <w:r>
        <w:rPr>
          <w:rFonts w:hint="eastAsia" w:eastAsia="宋体"/>
          <w:color w:val="000000"/>
          <w:sz w:val="24"/>
          <w:szCs w:val="24"/>
          <w:lang w:eastAsia="zh-CN" w:bidi="ar-SA"/>
        </w:rPr>
        <w:t>。</w:t>
      </w:r>
      <w:r>
        <w:rPr>
          <w:rFonts w:eastAsia="宋体"/>
          <w:color w:val="000000"/>
          <w:sz w:val="24"/>
          <w:szCs w:val="24"/>
          <w:lang w:eastAsia="zh-CN" w:bidi="ar-SA"/>
        </w:rPr>
        <w:t>所有意见或建议均应注明备案文件编号FDA-201</w:t>
      </w:r>
      <w:r>
        <w:rPr>
          <w:rFonts w:hint="eastAsia" w:eastAsia="宋体"/>
          <w:color w:val="000000"/>
          <w:sz w:val="24"/>
          <w:szCs w:val="24"/>
          <w:lang w:eastAsia="zh-CN" w:bidi="ar-SA"/>
        </w:rPr>
        <w:t>9</w:t>
      </w:r>
      <w:r>
        <w:rPr>
          <w:rFonts w:eastAsia="宋体"/>
          <w:color w:val="000000"/>
          <w:sz w:val="24"/>
          <w:szCs w:val="24"/>
          <w:lang w:eastAsia="zh-CN" w:bidi="ar-SA"/>
        </w:rPr>
        <w:t>-D-2</w:t>
      </w:r>
      <w:r>
        <w:rPr>
          <w:rFonts w:hint="eastAsia" w:eastAsia="宋体"/>
          <w:color w:val="000000"/>
          <w:sz w:val="24"/>
          <w:szCs w:val="24"/>
          <w:lang w:eastAsia="zh-CN" w:bidi="ar-SA"/>
        </w:rPr>
        <w:t>105</w:t>
      </w:r>
      <w:r>
        <w:rPr>
          <w:rFonts w:eastAsia="宋体"/>
          <w:color w:val="000000"/>
          <w:sz w:val="24"/>
          <w:szCs w:val="24"/>
          <w:lang w:eastAsia="zh-CN" w:bidi="ar-SA"/>
        </w:rPr>
        <w:t>。下次修订或更新本文件时，FDA将考虑实施该意见。</w:t>
      </w:r>
    </w:p>
    <w:p w14:paraId="29B36CA8">
      <w:pPr>
        <w:adjustRightInd w:val="0"/>
        <w:jc w:val="both"/>
        <w:rPr>
          <w:rFonts w:eastAsia="宋体"/>
          <w:sz w:val="24"/>
          <w:szCs w:val="24"/>
          <w:lang w:eastAsia="zh-CN"/>
        </w:rPr>
      </w:pPr>
    </w:p>
    <w:p w14:paraId="635C2ECA">
      <w:pPr>
        <w:rPr>
          <w:rFonts w:eastAsia="宋体"/>
          <w:b/>
          <w:sz w:val="32"/>
          <w:szCs w:val="32"/>
          <w:lang w:eastAsia="zh-CN"/>
        </w:rPr>
      </w:pPr>
      <w:r>
        <w:rPr>
          <w:rFonts w:eastAsia="宋体"/>
          <w:b/>
          <w:sz w:val="32"/>
          <w:szCs w:val="32"/>
          <w:lang w:eastAsia="zh-CN"/>
        </w:rPr>
        <w:t>更多副本</w:t>
      </w:r>
    </w:p>
    <w:p w14:paraId="627BD957">
      <w:pPr>
        <w:adjustRightInd w:val="0"/>
        <w:ind w:firstLine="480" w:firstLineChars="200"/>
        <w:jc w:val="both"/>
        <w:rPr>
          <w:rFonts w:eastAsia="宋体"/>
          <w:sz w:val="24"/>
          <w:szCs w:val="24"/>
          <w:lang w:eastAsia="zh-CN"/>
        </w:rPr>
      </w:pPr>
      <w:r>
        <w:rPr>
          <w:rFonts w:eastAsia="宋体"/>
          <w:sz w:val="24"/>
          <w:szCs w:val="24"/>
          <w:lang w:eastAsia="zh-CN"/>
        </w:rPr>
        <w:t>更多副本可通过互联网获取。您也可以通过电子邮件发送请求至</w:t>
      </w:r>
      <w:r>
        <w:fldChar w:fldCharType="begin"/>
      </w:r>
      <w:r>
        <w:rPr>
          <w:lang w:eastAsia="zh-CN"/>
        </w:rPr>
        <w:instrText xml:space="preserve"> HYPERLINK "mailto:CDRH-Guidance@fda.hhs.gov" \h </w:instrText>
      </w:r>
      <w:r>
        <w:fldChar w:fldCharType="separate"/>
      </w:r>
      <w:r>
        <w:rPr>
          <w:rFonts w:eastAsia="宋体"/>
          <w:color w:val="0000FF"/>
          <w:sz w:val="24"/>
          <w:szCs w:val="24"/>
          <w:u w:val="single" w:color="0000FF"/>
          <w:lang w:eastAsia="zh-CN"/>
        </w:rPr>
        <w:t>CDRH- Guidance@fda.hhs.gov</w:t>
      </w:r>
      <w:r>
        <w:rPr>
          <w:rFonts w:eastAsia="宋体"/>
          <w:color w:val="0000FF"/>
          <w:sz w:val="24"/>
          <w:szCs w:val="24"/>
          <w:u w:val="single" w:color="0000FF"/>
          <w:lang w:eastAsia="zh-CN"/>
        </w:rPr>
        <w:fldChar w:fldCharType="end"/>
      </w:r>
      <w:r>
        <w:rPr>
          <w:rFonts w:eastAsia="宋体"/>
          <w:sz w:val="24"/>
          <w:szCs w:val="24"/>
          <w:lang w:eastAsia="zh-CN"/>
        </w:rPr>
        <w:t>获取本指南的副本。请在请求中注明16015号文件和指南的完整标题。</w:t>
      </w:r>
    </w:p>
    <w:p w14:paraId="444DD644">
      <w:pPr>
        <w:rPr>
          <w:rFonts w:eastAsia="宋体"/>
          <w:sz w:val="24"/>
          <w:szCs w:val="24"/>
          <w:lang w:eastAsia="zh-CN"/>
        </w:rPr>
        <w:sectPr>
          <w:headerReference r:id="rId4" w:type="default"/>
          <w:pgSz w:w="11907" w:h="16840"/>
          <w:pgMar w:top="1134" w:right="1134" w:bottom="1134" w:left="1418" w:header="567" w:footer="567" w:gutter="0"/>
          <w:cols w:space="720" w:num="1"/>
          <w:docGrid w:type="lines" w:linePitch="364" w:charSpace="0"/>
        </w:sectPr>
      </w:pPr>
    </w:p>
    <w:p w14:paraId="794490E6">
      <w:pPr>
        <w:pBdr>
          <w:bottom w:val="single" w:color="auto" w:sz="4" w:space="1"/>
        </w:pBdr>
        <w:jc w:val="center"/>
        <w:rPr>
          <w:rFonts w:eastAsia="宋体"/>
          <w:b/>
          <w:bCs/>
          <w:sz w:val="44"/>
          <w:szCs w:val="44"/>
          <w:lang w:eastAsia="zh-CN"/>
        </w:rPr>
      </w:pPr>
      <w:r>
        <w:rPr>
          <w:rFonts w:eastAsia="宋体"/>
          <w:b/>
          <w:bCs/>
          <w:sz w:val="44"/>
          <w:szCs w:val="44"/>
          <w:lang w:eastAsia="zh-CN"/>
        </w:rPr>
        <w:t>小鼠胚胎试验用辅助生殖技术器械</w:t>
      </w:r>
    </w:p>
    <w:p w14:paraId="20C6C4A2">
      <w:pPr>
        <w:jc w:val="center"/>
        <w:rPr>
          <w:rFonts w:eastAsia="宋体"/>
          <w:b/>
          <w:bCs/>
          <w:sz w:val="44"/>
          <w:szCs w:val="44"/>
          <w:lang w:eastAsia="zh-CN"/>
        </w:rPr>
      </w:pPr>
      <w:r>
        <w:rPr>
          <w:rFonts w:eastAsia="宋体"/>
          <w:b/>
          <w:bCs/>
          <w:sz w:val="44"/>
          <w:szCs w:val="44"/>
          <w:lang w:eastAsia="zh-CN"/>
        </w:rPr>
        <w:t>行业和美国食品药品监督管理局工作人员指南</w:t>
      </w:r>
    </w:p>
    <w:p w14:paraId="5677B420">
      <w:pPr>
        <w:rPr>
          <w:rFonts w:eastAsia="宋体"/>
          <w:sz w:val="24"/>
          <w:szCs w:val="24"/>
          <w:lang w:eastAsia="zh-CN"/>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1"/>
      </w:tblGrid>
      <w:tr w14:paraId="243E0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thinThickThinSmallGap" w:color="auto" w:sz="18" w:space="0"/>
              <w:left w:val="thinThickThinSmallGap" w:color="auto" w:sz="18" w:space="0"/>
              <w:bottom w:val="thinThickThinSmallGap" w:color="auto" w:sz="18" w:space="0"/>
              <w:right w:val="thinThickThinSmallGap" w:color="auto" w:sz="18" w:space="0"/>
            </w:tcBorders>
          </w:tcPr>
          <w:p w14:paraId="060FB922">
            <w:pPr>
              <w:adjustRightInd w:val="0"/>
              <w:ind w:right="101" w:rightChars="46" w:firstLine="482" w:firstLineChars="200"/>
              <w:jc w:val="both"/>
              <w:rPr>
                <w:rFonts w:eastAsia="宋体"/>
                <w:b/>
                <w:i/>
                <w:sz w:val="24"/>
                <w:szCs w:val="24"/>
                <w:lang w:eastAsia="zh-CN"/>
              </w:rPr>
            </w:pPr>
            <w:r>
              <w:rPr>
                <w:rFonts w:eastAsia="宋体"/>
                <w:b/>
                <w:i/>
                <w:sz w:val="24"/>
                <w:szCs w:val="24"/>
                <w:lang w:eastAsia="zh-CN"/>
              </w:rPr>
              <w:t>本指南代表美国食品药品监督管理局（FDA或本机构）目前关于该主题的思考。其不会为任何人创造或赋予任何权利，也不会对FDA或公众产生约束。如果替代方法满足适用的法律法规要求，则可以使用该方法。如需讨论替代方法，请联系标题页负责实施本指南文件的FDA工作人员或办公室。</w:t>
            </w:r>
          </w:p>
        </w:tc>
      </w:tr>
    </w:tbl>
    <w:p w14:paraId="7B4AC452">
      <w:pPr>
        <w:pStyle w:val="3"/>
        <w:numPr>
          <w:ilvl w:val="0"/>
          <w:numId w:val="1"/>
        </w:numPr>
        <w:tabs>
          <w:tab w:val="left" w:pos="959"/>
          <w:tab w:val="left" w:pos="960"/>
        </w:tabs>
        <w:adjustRightInd w:val="0"/>
        <w:ind w:left="0" w:firstLine="0"/>
        <w:jc w:val="both"/>
        <w:rPr>
          <w:rFonts w:eastAsia="宋体"/>
          <w:sz w:val="32"/>
          <w:szCs w:val="32"/>
        </w:rPr>
      </w:pPr>
      <w:r>
        <w:rPr>
          <w:rFonts w:eastAsia="宋体"/>
          <w:sz w:val="32"/>
          <w:szCs w:val="32"/>
        </w:rPr>
        <w:t>引言</w:t>
      </w:r>
    </w:p>
    <w:p w14:paraId="7E5A73CC">
      <w:pPr>
        <w:adjustRightInd w:val="0"/>
        <w:ind w:firstLine="480" w:firstLineChars="200"/>
        <w:jc w:val="both"/>
        <w:rPr>
          <w:rFonts w:eastAsia="宋体"/>
          <w:sz w:val="24"/>
          <w:szCs w:val="24"/>
          <w:lang w:eastAsia="zh-CN"/>
        </w:rPr>
      </w:pPr>
      <w:r>
        <w:rPr>
          <w:rFonts w:eastAsia="宋体"/>
          <w:sz w:val="24"/>
          <w:szCs w:val="24"/>
          <w:lang w:eastAsia="zh-CN"/>
        </w:rPr>
        <w:t>FDA发布本指南旨在概述开展小鼠胚胎试验（MEA）的建议，以支持辅助生殖技术（ART）器械的上市前申请和批次放行。大多数ART器械在其预期使用过程中直接或间接接触配子（即精子和卵母细胞）和/或胚胎。MEA用于评估接触配子和/或胚胎的器械的潜在胚胎毒性。21 CFR</w:t>
      </w:r>
      <w:r>
        <w:rPr>
          <w:rFonts w:hint="eastAsia" w:eastAsia="宋体"/>
          <w:sz w:val="24"/>
          <w:szCs w:val="24"/>
          <w:lang w:eastAsia="zh-CN"/>
        </w:rPr>
        <w:t xml:space="preserve"> </w:t>
      </w:r>
      <w:r>
        <w:rPr>
          <w:rFonts w:eastAsia="宋体"/>
          <w:sz w:val="24"/>
          <w:szCs w:val="24"/>
          <w:lang w:eastAsia="zh-CN"/>
        </w:rPr>
        <w:t>844下的几项分类法规包括需要MEA试验或信息的特殊控制。MEA也可用于支持使用过程中旨在接触配子和/或胚胎的其他器械的上市前申请。然而，没有描述如何开展MEA的自愿共识标准。本指南提供了开展MEA的建议，以支持旨在接触配子和/或胚胎的器械的上市前申请，并遵守21 CFR</w:t>
      </w:r>
      <w:r>
        <w:rPr>
          <w:rFonts w:hint="eastAsia" w:eastAsia="宋体"/>
          <w:sz w:val="24"/>
          <w:szCs w:val="24"/>
          <w:lang w:eastAsia="zh-CN"/>
        </w:rPr>
        <w:t xml:space="preserve"> </w:t>
      </w:r>
      <w:r>
        <w:rPr>
          <w:rFonts w:eastAsia="宋体"/>
          <w:sz w:val="24"/>
          <w:szCs w:val="24"/>
          <w:lang w:eastAsia="zh-CN"/>
        </w:rPr>
        <w:t>844下分类的需MEA试验或信息的器械的特殊控制。</w:t>
      </w:r>
    </w:p>
    <w:p w14:paraId="563413AB">
      <w:pPr>
        <w:adjustRightInd w:val="0"/>
        <w:ind w:firstLine="480" w:firstLineChars="200"/>
        <w:jc w:val="both"/>
        <w:rPr>
          <w:rFonts w:eastAsia="宋体"/>
          <w:sz w:val="24"/>
          <w:szCs w:val="24"/>
          <w:lang w:eastAsia="zh-CN"/>
        </w:rPr>
      </w:pPr>
    </w:p>
    <w:p w14:paraId="6F195C9B">
      <w:pPr>
        <w:adjustRightInd w:val="0"/>
        <w:ind w:firstLine="480" w:firstLineChars="200"/>
        <w:jc w:val="both"/>
        <w:rPr>
          <w:rFonts w:eastAsia="宋体"/>
          <w:sz w:val="24"/>
          <w:szCs w:val="24"/>
          <w:lang w:eastAsia="zh-CN"/>
        </w:rPr>
      </w:pPr>
      <w:r>
        <w:rPr>
          <w:rFonts w:eastAsia="宋体"/>
          <w:sz w:val="24"/>
          <w:szCs w:val="24"/>
          <w:lang w:eastAsia="zh-CN"/>
        </w:rPr>
        <w:t>关于本文件中引用的FDA认可标准的最新版本，请参见</w:t>
      </w:r>
      <w:r>
        <w:rPr>
          <w:rFonts w:eastAsia="宋体"/>
          <w:color w:val="0000FF"/>
          <w:sz w:val="24"/>
          <w:szCs w:val="24"/>
          <w:u w:val="single" w:color="0000FF"/>
          <w:lang w:eastAsia="zh-CN"/>
        </w:rPr>
        <w:fldChar w:fldCharType="begin"/>
      </w:r>
      <w:r>
        <w:rPr>
          <w:rFonts w:eastAsia="宋体"/>
          <w:color w:val="0000FF"/>
          <w:sz w:val="24"/>
          <w:szCs w:val="24"/>
          <w:u w:val="single" w:color="0000FF"/>
          <w:lang w:eastAsia="zh-CN"/>
        </w:rPr>
        <w:instrText xml:space="preserve"> HYPERLINK "https://www.accessdata.fda.gov/scripts/cdrh/cfdocs/cfStandards/search.cfm" \h </w:instrText>
      </w:r>
      <w:r>
        <w:rPr>
          <w:rFonts w:eastAsia="宋体"/>
          <w:color w:val="0000FF"/>
          <w:sz w:val="24"/>
          <w:szCs w:val="24"/>
          <w:u w:val="single" w:color="0000FF"/>
          <w:lang w:eastAsia="zh-CN"/>
        </w:rPr>
        <w:fldChar w:fldCharType="separate"/>
      </w:r>
      <w:r>
        <w:rPr>
          <w:rFonts w:eastAsia="宋体"/>
          <w:color w:val="0000FF"/>
          <w:sz w:val="24"/>
          <w:szCs w:val="24"/>
          <w:u w:val="single" w:color="0000FF"/>
          <w:lang w:eastAsia="zh-CN"/>
        </w:rPr>
        <w:t>FDA认可共识标准数据库</w:t>
      </w:r>
      <w:r>
        <w:rPr>
          <w:rFonts w:eastAsia="宋体"/>
          <w:color w:val="0000FF"/>
          <w:sz w:val="24"/>
          <w:szCs w:val="24"/>
          <w:u w:val="single" w:color="0000FF"/>
          <w:lang w:eastAsia="zh-CN"/>
        </w:rPr>
        <w:fldChar w:fldCharType="end"/>
      </w:r>
      <w:r>
        <w:rPr>
          <w:rFonts w:eastAsia="宋体"/>
          <w:sz w:val="24"/>
          <w:szCs w:val="24"/>
          <w:lang w:eastAsia="zh-CN"/>
        </w:rPr>
        <w:t>。</w:t>
      </w:r>
      <w:r>
        <w:rPr>
          <w:rStyle w:val="13"/>
          <w:rFonts w:eastAsia="宋体"/>
          <w:sz w:val="24"/>
          <w:szCs w:val="24"/>
          <w:lang w:eastAsia="zh-CN"/>
        </w:rPr>
        <w:footnoteReference w:id="0"/>
      </w:r>
      <w:r>
        <w:rPr>
          <w:rFonts w:eastAsia="宋体"/>
          <w:sz w:val="24"/>
          <w:szCs w:val="24"/>
          <w:lang w:eastAsia="zh-CN"/>
        </w:rPr>
        <w:t>关于在监管申请中使用共识标准的更多信息，请参见标题为</w:t>
      </w:r>
      <w:r>
        <w:fldChar w:fldCharType="begin"/>
      </w:r>
      <w:r>
        <w:instrText xml:space="preserve"> HYPERLINK "https://www.fda.gov/regulatory-information/search-fda-guidance-documents/appropriate-use-voluntary-consensus-standards-premarket-submissions-medical-devices" \h </w:instrText>
      </w:r>
      <w:r>
        <w:fldChar w:fldCharType="separate"/>
      </w:r>
      <w:r>
        <w:rPr>
          <w:rFonts w:eastAsia="宋体"/>
          <w:color w:val="0000FF"/>
          <w:sz w:val="24"/>
          <w:szCs w:val="24"/>
          <w:u w:val="single" w:color="0000FF"/>
          <w:lang w:eastAsia="zh-CN"/>
        </w:rPr>
        <w:t>《医疗器械上市前申请中适当使用自愿共识标准》</w:t>
      </w:r>
      <w:r>
        <w:rPr>
          <w:rFonts w:eastAsia="宋体"/>
          <w:color w:val="0000FF"/>
          <w:sz w:val="24"/>
          <w:szCs w:val="24"/>
          <w:u w:val="single" w:color="0000FF"/>
          <w:lang w:eastAsia="zh-CN"/>
        </w:rPr>
        <w:fldChar w:fldCharType="end"/>
      </w:r>
      <w:r>
        <w:rPr>
          <w:rFonts w:eastAsia="宋体"/>
          <w:sz w:val="24"/>
          <w:szCs w:val="24"/>
          <w:lang w:eastAsia="zh-CN"/>
        </w:rPr>
        <w:t>的FDA指南。</w:t>
      </w:r>
      <w:r>
        <w:rPr>
          <w:rStyle w:val="13"/>
          <w:rFonts w:eastAsia="宋体"/>
          <w:sz w:val="24"/>
          <w:szCs w:val="24"/>
          <w:lang w:eastAsia="zh-CN"/>
        </w:rPr>
        <w:footnoteReference w:id="1"/>
      </w:r>
    </w:p>
    <w:p w14:paraId="26E35FEA">
      <w:pPr>
        <w:adjustRightInd w:val="0"/>
        <w:ind w:firstLine="480" w:firstLineChars="200"/>
        <w:jc w:val="both"/>
        <w:rPr>
          <w:rFonts w:eastAsia="宋体"/>
          <w:sz w:val="24"/>
          <w:szCs w:val="24"/>
          <w:lang w:eastAsia="zh-CN"/>
        </w:rPr>
      </w:pPr>
    </w:p>
    <w:p w14:paraId="3B029E1F">
      <w:pPr>
        <w:adjustRightInd w:val="0"/>
        <w:ind w:firstLine="480" w:firstLineChars="200"/>
        <w:jc w:val="both"/>
        <w:rPr>
          <w:rFonts w:eastAsia="宋体"/>
          <w:sz w:val="24"/>
          <w:szCs w:val="24"/>
          <w:lang w:eastAsia="zh-CN"/>
        </w:rPr>
      </w:pPr>
      <w:r>
        <w:rPr>
          <w:rFonts w:eastAsia="宋体"/>
          <w:sz w:val="24"/>
          <w:szCs w:val="24"/>
          <w:lang w:eastAsia="zh-CN"/>
        </w:rPr>
        <w:t>FDA指导性文件，包括本指南在内，不具有法律强制责任。相反，指南表明了FDA目前关于该主题的思考，除非引用具体的法规或法律要求，否则只应视为建议。在FDA指南中使用词语</w:t>
      </w:r>
      <w:r>
        <w:rPr>
          <w:rFonts w:ascii="宋体" w:hAnsi="宋体" w:eastAsia="宋体"/>
          <w:sz w:val="24"/>
          <w:szCs w:val="24"/>
          <w:lang w:eastAsia="zh-CN"/>
        </w:rPr>
        <w:t>“</w:t>
      </w:r>
      <w:r>
        <w:rPr>
          <w:rFonts w:eastAsia="宋体"/>
          <w:i/>
          <w:iCs/>
          <w:sz w:val="24"/>
          <w:szCs w:val="24"/>
          <w:lang w:eastAsia="zh-CN"/>
        </w:rPr>
        <w:t>应</w:t>
      </w:r>
      <w:r>
        <w:rPr>
          <w:rFonts w:ascii="宋体" w:hAnsi="宋体" w:eastAsia="宋体"/>
          <w:sz w:val="24"/>
          <w:szCs w:val="24"/>
          <w:lang w:eastAsia="zh-CN"/>
        </w:rPr>
        <w:t>”</w:t>
      </w:r>
      <w:r>
        <w:rPr>
          <w:rFonts w:eastAsia="宋体"/>
          <w:sz w:val="24"/>
          <w:szCs w:val="24"/>
          <w:lang w:eastAsia="zh-CN"/>
        </w:rPr>
        <w:t>是指建议或推荐进行某一事项，并非强制要求。</w:t>
      </w:r>
    </w:p>
    <w:p w14:paraId="6E2D277D">
      <w:pPr>
        <w:adjustRightInd w:val="0"/>
        <w:jc w:val="both"/>
        <w:rPr>
          <w:rFonts w:eastAsia="宋体"/>
          <w:sz w:val="24"/>
          <w:szCs w:val="24"/>
          <w:lang w:eastAsia="zh-CN"/>
        </w:rPr>
      </w:pPr>
    </w:p>
    <w:p w14:paraId="5550CB43">
      <w:pPr>
        <w:adjustRightInd w:val="0"/>
        <w:jc w:val="both"/>
        <w:rPr>
          <w:rFonts w:eastAsia="宋体"/>
          <w:sz w:val="24"/>
          <w:szCs w:val="24"/>
          <w:lang w:eastAsia="zh-CN"/>
        </w:rPr>
      </w:pPr>
    </w:p>
    <w:p w14:paraId="418F4EAC">
      <w:pPr>
        <w:rPr>
          <w:rFonts w:eastAsia="宋体"/>
          <w:sz w:val="24"/>
          <w:szCs w:val="24"/>
          <w:lang w:eastAsia="zh-CN"/>
        </w:rPr>
      </w:pPr>
      <w:r>
        <w:rPr>
          <w:rFonts w:eastAsia="宋体"/>
          <w:sz w:val="24"/>
          <w:szCs w:val="24"/>
          <w:lang w:eastAsia="zh-CN"/>
        </w:rPr>
        <w:br w:type="page"/>
      </w:r>
    </w:p>
    <w:p w14:paraId="31C9EA1C">
      <w:pPr>
        <w:pStyle w:val="3"/>
        <w:numPr>
          <w:ilvl w:val="0"/>
          <w:numId w:val="1"/>
        </w:numPr>
        <w:tabs>
          <w:tab w:val="left" w:pos="959"/>
          <w:tab w:val="left" w:pos="960"/>
        </w:tabs>
        <w:adjustRightInd w:val="0"/>
        <w:ind w:left="0" w:firstLine="0"/>
        <w:jc w:val="both"/>
        <w:rPr>
          <w:rFonts w:eastAsia="宋体"/>
          <w:sz w:val="32"/>
          <w:szCs w:val="32"/>
        </w:rPr>
      </w:pPr>
      <w:r>
        <w:rPr>
          <w:rFonts w:eastAsia="宋体"/>
          <w:sz w:val="32"/>
          <w:szCs w:val="32"/>
        </w:rPr>
        <w:t>范围</w:t>
      </w:r>
    </w:p>
    <w:p w14:paraId="2A2714E8">
      <w:pPr>
        <w:adjustRightInd w:val="0"/>
        <w:ind w:firstLine="480" w:firstLineChars="200"/>
        <w:jc w:val="both"/>
        <w:rPr>
          <w:rFonts w:eastAsia="宋体"/>
          <w:sz w:val="24"/>
          <w:szCs w:val="24"/>
          <w:lang w:eastAsia="zh-CN"/>
        </w:rPr>
      </w:pPr>
      <w:r>
        <w:rPr>
          <w:rFonts w:eastAsia="宋体"/>
          <w:sz w:val="24"/>
          <w:szCs w:val="24"/>
          <w:lang w:eastAsia="zh-CN"/>
        </w:rPr>
        <w:t>本文件的范围仅限于受21 CFR</w:t>
      </w:r>
      <w:r>
        <w:rPr>
          <w:rFonts w:hint="eastAsia" w:eastAsia="宋体"/>
          <w:sz w:val="24"/>
          <w:szCs w:val="24"/>
          <w:lang w:eastAsia="zh-CN"/>
        </w:rPr>
        <w:t xml:space="preserve"> </w:t>
      </w:r>
      <w:r>
        <w:rPr>
          <w:rFonts w:eastAsia="宋体"/>
          <w:sz w:val="24"/>
          <w:szCs w:val="24"/>
          <w:lang w:eastAsia="zh-CN"/>
        </w:rPr>
        <w:t>844监管、与配子和/或胚胎直接或间接接触的器械。本指南为如何遵守21 CFR</w:t>
      </w:r>
      <w:r>
        <w:rPr>
          <w:rFonts w:hint="eastAsia" w:eastAsia="宋体"/>
          <w:sz w:val="24"/>
          <w:szCs w:val="24"/>
          <w:lang w:eastAsia="zh-CN"/>
        </w:rPr>
        <w:t xml:space="preserve"> </w:t>
      </w:r>
      <w:r>
        <w:rPr>
          <w:rFonts w:eastAsia="宋体"/>
          <w:sz w:val="24"/>
          <w:szCs w:val="24"/>
          <w:lang w:eastAsia="zh-CN"/>
        </w:rPr>
        <w:t>844下分类的需要MEA试验或信息的器械的特殊控制提供了建议。</w:t>
      </w:r>
      <w:r>
        <w:rPr>
          <w:rStyle w:val="13"/>
          <w:rFonts w:eastAsia="宋体"/>
          <w:sz w:val="24"/>
          <w:szCs w:val="24"/>
          <w:lang w:eastAsia="zh-CN"/>
        </w:rPr>
        <w:footnoteReference w:id="2"/>
      </w:r>
      <w:r>
        <w:rPr>
          <w:rFonts w:eastAsia="宋体"/>
          <w:sz w:val="24"/>
          <w:szCs w:val="24"/>
          <w:lang w:eastAsia="zh-CN"/>
        </w:rPr>
        <w:t>本指南也适用于可使用MEA试验或信息来支持上市前申请的器械。在使用过程中，仅接触精子的器械（例如，精子处理或储存介质、分离器械、处理实验室器皿）和人类精子存活试验（HSSA）不属于本指南文件的范围。</w:t>
      </w:r>
    </w:p>
    <w:p w14:paraId="3E89CE03">
      <w:pPr>
        <w:adjustRightInd w:val="0"/>
        <w:ind w:firstLine="480" w:firstLineChars="200"/>
        <w:jc w:val="both"/>
        <w:rPr>
          <w:rFonts w:eastAsia="宋体"/>
          <w:sz w:val="24"/>
          <w:szCs w:val="24"/>
          <w:lang w:eastAsia="zh-CN"/>
        </w:rPr>
      </w:pPr>
    </w:p>
    <w:p w14:paraId="3859CEDD">
      <w:pPr>
        <w:pStyle w:val="3"/>
        <w:numPr>
          <w:ilvl w:val="0"/>
          <w:numId w:val="1"/>
        </w:numPr>
        <w:tabs>
          <w:tab w:val="left" w:pos="959"/>
          <w:tab w:val="left" w:pos="960"/>
        </w:tabs>
        <w:adjustRightInd w:val="0"/>
        <w:ind w:left="0" w:firstLine="0"/>
        <w:jc w:val="both"/>
        <w:rPr>
          <w:rFonts w:eastAsia="宋体"/>
          <w:sz w:val="32"/>
          <w:szCs w:val="32"/>
        </w:rPr>
      </w:pPr>
      <w:r>
        <w:rPr>
          <w:rFonts w:eastAsia="宋体"/>
          <w:sz w:val="32"/>
          <w:szCs w:val="32"/>
        </w:rPr>
        <w:t>MEA试验方法</w:t>
      </w:r>
    </w:p>
    <w:p w14:paraId="6861D22B">
      <w:pPr>
        <w:adjustRightInd w:val="0"/>
        <w:ind w:firstLine="480" w:firstLineChars="200"/>
        <w:jc w:val="both"/>
        <w:rPr>
          <w:rFonts w:eastAsia="宋体"/>
          <w:sz w:val="24"/>
          <w:szCs w:val="24"/>
          <w:lang w:eastAsia="zh-CN"/>
        </w:rPr>
      </w:pPr>
      <w:r>
        <w:rPr>
          <w:rFonts w:eastAsia="宋体"/>
          <w:sz w:val="24"/>
          <w:szCs w:val="24"/>
          <w:lang w:eastAsia="zh-CN"/>
        </w:rPr>
        <w:t>FDA建议应采用MEA试验来评估ART器械的胚胎毒性，该器械直接和/或间接接触配子和/或胚胎。MEA评估单细胞或双细胞阶段胚胎的囊胚发育（即单细胞系统或双细胞系统）。FDA了解用于评估胚胎毒性的单细胞和双细胞系统，并认为两种方法均可接受。</w:t>
      </w:r>
      <w:r>
        <w:rPr>
          <w:rFonts w:eastAsia="宋体"/>
          <w:sz w:val="24"/>
          <w:szCs w:val="24"/>
        </w:rPr>
        <w:t>FDA对MEA试验的具体建议如下所述。</w:t>
      </w:r>
    </w:p>
    <w:p w14:paraId="10A8DC88">
      <w:pPr>
        <w:adjustRightInd w:val="0"/>
        <w:ind w:firstLine="480" w:firstLineChars="200"/>
        <w:jc w:val="both"/>
        <w:rPr>
          <w:rFonts w:eastAsia="宋体"/>
          <w:sz w:val="24"/>
          <w:szCs w:val="24"/>
          <w:lang w:eastAsia="zh-CN"/>
        </w:rPr>
      </w:pPr>
    </w:p>
    <w:p w14:paraId="0BC8AC51">
      <w:pPr>
        <w:pStyle w:val="4"/>
        <w:numPr>
          <w:ilvl w:val="1"/>
          <w:numId w:val="1"/>
        </w:numPr>
        <w:tabs>
          <w:tab w:val="left" w:pos="1679"/>
          <w:tab w:val="left" w:pos="1680"/>
        </w:tabs>
        <w:adjustRightInd w:val="0"/>
        <w:ind w:hanging="770"/>
        <w:jc w:val="both"/>
        <w:rPr>
          <w:rFonts w:eastAsia="宋体"/>
          <w:sz w:val="28"/>
          <w:szCs w:val="28"/>
        </w:rPr>
      </w:pPr>
      <w:r>
        <w:rPr>
          <w:rFonts w:eastAsia="宋体"/>
          <w:sz w:val="28"/>
          <w:szCs w:val="28"/>
          <w:lang w:eastAsia="zh-CN"/>
        </w:rPr>
        <w:t>试验样品</w:t>
      </w:r>
    </w:p>
    <w:p w14:paraId="11DF5342">
      <w:pPr>
        <w:adjustRightInd w:val="0"/>
        <w:ind w:firstLine="480" w:firstLineChars="200"/>
        <w:jc w:val="both"/>
        <w:rPr>
          <w:rFonts w:eastAsia="宋体"/>
          <w:sz w:val="24"/>
          <w:szCs w:val="24"/>
          <w:lang w:eastAsia="zh-CN"/>
        </w:rPr>
      </w:pPr>
    </w:p>
    <w:p w14:paraId="2C875A19">
      <w:pPr>
        <w:adjustRightInd w:val="0"/>
        <w:ind w:firstLine="480" w:firstLineChars="200"/>
        <w:jc w:val="both"/>
        <w:rPr>
          <w:rFonts w:eastAsia="宋体"/>
          <w:sz w:val="24"/>
          <w:szCs w:val="24"/>
          <w:lang w:eastAsia="zh-CN"/>
        </w:rPr>
      </w:pPr>
      <w:r>
        <w:rPr>
          <w:rFonts w:eastAsia="宋体"/>
          <w:sz w:val="24"/>
          <w:szCs w:val="24"/>
          <w:lang w:eastAsia="zh-CN"/>
        </w:rPr>
        <w:t>MEA应在最终成品ART器械上开展（例如，最终包装中的无菌过滤介质）。每项MEA试验评价的器械数量应足以确保稳健评价。FDA建议在每项试验中至少评价3件单个器械，以说明器械之间的潜在可变性。为协助上市前申请，申请方应在零点（即新制造的器械）和拟定有效期结束时对一批次的器械进行试验。FDA认为，根据目前FDA认可的ASTM F1980：《医疗器械无菌屏障系统加速老化标准指南》版本，加速老化也可用于开发拟定货架期结束时的试验样品。</w:t>
      </w:r>
    </w:p>
    <w:p w14:paraId="3920F6C4">
      <w:pPr>
        <w:adjustRightInd w:val="0"/>
        <w:ind w:firstLine="480" w:firstLineChars="200"/>
        <w:jc w:val="both"/>
        <w:rPr>
          <w:rFonts w:eastAsia="宋体"/>
          <w:sz w:val="24"/>
          <w:szCs w:val="24"/>
          <w:lang w:eastAsia="zh-CN"/>
        </w:rPr>
      </w:pPr>
    </w:p>
    <w:p w14:paraId="5F982D2C">
      <w:pPr>
        <w:adjustRightInd w:val="0"/>
        <w:ind w:firstLine="480" w:firstLineChars="200"/>
        <w:jc w:val="both"/>
        <w:rPr>
          <w:rFonts w:eastAsia="宋体"/>
          <w:sz w:val="24"/>
          <w:szCs w:val="24"/>
          <w:lang w:eastAsia="zh-CN"/>
        </w:rPr>
      </w:pPr>
      <w:r>
        <w:rPr>
          <w:rFonts w:eastAsia="宋体"/>
          <w:sz w:val="24"/>
          <w:szCs w:val="24"/>
          <w:lang w:eastAsia="zh-CN"/>
        </w:rPr>
        <w:t>根据器械类型和预期用途，MEA试验样品应按如下所述进行制备：</w:t>
      </w:r>
    </w:p>
    <w:p w14:paraId="40A7A13C">
      <w:pPr>
        <w:adjustRightInd w:val="0"/>
        <w:ind w:firstLine="480" w:firstLineChars="200"/>
        <w:jc w:val="both"/>
        <w:rPr>
          <w:rFonts w:eastAsia="宋体"/>
          <w:sz w:val="24"/>
          <w:szCs w:val="24"/>
          <w:lang w:eastAsia="zh-CN"/>
        </w:rPr>
      </w:pPr>
    </w:p>
    <w:p w14:paraId="6C09E4BF">
      <w:pPr>
        <w:pStyle w:val="17"/>
        <w:numPr>
          <w:ilvl w:val="0"/>
          <w:numId w:val="2"/>
        </w:numPr>
        <w:tabs>
          <w:tab w:val="left" w:pos="960"/>
        </w:tabs>
        <w:adjustRightInd w:val="0"/>
        <w:ind w:left="440" w:leftChars="200" w:firstLineChars="0"/>
        <w:jc w:val="both"/>
        <w:rPr>
          <w:rFonts w:eastAsia="宋体"/>
          <w:sz w:val="24"/>
          <w:szCs w:val="24"/>
          <w:lang w:eastAsia="zh-CN"/>
        </w:rPr>
      </w:pPr>
      <w:r>
        <w:rPr>
          <w:rFonts w:eastAsia="宋体"/>
          <w:sz w:val="24"/>
          <w:szCs w:val="24"/>
          <w:lang w:eastAsia="zh-CN"/>
        </w:rPr>
        <w:t>用于MEA的液体器械应在未浸提或未稀释（即纯品）的情况下按规定进行试验。用于MEA的液体器械以浓缩形式予以提供，且应在试验前按照使用说明进行制备。</w:t>
      </w:r>
    </w:p>
    <w:p w14:paraId="52996594">
      <w:pPr>
        <w:tabs>
          <w:tab w:val="left" w:pos="960"/>
        </w:tabs>
        <w:adjustRightInd w:val="0"/>
        <w:jc w:val="both"/>
        <w:rPr>
          <w:rFonts w:eastAsia="宋体"/>
          <w:sz w:val="24"/>
          <w:szCs w:val="24"/>
          <w:lang w:eastAsia="zh-CN"/>
        </w:rPr>
      </w:pPr>
    </w:p>
    <w:p w14:paraId="61DAB1B6">
      <w:pPr>
        <w:tabs>
          <w:tab w:val="left" w:pos="960"/>
        </w:tabs>
        <w:adjustRightInd w:val="0"/>
        <w:jc w:val="both"/>
        <w:rPr>
          <w:rFonts w:eastAsia="宋体"/>
          <w:sz w:val="24"/>
          <w:szCs w:val="24"/>
          <w:lang w:eastAsia="zh-CN"/>
        </w:rPr>
      </w:pPr>
    </w:p>
    <w:p w14:paraId="1DE06FE1">
      <w:pPr>
        <w:tabs>
          <w:tab w:val="left" w:pos="960"/>
        </w:tabs>
        <w:adjustRightInd w:val="0"/>
        <w:jc w:val="both"/>
        <w:rPr>
          <w:rFonts w:eastAsia="宋体"/>
          <w:sz w:val="24"/>
          <w:szCs w:val="24"/>
          <w:lang w:eastAsia="zh-CN"/>
        </w:rPr>
      </w:pPr>
    </w:p>
    <w:p w14:paraId="4630DFA2">
      <w:pPr>
        <w:tabs>
          <w:tab w:val="left" w:pos="960"/>
        </w:tabs>
        <w:adjustRightInd w:val="0"/>
        <w:jc w:val="both"/>
        <w:rPr>
          <w:rFonts w:eastAsia="宋体"/>
          <w:sz w:val="24"/>
          <w:szCs w:val="24"/>
          <w:lang w:eastAsia="zh-CN"/>
        </w:rPr>
      </w:pPr>
    </w:p>
    <w:p w14:paraId="5C001BF9">
      <w:pPr>
        <w:tabs>
          <w:tab w:val="left" w:pos="960"/>
        </w:tabs>
        <w:adjustRightInd w:val="0"/>
        <w:jc w:val="both"/>
        <w:rPr>
          <w:rFonts w:eastAsia="宋体"/>
          <w:sz w:val="24"/>
          <w:szCs w:val="24"/>
          <w:lang w:eastAsia="zh-CN"/>
        </w:rPr>
      </w:pPr>
    </w:p>
    <w:p w14:paraId="0B3DFC4C">
      <w:pPr>
        <w:tabs>
          <w:tab w:val="left" w:pos="960"/>
        </w:tabs>
        <w:adjustRightInd w:val="0"/>
        <w:jc w:val="both"/>
        <w:rPr>
          <w:rFonts w:eastAsia="宋体"/>
          <w:sz w:val="24"/>
          <w:szCs w:val="24"/>
          <w:lang w:eastAsia="zh-CN"/>
        </w:rPr>
      </w:pPr>
    </w:p>
    <w:p w14:paraId="6404A51B">
      <w:pPr>
        <w:tabs>
          <w:tab w:val="left" w:pos="960"/>
        </w:tabs>
        <w:adjustRightInd w:val="0"/>
        <w:jc w:val="both"/>
        <w:rPr>
          <w:rFonts w:eastAsia="宋体"/>
          <w:sz w:val="24"/>
          <w:szCs w:val="24"/>
          <w:lang w:eastAsia="zh-CN"/>
        </w:rPr>
      </w:pPr>
    </w:p>
    <w:p w14:paraId="35DC1081">
      <w:pPr>
        <w:adjustRightInd w:val="0"/>
        <w:jc w:val="both"/>
        <w:rPr>
          <w:rFonts w:eastAsia="宋体"/>
          <w:sz w:val="24"/>
          <w:szCs w:val="24"/>
          <w:lang w:eastAsia="zh-CN"/>
        </w:rPr>
      </w:pPr>
      <w:r>
        <w:rPr>
          <w:rFonts w:eastAsia="宋体"/>
          <w:sz w:val="24"/>
          <w:szCs w:val="24"/>
          <w:lang w:eastAsia="zh-CN"/>
        </w:rPr>
        <w:br w:type="page"/>
      </w:r>
    </w:p>
    <w:p w14:paraId="5672049F">
      <w:pPr>
        <w:pStyle w:val="17"/>
        <w:numPr>
          <w:ilvl w:val="0"/>
          <w:numId w:val="2"/>
        </w:numPr>
        <w:tabs>
          <w:tab w:val="left" w:pos="960"/>
        </w:tabs>
        <w:adjustRightInd w:val="0"/>
        <w:ind w:left="440" w:leftChars="200" w:firstLineChars="0"/>
        <w:jc w:val="both"/>
        <w:rPr>
          <w:rFonts w:eastAsia="宋体"/>
          <w:sz w:val="24"/>
          <w:szCs w:val="24"/>
          <w:lang w:eastAsia="zh-CN"/>
        </w:rPr>
      </w:pPr>
      <w:r>
        <w:rPr>
          <w:rFonts w:eastAsia="宋体"/>
          <w:sz w:val="24"/>
          <w:szCs w:val="24"/>
          <w:lang w:eastAsia="zh-CN"/>
        </w:rPr>
        <w:t>用于卵母细胞/胚胎培养的油品应在预期使用条件下进行评价。在一滴覆盖有培养油的胚胎培养基中培养胚胎。下列第III.C节推荐了本研究中使用的培养基类型。</w:t>
      </w:r>
    </w:p>
    <w:p w14:paraId="2430E1E4">
      <w:pPr>
        <w:pStyle w:val="17"/>
        <w:tabs>
          <w:tab w:val="left" w:pos="960"/>
        </w:tabs>
        <w:adjustRightInd w:val="0"/>
        <w:ind w:left="860" w:firstLine="0" w:firstLineChars="0"/>
        <w:jc w:val="both"/>
        <w:rPr>
          <w:rFonts w:eastAsia="宋体"/>
          <w:sz w:val="24"/>
          <w:szCs w:val="24"/>
          <w:lang w:eastAsia="zh-CN"/>
        </w:rPr>
      </w:pPr>
    </w:p>
    <w:p w14:paraId="6F2826D8">
      <w:pPr>
        <w:pStyle w:val="17"/>
        <w:numPr>
          <w:ilvl w:val="0"/>
          <w:numId w:val="2"/>
        </w:numPr>
        <w:tabs>
          <w:tab w:val="left" w:pos="960"/>
        </w:tabs>
        <w:adjustRightInd w:val="0"/>
        <w:ind w:left="440" w:leftChars="200" w:firstLineChars="0"/>
        <w:jc w:val="both"/>
        <w:rPr>
          <w:rFonts w:eastAsia="宋体"/>
          <w:sz w:val="24"/>
          <w:szCs w:val="24"/>
          <w:lang w:eastAsia="zh-CN"/>
        </w:rPr>
      </w:pPr>
      <w:r>
        <w:rPr>
          <w:rFonts w:eastAsia="宋体"/>
          <w:sz w:val="24"/>
          <w:szCs w:val="24"/>
          <w:lang w:eastAsia="zh-CN"/>
        </w:rPr>
        <w:t>适用于胚胎培养的平板和培养皿应直接进行试验，无需浸提。</w:t>
      </w:r>
    </w:p>
    <w:p w14:paraId="0256B396">
      <w:pPr>
        <w:pStyle w:val="17"/>
        <w:tabs>
          <w:tab w:val="left" w:pos="960"/>
        </w:tabs>
        <w:adjustRightInd w:val="0"/>
        <w:ind w:left="860" w:firstLine="0" w:firstLineChars="0"/>
        <w:jc w:val="both"/>
        <w:rPr>
          <w:rFonts w:eastAsia="宋体"/>
          <w:sz w:val="24"/>
          <w:szCs w:val="24"/>
          <w:lang w:eastAsia="zh-CN"/>
        </w:rPr>
      </w:pPr>
    </w:p>
    <w:p w14:paraId="72671990">
      <w:pPr>
        <w:pStyle w:val="17"/>
        <w:numPr>
          <w:ilvl w:val="0"/>
          <w:numId w:val="2"/>
        </w:numPr>
        <w:tabs>
          <w:tab w:val="left" w:pos="960"/>
        </w:tabs>
        <w:adjustRightInd w:val="0"/>
        <w:ind w:left="440" w:leftChars="200" w:firstLineChars="0"/>
        <w:jc w:val="both"/>
        <w:rPr>
          <w:rFonts w:eastAsia="宋体"/>
          <w:sz w:val="24"/>
          <w:szCs w:val="24"/>
          <w:lang w:eastAsia="zh-CN"/>
        </w:rPr>
      </w:pPr>
      <w:r>
        <w:rPr>
          <w:rFonts w:eastAsia="宋体"/>
          <w:sz w:val="24"/>
          <w:szCs w:val="24"/>
          <w:lang w:eastAsia="zh-CN"/>
        </w:rPr>
        <w:t>不适用于胚胎培养的固体器件（如胚胎移植导管、低温保存器械）应在使用前进行浸提。只有与卵母细胞或胚胎直接和/或间接接触的部分器械才可用于制备试验样品浸提液。</w:t>
      </w:r>
    </w:p>
    <w:p w14:paraId="5334271B">
      <w:pPr>
        <w:pStyle w:val="17"/>
        <w:tabs>
          <w:tab w:val="left" w:pos="960"/>
        </w:tabs>
        <w:adjustRightInd w:val="0"/>
        <w:ind w:left="860" w:firstLine="0" w:firstLineChars="0"/>
        <w:jc w:val="both"/>
        <w:rPr>
          <w:rFonts w:eastAsia="宋体"/>
          <w:sz w:val="24"/>
          <w:szCs w:val="24"/>
          <w:lang w:eastAsia="zh-CN"/>
        </w:rPr>
      </w:pPr>
    </w:p>
    <w:p w14:paraId="784C9522">
      <w:pPr>
        <w:pStyle w:val="4"/>
        <w:numPr>
          <w:ilvl w:val="1"/>
          <w:numId w:val="1"/>
        </w:numPr>
        <w:tabs>
          <w:tab w:val="left" w:pos="1679"/>
          <w:tab w:val="left" w:pos="1680"/>
        </w:tabs>
        <w:adjustRightInd w:val="0"/>
        <w:ind w:hanging="770"/>
        <w:jc w:val="both"/>
        <w:rPr>
          <w:rFonts w:eastAsia="宋体"/>
          <w:sz w:val="28"/>
          <w:szCs w:val="28"/>
          <w:lang w:eastAsia="zh-CN"/>
        </w:rPr>
      </w:pPr>
      <w:r>
        <w:rPr>
          <w:rFonts w:eastAsia="宋体"/>
          <w:sz w:val="28"/>
          <w:szCs w:val="28"/>
          <w:lang w:eastAsia="zh-CN"/>
        </w:rPr>
        <w:t>试验样品浸提液的制备</w:t>
      </w:r>
    </w:p>
    <w:p w14:paraId="29E0AE5B">
      <w:pPr>
        <w:adjustRightInd w:val="0"/>
        <w:ind w:firstLine="480" w:firstLineChars="200"/>
        <w:jc w:val="both"/>
        <w:rPr>
          <w:rFonts w:eastAsia="宋体"/>
          <w:sz w:val="24"/>
          <w:szCs w:val="24"/>
          <w:lang w:eastAsia="zh-CN"/>
        </w:rPr>
      </w:pPr>
    </w:p>
    <w:p w14:paraId="2D0221E1">
      <w:pPr>
        <w:adjustRightInd w:val="0"/>
        <w:ind w:firstLine="480" w:firstLineChars="200"/>
        <w:jc w:val="both"/>
        <w:rPr>
          <w:rFonts w:eastAsia="宋体"/>
          <w:sz w:val="24"/>
          <w:szCs w:val="24"/>
          <w:lang w:eastAsia="zh-CN"/>
        </w:rPr>
      </w:pPr>
      <w:r>
        <w:rPr>
          <w:rFonts w:eastAsia="宋体"/>
          <w:sz w:val="24"/>
          <w:szCs w:val="24"/>
          <w:lang w:eastAsia="zh-CN"/>
        </w:rPr>
        <w:t>当制备固体器械（不适用于胚胎培养）的试验样品浸提液时，该器械应在37°C标准胚胎培养基中浸提。对于临床使用时间小于30分钟的器械，应浸提至少30分钟，以代表最差情况下的暴露条件。对于临床使用超过30分钟的器械，该器械的浸提时间应至少是临床使用时间的两倍，以代表最差情况下的暴露条件。FDA建议浸提介质的体积应符合FDA指南</w:t>
      </w:r>
      <w:r>
        <w:rPr>
          <w:rFonts w:eastAsia="宋体"/>
          <w:color w:val="0000FF"/>
          <w:sz w:val="24"/>
          <w:szCs w:val="24"/>
          <w:u w:val="single"/>
          <w:lang w:eastAsia="zh-CN"/>
        </w:rPr>
        <w:t>《使用国际标准ISO 10993-1，医疗器械生物学评价 - 第1部分：风险管理过程中的评价与试验》</w:t>
      </w:r>
      <w:r>
        <w:rPr>
          <w:rStyle w:val="13"/>
          <w:rFonts w:eastAsia="宋体"/>
          <w:sz w:val="24"/>
          <w:szCs w:val="24"/>
          <w:lang w:eastAsia="zh-CN"/>
        </w:rPr>
        <w:footnoteReference w:id="3"/>
      </w:r>
      <w:r>
        <w:rPr>
          <w:rFonts w:eastAsia="宋体"/>
          <w:sz w:val="24"/>
          <w:szCs w:val="24"/>
          <w:lang w:eastAsia="zh-CN"/>
        </w:rPr>
        <w:t>以及《ISO 10993-12：医疗器械生物学评价 - 第12部分：样品制备与参照样品》的要求。</w:t>
      </w:r>
    </w:p>
    <w:p w14:paraId="2B8D9574">
      <w:pPr>
        <w:adjustRightInd w:val="0"/>
        <w:ind w:firstLine="480" w:firstLineChars="200"/>
        <w:jc w:val="both"/>
        <w:rPr>
          <w:rFonts w:eastAsia="宋体"/>
          <w:sz w:val="24"/>
          <w:szCs w:val="24"/>
          <w:lang w:eastAsia="zh-CN"/>
        </w:rPr>
      </w:pPr>
    </w:p>
    <w:p w14:paraId="45DA7733">
      <w:pPr>
        <w:pStyle w:val="4"/>
        <w:numPr>
          <w:ilvl w:val="1"/>
          <w:numId w:val="1"/>
        </w:numPr>
        <w:tabs>
          <w:tab w:val="left" w:pos="1679"/>
          <w:tab w:val="left" w:pos="1680"/>
        </w:tabs>
        <w:adjustRightInd w:val="0"/>
        <w:jc w:val="both"/>
        <w:rPr>
          <w:rFonts w:eastAsia="宋体"/>
          <w:spacing w:val="-8"/>
          <w:sz w:val="28"/>
          <w:szCs w:val="28"/>
        </w:rPr>
      </w:pPr>
      <w:r>
        <w:rPr>
          <w:rFonts w:eastAsia="宋体"/>
          <w:sz w:val="28"/>
          <w:szCs w:val="28"/>
        </w:rPr>
        <w:t>试验程序</w:t>
      </w:r>
    </w:p>
    <w:p w14:paraId="0F204A69">
      <w:pPr>
        <w:pStyle w:val="5"/>
        <w:tabs>
          <w:tab w:val="left" w:pos="2227"/>
          <w:tab w:val="left" w:pos="2228"/>
        </w:tabs>
        <w:adjustRightInd w:val="0"/>
        <w:spacing w:before="0"/>
        <w:ind w:firstLine="0"/>
        <w:jc w:val="both"/>
        <w:rPr>
          <w:rFonts w:eastAsia="宋体"/>
          <w:sz w:val="24"/>
          <w:szCs w:val="24"/>
        </w:rPr>
      </w:pPr>
    </w:p>
    <w:p w14:paraId="691BBDC9">
      <w:pPr>
        <w:pStyle w:val="5"/>
        <w:numPr>
          <w:ilvl w:val="2"/>
          <w:numId w:val="1"/>
        </w:numPr>
        <w:tabs>
          <w:tab w:val="left" w:pos="2227"/>
          <w:tab w:val="left" w:pos="2228"/>
        </w:tabs>
        <w:adjustRightInd w:val="0"/>
        <w:spacing w:before="0"/>
        <w:jc w:val="both"/>
        <w:rPr>
          <w:rFonts w:eastAsia="宋体"/>
          <w:sz w:val="24"/>
          <w:szCs w:val="24"/>
        </w:rPr>
      </w:pPr>
      <w:r>
        <w:rPr>
          <w:rFonts w:eastAsia="宋体"/>
          <w:sz w:val="24"/>
          <w:szCs w:val="24"/>
        </w:rPr>
        <w:t>培养基和实验室器皿</w:t>
      </w:r>
    </w:p>
    <w:p w14:paraId="684CB530">
      <w:pPr>
        <w:adjustRightInd w:val="0"/>
        <w:ind w:firstLine="480" w:firstLineChars="200"/>
        <w:jc w:val="both"/>
        <w:rPr>
          <w:rFonts w:eastAsia="宋体"/>
          <w:sz w:val="24"/>
          <w:szCs w:val="24"/>
          <w:lang w:eastAsia="zh-CN"/>
        </w:rPr>
      </w:pPr>
      <w:r>
        <w:rPr>
          <w:rFonts w:eastAsia="宋体"/>
          <w:sz w:val="24"/>
          <w:szCs w:val="24"/>
          <w:lang w:eastAsia="zh-CN"/>
        </w:rPr>
        <w:t>除试验样品外，研究中使用的培养基和实验室器皿应旨在用于ART程序中。FDA建议，ART程序期间适用于胚胎培养的培养基应用于MEA。制造商可使用对外公开的FDA数据库</w:t>
      </w:r>
      <w:r>
        <w:rPr>
          <w:rStyle w:val="13"/>
          <w:rFonts w:eastAsia="宋体"/>
          <w:sz w:val="24"/>
          <w:szCs w:val="24"/>
          <w:lang w:eastAsia="zh-CN"/>
        </w:rPr>
        <w:footnoteReference w:id="4"/>
      </w:r>
      <w:r>
        <w:rPr>
          <w:rFonts w:eastAsia="宋体"/>
          <w:sz w:val="24"/>
          <w:szCs w:val="24"/>
          <w:lang w:eastAsia="zh-CN"/>
        </w:rPr>
        <w:t>查询培养基和实验器皿的上市情况，并在上市前申请中向FDA提供该信息。</w:t>
      </w:r>
    </w:p>
    <w:p w14:paraId="61CFE53A">
      <w:pPr>
        <w:adjustRightInd w:val="0"/>
        <w:jc w:val="both"/>
        <w:rPr>
          <w:rFonts w:eastAsia="宋体"/>
          <w:sz w:val="24"/>
          <w:szCs w:val="24"/>
          <w:vertAlign w:val="superscript"/>
          <w:lang w:eastAsia="zh-CN"/>
        </w:rPr>
      </w:pPr>
    </w:p>
    <w:p w14:paraId="7F99C665">
      <w:pPr>
        <w:adjustRightInd w:val="0"/>
        <w:jc w:val="both"/>
        <w:rPr>
          <w:rFonts w:eastAsia="宋体"/>
          <w:sz w:val="24"/>
          <w:szCs w:val="24"/>
          <w:vertAlign w:val="superscript"/>
          <w:lang w:eastAsia="zh-CN"/>
        </w:rPr>
      </w:pPr>
    </w:p>
    <w:p w14:paraId="495D1936">
      <w:pPr>
        <w:adjustRightInd w:val="0"/>
        <w:jc w:val="both"/>
        <w:rPr>
          <w:rFonts w:eastAsia="宋体"/>
          <w:sz w:val="24"/>
          <w:szCs w:val="24"/>
          <w:vertAlign w:val="superscript"/>
          <w:lang w:eastAsia="zh-CN"/>
        </w:rPr>
      </w:pPr>
    </w:p>
    <w:p w14:paraId="139D04A9">
      <w:pPr>
        <w:adjustRightInd w:val="0"/>
        <w:jc w:val="both"/>
        <w:rPr>
          <w:rFonts w:eastAsia="宋体"/>
          <w:sz w:val="24"/>
          <w:szCs w:val="24"/>
          <w:vertAlign w:val="superscript"/>
          <w:lang w:eastAsia="zh-CN"/>
        </w:rPr>
      </w:pPr>
    </w:p>
    <w:p w14:paraId="09C88B48">
      <w:pPr>
        <w:adjustRightInd w:val="0"/>
        <w:jc w:val="both"/>
        <w:rPr>
          <w:rFonts w:eastAsia="宋体"/>
          <w:sz w:val="24"/>
          <w:szCs w:val="24"/>
          <w:vertAlign w:val="superscript"/>
          <w:lang w:eastAsia="zh-CN"/>
        </w:rPr>
      </w:pPr>
    </w:p>
    <w:p w14:paraId="6D94125C">
      <w:pPr>
        <w:adjustRightInd w:val="0"/>
        <w:jc w:val="both"/>
        <w:rPr>
          <w:rFonts w:eastAsia="宋体"/>
          <w:sz w:val="24"/>
          <w:szCs w:val="24"/>
          <w:vertAlign w:val="superscript"/>
          <w:lang w:eastAsia="zh-CN"/>
        </w:rPr>
      </w:pPr>
    </w:p>
    <w:p w14:paraId="64913F04">
      <w:pPr>
        <w:adjustRightInd w:val="0"/>
        <w:jc w:val="both"/>
        <w:rPr>
          <w:rFonts w:eastAsia="宋体"/>
          <w:sz w:val="24"/>
          <w:szCs w:val="24"/>
          <w:vertAlign w:val="superscript"/>
          <w:lang w:eastAsia="zh-CN"/>
        </w:rPr>
      </w:pPr>
    </w:p>
    <w:p w14:paraId="58D799D9">
      <w:pPr>
        <w:rPr>
          <w:rFonts w:eastAsia="宋体"/>
          <w:sz w:val="24"/>
          <w:szCs w:val="24"/>
          <w:lang w:eastAsia="zh-CN"/>
        </w:rPr>
      </w:pPr>
      <w:r>
        <w:rPr>
          <w:rFonts w:eastAsia="宋体"/>
          <w:sz w:val="24"/>
          <w:szCs w:val="24"/>
          <w:lang w:eastAsia="zh-CN"/>
        </w:rPr>
        <w:br w:type="page"/>
      </w:r>
    </w:p>
    <w:p w14:paraId="623600DB">
      <w:pPr>
        <w:pStyle w:val="5"/>
        <w:numPr>
          <w:ilvl w:val="2"/>
          <w:numId w:val="1"/>
        </w:numPr>
        <w:tabs>
          <w:tab w:val="left" w:pos="2227"/>
          <w:tab w:val="left" w:pos="2228"/>
        </w:tabs>
        <w:adjustRightInd w:val="0"/>
        <w:spacing w:before="0"/>
        <w:jc w:val="both"/>
        <w:rPr>
          <w:rFonts w:eastAsia="宋体"/>
          <w:sz w:val="24"/>
          <w:szCs w:val="24"/>
        </w:rPr>
      </w:pPr>
      <w:r>
        <w:rPr>
          <w:rFonts w:eastAsia="宋体"/>
          <w:sz w:val="24"/>
          <w:szCs w:val="24"/>
        </w:rPr>
        <w:t>小鼠胚胎</w:t>
      </w:r>
    </w:p>
    <w:p w14:paraId="4CCBC865">
      <w:pPr>
        <w:adjustRightInd w:val="0"/>
        <w:ind w:firstLine="480" w:firstLineChars="200"/>
        <w:jc w:val="both"/>
        <w:rPr>
          <w:rFonts w:eastAsia="宋体"/>
          <w:sz w:val="24"/>
          <w:szCs w:val="24"/>
          <w:lang w:eastAsia="zh-CN"/>
        </w:rPr>
      </w:pPr>
      <w:r>
        <w:rPr>
          <w:rFonts w:eastAsia="宋体"/>
          <w:sz w:val="24"/>
          <w:szCs w:val="24"/>
          <w:lang w:eastAsia="zh-CN"/>
        </w:rPr>
        <w:t>从杂交小鼠品系（如CBA/B6杂交品系</w:t>
      </w:r>
      <w:r>
        <w:rPr>
          <w:rStyle w:val="13"/>
          <w:rFonts w:eastAsia="宋体"/>
          <w:sz w:val="24"/>
          <w:szCs w:val="24"/>
          <w:lang w:eastAsia="zh-CN"/>
        </w:rPr>
        <w:footnoteReference w:id="5"/>
      </w:r>
      <w:r>
        <w:rPr>
          <w:rFonts w:eastAsia="宋体"/>
          <w:sz w:val="24"/>
          <w:szCs w:val="24"/>
          <w:lang w:eastAsia="zh-CN"/>
        </w:rPr>
        <w:t>）中获取单细胞或双细胞胚胎，这些品系对检测胚胎毒性有足够的敏感性。</w:t>
      </w:r>
      <w:r>
        <w:rPr>
          <w:rStyle w:val="13"/>
          <w:rFonts w:eastAsia="宋体"/>
          <w:sz w:val="24"/>
          <w:szCs w:val="24"/>
          <w:lang w:eastAsia="zh-CN"/>
        </w:rPr>
        <w:footnoteReference w:id="6"/>
      </w:r>
      <w:r>
        <w:rPr>
          <w:rFonts w:eastAsia="宋体"/>
          <w:sz w:val="24"/>
          <w:szCs w:val="24"/>
          <w:lang w:eastAsia="zh-CN"/>
        </w:rPr>
        <w:t>FDA建议MEA中使用的小鼠品系应具有科学合理性。在每个MEA中，应将至少21个胚胎暴露于试验样品，同时将至少15个胚胎暴露于对照培养基。FDA认为，根据之前合法上市器械的申请，该样本量足以评价潜在胚胎毒性并控制生物变异性。FDA建议，一起培养的胚胎数量应具有合理性，因为成群培养胚胎时，检测的敏感性可能会降低。</w:t>
      </w:r>
    </w:p>
    <w:p w14:paraId="74F92240">
      <w:pPr>
        <w:adjustRightInd w:val="0"/>
        <w:jc w:val="both"/>
        <w:rPr>
          <w:rFonts w:eastAsia="宋体"/>
          <w:sz w:val="24"/>
          <w:szCs w:val="24"/>
          <w:lang w:eastAsia="zh-CN"/>
        </w:rPr>
      </w:pPr>
    </w:p>
    <w:p w14:paraId="40D3A7AD">
      <w:pPr>
        <w:pStyle w:val="5"/>
        <w:numPr>
          <w:ilvl w:val="2"/>
          <w:numId w:val="1"/>
        </w:numPr>
        <w:tabs>
          <w:tab w:val="left" w:pos="2227"/>
          <w:tab w:val="left" w:pos="2228"/>
        </w:tabs>
        <w:adjustRightInd w:val="0"/>
        <w:spacing w:before="0"/>
        <w:jc w:val="both"/>
        <w:rPr>
          <w:rFonts w:eastAsia="宋体"/>
          <w:sz w:val="24"/>
          <w:szCs w:val="24"/>
        </w:rPr>
      </w:pPr>
      <w:r>
        <w:rPr>
          <w:rFonts w:eastAsia="宋体"/>
          <w:sz w:val="24"/>
          <w:szCs w:val="24"/>
        </w:rPr>
        <w:t>对照组</w:t>
      </w:r>
    </w:p>
    <w:p w14:paraId="12D481A6">
      <w:pPr>
        <w:adjustRightInd w:val="0"/>
        <w:ind w:firstLine="480" w:firstLineChars="200"/>
        <w:jc w:val="both"/>
        <w:rPr>
          <w:rFonts w:eastAsia="宋体"/>
          <w:sz w:val="24"/>
          <w:szCs w:val="24"/>
          <w:lang w:eastAsia="zh-CN"/>
        </w:rPr>
      </w:pPr>
      <w:r>
        <w:rPr>
          <w:rFonts w:eastAsia="宋体"/>
          <w:sz w:val="24"/>
          <w:szCs w:val="24"/>
          <w:lang w:eastAsia="zh-CN"/>
        </w:rPr>
        <w:t>每个MEA应包括一个对照组，该对照组使用的培养基适用于ART程序期间的胚胎培养，且试验程序与试验样品组相同。</w:t>
      </w:r>
    </w:p>
    <w:p w14:paraId="715016DA">
      <w:pPr>
        <w:adjustRightInd w:val="0"/>
        <w:jc w:val="both"/>
        <w:rPr>
          <w:rFonts w:eastAsia="宋体"/>
          <w:sz w:val="24"/>
          <w:szCs w:val="24"/>
          <w:lang w:eastAsia="zh-CN"/>
        </w:rPr>
      </w:pPr>
    </w:p>
    <w:p w14:paraId="7D7E830F">
      <w:pPr>
        <w:pStyle w:val="5"/>
        <w:numPr>
          <w:ilvl w:val="2"/>
          <w:numId w:val="1"/>
        </w:numPr>
        <w:tabs>
          <w:tab w:val="left" w:pos="2227"/>
          <w:tab w:val="left" w:pos="2228"/>
        </w:tabs>
        <w:adjustRightInd w:val="0"/>
        <w:spacing w:before="0"/>
        <w:jc w:val="both"/>
        <w:rPr>
          <w:rFonts w:eastAsia="宋体"/>
          <w:sz w:val="24"/>
          <w:szCs w:val="24"/>
          <w:lang w:eastAsia="zh-CN"/>
        </w:rPr>
      </w:pPr>
      <w:r>
        <w:rPr>
          <w:rFonts w:eastAsia="宋体"/>
          <w:sz w:val="24"/>
          <w:szCs w:val="24"/>
          <w:lang w:eastAsia="zh-CN"/>
        </w:rPr>
        <w:t>小鼠胚胎暴露于试验样品的持续时间</w:t>
      </w:r>
    </w:p>
    <w:p w14:paraId="7976DAC5">
      <w:pPr>
        <w:adjustRightInd w:val="0"/>
        <w:ind w:firstLine="480" w:firstLineChars="200"/>
        <w:jc w:val="both"/>
        <w:rPr>
          <w:rFonts w:eastAsia="宋体"/>
          <w:sz w:val="24"/>
          <w:szCs w:val="24"/>
          <w:lang w:eastAsia="zh-CN"/>
        </w:rPr>
      </w:pPr>
      <w:r>
        <w:rPr>
          <w:rFonts w:eastAsia="宋体"/>
          <w:sz w:val="24"/>
          <w:szCs w:val="24"/>
          <w:lang w:eastAsia="zh-CN"/>
        </w:rPr>
        <w:t>对于代表预期使用的MEA试验暴露，FDA建议：</w:t>
      </w:r>
    </w:p>
    <w:p w14:paraId="5FB3AF60">
      <w:pPr>
        <w:numPr>
          <w:ilvl w:val="1"/>
          <w:numId w:val="3"/>
        </w:numPr>
        <w:tabs>
          <w:tab w:val="left" w:pos="1319"/>
          <w:tab w:val="left" w:pos="1320"/>
        </w:tabs>
        <w:adjustRightInd w:val="0"/>
        <w:jc w:val="both"/>
        <w:rPr>
          <w:rFonts w:eastAsia="宋体"/>
          <w:sz w:val="24"/>
          <w:szCs w:val="24"/>
          <w:lang w:eastAsia="zh-CN"/>
        </w:rPr>
      </w:pPr>
      <w:r>
        <w:rPr>
          <w:rFonts w:eastAsia="宋体"/>
          <w:sz w:val="24"/>
          <w:szCs w:val="24"/>
          <w:lang w:eastAsia="zh-CN"/>
        </w:rPr>
        <w:t>在标准MEA中，如果使用单细胞系统，应在正常培养条件（即37°C和5% CO</w:t>
      </w:r>
      <w:r>
        <w:rPr>
          <w:rFonts w:eastAsia="宋体"/>
          <w:sz w:val="24"/>
          <w:szCs w:val="24"/>
          <w:vertAlign w:val="subscript"/>
          <w:lang w:eastAsia="zh-CN"/>
        </w:rPr>
        <w:t>2</w:t>
      </w:r>
      <w:r>
        <w:rPr>
          <w:rFonts w:eastAsia="宋体"/>
          <w:sz w:val="24"/>
          <w:szCs w:val="24"/>
          <w:lang w:eastAsia="zh-CN"/>
        </w:rPr>
        <w:t>）下将胚胎置于试验样品浸提液中培养96小时，如果使用双细胞系统，则应培养72小时。FDA建议，对培养条件的修改应具有合理性。</w:t>
      </w:r>
    </w:p>
    <w:p w14:paraId="0B5BE0CD">
      <w:pPr>
        <w:numPr>
          <w:ilvl w:val="1"/>
          <w:numId w:val="3"/>
        </w:numPr>
        <w:tabs>
          <w:tab w:val="left" w:pos="1319"/>
          <w:tab w:val="left" w:pos="1320"/>
        </w:tabs>
        <w:adjustRightInd w:val="0"/>
        <w:jc w:val="both"/>
        <w:rPr>
          <w:rFonts w:eastAsia="宋体"/>
          <w:sz w:val="24"/>
          <w:szCs w:val="24"/>
          <w:lang w:eastAsia="zh-CN"/>
        </w:rPr>
      </w:pPr>
      <w:r>
        <w:rPr>
          <w:rFonts w:eastAsia="宋体"/>
          <w:sz w:val="24"/>
          <w:szCs w:val="24"/>
          <w:lang w:eastAsia="zh-CN"/>
        </w:rPr>
        <w:t>如果器械系用于胚胎培养的平板或培养皿，则应在正常培养条件下，在标准胚胎培养基中直接孵育胚胎，直至MEA培养时间结束。</w:t>
      </w:r>
    </w:p>
    <w:p w14:paraId="5ECBD3AA">
      <w:pPr>
        <w:numPr>
          <w:ilvl w:val="1"/>
          <w:numId w:val="3"/>
        </w:numPr>
        <w:tabs>
          <w:tab w:val="left" w:pos="1319"/>
          <w:tab w:val="left" w:pos="1320"/>
        </w:tabs>
        <w:adjustRightInd w:val="0"/>
        <w:jc w:val="both"/>
        <w:rPr>
          <w:rFonts w:eastAsia="宋体"/>
          <w:sz w:val="24"/>
          <w:szCs w:val="24"/>
          <w:lang w:eastAsia="zh-CN"/>
        </w:rPr>
      </w:pPr>
      <w:r>
        <w:rPr>
          <w:rFonts w:eastAsia="宋体"/>
          <w:sz w:val="24"/>
          <w:szCs w:val="24"/>
          <w:lang w:eastAsia="zh-CN"/>
        </w:rPr>
        <w:t>如果器械系一步式培养基（例如，用于培养胚胎至发育第5/6天的单一培养基），应使用试验样品进行MEA，直至正常培养条件下的预期孵育期结束。例如，对于预期使用到孵育第6天的培养基，应在培养6天后（包括开始和结束日）评价MEA（120小时）。</w:t>
      </w:r>
    </w:p>
    <w:p w14:paraId="4C840DA1">
      <w:pPr>
        <w:numPr>
          <w:ilvl w:val="1"/>
          <w:numId w:val="3"/>
        </w:numPr>
        <w:tabs>
          <w:tab w:val="left" w:pos="1319"/>
          <w:tab w:val="left" w:pos="1320"/>
        </w:tabs>
        <w:adjustRightInd w:val="0"/>
        <w:jc w:val="both"/>
        <w:rPr>
          <w:rFonts w:eastAsia="宋体"/>
          <w:sz w:val="24"/>
          <w:szCs w:val="24"/>
          <w:lang w:eastAsia="zh-CN"/>
        </w:rPr>
      </w:pPr>
      <w:r>
        <w:rPr>
          <w:rFonts w:eastAsia="宋体"/>
          <w:sz w:val="24"/>
          <w:szCs w:val="24"/>
          <w:lang w:eastAsia="zh-CN"/>
        </w:rPr>
        <w:t>如果器械系一种培养基产品，其预期接触持续时间比标准的MEA短（例如，在双细胞系统中少于72小时，或在单细胞系统中少于96小时），则应将胚胎暴露于器械以开展MEA，从而达到器械标签中规定的总预期使用时间。然后，将胚胎转移到标准培养基中继续培养。</w:t>
      </w:r>
    </w:p>
    <w:p w14:paraId="010BB069">
      <w:pPr>
        <w:numPr>
          <w:ilvl w:val="1"/>
          <w:numId w:val="3"/>
        </w:numPr>
        <w:tabs>
          <w:tab w:val="left" w:pos="1319"/>
          <w:tab w:val="left" w:pos="1320"/>
        </w:tabs>
        <w:adjustRightInd w:val="0"/>
        <w:jc w:val="both"/>
        <w:rPr>
          <w:rFonts w:eastAsia="宋体"/>
          <w:sz w:val="24"/>
          <w:szCs w:val="24"/>
          <w:lang w:eastAsia="zh-CN"/>
        </w:rPr>
      </w:pPr>
      <w:r>
        <w:rPr>
          <w:rFonts w:eastAsia="宋体"/>
          <w:sz w:val="24"/>
          <w:szCs w:val="24"/>
          <w:lang w:eastAsia="zh-CN"/>
        </w:rPr>
        <w:t>如果器械系培养油，胚胎应在覆盖有器械的标准培养基中于正常培养条件下培养96小时（如果使用单细胞系统），或72小时（如果使用双细胞系统）。</w:t>
      </w:r>
    </w:p>
    <w:p w14:paraId="04818170">
      <w:pPr>
        <w:rPr>
          <w:rFonts w:eastAsia="宋体"/>
          <w:sz w:val="24"/>
          <w:szCs w:val="24"/>
          <w:lang w:eastAsia="zh-CN"/>
        </w:rPr>
      </w:pPr>
      <w:r>
        <w:rPr>
          <w:rFonts w:eastAsia="宋体"/>
          <w:sz w:val="24"/>
          <w:szCs w:val="24"/>
          <w:lang w:eastAsia="zh-CN"/>
        </w:rPr>
        <w:br w:type="page"/>
      </w:r>
    </w:p>
    <w:p w14:paraId="774F483A">
      <w:pPr>
        <w:numPr>
          <w:ilvl w:val="1"/>
          <w:numId w:val="4"/>
        </w:numPr>
        <w:tabs>
          <w:tab w:val="left" w:pos="1319"/>
          <w:tab w:val="left" w:pos="1320"/>
        </w:tabs>
        <w:adjustRightInd w:val="0"/>
        <w:jc w:val="both"/>
        <w:rPr>
          <w:rFonts w:eastAsia="宋体"/>
          <w:sz w:val="24"/>
          <w:szCs w:val="24"/>
          <w:lang w:eastAsia="zh-CN"/>
        </w:rPr>
      </w:pPr>
      <w:r>
        <w:rPr>
          <w:rFonts w:eastAsia="宋体"/>
          <w:sz w:val="24"/>
          <w:szCs w:val="24"/>
          <w:lang w:eastAsia="zh-CN"/>
        </w:rPr>
        <w:t>如果器械包含一系列依次使用的溶液（例如，卵母细胞或胚胎的玻璃化冷冻和复温），则应采用步入/步出的方法进行检测。该方法让胚胎依次暴露在所有的玻璃化冷冻溶液和复温溶液中。在每种溶液中的暴露量应符合标签中描述的最大暴露条件。步入/步出暴露后，胚胎应在标准培养基中于正常培养条件下培养，直至MEA培养时间结束。</w:t>
      </w:r>
    </w:p>
    <w:p w14:paraId="23D65707">
      <w:pPr>
        <w:tabs>
          <w:tab w:val="left" w:pos="1319"/>
          <w:tab w:val="left" w:pos="1320"/>
        </w:tabs>
        <w:adjustRightInd w:val="0"/>
        <w:ind w:left="1320"/>
        <w:jc w:val="both"/>
        <w:rPr>
          <w:rFonts w:eastAsia="宋体"/>
          <w:sz w:val="24"/>
          <w:szCs w:val="24"/>
          <w:lang w:eastAsia="zh-CN"/>
        </w:rPr>
      </w:pPr>
    </w:p>
    <w:p w14:paraId="3792CF28">
      <w:pPr>
        <w:pStyle w:val="5"/>
        <w:numPr>
          <w:ilvl w:val="2"/>
          <w:numId w:val="1"/>
        </w:numPr>
        <w:tabs>
          <w:tab w:val="left" w:pos="2227"/>
          <w:tab w:val="left" w:pos="2228"/>
        </w:tabs>
        <w:adjustRightInd w:val="0"/>
        <w:spacing w:before="0"/>
        <w:jc w:val="both"/>
        <w:rPr>
          <w:rFonts w:eastAsia="宋体"/>
          <w:sz w:val="24"/>
          <w:szCs w:val="24"/>
        </w:rPr>
      </w:pPr>
      <w:r>
        <w:rPr>
          <w:rFonts w:eastAsia="宋体"/>
          <w:sz w:val="24"/>
          <w:szCs w:val="24"/>
        </w:rPr>
        <w:t>胚胎发育的评价</w:t>
      </w:r>
    </w:p>
    <w:p w14:paraId="16221590">
      <w:pPr>
        <w:adjustRightInd w:val="0"/>
        <w:ind w:firstLine="480" w:firstLineChars="200"/>
        <w:jc w:val="both"/>
        <w:rPr>
          <w:rFonts w:eastAsia="宋体"/>
          <w:sz w:val="24"/>
          <w:szCs w:val="24"/>
          <w:lang w:eastAsia="zh-CN"/>
        </w:rPr>
      </w:pPr>
      <w:r>
        <w:rPr>
          <w:rFonts w:eastAsia="宋体"/>
          <w:sz w:val="24"/>
          <w:szCs w:val="24"/>
          <w:lang w:eastAsia="zh-CN"/>
        </w:rPr>
        <w:t>在胚胎培养完成后，应根据III.D节所述的验收标准对胚胎的发育进行评价。</w:t>
      </w:r>
    </w:p>
    <w:p w14:paraId="70D55D44">
      <w:pPr>
        <w:adjustRightInd w:val="0"/>
        <w:jc w:val="both"/>
        <w:rPr>
          <w:rFonts w:eastAsia="宋体"/>
          <w:sz w:val="24"/>
          <w:szCs w:val="24"/>
          <w:lang w:eastAsia="zh-CN"/>
        </w:rPr>
      </w:pPr>
    </w:p>
    <w:p w14:paraId="34A1FB99">
      <w:pPr>
        <w:pStyle w:val="4"/>
        <w:numPr>
          <w:ilvl w:val="1"/>
          <w:numId w:val="1"/>
        </w:numPr>
        <w:tabs>
          <w:tab w:val="left" w:pos="1679"/>
          <w:tab w:val="left" w:pos="1680"/>
        </w:tabs>
        <w:adjustRightInd w:val="0"/>
        <w:jc w:val="both"/>
        <w:rPr>
          <w:rFonts w:eastAsia="宋体"/>
          <w:spacing w:val="-8"/>
          <w:sz w:val="28"/>
          <w:szCs w:val="28"/>
        </w:rPr>
      </w:pPr>
      <w:r>
        <w:rPr>
          <w:rFonts w:eastAsia="宋体"/>
          <w:sz w:val="28"/>
          <w:szCs w:val="28"/>
        </w:rPr>
        <w:t>验收标准</w:t>
      </w:r>
    </w:p>
    <w:p w14:paraId="4467DC9C">
      <w:pPr>
        <w:adjustRightInd w:val="0"/>
        <w:jc w:val="both"/>
        <w:rPr>
          <w:rFonts w:eastAsia="宋体"/>
          <w:sz w:val="24"/>
          <w:szCs w:val="24"/>
          <w:lang w:eastAsia="zh-CN"/>
        </w:rPr>
      </w:pPr>
    </w:p>
    <w:p w14:paraId="453DDE98">
      <w:pPr>
        <w:adjustRightInd w:val="0"/>
        <w:ind w:firstLine="480" w:firstLineChars="200"/>
        <w:jc w:val="both"/>
        <w:rPr>
          <w:rFonts w:eastAsia="宋体"/>
          <w:sz w:val="24"/>
          <w:szCs w:val="24"/>
          <w:lang w:eastAsia="zh-CN"/>
        </w:rPr>
      </w:pPr>
      <w:r>
        <w:rPr>
          <w:rFonts w:eastAsia="宋体"/>
          <w:sz w:val="24"/>
          <w:szCs w:val="24"/>
          <w:lang w:eastAsia="zh-CN"/>
        </w:rPr>
        <w:t>根据使用的系统，FDA建议对试验样品和对照品采用以下MEA验收标准：</w:t>
      </w:r>
    </w:p>
    <w:p w14:paraId="71914807">
      <w:pPr>
        <w:numPr>
          <w:ilvl w:val="0"/>
          <w:numId w:val="5"/>
        </w:numPr>
        <w:tabs>
          <w:tab w:val="left" w:pos="960"/>
        </w:tabs>
        <w:adjustRightInd w:val="0"/>
        <w:ind w:left="440" w:leftChars="200" w:firstLine="0"/>
        <w:jc w:val="both"/>
        <w:rPr>
          <w:rFonts w:eastAsia="宋体"/>
          <w:sz w:val="24"/>
          <w:szCs w:val="24"/>
          <w:lang w:eastAsia="zh-CN"/>
        </w:rPr>
      </w:pPr>
      <w:r>
        <w:rPr>
          <w:rFonts w:eastAsia="宋体"/>
          <w:sz w:val="24"/>
          <w:szCs w:val="24"/>
          <w:lang w:eastAsia="zh-CN"/>
        </w:rPr>
        <w:t>单细胞系统：≥ 80%的胚胎在96个小时发育成扩张囊胚；或</w:t>
      </w:r>
    </w:p>
    <w:p w14:paraId="6D853A70">
      <w:pPr>
        <w:numPr>
          <w:ilvl w:val="0"/>
          <w:numId w:val="5"/>
        </w:numPr>
        <w:tabs>
          <w:tab w:val="left" w:pos="960"/>
        </w:tabs>
        <w:adjustRightInd w:val="0"/>
        <w:ind w:left="440" w:leftChars="200" w:firstLine="0"/>
        <w:jc w:val="both"/>
        <w:rPr>
          <w:rFonts w:eastAsia="宋体"/>
          <w:sz w:val="24"/>
          <w:szCs w:val="24"/>
          <w:lang w:eastAsia="zh-CN"/>
        </w:rPr>
      </w:pPr>
      <w:r>
        <w:rPr>
          <w:rFonts w:eastAsia="宋体"/>
          <w:sz w:val="24"/>
          <w:szCs w:val="24"/>
          <w:lang w:eastAsia="zh-CN"/>
        </w:rPr>
        <w:t>双细胞系统：≥ 80%的胚胎在72个小时发育成扩张囊胚。</w:t>
      </w:r>
    </w:p>
    <w:p w14:paraId="5F871D85">
      <w:pPr>
        <w:adjustRightInd w:val="0"/>
        <w:jc w:val="both"/>
        <w:rPr>
          <w:rFonts w:eastAsia="宋体"/>
          <w:sz w:val="24"/>
          <w:szCs w:val="24"/>
          <w:lang w:eastAsia="zh-CN"/>
        </w:rPr>
      </w:pPr>
    </w:p>
    <w:p w14:paraId="2B1FCB4E">
      <w:pPr>
        <w:adjustRightInd w:val="0"/>
        <w:ind w:firstLine="480" w:firstLineChars="200"/>
        <w:jc w:val="both"/>
        <w:rPr>
          <w:rFonts w:eastAsia="宋体"/>
          <w:sz w:val="24"/>
          <w:szCs w:val="24"/>
          <w:lang w:eastAsia="zh-CN"/>
        </w:rPr>
      </w:pPr>
      <w:r>
        <w:rPr>
          <w:rFonts w:eastAsia="宋体"/>
          <w:sz w:val="24"/>
          <w:szCs w:val="24"/>
          <w:lang w:eastAsia="zh-CN"/>
        </w:rPr>
        <w:t>当孵育试验样品超过96个小时时，试验报告应包括实际的孵育期，并提供孵育期的合理依据。申请方还应根据试验程序提出验收标准。</w:t>
      </w:r>
    </w:p>
    <w:p w14:paraId="381BDDDA">
      <w:pPr>
        <w:adjustRightInd w:val="0"/>
        <w:jc w:val="both"/>
        <w:rPr>
          <w:rFonts w:eastAsia="宋体"/>
          <w:sz w:val="24"/>
          <w:szCs w:val="24"/>
          <w:lang w:eastAsia="zh-CN"/>
        </w:rPr>
      </w:pPr>
    </w:p>
    <w:p w14:paraId="7DC74979">
      <w:pPr>
        <w:pStyle w:val="4"/>
        <w:numPr>
          <w:ilvl w:val="1"/>
          <w:numId w:val="1"/>
        </w:numPr>
        <w:tabs>
          <w:tab w:val="left" w:pos="1679"/>
          <w:tab w:val="left" w:pos="1680"/>
        </w:tabs>
        <w:adjustRightInd w:val="0"/>
        <w:jc w:val="both"/>
        <w:rPr>
          <w:rFonts w:eastAsia="宋体"/>
          <w:spacing w:val="-8"/>
          <w:sz w:val="28"/>
          <w:szCs w:val="28"/>
        </w:rPr>
      </w:pPr>
      <w:r>
        <w:rPr>
          <w:rFonts w:eastAsia="宋体"/>
          <w:sz w:val="28"/>
          <w:szCs w:val="28"/>
        </w:rPr>
        <w:t>试验报告</w:t>
      </w:r>
    </w:p>
    <w:p w14:paraId="5D8450C8">
      <w:pPr>
        <w:adjustRightInd w:val="0"/>
        <w:jc w:val="both"/>
        <w:rPr>
          <w:rFonts w:eastAsia="宋体"/>
          <w:sz w:val="24"/>
          <w:szCs w:val="24"/>
          <w:lang w:eastAsia="zh-CN"/>
        </w:rPr>
      </w:pPr>
    </w:p>
    <w:p w14:paraId="615A9480">
      <w:pPr>
        <w:adjustRightInd w:val="0"/>
        <w:ind w:firstLine="480" w:firstLineChars="200"/>
        <w:jc w:val="both"/>
        <w:rPr>
          <w:rFonts w:eastAsia="宋体"/>
          <w:sz w:val="24"/>
          <w:szCs w:val="24"/>
          <w:lang w:eastAsia="zh-CN"/>
        </w:rPr>
      </w:pPr>
      <w:r>
        <w:rPr>
          <w:rFonts w:eastAsia="宋体"/>
          <w:sz w:val="24"/>
          <w:szCs w:val="24"/>
          <w:lang w:eastAsia="zh-CN"/>
        </w:rPr>
        <w:t>关于本节所述试验的试验报告的建议内容和格式信息，请参阅FDA指南</w:t>
      </w:r>
      <w:r>
        <w:rPr>
          <w:rFonts w:eastAsia="宋体"/>
          <w:sz w:val="24"/>
          <w:szCs w:val="24"/>
        </w:rPr>
        <w:fldChar w:fldCharType="begin"/>
      </w:r>
      <w:r>
        <w:rPr>
          <w:rFonts w:eastAsia="宋体"/>
          <w:sz w:val="24"/>
          <w:szCs w:val="24"/>
          <w:lang w:eastAsia="zh-CN"/>
        </w:rPr>
        <w:instrText xml:space="preserve"> HYPERLINK "https://www.fda.gov/regulatory-information/search-fda-guidance-documents/recommended-content-and-format-non-clinical-bench-performance-testing-information-premarket" \h </w:instrText>
      </w:r>
      <w:r>
        <w:rPr>
          <w:rFonts w:eastAsia="宋体"/>
          <w:sz w:val="24"/>
          <w:szCs w:val="24"/>
        </w:rPr>
        <w:fldChar w:fldCharType="separate"/>
      </w:r>
      <w:r>
        <w:rPr>
          <w:rFonts w:eastAsia="宋体"/>
          <w:color w:val="0000FF"/>
          <w:sz w:val="24"/>
          <w:szCs w:val="24"/>
          <w:u w:val="single" w:color="0000FF"/>
          <w:lang w:eastAsia="zh-CN"/>
        </w:rPr>
        <w:t>《上市前申请中非临床实验台性能试验完整试验报告的建议内容和格式》</w:t>
      </w:r>
      <w:r>
        <w:rPr>
          <w:rFonts w:eastAsia="宋体"/>
          <w:color w:val="0000FF"/>
          <w:sz w:val="24"/>
          <w:szCs w:val="24"/>
          <w:u w:val="single" w:color="0000FF"/>
          <w:lang w:eastAsia="zh-CN"/>
        </w:rPr>
        <w:fldChar w:fldCharType="end"/>
      </w:r>
      <w:r>
        <w:rPr>
          <w:rFonts w:eastAsia="宋体"/>
          <w:sz w:val="24"/>
          <w:szCs w:val="24"/>
          <w:lang w:eastAsia="zh-CN"/>
        </w:rPr>
        <w:t>。</w:t>
      </w:r>
      <w:r>
        <w:rPr>
          <w:rStyle w:val="13"/>
          <w:rFonts w:eastAsia="宋体"/>
          <w:sz w:val="24"/>
          <w:szCs w:val="24"/>
          <w:lang w:eastAsia="zh-CN"/>
        </w:rPr>
        <w:footnoteReference w:id="7"/>
      </w:r>
      <w:r>
        <w:rPr>
          <w:rFonts w:eastAsia="宋体"/>
          <w:sz w:val="24"/>
          <w:szCs w:val="24"/>
          <w:lang w:eastAsia="zh-CN"/>
        </w:rPr>
        <w:t>为了便于FDA审查，FDA建议您的MEA完整试验报告还应包括使用的MEA试验方法，包括小鼠品系、试验组和对照组的胚胎数量、培养条件（例如，气体、温度、培养液滴大小、每滴的胚胎数量）和程序。应提供对照组和试验样品组所用胚胎培养基的名称（如适用）。</w:t>
      </w:r>
    </w:p>
    <w:p w14:paraId="201ABBD4">
      <w:pPr>
        <w:adjustRightInd w:val="0"/>
        <w:jc w:val="both"/>
        <w:rPr>
          <w:rFonts w:eastAsia="宋体"/>
          <w:sz w:val="24"/>
          <w:szCs w:val="24"/>
          <w:lang w:eastAsia="zh-CN"/>
        </w:rPr>
      </w:pPr>
    </w:p>
    <w:p w14:paraId="6AFFE1EB">
      <w:pPr>
        <w:pStyle w:val="3"/>
        <w:numPr>
          <w:ilvl w:val="0"/>
          <w:numId w:val="1"/>
        </w:numPr>
        <w:tabs>
          <w:tab w:val="left" w:pos="959"/>
          <w:tab w:val="left" w:pos="960"/>
        </w:tabs>
        <w:adjustRightInd w:val="0"/>
        <w:ind w:left="0" w:firstLine="0"/>
        <w:jc w:val="both"/>
        <w:rPr>
          <w:rFonts w:eastAsia="宋体"/>
          <w:sz w:val="32"/>
          <w:szCs w:val="32"/>
          <w:lang w:eastAsia="zh-CN"/>
        </w:rPr>
      </w:pPr>
      <w:r>
        <w:rPr>
          <w:rFonts w:eastAsia="宋体"/>
          <w:sz w:val="32"/>
          <w:szCs w:val="32"/>
          <w:lang w:eastAsia="zh-CN"/>
        </w:rPr>
        <w:t>器械标签中的MEA信息</w:t>
      </w:r>
    </w:p>
    <w:p w14:paraId="758AD207">
      <w:pPr>
        <w:adjustRightInd w:val="0"/>
        <w:ind w:firstLine="480" w:firstLineChars="200"/>
        <w:jc w:val="both"/>
        <w:rPr>
          <w:rFonts w:eastAsia="宋体"/>
          <w:sz w:val="24"/>
          <w:szCs w:val="24"/>
          <w:lang w:eastAsia="zh-CN"/>
        </w:rPr>
      </w:pPr>
      <w:r>
        <w:rPr>
          <w:rFonts w:eastAsia="宋体"/>
          <w:sz w:val="24"/>
          <w:szCs w:val="24"/>
          <w:lang w:eastAsia="zh-CN"/>
        </w:rPr>
        <w:t>在开展MEA试验时，FDA建议包装和包装瓶标签以及使用说明书应陈述使用的MEA验收标准。</w:t>
      </w:r>
    </w:p>
    <w:p w14:paraId="67BC7CE9">
      <w:pPr>
        <w:adjustRightInd w:val="0"/>
        <w:jc w:val="both"/>
        <w:rPr>
          <w:rFonts w:eastAsia="宋体"/>
          <w:sz w:val="24"/>
          <w:szCs w:val="24"/>
          <w:vertAlign w:val="superscript"/>
          <w:lang w:eastAsia="zh-CN"/>
        </w:rPr>
      </w:pPr>
    </w:p>
    <w:p w14:paraId="27CD3983">
      <w:pPr>
        <w:rPr>
          <w:rFonts w:eastAsia="宋体"/>
          <w:sz w:val="24"/>
          <w:szCs w:val="24"/>
          <w:lang w:eastAsia="zh-CN"/>
        </w:rPr>
      </w:pPr>
      <w:r>
        <w:rPr>
          <w:rFonts w:eastAsia="宋体"/>
          <w:sz w:val="24"/>
          <w:szCs w:val="24"/>
          <w:lang w:eastAsia="zh-CN"/>
        </w:rPr>
        <w:br w:type="page"/>
      </w:r>
    </w:p>
    <w:p w14:paraId="07242B90">
      <w:pPr>
        <w:pStyle w:val="3"/>
        <w:numPr>
          <w:ilvl w:val="0"/>
          <w:numId w:val="1"/>
        </w:numPr>
        <w:tabs>
          <w:tab w:val="left" w:pos="959"/>
          <w:tab w:val="left" w:pos="960"/>
        </w:tabs>
        <w:adjustRightInd w:val="0"/>
        <w:ind w:left="0" w:firstLine="0"/>
        <w:jc w:val="both"/>
        <w:rPr>
          <w:rFonts w:eastAsia="宋体"/>
          <w:sz w:val="32"/>
          <w:szCs w:val="32"/>
        </w:rPr>
      </w:pPr>
      <w:r>
        <w:rPr>
          <w:rFonts w:eastAsia="宋体"/>
          <w:sz w:val="32"/>
          <w:szCs w:val="32"/>
        </w:rPr>
        <w:t>检验报告（COA）</w:t>
      </w:r>
    </w:p>
    <w:p w14:paraId="11A7E60B">
      <w:pPr>
        <w:adjustRightInd w:val="0"/>
        <w:ind w:firstLine="480" w:firstLineChars="200"/>
        <w:jc w:val="both"/>
        <w:rPr>
          <w:rFonts w:eastAsia="宋体"/>
          <w:sz w:val="24"/>
          <w:szCs w:val="24"/>
          <w:lang w:eastAsia="zh-CN"/>
        </w:rPr>
      </w:pPr>
      <w:r>
        <w:rPr>
          <w:rFonts w:eastAsia="宋体"/>
          <w:sz w:val="24"/>
          <w:szCs w:val="24"/>
          <w:lang w:eastAsia="zh-CN"/>
        </w:rPr>
        <w:t>开展MEA试验时，FDA建议所有COA均应陈述所使用的MEA验收标准，并包括特定批次的通过/未通过结果。</w:t>
      </w:r>
    </w:p>
    <w:p w14:paraId="621C6D8F">
      <w:pPr>
        <w:pBdr>
          <w:bottom w:val="single" w:color="auto" w:sz="4" w:space="1"/>
        </w:pBdr>
        <w:adjustRightInd w:val="0"/>
        <w:jc w:val="center"/>
        <w:rPr>
          <w:rFonts w:hint="eastAsia" w:eastAsia="宋体"/>
          <w:lang w:eastAsia="zh-CN"/>
        </w:rPr>
      </w:pPr>
    </w:p>
    <w:p w14:paraId="669618C5">
      <w:pPr>
        <w:pBdr>
          <w:bottom w:val="single" w:color="auto" w:sz="4" w:space="1"/>
        </w:pBdr>
        <w:adjustRightInd w:val="0"/>
        <w:jc w:val="center"/>
        <w:rPr>
          <w:rFonts w:hint="eastAsia" w:eastAsia="宋体"/>
          <w:lang w:eastAsia="zh-CN"/>
        </w:rPr>
      </w:pPr>
    </w:p>
    <w:p w14:paraId="64D5AC39">
      <w:pPr>
        <w:pBdr>
          <w:bottom w:val="single" w:color="auto" w:sz="4" w:space="1"/>
        </w:pBdr>
        <w:adjustRightInd w:val="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8"/>
                    <a:stretch>
                      <a:fillRect/>
                    </a:stretch>
                  </pic:blipFill>
                  <pic:spPr>
                    <a:xfrm>
                      <a:off x="0" y="0"/>
                      <a:ext cx="5210175" cy="7343775"/>
                    </a:xfrm>
                    <a:prstGeom prst="rect">
                      <a:avLst/>
                    </a:prstGeom>
                  </pic:spPr>
                </pic:pic>
              </a:graphicData>
            </a:graphic>
          </wp:inline>
        </w:drawing>
      </w:r>
    </w:p>
    <w:sectPr>
      <w:footerReference r:id="rId5" w:type="default"/>
      <w:pgSz w:w="11907" w:h="16840"/>
      <w:pgMar w:top="1134" w:right="1134" w:bottom="1134" w:left="1418" w:header="567" w:footer="567" w:gutter="0"/>
      <w:pgNumType w:start="1"/>
      <w:cols w:space="720" w:num="1"/>
      <w:docGrid w:type="lines" w:linePitch="36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A918D">
    <w:pPr>
      <w:jc w:val="right"/>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eastAsia="zh-CN"/>
      </w:rPr>
      <w:t>6</w:t>
    </w:r>
    <w:r>
      <w:rPr>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6">
    <w:p>
      <w:r>
        <w:separator/>
      </w:r>
    </w:p>
  </w:footnote>
  <w:footnote w:type="continuationSeparator" w:id="17">
    <w:p>
      <w:r>
        <w:continuationSeparator/>
      </w:r>
    </w:p>
  </w:footnote>
  <w:footnote w:id="0">
    <w:p w14:paraId="28F08A3D">
      <w:pPr>
        <w:adjustRightInd w:val="0"/>
        <w:snapToGrid w:val="0"/>
        <w:jc w:val="both"/>
        <w:rPr>
          <w:rFonts w:eastAsia="宋体"/>
          <w:sz w:val="21"/>
          <w:szCs w:val="21"/>
          <w:lang w:eastAsia="zh-CN"/>
        </w:rPr>
      </w:pPr>
      <w:r>
        <w:rPr>
          <w:rStyle w:val="13"/>
          <w:rFonts w:eastAsia="宋体"/>
          <w:sz w:val="21"/>
          <w:szCs w:val="21"/>
        </w:rPr>
        <w:footnoteRef/>
      </w:r>
      <w:r>
        <w:rPr>
          <w:rFonts w:eastAsia="宋体"/>
          <w:sz w:val="21"/>
          <w:szCs w:val="21"/>
        </w:rPr>
        <w:t>可登录以下网址获取：</w:t>
      </w:r>
      <w:r>
        <w:fldChar w:fldCharType="begin"/>
      </w:r>
      <w:r>
        <w:instrText xml:space="preserve"> HYPERLINK "https://www.accessdata.fda.gov/scripts/cdrh/cfdocs/cfStandards/search.cfm" \h </w:instrText>
      </w:r>
      <w:r>
        <w:fldChar w:fldCharType="separate"/>
      </w:r>
      <w:r>
        <w:rPr>
          <w:rFonts w:eastAsia="宋体"/>
          <w:color w:val="0000FF"/>
          <w:sz w:val="21"/>
          <w:szCs w:val="21"/>
          <w:u w:val="single" w:color="0000FF"/>
        </w:rPr>
        <w:t>https://www.accessdata.fda.gov/scripts/cdrh/cfdocs/cfStandards/search.cfm.</w:t>
      </w:r>
      <w:r>
        <w:rPr>
          <w:rFonts w:eastAsia="宋体"/>
          <w:color w:val="0000FF"/>
          <w:sz w:val="21"/>
          <w:szCs w:val="21"/>
          <w:u w:val="single" w:color="0000FF"/>
        </w:rPr>
        <w:fldChar w:fldCharType="end"/>
      </w:r>
    </w:p>
  </w:footnote>
  <w:footnote w:id="1">
    <w:p w14:paraId="151BD55B">
      <w:pPr>
        <w:adjustRightInd w:val="0"/>
        <w:snapToGrid w:val="0"/>
        <w:jc w:val="both"/>
        <w:rPr>
          <w:rFonts w:eastAsia="宋体"/>
          <w:sz w:val="21"/>
          <w:szCs w:val="21"/>
          <w:lang w:eastAsia="zh-CN"/>
        </w:rPr>
      </w:pPr>
      <w:r>
        <w:rPr>
          <w:rStyle w:val="13"/>
          <w:rFonts w:eastAsia="宋体"/>
          <w:sz w:val="21"/>
          <w:szCs w:val="21"/>
        </w:rPr>
        <w:footnoteRef/>
      </w:r>
      <w:r>
        <w:rPr>
          <w:rFonts w:eastAsia="宋体"/>
          <w:sz w:val="21"/>
          <w:szCs w:val="21"/>
        </w:rPr>
        <w:t>可登录以下网址获取：</w:t>
      </w:r>
      <w:r>
        <w:fldChar w:fldCharType="begin"/>
      </w:r>
      <w:r>
        <w:instrText xml:space="preserve"> HYPERLINK "http://www.fda.gov/regulatory-information/search-fda-guidance-documents/appropriate-use-" \h </w:instrText>
      </w:r>
      <w:r>
        <w:fldChar w:fldCharType="separate"/>
      </w:r>
      <w:r>
        <w:rPr>
          <w:rFonts w:eastAsia="宋体"/>
          <w:color w:val="0000FF"/>
          <w:sz w:val="21"/>
          <w:szCs w:val="21"/>
          <w:u w:val="single" w:color="0000FF"/>
        </w:rPr>
        <w:t>https://www.fda.gov/regulatory-information/search-fda-guidance-documents/appropriate-use- voluntary-consensus-standards-premarket-submissions-medical-devices.</w:t>
      </w:r>
      <w:r>
        <w:rPr>
          <w:rFonts w:eastAsia="宋体"/>
          <w:color w:val="0000FF"/>
          <w:sz w:val="21"/>
          <w:szCs w:val="21"/>
          <w:u w:val="single" w:color="0000FF"/>
        </w:rPr>
        <w:fldChar w:fldCharType="end"/>
      </w:r>
    </w:p>
  </w:footnote>
  <w:footnote w:id="2">
    <w:p w14:paraId="4A0F6277">
      <w:pPr>
        <w:adjustRightInd w:val="0"/>
        <w:snapToGrid w:val="0"/>
        <w:jc w:val="both"/>
        <w:rPr>
          <w:rFonts w:eastAsia="宋体"/>
          <w:sz w:val="21"/>
          <w:szCs w:val="21"/>
          <w:lang w:eastAsia="zh-CN"/>
        </w:rPr>
      </w:pPr>
      <w:r>
        <w:rPr>
          <w:rStyle w:val="13"/>
          <w:rFonts w:eastAsia="宋体"/>
          <w:sz w:val="21"/>
          <w:szCs w:val="21"/>
        </w:rPr>
        <w:footnoteRef/>
      </w:r>
      <w:r>
        <w:rPr>
          <w:rFonts w:eastAsia="宋体"/>
          <w:sz w:val="21"/>
          <w:szCs w:val="21"/>
          <w:lang w:eastAsia="zh-CN"/>
        </w:rPr>
        <w:t>这些分类法规包括</w:t>
      </w:r>
      <w:r>
        <w:rPr>
          <w:rFonts w:eastAsia="宋体"/>
          <w:sz w:val="24"/>
          <w:szCs w:val="24"/>
          <w:lang w:eastAsia="zh-CN"/>
        </w:rPr>
        <w:t xml:space="preserve">21 </w:t>
      </w:r>
      <w:r>
        <w:rPr>
          <w:rFonts w:eastAsia="宋体"/>
          <w:sz w:val="21"/>
          <w:szCs w:val="21"/>
          <w:lang w:eastAsia="zh-CN"/>
        </w:rPr>
        <w:t>CFR</w:t>
      </w:r>
      <w:r>
        <w:rPr>
          <w:rFonts w:hint="eastAsia" w:eastAsia="宋体"/>
          <w:sz w:val="21"/>
          <w:szCs w:val="21"/>
          <w:lang w:eastAsia="zh-CN"/>
        </w:rPr>
        <w:t xml:space="preserve"> </w:t>
      </w:r>
      <w:r>
        <w:rPr>
          <w:rFonts w:eastAsia="宋体"/>
          <w:sz w:val="21"/>
          <w:szCs w:val="21"/>
          <w:lang w:eastAsia="zh-CN"/>
        </w:rPr>
        <w:t>884.6100、884.6110、884.6130、884.6160、884.6165、884.6170、884.6180和884.6195。</w:t>
      </w:r>
    </w:p>
  </w:footnote>
  <w:footnote w:id="3">
    <w:p w14:paraId="03083007">
      <w:pPr>
        <w:adjustRightInd w:val="0"/>
        <w:snapToGrid w:val="0"/>
        <w:jc w:val="both"/>
        <w:rPr>
          <w:rFonts w:eastAsia="宋体"/>
          <w:sz w:val="21"/>
          <w:szCs w:val="21"/>
          <w:lang w:eastAsia="zh-CN"/>
        </w:rPr>
      </w:pPr>
      <w:r>
        <w:rPr>
          <w:rStyle w:val="13"/>
          <w:rFonts w:eastAsia="宋体"/>
          <w:sz w:val="21"/>
          <w:szCs w:val="21"/>
        </w:rPr>
        <w:footnoteRef/>
      </w:r>
      <w:bookmarkStart w:id="0" w:name="_bookmark4"/>
      <w:bookmarkEnd w:id="0"/>
      <w:r>
        <w:rPr>
          <w:rFonts w:eastAsia="宋体"/>
          <w:sz w:val="24"/>
          <w:szCs w:val="24"/>
        </w:rPr>
        <w:fldChar w:fldCharType="begin"/>
      </w:r>
      <w:r>
        <w:rPr>
          <w:rFonts w:eastAsia="宋体"/>
          <w:sz w:val="24"/>
          <w:szCs w:val="24"/>
        </w:rPr>
        <w:instrText xml:space="preserve"> HYPERLINK "https://www.fda.gov/regulatory-information/search-fda-guidance-documents/use-international-standard-iso-10993-1-biological-evaluation-medical-devices-part-1-evaluation-and" \h </w:instrText>
      </w:r>
      <w:r>
        <w:rPr>
          <w:rFonts w:eastAsia="宋体"/>
          <w:sz w:val="24"/>
          <w:szCs w:val="24"/>
        </w:rPr>
        <w:fldChar w:fldCharType="separate"/>
      </w:r>
      <w:r>
        <w:rPr>
          <w:rFonts w:eastAsia="宋体"/>
          <w:color w:val="0000FF"/>
          <w:sz w:val="21"/>
          <w:szCs w:val="21"/>
          <w:u w:val="single" w:color="0000FF"/>
        </w:rPr>
        <w:t>https://www.fda.gov/regulatory-information/search-fda-guidance-documents/use-international-standard-iso-10993-</w:t>
      </w:r>
      <w:r>
        <w:rPr>
          <w:rFonts w:eastAsia="宋体"/>
          <w:color w:val="0000FF"/>
          <w:sz w:val="24"/>
          <w:szCs w:val="24"/>
          <w:u w:val="single" w:color="0000FF"/>
        </w:rPr>
        <w:fldChar w:fldCharType="end"/>
      </w:r>
      <w:r>
        <w:rPr>
          <w:rFonts w:eastAsia="宋体"/>
          <w:color w:val="0000FF"/>
          <w:sz w:val="21"/>
          <w:szCs w:val="21"/>
        </w:rPr>
        <w:t xml:space="preserve"> </w:t>
      </w:r>
      <w:r>
        <w:fldChar w:fldCharType="begin"/>
      </w:r>
      <w:r>
        <w:instrText xml:space="preserve"> HYPERLINK "https://www.fda.gov/regulatory-information/search-fda-guidance-documents/use-international-standard-iso-10993-1-biological-evaluation-medical-devices-part-1-evaluation-and" \h </w:instrText>
      </w:r>
      <w:r>
        <w:fldChar w:fldCharType="separate"/>
      </w:r>
      <w:r>
        <w:rPr>
          <w:rFonts w:eastAsia="宋体"/>
          <w:color w:val="0000FF"/>
          <w:sz w:val="21"/>
          <w:szCs w:val="21"/>
          <w:u w:val="single" w:color="0000FF"/>
        </w:rPr>
        <w:t>1</w:t>
      </w:r>
      <w:bookmarkStart w:id="1" w:name="_bookmark5"/>
      <w:bookmarkEnd w:id="1"/>
      <w:r>
        <w:rPr>
          <w:rFonts w:eastAsia="宋体"/>
          <w:color w:val="0000FF"/>
          <w:sz w:val="21"/>
          <w:szCs w:val="21"/>
          <w:u w:val="single" w:color="0000FF"/>
        </w:rPr>
        <w:t>-biological-evaluation-medical-devices-part-1-evaluation-and</w:t>
      </w:r>
      <w:r>
        <w:rPr>
          <w:rFonts w:eastAsia="宋体"/>
          <w:color w:val="0000FF"/>
          <w:sz w:val="21"/>
          <w:szCs w:val="21"/>
          <w:u w:val="single" w:color="0000FF"/>
        </w:rPr>
        <w:fldChar w:fldCharType="end"/>
      </w:r>
      <w:r>
        <w:rPr>
          <w:rFonts w:eastAsia="宋体"/>
          <w:sz w:val="21"/>
          <w:szCs w:val="21"/>
        </w:rPr>
        <w:t>.</w:t>
      </w:r>
    </w:p>
  </w:footnote>
  <w:footnote w:id="4">
    <w:p w14:paraId="6BD64AE7">
      <w:pPr>
        <w:adjustRightInd w:val="0"/>
        <w:snapToGrid w:val="0"/>
        <w:jc w:val="both"/>
        <w:rPr>
          <w:rFonts w:eastAsia="宋体"/>
          <w:sz w:val="21"/>
          <w:szCs w:val="21"/>
          <w:lang w:eastAsia="zh-CN"/>
        </w:rPr>
      </w:pPr>
      <w:r>
        <w:rPr>
          <w:rStyle w:val="13"/>
          <w:rFonts w:eastAsia="宋体"/>
          <w:sz w:val="21"/>
          <w:szCs w:val="21"/>
        </w:rPr>
        <w:footnoteRef/>
      </w:r>
      <w:r>
        <w:rPr>
          <w:rFonts w:eastAsia="宋体"/>
          <w:sz w:val="21"/>
          <w:szCs w:val="21"/>
        </w:rPr>
        <w:t>510(k)数据库可登录以下网址获取：</w:t>
      </w:r>
      <w:r>
        <w:fldChar w:fldCharType="begin"/>
      </w:r>
      <w:r>
        <w:instrText xml:space="preserve"> HYPERLINK "https://www.accessdata.fda.gov/scripts/cdrh/cfdocs/cfPMN/pmn.cfm" \h </w:instrText>
      </w:r>
      <w:r>
        <w:fldChar w:fldCharType="separate"/>
      </w:r>
      <w:r>
        <w:rPr>
          <w:rFonts w:eastAsia="宋体"/>
          <w:color w:val="0000FF"/>
          <w:sz w:val="21"/>
          <w:szCs w:val="21"/>
          <w:u w:val="single" w:color="0000FF"/>
        </w:rPr>
        <w:t>https://www.accessdata.fda.gov/scripts/cdrh/cfdocs/cfPMN/pmn.cfm.</w:t>
      </w:r>
      <w:r>
        <w:rPr>
          <w:rFonts w:eastAsia="宋体"/>
          <w:color w:val="0000FF"/>
          <w:sz w:val="21"/>
          <w:szCs w:val="21"/>
          <w:u w:val="single" w:color="0000FF"/>
        </w:rPr>
        <w:fldChar w:fldCharType="end"/>
      </w:r>
    </w:p>
  </w:footnote>
  <w:footnote w:id="5">
    <w:p w14:paraId="1B838EBC">
      <w:pPr>
        <w:adjustRightInd w:val="0"/>
        <w:snapToGrid w:val="0"/>
        <w:jc w:val="both"/>
        <w:rPr>
          <w:rFonts w:eastAsia="宋体"/>
          <w:sz w:val="21"/>
          <w:szCs w:val="21"/>
          <w:lang w:eastAsia="zh-CN"/>
        </w:rPr>
      </w:pPr>
      <w:r>
        <w:rPr>
          <w:rStyle w:val="13"/>
          <w:rFonts w:eastAsia="宋体"/>
          <w:sz w:val="21"/>
          <w:szCs w:val="21"/>
        </w:rPr>
        <w:footnoteRef/>
      </w:r>
      <w:r>
        <w:rPr>
          <w:rFonts w:eastAsia="宋体"/>
          <w:sz w:val="21"/>
          <w:szCs w:val="21"/>
        </w:rPr>
        <w:t xml:space="preserve">有关胚胎品系的更多信息，请参见（1）Khan, Zaraq, et al. “Mouse strain and quality control testing: improved sensitivity of the mouse embryo assay with embryos from outbred mice.” </w:t>
      </w:r>
      <w:r>
        <w:rPr>
          <w:rFonts w:eastAsia="宋体"/>
          <w:i/>
          <w:sz w:val="21"/>
          <w:szCs w:val="21"/>
        </w:rPr>
        <w:t xml:space="preserve">Fertility and sterility </w:t>
      </w:r>
      <w:r>
        <w:rPr>
          <w:rFonts w:eastAsia="宋体"/>
          <w:sz w:val="21"/>
          <w:szCs w:val="21"/>
        </w:rPr>
        <w:t>99.3 (2013): 847-854; and (2) Punt–van der Zalm, J. P. E. M., et al. “Toxicity testing of human assisted reproduction devices using the mouse embryo assay.”</w:t>
      </w:r>
      <w:r>
        <w:rPr>
          <w:rFonts w:eastAsia="宋体"/>
          <w:i/>
          <w:sz w:val="21"/>
          <w:szCs w:val="21"/>
        </w:rPr>
        <w:t xml:space="preserve">Reproductive biomedicine online </w:t>
      </w:r>
      <w:r>
        <w:rPr>
          <w:rFonts w:eastAsia="宋体"/>
          <w:sz w:val="21"/>
          <w:szCs w:val="21"/>
        </w:rPr>
        <w:t>18.4 (2009): 529-535.</w:t>
      </w:r>
    </w:p>
  </w:footnote>
  <w:footnote w:id="6">
    <w:p w14:paraId="72F98EC0">
      <w:pPr>
        <w:adjustRightInd w:val="0"/>
        <w:snapToGrid w:val="0"/>
        <w:jc w:val="both"/>
        <w:rPr>
          <w:rFonts w:eastAsia="宋体"/>
          <w:sz w:val="21"/>
          <w:szCs w:val="21"/>
          <w:lang w:eastAsia="zh-CN"/>
        </w:rPr>
      </w:pPr>
      <w:r>
        <w:rPr>
          <w:rStyle w:val="13"/>
          <w:rFonts w:eastAsia="宋体"/>
          <w:sz w:val="21"/>
          <w:szCs w:val="21"/>
        </w:rPr>
        <w:footnoteRef/>
      </w:r>
      <w:r>
        <w:rPr>
          <w:rFonts w:eastAsia="宋体"/>
          <w:sz w:val="21"/>
          <w:szCs w:val="21"/>
          <w:lang w:eastAsia="zh-CN"/>
        </w:rPr>
        <w:t>FDA支持</w:t>
      </w:r>
      <w:r>
        <w:rPr>
          <w:rFonts w:ascii="宋体" w:hAnsi="宋体" w:eastAsia="宋体"/>
          <w:sz w:val="21"/>
          <w:szCs w:val="21"/>
          <w:lang w:eastAsia="zh-CN"/>
        </w:rPr>
        <w:t>“</w:t>
      </w:r>
      <w:r>
        <w:rPr>
          <w:rFonts w:eastAsia="宋体"/>
          <w:sz w:val="21"/>
          <w:szCs w:val="21"/>
          <w:lang w:eastAsia="zh-CN"/>
        </w:rPr>
        <w:t>3R</w:t>
      </w:r>
      <w:r>
        <w:rPr>
          <w:rFonts w:ascii="宋体" w:hAnsi="宋体" w:eastAsia="宋体"/>
          <w:sz w:val="21"/>
          <w:szCs w:val="21"/>
          <w:lang w:eastAsia="zh-CN"/>
        </w:rPr>
        <w:t>”</w:t>
      </w:r>
      <w:r>
        <w:rPr>
          <w:rFonts w:eastAsia="宋体"/>
          <w:sz w:val="21"/>
          <w:szCs w:val="21"/>
          <w:lang w:eastAsia="zh-CN"/>
        </w:rPr>
        <w:t>原则，即在可行情况下减少、改进和取代试验中的动物使用。如果申请方希望使用其认为合适、充分、经确认和可行的非动物试验方法，我局鼓励申请方与我局协商。我局将考虑这种备选方法是否可被评价为等同于动物试验方法。</w:t>
      </w:r>
    </w:p>
  </w:footnote>
  <w:footnote w:id="7">
    <w:p w14:paraId="775996B3">
      <w:pPr>
        <w:adjustRightInd w:val="0"/>
        <w:snapToGrid w:val="0"/>
        <w:jc w:val="both"/>
        <w:rPr>
          <w:rFonts w:eastAsia="宋体"/>
          <w:sz w:val="21"/>
          <w:szCs w:val="21"/>
          <w:lang w:eastAsia="zh-CN"/>
        </w:rPr>
      </w:pPr>
      <w:r>
        <w:rPr>
          <w:rStyle w:val="13"/>
          <w:rFonts w:eastAsia="宋体"/>
          <w:sz w:val="21"/>
          <w:szCs w:val="21"/>
        </w:rPr>
        <w:footnoteRef/>
      </w:r>
      <w:bookmarkStart w:id="2" w:name="_bookmark9"/>
      <w:bookmarkEnd w:id="2"/>
      <w:r>
        <w:rPr>
          <w:rFonts w:eastAsia="宋体"/>
          <w:sz w:val="24"/>
          <w:szCs w:val="24"/>
        </w:rPr>
        <w:fldChar w:fldCharType="begin"/>
      </w:r>
      <w:r>
        <w:rPr>
          <w:rFonts w:eastAsia="宋体"/>
          <w:sz w:val="24"/>
          <w:szCs w:val="24"/>
        </w:rPr>
        <w:instrText xml:space="preserve"> HYPERLINK "https://www.fda.gov/regulatory-information/search-fda-guidance-documents/recommended-content-and-format-non-clinical-bench-performance-testing-information-premarket" \h </w:instrText>
      </w:r>
      <w:r>
        <w:rPr>
          <w:rFonts w:eastAsia="宋体"/>
          <w:sz w:val="24"/>
          <w:szCs w:val="24"/>
        </w:rPr>
        <w:fldChar w:fldCharType="separate"/>
      </w:r>
      <w:r>
        <w:rPr>
          <w:rFonts w:eastAsia="宋体"/>
          <w:color w:val="0000FF"/>
          <w:sz w:val="21"/>
          <w:szCs w:val="21"/>
          <w:u w:val="single" w:color="0000FF"/>
        </w:rPr>
        <w:t>https://www.fda.gov/regulatory-information/search-fda-guidance-documents/recommended-content-and-format-</w:t>
      </w:r>
      <w:r>
        <w:rPr>
          <w:rFonts w:eastAsia="宋体"/>
          <w:color w:val="0000FF"/>
          <w:sz w:val="24"/>
          <w:szCs w:val="24"/>
          <w:u w:val="single" w:color="0000FF"/>
        </w:rPr>
        <w:fldChar w:fldCharType="end"/>
      </w:r>
      <w:r>
        <w:fldChar w:fldCharType="begin"/>
      </w:r>
      <w:r>
        <w:instrText xml:space="preserve"> HYPERLINK "https://www.fda.gov/regulatory-information/search-fda-guidance-documents/recommended-content-and-format-non-clinical-bench-performance-testing-information-premarket" \h </w:instrText>
      </w:r>
      <w:r>
        <w:fldChar w:fldCharType="separate"/>
      </w:r>
      <w:r>
        <w:rPr>
          <w:rFonts w:eastAsia="宋体"/>
          <w:color w:val="0000FF"/>
          <w:sz w:val="21"/>
          <w:szCs w:val="21"/>
          <w:u w:val="single" w:color="0000FF"/>
        </w:rPr>
        <w:t>non-clinical-bench-performance-testing-information-premarket</w:t>
      </w:r>
      <w:r>
        <w:rPr>
          <w:rFonts w:eastAsia="宋体"/>
          <w:color w:val="0000FF"/>
          <w:sz w:val="21"/>
          <w:szCs w:val="21"/>
          <w:u w:val="single" w:color="0000FF"/>
        </w:rPr>
        <w:fldChar w:fldCharType="end"/>
      </w:r>
      <w:r>
        <w:rPr>
          <w:rFonts w:eastAsia="宋体"/>
          <w:sz w:val="21"/>
          <w:szCs w:val="21"/>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FFAB7">
    <w:pPr>
      <w:pStyle w:val="16"/>
      <w:jc w:val="center"/>
      <w:rPr>
        <w:sz w:val="21"/>
        <w:szCs w:val="18"/>
      </w:rPr>
    </w:pPr>
    <w:r>
      <w:rPr>
        <w:rFonts w:hint="eastAsia" w:eastAsia="宋体" w:cs="宋体"/>
        <w:b/>
        <w:i/>
        <w:sz w:val="21"/>
        <w:szCs w:val="18"/>
      </w:rPr>
      <w:t>所含建议不具约束力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817BC6"/>
    <w:multiLevelType w:val="multilevel"/>
    <w:tmpl w:val="08817BC6"/>
    <w:lvl w:ilvl="0" w:tentative="0">
      <w:start w:val="1"/>
      <w:numFmt w:val="upperRoman"/>
      <w:lvlText w:val="%1."/>
      <w:lvlJc w:val="left"/>
      <w:pPr>
        <w:ind w:left="960" w:hanging="720"/>
      </w:pPr>
      <w:rPr>
        <w:rFonts w:hint="default" w:ascii="Times New Roman" w:hAnsi="Times New Roman" w:eastAsia="Times New Roman" w:cs="Times New Roman"/>
        <w:b/>
        <w:bCs/>
        <w:spacing w:val="0"/>
        <w:w w:val="100"/>
        <w:sz w:val="32"/>
        <w:szCs w:val="32"/>
        <w:lang w:val="en-US" w:eastAsia="en-US" w:bidi="en-US"/>
      </w:rPr>
    </w:lvl>
    <w:lvl w:ilvl="1" w:tentative="0">
      <w:start w:val="1"/>
      <w:numFmt w:val="upperLetter"/>
      <w:lvlText w:val="%2."/>
      <w:lvlJc w:val="left"/>
      <w:pPr>
        <w:ind w:left="1680" w:hanging="720"/>
      </w:pPr>
      <w:rPr>
        <w:rFonts w:hint="default" w:ascii="Times New Roman" w:hAnsi="Times New Roman" w:eastAsia="Times New Roman" w:cs="Times New Roman"/>
        <w:b/>
        <w:bCs/>
        <w:spacing w:val="0"/>
        <w:w w:val="100"/>
        <w:sz w:val="28"/>
        <w:szCs w:val="28"/>
        <w:lang w:val="en-US" w:eastAsia="en-US" w:bidi="en-US"/>
      </w:rPr>
    </w:lvl>
    <w:lvl w:ilvl="2" w:tentative="0">
      <w:start w:val="1"/>
      <w:numFmt w:val="decimal"/>
      <w:lvlText w:val="(%3)"/>
      <w:lvlJc w:val="left"/>
      <w:pPr>
        <w:ind w:left="2227" w:hanging="548"/>
      </w:pPr>
      <w:rPr>
        <w:rFonts w:hint="default" w:ascii="Times New Roman" w:hAnsi="Times New Roman" w:eastAsia="Times New Roman" w:cs="Times New Roman"/>
        <w:b/>
        <w:bCs/>
        <w:spacing w:val="0"/>
        <w:w w:val="100"/>
        <w:sz w:val="24"/>
        <w:szCs w:val="24"/>
        <w:lang w:val="en-US" w:eastAsia="en-US" w:bidi="en-US"/>
      </w:rPr>
    </w:lvl>
    <w:lvl w:ilvl="3" w:tentative="0">
      <w:start w:val="0"/>
      <w:numFmt w:val="bullet"/>
      <w:lvlText w:val="•"/>
      <w:lvlJc w:val="left"/>
      <w:pPr>
        <w:ind w:left="3172" w:hanging="548"/>
      </w:pPr>
      <w:rPr>
        <w:rFonts w:hint="default"/>
        <w:lang w:val="en-US" w:eastAsia="en-US" w:bidi="en-US"/>
      </w:rPr>
    </w:lvl>
    <w:lvl w:ilvl="4" w:tentative="0">
      <w:start w:val="0"/>
      <w:numFmt w:val="bullet"/>
      <w:lvlText w:val="•"/>
      <w:lvlJc w:val="left"/>
      <w:pPr>
        <w:ind w:left="4125" w:hanging="548"/>
      </w:pPr>
      <w:rPr>
        <w:rFonts w:hint="default"/>
        <w:lang w:val="en-US" w:eastAsia="en-US" w:bidi="en-US"/>
      </w:rPr>
    </w:lvl>
    <w:lvl w:ilvl="5" w:tentative="0">
      <w:start w:val="0"/>
      <w:numFmt w:val="bullet"/>
      <w:lvlText w:val="•"/>
      <w:lvlJc w:val="left"/>
      <w:pPr>
        <w:ind w:left="5077" w:hanging="548"/>
      </w:pPr>
      <w:rPr>
        <w:rFonts w:hint="default"/>
        <w:lang w:val="en-US" w:eastAsia="en-US" w:bidi="en-US"/>
      </w:rPr>
    </w:lvl>
    <w:lvl w:ilvl="6" w:tentative="0">
      <w:start w:val="0"/>
      <w:numFmt w:val="bullet"/>
      <w:lvlText w:val="•"/>
      <w:lvlJc w:val="left"/>
      <w:pPr>
        <w:ind w:left="6030" w:hanging="548"/>
      </w:pPr>
      <w:rPr>
        <w:rFonts w:hint="default"/>
        <w:lang w:val="en-US" w:eastAsia="en-US" w:bidi="en-US"/>
      </w:rPr>
    </w:lvl>
    <w:lvl w:ilvl="7" w:tentative="0">
      <w:start w:val="0"/>
      <w:numFmt w:val="bullet"/>
      <w:lvlText w:val="•"/>
      <w:lvlJc w:val="left"/>
      <w:pPr>
        <w:ind w:left="6982" w:hanging="548"/>
      </w:pPr>
      <w:rPr>
        <w:rFonts w:hint="default"/>
        <w:lang w:val="en-US" w:eastAsia="en-US" w:bidi="en-US"/>
      </w:rPr>
    </w:lvl>
    <w:lvl w:ilvl="8" w:tentative="0">
      <w:start w:val="0"/>
      <w:numFmt w:val="bullet"/>
      <w:lvlText w:val="•"/>
      <w:lvlJc w:val="left"/>
      <w:pPr>
        <w:ind w:left="7935" w:hanging="548"/>
      </w:pPr>
      <w:rPr>
        <w:rFonts w:hint="default"/>
        <w:lang w:val="en-US" w:eastAsia="en-US" w:bidi="en-US"/>
      </w:rPr>
    </w:lvl>
  </w:abstractNum>
  <w:abstractNum w:abstractNumId="1">
    <w:nsid w:val="1DDF26D0"/>
    <w:multiLevelType w:val="multilevel"/>
    <w:tmpl w:val="1DDF26D0"/>
    <w:lvl w:ilvl="0" w:tentative="0">
      <w:start w:val="1"/>
      <w:numFmt w:val="decimal"/>
      <w:lvlText w:val="%1."/>
      <w:lvlJc w:val="left"/>
      <w:pPr>
        <w:ind w:left="1680" w:hanging="360"/>
      </w:pPr>
      <w:rPr>
        <w:rFonts w:hint="default" w:ascii="Times New Roman" w:hAnsi="Times New Roman" w:eastAsia="Times New Roman" w:cs="Times New Roman"/>
        <w:spacing w:val="0"/>
        <w:w w:val="100"/>
        <w:sz w:val="24"/>
        <w:szCs w:val="24"/>
        <w:lang w:val="en-US" w:eastAsia="en-US" w:bidi="en-US"/>
      </w:rPr>
    </w:lvl>
    <w:lvl w:ilvl="1" w:tentative="0">
      <w:start w:val="0"/>
      <w:numFmt w:val="bullet"/>
      <w:lvlText w:val="•"/>
      <w:lvlJc w:val="left"/>
      <w:pPr>
        <w:ind w:left="2568" w:hanging="360"/>
      </w:pPr>
      <w:rPr>
        <w:rFonts w:hint="default"/>
        <w:lang w:val="en-US" w:eastAsia="en-US" w:bidi="en-US"/>
      </w:rPr>
    </w:lvl>
    <w:lvl w:ilvl="2" w:tentative="0">
      <w:start w:val="0"/>
      <w:numFmt w:val="bullet"/>
      <w:lvlText w:val="•"/>
      <w:lvlJc w:val="left"/>
      <w:pPr>
        <w:ind w:left="3456" w:hanging="360"/>
      </w:pPr>
      <w:rPr>
        <w:rFonts w:hint="default"/>
        <w:lang w:val="en-US" w:eastAsia="en-US" w:bidi="en-US"/>
      </w:rPr>
    </w:lvl>
    <w:lvl w:ilvl="3" w:tentative="0">
      <w:start w:val="0"/>
      <w:numFmt w:val="bullet"/>
      <w:lvlText w:val="•"/>
      <w:lvlJc w:val="left"/>
      <w:pPr>
        <w:ind w:left="4344" w:hanging="360"/>
      </w:pPr>
      <w:rPr>
        <w:rFonts w:hint="default"/>
        <w:lang w:val="en-US" w:eastAsia="en-US" w:bidi="en-US"/>
      </w:rPr>
    </w:lvl>
    <w:lvl w:ilvl="4" w:tentative="0">
      <w:start w:val="0"/>
      <w:numFmt w:val="bullet"/>
      <w:lvlText w:val="•"/>
      <w:lvlJc w:val="left"/>
      <w:pPr>
        <w:ind w:left="5232" w:hanging="360"/>
      </w:pPr>
      <w:rPr>
        <w:rFonts w:hint="default"/>
        <w:lang w:val="en-US" w:eastAsia="en-US" w:bidi="en-US"/>
      </w:rPr>
    </w:lvl>
    <w:lvl w:ilvl="5" w:tentative="0">
      <w:start w:val="0"/>
      <w:numFmt w:val="bullet"/>
      <w:lvlText w:val="•"/>
      <w:lvlJc w:val="left"/>
      <w:pPr>
        <w:ind w:left="6120" w:hanging="360"/>
      </w:pPr>
      <w:rPr>
        <w:rFonts w:hint="default"/>
        <w:lang w:val="en-US" w:eastAsia="en-US" w:bidi="en-US"/>
      </w:rPr>
    </w:lvl>
    <w:lvl w:ilvl="6" w:tentative="0">
      <w:start w:val="0"/>
      <w:numFmt w:val="bullet"/>
      <w:lvlText w:val="•"/>
      <w:lvlJc w:val="left"/>
      <w:pPr>
        <w:ind w:left="7008" w:hanging="360"/>
      </w:pPr>
      <w:rPr>
        <w:rFonts w:hint="default"/>
        <w:lang w:val="en-US" w:eastAsia="en-US" w:bidi="en-US"/>
      </w:rPr>
    </w:lvl>
    <w:lvl w:ilvl="7" w:tentative="0">
      <w:start w:val="0"/>
      <w:numFmt w:val="bullet"/>
      <w:lvlText w:val="•"/>
      <w:lvlJc w:val="left"/>
      <w:pPr>
        <w:ind w:left="7896" w:hanging="360"/>
      </w:pPr>
      <w:rPr>
        <w:rFonts w:hint="default"/>
        <w:lang w:val="en-US" w:eastAsia="en-US" w:bidi="en-US"/>
      </w:rPr>
    </w:lvl>
    <w:lvl w:ilvl="8" w:tentative="0">
      <w:start w:val="0"/>
      <w:numFmt w:val="bullet"/>
      <w:lvlText w:val="•"/>
      <w:lvlJc w:val="left"/>
      <w:pPr>
        <w:ind w:left="8784" w:hanging="360"/>
      </w:pPr>
      <w:rPr>
        <w:rFonts w:hint="default"/>
        <w:lang w:val="en-US" w:eastAsia="en-US" w:bidi="en-US"/>
      </w:rPr>
    </w:lvl>
  </w:abstractNum>
  <w:abstractNum w:abstractNumId="2">
    <w:nsid w:val="40827156"/>
    <w:multiLevelType w:val="multilevel"/>
    <w:tmpl w:val="40827156"/>
    <w:lvl w:ilvl="0" w:tentative="0">
      <w:start w:val="1"/>
      <w:numFmt w:val="decimal"/>
      <w:lvlText w:val="%1."/>
      <w:lvlJc w:val="left"/>
      <w:pPr>
        <w:ind w:left="960" w:hanging="360"/>
      </w:pPr>
      <w:rPr>
        <w:rFonts w:hint="default" w:ascii="Times New Roman" w:hAnsi="Times New Roman" w:eastAsia="Times New Roman" w:cs="Times New Roman"/>
        <w:spacing w:val="-2"/>
        <w:w w:val="100"/>
        <w:sz w:val="24"/>
        <w:szCs w:val="24"/>
        <w:lang w:val="en-US" w:eastAsia="en-US" w:bidi="en-US"/>
      </w:rPr>
    </w:lvl>
    <w:lvl w:ilvl="1" w:tentative="0">
      <w:start w:val="1"/>
      <w:numFmt w:val="bullet"/>
      <w:lvlText w:val=""/>
      <w:lvlJc w:val="left"/>
      <w:pPr>
        <w:ind w:left="1320" w:hanging="360"/>
      </w:pPr>
      <w:rPr>
        <w:rFonts w:hint="default" w:ascii="Wingdings" w:hAnsi="Wingdings"/>
        <w:w w:val="100"/>
        <w:sz w:val="24"/>
        <w:szCs w:val="24"/>
        <w:lang w:val="en-US" w:eastAsia="en-US" w:bidi="en-US"/>
      </w:rPr>
    </w:lvl>
    <w:lvl w:ilvl="2" w:tentative="0">
      <w:start w:val="0"/>
      <w:numFmt w:val="bullet"/>
      <w:lvlText w:val="•"/>
      <w:lvlJc w:val="left"/>
      <w:pPr>
        <w:ind w:left="2266" w:hanging="360"/>
      </w:pPr>
      <w:rPr>
        <w:rFonts w:hint="default"/>
        <w:lang w:val="en-US" w:eastAsia="en-US" w:bidi="en-US"/>
      </w:rPr>
    </w:lvl>
    <w:lvl w:ilvl="3" w:tentative="0">
      <w:start w:val="0"/>
      <w:numFmt w:val="bullet"/>
      <w:lvlText w:val="•"/>
      <w:lvlJc w:val="left"/>
      <w:pPr>
        <w:ind w:left="3213" w:hanging="360"/>
      </w:pPr>
      <w:rPr>
        <w:rFonts w:hint="default"/>
        <w:lang w:val="en-US" w:eastAsia="en-US" w:bidi="en-US"/>
      </w:rPr>
    </w:lvl>
    <w:lvl w:ilvl="4" w:tentative="0">
      <w:start w:val="0"/>
      <w:numFmt w:val="bullet"/>
      <w:lvlText w:val="•"/>
      <w:lvlJc w:val="left"/>
      <w:pPr>
        <w:ind w:left="4160" w:hanging="360"/>
      </w:pPr>
      <w:rPr>
        <w:rFonts w:hint="default"/>
        <w:lang w:val="en-US" w:eastAsia="en-US" w:bidi="en-US"/>
      </w:rPr>
    </w:lvl>
    <w:lvl w:ilvl="5" w:tentative="0">
      <w:start w:val="0"/>
      <w:numFmt w:val="bullet"/>
      <w:lvlText w:val="•"/>
      <w:lvlJc w:val="left"/>
      <w:pPr>
        <w:ind w:left="5106" w:hanging="360"/>
      </w:pPr>
      <w:rPr>
        <w:rFonts w:hint="default"/>
        <w:lang w:val="en-US" w:eastAsia="en-US" w:bidi="en-US"/>
      </w:rPr>
    </w:lvl>
    <w:lvl w:ilvl="6" w:tentative="0">
      <w:start w:val="0"/>
      <w:numFmt w:val="bullet"/>
      <w:lvlText w:val="•"/>
      <w:lvlJc w:val="left"/>
      <w:pPr>
        <w:ind w:left="6053" w:hanging="360"/>
      </w:pPr>
      <w:rPr>
        <w:rFonts w:hint="default"/>
        <w:lang w:val="en-US" w:eastAsia="en-US" w:bidi="en-US"/>
      </w:rPr>
    </w:lvl>
    <w:lvl w:ilvl="7" w:tentative="0">
      <w:start w:val="0"/>
      <w:numFmt w:val="bullet"/>
      <w:lvlText w:val="•"/>
      <w:lvlJc w:val="left"/>
      <w:pPr>
        <w:ind w:left="7000" w:hanging="360"/>
      </w:pPr>
      <w:rPr>
        <w:rFonts w:hint="default"/>
        <w:lang w:val="en-US" w:eastAsia="en-US" w:bidi="en-US"/>
      </w:rPr>
    </w:lvl>
    <w:lvl w:ilvl="8" w:tentative="0">
      <w:start w:val="0"/>
      <w:numFmt w:val="bullet"/>
      <w:lvlText w:val="•"/>
      <w:lvlJc w:val="left"/>
      <w:pPr>
        <w:ind w:left="7946" w:hanging="360"/>
      </w:pPr>
      <w:rPr>
        <w:rFonts w:hint="default"/>
        <w:lang w:val="en-US" w:eastAsia="en-US" w:bidi="en-US"/>
      </w:rPr>
    </w:lvl>
  </w:abstractNum>
  <w:abstractNum w:abstractNumId="3">
    <w:nsid w:val="425156DC"/>
    <w:multiLevelType w:val="multilevel"/>
    <w:tmpl w:val="425156DC"/>
    <w:lvl w:ilvl="0" w:tentative="0">
      <w:start w:val="1"/>
      <w:numFmt w:val="decimal"/>
      <w:lvlText w:val="%1."/>
      <w:lvlJc w:val="left"/>
      <w:pPr>
        <w:ind w:left="420" w:hanging="420"/>
      </w:pPr>
      <w:rPr>
        <w:rFonts w:hint="default" w:ascii="Times New Roman" w:hAnsi="Times New Roman" w:eastAsia="Times New Roman" w:cs="Times New Roman"/>
        <w:spacing w:val="0"/>
        <w:w w:val="100"/>
        <w:sz w:val="24"/>
        <w:szCs w:val="24"/>
        <w:lang w:val="en-US" w:eastAsia="en-US" w:bidi="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5E05640"/>
    <w:multiLevelType w:val="multilevel"/>
    <w:tmpl w:val="45E05640"/>
    <w:lvl w:ilvl="0" w:tentative="0">
      <w:start w:val="1"/>
      <w:numFmt w:val="decimal"/>
      <w:lvlText w:val="%1."/>
      <w:lvlJc w:val="left"/>
      <w:pPr>
        <w:ind w:left="960" w:hanging="360"/>
      </w:pPr>
      <w:rPr>
        <w:rFonts w:hint="default" w:ascii="Times New Roman" w:hAnsi="Times New Roman" w:eastAsia="Times New Roman" w:cs="Times New Roman"/>
        <w:spacing w:val="-2"/>
        <w:w w:val="100"/>
        <w:sz w:val="24"/>
        <w:szCs w:val="24"/>
        <w:lang w:val="en-US" w:eastAsia="en-US" w:bidi="en-US"/>
      </w:rPr>
    </w:lvl>
    <w:lvl w:ilvl="1" w:tentative="0">
      <w:start w:val="1"/>
      <w:numFmt w:val="bullet"/>
      <w:lvlText w:val=""/>
      <w:lvlJc w:val="left"/>
      <w:pPr>
        <w:ind w:left="1320" w:hanging="360"/>
      </w:pPr>
      <w:rPr>
        <w:rFonts w:hint="default" w:ascii="Wingdings" w:hAnsi="Wingdings"/>
        <w:w w:val="100"/>
        <w:sz w:val="24"/>
        <w:szCs w:val="24"/>
        <w:lang w:val="en-US" w:eastAsia="en-US" w:bidi="en-US"/>
      </w:rPr>
    </w:lvl>
    <w:lvl w:ilvl="2" w:tentative="0">
      <w:start w:val="0"/>
      <w:numFmt w:val="bullet"/>
      <w:lvlText w:val="•"/>
      <w:lvlJc w:val="left"/>
      <w:pPr>
        <w:ind w:left="2266" w:hanging="360"/>
      </w:pPr>
      <w:rPr>
        <w:rFonts w:hint="default"/>
        <w:lang w:val="en-US" w:eastAsia="en-US" w:bidi="en-US"/>
      </w:rPr>
    </w:lvl>
    <w:lvl w:ilvl="3" w:tentative="0">
      <w:start w:val="0"/>
      <w:numFmt w:val="bullet"/>
      <w:lvlText w:val="•"/>
      <w:lvlJc w:val="left"/>
      <w:pPr>
        <w:ind w:left="3213" w:hanging="360"/>
      </w:pPr>
      <w:rPr>
        <w:rFonts w:hint="default"/>
        <w:lang w:val="en-US" w:eastAsia="en-US" w:bidi="en-US"/>
      </w:rPr>
    </w:lvl>
    <w:lvl w:ilvl="4" w:tentative="0">
      <w:start w:val="0"/>
      <w:numFmt w:val="bullet"/>
      <w:lvlText w:val="•"/>
      <w:lvlJc w:val="left"/>
      <w:pPr>
        <w:ind w:left="4160" w:hanging="360"/>
      </w:pPr>
      <w:rPr>
        <w:rFonts w:hint="default"/>
        <w:lang w:val="en-US" w:eastAsia="en-US" w:bidi="en-US"/>
      </w:rPr>
    </w:lvl>
    <w:lvl w:ilvl="5" w:tentative="0">
      <w:start w:val="0"/>
      <w:numFmt w:val="bullet"/>
      <w:lvlText w:val="•"/>
      <w:lvlJc w:val="left"/>
      <w:pPr>
        <w:ind w:left="5106" w:hanging="360"/>
      </w:pPr>
      <w:rPr>
        <w:rFonts w:hint="default"/>
        <w:lang w:val="en-US" w:eastAsia="en-US" w:bidi="en-US"/>
      </w:rPr>
    </w:lvl>
    <w:lvl w:ilvl="6" w:tentative="0">
      <w:start w:val="0"/>
      <w:numFmt w:val="bullet"/>
      <w:lvlText w:val="•"/>
      <w:lvlJc w:val="left"/>
      <w:pPr>
        <w:ind w:left="6053" w:hanging="360"/>
      </w:pPr>
      <w:rPr>
        <w:rFonts w:hint="default"/>
        <w:lang w:val="en-US" w:eastAsia="en-US" w:bidi="en-US"/>
      </w:rPr>
    </w:lvl>
    <w:lvl w:ilvl="7" w:tentative="0">
      <w:start w:val="0"/>
      <w:numFmt w:val="bullet"/>
      <w:lvlText w:val="•"/>
      <w:lvlJc w:val="left"/>
      <w:pPr>
        <w:ind w:left="7000" w:hanging="360"/>
      </w:pPr>
      <w:rPr>
        <w:rFonts w:hint="default"/>
        <w:lang w:val="en-US" w:eastAsia="en-US" w:bidi="en-US"/>
      </w:rPr>
    </w:lvl>
    <w:lvl w:ilvl="8" w:tentative="0">
      <w:start w:val="0"/>
      <w:numFmt w:val="bullet"/>
      <w:lvlText w:val="•"/>
      <w:lvlJc w:val="left"/>
      <w:pPr>
        <w:ind w:left="7946" w:hanging="360"/>
      </w:pPr>
      <w:rPr>
        <w:rFonts w:hint="default"/>
        <w:lang w:val="en-US" w:eastAsia="en-US" w:bidi="en-US"/>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drawingGridVerticalSpacing w:val="182"/>
  <w:displayHorizontalDrawingGridEvery w:val="2"/>
  <w:displayVerticalDrawingGridEvery w:val="2"/>
  <w:characterSpacingControl w:val="doNotCompress"/>
  <w:footnotePr>
    <w:footnote w:id="16"/>
    <w:footnote w:id="17"/>
  </w:foot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F40"/>
    <w:rsid w:val="0005235D"/>
    <w:rsid w:val="00062F40"/>
    <w:rsid w:val="000B7F8F"/>
    <w:rsid w:val="000C457F"/>
    <w:rsid w:val="000E7AAB"/>
    <w:rsid w:val="001764BD"/>
    <w:rsid w:val="001A0E70"/>
    <w:rsid w:val="001C7ABD"/>
    <w:rsid w:val="001E48A9"/>
    <w:rsid w:val="00212B59"/>
    <w:rsid w:val="00236DE7"/>
    <w:rsid w:val="00244E8D"/>
    <w:rsid w:val="0027550E"/>
    <w:rsid w:val="00290DAD"/>
    <w:rsid w:val="002A2EFF"/>
    <w:rsid w:val="002A7D41"/>
    <w:rsid w:val="003037E1"/>
    <w:rsid w:val="00342004"/>
    <w:rsid w:val="003B5B92"/>
    <w:rsid w:val="003F0735"/>
    <w:rsid w:val="003F13C4"/>
    <w:rsid w:val="00402C9D"/>
    <w:rsid w:val="004A715A"/>
    <w:rsid w:val="004B3FBB"/>
    <w:rsid w:val="0050284B"/>
    <w:rsid w:val="005367AC"/>
    <w:rsid w:val="005620E7"/>
    <w:rsid w:val="005E4FBC"/>
    <w:rsid w:val="005F0012"/>
    <w:rsid w:val="00625F86"/>
    <w:rsid w:val="00681CF1"/>
    <w:rsid w:val="006B77FA"/>
    <w:rsid w:val="006D247B"/>
    <w:rsid w:val="00717E09"/>
    <w:rsid w:val="0076138D"/>
    <w:rsid w:val="0089733B"/>
    <w:rsid w:val="008B632C"/>
    <w:rsid w:val="009317DE"/>
    <w:rsid w:val="009515EE"/>
    <w:rsid w:val="0097298A"/>
    <w:rsid w:val="009870DE"/>
    <w:rsid w:val="009A540C"/>
    <w:rsid w:val="009C5D48"/>
    <w:rsid w:val="00A1492F"/>
    <w:rsid w:val="00A14A3A"/>
    <w:rsid w:val="00A16111"/>
    <w:rsid w:val="00A928D5"/>
    <w:rsid w:val="00AE1947"/>
    <w:rsid w:val="00AE4869"/>
    <w:rsid w:val="00B853EC"/>
    <w:rsid w:val="00B92DFE"/>
    <w:rsid w:val="00BB2744"/>
    <w:rsid w:val="00BC55D1"/>
    <w:rsid w:val="00C11B8F"/>
    <w:rsid w:val="00C61F1D"/>
    <w:rsid w:val="00C700A0"/>
    <w:rsid w:val="00CA127B"/>
    <w:rsid w:val="00D74CC9"/>
    <w:rsid w:val="00D767F6"/>
    <w:rsid w:val="00D9145A"/>
    <w:rsid w:val="00DA145C"/>
    <w:rsid w:val="00DF3376"/>
    <w:rsid w:val="00E6364C"/>
    <w:rsid w:val="00EC61F9"/>
    <w:rsid w:val="00F1491F"/>
    <w:rsid w:val="00F61451"/>
    <w:rsid w:val="00F61A81"/>
    <w:rsid w:val="00F672EB"/>
    <w:rsid w:val="00FC6A18"/>
    <w:rsid w:val="00FD46EF"/>
    <w:rsid w:val="00FE5CCC"/>
    <w:rsid w:val="61CF593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en-US" w:eastAsia="en-US" w:bidi="en-US"/>
    </w:rPr>
  </w:style>
  <w:style w:type="paragraph" w:styleId="2">
    <w:name w:val="heading 1"/>
    <w:basedOn w:val="1"/>
    <w:qFormat/>
    <w:uiPriority w:val="1"/>
    <w:pPr>
      <w:ind w:left="547" w:right="529" w:firstLine="1159"/>
      <w:outlineLvl w:val="0"/>
    </w:pPr>
    <w:rPr>
      <w:b/>
      <w:bCs/>
      <w:sz w:val="56"/>
      <w:szCs w:val="56"/>
    </w:rPr>
  </w:style>
  <w:style w:type="paragraph" w:styleId="3">
    <w:name w:val="heading 2"/>
    <w:basedOn w:val="1"/>
    <w:link w:val="19"/>
    <w:qFormat/>
    <w:uiPriority w:val="1"/>
    <w:pPr>
      <w:ind w:left="960" w:hanging="720"/>
      <w:outlineLvl w:val="1"/>
    </w:pPr>
    <w:rPr>
      <w:b/>
      <w:bCs/>
      <w:sz w:val="36"/>
      <w:szCs w:val="36"/>
    </w:rPr>
  </w:style>
  <w:style w:type="paragraph" w:styleId="4">
    <w:name w:val="heading 3"/>
    <w:basedOn w:val="1"/>
    <w:qFormat/>
    <w:uiPriority w:val="1"/>
    <w:pPr>
      <w:ind w:left="1680" w:hanging="720"/>
      <w:outlineLvl w:val="2"/>
    </w:pPr>
    <w:rPr>
      <w:b/>
      <w:bCs/>
      <w:sz w:val="32"/>
      <w:szCs w:val="32"/>
    </w:rPr>
  </w:style>
  <w:style w:type="paragraph" w:styleId="5">
    <w:name w:val="heading 4"/>
    <w:basedOn w:val="1"/>
    <w:qFormat/>
    <w:uiPriority w:val="1"/>
    <w:pPr>
      <w:spacing w:before="1"/>
      <w:ind w:left="2227" w:hanging="547"/>
      <w:outlineLvl w:val="3"/>
    </w:pPr>
    <w:rPr>
      <w:b/>
      <w:bCs/>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8"/>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link w:val="21"/>
    <w:semiHidden/>
    <w:unhideWhenUsed/>
    <w:qFormat/>
    <w:uiPriority w:val="99"/>
    <w:pPr>
      <w:snapToGrid w:val="0"/>
    </w:pPr>
    <w:rPr>
      <w:sz w:val="18"/>
      <w:szCs w:val="18"/>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otnote reference"/>
    <w:basedOn w:val="12"/>
    <w:semiHidden/>
    <w:unhideWhenUsed/>
    <w:qFormat/>
    <w:uiPriority w:val="99"/>
    <w:rPr>
      <w:vertAlign w:val="superscript"/>
    </w:rPr>
  </w:style>
  <w:style w:type="character" w:customStyle="1" w:styleId="14">
    <w:name w:val="页眉 Char"/>
    <w:basedOn w:val="12"/>
    <w:link w:val="8"/>
    <w:qFormat/>
    <w:uiPriority w:val="99"/>
    <w:rPr>
      <w:rFonts w:ascii="Times New Roman" w:hAnsi="Times New Roman" w:eastAsia="Times New Roman" w:cs="Times New Roman"/>
      <w:sz w:val="18"/>
      <w:szCs w:val="18"/>
      <w:lang w:bidi="en-US"/>
    </w:rPr>
  </w:style>
  <w:style w:type="character" w:customStyle="1" w:styleId="15">
    <w:name w:val="页脚 Char"/>
    <w:basedOn w:val="12"/>
    <w:link w:val="7"/>
    <w:qFormat/>
    <w:uiPriority w:val="99"/>
    <w:rPr>
      <w:rFonts w:ascii="Times New Roman" w:hAnsi="Times New Roman" w:eastAsia="Times New Roman" w:cs="Times New Roman"/>
      <w:sz w:val="18"/>
      <w:szCs w:val="18"/>
      <w:lang w:bidi="en-US"/>
    </w:rPr>
  </w:style>
  <w:style w:type="paragraph" w:customStyle="1" w:styleId="16">
    <w:name w:val="Default"/>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en-US" w:bidi="ar-SA"/>
    </w:rPr>
  </w:style>
  <w:style w:type="paragraph" w:styleId="17">
    <w:name w:val="List Paragraph"/>
    <w:basedOn w:val="1"/>
    <w:qFormat/>
    <w:uiPriority w:val="34"/>
    <w:pPr>
      <w:ind w:firstLine="420" w:firstLineChars="200"/>
    </w:pPr>
  </w:style>
  <w:style w:type="character" w:customStyle="1" w:styleId="18">
    <w:name w:val="批注框文本 Char"/>
    <w:basedOn w:val="12"/>
    <w:link w:val="6"/>
    <w:semiHidden/>
    <w:qFormat/>
    <w:uiPriority w:val="99"/>
    <w:rPr>
      <w:rFonts w:ascii="Times New Roman" w:hAnsi="Times New Roman" w:eastAsia="Times New Roman" w:cs="Times New Roman"/>
      <w:sz w:val="18"/>
      <w:szCs w:val="18"/>
      <w:lang w:bidi="en-US"/>
    </w:rPr>
  </w:style>
  <w:style w:type="character" w:customStyle="1" w:styleId="19">
    <w:name w:val="标题 2 Char"/>
    <w:basedOn w:val="12"/>
    <w:link w:val="3"/>
    <w:qFormat/>
    <w:uiPriority w:val="1"/>
    <w:rPr>
      <w:rFonts w:ascii="Times New Roman" w:hAnsi="Times New Roman" w:eastAsia="Times New Roman" w:cs="Times New Roman"/>
      <w:b/>
      <w:bCs/>
      <w:sz w:val="36"/>
      <w:szCs w:val="36"/>
      <w:lang w:bidi="en-US"/>
    </w:rPr>
  </w:style>
  <w:style w:type="paragraph" w:customStyle="1" w:styleId="20">
    <w:name w:val="Revision"/>
    <w:hidden/>
    <w:semiHidden/>
    <w:qFormat/>
    <w:uiPriority w:val="99"/>
    <w:pPr>
      <w:widowControl/>
      <w:autoSpaceDE/>
      <w:autoSpaceDN/>
    </w:pPr>
    <w:rPr>
      <w:rFonts w:ascii="Times New Roman" w:hAnsi="Times New Roman" w:eastAsia="Times New Roman" w:cs="Times New Roman"/>
      <w:sz w:val="22"/>
      <w:szCs w:val="22"/>
      <w:lang w:val="en-US" w:eastAsia="en-US" w:bidi="en-US"/>
    </w:rPr>
  </w:style>
  <w:style w:type="character" w:customStyle="1" w:styleId="21">
    <w:name w:val="脚注文本 Char"/>
    <w:basedOn w:val="12"/>
    <w:link w:val="9"/>
    <w:semiHidden/>
    <w:qFormat/>
    <w:uiPriority w:val="99"/>
    <w:rPr>
      <w:rFonts w:ascii="Times New Roman" w:hAnsi="Times New Roman" w:eastAsia="Times New Roman" w:cs="Times New Roman"/>
      <w:sz w:val="18"/>
      <w:szCs w:val="18"/>
      <w:lang w:bidi="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4170A-A319-468B-AB55-4152DA6E59BC}">
  <ds:schemaRefs/>
</ds:datastoreItem>
</file>

<file path=docProps/app.xml><?xml version="1.0" encoding="utf-8"?>
<Properties xmlns="http://schemas.openxmlformats.org/officeDocument/2006/extended-properties" xmlns:vt="http://schemas.openxmlformats.org/officeDocument/2006/docPropsVTypes">
  <Template>Normal</Template>
  <Company>DESKTOP-</Company>
  <Pages>8</Pages>
  <Words>3380</Words>
  <Characters>3824</Characters>
  <Lines>31</Lines>
  <Paragraphs>8</Paragraphs>
  <TotalTime>6</TotalTime>
  <ScaleCrop>false</ScaleCrop>
  <LinksUpToDate>false</LinksUpToDate>
  <CharactersWithSpaces>3851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2022-03-11T06:41:00Z</dcterms:created>
  <dc:creator>CDRH</dc:creator>
  <cp:lastModifiedBy>太极箫客</cp:lastModifiedBy>
  <dcterms:modified xsi:type="dcterms:W3CDTF">2025-08-14T06:50:54Z</dcterms:modified>
  <dc:title>Mouse Embryo Assay for Assisted Reproduction Technology Devices - Guidance for Industry and Food and Drug Administration Staff</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2020-12-29T00:00:00Z</vt:filetime>
  </property>
  <property fmtid="{D5CDD505-2E9C-101B-9397-08002B2CF9AE}" pid="3" name="Creator">
    <vt:lpwstr>CommonLook Office GlobalAccess-2.0.9.29</vt:lpwstr>
  </property>
  <property fmtid="{D5CDD505-2E9C-101B-9397-08002B2CF9AE}" pid="4" name="LastSaved">
    <vt:filetime>2021-11-08T00:00:00Z</vt:filetime>
  </property>
  <property fmtid="{D5CDD505-2E9C-101B-9397-08002B2CF9AE}" pid="5" name="KSOTemplateDocerSaveRecord">
    <vt:lpwstr>eyJoZGlkIjoiMDJiMzI3ODBiNTFmMWRjNDUyMjM1ZmZjODY5NDc2MWMiLCJ1c2VySWQiOiI0NTQ4Nzg1NzAifQ==</vt:lpwstr>
  </property>
  <property fmtid="{D5CDD505-2E9C-101B-9397-08002B2CF9AE}" pid="6" name="KSOProductBuildVer">
    <vt:lpwstr>2052-12.1.0.21915</vt:lpwstr>
  </property>
  <property fmtid="{D5CDD505-2E9C-101B-9397-08002B2CF9AE}" pid="7" name="ICV">
    <vt:lpwstr>517E76AFC45A40DBAE628AC94660BCD5_12</vt:lpwstr>
  </property>
</Properties>
</file>