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774E6">
      <w:pPr>
        <w:tabs>
          <w:tab w:val="left" w:pos="4186"/>
          <w:tab w:val="left" w:pos="5652"/>
        </w:tabs>
        <w:snapToGrid w:val="0"/>
        <w:spacing w:line="300" w:lineRule="auto"/>
        <w:jc w:val="center"/>
        <w:rPr>
          <w:rFonts w:ascii="Arial" w:hAnsi="Arial" w:eastAsia="宋体" w:cs="Arial"/>
          <w:sz w:val="96"/>
          <w:szCs w:val="96"/>
        </w:rPr>
      </w:pPr>
      <w:bookmarkStart w:id="28" w:name="_GoBack"/>
      <w:bookmarkEnd w:id="28"/>
      <w:r>
        <w:rPr>
          <w:rFonts w:ascii="Arial" w:hAnsi="Arial" w:eastAsia="宋体" w:cs="Arial"/>
          <w:b/>
          <w:sz w:val="96"/>
        </w:rPr>
        <w:t>行业指南</w:t>
      </w:r>
    </w:p>
    <w:p w14:paraId="07841058">
      <w:pPr>
        <w:snapToGrid w:val="0"/>
        <w:spacing w:before="276" w:line="300" w:lineRule="auto"/>
        <w:jc w:val="center"/>
        <w:rPr>
          <w:rFonts w:ascii="Arial" w:hAnsi="Arial" w:eastAsia="宋体" w:cs="Arial"/>
          <w:sz w:val="48"/>
          <w:szCs w:val="48"/>
        </w:rPr>
      </w:pPr>
      <w:r>
        <w:rPr>
          <w:rFonts w:ascii="Arial" w:hAnsi="Arial" w:eastAsia="宋体" w:cs="Arial"/>
          <w:b/>
          <w:sz w:val="48"/>
          <w:szCs w:val="48"/>
        </w:rPr>
        <w:t>容器和密封系统完好性试验替代无菌试验为无菌产品稳定性方案的一部分</w:t>
      </w:r>
    </w:p>
    <w:p w14:paraId="02340999">
      <w:pPr>
        <w:snapToGrid w:val="0"/>
        <w:spacing w:line="300" w:lineRule="auto"/>
        <w:rPr>
          <w:rFonts w:ascii="Arial" w:hAnsi="Arial" w:eastAsia="宋体" w:cs="Arial"/>
          <w:b/>
          <w:bCs/>
          <w:sz w:val="52"/>
          <w:szCs w:val="52"/>
        </w:rPr>
      </w:pPr>
    </w:p>
    <w:p w14:paraId="29F510D8">
      <w:pPr>
        <w:snapToGrid w:val="0"/>
        <w:spacing w:line="300" w:lineRule="auto"/>
        <w:rPr>
          <w:rFonts w:ascii="Arial" w:hAnsi="Arial" w:eastAsia="宋体" w:cs="Arial"/>
          <w:b/>
          <w:bCs/>
          <w:sz w:val="52"/>
          <w:szCs w:val="52"/>
        </w:rPr>
      </w:pPr>
    </w:p>
    <w:p w14:paraId="3A60903A">
      <w:pPr>
        <w:snapToGrid w:val="0"/>
        <w:spacing w:line="300" w:lineRule="auto"/>
        <w:rPr>
          <w:rFonts w:ascii="Arial" w:hAnsi="Arial" w:eastAsia="宋体" w:cs="Arial"/>
          <w:b/>
          <w:bCs/>
          <w:sz w:val="52"/>
          <w:szCs w:val="52"/>
        </w:rPr>
      </w:pPr>
    </w:p>
    <w:p w14:paraId="049E93EE">
      <w:pPr>
        <w:pStyle w:val="3"/>
        <w:snapToGrid w:val="0"/>
        <w:spacing w:line="300" w:lineRule="auto"/>
        <w:ind w:left="0"/>
        <w:jc w:val="both"/>
        <w:rPr>
          <w:rFonts w:ascii="Arial" w:hAnsi="Arial" w:cs="Arial"/>
        </w:rPr>
      </w:pPr>
      <w:r>
        <w:rPr>
          <w:rFonts w:ascii="Arial" w:hAnsi="Arial" w:cs="Arial"/>
        </w:rPr>
        <w:t>针对本指南内容的问题，请致电CBER合规与生物制剂质量办公室，电话：301-827-3031；CDER制药科学办公室，电话：301-796-1228；CDRH器械评价办公室，电话：240-276-3747；或CVM新药动物药品评价办公室，电话：301-827-6963。</w:t>
      </w:r>
    </w:p>
    <w:p w14:paraId="0716FA35">
      <w:pPr>
        <w:snapToGrid w:val="0"/>
        <w:spacing w:line="300" w:lineRule="auto"/>
        <w:jc w:val="both"/>
        <w:rPr>
          <w:rFonts w:ascii="Arial" w:hAnsi="Arial" w:eastAsia="宋体" w:cs="Arial"/>
          <w:sz w:val="24"/>
          <w:szCs w:val="24"/>
        </w:rPr>
      </w:pPr>
    </w:p>
    <w:p w14:paraId="28D1729A">
      <w:pPr>
        <w:snapToGrid w:val="0"/>
        <w:spacing w:line="300" w:lineRule="auto"/>
        <w:jc w:val="both"/>
        <w:rPr>
          <w:rFonts w:ascii="Arial" w:hAnsi="Arial" w:eastAsia="宋体" w:cs="Arial"/>
          <w:sz w:val="24"/>
          <w:szCs w:val="24"/>
        </w:rPr>
      </w:pPr>
    </w:p>
    <w:p w14:paraId="07525D3D">
      <w:pPr>
        <w:snapToGrid w:val="0"/>
        <w:spacing w:line="300" w:lineRule="auto"/>
        <w:jc w:val="both"/>
        <w:rPr>
          <w:rFonts w:ascii="Arial" w:hAnsi="Arial" w:eastAsia="宋体" w:cs="Arial"/>
          <w:sz w:val="24"/>
          <w:szCs w:val="24"/>
        </w:rPr>
      </w:pPr>
    </w:p>
    <w:p w14:paraId="5594876B">
      <w:pPr>
        <w:snapToGrid w:val="0"/>
        <w:spacing w:line="300" w:lineRule="auto"/>
        <w:jc w:val="both"/>
        <w:rPr>
          <w:rFonts w:ascii="Arial" w:hAnsi="Arial" w:eastAsia="宋体" w:cs="Arial"/>
          <w:sz w:val="24"/>
          <w:szCs w:val="24"/>
        </w:rPr>
      </w:pPr>
    </w:p>
    <w:p w14:paraId="7C4D9691">
      <w:pPr>
        <w:snapToGrid w:val="0"/>
        <w:spacing w:line="300" w:lineRule="auto"/>
        <w:jc w:val="both"/>
        <w:rPr>
          <w:rFonts w:ascii="Arial" w:hAnsi="Arial" w:eastAsia="宋体" w:cs="Arial"/>
          <w:sz w:val="24"/>
          <w:szCs w:val="24"/>
        </w:rPr>
      </w:pPr>
    </w:p>
    <w:p w14:paraId="664A6833">
      <w:pPr>
        <w:snapToGrid w:val="0"/>
        <w:spacing w:line="300" w:lineRule="auto"/>
        <w:jc w:val="both"/>
        <w:rPr>
          <w:rFonts w:ascii="Arial" w:hAnsi="Arial" w:eastAsia="宋体" w:cs="Arial"/>
          <w:sz w:val="24"/>
          <w:szCs w:val="24"/>
        </w:rPr>
      </w:pPr>
    </w:p>
    <w:p w14:paraId="00C6D2C9">
      <w:pPr>
        <w:snapToGrid w:val="0"/>
        <w:spacing w:before="3" w:line="300" w:lineRule="auto"/>
        <w:jc w:val="both"/>
        <w:rPr>
          <w:rFonts w:ascii="Arial" w:hAnsi="Arial" w:eastAsia="宋体" w:cs="Arial"/>
          <w:sz w:val="24"/>
          <w:szCs w:val="24"/>
        </w:rPr>
      </w:pPr>
    </w:p>
    <w:p w14:paraId="744D145B">
      <w:pPr>
        <w:snapToGrid w:val="0"/>
        <w:spacing w:line="300" w:lineRule="auto"/>
        <w:jc w:val="right"/>
        <w:rPr>
          <w:rFonts w:ascii="Arial" w:hAnsi="Arial" w:eastAsia="宋体" w:cs="Arial"/>
          <w:sz w:val="24"/>
          <w:szCs w:val="24"/>
        </w:rPr>
      </w:pPr>
      <w:r>
        <w:rPr>
          <w:rFonts w:ascii="Arial" w:hAnsi="Arial" w:eastAsia="宋体" w:cs="Arial"/>
          <w:b/>
          <w:sz w:val="24"/>
        </w:rPr>
        <w:t>美国卫生</w:t>
      </w:r>
      <w:r>
        <w:rPr>
          <w:rFonts w:hint="eastAsia" w:ascii="Arial" w:hAnsi="Arial" w:eastAsia="宋体" w:cs="Arial"/>
          <w:b/>
          <w:sz w:val="24"/>
        </w:rPr>
        <w:t>和人类服务署</w:t>
      </w:r>
    </w:p>
    <w:p w14:paraId="4B4422DF">
      <w:pPr>
        <w:snapToGrid w:val="0"/>
        <w:spacing w:line="300" w:lineRule="auto"/>
        <w:jc w:val="right"/>
        <w:rPr>
          <w:rFonts w:ascii="Arial" w:hAnsi="Arial" w:eastAsia="宋体" w:cs="Arial"/>
          <w:b/>
          <w:sz w:val="24"/>
        </w:rPr>
      </w:pPr>
      <w:r>
        <w:rPr>
          <w:rFonts w:ascii="Arial" w:hAnsi="Arial" w:eastAsia="宋体" w:cs="Arial"/>
          <w:b/>
          <w:sz w:val="24"/>
        </w:rPr>
        <w:t>食品药品监督管理局</w:t>
      </w:r>
    </w:p>
    <w:p w14:paraId="3310E9B5">
      <w:pPr>
        <w:snapToGrid w:val="0"/>
        <w:spacing w:line="300" w:lineRule="auto"/>
        <w:jc w:val="right"/>
        <w:rPr>
          <w:rFonts w:ascii="Arial" w:hAnsi="Arial" w:eastAsia="宋体" w:cs="Arial"/>
          <w:sz w:val="24"/>
          <w:szCs w:val="24"/>
        </w:rPr>
      </w:pPr>
      <w:r>
        <w:rPr>
          <w:rFonts w:ascii="Arial" w:hAnsi="Arial" w:eastAsia="宋体" w:cs="Arial"/>
          <w:b/>
          <w:sz w:val="24"/>
        </w:rPr>
        <w:t>生物制剂评价和研究中心</w:t>
      </w:r>
      <w:r>
        <w:rPr>
          <w:rFonts w:ascii="Arial" w:hAnsi="Arial" w:eastAsia="宋体" w:cs="Arial"/>
          <w:b/>
          <w:sz w:val="24"/>
        </w:rPr>
        <w:cr/>
      </w:r>
      <w:r>
        <w:rPr>
          <w:rFonts w:ascii="Arial" w:hAnsi="Arial" w:eastAsia="宋体" w:cs="Arial"/>
          <w:b/>
          <w:sz w:val="24"/>
        </w:rPr>
        <w:t>药品评价和研究中心</w:t>
      </w:r>
      <w:r>
        <w:rPr>
          <w:rFonts w:ascii="Arial" w:hAnsi="Arial" w:eastAsia="宋体" w:cs="Arial"/>
          <w:b/>
          <w:sz w:val="24"/>
        </w:rPr>
        <w:cr/>
      </w:r>
      <w:r>
        <w:rPr>
          <w:rFonts w:ascii="Arial" w:hAnsi="Arial" w:eastAsia="宋体" w:cs="Arial"/>
          <w:b/>
          <w:sz w:val="24"/>
        </w:rPr>
        <w:t>器械和放射</w:t>
      </w:r>
      <w:r>
        <w:rPr>
          <w:rFonts w:hint="eastAsia" w:ascii="Arial" w:hAnsi="Arial" w:eastAsia="宋体" w:cs="Arial"/>
          <w:b/>
          <w:sz w:val="24"/>
        </w:rPr>
        <w:t>卫生</w:t>
      </w:r>
      <w:r>
        <w:rPr>
          <w:rFonts w:ascii="Arial" w:hAnsi="Arial" w:eastAsia="宋体" w:cs="Arial"/>
          <w:b/>
          <w:sz w:val="24"/>
        </w:rPr>
        <w:t>中心</w:t>
      </w:r>
      <w:r>
        <w:rPr>
          <w:rFonts w:ascii="Arial" w:hAnsi="Arial" w:eastAsia="宋体" w:cs="Arial"/>
          <w:b/>
          <w:sz w:val="24"/>
        </w:rPr>
        <w:cr/>
      </w:r>
      <w:r>
        <w:rPr>
          <w:rFonts w:ascii="Arial" w:hAnsi="Arial" w:eastAsia="宋体" w:cs="Arial"/>
          <w:b/>
          <w:sz w:val="24"/>
        </w:rPr>
        <w:t>兽医医学中心</w:t>
      </w:r>
    </w:p>
    <w:p w14:paraId="495C57EC">
      <w:pPr>
        <w:snapToGrid w:val="0"/>
        <w:spacing w:line="300" w:lineRule="auto"/>
        <w:jc w:val="right"/>
        <w:rPr>
          <w:rFonts w:ascii="Arial" w:hAnsi="Arial" w:eastAsia="宋体" w:cs="Arial"/>
          <w:b/>
          <w:sz w:val="24"/>
        </w:rPr>
      </w:pPr>
      <w:r>
        <w:rPr>
          <w:rFonts w:ascii="Arial" w:hAnsi="Arial" w:eastAsia="宋体" w:cs="Arial"/>
          <w:b/>
          <w:sz w:val="24"/>
        </w:rPr>
        <w:t>2008年2月</w:t>
      </w:r>
    </w:p>
    <w:p w14:paraId="017BA47C">
      <w:pPr>
        <w:jc w:val="right"/>
        <w:rPr>
          <w:rFonts w:ascii="Arial" w:hAnsi="Arial" w:eastAsia="宋体" w:cs="Arial"/>
          <w:sz w:val="24"/>
          <w:szCs w:val="24"/>
        </w:rPr>
      </w:pPr>
      <w:r>
        <w:rPr>
          <w:rFonts w:ascii="Arial" w:hAnsi="Arial" w:eastAsia="宋体" w:cs="Arial"/>
          <w:sz w:val="24"/>
          <w:szCs w:val="24"/>
        </w:rPr>
        <w:br w:type="page"/>
      </w:r>
    </w:p>
    <w:p w14:paraId="2994FC9D">
      <w:pPr>
        <w:snapToGrid w:val="0"/>
        <w:spacing w:before="7" w:line="300" w:lineRule="auto"/>
        <w:jc w:val="center"/>
        <w:rPr>
          <w:rFonts w:ascii="Arial" w:hAnsi="Arial" w:eastAsia="宋体" w:cs="Arial"/>
          <w:sz w:val="72"/>
          <w:szCs w:val="72"/>
        </w:rPr>
      </w:pPr>
      <w:r>
        <w:rPr>
          <w:rFonts w:ascii="Arial" w:hAnsi="Arial" w:eastAsia="宋体" w:cs="Arial"/>
          <w:b/>
          <w:sz w:val="72"/>
        </w:rPr>
        <w:t>行业指南</w:t>
      </w:r>
    </w:p>
    <w:p w14:paraId="2BF8CDDB">
      <w:pPr>
        <w:snapToGrid w:val="0"/>
        <w:spacing w:before="414" w:line="300" w:lineRule="auto"/>
        <w:jc w:val="center"/>
        <w:rPr>
          <w:rFonts w:ascii="Arial" w:hAnsi="Arial" w:eastAsia="宋体" w:cs="Arial"/>
          <w:b/>
          <w:sz w:val="48"/>
        </w:rPr>
      </w:pPr>
      <w:r>
        <w:rPr>
          <w:rFonts w:hint="eastAsia" w:ascii="Arial" w:hAnsi="Arial" w:eastAsia="宋体" w:cs="Arial"/>
          <w:b/>
          <w:sz w:val="48"/>
        </w:rPr>
        <w:t>容器和密封系统完好性试验替代无菌试验为无菌产品稳定性方案的一部分</w:t>
      </w:r>
    </w:p>
    <w:p w14:paraId="6602CBC2">
      <w:pPr>
        <w:snapToGrid w:val="0"/>
        <w:spacing w:before="414" w:line="254" w:lineRule="auto"/>
        <w:jc w:val="center"/>
        <w:rPr>
          <w:rFonts w:ascii="Arial" w:hAnsi="Arial" w:eastAsia="宋体" w:cs="Arial"/>
        </w:rPr>
      </w:pPr>
      <w:r>
        <w:rPr>
          <w:rFonts w:ascii="Arial" w:hAnsi="Arial" w:eastAsia="宋体" w:cs="Arial"/>
          <w:i/>
        </w:rPr>
        <w:t>本指南的附加副本可从以下地址获得：</w:t>
      </w:r>
    </w:p>
    <w:p w14:paraId="63D48C4B">
      <w:pPr>
        <w:snapToGrid w:val="0"/>
        <w:spacing w:line="254" w:lineRule="auto"/>
        <w:jc w:val="center"/>
        <w:rPr>
          <w:rFonts w:ascii="Arial" w:hAnsi="Arial" w:eastAsia="宋体" w:cs="Arial"/>
          <w:i/>
        </w:rPr>
      </w:pPr>
      <w:r>
        <w:rPr>
          <w:rFonts w:ascii="Arial" w:hAnsi="Arial" w:eastAsia="宋体" w:cs="Arial"/>
          <w:i/>
        </w:rPr>
        <w:t>交流</w:t>
      </w:r>
      <w:r>
        <w:rPr>
          <w:rFonts w:hint="eastAsia" w:ascii="Arial" w:hAnsi="Arial" w:eastAsia="宋体" w:cs="Arial"/>
          <w:i/>
        </w:rPr>
        <w:t>、</w:t>
      </w:r>
      <w:r>
        <w:rPr>
          <w:rFonts w:ascii="Arial" w:hAnsi="Arial" w:eastAsia="宋体" w:cs="Arial"/>
          <w:i/>
        </w:rPr>
        <w:t>培训和制造商援助办公室，HFM-40</w:t>
      </w:r>
    </w:p>
    <w:p w14:paraId="1E3085B1">
      <w:pPr>
        <w:snapToGrid w:val="0"/>
        <w:spacing w:line="254" w:lineRule="auto"/>
        <w:jc w:val="center"/>
        <w:rPr>
          <w:rFonts w:ascii="Arial" w:hAnsi="Arial" w:eastAsia="宋体" w:cs="Arial"/>
        </w:rPr>
      </w:pPr>
      <w:r>
        <w:rPr>
          <w:rFonts w:ascii="Arial" w:hAnsi="Arial" w:eastAsia="宋体" w:cs="Arial"/>
          <w:i/>
        </w:rPr>
        <w:t>生物制剂评价和研究中心</w:t>
      </w:r>
    </w:p>
    <w:p w14:paraId="02D2E78C">
      <w:pPr>
        <w:snapToGrid w:val="0"/>
        <w:spacing w:line="254" w:lineRule="auto"/>
        <w:jc w:val="center"/>
        <w:rPr>
          <w:rFonts w:ascii="Arial" w:hAnsi="Arial" w:eastAsia="宋体" w:cs="Arial"/>
        </w:rPr>
      </w:pPr>
      <w:r>
        <w:rPr>
          <w:rFonts w:ascii="Arial" w:hAnsi="Arial" w:eastAsia="宋体" w:cs="Arial"/>
          <w:i/>
        </w:rPr>
        <w:t>食品药品监督管理局</w:t>
      </w:r>
    </w:p>
    <w:p w14:paraId="35F2E902">
      <w:pPr>
        <w:snapToGrid w:val="0"/>
        <w:spacing w:line="254" w:lineRule="auto"/>
        <w:jc w:val="center"/>
        <w:rPr>
          <w:rFonts w:ascii="Arial" w:hAnsi="Arial" w:eastAsia="宋体" w:cs="Arial"/>
          <w:i/>
        </w:rPr>
      </w:pPr>
      <w:r>
        <w:rPr>
          <w:rFonts w:ascii="Arial" w:hAnsi="Arial" w:eastAsia="宋体" w:cs="Arial"/>
          <w:i/>
        </w:rPr>
        <w:t>1401 Rockville Pike，Suite 200N，Rockville，MD 20852-1448</w:t>
      </w:r>
    </w:p>
    <w:p w14:paraId="1D4DCD05">
      <w:pPr>
        <w:snapToGrid w:val="0"/>
        <w:spacing w:line="254" w:lineRule="auto"/>
        <w:jc w:val="center"/>
        <w:rPr>
          <w:rFonts w:ascii="Arial" w:hAnsi="Arial" w:eastAsia="宋体" w:cs="Arial"/>
        </w:rPr>
      </w:pPr>
      <w:r>
        <w:rPr>
          <w:rFonts w:ascii="Arial" w:hAnsi="Arial" w:eastAsia="宋体" w:cs="Arial"/>
          <w:i/>
        </w:rPr>
        <w:t>网址：</w:t>
      </w:r>
      <w:r>
        <w:fldChar w:fldCharType="begin"/>
      </w:r>
      <w:r>
        <w:instrText xml:space="preserve"> HYPERLINK "http://www.fda.gov/cber/guidelines.htm" \h </w:instrText>
      </w:r>
      <w:r>
        <w:fldChar w:fldCharType="separate"/>
      </w:r>
      <w:r>
        <w:rPr>
          <w:rFonts w:ascii="Arial" w:hAnsi="Arial" w:eastAsia="宋体" w:cs="Arial"/>
          <w:i/>
        </w:rPr>
        <w:t>http://www.fda.gov/cber/guidelines.htm</w:t>
      </w:r>
      <w:r>
        <w:rPr>
          <w:rFonts w:ascii="Arial" w:hAnsi="Arial" w:eastAsia="宋体" w:cs="Arial"/>
          <w:i/>
        </w:rPr>
        <w:fldChar w:fldCharType="end"/>
      </w:r>
    </w:p>
    <w:p w14:paraId="073CBF95">
      <w:pPr>
        <w:snapToGrid w:val="0"/>
        <w:spacing w:line="254" w:lineRule="auto"/>
        <w:jc w:val="center"/>
        <w:rPr>
          <w:rFonts w:ascii="Arial" w:hAnsi="Arial" w:eastAsia="宋体" w:cs="Arial"/>
        </w:rPr>
      </w:pPr>
      <w:bookmarkStart w:id="0" w:name="Phone:__800-835-4709_or_301-827-1800"/>
      <w:bookmarkEnd w:id="0"/>
      <w:r>
        <w:rPr>
          <w:rFonts w:ascii="Arial" w:hAnsi="Arial" w:eastAsia="宋体" w:cs="Arial"/>
          <w:i/>
        </w:rPr>
        <w:t>电话：800-835-4709或301-827-1800</w:t>
      </w:r>
    </w:p>
    <w:p w14:paraId="2C2D1B2F">
      <w:pPr>
        <w:snapToGrid w:val="0"/>
        <w:spacing w:line="254" w:lineRule="auto"/>
        <w:jc w:val="center"/>
        <w:rPr>
          <w:rFonts w:ascii="Arial" w:hAnsi="Arial" w:eastAsia="宋体" w:cs="Arial"/>
        </w:rPr>
      </w:pPr>
      <w:r>
        <w:rPr>
          <w:rFonts w:ascii="Arial" w:hAnsi="Arial" w:eastAsia="宋体" w:cs="Arial"/>
          <w:i/>
        </w:rPr>
        <w:t>或</w:t>
      </w:r>
    </w:p>
    <w:p w14:paraId="608041D5">
      <w:pPr>
        <w:snapToGrid w:val="0"/>
        <w:spacing w:line="254" w:lineRule="auto"/>
        <w:jc w:val="center"/>
        <w:rPr>
          <w:rFonts w:ascii="Arial" w:hAnsi="Arial" w:eastAsia="宋体" w:cs="Arial"/>
        </w:rPr>
      </w:pPr>
      <w:r>
        <w:rPr>
          <w:rFonts w:ascii="Arial" w:hAnsi="Arial" w:eastAsia="宋体" w:cs="Arial"/>
        </w:rPr>
        <w:t>培训和交流办公室</w:t>
      </w:r>
    </w:p>
    <w:p w14:paraId="08ED9749">
      <w:pPr>
        <w:snapToGrid w:val="0"/>
        <w:spacing w:line="254" w:lineRule="auto"/>
        <w:jc w:val="center"/>
        <w:rPr>
          <w:rFonts w:ascii="Arial" w:hAnsi="Arial" w:eastAsia="宋体" w:cs="Arial"/>
        </w:rPr>
      </w:pPr>
      <w:r>
        <w:rPr>
          <w:rFonts w:ascii="Arial" w:hAnsi="Arial" w:eastAsia="宋体" w:cs="Arial"/>
        </w:rPr>
        <w:t xml:space="preserve">药品信息司，HFD-240 </w:t>
      </w:r>
    </w:p>
    <w:p w14:paraId="267A459C">
      <w:pPr>
        <w:snapToGrid w:val="0"/>
        <w:spacing w:line="254" w:lineRule="auto"/>
        <w:jc w:val="center"/>
        <w:rPr>
          <w:rFonts w:ascii="Arial" w:hAnsi="Arial" w:eastAsia="宋体" w:cs="Arial"/>
        </w:rPr>
      </w:pPr>
      <w:r>
        <w:rPr>
          <w:rFonts w:ascii="Arial" w:hAnsi="Arial" w:eastAsia="宋体" w:cs="Arial"/>
        </w:rPr>
        <w:t>药品评价和研究中心</w:t>
      </w:r>
      <w:bookmarkStart w:id="1" w:name="5600_Fishers_Lane,_Rockville,_MD_20857_"/>
      <w:bookmarkEnd w:id="1"/>
    </w:p>
    <w:p w14:paraId="51C14AEE">
      <w:pPr>
        <w:snapToGrid w:val="0"/>
        <w:spacing w:line="254" w:lineRule="auto"/>
        <w:jc w:val="center"/>
        <w:rPr>
          <w:rFonts w:ascii="Arial" w:hAnsi="Arial" w:eastAsia="宋体" w:cs="Arial"/>
        </w:rPr>
      </w:pPr>
      <w:r>
        <w:rPr>
          <w:rFonts w:ascii="Arial" w:hAnsi="Arial" w:eastAsia="宋体" w:cs="Arial"/>
        </w:rPr>
        <w:t>食品药品监督管理局</w:t>
      </w:r>
    </w:p>
    <w:p w14:paraId="2C908DF0">
      <w:pPr>
        <w:snapToGrid w:val="0"/>
        <w:spacing w:line="254" w:lineRule="auto"/>
        <w:jc w:val="center"/>
        <w:rPr>
          <w:rFonts w:ascii="Arial" w:hAnsi="Arial" w:eastAsia="宋体" w:cs="Arial"/>
        </w:rPr>
      </w:pPr>
      <w:r>
        <w:rPr>
          <w:rFonts w:ascii="Arial" w:hAnsi="Arial" w:eastAsia="宋体" w:cs="Arial"/>
          <w:i/>
        </w:rPr>
        <w:t>5600</w:t>
      </w:r>
      <w:r>
        <w:rPr>
          <w:rFonts w:hint="eastAsia" w:ascii="Arial" w:hAnsi="Arial" w:eastAsia="宋体" w:cs="Arial"/>
          <w:i/>
        </w:rPr>
        <w:t xml:space="preserve"> </w:t>
      </w:r>
      <w:r>
        <w:rPr>
          <w:rFonts w:ascii="Arial" w:hAnsi="Arial" w:eastAsia="宋体" w:cs="Arial"/>
          <w:i/>
        </w:rPr>
        <w:t>Fishers Lane, Rockville, MD 20857</w:t>
      </w:r>
    </w:p>
    <w:p w14:paraId="5FC2C68D">
      <w:pPr>
        <w:snapToGrid w:val="0"/>
        <w:spacing w:line="254" w:lineRule="auto"/>
        <w:jc w:val="center"/>
        <w:rPr>
          <w:rFonts w:ascii="Arial" w:hAnsi="Arial" w:eastAsia="宋体" w:cs="Arial"/>
        </w:rPr>
      </w:pPr>
      <w:r>
        <w:rPr>
          <w:rFonts w:ascii="Arial" w:hAnsi="Arial" w:eastAsia="宋体" w:cs="Arial"/>
          <w:i/>
        </w:rPr>
        <w:t>电话：301-827-4573</w:t>
      </w:r>
    </w:p>
    <w:p w14:paraId="086DBE2F">
      <w:pPr>
        <w:snapToGrid w:val="0"/>
        <w:spacing w:line="254" w:lineRule="auto"/>
        <w:jc w:val="center"/>
        <w:rPr>
          <w:rFonts w:ascii="Arial" w:hAnsi="Arial" w:eastAsia="宋体" w:cs="Arial"/>
          <w:i/>
        </w:rPr>
      </w:pPr>
      <w:r>
        <w:rPr>
          <w:rFonts w:ascii="Arial" w:hAnsi="Arial" w:eastAsia="宋体" w:cs="Arial"/>
          <w:i/>
        </w:rPr>
        <w:t>网址：</w:t>
      </w:r>
      <w:r>
        <w:fldChar w:fldCharType="begin"/>
      </w:r>
      <w:r>
        <w:instrText xml:space="preserve"> HYPERLINK "http://www.fda.gov/cder/guidance/index.htm" \h </w:instrText>
      </w:r>
      <w:r>
        <w:fldChar w:fldCharType="separate"/>
      </w:r>
      <w:r>
        <w:rPr>
          <w:rFonts w:ascii="Arial" w:hAnsi="Arial" w:eastAsia="宋体" w:cs="Arial"/>
          <w:i/>
        </w:rPr>
        <w:t>http://www.fda.gov/cder/guidance/index.htm</w:t>
      </w:r>
      <w:r>
        <w:rPr>
          <w:rFonts w:ascii="Arial" w:hAnsi="Arial" w:eastAsia="宋体" w:cs="Arial"/>
          <w:i/>
        </w:rPr>
        <w:fldChar w:fldCharType="end"/>
      </w:r>
    </w:p>
    <w:p w14:paraId="31348257">
      <w:pPr>
        <w:snapToGrid w:val="0"/>
        <w:spacing w:line="254" w:lineRule="auto"/>
        <w:jc w:val="center"/>
        <w:rPr>
          <w:rFonts w:ascii="Arial" w:hAnsi="Arial" w:eastAsia="宋体" w:cs="Arial"/>
          <w:i/>
        </w:rPr>
      </w:pPr>
      <w:r>
        <w:rPr>
          <w:rFonts w:hint="eastAsia" w:ascii="Arial" w:hAnsi="Arial" w:eastAsia="宋体" w:cs="Arial"/>
          <w:i/>
        </w:rPr>
        <w:t>或</w:t>
      </w:r>
    </w:p>
    <w:p w14:paraId="4C2D5956">
      <w:pPr>
        <w:snapToGrid w:val="0"/>
        <w:spacing w:line="254" w:lineRule="auto"/>
        <w:jc w:val="center"/>
        <w:rPr>
          <w:rFonts w:ascii="Arial" w:hAnsi="Arial" w:eastAsia="宋体" w:cs="Arial"/>
          <w:i/>
        </w:rPr>
      </w:pPr>
      <w:r>
        <w:rPr>
          <w:rFonts w:ascii="Arial" w:hAnsi="Arial" w:eastAsia="宋体" w:cs="Arial"/>
          <w:i/>
        </w:rPr>
        <w:t xml:space="preserve">小型制造商、国际和消费者援助司（DSMICA），HFZ-220 </w:t>
      </w:r>
    </w:p>
    <w:p w14:paraId="503861E3">
      <w:pPr>
        <w:snapToGrid w:val="0"/>
        <w:spacing w:line="254" w:lineRule="auto"/>
        <w:jc w:val="center"/>
        <w:rPr>
          <w:rFonts w:ascii="Arial" w:hAnsi="Arial" w:eastAsia="宋体" w:cs="Arial"/>
        </w:rPr>
      </w:pPr>
      <w:r>
        <w:rPr>
          <w:rFonts w:ascii="Arial" w:hAnsi="Arial" w:eastAsia="宋体" w:cs="Arial"/>
          <w:i/>
        </w:rPr>
        <w:t>器械和放射</w:t>
      </w:r>
      <w:r>
        <w:rPr>
          <w:rFonts w:hint="eastAsia" w:ascii="Arial" w:hAnsi="Arial" w:eastAsia="宋体" w:cs="Arial"/>
          <w:i/>
        </w:rPr>
        <w:t>卫生</w:t>
      </w:r>
      <w:r>
        <w:rPr>
          <w:rFonts w:ascii="Arial" w:hAnsi="Arial" w:eastAsia="宋体" w:cs="Arial"/>
          <w:i/>
        </w:rPr>
        <w:t>中心</w:t>
      </w:r>
    </w:p>
    <w:p w14:paraId="3DCE4738">
      <w:pPr>
        <w:snapToGrid w:val="0"/>
        <w:spacing w:line="254" w:lineRule="auto"/>
        <w:jc w:val="center"/>
        <w:rPr>
          <w:rFonts w:ascii="Arial" w:hAnsi="Arial" w:eastAsia="宋体" w:cs="Arial"/>
        </w:rPr>
      </w:pPr>
      <w:r>
        <w:rPr>
          <w:rFonts w:ascii="Arial" w:hAnsi="Arial" w:eastAsia="宋体" w:cs="Arial"/>
          <w:i/>
        </w:rPr>
        <w:t>食品药品监督管理局</w:t>
      </w:r>
    </w:p>
    <w:p w14:paraId="0E3C7F34">
      <w:pPr>
        <w:snapToGrid w:val="0"/>
        <w:spacing w:line="254" w:lineRule="auto"/>
        <w:jc w:val="center"/>
        <w:rPr>
          <w:rFonts w:ascii="Arial" w:hAnsi="Arial" w:eastAsia="宋体" w:cs="Arial"/>
        </w:rPr>
      </w:pPr>
      <w:bookmarkStart w:id="2" w:name="1350_Piccard_Drive,_Rockville,_MD_20850"/>
      <w:bookmarkEnd w:id="2"/>
      <w:r>
        <w:rPr>
          <w:rFonts w:ascii="Arial" w:hAnsi="Arial" w:eastAsia="宋体" w:cs="Arial"/>
          <w:i/>
        </w:rPr>
        <w:t>5600Piccard Drive, Rockville, MD 20850</w:t>
      </w:r>
    </w:p>
    <w:p w14:paraId="7D2B44FD">
      <w:pPr>
        <w:snapToGrid w:val="0"/>
        <w:spacing w:line="254" w:lineRule="auto"/>
        <w:jc w:val="center"/>
        <w:rPr>
          <w:rFonts w:ascii="Arial" w:hAnsi="Arial" w:eastAsia="宋体" w:cs="Arial"/>
        </w:rPr>
      </w:pPr>
      <w:bookmarkStart w:id="3" w:name="Internet:__http://www.fda.gov/cdrh/guida"/>
      <w:bookmarkEnd w:id="3"/>
      <w:r>
        <w:rPr>
          <w:rFonts w:ascii="Arial" w:hAnsi="Arial" w:eastAsia="宋体" w:cs="Arial"/>
          <w:i/>
        </w:rPr>
        <w:t>电话：800-638-2041</w:t>
      </w:r>
    </w:p>
    <w:p w14:paraId="164BC0E3">
      <w:pPr>
        <w:snapToGrid w:val="0"/>
        <w:spacing w:line="254" w:lineRule="auto"/>
        <w:jc w:val="center"/>
        <w:rPr>
          <w:rFonts w:ascii="Arial" w:hAnsi="Arial" w:eastAsia="宋体" w:cs="Arial"/>
          <w:sz w:val="24"/>
          <w:szCs w:val="24"/>
        </w:rPr>
      </w:pPr>
      <w:r>
        <w:rPr>
          <w:rFonts w:ascii="Arial" w:hAnsi="Arial" w:eastAsia="宋体" w:cs="Arial"/>
          <w:i/>
        </w:rPr>
        <w:t>网址：</w:t>
      </w:r>
      <w:r>
        <w:fldChar w:fldCharType="begin"/>
      </w:r>
      <w:r>
        <w:instrText xml:space="preserve"> HYPERLINK "http://www.fda.gov/cdrh/guidance.html" \h </w:instrText>
      </w:r>
      <w:r>
        <w:fldChar w:fldCharType="separate"/>
      </w:r>
      <w:r>
        <w:rPr>
          <w:rFonts w:ascii="Arial" w:hAnsi="Arial" w:eastAsia="宋体" w:cs="Arial"/>
          <w:i/>
          <w:sz w:val="24"/>
        </w:rPr>
        <w:t>http://www.fda.gov/cdrh/guidance.html</w:t>
      </w:r>
      <w:r>
        <w:rPr>
          <w:rFonts w:ascii="Arial" w:hAnsi="Arial" w:eastAsia="宋体" w:cs="Arial"/>
          <w:i/>
          <w:sz w:val="24"/>
        </w:rPr>
        <w:fldChar w:fldCharType="end"/>
      </w:r>
    </w:p>
    <w:p w14:paraId="6F25C945">
      <w:pPr>
        <w:snapToGrid w:val="0"/>
        <w:spacing w:line="254" w:lineRule="auto"/>
        <w:jc w:val="center"/>
        <w:rPr>
          <w:rFonts w:ascii="Arial" w:hAnsi="Arial" w:eastAsia="宋体" w:cs="Arial"/>
          <w:i/>
        </w:rPr>
      </w:pPr>
      <w:r>
        <w:rPr>
          <w:rFonts w:ascii="Arial" w:hAnsi="Arial" w:eastAsia="宋体" w:cs="Arial"/>
          <w:i/>
        </w:rPr>
        <w:t>电子邮箱：</w:t>
      </w:r>
      <w:r>
        <w:fldChar w:fldCharType="begin"/>
      </w:r>
      <w:r>
        <w:instrText xml:space="preserve"> HYPERLINK "mailto:dsmica@cdrh.fda.gov" \h </w:instrText>
      </w:r>
      <w:r>
        <w:fldChar w:fldCharType="separate"/>
      </w:r>
      <w:r>
        <w:rPr>
          <w:rFonts w:ascii="Arial" w:hAnsi="Arial" w:eastAsia="宋体" w:cs="Arial"/>
          <w:i/>
        </w:rPr>
        <w:t>Dsmica@cdrh.fda.gov</w:t>
      </w:r>
      <w:r>
        <w:rPr>
          <w:rFonts w:ascii="Arial" w:hAnsi="Arial" w:eastAsia="宋体" w:cs="Arial"/>
          <w:i/>
        </w:rPr>
        <w:fldChar w:fldCharType="end"/>
      </w:r>
      <w:r>
        <w:rPr>
          <w:rFonts w:ascii="Arial" w:hAnsi="Arial" w:eastAsia="宋体" w:cs="Arial"/>
          <w:i/>
        </w:rPr>
        <w:t xml:space="preserve"> </w:t>
      </w:r>
    </w:p>
    <w:p w14:paraId="55BA7489">
      <w:pPr>
        <w:snapToGrid w:val="0"/>
        <w:spacing w:line="254" w:lineRule="auto"/>
        <w:jc w:val="center"/>
        <w:rPr>
          <w:rFonts w:ascii="Arial" w:hAnsi="Arial" w:eastAsia="宋体" w:cs="Arial"/>
        </w:rPr>
      </w:pPr>
      <w:r>
        <w:rPr>
          <w:rFonts w:ascii="Arial" w:hAnsi="Arial" w:eastAsia="宋体" w:cs="Arial"/>
          <w:i/>
        </w:rPr>
        <w:t>传真</w:t>
      </w:r>
      <w:r>
        <w:rPr>
          <w:rFonts w:hint="eastAsia" w:ascii="Arial" w:hAnsi="Arial" w:eastAsia="宋体" w:cs="Arial"/>
          <w:i/>
        </w:rPr>
        <w:t>：</w:t>
      </w:r>
      <w:r>
        <w:rPr>
          <w:rFonts w:ascii="Arial" w:hAnsi="Arial" w:eastAsia="宋体" w:cs="Arial"/>
          <w:i/>
        </w:rPr>
        <w:t>240-276-3151</w:t>
      </w:r>
    </w:p>
    <w:p w14:paraId="27BFEAAA">
      <w:pPr>
        <w:snapToGrid w:val="0"/>
        <w:spacing w:line="254" w:lineRule="auto"/>
        <w:jc w:val="center"/>
        <w:rPr>
          <w:rFonts w:ascii="Arial" w:hAnsi="Arial" w:eastAsia="宋体" w:cs="Arial"/>
          <w:i/>
        </w:rPr>
      </w:pPr>
      <w:r>
        <w:rPr>
          <w:rFonts w:ascii="Arial" w:hAnsi="Arial" w:eastAsia="宋体" w:cs="Arial"/>
          <w:i/>
        </w:rPr>
        <w:t>或</w:t>
      </w:r>
      <w:bookmarkStart w:id="4" w:name="Communications_Staff,_HFV-12"/>
      <w:bookmarkEnd w:id="4"/>
    </w:p>
    <w:p w14:paraId="19A67741">
      <w:pPr>
        <w:snapToGrid w:val="0"/>
        <w:spacing w:line="254" w:lineRule="auto"/>
        <w:jc w:val="center"/>
        <w:rPr>
          <w:rFonts w:ascii="Arial" w:hAnsi="Arial" w:eastAsia="宋体" w:cs="Arial"/>
        </w:rPr>
      </w:pPr>
      <w:r>
        <w:rPr>
          <w:rFonts w:ascii="Arial" w:hAnsi="Arial" w:eastAsia="宋体" w:cs="Arial"/>
        </w:rPr>
        <w:t>交流工作人员，HFV-12</w:t>
      </w:r>
    </w:p>
    <w:p w14:paraId="70E23667">
      <w:pPr>
        <w:snapToGrid w:val="0"/>
        <w:spacing w:line="254" w:lineRule="auto"/>
        <w:jc w:val="center"/>
        <w:rPr>
          <w:rFonts w:ascii="Arial" w:hAnsi="Arial" w:eastAsia="宋体" w:cs="Arial"/>
          <w:i/>
        </w:rPr>
      </w:pPr>
      <w:r>
        <w:rPr>
          <w:rFonts w:ascii="Arial" w:hAnsi="Arial" w:eastAsia="宋体" w:cs="Arial"/>
          <w:i/>
        </w:rPr>
        <w:t>兽医医学中心（CVM）</w:t>
      </w:r>
    </w:p>
    <w:p w14:paraId="3E2509C1">
      <w:pPr>
        <w:snapToGrid w:val="0"/>
        <w:spacing w:line="254" w:lineRule="auto"/>
        <w:jc w:val="center"/>
        <w:rPr>
          <w:rFonts w:ascii="Arial" w:hAnsi="Arial" w:eastAsia="宋体" w:cs="Arial"/>
        </w:rPr>
      </w:pPr>
      <w:r>
        <w:rPr>
          <w:rFonts w:ascii="Arial" w:hAnsi="Arial" w:eastAsia="宋体" w:cs="Arial"/>
          <w:i/>
        </w:rPr>
        <w:t>食品药品监督管理局</w:t>
      </w:r>
    </w:p>
    <w:p w14:paraId="6B89EB92">
      <w:pPr>
        <w:snapToGrid w:val="0"/>
        <w:spacing w:line="254" w:lineRule="auto"/>
        <w:jc w:val="center"/>
        <w:rPr>
          <w:rFonts w:ascii="Arial" w:hAnsi="Arial" w:eastAsia="宋体" w:cs="Arial"/>
        </w:rPr>
      </w:pPr>
      <w:r>
        <w:rPr>
          <w:rFonts w:ascii="Arial" w:hAnsi="Arial" w:eastAsia="宋体" w:cs="Arial"/>
          <w:i/>
        </w:rPr>
        <w:t>7519 Standish Place</w:t>
      </w:r>
    </w:p>
    <w:p w14:paraId="35C0C404">
      <w:pPr>
        <w:snapToGrid w:val="0"/>
        <w:spacing w:line="254" w:lineRule="auto"/>
        <w:jc w:val="center"/>
        <w:rPr>
          <w:rFonts w:ascii="Arial" w:hAnsi="Arial" w:eastAsia="宋体" w:cs="Arial"/>
        </w:rPr>
      </w:pPr>
      <w:r>
        <w:rPr>
          <w:rFonts w:ascii="Arial" w:hAnsi="Arial" w:eastAsia="宋体" w:cs="Arial"/>
          <w:i/>
        </w:rPr>
        <w:t>Rockville，MD 20855</w:t>
      </w:r>
    </w:p>
    <w:p w14:paraId="19D4A922">
      <w:pPr>
        <w:snapToGrid w:val="0"/>
        <w:spacing w:line="254" w:lineRule="auto"/>
        <w:jc w:val="center"/>
        <w:rPr>
          <w:rFonts w:ascii="Arial" w:hAnsi="Arial" w:eastAsia="宋体" w:cs="Arial"/>
          <w:sz w:val="24"/>
          <w:szCs w:val="24"/>
        </w:rPr>
      </w:pPr>
      <w:r>
        <w:rPr>
          <w:rFonts w:ascii="Arial" w:hAnsi="Arial" w:eastAsia="宋体" w:cs="Arial"/>
          <w:i/>
        </w:rPr>
        <w:t>网址：</w:t>
      </w:r>
      <w:r>
        <w:fldChar w:fldCharType="begin"/>
      </w:r>
      <w:r>
        <w:instrText xml:space="preserve"> HYPERLINK "http://www.fda.gov/cvm/guidance/published.htm" \h </w:instrText>
      </w:r>
      <w:r>
        <w:fldChar w:fldCharType="separate"/>
      </w:r>
      <w:r>
        <w:rPr>
          <w:rFonts w:ascii="Arial" w:hAnsi="Arial" w:eastAsia="宋体" w:cs="Arial"/>
          <w:i/>
          <w:sz w:val="24"/>
        </w:rPr>
        <w:t>http://www.fda.gov/cvm/guidance/published.htm</w:t>
      </w:r>
      <w:r>
        <w:rPr>
          <w:rFonts w:ascii="Arial" w:hAnsi="Arial" w:eastAsia="宋体" w:cs="Arial"/>
          <w:i/>
          <w:sz w:val="24"/>
        </w:rPr>
        <w:fldChar w:fldCharType="end"/>
      </w:r>
    </w:p>
    <w:p w14:paraId="5390F34A">
      <w:pPr>
        <w:snapToGrid w:val="0"/>
        <w:spacing w:line="300" w:lineRule="auto"/>
        <w:jc w:val="center"/>
        <w:rPr>
          <w:rFonts w:ascii="Arial" w:hAnsi="Arial" w:eastAsia="宋体" w:cs="Arial"/>
          <w:sz w:val="24"/>
          <w:szCs w:val="24"/>
        </w:rPr>
        <w:sectPr>
          <w:pgSz w:w="12240" w:h="15840"/>
          <w:pgMar w:top="1440" w:right="1800" w:bottom="1440" w:left="1800" w:header="720" w:footer="720" w:gutter="0"/>
          <w:cols w:space="720" w:num="1"/>
          <w:docGrid w:linePitch="299" w:charSpace="0"/>
        </w:sectPr>
      </w:pPr>
    </w:p>
    <w:sdt>
      <w:sdtPr>
        <w:rPr>
          <w:rFonts w:asciiTheme="minorHAnsi" w:hAnsiTheme="minorHAnsi" w:eastAsiaTheme="minorEastAsia" w:cstheme="minorBidi"/>
          <w:b w:val="0"/>
          <w:bCs w:val="0"/>
          <w:color w:val="auto"/>
          <w:sz w:val="22"/>
          <w:szCs w:val="22"/>
          <w:lang w:val="zh-CN"/>
        </w:rPr>
        <w:id w:val="906344017"/>
        <w:docPartObj>
          <w:docPartGallery w:val="Table of Contents"/>
          <w:docPartUnique/>
        </w:docPartObj>
      </w:sdtPr>
      <w:sdtEndPr>
        <w:rPr>
          <w:rFonts w:asciiTheme="minorHAnsi" w:hAnsiTheme="minorHAnsi" w:eastAsiaTheme="minorEastAsia" w:cstheme="minorBidi"/>
          <w:b w:val="0"/>
          <w:bCs w:val="0"/>
          <w:color w:val="auto"/>
          <w:sz w:val="22"/>
          <w:szCs w:val="22"/>
          <w:lang w:val="zh-CN"/>
        </w:rPr>
      </w:sdtEndPr>
      <w:sdtContent>
        <w:p w14:paraId="77583B6E">
          <w:pPr>
            <w:pStyle w:val="23"/>
            <w:jc w:val="center"/>
            <w:rPr>
              <w:color w:val="000000" w:themeColor="text1"/>
              <w14:textFill>
                <w14:solidFill>
                  <w14:schemeClr w14:val="tx1"/>
                </w14:solidFill>
              </w14:textFill>
            </w:rPr>
          </w:pPr>
          <w:r>
            <w:rPr>
              <w:color w:val="000000" w:themeColor="text1"/>
              <w:lang w:val="zh-CN"/>
              <w14:textFill>
                <w14:solidFill>
                  <w14:schemeClr w14:val="tx1"/>
                </w14:solidFill>
              </w14:textFill>
            </w:rPr>
            <w:t>目录</w:t>
          </w:r>
        </w:p>
        <w:p w14:paraId="59DB0F72">
          <w:pPr>
            <w:pStyle w:val="8"/>
            <w:tabs>
              <w:tab w:val="right" w:leader="dot" w:pos="8630"/>
            </w:tabs>
            <w:rPr>
              <w:rFonts w:asciiTheme="minorHAnsi" w:hAnsiTheme="minorHAnsi" w:eastAsiaTheme="minorEastAsia"/>
              <w:b w:val="0"/>
              <w:bCs w:val="0"/>
              <w:kern w:val="2"/>
              <w:sz w:val="21"/>
              <w:szCs w:val="22"/>
            </w:rPr>
          </w:pPr>
          <w:r>
            <w:rPr>
              <w:rFonts w:ascii="Arial" w:hAnsi="Arial" w:cs="Arial"/>
              <w:b w:val="0"/>
              <w:bCs w:val="0"/>
            </w:rPr>
            <w:fldChar w:fldCharType="begin"/>
          </w:r>
          <w:r>
            <w:rPr>
              <w:rFonts w:ascii="Arial" w:hAnsi="Arial" w:cs="Arial"/>
            </w:rPr>
            <w:instrText xml:space="preserve"> TOC \o "1-3" \h \z \u </w:instrText>
          </w:r>
          <w:r>
            <w:rPr>
              <w:rFonts w:ascii="Arial" w:hAnsi="Arial" w:cs="Arial"/>
              <w:b w:val="0"/>
              <w:bCs w:val="0"/>
            </w:rPr>
            <w:fldChar w:fldCharType="separate"/>
          </w:r>
          <w:r>
            <w:fldChar w:fldCharType="begin"/>
          </w:r>
          <w:r>
            <w:instrText xml:space="preserve"> HYPERLINK \l "_Toc495675628" </w:instrText>
          </w:r>
          <w:r>
            <w:fldChar w:fldCharType="separate"/>
          </w:r>
          <w:r>
            <w:rPr>
              <w:rStyle w:val="13"/>
              <w:rFonts w:ascii="Arial" w:hAnsi="Arial" w:eastAsia="Times New Roman" w:cs="Arial"/>
            </w:rPr>
            <w:t>I.</w:t>
          </w:r>
          <w:r>
            <w:rPr>
              <w:rFonts w:asciiTheme="minorHAnsi" w:hAnsiTheme="minorHAnsi" w:eastAsiaTheme="minorEastAsia"/>
              <w:b w:val="0"/>
              <w:bCs w:val="0"/>
              <w:kern w:val="2"/>
              <w:sz w:val="21"/>
              <w:szCs w:val="22"/>
            </w:rPr>
            <w:tab/>
          </w:r>
          <w:r>
            <w:rPr>
              <w:rStyle w:val="13"/>
              <w:rFonts w:hint="eastAsia" w:ascii="Arial" w:hAnsi="Arial" w:cs="Arial"/>
            </w:rPr>
            <w:t>目的和范围</w:t>
          </w:r>
          <w:r>
            <w:tab/>
          </w:r>
          <w:r>
            <w:fldChar w:fldCharType="begin"/>
          </w:r>
          <w:r>
            <w:instrText xml:space="preserve"> PAGEREF _Toc495675628 \h </w:instrText>
          </w:r>
          <w:r>
            <w:fldChar w:fldCharType="separate"/>
          </w:r>
          <w:r>
            <w:t>1</w:t>
          </w:r>
          <w:r>
            <w:fldChar w:fldCharType="end"/>
          </w:r>
          <w:r>
            <w:fldChar w:fldCharType="end"/>
          </w:r>
        </w:p>
        <w:p w14:paraId="014DBF52">
          <w:pPr>
            <w:pStyle w:val="8"/>
            <w:tabs>
              <w:tab w:val="right" w:leader="dot" w:pos="8630"/>
            </w:tabs>
            <w:rPr>
              <w:rFonts w:asciiTheme="minorHAnsi" w:hAnsiTheme="minorHAnsi" w:eastAsiaTheme="minorEastAsia"/>
              <w:b w:val="0"/>
              <w:bCs w:val="0"/>
              <w:kern w:val="2"/>
              <w:sz w:val="21"/>
              <w:szCs w:val="22"/>
            </w:rPr>
          </w:pPr>
          <w:r>
            <w:fldChar w:fldCharType="begin"/>
          </w:r>
          <w:r>
            <w:instrText xml:space="preserve"> HYPERLINK \l "_Toc495675629" </w:instrText>
          </w:r>
          <w:r>
            <w:fldChar w:fldCharType="separate"/>
          </w:r>
          <w:r>
            <w:rPr>
              <w:rStyle w:val="13"/>
              <w:rFonts w:ascii="Arial" w:hAnsi="Arial" w:eastAsia="Times New Roman" w:cs="Arial"/>
            </w:rPr>
            <w:t>II.</w:t>
          </w:r>
          <w:r>
            <w:rPr>
              <w:rFonts w:asciiTheme="minorHAnsi" w:hAnsiTheme="minorHAnsi" w:eastAsiaTheme="minorEastAsia"/>
              <w:b w:val="0"/>
              <w:bCs w:val="0"/>
              <w:kern w:val="2"/>
              <w:sz w:val="21"/>
              <w:szCs w:val="22"/>
            </w:rPr>
            <w:tab/>
          </w:r>
          <w:r>
            <w:rPr>
              <w:rStyle w:val="13"/>
              <w:rFonts w:hint="eastAsia" w:ascii="Arial" w:hAnsi="Arial" w:cs="Arial"/>
            </w:rPr>
            <w:t>引言</w:t>
          </w:r>
          <w:r>
            <w:tab/>
          </w:r>
          <w:r>
            <w:fldChar w:fldCharType="begin"/>
          </w:r>
          <w:r>
            <w:instrText xml:space="preserve"> PAGEREF _Toc495675629 \h </w:instrText>
          </w:r>
          <w:r>
            <w:fldChar w:fldCharType="separate"/>
          </w:r>
          <w:r>
            <w:t>2</w:t>
          </w:r>
          <w:r>
            <w:fldChar w:fldCharType="end"/>
          </w:r>
          <w:r>
            <w:fldChar w:fldCharType="end"/>
          </w:r>
        </w:p>
        <w:p w14:paraId="495C9861">
          <w:pPr>
            <w:pStyle w:val="8"/>
            <w:tabs>
              <w:tab w:val="right" w:leader="dot" w:pos="8630"/>
            </w:tabs>
            <w:rPr>
              <w:rFonts w:asciiTheme="minorHAnsi" w:hAnsiTheme="minorHAnsi" w:eastAsiaTheme="minorEastAsia"/>
              <w:b w:val="0"/>
              <w:bCs w:val="0"/>
              <w:kern w:val="2"/>
              <w:sz w:val="21"/>
              <w:szCs w:val="22"/>
            </w:rPr>
          </w:pPr>
          <w:r>
            <w:fldChar w:fldCharType="begin"/>
          </w:r>
          <w:r>
            <w:instrText xml:space="preserve"> HYPERLINK \l "_Toc495675630" </w:instrText>
          </w:r>
          <w:r>
            <w:fldChar w:fldCharType="separate"/>
          </w:r>
          <w:r>
            <w:rPr>
              <w:rStyle w:val="13"/>
              <w:rFonts w:ascii="Arial" w:hAnsi="Arial" w:eastAsia="Times New Roman" w:cs="Arial"/>
            </w:rPr>
            <w:t>III.</w:t>
          </w:r>
          <w:r>
            <w:rPr>
              <w:rFonts w:asciiTheme="minorHAnsi" w:hAnsiTheme="minorHAnsi" w:eastAsiaTheme="minorEastAsia"/>
              <w:b w:val="0"/>
              <w:bCs w:val="0"/>
              <w:kern w:val="2"/>
              <w:sz w:val="21"/>
              <w:szCs w:val="22"/>
            </w:rPr>
            <w:tab/>
          </w:r>
          <w:r>
            <w:rPr>
              <w:rStyle w:val="13"/>
              <w:rFonts w:hint="eastAsia" w:ascii="Arial" w:hAnsi="Arial" w:cs="Arial"/>
            </w:rPr>
            <w:t>定义</w:t>
          </w:r>
          <w:r>
            <w:tab/>
          </w:r>
          <w:r>
            <w:fldChar w:fldCharType="begin"/>
          </w:r>
          <w:r>
            <w:instrText xml:space="preserve"> PAGEREF _Toc495675630 \h </w:instrText>
          </w:r>
          <w:r>
            <w:fldChar w:fldCharType="separate"/>
          </w:r>
          <w:r>
            <w:t>3</w:t>
          </w:r>
          <w:r>
            <w:fldChar w:fldCharType="end"/>
          </w:r>
          <w:r>
            <w:fldChar w:fldCharType="end"/>
          </w:r>
        </w:p>
        <w:p w14:paraId="2B7EE0FA">
          <w:pPr>
            <w:pStyle w:val="8"/>
            <w:tabs>
              <w:tab w:val="right" w:leader="dot" w:pos="8630"/>
            </w:tabs>
            <w:rPr>
              <w:rFonts w:asciiTheme="minorHAnsi" w:hAnsiTheme="minorHAnsi" w:eastAsiaTheme="minorEastAsia"/>
              <w:b w:val="0"/>
              <w:bCs w:val="0"/>
              <w:kern w:val="2"/>
              <w:sz w:val="21"/>
              <w:szCs w:val="22"/>
            </w:rPr>
          </w:pPr>
          <w:r>
            <w:fldChar w:fldCharType="begin"/>
          </w:r>
          <w:r>
            <w:instrText xml:space="preserve"> HYPERLINK \l "_Toc495675631" </w:instrText>
          </w:r>
          <w:r>
            <w:fldChar w:fldCharType="separate"/>
          </w:r>
          <w:r>
            <w:rPr>
              <w:rStyle w:val="13"/>
              <w:rFonts w:ascii="Arial" w:hAnsi="Arial" w:eastAsia="Times New Roman" w:cs="Arial"/>
            </w:rPr>
            <w:t>IV.</w:t>
          </w:r>
          <w:r>
            <w:rPr>
              <w:rFonts w:asciiTheme="minorHAnsi" w:hAnsiTheme="minorHAnsi" w:eastAsiaTheme="minorEastAsia"/>
              <w:b w:val="0"/>
              <w:bCs w:val="0"/>
              <w:kern w:val="2"/>
              <w:sz w:val="21"/>
              <w:szCs w:val="22"/>
            </w:rPr>
            <w:tab/>
          </w:r>
          <w:r>
            <w:rPr>
              <w:rStyle w:val="13"/>
              <w:rFonts w:hint="eastAsia" w:ascii="Arial" w:hAnsi="Arial" w:cs="Arial"/>
            </w:rPr>
            <w:t>背景</w:t>
          </w:r>
          <w:r>
            <w:tab/>
          </w:r>
          <w:r>
            <w:fldChar w:fldCharType="begin"/>
          </w:r>
          <w:r>
            <w:instrText xml:space="preserve"> PAGEREF _Toc495675631 \h </w:instrText>
          </w:r>
          <w:r>
            <w:fldChar w:fldCharType="separate"/>
          </w:r>
          <w:r>
            <w:t>3</w:t>
          </w:r>
          <w:r>
            <w:fldChar w:fldCharType="end"/>
          </w:r>
          <w:r>
            <w:fldChar w:fldCharType="end"/>
          </w:r>
        </w:p>
        <w:p w14:paraId="636C734F">
          <w:pPr>
            <w:pStyle w:val="8"/>
            <w:tabs>
              <w:tab w:val="right" w:leader="dot" w:pos="8630"/>
            </w:tabs>
            <w:rPr>
              <w:rFonts w:asciiTheme="minorHAnsi" w:hAnsiTheme="minorHAnsi" w:eastAsiaTheme="minorEastAsia"/>
              <w:b w:val="0"/>
              <w:bCs w:val="0"/>
              <w:kern w:val="2"/>
              <w:sz w:val="21"/>
              <w:szCs w:val="22"/>
            </w:rPr>
          </w:pPr>
          <w:r>
            <w:fldChar w:fldCharType="begin"/>
          </w:r>
          <w:r>
            <w:instrText xml:space="preserve"> HYPERLINK \l "_Toc495675632" </w:instrText>
          </w:r>
          <w:r>
            <w:fldChar w:fldCharType="separate"/>
          </w:r>
          <w:r>
            <w:rPr>
              <w:rStyle w:val="13"/>
              <w:rFonts w:ascii="Arial" w:hAnsi="Arial" w:eastAsia="Times New Roman" w:cs="Arial"/>
            </w:rPr>
            <w:t>V.</w:t>
          </w:r>
          <w:r>
            <w:rPr>
              <w:rFonts w:asciiTheme="minorHAnsi" w:hAnsiTheme="minorHAnsi" w:eastAsiaTheme="minorEastAsia"/>
              <w:b w:val="0"/>
              <w:bCs w:val="0"/>
              <w:kern w:val="2"/>
              <w:sz w:val="21"/>
              <w:szCs w:val="22"/>
            </w:rPr>
            <w:tab/>
          </w:r>
          <w:r>
            <w:rPr>
              <w:rStyle w:val="13"/>
              <w:rFonts w:hint="eastAsia" w:ascii="Arial" w:hAnsi="Arial" w:cs="Arial"/>
            </w:rPr>
            <w:t>替代方法</w:t>
          </w:r>
          <w:r>
            <w:tab/>
          </w:r>
          <w:r>
            <w:fldChar w:fldCharType="begin"/>
          </w:r>
          <w:r>
            <w:instrText xml:space="preserve"> PAGEREF _Toc495675632 \h </w:instrText>
          </w:r>
          <w:r>
            <w:fldChar w:fldCharType="separate"/>
          </w:r>
          <w:r>
            <w:t>4</w:t>
          </w:r>
          <w:r>
            <w:fldChar w:fldCharType="end"/>
          </w:r>
          <w:r>
            <w:fldChar w:fldCharType="end"/>
          </w:r>
        </w:p>
        <w:p w14:paraId="44638408">
          <w:pPr>
            <w:pStyle w:val="8"/>
            <w:tabs>
              <w:tab w:val="right" w:leader="dot" w:pos="8630"/>
            </w:tabs>
            <w:rPr>
              <w:rFonts w:asciiTheme="minorHAnsi" w:hAnsiTheme="minorHAnsi" w:eastAsiaTheme="minorEastAsia"/>
              <w:b w:val="0"/>
              <w:bCs w:val="0"/>
              <w:kern w:val="2"/>
              <w:sz w:val="21"/>
              <w:szCs w:val="22"/>
            </w:rPr>
          </w:pPr>
          <w:r>
            <w:fldChar w:fldCharType="begin"/>
          </w:r>
          <w:r>
            <w:instrText xml:space="preserve"> HYPERLINK \l "_Toc495675633" </w:instrText>
          </w:r>
          <w:r>
            <w:fldChar w:fldCharType="separate"/>
          </w:r>
          <w:r>
            <w:rPr>
              <w:rStyle w:val="13"/>
              <w:rFonts w:ascii="Arial" w:hAnsi="Arial" w:eastAsia="Times New Roman" w:cs="Arial"/>
            </w:rPr>
            <w:t>VI.</w:t>
          </w:r>
          <w:r>
            <w:rPr>
              <w:rFonts w:asciiTheme="minorHAnsi" w:hAnsiTheme="minorHAnsi" w:eastAsiaTheme="minorEastAsia"/>
              <w:b w:val="0"/>
              <w:bCs w:val="0"/>
              <w:kern w:val="2"/>
              <w:sz w:val="21"/>
              <w:szCs w:val="22"/>
            </w:rPr>
            <w:tab/>
          </w:r>
          <w:r>
            <w:rPr>
              <w:rStyle w:val="13"/>
              <w:rFonts w:hint="eastAsia" w:ascii="Arial" w:hAnsi="Arial" w:cs="Arial"/>
            </w:rPr>
            <w:t>实施</w:t>
          </w:r>
          <w:r>
            <w:tab/>
          </w:r>
          <w:r>
            <w:fldChar w:fldCharType="begin"/>
          </w:r>
          <w:r>
            <w:instrText xml:space="preserve"> PAGEREF _Toc495675633 \h </w:instrText>
          </w:r>
          <w:r>
            <w:fldChar w:fldCharType="separate"/>
          </w:r>
          <w:r>
            <w:t>5</w:t>
          </w:r>
          <w:r>
            <w:fldChar w:fldCharType="end"/>
          </w:r>
          <w:r>
            <w:fldChar w:fldCharType="end"/>
          </w:r>
        </w:p>
        <w:p w14:paraId="29127193">
          <w:pPr>
            <w:pStyle w:val="8"/>
            <w:tabs>
              <w:tab w:val="right" w:leader="dot" w:pos="8630"/>
            </w:tabs>
            <w:rPr>
              <w:rFonts w:asciiTheme="minorHAnsi" w:hAnsiTheme="minorHAnsi" w:eastAsiaTheme="minorEastAsia"/>
              <w:b w:val="0"/>
              <w:bCs w:val="0"/>
              <w:kern w:val="2"/>
              <w:sz w:val="21"/>
              <w:szCs w:val="22"/>
            </w:rPr>
          </w:pPr>
          <w:r>
            <w:fldChar w:fldCharType="begin"/>
          </w:r>
          <w:r>
            <w:instrText xml:space="preserve"> HYPERLINK \l "_Toc495675634" </w:instrText>
          </w:r>
          <w:r>
            <w:fldChar w:fldCharType="separate"/>
          </w:r>
          <w:r>
            <w:rPr>
              <w:rStyle w:val="13"/>
              <w:rFonts w:ascii="Arial" w:hAnsi="Arial" w:eastAsia="Times New Roman" w:cs="Arial"/>
            </w:rPr>
            <w:t>VII.</w:t>
          </w:r>
          <w:r>
            <w:rPr>
              <w:rFonts w:asciiTheme="minorHAnsi" w:hAnsiTheme="minorHAnsi" w:eastAsiaTheme="minorEastAsia"/>
              <w:b w:val="0"/>
              <w:bCs w:val="0"/>
              <w:kern w:val="2"/>
              <w:sz w:val="21"/>
              <w:szCs w:val="22"/>
            </w:rPr>
            <w:tab/>
          </w:r>
          <w:r>
            <w:rPr>
              <w:rStyle w:val="13"/>
              <w:rFonts w:hint="eastAsia" w:ascii="Arial" w:hAnsi="Arial" w:cs="Arial"/>
            </w:rPr>
            <w:t>提交申请</w:t>
          </w:r>
          <w:r>
            <w:tab/>
          </w:r>
          <w:r>
            <w:fldChar w:fldCharType="begin"/>
          </w:r>
          <w:r>
            <w:instrText xml:space="preserve"> PAGEREF _Toc495675634 \h </w:instrText>
          </w:r>
          <w:r>
            <w:fldChar w:fldCharType="separate"/>
          </w:r>
          <w:r>
            <w:t>5</w:t>
          </w:r>
          <w:r>
            <w:fldChar w:fldCharType="end"/>
          </w:r>
          <w:r>
            <w:fldChar w:fldCharType="end"/>
          </w:r>
        </w:p>
        <w:p w14:paraId="5DDF6CB1">
          <w:r>
            <w:rPr>
              <w:rFonts w:ascii="Arial" w:hAnsi="Arial" w:eastAsia="宋体" w:cs="Arial"/>
              <w:b/>
              <w:bCs/>
              <w:lang w:val="zh-CN"/>
            </w:rPr>
            <w:fldChar w:fldCharType="end"/>
          </w:r>
        </w:p>
      </w:sdtContent>
    </w:sdt>
    <w:p w14:paraId="001A2854">
      <w:pPr>
        <w:pStyle w:val="8"/>
        <w:tabs>
          <w:tab w:val="left" w:pos="719"/>
          <w:tab w:val="left" w:pos="820"/>
          <w:tab w:val="right" w:leader="dot" w:pos="9191"/>
        </w:tabs>
        <w:snapToGrid w:val="0"/>
        <w:spacing w:line="300" w:lineRule="auto"/>
        <w:ind w:left="0" w:firstLine="0"/>
        <w:jc w:val="both"/>
        <w:rPr>
          <w:rFonts w:ascii="Arial" w:hAnsi="Arial" w:cs="Arial"/>
          <w:b w:val="0"/>
          <w:bCs w:val="0"/>
        </w:rPr>
      </w:pPr>
    </w:p>
    <w:p w14:paraId="7B997B6C">
      <w:pPr>
        <w:snapToGrid w:val="0"/>
        <w:spacing w:line="300" w:lineRule="auto"/>
        <w:jc w:val="both"/>
        <w:rPr>
          <w:rFonts w:ascii="Arial" w:hAnsi="Arial" w:eastAsia="宋体" w:cs="Arial"/>
        </w:rPr>
        <w:sectPr>
          <w:headerReference r:id="rId4" w:type="default"/>
          <w:footerReference r:id="rId5" w:type="default"/>
          <w:pgSz w:w="12240" w:h="15840"/>
          <w:pgMar w:top="1440" w:right="1800" w:bottom="1440" w:left="1800" w:header="750" w:footer="768" w:gutter="0"/>
          <w:pgNumType w:fmt="lowerRoman" w:start="1"/>
          <w:cols w:space="720" w:num="1"/>
          <w:docGrid w:linePitch="299" w:charSpace="0"/>
        </w:sectPr>
      </w:pPr>
    </w:p>
    <w:p w14:paraId="7B9D166C">
      <w:pPr>
        <w:snapToGrid w:val="0"/>
        <w:spacing w:line="300" w:lineRule="auto"/>
        <w:jc w:val="center"/>
        <w:rPr>
          <w:rFonts w:ascii="Arial" w:hAnsi="Arial" w:eastAsia="宋体" w:cs="Arial"/>
          <w:sz w:val="32"/>
          <w:szCs w:val="32"/>
        </w:rPr>
      </w:pPr>
      <w:bookmarkStart w:id="5" w:name="_bookmark0"/>
      <w:bookmarkEnd w:id="5"/>
      <w:r>
        <w:rPr>
          <w:rFonts w:ascii="Arial" w:hAnsi="Arial" w:eastAsia="宋体" w:cs="Arial"/>
          <w:b/>
          <w:sz w:val="32"/>
          <w:szCs w:val="32"/>
        </w:rPr>
        <w:t>行业指南</w:t>
      </w:r>
      <w:r>
        <w:rPr>
          <w:rStyle w:val="14"/>
          <w:rFonts w:ascii="Arial" w:hAnsi="Arial" w:eastAsia="宋体" w:cs="Arial"/>
          <w:b/>
          <w:sz w:val="32"/>
          <w:szCs w:val="32"/>
        </w:rPr>
        <w:footnoteReference w:id="0"/>
      </w:r>
    </w:p>
    <w:p w14:paraId="571625AA">
      <w:pPr>
        <w:snapToGrid w:val="0"/>
        <w:spacing w:before="8" w:line="300" w:lineRule="auto"/>
        <w:jc w:val="center"/>
        <w:rPr>
          <w:rFonts w:ascii="Arial" w:hAnsi="Arial" w:eastAsia="宋体" w:cs="Arial"/>
          <w:b/>
          <w:bCs/>
        </w:rPr>
      </w:pPr>
      <w:r>
        <w:rPr>
          <w:rFonts w:hint="eastAsia" w:ascii="Arial" w:hAnsi="Arial" w:eastAsia="宋体" w:cs="Arial"/>
          <w:b/>
          <w:sz w:val="32"/>
        </w:rPr>
        <w:t>容器和密封系统完好性试验替代无菌试验为无菌产品稳定性方案的一部分</w:t>
      </w:r>
    </w:p>
    <w:tbl>
      <w:tblPr>
        <w:tblStyle w:val="11"/>
        <w:tblW w:w="0" w:type="auto"/>
        <w:tblInd w:w="0" w:type="dxa"/>
        <w:tblBorders>
          <w:top w:val="thinThickLargeGap" w:color="auto" w:sz="24" w:space="0"/>
          <w:left w:val="thinThickLargeGap" w:color="auto" w:sz="24" w:space="0"/>
          <w:bottom w:val="thinThickLargeGap" w:color="auto" w:sz="24" w:space="0"/>
          <w:right w:val="thinThickLargeGap" w:color="auto" w:sz="24" w:space="0"/>
          <w:insideH w:val="thinThickLargeGap" w:color="auto" w:sz="24" w:space="0"/>
          <w:insideV w:val="thinThickLargeGap" w:color="auto" w:sz="24" w:space="0"/>
        </w:tblBorders>
        <w:tblLayout w:type="autofit"/>
        <w:tblCellMar>
          <w:top w:w="0" w:type="dxa"/>
          <w:left w:w="108" w:type="dxa"/>
          <w:bottom w:w="0" w:type="dxa"/>
          <w:right w:w="108" w:type="dxa"/>
        </w:tblCellMar>
      </w:tblPr>
      <w:tblGrid>
        <w:gridCol w:w="8856"/>
      </w:tblGrid>
      <w:tr w14:paraId="50F9B7A2">
        <w:tblPrEx>
          <w:tblBorders>
            <w:top w:val="thinThickLargeGap" w:color="auto" w:sz="24" w:space="0"/>
            <w:left w:val="thinThickLargeGap" w:color="auto" w:sz="24" w:space="0"/>
            <w:bottom w:val="thinThickLargeGap" w:color="auto" w:sz="24" w:space="0"/>
            <w:right w:val="thinThickLargeGap" w:color="auto" w:sz="24" w:space="0"/>
            <w:insideH w:val="thinThickLargeGap" w:color="auto" w:sz="24" w:space="0"/>
            <w:insideV w:val="thinThickLargeGap" w:color="auto" w:sz="24" w:space="0"/>
          </w:tblBorders>
          <w:tblCellMar>
            <w:top w:w="0" w:type="dxa"/>
            <w:left w:w="108" w:type="dxa"/>
            <w:bottom w:w="0" w:type="dxa"/>
            <w:right w:w="108" w:type="dxa"/>
          </w:tblCellMar>
        </w:tblPrEx>
        <w:tc>
          <w:tcPr>
            <w:tcW w:w="8856" w:type="dxa"/>
          </w:tcPr>
          <w:p w14:paraId="3B21ED70">
            <w:pPr>
              <w:spacing w:before="19"/>
              <w:ind w:left="109" w:right="293"/>
              <w:jc w:val="both"/>
              <w:rPr>
                <w:rFonts w:ascii="Arial" w:hAnsi="Arial" w:eastAsia="宋体" w:cs="Arial"/>
                <w:sz w:val="24"/>
                <w:szCs w:val="24"/>
              </w:rPr>
            </w:pPr>
            <w:r>
              <w:rPr>
                <w:rFonts w:ascii="Arial" w:hAnsi="Arial" w:eastAsia="宋体" w:cs="Arial"/>
                <w:i/>
                <w:sz w:val="24"/>
                <w:szCs w:val="24"/>
              </w:rPr>
              <w:t>本指南代表食品药品监督管理局（FDA）对此主题的最新见解。其不会为任何人创造或赋予任何权利，也不对FDA或公众具有约束力。如果替代方法满足适用的法律、法规的要求，可以使用替代方法。如果贵公司希望讨论一种替代方法，请联系合适的FDA工作人员。如果贵公司无法确定适当的FDA工作人员，请拨打本指南标题页上列出的合适的电话号码。</w:t>
            </w:r>
          </w:p>
        </w:tc>
      </w:tr>
    </w:tbl>
    <w:p w14:paraId="5156046A">
      <w:pPr>
        <w:snapToGrid w:val="0"/>
        <w:spacing w:before="1" w:line="300" w:lineRule="auto"/>
        <w:jc w:val="both"/>
        <w:rPr>
          <w:rFonts w:ascii="Arial" w:hAnsi="Arial" w:eastAsia="宋体" w:cs="Arial"/>
          <w:b/>
          <w:bCs/>
          <w:sz w:val="33"/>
          <w:szCs w:val="33"/>
        </w:rPr>
      </w:pPr>
    </w:p>
    <w:p w14:paraId="33D034F5">
      <w:pPr>
        <w:pStyle w:val="2"/>
        <w:numPr>
          <w:ilvl w:val="1"/>
          <w:numId w:val="1"/>
        </w:numPr>
        <w:tabs>
          <w:tab w:val="left" w:pos="1060"/>
        </w:tabs>
        <w:snapToGrid w:val="0"/>
        <w:spacing w:line="300" w:lineRule="auto"/>
        <w:ind w:left="720"/>
        <w:jc w:val="both"/>
        <w:rPr>
          <w:rFonts w:ascii="Arial" w:hAnsi="Arial" w:cs="Arial"/>
          <w:b w:val="0"/>
          <w:bCs w:val="0"/>
          <w:sz w:val="28"/>
          <w:szCs w:val="28"/>
        </w:rPr>
      </w:pPr>
      <w:bookmarkStart w:id="6" w:name="I._PURPOSE_AND_SCOPE"/>
      <w:bookmarkEnd w:id="6"/>
      <w:bookmarkStart w:id="7" w:name="_Toc495675628"/>
      <w:r>
        <w:rPr>
          <w:rFonts w:ascii="Arial" w:hAnsi="Arial" w:cs="Arial"/>
          <w:sz w:val="28"/>
          <w:szCs w:val="28"/>
        </w:rPr>
        <w:t>目的和范围</w:t>
      </w:r>
      <w:bookmarkEnd w:id="7"/>
    </w:p>
    <w:p w14:paraId="61139C84">
      <w:pPr>
        <w:snapToGrid w:val="0"/>
        <w:spacing w:before="1" w:line="300" w:lineRule="auto"/>
        <w:jc w:val="both"/>
        <w:rPr>
          <w:rFonts w:ascii="Arial" w:hAnsi="Arial" w:eastAsia="宋体" w:cs="Arial"/>
          <w:b/>
          <w:bCs/>
          <w:sz w:val="24"/>
          <w:szCs w:val="24"/>
        </w:rPr>
      </w:pPr>
    </w:p>
    <w:p w14:paraId="0548610C">
      <w:pPr>
        <w:pStyle w:val="3"/>
        <w:snapToGrid w:val="0"/>
        <w:spacing w:line="300" w:lineRule="auto"/>
        <w:ind w:left="0"/>
        <w:jc w:val="both"/>
        <w:rPr>
          <w:rFonts w:ascii="Arial" w:hAnsi="Arial" w:cs="Arial"/>
        </w:rPr>
      </w:pPr>
      <w:r>
        <w:rPr>
          <w:rFonts w:ascii="Arial" w:hAnsi="Arial" w:cs="Arial"/>
        </w:rPr>
        <w:t>本指导性文件旨在为</w:t>
      </w:r>
      <w:r>
        <w:rPr>
          <w:rFonts w:hint="eastAsia" w:ascii="Arial" w:hAnsi="Arial" w:cs="Arial"/>
        </w:rPr>
        <w:t>制造商提供</w:t>
      </w:r>
      <w:r>
        <w:rPr>
          <w:rFonts w:ascii="Arial" w:hAnsi="Arial" w:cs="Arial"/>
        </w:rPr>
        <w:t>无菌试验方法</w:t>
      </w:r>
      <w:r>
        <w:rPr>
          <w:rFonts w:hint="eastAsia" w:ascii="Arial" w:hAnsi="Arial" w:cs="Arial"/>
        </w:rPr>
        <w:t>之外用于</w:t>
      </w:r>
      <w:r>
        <w:rPr>
          <w:rFonts w:ascii="Arial" w:hAnsi="Arial" w:cs="Arial"/>
        </w:rPr>
        <w:t>确定容器和密封系统完好性</w:t>
      </w:r>
      <w:r>
        <w:rPr>
          <w:rFonts w:hint="eastAsia" w:ascii="Arial" w:hAnsi="Arial" w:cs="Arial"/>
        </w:rPr>
        <w:t>试验</w:t>
      </w:r>
      <w:r>
        <w:rPr>
          <w:rFonts w:ascii="Arial" w:hAnsi="Arial" w:cs="Arial"/>
        </w:rPr>
        <w:t>作为无菌生物制剂、人类和动物药品和医疗器械稳定性方案一部分</w:t>
      </w:r>
      <w:r>
        <w:rPr>
          <w:rFonts w:hint="eastAsia" w:ascii="Arial" w:hAnsi="Arial" w:cs="Arial"/>
        </w:rPr>
        <w:t>的建议</w:t>
      </w:r>
      <w:r>
        <w:rPr>
          <w:rFonts w:ascii="Arial" w:hAnsi="Arial" w:cs="Arial"/>
        </w:rPr>
        <w:t>。本指导性文件最终确定了1998年1月发布的具有相同标题的指南草案（1998年1月28日，63联邦公报（FR）4272）。</w:t>
      </w:r>
    </w:p>
    <w:p w14:paraId="3D1C17D2">
      <w:pPr>
        <w:snapToGrid w:val="0"/>
        <w:spacing w:line="300" w:lineRule="auto"/>
        <w:jc w:val="both"/>
        <w:rPr>
          <w:rFonts w:ascii="Arial" w:hAnsi="Arial" w:eastAsia="宋体" w:cs="Arial"/>
          <w:sz w:val="24"/>
          <w:szCs w:val="24"/>
        </w:rPr>
      </w:pPr>
    </w:p>
    <w:p w14:paraId="6F56EEA5">
      <w:pPr>
        <w:pStyle w:val="3"/>
        <w:snapToGrid w:val="0"/>
        <w:spacing w:line="300" w:lineRule="auto"/>
        <w:ind w:left="0"/>
        <w:jc w:val="both"/>
        <w:rPr>
          <w:rFonts w:ascii="Arial" w:hAnsi="Arial" w:cs="Arial"/>
        </w:rPr>
      </w:pPr>
      <w:r>
        <w:rPr>
          <w:rFonts w:ascii="Arial" w:hAnsi="Arial" w:cs="Arial"/>
        </w:rPr>
        <w:t>无菌药品和生物制剂制造商必须对每</w:t>
      </w:r>
      <w:r>
        <w:rPr>
          <w:rFonts w:hint="eastAsia" w:ascii="Arial" w:hAnsi="Arial" w:cs="Arial"/>
        </w:rPr>
        <w:t>个</w:t>
      </w:r>
      <w:r>
        <w:rPr>
          <w:rFonts w:ascii="Arial" w:hAnsi="Arial" w:cs="Arial"/>
        </w:rPr>
        <w:t>批次或</w:t>
      </w:r>
      <w:r>
        <w:rPr>
          <w:rFonts w:hint="eastAsia" w:ascii="Arial" w:hAnsi="Arial" w:cs="Arial"/>
        </w:rPr>
        <w:t>批号</w:t>
      </w:r>
      <w:r>
        <w:rPr>
          <w:rFonts w:ascii="Arial" w:hAnsi="Arial" w:cs="Arial"/>
        </w:rPr>
        <w:t>（视具体情况而定）进行测试，以确保研究产品符合无菌要求。21 CFR 211.167（a）；21 CFR 610.12.此类药品和生物制剂也应符合稳定性试验要求。21 CFR 211.166.稳定性试验要求包括保持用于评估稳定性特性的书面试验程序。医疗器械制造商必须验证此类过程，包括无菌器械灭菌。21 CFR</w:t>
      </w:r>
      <w:r>
        <w:rPr>
          <w:rFonts w:hint="eastAsia" w:ascii="Arial" w:hAnsi="Arial" w:cs="Arial"/>
        </w:rPr>
        <w:t xml:space="preserve"> </w:t>
      </w:r>
      <w:r>
        <w:rPr>
          <w:rFonts w:ascii="Arial" w:hAnsi="Arial" w:cs="Arial"/>
        </w:rPr>
        <w:t>820.75稳定性试验应属于此类器械设计确认的一部分。人类用体外诊断产品需要标有稳定性信息。21 CFR</w:t>
      </w:r>
      <w:r>
        <w:rPr>
          <w:rFonts w:hint="eastAsia" w:ascii="Arial" w:hAnsi="Arial" w:cs="Arial"/>
        </w:rPr>
        <w:t xml:space="preserve"> </w:t>
      </w:r>
      <w:r>
        <w:rPr>
          <w:rFonts w:ascii="Arial" w:hAnsi="Arial" w:cs="Arial"/>
        </w:rPr>
        <w:t>809.10</w:t>
      </w:r>
      <w:bookmarkStart w:id="8" w:name="OLE_LINK10"/>
      <w:bookmarkStart w:id="9" w:name="OLE_LINK9"/>
      <w:r>
        <w:rPr>
          <w:rFonts w:ascii="Arial" w:hAnsi="Arial" w:cs="Arial"/>
        </w:rPr>
        <w:t>.</w:t>
      </w:r>
      <w:bookmarkEnd w:id="8"/>
      <w:bookmarkEnd w:id="9"/>
      <w:r>
        <w:rPr>
          <w:rFonts w:ascii="Arial" w:hAnsi="Arial" w:cs="Arial"/>
        </w:rPr>
        <w:t>对于标记为无菌的产品，本机构认为无菌是一种稳定性特性。</w:t>
      </w:r>
    </w:p>
    <w:p w14:paraId="022D9EE8">
      <w:pPr>
        <w:snapToGrid w:val="0"/>
        <w:spacing w:before="3" w:line="300" w:lineRule="auto"/>
        <w:jc w:val="both"/>
        <w:rPr>
          <w:rFonts w:ascii="Arial" w:hAnsi="Arial" w:eastAsia="宋体" w:cs="Arial"/>
          <w:sz w:val="24"/>
          <w:szCs w:val="24"/>
        </w:rPr>
      </w:pPr>
    </w:p>
    <w:p w14:paraId="1F5F1426">
      <w:pPr>
        <w:pStyle w:val="3"/>
        <w:snapToGrid w:val="0"/>
        <w:spacing w:line="288" w:lineRule="auto"/>
        <w:ind w:left="0"/>
        <w:jc w:val="both"/>
        <w:rPr>
          <w:rFonts w:ascii="Arial" w:hAnsi="Arial" w:cs="Arial"/>
        </w:rPr>
      </w:pPr>
      <w:r>
        <w:rPr>
          <w:rFonts w:ascii="Arial" w:hAnsi="Arial" w:cs="Arial"/>
        </w:rPr>
        <w:t>稳定性试验可提供物质或产品质量如何在各种环境因素（如温度、湿度和光照）的影响下随时间变化的证据，从而允许确定或修改所推荐的存储条件、复试周期、保质期或有效期（视具体情况而定）。</w:t>
      </w:r>
      <w:r>
        <w:rPr>
          <w:rStyle w:val="14"/>
          <w:rFonts w:ascii="Arial" w:hAnsi="Arial" w:cs="Arial"/>
        </w:rPr>
        <w:footnoteReference w:id="1"/>
      </w:r>
      <w:r>
        <w:rPr>
          <w:rFonts w:ascii="Arial" w:hAnsi="Arial" w:cs="Arial"/>
        </w:rPr>
        <w:t>本指导性文件仅适用于替换稳定性书面试验程序（本指南中称为</w:t>
      </w:r>
      <w:r>
        <w:rPr>
          <w:rFonts w:ascii="宋体" w:hAnsi="宋体" w:cs="Arial"/>
        </w:rPr>
        <w:t>“</w:t>
      </w:r>
      <w:r>
        <w:rPr>
          <w:rFonts w:ascii="Arial" w:hAnsi="Arial" w:cs="Arial"/>
        </w:rPr>
        <w:t>稳定性方案</w:t>
      </w:r>
      <w:r>
        <w:rPr>
          <w:rFonts w:ascii="宋体" w:hAnsi="宋体" w:cs="Arial"/>
        </w:rPr>
        <w:t>”</w:t>
      </w:r>
      <w:r>
        <w:rPr>
          <w:rFonts w:ascii="Arial" w:hAnsi="Arial" w:cs="Arial"/>
        </w:rPr>
        <w:t>）中使用适当容器和密封系统进行的无菌试验，并就用于支持容器可持续保持无菌的无菌试验替代方法提供建议。</w:t>
      </w:r>
    </w:p>
    <w:p w14:paraId="629CCBBD">
      <w:pPr>
        <w:snapToGrid w:val="0"/>
        <w:spacing w:before="10" w:line="288" w:lineRule="auto"/>
        <w:jc w:val="both"/>
        <w:rPr>
          <w:rFonts w:ascii="Arial" w:hAnsi="Arial" w:eastAsia="宋体" w:cs="Arial"/>
          <w:sz w:val="24"/>
          <w:szCs w:val="24"/>
        </w:rPr>
      </w:pPr>
    </w:p>
    <w:p w14:paraId="58BD641B">
      <w:pPr>
        <w:pStyle w:val="3"/>
        <w:snapToGrid w:val="0"/>
        <w:spacing w:line="288" w:lineRule="auto"/>
        <w:ind w:left="0"/>
        <w:jc w:val="both"/>
        <w:rPr>
          <w:rFonts w:ascii="Arial" w:hAnsi="Arial" w:cs="Arial"/>
        </w:rPr>
      </w:pPr>
      <w:bookmarkStart w:id="10" w:name="_bookmark3"/>
      <w:bookmarkEnd w:id="10"/>
      <w:r>
        <w:rPr>
          <w:rFonts w:ascii="Arial" w:hAnsi="Arial" w:cs="Arial"/>
        </w:rPr>
        <w:t>本指导性文件不适用于在发布前产品无菌试验中使用的无菌试验方法，因为容器和密封系统完好性试验无法证明产品的初始无菌性。</w:t>
      </w:r>
    </w:p>
    <w:p w14:paraId="0202EB2F">
      <w:pPr>
        <w:snapToGrid w:val="0"/>
        <w:spacing w:line="288" w:lineRule="auto"/>
        <w:jc w:val="both"/>
        <w:rPr>
          <w:rFonts w:ascii="Arial" w:hAnsi="Arial" w:eastAsia="宋体" w:cs="Arial"/>
          <w:sz w:val="24"/>
          <w:szCs w:val="24"/>
        </w:rPr>
      </w:pPr>
    </w:p>
    <w:p w14:paraId="30925A61">
      <w:pPr>
        <w:pStyle w:val="3"/>
        <w:snapToGrid w:val="0"/>
        <w:spacing w:line="288" w:lineRule="auto"/>
        <w:ind w:left="0"/>
        <w:jc w:val="both"/>
        <w:rPr>
          <w:rFonts w:ascii="Arial" w:hAnsi="Arial" w:cs="Arial"/>
        </w:rPr>
      </w:pPr>
      <w:r>
        <w:rPr>
          <w:rFonts w:ascii="Arial" w:hAnsi="Arial" w:cs="Arial"/>
        </w:rPr>
        <w:t>本指导性文件提供的信息建议贵公司应在使用无菌试验替代方法确认容器和密封系统在整个产品的保质期或有效期中的完好性时考虑。本指导性文件中的建议适用于无菌生物制剂、人类和动物药品（包括研究和原料药）的批准前和批准后稳定性方案。对于医疗器械，本指导性文件中的建议适用于标记为无菌的器械稳定性方案。</w:t>
      </w:r>
    </w:p>
    <w:p w14:paraId="3D5D1CE1">
      <w:pPr>
        <w:snapToGrid w:val="0"/>
        <w:spacing w:line="288" w:lineRule="auto"/>
        <w:jc w:val="both"/>
        <w:rPr>
          <w:rFonts w:ascii="Arial" w:hAnsi="Arial" w:eastAsia="宋体" w:cs="Arial"/>
          <w:sz w:val="24"/>
          <w:szCs w:val="24"/>
        </w:rPr>
      </w:pPr>
    </w:p>
    <w:p w14:paraId="2443AE47">
      <w:pPr>
        <w:pStyle w:val="3"/>
        <w:snapToGrid w:val="0"/>
        <w:spacing w:line="288" w:lineRule="auto"/>
        <w:ind w:left="0"/>
        <w:jc w:val="both"/>
        <w:rPr>
          <w:rFonts w:ascii="Arial" w:hAnsi="Arial" w:cs="Arial"/>
        </w:rPr>
      </w:pPr>
      <w:r>
        <w:rPr>
          <w:rFonts w:ascii="Arial" w:hAnsi="Arial" w:cs="Arial"/>
        </w:rPr>
        <w:t>如果贵公司目前正在执行无菌试验为稳定性方案中的稳定性指示试验，贵公司仍可继续进行此类操作。如果贵公司的产品已批准用于稳定性方案中的无菌试验替代方法，则本文档不会就其他试验要求提供建议。</w:t>
      </w:r>
    </w:p>
    <w:p w14:paraId="0C9C997B">
      <w:pPr>
        <w:snapToGrid w:val="0"/>
        <w:spacing w:line="288" w:lineRule="auto"/>
        <w:jc w:val="both"/>
        <w:rPr>
          <w:rFonts w:ascii="Arial" w:hAnsi="Arial" w:eastAsia="宋体" w:cs="Arial"/>
          <w:sz w:val="24"/>
          <w:szCs w:val="24"/>
        </w:rPr>
      </w:pPr>
    </w:p>
    <w:p w14:paraId="75A583EE">
      <w:pPr>
        <w:pStyle w:val="3"/>
        <w:snapToGrid w:val="0"/>
        <w:spacing w:line="288" w:lineRule="auto"/>
        <w:ind w:left="0"/>
        <w:jc w:val="both"/>
        <w:rPr>
          <w:rFonts w:ascii="Arial" w:hAnsi="Arial" w:cs="Arial"/>
        </w:rPr>
      </w:pPr>
      <w:r>
        <w:rPr>
          <w:rFonts w:ascii="Arial" w:hAnsi="Arial" w:cs="Arial"/>
        </w:rPr>
        <w:t>FDA指导性文件，包括本指南</w:t>
      </w:r>
      <w:r>
        <w:rPr>
          <w:rFonts w:hint="eastAsia" w:ascii="Arial" w:hAnsi="Arial" w:cs="Arial"/>
        </w:rPr>
        <w:t>在内</w:t>
      </w:r>
      <w:r>
        <w:rPr>
          <w:rFonts w:ascii="Arial" w:hAnsi="Arial" w:cs="Arial"/>
        </w:rPr>
        <w:t>，不构成具有法律强制力的责任。相反，指南表明了本审查机构对某一主题的最新见解，除非引用具体的法规或法律要求，否则只应视为建议。在本审查机构指南中使用词语</w:t>
      </w:r>
      <w:r>
        <w:rPr>
          <w:rFonts w:ascii="宋体" w:hAnsi="宋体" w:cs="Arial"/>
        </w:rPr>
        <w:t>“</w:t>
      </w:r>
      <w:r>
        <w:rPr>
          <w:rFonts w:ascii="Arial" w:hAnsi="Arial" w:cs="Arial"/>
        </w:rPr>
        <w:t>应</w:t>
      </w:r>
      <w:r>
        <w:rPr>
          <w:rFonts w:ascii="宋体" w:hAnsi="宋体" w:cs="Arial"/>
        </w:rPr>
        <w:t>”</w:t>
      </w:r>
      <w:r>
        <w:rPr>
          <w:rFonts w:ascii="Arial" w:hAnsi="Arial" w:cs="Arial"/>
        </w:rPr>
        <w:t>是指建议或推荐进行某一事项，并非强制要求。</w:t>
      </w:r>
    </w:p>
    <w:p w14:paraId="56A20BA6">
      <w:pPr>
        <w:snapToGrid w:val="0"/>
        <w:spacing w:before="7" w:line="288" w:lineRule="auto"/>
        <w:jc w:val="both"/>
        <w:rPr>
          <w:rFonts w:ascii="Arial" w:hAnsi="Arial" w:eastAsia="宋体" w:cs="Arial"/>
          <w:sz w:val="24"/>
          <w:szCs w:val="24"/>
        </w:rPr>
      </w:pPr>
    </w:p>
    <w:p w14:paraId="0297D084">
      <w:pPr>
        <w:pStyle w:val="2"/>
        <w:numPr>
          <w:ilvl w:val="1"/>
          <w:numId w:val="1"/>
        </w:numPr>
        <w:tabs>
          <w:tab w:val="left" w:pos="1060"/>
        </w:tabs>
        <w:snapToGrid w:val="0"/>
        <w:spacing w:line="288" w:lineRule="auto"/>
        <w:ind w:left="720"/>
        <w:jc w:val="both"/>
        <w:rPr>
          <w:rFonts w:ascii="Arial" w:hAnsi="Arial" w:cs="Arial"/>
          <w:sz w:val="28"/>
          <w:szCs w:val="28"/>
        </w:rPr>
      </w:pPr>
      <w:bookmarkStart w:id="11" w:name="II._INTRODUCTION"/>
      <w:bookmarkEnd w:id="11"/>
      <w:bookmarkStart w:id="12" w:name="_Toc495675629"/>
      <w:r>
        <w:rPr>
          <w:rFonts w:ascii="Arial" w:hAnsi="Arial" w:cs="Arial"/>
          <w:sz w:val="28"/>
          <w:szCs w:val="28"/>
        </w:rPr>
        <w:t>引言</w:t>
      </w:r>
      <w:bookmarkEnd w:id="12"/>
    </w:p>
    <w:p w14:paraId="273B1125">
      <w:pPr>
        <w:snapToGrid w:val="0"/>
        <w:spacing w:before="1" w:line="288" w:lineRule="auto"/>
        <w:jc w:val="both"/>
        <w:rPr>
          <w:rFonts w:ascii="Arial" w:hAnsi="Arial" w:eastAsia="宋体" w:cs="Arial"/>
          <w:b/>
          <w:bCs/>
          <w:sz w:val="24"/>
          <w:szCs w:val="24"/>
        </w:rPr>
      </w:pPr>
    </w:p>
    <w:p w14:paraId="7E1BEF16">
      <w:pPr>
        <w:pStyle w:val="3"/>
        <w:tabs>
          <w:tab w:val="left" w:pos="8695"/>
        </w:tabs>
        <w:snapToGrid w:val="0"/>
        <w:spacing w:line="288" w:lineRule="auto"/>
        <w:ind w:left="0"/>
        <w:jc w:val="both"/>
        <w:rPr>
          <w:rFonts w:ascii="Arial" w:hAnsi="Arial" w:cs="Arial"/>
        </w:rPr>
      </w:pPr>
      <w:r>
        <w:rPr>
          <w:rFonts w:ascii="Arial" w:hAnsi="Arial" w:cs="Arial"/>
        </w:rPr>
        <w:t>标示为无菌的产品预期可在整个产品保质期或有效期</w:t>
      </w:r>
      <w:r>
        <w:rPr>
          <w:rFonts w:hint="eastAsia" w:ascii="Arial" w:hAnsi="Arial" w:cs="Arial"/>
        </w:rPr>
        <w:t>内免受</w:t>
      </w:r>
      <w:r>
        <w:rPr>
          <w:rFonts w:ascii="Arial" w:hAnsi="Arial" w:cs="Arial"/>
        </w:rPr>
        <w:t>活性微生物污染。对于标记为无菌的产品，本机构认为无菌是一种稳定性特性。因此，稳定性方案应包括确认产品可在整个产品保质期或有效期</w:t>
      </w:r>
      <w:r>
        <w:rPr>
          <w:rFonts w:hint="eastAsia" w:ascii="Arial" w:hAnsi="Arial" w:cs="Arial"/>
        </w:rPr>
        <w:t>内</w:t>
      </w:r>
      <w:r>
        <w:rPr>
          <w:rFonts w:ascii="Arial" w:hAnsi="Arial" w:cs="Arial"/>
        </w:rPr>
        <w:t>保持无菌。通常，作为无菌产品稳定性方案的一部分，至少应在初始时间点（发布）和最终试验间隔（即到期）进行无菌试验。其他所有通常应在该时期内（例如，每年）以适当间隔进行。但是，如下所述，用于证明持续保持无菌的无菌试验在方法可靠性、准确性和可能根据结果得出的结论方面存在局限性。由于无菌试验存在下述局限性，不推荐使用无菌试验作为用于确认产品可在整个产品保质期或有效期</w:t>
      </w:r>
      <w:r>
        <w:rPr>
          <w:rFonts w:hint="eastAsia" w:ascii="Arial" w:hAnsi="Arial" w:cs="Arial"/>
        </w:rPr>
        <w:t>内</w:t>
      </w:r>
      <w:r>
        <w:rPr>
          <w:rFonts w:ascii="Arial" w:hAnsi="Arial" w:cs="Arial"/>
        </w:rPr>
        <w:t>保持无菌的稳定程序的一部分。确定容器和密封系统完好性时，作为无菌产品稳定性方案一部分替代方法的可靠性更高。</w:t>
      </w:r>
    </w:p>
    <w:p w14:paraId="74B5D23B">
      <w:pPr>
        <w:snapToGrid w:val="0"/>
        <w:spacing w:line="288" w:lineRule="auto"/>
        <w:jc w:val="both"/>
        <w:rPr>
          <w:rFonts w:ascii="Arial" w:hAnsi="Arial" w:eastAsia="宋体" w:cs="Arial"/>
          <w:sz w:val="24"/>
          <w:szCs w:val="24"/>
        </w:rPr>
      </w:pPr>
    </w:p>
    <w:p w14:paraId="59E11D99">
      <w:pPr>
        <w:pStyle w:val="3"/>
        <w:snapToGrid w:val="0"/>
        <w:spacing w:line="288" w:lineRule="auto"/>
        <w:ind w:left="0"/>
        <w:jc w:val="both"/>
        <w:rPr>
          <w:rFonts w:ascii="Arial" w:hAnsi="Arial" w:cs="Arial"/>
        </w:rPr>
      </w:pPr>
      <w:r>
        <w:rPr>
          <w:rFonts w:ascii="Arial" w:hAnsi="Arial" w:cs="Arial"/>
        </w:rPr>
        <w:t>本指导性文件不提供具体试验方法和验收标准（除参考USP方法之外），也不提供此类试验的总体列表。贵公司应根据良好科学原则确定每个特定容器和密封系统的详细信息，同时应考虑到特定产品配方以及（如果适用）给药途径。</w:t>
      </w:r>
      <w:r>
        <w:rPr>
          <w:rFonts w:ascii="Arial" w:hAnsi="Arial" w:cs="Arial"/>
        </w:rPr>
        <w:br w:type="page"/>
      </w:r>
    </w:p>
    <w:p w14:paraId="08A9136B">
      <w:pPr>
        <w:pStyle w:val="2"/>
        <w:numPr>
          <w:ilvl w:val="1"/>
          <w:numId w:val="1"/>
        </w:numPr>
        <w:tabs>
          <w:tab w:val="left" w:pos="1060"/>
        </w:tabs>
        <w:snapToGrid w:val="0"/>
        <w:spacing w:line="276" w:lineRule="auto"/>
        <w:ind w:left="720"/>
        <w:jc w:val="both"/>
        <w:rPr>
          <w:rFonts w:ascii="Arial" w:hAnsi="Arial" w:cs="Arial"/>
          <w:sz w:val="28"/>
          <w:szCs w:val="28"/>
        </w:rPr>
      </w:pPr>
      <w:bookmarkStart w:id="13" w:name="_bookmark4"/>
      <w:bookmarkEnd w:id="13"/>
      <w:bookmarkStart w:id="14" w:name="III._DEFINITIONS"/>
      <w:bookmarkEnd w:id="14"/>
      <w:bookmarkStart w:id="15" w:name="_Toc495675630"/>
      <w:r>
        <w:rPr>
          <w:rFonts w:ascii="Arial" w:hAnsi="Arial" w:cs="Arial"/>
          <w:sz w:val="28"/>
          <w:szCs w:val="28"/>
        </w:rPr>
        <w:t>定义</w:t>
      </w:r>
      <w:bookmarkEnd w:id="15"/>
    </w:p>
    <w:p w14:paraId="04DEA06B">
      <w:pPr>
        <w:snapToGrid w:val="0"/>
        <w:spacing w:line="276" w:lineRule="auto"/>
        <w:jc w:val="both"/>
        <w:rPr>
          <w:rFonts w:ascii="Arial" w:hAnsi="Arial" w:eastAsia="宋体" w:cs="Arial"/>
          <w:b/>
          <w:bCs/>
          <w:sz w:val="24"/>
          <w:szCs w:val="24"/>
        </w:rPr>
      </w:pPr>
    </w:p>
    <w:p w14:paraId="728461B3">
      <w:pPr>
        <w:pStyle w:val="3"/>
        <w:snapToGrid w:val="0"/>
        <w:spacing w:line="276" w:lineRule="auto"/>
        <w:ind w:left="0"/>
        <w:jc w:val="both"/>
        <w:rPr>
          <w:rFonts w:ascii="Arial" w:hAnsi="Arial" w:cs="Arial"/>
        </w:rPr>
      </w:pPr>
      <w:r>
        <w:rPr>
          <w:rFonts w:ascii="Arial" w:hAnsi="Arial" w:cs="Arial"/>
        </w:rPr>
        <w:t>本文档提供的定义仅适用于本指南。</w:t>
      </w:r>
    </w:p>
    <w:p w14:paraId="4580D4CB">
      <w:pPr>
        <w:snapToGrid w:val="0"/>
        <w:spacing w:line="276" w:lineRule="auto"/>
        <w:jc w:val="both"/>
        <w:rPr>
          <w:rFonts w:ascii="Arial" w:hAnsi="Arial" w:eastAsia="宋体" w:cs="Arial"/>
          <w:sz w:val="24"/>
          <w:szCs w:val="24"/>
        </w:rPr>
      </w:pPr>
    </w:p>
    <w:p w14:paraId="2A361A80">
      <w:pPr>
        <w:snapToGrid w:val="0"/>
        <w:spacing w:line="276" w:lineRule="auto"/>
        <w:jc w:val="both"/>
        <w:rPr>
          <w:rFonts w:ascii="Arial" w:hAnsi="Arial" w:eastAsia="宋体" w:cs="Arial"/>
          <w:sz w:val="24"/>
          <w:szCs w:val="24"/>
        </w:rPr>
      </w:pPr>
      <w:r>
        <w:rPr>
          <w:rFonts w:ascii="Arial" w:hAnsi="Arial" w:eastAsia="宋体" w:cs="Arial"/>
          <w:sz w:val="24"/>
          <w:szCs w:val="24"/>
        </w:rPr>
        <w:t>容器和密封系统指</w:t>
      </w:r>
      <w:r>
        <w:rPr>
          <w:rFonts w:hint="eastAsia" w:ascii="Arial" w:hAnsi="Arial" w:eastAsia="宋体" w:cs="Arial"/>
          <w:sz w:val="24"/>
          <w:szCs w:val="24"/>
        </w:rPr>
        <w:t>用于</w:t>
      </w:r>
      <w:r>
        <w:rPr>
          <w:rFonts w:ascii="Arial" w:hAnsi="Arial" w:eastAsia="宋体" w:cs="Arial"/>
          <w:sz w:val="24"/>
          <w:szCs w:val="24"/>
        </w:rPr>
        <w:t>包装和保护产品的</w:t>
      </w:r>
      <w:r>
        <w:rPr>
          <w:rFonts w:hint="eastAsia" w:ascii="Arial" w:hAnsi="Arial" w:eastAsia="宋体" w:cs="Arial"/>
          <w:sz w:val="24"/>
          <w:szCs w:val="24"/>
        </w:rPr>
        <w:t>全部</w:t>
      </w:r>
      <w:r>
        <w:rPr>
          <w:rFonts w:ascii="Arial" w:hAnsi="Arial" w:eastAsia="宋体" w:cs="Arial"/>
          <w:sz w:val="24"/>
          <w:szCs w:val="24"/>
        </w:rPr>
        <w:t>包装组件。</w:t>
      </w:r>
    </w:p>
    <w:p w14:paraId="4810CDE9">
      <w:pPr>
        <w:snapToGrid w:val="0"/>
        <w:spacing w:line="276" w:lineRule="auto"/>
        <w:jc w:val="both"/>
        <w:rPr>
          <w:rFonts w:ascii="Arial" w:hAnsi="Arial" w:eastAsia="宋体" w:cs="Arial"/>
          <w:sz w:val="24"/>
          <w:szCs w:val="24"/>
        </w:rPr>
      </w:pPr>
    </w:p>
    <w:p w14:paraId="3AAF7BF5">
      <w:pPr>
        <w:pStyle w:val="3"/>
        <w:snapToGrid w:val="0"/>
        <w:spacing w:line="276" w:lineRule="auto"/>
        <w:ind w:left="0"/>
        <w:jc w:val="both"/>
        <w:rPr>
          <w:rFonts w:ascii="Arial" w:hAnsi="Arial" w:cs="Arial"/>
        </w:rPr>
      </w:pPr>
      <w:r>
        <w:rPr>
          <w:rFonts w:ascii="Arial" w:hAnsi="Arial" w:cs="Arial"/>
        </w:rPr>
        <w:t>包装组件指容器和密封系统的任何单一部件。典型组件包括容器（例如，安瓿瓶，药瓶，玻璃瓶），容器衬里，瓶盖（例如螺帽，限位块），瓶盖衬里，限位块外罩，容器内密封件，给药口（例如，大体积注射用药品），外包装，给药配件和容器标签。</w:t>
      </w:r>
    </w:p>
    <w:p w14:paraId="1E3EB37E">
      <w:pPr>
        <w:snapToGrid w:val="0"/>
        <w:spacing w:line="276" w:lineRule="auto"/>
        <w:jc w:val="both"/>
        <w:rPr>
          <w:rFonts w:ascii="Arial" w:hAnsi="Arial" w:eastAsia="宋体" w:cs="Arial"/>
          <w:sz w:val="24"/>
          <w:szCs w:val="24"/>
        </w:rPr>
      </w:pPr>
    </w:p>
    <w:p w14:paraId="5BE27A8C">
      <w:pPr>
        <w:pStyle w:val="2"/>
        <w:numPr>
          <w:ilvl w:val="1"/>
          <w:numId w:val="1"/>
        </w:numPr>
        <w:tabs>
          <w:tab w:val="left" w:pos="1060"/>
        </w:tabs>
        <w:snapToGrid w:val="0"/>
        <w:spacing w:line="276" w:lineRule="auto"/>
        <w:ind w:left="720"/>
        <w:jc w:val="both"/>
        <w:rPr>
          <w:rFonts w:ascii="Arial" w:hAnsi="Arial" w:cs="Arial"/>
          <w:sz w:val="28"/>
          <w:szCs w:val="28"/>
        </w:rPr>
      </w:pPr>
      <w:bookmarkStart w:id="16" w:name="IV._BACKGROUND"/>
      <w:bookmarkEnd w:id="16"/>
      <w:bookmarkStart w:id="17" w:name="_Toc495675631"/>
      <w:r>
        <w:rPr>
          <w:rFonts w:ascii="Arial" w:hAnsi="Arial" w:cs="Arial"/>
          <w:sz w:val="28"/>
          <w:szCs w:val="28"/>
        </w:rPr>
        <w:t>背景</w:t>
      </w:r>
      <w:bookmarkEnd w:id="17"/>
    </w:p>
    <w:p w14:paraId="6940C007">
      <w:pPr>
        <w:snapToGrid w:val="0"/>
        <w:spacing w:line="276" w:lineRule="auto"/>
        <w:jc w:val="both"/>
        <w:rPr>
          <w:rFonts w:ascii="Arial" w:hAnsi="Arial" w:eastAsia="宋体" w:cs="Arial"/>
          <w:b/>
          <w:bCs/>
          <w:sz w:val="24"/>
          <w:szCs w:val="24"/>
        </w:rPr>
      </w:pPr>
    </w:p>
    <w:p w14:paraId="50BB19D5">
      <w:pPr>
        <w:pStyle w:val="3"/>
        <w:snapToGrid w:val="0"/>
        <w:spacing w:line="276" w:lineRule="auto"/>
        <w:ind w:left="0"/>
        <w:jc w:val="both"/>
        <w:rPr>
          <w:rFonts w:ascii="Arial" w:hAnsi="Arial" w:cs="Arial"/>
        </w:rPr>
      </w:pPr>
      <w:r>
        <w:rPr>
          <w:rFonts w:ascii="Arial" w:hAnsi="Arial" w:cs="Arial"/>
        </w:rPr>
        <w:t>长期以来，通常使用无菌试验验证产品是否可在整个保质期或有效期中保持无菌。但众所周知，无菌试验具有一定科学和实践局限性。其中包括：</w:t>
      </w:r>
    </w:p>
    <w:p w14:paraId="745CE598">
      <w:pPr>
        <w:snapToGrid w:val="0"/>
        <w:spacing w:line="276" w:lineRule="auto"/>
        <w:jc w:val="both"/>
        <w:rPr>
          <w:rFonts w:ascii="Arial" w:hAnsi="Arial" w:eastAsia="宋体" w:cs="Arial"/>
          <w:sz w:val="24"/>
          <w:szCs w:val="24"/>
        </w:rPr>
      </w:pPr>
    </w:p>
    <w:p w14:paraId="31722115">
      <w:pPr>
        <w:pStyle w:val="16"/>
        <w:numPr>
          <w:ilvl w:val="2"/>
          <w:numId w:val="1"/>
        </w:numPr>
        <w:tabs>
          <w:tab w:val="left" w:pos="1218"/>
        </w:tabs>
        <w:snapToGrid w:val="0"/>
        <w:spacing w:line="276" w:lineRule="auto"/>
        <w:ind w:left="1218" w:hanging="504"/>
        <w:jc w:val="both"/>
        <w:rPr>
          <w:rFonts w:ascii="Arial" w:hAnsi="Arial" w:eastAsia="宋体" w:cs="Arial"/>
          <w:sz w:val="24"/>
          <w:szCs w:val="24"/>
        </w:rPr>
      </w:pPr>
      <w:r>
        <w:rPr>
          <w:rFonts w:ascii="Arial" w:hAnsi="Arial" w:eastAsia="宋体" w:cs="Arial"/>
          <w:sz w:val="24"/>
          <w:szCs w:val="24"/>
        </w:rPr>
        <w:t>无菌试验仅可检测试验时存在的活性微生物；</w:t>
      </w:r>
    </w:p>
    <w:p w14:paraId="178E8956">
      <w:pPr>
        <w:pStyle w:val="16"/>
        <w:numPr>
          <w:ilvl w:val="2"/>
          <w:numId w:val="1"/>
        </w:numPr>
        <w:tabs>
          <w:tab w:val="left" w:pos="1218"/>
        </w:tabs>
        <w:snapToGrid w:val="0"/>
        <w:spacing w:line="276" w:lineRule="auto"/>
        <w:ind w:left="1218" w:hanging="504"/>
        <w:jc w:val="both"/>
        <w:rPr>
          <w:rFonts w:ascii="Arial" w:hAnsi="Arial" w:eastAsia="宋体" w:cs="Arial"/>
          <w:sz w:val="24"/>
          <w:szCs w:val="24"/>
        </w:rPr>
      </w:pPr>
      <w:r>
        <w:rPr>
          <w:rFonts w:ascii="Arial" w:hAnsi="Arial" w:eastAsia="宋体" w:cs="Arial"/>
          <w:sz w:val="24"/>
          <w:szCs w:val="24"/>
        </w:rPr>
        <w:t>如果微生物无法在规定培养基中生长，则试验时无法检测到所存在的活性微生物；</w:t>
      </w:r>
    </w:p>
    <w:p w14:paraId="7F50ED64">
      <w:pPr>
        <w:pStyle w:val="16"/>
        <w:numPr>
          <w:ilvl w:val="2"/>
          <w:numId w:val="1"/>
        </w:numPr>
        <w:tabs>
          <w:tab w:val="left" w:pos="1218"/>
        </w:tabs>
        <w:snapToGrid w:val="0"/>
        <w:spacing w:line="276" w:lineRule="auto"/>
        <w:ind w:left="1218" w:hanging="504"/>
        <w:jc w:val="both"/>
        <w:rPr>
          <w:rFonts w:ascii="Arial" w:hAnsi="Arial" w:eastAsia="宋体" w:cs="Arial"/>
          <w:sz w:val="24"/>
          <w:szCs w:val="24"/>
        </w:rPr>
      </w:pPr>
      <w:r>
        <w:rPr>
          <w:rFonts w:ascii="Arial" w:hAnsi="Arial" w:eastAsia="宋体" w:cs="Arial"/>
          <w:sz w:val="24"/>
          <w:szCs w:val="24"/>
        </w:rPr>
        <w:t>由于试验时可能引入外来微生物污染，无菌试验可能会受到潜在干扰，进而产生假阳性读数；以及</w:t>
      </w:r>
    </w:p>
    <w:p w14:paraId="152E3EFB">
      <w:pPr>
        <w:pStyle w:val="16"/>
        <w:numPr>
          <w:ilvl w:val="2"/>
          <w:numId w:val="1"/>
        </w:numPr>
        <w:tabs>
          <w:tab w:val="left" w:pos="1218"/>
        </w:tabs>
        <w:snapToGrid w:val="0"/>
        <w:spacing w:line="276" w:lineRule="auto"/>
        <w:ind w:left="1218" w:hanging="504"/>
        <w:jc w:val="both"/>
        <w:rPr>
          <w:rFonts w:ascii="Arial" w:hAnsi="Arial" w:eastAsia="宋体" w:cs="Arial"/>
          <w:sz w:val="24"/>
          <w:szCs w:val="24"/>
        </w:rPr>
      </w:pPr>
      <w:r>
        <w:rPr>
          <w:rFonts w:ascii="Arial" w:hAnsi="Arial" w:eastAsia="宋体" w:cs="Arial"/>
          <w:sz w:val="24"/>
          <w:szCs w:val="24"/>
        </w:rPr>
        <w:t>无菌试验通常会破坏受测样本，因此无法在发现阳性或阴性结果时再次对相同样本进行检查。</w:t>
      </w:r>
    </w:p>
    <w:p w14:paraId="50D84EB5">
      <w:pPr>
        <w:snapToGrid w:val="0"/>
        <w:spacing w:line="276" w:lineRule="auto"/>
        <w:jc w:val="both"/>
        <w:rPr>
          <w:rFonts w:ascii="Arial" w:hAnsi="Arial" w:eastAsia="宋体" w:cs="Arial"/>
          <w:sz w:val="24"/>
          <w:szCs w:val="24"/>
        </w:rPr>
      </w:pPr>
    </w:p>
    <w:p w14:paraId="1E166292">
      <w:pPr>
        <w:pStyle w:val="3"/>
        <w:snapToGrid w:val="0"/>
        <w:spacing w:line="276" w:lineRule="auto"/>
        <w:ind w:left="0"/>
        <w:jc w:val="both"/>
        <w:rPr>
          <w:rFonts w:ascii="Arial" w:hAnsi="Arial" w:cs="Arial"/>
        </w:rPr>
      </w:pPr>
      <w:r>
        <w:rPr>
          <w:rFonts w:ascii="Arial" w:hAnsi="Arial" w:cs="Arial"/>
        </w:rPr>
        <w:t>FDA的一些中心已设法解决此类缺点，并在以下指导性文件中将信息转达给贵公司：</w:t>
      </w:r>
      <w:r>
        <w:rPr>
          <w:rFonts w:ascii="宋体" w:hAnsi="宋体" w:cs="Arial"/>
        </w:rPr>
        <w:t>“</w:t>
      </w:r>
      <w:r>
        <w:rPr>
          <w:rFonts w:ascii="Arial" w:hAnsi="Arial" w:cs="Arial"/>
        </w:rPr>
        <w:t>行业指南，提交人类和兽用药品灭菌过程确认说明文件</w:t>
      </w:r>
      <w:r>
        <w:rPr>
          <w:rFonts w:ascii="宋体" w:hAnsi="宋体" w:cs="Arial"/>
        </w:rPr>
        <w:t>”</w:t>
      </w:r>
      <w:r>
        <w:rPr>
          <w:rFonts w:ascii="Arial" w:hAnsi="Arial" w:cs="Arial"/>
        </w:rPr>
        <w:t>（1993年12月3日，58 FR 63996）。该指南第16页，第V.A节声明：</w:t>
      </w:r>
    </w:p>
    <w:p w14:paraId="453CD211">
      <w:pPr>
        <w:snapToGrid w:val="0"/>
        <w:spacing w:line="276" w:lineRule="auto"/>
        <w:jc w:val="both"/>
        <w:rPr>
          <w:rFonts w:ascii="Arial" w:hAnsi="Arial" w:eastAsia="宋体" w:cs="Arial"/>
          <w:sz w:val="24"/>
          <w:szCs w:val="24"/>
        </w:rPr>
      </w:pPr>
    </w:p>
    <w:p w14:paraId="04BBC0A3">
      <w:pPr>
        <w:pStyle w:val="3"/>
        <w:snapToGrid w:val="0"/>
        <w:spacing w:line="276" w:lineRule="auto"/>
        <w:ind w:left="700" w:leftChars="318"/>
        <w:jc w:val="both"/>
        <w:rPr>
          <w:rFonts w:ascii="Arial" w:hAnsi="Arial" w:cs="Arial"/>
        </w:rPr>
      </w:pPr>
      <w:r>
        <w:rPr>
          <w:rFonts w:ascii="Arial" w:hAnsi="Arial" w:cs="Arial"/>
        </w:rPr>
        <w:t>应证明容器-密封系统保持其微生物屏障完好性以及使药品在整个保质期内保持无菌的能力。【...】如前所述，在初始时间点进行的无菌试验不足以证明容器-密封系统的微生物完好性。【…】。</w:t>
      </w:r>
    </w:p>
    <w:p w14:paraId="21E1AD34">
      <w:pPr>
        <w:snapToGrid w:val="0"/>
        <w:spacing w:line="276" w:lineRule="auto"/>
        <w:jc w:val="both"/>
        <w:rPr>
          <w:rFonts w:ascii="Arial" w:hAnsi="Arial" w:eastAsia="宋体" w:cs="Arial"/>
          <w:sz w:val="24"/>
          <w:szCs w:val="24"/>
        </w:rPr>
      </w:pPr>
    </w:p>
    <w:p w14:paraId="118E2A09">
      <w:pPr>
        <w:rPr>
          <w:rFonts w:ascii="Arial" w:hAnsi="Arial" w:eastAsia="宋体" w:cs="Arial"/>
          <w:sz w:val="24"/>
          <w:szCs w:val="24"/>
        </w:rPr>
      </w:pPr>
      <w:r>
        <w:rPr>
          <w:rFonts w:ascii="Arial" w:hAnsi="Arial" w:cs="Arial"/>
        </w:rPr>
        <w:br w:type="page"/>
      </w:r>
    </w:p>
    <w:p w14:paraId="3289C970">
      <w:pPr>
        <w:pStyle w:val="3"/>
        <w:snapToGrid w:val="0"/>
        <w:spacing w:line="276" w:lineRule="auto"/>
        <w:ind w:left="0"/>
        <w:jc w:val="both"/>
        <w:rPr>
          <w:rFonts w:ascii="Arial" w:hAnsi="Arial" w:cs="Arial"/>
        </w:rPr>
      </w:pPr>
      <w:r>
        <w:rPr>
          <w:rFonts w:ascii="Arial" w:hAnsi="Arial" w:cs="Arial"/>
        </w:rPr>
        <w:t>在1996年7月10日的联邦公报（61 FR 36466）中，我们发布了关于指南</w:t>
      </w:r>
      <w:r>
        <w:rPr>
          <w:rFonts w:ascii="宋体" w:hAnsi="宋体" w:cs="Arial"/>
        </w:rPr>
        <w:t>“</w:t>
      </w:r>
      <w:r>
        <w:rPr>
          <w:rFonts w:ascii="Arial" w:hAnsi="Arial" w:cs="Arial"/>
        </w:rPr>
        <w:t>生物技术产品质量：生物技术/生物制剂稳定性试验</w:t>
      </w:r>
      <w:r>
        <w:rPr>
          <w:rFonts w:ascii="宋体" w:hAnsi="宋体" w:cs="Arial"/>
        </w:rPr>
        <w:t>”</w:t>
      </w:r>
      <w:r>
        <w:rPr>
          <w:rFonts w:ascii="Arial" w:hAnsi="Arial" w:cs="Arial"/>
        </w:rPr>
        <w:t>的通知</w:t>
      </w:r>
      <w:r>
        <w:rPr>
          <w:rFonts w:hint="eastAsia" w:ascii="Arial" w:hAnsi="Arial" w:cs="Arial"/>
        </w:rPr>
        <w:t>，</w:t>
      </w:r>
      <w:r>
        <w:rPr>
          <w:rFonts w:ascii="Arial" w:hAnsi="Arial" w:cs="Arial"/>
        </w:rPr>
        <w:t>根据国际人类用药品注册技术要求协调会议编制（ICH最终指南）。</w:t>
      </w:r>
      <w:r>
        <w:rPr>
          <w:rStyle w:val="14"/>
          <w:rFonts w:ascii="Arial" w:hAnsi="Arial" w:cs="Arial"/>
        </w:rPr>
        <w:footnoteReference w:id="2"/>
      </w:r>
      <w:r>
        <w:rPr>
          <w:rFonts w:hint="eastAsia" w:ascii="Arial" w:hAnsi="Arial" w:cs="Arial"/>
        </w:rPr>
        <w:t xml:space="preserve"> </w:t>
      </w:r>
      <w:r>
        <w:rPr>
          <w:rFonts w:ascii="Arial" w:hAnsi="Arial" w:cs="Arial"/>
        </w:rPr>
        <w:t>ICH最终指南旨在为申请人提供关于支持生物技术/生物制剂上市申请的稳定性研究类型的指导。</w:t>
      </w:r>
      <w:r>
        <w:rPr>
          <w:rStyle w:val="14"/>
          <w:rFonts w:ascii="Arial" w:hAnsi="Arial" w:cs="Arial"/>
        </w:rPr>
        <w:footnoteReference w:id="3"/>
      </w:r>
    </w:p>
    <w:p w14:paraId="6B26B668">
      <w:pPr>
        <w:snapToGrid w:val="0"/>
        <w:spacing w:before="4" w:line="300" w:lineRule="auto"/>
        <w:jc w:val="both"/>
        <w:rPr>
          <w:rFonts w:ascii="Arial" w:hAnsi="Arial" w:eastAsia="宋体" w:cs="Arial"/>
          <w:sz w:val="24"/>
          <w:szCs w:val="24"/>
        </w:rPr>
      </w:pPr>
      <w:bookmarkStart w:id="18" w:name="_bookmark5"/>
      <w:bookmarkEnd w:id="18"/>
    </w:p>
    <w:p w14:paraId="3F2556CC">
      <w:pPr>
        <w:pStyle w:val="2"/>
        <w:numPr>
          <w:ilvl w:val="1"/>
          <w:numId w:val="1"/>
        </w:numPr>
        <w:tabs>
          <w:tab w:val="left" w:pos="1060"/>
        </w:tabs>
        <w:snapToGrid w:val="0"/>
        <w:spacing w:line="276" w:lineRule="auto"/>
        <w:ind w:left="720"/>
        <w:jc w:val="both"/>
        <w:rPr>
          <w:rFonts w:ascii="Arial" w:hAnsi="Arial" w:cs="Arial"/>
          <w:sz w:val="28"/>
          <w:szCs w:val="28"/>
        </w:rPr>
      </w:pPr>
      <w:bookmarkStart w:id="19" w:name="V._ALTERNATIVES"/>
      <w:bookmarkEnd w:id="19"/>
      <w:bookmarkStart w:id="20" w:name="_Toc495675632"/>
      <w:r>
        <w:rPr>
          <w:rFonts w:ascii="Arial" w:hAnsi="Arial" w:cs="Arial"/>
          <w:sz w:val="28"/>
          <w:szCs w:val="28"/>
        </w:rPr>
        <w:t>替代方法</w:t>
      </w:r>
      <w:bookmarkEnd w:id="20"/>
    </w:p>
    <w:p w14:paraId="03D7AB12">
      <w:pPr>
        <w:snapToGrid w:val="0"/>
        <w:spacing w:before="3" w:line="300" w:lineRule="auto"/>
        <w:jc w:val="both"/>
        <w:rPr>
          <w:rFonts w:ascii="Arial" w:hAnsi="Arial" w:eastAsia="宋体" w:cs="Arial"/>
          <w:b/>
          <w:bCs/>
          <w:sz w:val="24"/>
          <w:szCs w:val="24"/>
        </w:rPr>
      </w:pPr>
    </w:p>
    <w:p w14:paraId="28E5CBD3">
      <w:pPr>
        <w:pStyle w:val="3"/>
        <w:snapToGrid w:val="0"/>
        <w:spacing w:line="300" w:lineRule="auto"/>
        <w:ind w:left="0"/>
        <w:jc w:val="both"/>
        <w:rPr>
          <w:rFonts w:ascii="Arial" w:hAnsi="Arial" w:cs="Arial"/>
        </w:rPr>
      </w:pPr>
      <w:r>
        <w:rPr>
          <w:rFonts w:ascii="Arial" w:hAnsi="Arial" w:cs="Arial"/>
        </w:rPr>
        <w:t>作为稳定性方案一部分的无菌试验替代方法（例如使用容器和密封系统完好性试验替代无菌试验）可能包括任何经过适当确定的物理或化学容器和密封系统完好性试验（例如气泡试验，压力/真空衰减，微量气体渗透/泄漏试验，染色渗透试验，密封力或电导率和电容试验等）或微生物容器和密封系统完好性试验（例如微生物挑战或浸没试验）。在证明产品可能在其保质期或有效期内受到污染时，此类试验可能比无菌试验更有用。在无菌产品稳定性方案中使用此类容器和密封系统完好性试验替代无菌试验的优点包括：</w:t>
      </w:r>
    </w:p>
    <w:p w14:paraId="3DA4E0DA">
      <w:pPr>
        <w:snapToGrid w:val="0"/>
        <w:spacing w:line="300" w:lineRule="auto"/>
        <w:jc w:val="both"/>
        <w:rPr>
          <w:rFonts w:ascii="Arial" w:hAnsi="Arial" w:eastAsia="宋体" w:cs="Arial"/>
          <w:sz w:val="24"/>
          <w:szCs w:val="24"/>
        </w:rPr>
      </w:pPr>
    </w:p>
    <w:p w14:paraId="325917B6">
      <w:pPr>
        <w:pStyle w:val="16"/>
        <w:numPr>
          <w:ilvl w:val="2"/>
          <w:numId w:val="1"/>
        </w:numPr>
        <w:tabs>
          <w:tab w:val="left" w:pos="1200"/>
        </w:tabs>
        <w:snapToGrid w:val="0"/>
        <w:spacing w:line="300" w:lineRule="auto"/>
        <w:ind w:left="1161" w:leftChars="343" w:hanging="406"/>
        <w:jc w:val="both"/>
        <w:rPr>
          <w:rFonts w:ascii="Arial" w:hAnsi="Arial" w:eastAsia="宋体" w:cs="Arial"/>
          <w:sz w:val="24"/>
          <w:szCs w:val="24"/>
        </w:rPr>
      </w:pPr>
      <w:r>
        <w:rPr>
          <w:rFonts w:ascii="Arial" w:hAnsi="Arial" w:eastAsia="宋体" w:cs="Arial"/>
          <w:sz w:val="24"/>
          <w:szCs w:val="24"/>
        </w:rPr>
        <w:t>此类替代方法可以在产品污染之前检测容器和/或密封系统是否破裂；</w:t>
      </w:r>
    </w:p>
    <w:p w14:paraId="517BBB7D">
      <w:pPr>
        <w:pStyle w:val="16"/>
        <w:numPr>
          <w:ilvl w:val="2"/>
          <w:numId w:val="1"/>
        </w:numPr>
        <w:tabs>
          <w:tab w:val="left" w:pos="1200"/>
        </w:tabs>
        <w:snapToGrid w:val="0"/>
        <w:spacing w:line="300" w:lineRule="auto"/>
        <w:ind w:left="1161" w:leftChars="343" w:hanging="406"/>
        <w:jc w:val="both"/>
        <w:rPr>
          <w:rFonts w:ascii="Arial" w:hAnsi="Arial" w:eastAsia="宋体" w:cs="Arial"/>
          <w:sz w:val="24"/>
          <w:szCs w:val="24"/>
        </w:rPr>
      </w:pPr>
      <w:r>
        <w:rPr>
          <w:rFonts w:ascii="Arial" w:hAnsi="Arial" w:eastAsia="宋体" w:cs="Arial"/>
          <w:sz w:val="24"/>
          <w:szCs w:val="24"/>
        </w:rPr>
        <w:t>用于评估容器和密封件完好性的一些替代方法可以节省样本，而此类样本可用于其他稳定性试验；</w:t>
      </w:r>
    </w:p>
    <w:p w14:paraId="456BBF7E">
      <w:pPr>
        <w:pStyle w:val="16"/>
        <w:numPr>
          <w:ilvl w:val="2"/>
          <w:numId w:val="1"/>
        </w:numPr>
        <w:tabs>
          <w:tab w:val="left" w:pos="1200"/>
        </w:tabs>
        <w:snapToGrid w:val="0"/>
        <w:spacing w:line="300" w:lineRule="auto"/>
        <w:ind w:left="1161" w:leftChars="343" w:hanging="406"/>
        <w:jc w:val="both"/>
        <w:rPr>
          <w:rFonts w:ascii="Arial" w:hAnsi="Arial" w:eastAsia="宋体" w:cs="Arial"/>
          <w:sz w:val="24"/>
          <w:szCs w:val="24"/>
        </w:rPr>
      </w:pPr>
      <w:r>
        <w:rPr>
          <w:rFonts w:ascii="Arial" w:hAnsi="Arial" w:eastAsia="宋体" w:cs="Arial"/>
          <w:sz w:val="24"/>
          <w:szCs w:val="24"/>
        </w:rPr>
        <w:t>替代试验方法</w:t>
      </w:r>
      <w:r>
        <w:rPr>
          <w:rFonts w:hint="eastAsia" w:ascii="Arial" w:hAnsi="Arial" w:eastAsia="宋体" w:cs="Arial"/>
          <w:sz w:val="24"/>
          <w:szCs w:val="24"/>
        </w:rPr>
        <w:t>所需</w:t>
      </w:r>
      <w:r>
        <w:rPr>
          <w:rFonts w:ascii="Arial" w:hAnsi="Arial" w:eastAsia="宋体" w:cs="Arial"/>
          <w:sz w:val="24"/>
          <w:szCs w:val="24"/>
        </w:rPr>
        <w:t>时间较无菌试验方法</w:t>
      </w:r>
      <w:r>
        <w:rPr>
          <w:rFonts w:hint="eastAsia" w:ascii="Arial" w:hAnsi="Arial" w:eastAsia="宋体" w:cs="Arial"/>
          <w:sz w:val="24"/>
          <w:szCs w:val="24"/>
        </w:rPr>
        <w:t>（</w:t>
      </w:r>
      <w:r>
        <w:rPr>
          <w:rFonts w:ascii="Arial" w:hAnsi="Arial" w:eastAsia="宋体" w:cs="Arial"/>
          <w:sz w:val="24"/>
          <w:szCs w:val="24"/>
        </w:rPr>
        <w:t>至少需要培养7天</w:t>
      </w:r>
      <w:r>
        <w:rPr>
          <w:rFonts w:hint="eastAsia" w:ascii="Arial" w:hAnsi="Arial" w:eastAsia="宋体" w:cs="Arial"/>
          <w:sz w:val="24"/>
          <w:szCs w:val="24"/>
        </w:rPr>
        <w:t>）较短</w:t>
      </w:r>
      <w:r>
        <w:rPr>
          <w:rFonts w:ascii="Arial" w:hAnsi="Arial" w:eastAsia="宋体" w:cs="Arial"/>
          <w:sz w:val="24"/>
          <w:szCs w:val="24"/>
        </w:rPr>
        <w:t>；以及</w:t>
      </w:r>
    </w:p>
    <w:p w14:paraId="12BBEF12">
      <w:pPr>
        <w:pStyle w:val="16"/>
        <w:numPr>
          <w:ilvl w:val="2"/>
          <w:numId w:val="1"/>
        </w:numPr>
        <w:tabs>
          <w:tab w:val="left" w:pos="1200"/>
        </w:tabs>
        <w:snapToGrid w:val="0"/>
        <w:spacing w:line="300" w:lineRule="auto"/>
        <w:ind w:left="1161" w:leftChars="343" w:hanging="406"/>
        <w:jc w:val="both"/>
        <w:rPr>
          <w:rFonts w:ascii="Arial" w:hAnsi="Arial" w:eastAsia="宋体" w:cs="Arial"/>
          <w:sz w:val="24"/>
          <w:szCs w:val="24"/>
        </w:rPr>
      </w:pPr>
      <w:r>
        <w:rPr>
          <w:rFonts w:ascii="Arial" w:hAnsi="Arial" w:eastAsia="宋体" w:cs="Arial"/>
          <w:sz w:val="24"/>
          <w:szCs w:val="24"/>
        </w:rPr>
        <w:t>与无菌试验相比，一些替代试验方法可能会降低假阳性结果的可能性。</w:t>
      </w:r>
    </w:p>
    <w:p w14:paraId="002CE417">
      <w:pPr>
        <w:snapToGrid w:val="0"/>
        <w:spacing w:before="1" w:line="300" w:lineRule="auto"/>
        <w:jc w:val="both"/>
        <w:rPr>
          <w:rFonts w:ascii="Arial" w:hAnsi="Arial" w:eastAsia="宋体" w:cs="Arial"/>
          <w:sz w:val="24"/>
          <w:szCs w:val="24"/>
        </w:rPr>
      </w:pPr>
      <w:bookmarkStart w:id="21" w:name="_bookmark7"/>
      <w:bookmarkEnd w:id="21"/>
      <w:bookmarkStart w:id="22" w:name="_bookmark6"/>
      <w:bookmarkEnd w:id="22"/>
    </w:p>
    <w:p w14:paraId="303A48F1">
      <w:pPr>
        <w:rPr>
          <w:rFonts w:ascii="Arial" w:hAnsi="Arial" w:eastAsia="宋体" w:cs="Arial"/>
          <w:sz w:val="24"/>
          <w:szCs w:val="24"/>
        </w:rPr>
      </w:pPr>
      <w:r>
        <w:rPr>
          <w:rFonts w:ascii="Arial" w:hAnsi="Arial" w:eastAsia="宋体" w:cs="Arial"/>
          <w:sz w:val="24"/>
          <w:szCs w:val="24"/>
        </w:rPr>
        <w:br w:type="page"/>
      </w:r>
    </w:p>
    <w:p w14:paraId="2689A36C">
      <w:pPr>
        <w:pStyle w:val="3"/>
        <w:snapToGrid w:val="0"/>
        <w:spacing w:before="69" w:line="300" w:lineRule="auto"/>
        <w:ind w:left="0"/>
        <w:jc w:val="both"/>
        <w:rPr>
          <w:rFonts w:ascii="Arial" w:hAnsi="Arial" w:cs="Arial"/>
        </w:rPr>
      </w:pPr>
      <w:bookmarkStart w:id="23" w:name="_bookmark8"/>
      <w:bookmarkEnd w:id="23"/>
      <w:r>
        <w:rPr>
          <w:rFonts w:ascii="Arial" w:hAnsi="Arial" w:cs="Arial"/>
        </w:rPr>
        <w:t>有些情况下，对于含有抗菌性防腐剂的产品，申请人提出使用防腐剂有效性试验替代适当无菌试验。但此类试验仅测量防腐剂对含有五种不同试验生物的试验组的有效性。此方法无法确认产品的无菌性，因为其无法确认是否存在污染物，且其仅证明防腐剂体系对研究中的五种试验生物的微生物有效性。因此，不可使用防腐剂有效性试验作为监控容器和密封系统完好性或证明产品可保持无菌的替代试验。然而，在产品保质期或有效期结束时，此类试验可作为多剂量容器稳定性方案的一部分，用于验证抗菌性防腐剂有效性和防腐剂含量。</w:t>
      </w:r>
    </w:p>
    <w:p w14:paraId="12D9BDE1">
      <w:pPr>
        <w:snapToGrid w:val="0"/>
        <w:spacing w:before="7" w:line="300" w:lineRule="auto"/>
        <w:jc w:val="both"/>
        <w:rPr>
          <w:rFonts w:ascii="Arial" w:hAnsi="Arial" w:eastAsia="宋体" w:cs="Arial"/>
          <w:sz w:val="24"/>
          <w:szCs w:val="24"/>
        </w:rPr>
      </w:pPr>
    </w:p>
    <w:p w14:paraId="3A8BDA8D">
      <w:pPr>
        <w:pStyle w:val="2"/>
        <w:numPr>
          <w:ilvl w:val="1"/>
          <w:numId w:val="1"/>
        </w:numPr>
        <w:tabs>
          <w:tab w:val="left" w:pos="1060"/>
        </w:tabs>
        <w:snapToGrid w:val="0"/>
        <w:spacing w:line="276" w:lineRule="auto"/>
        <w:ind w:left="720"/>
        <w:jc w:val="both"/>
        <w:rPr>
          <w:rFonts w:ascii="Arial" w:hAnsi="Arial" w:cs="Arial"/>
          <w:sz w:val="28"/>
          <w:szCs w:val="28"/>
        </w:rPr>
      </w:pPr>
      <w:bookmarkStart w:id="24" w:name="VI._IMPLEMENTATION_"/>
      <w:bookmarkEnd w:id="24"/>
      <w:bookmarkStart w:id="25" w:name="_Toc495675633"/>
      <w:r>
        <w:rPr>
          <w:rFonts w:ascii="Arial" w:hAnsi="Arial" w:cs="Arial"/>
          <w:sz w:val="28"/>
          <w:szCs w:val="28"/>
        </w:rPr>
        <w:t>实施</w:t>
      </w:r>
      <w:bookmarkEnd w:id="25"/>
    </w:p>
    <w:p w14:paraId="1547F1E1">
      <w:pPr>
        <w:snapToGrid w:val="0"/>
        <w:spacing w:before="3" w:line="300" w:lineRule="auto"/>
        <w:jc w:val="both"/>
        <w:rPr>
          <w:rFonts w:ascii="Arial" w:hAnsi="Arial" w:eastAsia="宋体" w:cs="Arial"/>
          <w:b/>
          <w:bCs/>
          <w:sz w:val="24"/>
          <w:szCs w:val="24"/>
        </w:rPr>
      </w:pPr>
    </w:p>
    <w:p w14:paraId="28C2BED3">
      <w:pPr>
        <w:pStyle w:val="3"/>
        <w:snapToGrid w:val="0"/>
        <w:spacing w:line="300" w:lineRule="auto"/>
        <w:ind w:left="0"/>
        <w:jc w:val="both"/>
        <w:rPr>
          <w:rFonts w:ascii="Arial" w:hAnsi="Arial" w:cs="Arial"/>
        </w:rPr>
      </w:pPr>
      <w:r>
        <w:rPr>
          <w:rFonts w:ascii="Arial" w:hAnsi="Arial" w:cs="Arial"/>
        </w:rPr>
        <w:t>试图实施容器和密封系统完好性试验以作为无菌产品稳定性方案中的无菌试验替代方法时，本机构建议贵公司考虑以下内容：</w:t>
      </w:r>
    </w:p>
    <w:p w14:paraId="6477A934">
      <w:pPr>
        <w:snapToGrid w:val="0"/>
        <w:spacing w:line="300" w:lineRule="auto"/>
        <w:jc w:val="both"/>
        <w:rPr>
          <w:rFonts w:ascii="Arial" w:hAnsi="Arial" w:eastAsia="宋体" w:cs="Arial"/>
          <w:sz w:val="24"/>
          <w:szCs w:val="24"/>
        </w:rPr>
      </w:pPr>
    </w:p>
    <w:p w14:paraId="7B612B8E">
      <w:pPr>
        <w:pStyle w:val="16"/>
        <w:numPr>
          <w:ilvl w:val="2"/>
          <w:numId w:val="1"/>
        </w:numPr>
        <w:tabs>
          <w:tab w:val="left" w:pos="1218"/>
        </w:tabs>
        <w:snapToGrid w:val="0"/>
        <w:spacing w:line="300" w:lineRule="auto"/>
        <w:ind w:left="1218" w:leftChars="350" w:hanging="448"/>
        <w:jc w:val="both"/>
        <w:rPr>
          <w:rFonts w:ascii="Arial" w:hAnsi="Arial" w:eastAsia="宋体" w:cs="Arial"/>
          <w:sz w:val="24"/>
          <w:szCs w:val="24"/>
        </w:rPr>
      </w:pPr>
      <w:r>
        <w:rPr>
          <w:rFonts w:ascii="Arial" w:hAnsi="Arial" w:eastAsia="宋体" w:cs="Arial"/>
          <w:sz w:val="24"/>
          <w:szCs w:val="24"/>
        </w:rPr>
        <w:t>除在发布前进行的产品无菌试验外，容器和密封系统完好性试验可以替代稳定性程序中的所有无菌试验；</w:t>
      </w:r>
    </w:p>
    <w:p w14:paraId="5DD975CE">
      <w:pPr>
        <w:pStyle w:val="16"/>
        <w:numPr>
          <w:ilvl w:val="2"/>
          <w:numId w:val="1"/>
        </w:numPr>
        <w:tabs>
          <w:tab w:val="left" w:pos="1200"/>
        </w:tabs>
        <w:snapToGrid w:val="0"/>
        <w:spacing w:line="300" w:lineRule="auto"/>
        <w:ind w:left="1218" w:leftChars="350" w:hanging="448"/>
        <w:jc w:val="both"/>
        <w:rPr>
          <w:rFonts w:ascii="Arial" w:hAnsi="Arial" w:eastAsia="宋体" w:cs="Arial"/>
          <w:sz w:val="24"/>
          <w:szCs w:val="24"/>
        </w:rPr>
      </w:pPr>
      <w:r>
        <w:rPr>
          <w:rFonts w:ascii="Arial" w:hAnsi="Arial" w:eastAsia="宋体" w:cs="Arial"/>
          <w:sz w:val="24"/>
          <w:szCs w:val="24"/>
        </w:rPr>
        <w:t>容器和密封系统完好性试验不得替代发布前产品无菌试验中使用的无菌试验方法；</w:t>
      </w:r>
    </w:p>
    <w:p w14:paraId="272D7FD2">
      <w:pPr>
        <w:pStyle w:val="16"/>
        <w:numPr>
          <w:ilvl w:val="2"/>
          <w:numId w:val="1"/>
        </w:numPr>
        <w:tabs>
          <w:tab w:val="left" w:pos="1200"/>
        </w:tabs>
        <w:snapToGrid w:val="0"/>
        <w:spacing w:line="300" w:lineRule="auto"/>
        <w:ind w:left="1218" w:leftChars="350" w:hanging="448"/>
        <w:jc w:val="both"/>
        <w:rPr>
          <w:rFonts w:ascii="Arial" w:hAnsi="Arial" w:eastAsia="宋体" w:cs="Arial"/>
          <w:sz w:val="24"/>
          <w:szCs w:val="24"/>
        </w:rPr>
      </w:pPr>
      <w:r>
        <w:rPr>
          <w:rFonts w:ascii="Arial" w:hAnsi="Arial" w:eastAsia="宋体" w:cs="Arial"/>
          <w:sz w:val="24"/>
          <w:szCs w:val="24"/>
        </w:rPr>
        <w:t>所有经确认的容器和密封系统完好性试验方法应该均可接受，但该方法应使用适用于该方法的分析检测技术，并与所测试的具体产品兼容。如果科学认可研究证明其能够检测容器和密封系统完好性是否破裂，则试验方法已充分验证；以及</w:t>
      </w:r>
    </w:p>
    <w:p w14:paraId="2EF0232C">
      <w:pPr>
        <w:pStyle w:val="16"/>
        <w:numPr>
          <w:ilvl w:val="2"/>
          <w:numId w:val="1"/>
        </w:numPr>
        <w:tabs>
          <w:tab w:val="left" w:pos="1200"/>
        </w:tabs>
        <w:snapToGrid w:val="0"/>
        <w:spacing w:line="300" w:lineRule="auto"/>
        <w:ind w:left="1218" w:leftChars="350" w:hanging="448"/>
        <w:jc w:val="both"/>
        <w:rPr>
          <w:rFonts w:ascii="Arial" w:hAnsi="Arial" w:eastAsia="宋体" w:cs="Arial"/>
          <w:sz w:val="24"/>
          <w:szCs w:val="24"/>
        </w:rPr>
      </w:pPr>
      <w:r>
        <w:rPr>
          <w:rFonts w:ascii="Arial" w:hAnsi="Arial" w:eastAsia="宋体" w:cs="Arial"/>
          <w:sz w:val="24"/>
          <w:szCs w:val="24"/>
        </w:rPr>
        <w:t>应每年、在到期时或按照适用法规要求进行容器和密封系统完好性试验。</w:t>
      </w:r>
    </w:p>
    <w:p w14:paraId="069E0FF6">
      <w:pPr>
        <w:snapToGrid w:val="0"/>
        <w:spacing w:before="7" w:line="300" w:lineRule="auto"/>
        <w:jc w:val="both"/>
        <w:rPr>
          <w:rFonts w:ascii="Arial" w:hAnsi="Arial" w:eastAsia="宋体" w:cs="Arial"/>
          <w:sz w:val="24"/>
          <w:szCs w:val="24"/>
        </w:rPr>
      </w:pPr>
    </w:p>
    <w:p w14:paraId="787790C1">
      <w:pPr>
        <w:pStyle w:val="2"/>
        <w:numPr>
          <w:ilvl w:val="1"/>
          <w:numId w:val="1"/>
        </w:numPr>
        <w:tabs>
          <w:tab w:val="left" w:pos="1060"/>
        </w:tabs>
        <w:snapToGrid w:val="0"/>
        <w:spacing w:line="276" w:lineRule="auto"/>
        <w:ind w:left="720"/>
        <w:jc w:val="both"/>
        <w:rPr>
          <w:rFonts w:ascii="Arial" w:hAnsi="Arial" w:cs="Arial"/>
          <w:sz w:val="28"/>
          <w:szCs w:val="28"/>
        </w:rPr>
      </w:pPr>
      <w:bookmarkStart w:id="26" w:name="VII._APPLICATION_SUBMISSION"/>
      <w:bookmarkEnd w:id="26"/>
      <w:bookmarkStart w:id="27" w:name="_Toc495675634"/>
      <w:r>
        <w:rPr>
          <w:rFonts w:ascii="Arial" w:hAnsi="Arial" w:cs="Arial"/>
          <w:sz w:val="28"/>
          <w:szCs w:val="28"/>
        </w:rPr>
        <w:t>提交申请</w:t>
      </w:r>
      <w:bookmarkEnd w:id="27"/>
    </w:p>
    <w:p w14:paraId="2B7F4B59">
      <w:pPr>
        <w:snapToGrid w:val="0"/>
        <w:spacing w:before="3" w:line="300" w:lineRule="auto"/>
        <w:jc w:val="both"/>
        <w:rPr>
          <w:rFonts w:ascii="Arial" w:hAnsi="Arial" w:eastAsia="宋体" w:cs="Arial"/>
          <w:b/>
          <w:bCs/>
          <w:sz w:val="24"/>
          <w:szCs w:val="24"/>
        </w:rPr>
      </w:pPr>
    </w:p>
    <w:p w14:paraId="578B9F87">
      <w:pPr>
        <w:pStyle w:val="3"/>
        <w:snapToGrid w:val="0"/>
        <w:spacing w:line="300" w:lineRule="auto"/>
        <w:ind w:left="0"/>
        <w:jc w:val="both"/>
        <w:rPr>
          <w:rFonts w:ascii="Arial" w:hAnsi="Arial" w:cs="Arial"/>
        </w:rPr>
      </w:pPr>
      <w:r>
        <w:rPr>
          <w:rFonts w:ascii="Arial" w:hAnsi="Arial" w:cs="Arial"/>
        </w:rPr>
        <w:t>对于新的无菌产品上市申请，本机构建议，贵公司应在稳定性方案中纳入容器和密封系统完好性试验。在批准之前，可修正未确定的新上市申请。</w:t>
      </w:r>
    </w:p>
    <w:p w14:paraId="55553C5E">
      <w:pPr>
        <w:snapToGrid w:val="0"/>
        <w:spacing w:before="3" w:line="300" w:lineRule="auto"/>
        <w:jc w:val="both"/>
        <w:rPr>
          <w:rFonts w:ascii="Arial" w:hAnsi="Arial" w:eastAsia="宋体" w:cs="Arial"/>
          <w:sz w:val="24"/>
          <w:szCs w:val="24"/>
        </w:rPr>
      </w:pPr>
    </w:p>
    <w:p w14:paraId="47A73255">
      <w:pPr>
        <w:pStyle w:val="3"/>
        <w:snapToGrid w:val="0"/>
        <w:spacing w:line="300" w:lineRule="auto"/>
        <w:ind w:left="0"/>
        <w:jc w:val="both"/>
        <w:rPr>
          <w:rFonts w:ascii="Arial" w:hAnsi="Arial" w:cs="Arial"/>
        </w:rPr>
      </w:pPr>
      <w:r>
        <w:rPr>
          <w:rFonts w:ascii="Arial" w:hAnsi="Arial" w:cs="Arial"/>
        </w:rPr>
        <w:t>如果贵公司希望采用经确认的容器和密封系统完好性试验证明容器能够保持核准产品的无菌性，</w:t>
      </w:r>
      <w:r>
        <w:rPr>
          <w:rStyle w:val="14"/>
          <w:rFonts w:ascii="Arial" w:hAnsi="Arial" w:cs="Arial"/>
        </w:rPr>
        <w:footnoteReference w:id="4"/>
      </w:r>
      <w:r>
        <w:rPr>
          <w:rFonts w:ascii="Arial" w:hAnsi="Arial" w:cs="Arial"/>
        </w:rPr>
        <w:t>贵公司必须提交适当的申请补充材料，内容如下：</w:t>
      </w:r>
    </w:p>
    <w:p w14:paraId="3F30E4EF">
      <w:pPr>
        <w:rPr>
          <w:rFonts w:ascii="Arial" w:hAnsi="Arial" w:eastAsia="宋体" w:cs="Arial"/>
          <w:sz w:val="24"/>
          <w:szCs w:val="24"/>
        </w:rPr>
      </w:pPr>
      <w:r>
        <w:rPr>
          <w:rFonts w:ascii="Arial" w:hAnsi="Arial" w:eastAsia="宋体" w:cs="Arial"/>
          <w:sz w:val="24"/>
          <w:szCs w:val="24"/>
        </w:rPr>
        <w:br w:type="page"/>
      </w:r>
    </w:p>
    <w:p w14:paraId="7ADE986A">
      <w:pPr>
        <w:pStyle w:val="3"/>
        <w:snapToGrid w:val="0"/>
        <w:spacing w:line="300" w:lineRule="auto"/>
        <w:ind w:left="0"/>
        <w:jc w:val="both"/>
        <w:rPr>
          <w:rFonts w:ascii="Arial" w:hAnsi="Arial" w:cs="Arial"/>
        </w:rPr>
      </w:pPr>
      <w:r>
        <w:rPr>
          <w:rFonts w:ascii="Arial" w:hAnsi="Arial" w:cs="Arial"/>
          <w:b/>
        </w:rPr>
        <w:t>人类药品：</w:t>
      </w:r>
      <w:r>
        <w:rPr>
          <w:rFonts w:ascii="Arial" w:hAnsi="Arial" w:cs="Arial"/>
        </w:rPr>
        <w:t>对于新的和简缩的新药申请，应根据§314.70提交方法和数据并标有</w:t>
      </w:r>
      <w:r>
        <w:rPr>
          <w:rFonts w:ascii="宋体" w:hAnsi="宋体" w:cs="Arial"/>
        </w:rPr>
        <w:t>“</w:t>
      </w:r>
      <w:r>
        <w:rPr>
          <w:rFonts w:ascii="Arial" w:hAnsi="Arial" w:cs="Arial"/>
        </w:rPr>
        <w:t>特别补充材料 - 已生效更改</w:t>
      </w:r>
      <w:r>
        <w:rPr>
          <w:rFonts w:ascii="宋体" w:hAnsi="宋体" w:cs="Arial"/>
        </w:rPr>
        <w:t>”</w:t>
      </w:r>
      <w:r>
        <w:rPr>
          <w:rFonts w:ascii="Arial" w:hAnsi="Arial" w:cs="Arial"/>
        </w:rPr>
        <w:t>。</w:t>
      </w:r>
    </w:p>
    <w:p w14:paraId="74603B8F">
      <w:pPr>
        <w:snapToGrid w:val="0"/>
        <w:spacing w:line="300" w:lineRule="auto"/>
        <w:jc w:val="both"/>
        <w:rPr>
          <w:rFonts w:ascii="Arial" w:hAnsi="Arial" w:eastAsia="宋体" w:cs="Arial"/>
          <w:sz w:val="24"/>
          <w:szCs w:val="24"/>
        </w:rPr>
      </w:pPr>
    </w:p>
    <w:p w14:paraId="41C25B85">
      <w:pPr>
        <w:pStyle w:val="3"/>
        <w:snapToGrid w:val="0"/>
        <w:spacing w:line="300" w:lineRule="auto"/>
        <w:ind w:left="0"/>
        <w:jc w:val="both"/>
        <w:rPr>
          <w:rFonts w:ascii="Arial" w:hAnsi="Arial" w:cs="Arial"/>
        </w:rPr>
      </w:pPr>
      <w:r>
        <w:rPr>
          <w:rFonts w:ascii="Arial" w:hAnsi="Arial" w:cs="Arial"/>
          <w:b/>
        </w:rPr>
        <w:t>动物药品：</w:t>
      </w:r>
      <w:r>
        <w:rPr>
          <w:rFonts w:ascii="Arial" w:hAnsi="Arial" w:cs="Arial"/>
        </w:rPr>
        <w:t>根据§514.8提交方法和数据并标有</w:t>
      </w:r>
      <w:r>
        <w:rPr>
          <w:rFonts w:ascii="宋体" w:hAnsi="宋体" w:cs="Arial"/>
        </w:rPr>
        <w:t>“</w:t>
      </w:r>
      <w:r>
        <w:rPr>
          <w:rFonts w:ascii="Arial" w:hAnsi="Arial" w:cs="Arial"/>
        </w:rPr>
        <w:t>补充材料 - 已生效更改</w:t>
      </w:r>
      <w:r>
        <w:rPr>
          <w:rFonts w:ascii="宋体" w:hAnsi="宋体" w:cs="Arial"/>
        </w:rPr>
        <w:t>”</w:t>
      </w:r>
      <w:r>
        <w:rPr>
          <w:rFonts w:ascii="Arial" w:hAnsi="Arial" w:cs="Arial"/>
        </w:rPr>
        <w:t>。</w:t>
      </w:r>
    </w:p>
    <w:p w14:paraId="54ECFEAB">
      <w:pPr>
        <w:snapToGrid w:val="0"/>
        <w:spacing w:line="300" w:lineRule="auto"/>
        <w:jc w:val="both"/>
        <w:rPr>
          <w:rFonts w:ascii="Arial" w:hAnsi="Arial" w:eastAsia="宋体" w:cs="Arial"/>
          <w:sz w:val="24"/>
          <w:szCs w:val="24"/>
        </w:rPr>
      </w:pPr>
    </w:p>
    <w:p w14:paraId="0E198B25">
      <w:pPr>
        <w:pStyle w:val="3"/>
        <w:snapToGrid w:val="0"/>
        <w:spacing w:line="300" w:lineRule="auto"/>
        <w:ind w:left="0"/>
        <w:jc w:val="both"/>
        <w:rPr>
          <w:rFonts w:ascii="Arial" w:hAnsi="Arial" w:cs="Arial"/>
        </w:rPr>
      </w:pPr>
      <w:r>
        <w:rPr>
          <w:rFonts w:ascii="Arial" w:hAnsi="Arial" w:cs="Arial"/>
          <w:b/>
        </w:rPr>
        <w:t>生物制剂：</w:t>
      </w:r>
      <w:r>
        <w:rPr>
          <w:rFonts w:ascii="Arial" w:hAnsi="Arial" w:cs="Arial"/>
        </w:rPr>
        <w:t>根据§ 601.12提交补充材料和支持拟定更改的合适的确认数据，并标有</w:t>
      </w:r>
      <w:r>
        <w:rPr>
          <w:rFonts w:ascii="宋体" w:hAnsi="宋体" w:cs="Arial"/>
        </w:rPr>
        <w:t>“</w:t>
      </w:r>
      <w:r>
        <w:rPr>
          <w:rFonts w:ascii="Arial" w:hAnsi="Arial" w:cs="Arial"/>
        </w:rPr>
        <w:t>补充材料 - 已生效更改</w:t>
      </w:r>
      <w:r>
        <w:rPr>
          <w:rFonts w:ascii="宋体" w:hAnsi="宋体" w:cs="Arial"/>
        </w:rPr>
        <w:t>”</w:t>
      </w:r>
      <w:r>
        <w:rPr>
          <w:rFonts w:ascii="Arial" w:hAnsi="Arial" w:cs="Arial"/>
        </w:rPr>
        <w:t>。</w:t>
      </w:r>
    </w:p>
    <w:p w14:paraId="36FC16F0">
      <w:pPr>
        <w:snapToGrid w:val="0"/>
        <w:spacing w:line="300" w:lineRule="auto"/>
        <w:jc w:val="both"/>
        <w:rPr>
          <w:rFonts w:ascii="Arial" w:hAnsi="Arial" w:eastAsia="宋体" w:cs="Arial"/>
          <w:sz w:val="24"/>
          <w:szCs w:val="24"/>
        </w:rPr>
      </w:pPr>
    </w:p>
    <w:p w14:paraId="00F76048">
      <w:pPr>
        <w:pStyle w:val="3"/>
        <w:snapToGrid w:val="0"/>
        <w:spacing w:line="300" w:lineRule="auto"/>
        <w:ind w:left="0"/>
        <w:jc w:val="both"/>
        <w:rPr>
          <w:rFonts w:ascii="Arial" w:hAnsi="Arial" w:cs="Arial"/>
        </w:rPr>
      </w:pPr>
      <w:r>
        <w:rPr>
          <w:rFonts w:ascii="Arial" w:hAnsi="Arial" w:cs="Arial"/>
          <w:b/>
        </w:rPr>
        <w:t>医疗器械：</w:t>
      </w:r>
      <w:r>
        <w:rPr>
          <w:rFonts w:ascii="Arial" w:hAnsi="Arial" w:cs="Arial"/>
        </w:rPr>
        <w:t>根据§814.39提交PMA补充材料和支持拟定更改的合适的确认数据。</w:t>
      </w:r>
    </w:p>
    <w:p w14:paraId="558F5E93">
      <w:pPr>
        <w:snapToGrid w:val="0"/>
        <w:spacing w:line="300" w:lineRule="auto"/>
        <w:jc w:val="both"/>
        <w:rPr>
          <w:rFonts w:ascii="Arial" w:hAnsi="Arial" w:eastAsia="宋体" w:cs="Arial"/>
          <w:sz w:val="24"/>
          <w:szCs w:val="24"/>
        </w:rPr>
      </w:pPr>
    </w:p>
    <w:p w14:paraId="04406CBC">
      <w:pPr>
        <w:pStyle w:val="3"/>
        <w:snapToGrid w:val="0"/>
        <w:spacing w:line="300" w:lineRule="auto"/>
        <w:ind w:left="0"/>
        <w:jc w:val="both"/>
        <w:rPr>
          <w:rFonts w:ascii="Arial" w:hAnsi="Arial" w:cs="Arial"/>
        </w:rPr>
      </w:pPr>
      <w:r>
        <w:rPr>
          <w:rFonts w:ascii="Arial" w:hAnsi="Arial" w:cs="Arial"/>
        </w:rPr>
        <w:t>贵公司应在申请补充材料中讨论试验方法所评价的内容以及如何适用于微生物完好性。贵公司应选择适合研究产品的方法，并确认所有试验方法。特定方法的过程确认应特定于产品容器和密封系统或产品类型。存在若干替代容器和密封系统完好性</w:t>
      </w:r>
      <w:r>
        <w:rPr>
          <w:rFonts w:hint="eastAsia" w:ascii="Arial" w:hAnsi="Arial" w:cs="Arial"/>
        </w:rPr>
        <w:t>的</w:t>
      </w:r>
      <w:r>
        <w:rPr>
          <w:rFonts w:ascii="Arial" w:hAnsi="Arial" w:cs="Arial"/>
        </w:rPr>
        <w:t>试验方法，如上所述。本机构鼓励贵公司开发用于测试特定容器和密封系统完好性的创新方法。</w:t>
      </w:r>
    </w:p>
    <w:p w14:paraId="4780C859">
      <w:pPr>
        <w:snapToGrid w:val="0"/>
        <w:spacing w:line="300" w:lineRule="auto"/>
        <w:jc w:val="both"/>
        <w:rPr>
          <w:rFonts w:ascii="Arial" w:hAnsi="Arial" w:eastAsia="宋体" w:cs="Arial"/>
          <w:sz w:val="24"/>
          <w:szCs w:val="24"/>
        </w:rPr>
      </w:pPr>
    </w:p>
    <w:p w14:paraId="2F873640">
      <w:pPr>
        <w:pStyle w:val="3"/>
        <w:snapToGrid w:val="0"/>
        <w:spacing w:line="300" w:lineRule="auto"/>
        <w:ind w:left="0"/>
        <w:jc w:val="both"/>
        <w:rPr>
          <w:rFonts w:ascii="Arial" w:hAnsi="Arial" w:cs="Arial"/>
        </w:rPr>
      </w:pPr>
      <w:r>
        <w:rPr>
          <w:rFonts w:ascii="Arial" w:hAnsi="Arial" w:cs="Arial"/>
        </w:rPr>
        <w:t>初步确认研究通常可以使用介质填充容器。如果产品含有防腐剂等材料，因为此类材料会使容器和密封系统完好性使用的结果出现偏差，因此在产品保质期和有效期内可以使用介质填充容器而不是产品填充容器。如果贵公司拟使用介质填充容器进行部分或全部试验，则贵公司应在申请补充材料中提供数据以支持此请求。</w:t>
      </w:r>
    </w:p>
    <w:p w14:paraId="362C7C2B">
      <w:pPr>
        <w:snapToGrid w:val="0"/>
        <w:spacing w:before="2" w:line="300" w:lineRule="auto"/>
        <w:jc w:val="both"/>
        <w:rPr>
          <w:rFonts w:ascii="Arial" w:hAnsi="Arial" w:eastAsia="宋体" w:cs="Arial"/>
          <w:sz w:val="24"/>
          <w:szCs w:val="24"/>
        </w:rPr>
      </w:pPr>
    </w:p>
    <w:p w14:paraId="2F5294DD">
      <w:pPr>
        <w:pStyle w:val="3"/>
        <w:snapToGrid w:val="0"/>
        <w:spacing w:line="300" w:lineRule="auto"/>
        <w:ind w:left="0"/>
        <w:jc w:val="both"/>
        <w:rPr>
          <w:rFonts w:ascii="Arial" w:hAnsi="Arial" w:cs="Arial"/>
        </w:rPr>
      </w:pPr>
      <w:r>
        <w:rPr>
          <w:rFonts w:ascii="Arial" w:hAnsi="Arial" w:cs="Arial"/>
        </w:rPr>
        <w:t>如果贵公司生产了若干使用相同类型的容器和密封系统的产品，则贵公司可以使用包围矩阵来确认贵公司的完好性试验方法。</w:t>
      </w:r>
      <w:r>
        <w:rPr>
          <w:rStyle w:val="14"/>
          <w:rFonts w:ascii="Arial" w:hAnsi="Arial" w:cs="Arial"/>
        </w:rPr>
        <w:footnoteReference w:id="5"/>
      </w:r>
      <w:r>
        <w:rPr>
          <w:rFonts w:ascii="Arial" w:hAnsi="Arial" w:cs="Arial"/>
        </w:rPr>
        <w:t>无需对每个产品进行确认研究。</w:t>
      </w:r>
    </w:p>
    <w:p w14:paraId="42E05549">
      <w:pPr>
        <w:snapToGrid w:val="0"/>
        <w:spacing w:before="8" w:line="300" w:lineRule="auto"/>
        <w:jc w:val="both"/>
        <w:rPr>
          <w:rFonts w:ascii="Arial" w:hAnsi="Arial" w:eastAsia="宋体" w:cs="Arial"/>
          <w:sz w:val="24"/>
          <w:szCs w:val="24"/>
        </w:rPr>
      </w:pPr>
    </w:p>
    <w:p w14:paraId="3542B4C2">
      <w:pPr>
        <w:pStyle w:val="3"/>
        <w:snapToGrid w:val="0"/>
        <w:spacing w:line="300" w:lineRule="auto"/>
        <w:ind w:left="0"/>
        <w:jc w:val="both"/>
        <w:rPr>
          <w:rFonts w:ascii="Arial" w:hAnsi="Arial" w:cs="Arial"/>
        </w:rPr>
      </w:pPr>
      <w:r>
        <w:rPr>
          <w:rFonts w:ascii="Arial" w:hAnsi="Arial" w:cs="Arial"/>
        </w:rPr>
        <w:t>待测样本数量应符合统计要求。通过容器和密封系统完好性试验的样本可以进一步用于该特定试验周期或间隔的稳定性试验；但是，试验不得具有破坏性，且样本不得被容器和密封试验方法本身改变。此外，不应在</w:t>
      </w:r>
      <w:r>
        <w:rPr>
          <w:rFonts w:hint="eastAsia" w:ascii="Arial" w:hAnsi="Arial" w:cs="Arial"/>
        </w:rPr>
        <w:t>同一间隔</w:t>
      </w:r>
      <w:r>
        <w:rPr>
          <w:rFonts w:ascii="Arial" w:hAnsi="Arial" w:cs="Arial"/>
        </w:rPr>
        <w:t>（例如12个月）内测试样本的容器和密封系统完好性后存储样本用于在</w:t>
      </w:r>
      <w:r>
        <w:rPr>
          <w:rFonts w:hint="eastAsia" w:ascii="Arial" w:hAnsi="Arial" w:cs="Arial"/>
        </w:rPr>
        <w:t>下一间隔</w:t>
      </w:r>
      <w:r>
        <w:rPr>
          <w:rFonts w:ascii="Arial" w:hAnsi="Arial" w:cs="Arial"/>
        </w:rPr>
        <w:t>（例如24个月）进行稳定性试验。</w:t>
      </w:r>
    </w:p>
    <w:p w14:paraId="4FD1F721">
      <w:pPr>
        <w:tabs>
          <w:tab w:val="left" w:pos="4186"/>
          <w:tab w:val="left" w:pos="5652"/>
        </w:tabs>
        <w:snapToGrid w:val="0"/>
        <w:spacing w:line="300" w:lineRule="auto"/>
        <w:jc w:val="center"/>
        <w:rPr>
          <w:rFonts w:hint="eastAsia" w:eastAsia="宋体"/>
          <w:lang w:eastAsia="zh-CN"/>
        </w:rPr>
      </w:pPr>
    </w:p>
    <w:p w14:paraId="01E4260D">
      <w:pPr>
        <w:tabs>
          <w:tab w:val="left" w:pos="4186"/>
          <w:tab w:val="left" w:pos="5652"/>
        </w:tabs>
        <w:snapToGrid w:val="0"/>
        <w:spacing w:line="300" w:lineRule="auto"/>
        <w:jc w:val="center"/>
        <w:rPr>
          <w:rFonts w:hint="eastAsia" w:eastAsia="宋体"/>
          <w:lang w:eastAsia="zh-CN"/>
        </w:rPr>
      </w:pPr>
    </w:p>
    <w:p w14:paraId="7DF06B23">
      <w:pPr>
        <w:tabs>
          <w:tab w:val="left" w:pos="4186"/>
          <w:tab w:val="left" w:pos="5652"/>
        </w:tabs>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6" w:type="default"/>
      <w:pgSz w:w="12240" w:h="15840"/>
      <w:pgMar w:top="1440" w:right="1800" w:bottom="1440" w:left="1800" w:header="750" w:footer="768"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379901450"/>
      <w:docPartObj>
        <w:docPartGallery w:val="AutoText"/>
      </w:docPartObj>
    </w:sdtPr>
    <w:sdtEndPr>
      <w:rPr>
        <w:rFonts w:ascii="Arial" w:hAnsi="Arial" w:cs="Arial"/>
        <w:sz w:val="21"/>
        <w:szCs w:val="21"/>
      </w:rPr>
    </w:sdtEndPr>
    <w:sdtContent>
      <w:p w14:paraId="0D8F7479">
        <w:pPr>
          <w:pStyle w:val="6"/>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i</w:t>
        </w:r>
        <w:r>
          <w:rPr>
            <w:rFonts w:ascii="Arial" w:hAnsi="Arial" w:cs="Arial"/>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008030275"/>
      <w:docPartObj>
        <w:docPartGallery w:val="AutoText"/>
      </w:docPartObj>
    </w:sdtPr>
    <w:sdtEndPr>
      <w:rPr>
        <w:rFonts w:ascii="Arial" w:hAnsi="Arial" w:cs="Arial"/>
        <w:sz w:val="21"/>
        <w:szCs w:val="21"/>
      </w:rPr>
    </w:sdtEndPr>
    <w:sdtContent>
      <w:p w14:paraId="2DF4289F">
        <w:pPr>
          <w:pStyle w:val="6"/>
          <w:jc w:val="center"/>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6</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01762C84">
      <w:pPr>
        <w:pStyle w:val="9"/>
        <w:jc w:val="both"/>
        <w:rPr>
          <w:rFonts w:ascii="Arial" w:hAnsi="Arial" w:eastAsia="宋体" w:cs="Arial"/>
        </w:rPr>
      </w:pPr>
      <w:r>
        <w:rPr>
          <w:rStyle w:val="14"/>
          <w:rFonts w:ascii="Arial" w:hAnsi="Arial" w:eastAsia="宋体" w:cs="Arial"/>
        </w:rPr>
        <w:footnoteRef/>
      </w:r>
      <w:r>
        <w:rPr>
          <w:rFonts w:ascii="Arial" w:hAnsi="Arial" w:eastAsia="宋体" w:cs="Arial"/>
        </w:rPr>
        <w:t xml:space="preserve"> 本指导性文件由联合工作小组与生物制剂评价和研究中心、器械和放射</w:t>
      </w:r>
      <w:r>
        <w:rPr>
          <w:rFonts w:hint="eastAsia" w:ascii="Arial" w:hAnsi="Arial" w:eastAsia="宋体" w:cs="Arial"/>
        </w:rPr>
        <w:t>卫生</w:t>
      </w:r>
      <w:r>
        <w:rPr>
          <w:rFonts w:ascii="Arial" w:hAnsi="Arial" w:eastAsia="宋体" w:cs="Arial"/>
        </w:rPr>
        <w:t>中心、药物评价和研究中心以及兽医医学中心的代表编制。</w:t>
      </w:r>
    </w:p>
  </w:footnote>
  <w:footnote w:id="1">
    <w:p w14:paraId="03CB681B">
      <w:pPr>
        <w:pStyle w:val="9"/>
        <w:jc w:val="both"/>
        <w:rPr>
          <w:rFonts w:ascii="Arial" w:hAnsi="Arial" w:eastAsia="宋体" w:cs="Arial"/>
        </w:rPr>
      </w:pPr>
      <w:r>
        <w:rPr>
          <w:rStyle w:val="14"/>
          <w:rFonts w:ascii="Arial" w:hAnsi="Arial" w:eastAsia="宋体" w:cs="Arial"/>
        </w:rPr>
        <w:footnoteRef/>
      </w:r>
      <w:r>
        <w:rPr>
          <w:rFonts w:ascii="Arial" w:hAnsi="Arial" w:eastAsia="宋体" w:cs="Arial"/>
        </w:rPr>
        <w:t xml:space="preserve"> 如21 CFR 600.3（l）所述，</w:t>
      </w:r>
      <w:r>
        <w:rPr>
          <w:rFonts w:ascii="宋体" w:hAnsi="宋体" w:eastAsia="宋体" w:cs="Arial"/>
        </w:rPr>
        <w:t>“</w:t>
      </w:r>
      <w:r>
        <w:rPr>
          <w:rFonts w:ascii="Arial" w:hAnsi="Arial" w:eastAsia="宋体" w:cs="Arial"/>
        </w:rPr>
        <w:t>有效期</w:t>
      </w:r>
      <w:r>
        <w:rPr>
          <w:rFonts w:ascii="宋体" w:hAnsi="宋体" w:eastAsia="宋体" w:cs="Arial"/>
        </w:rPr>
        <w:t>”</w:t>
      </w:r>
      <w:r>
        <w:rPr>
          <w:rFonts w:ascii="Arial" w:hAnsi="Arial" w:eastAsia="宋体" w:cs="Arial"/>
        </w:rPr>
        <w:t>是用于生物制剂的术语，</w:t>
      </w:r>
      <w:r>
        <w:rPr>
          <w:rFonts w:ascii="宋体" w:hAnsi="宋体" w:eastAsia="宋体" w:cs="Arial"/>
        </w:rPr>
        <w:t>“</w:t>
      </w:r>
      <w:r>
        <w:rPr>
          <w:rFonts w:ascii="Arial" w:hAnsi="Arial" w:eastAsia="宋体" w:cs="Arial"/>
        </w:rPr>
        <w:t>保质期</w:t>
      </w:r>
      <w:r>
        <w:rPr>
          <w:rFonts w:ascii="宋体" w:hAnsi="宋体" w:eastAsia="宋体" w:cs="Arial"/>
        </w:rPr>
        <w:t>”</w:t>
      </w:r>
      <w:r>
        <w:rPr>
          <w:rFonts w:ascii="Arial" w:hAnsi="Arial" w:eastAsia="宋体" w:cs="Arial"/>
        </w:rPr>
        <w:t>是用于其他药物的术语。</w:t>
      </w:r>
    </w:p>
  </w:footnote>
  <w:footnote w:id="2">
    <w:p w14:paraId="17F40775">
      <w:pPr>
        <w:pStyle w:val="9"/>
        <w:jc w:val="both"/>
        <w:rPr>
          <w:rFonts w:ascii="Arial" w:hAnsi="Arial" w:cs="Arial"/>
        </w:rPr>
      </w:pPr>
      <w:r>
        <w:rPr>
          <w:rStyle w:val="14"/>
          <w:rFonts w:ascii="Arial" w:hAnsi="Arial" w:cs="Arial"/>
        </w:rPr>
        <w:footnoteRef/>
      </w:r>
      <w:r>
        <w:rPr>
          <w:rFonts w:ascii="Arial" w:hAnsi="Arial" w:cs="Arial"/>
        </w:rPr>
        <w:t xml:space="preserve"> </w:t>
      </w:r>
      <w:r>
        <w:rPr>
          <w:rFonts w:ascii="Arial" w:hAnsi="Arial" w:eastAsia="宋体" w:cs="Arial"/>
        </w:rPr>
        <w:t>一般兽用产品请参见：VICH GL17</w:t>
      </w:r>
      <w:r>
        <w:rPr>
          <w:rFonts w:ascii="宋体" w:hAnsi="宋体" w:eastAsia="宋体" w:cs="Arial"/>
        </w:rPr>
        <w:t>“</w:t>
      </w:r>
      <w:r>
        <w:rPr>
          <w:rFonts w:ascii="Arial" w:hAnsi="Arial" w:eastAsia="宋体" w:cs="Arial"/>
        </w:rPr>
        <w:t>新型生物技术/生物兽用医疗产品稳定性试验</w:t>
      </w:r>
      <w:r>
        <w:rPr>
          <w:rFonts w:ascii="宋体" w:hAnsi="宋体" w:eastAsia="宋体" w:cs="Arial"/>
        </w:rPr>
        <w:t>”</w:t>
      </w:r>
      <w:r>
        <w:rPr>
          <w:rFonts w:ascii="Arial" w:hAnsi="Arial" w:eastAsia="宋体" w:cs="Arial"/>
        </w:rPr>
        <w:t>，66 FR 19177，2001年4月13日和VICH GL3</w:t>
      </w:r>
      <w:r>
        <w:rPr>
          <w:rFonts w:ascii="宋体" w:hAnsi="宋体" w:eastAsia="宋体" w:cs="Arial"/>
        </w:rPr>
        <w:t>“</w:t>
      </w:r>
      <w:r>
        <w:rPr>
          <w:rFonts w:ascii="Arial" w:hAnsi="Arial" w:eastAsia="宋体" w:cs="Arial"/>
        </w:rPr>
        <w:t>新型兽用药物物质和药用产品稳定性试验（修订版）</w:t>
      </w:r>
      <w:r>
        <w:rPr>
          <w:rFonts w:ascii="宋体" w:hAnsi="宋体" w:eastAsia="宋体" w:cs="Arial"/>
        </w:rPr>
        <w:t>”</w:t>
      </w:r>
      <w:r>
        <w:rPr>
          <w:rFonts w:ascii="Arial" w:hAnsi="Arial" w:eastAsia="宋体" w:cs="Arial"/>
        </w:rPr>
        <w:t>71 FR 19525，2006年4月14日。</w:t>
      </w:r>
    </w:p>
  </w:footnote>
  <w:footnote w:id="3">
    <w:p w14:paraId="467F0C08">
      <w:pPr>
        <w:pStyle w:val="9"/>
        <w:jc w:val="both"/>
        <w:rPr>
          <w:rFonts w:ascii="Arial" w:hAnsi="Arial" w:eastAsia="宋体" w:cs="Arial"/>
        </w:rPr>
      </w:pPr>
      <w:r>
        <w:rPr>
          <w:rStyle w:val="14"/>
          <w:rFonts w:ascii="Arial" w:hAnsi="Arial" w:cs="Arial"/>
        </w:rPr>
        <w:footnoteRef/>
      </w:r>
      <w:r>
        <w:rPr>
          <w:rFonts w:ascii="Arial" w:hAnsi="Arial" w:cs="Arial"/>
        </w:rPr>
        <w:t xml:space="preserve"> </w:t>
      </w:r>
      <w:r>
        <w:rPr>
          <w:rFonts w:ascii="Arial" w:hAnsi="Arial" w:eastAsia="宋体" w:cs="Arial"/>
        </w:rPr>
        <w:t>ICH最终指南旨在补充ICH指南</w:t>
      </w:r>
      <w:r>
        <w:rPr>
          <w:rFonts w:ascii="宋体" w:hAnsi="宋体" w:eastAsia="宋体" w:cs="Arial"/>
        </w:rPr>
        <w:t>“</w:t>
      </w:r>
      <w:r>
        <w:rPr>
          <w:rFonts w:ascii="Arial" w:hAnsi="Arial" w:eastAsia="宋体" w:cs="Arial"/>
        </w:rPr>
        <w:t>新型药物物质和产品稳定性试验</w:t>
      </w:r>
      <w:r>
        <w:rPr>
          <w:rFonts w:ascii="宋体" w:hAnsi="宋体" w:eastAsia="宋体" w:cs="Arial"/>
        </w:rPr>
        <w:t>”</w:t>
      </w:r>
      <w:r>
        <w:rPr>
          <w:rFonts w:ascii="Arial" w:hAnsi="Arial" w:eastAsia="宋体" w:cs="Arial"/>
        </w:rPr>
        <w:t>（一式三份），其通知于1994年9月22日在联邦公报（59 FR 48754）中发布。本指南</w:t>
      </w:r>
      <w:r>
        <w:rPr>
          <w:rFonts w:hint="eastAsia" w:ascii="Arial" w:hAnsi="Arial" w:eastAsia="宋体" w:cs="Arial"/>
        </w:rPr>
        <w:t>表明</w:t>
      </w:r>
      <w:r>
        <w:rPr>
          <w:rFonts w:ascii="Arial" w:hAnsi="Arial" w:eastAsia="宋体" w:cs="Arial"/>
        </w:rPr>
        <w:t>了人类药物稳定性试验的正式科学原则，并提供了产品稳定性相关信息的一般指示，但其仍具有足够的灵活性，可涵盖特定科学情况和评价中材料特性所需的各种不同实际方法。</w:t>
      </w:r>
    </w:p>
    <w:p w14:paraId="109EA689">
      <w:pPr>
        <w:pStyle w:val="9"/>
        <w:jc w:val="both"/>
        <w:rPr>
          <w:rFonts w:ascii="Arial" w:hAnsi="Arial" w:eastAsia="宋体" w:cs="Arial"/>
        </w:rPr>
      </w:pPr>
    </w:p>
    <w:p w14:paraId="52DEB89A">
      <w:pPr>
        <w:snapToGrid w:val="0"/>
        <w:jc w:val="both"/>
        <w:rPr>
          <w:rFonts w:ascii="Arial" w:hAnsi="Arial" w:eastAsia="宋体" w:cs="Arial"/>
          <w:sz w:val="18"/>
          <w:szCs w:val="18"/>
        </w:rPr>
      </w:pPr>
      <w:r>
        <w:rPr>
          <w:rFonts w:ascii="Arial" w:hAnsi="Arial" w:eastAsia="宋体" w:cs="Arial"/>
          <w:sz w:val="18"/>
          <w:szCs w:val="18"/>
        </w:rPr>
        <w:t>发布了具有相同标题的1994年9月22日ICH指南（Q1A（R））（66 FR 56332，2001年11月7日）的修订版本，以向某些部分添加信息，并对其他部分进行说明。重要更改如下：（1）药物物质应力试验从术语表移至正文；（2）使试验程序文本符合ICH指南</w:t>
      </w:r>
      <w:r>
        <w:rPr>
          <w:rFonts w:ascii="宋体" w:hAnsi="宋体" w:eastAsia="宋体" w:cs="Arial"/>
          <w:sz w:val="18"/>
          <w:szCs w:val="18"/>
        </w:rPr>
        <w:t>“</w:t>
      </w:r>
      <w:r>
        <w:rPr>
          <w:rFonts w:ascii="Arial" w:hAnsi="Arial" w:eastAsia="宋体" w:cs="Arial"/>
          <w:sz w:val="18"/>
          <w:szCs w:val="18"/>
        </w:rPr>
        <w:t>Q6A规格：新型药物物质和新型药物产品上釉程序及验收标准：化学物质</w:t>
      </w:r>
      <w:r>
        <w:rPr>
          <w:rFonts w:ascii="宋体" w:hAnsi="宋体" w:eastAsia="宋体" w:cs="Arial"/>
          <w:sz w:val="18"/>
          <w:szCs w:val="18"/>
        </w:rPr>
        <w:t>”</w:t>
      </w:r>
      <w:r>
        <w:rPr>
          <w:rFonts w:ascii="Arial" w:hAnsi="Arial" w:eastAsia="宋体" w:cs="Arial"/>
          <w:sz w:val="18"/>
          <w:szCs w:val="18"/>
        </w:rPr>
        <w:t>（65 FR 83041，2000年12月29日）），并介绍了其他ICH指南的相关交叉引用；（3）修正了试验频率文本中的加速试验条件；（4）详细描述了存储条件，具体说明了低温试验和半透性容器中的含水液体试验；（5）明确描述了批准后义务；（6）</w:t>
      </w:r>
      <w:r>
        <w:rPr>
          <w:rFonts w:hint="eastAsia" w:ascii="Arial" w:hAnsi="Arial" w:eastAsia="宋体" w:cs="Arial"/>
          <w:sz w:val="18"/>
          <w:szCs w:val="18"/>
        </w:rPr>
        <w:t>确保</w:t>
      </w:r>
      <w:r>
        <w:rPr>
          <w:rFonts w:ascii="Arial" w:hAnsi="Arial" w:eastAsia="宋体" w:cs="Arial"/>
          <w:sz w:val="18"/>
          <w:szCs w:val="18"/>
        </w:rPr>
        <w:t>指南在编辑方面一致。发布了指南</w:t>
      </w:r>
      <w:r>
        <w:rPr>
          <w:rFonts w:ascii="宋体" w:hAnsi="宋体" w:eastAsia="宋体" w:cs="Arial"/>
          <w:sz w:val="18"/>
          <w:szCs w:val="18"/>
        </w:rPr>
        <w:t>“</w:t>
      </w:r>
      <w:r>
        <w:rPr>
          <w:rFonts w:ascii="Arial" w:hAnsi="Arial" w:eastAsia="宋体" w:cs="Arial"/>
          <w:sz w:val="18"/>
          <w:szCs w:val="18"/>
        </w:rPr>
        <w:t>行业指南Q1A（R2），新型产品稳定性试验</w:t>
      </w:r>
      <w:r>
        <w:rPr>
          <w:rFonts w:ascii="宋体" w:hAnsi="宋体" w:eastAsia="宋体" w:cs="Arial"/>
          <w:sz w:val="18"/>
          <w:szCs w:val="18"/>
        </w:rPr>
        <w:t>”</w:t>
      </w:r>
      <w:r>
        <w:rPr>
          <w:rFonts w:ascii="Arial" w:hAnsi="Arial" w:eastAsia="宋体" w:cs="Arial"/>
          <w:sz w:val="18"/>
          <w:szCs w:val="18"/>
        </w:rPr>
        <w:t>（68 FR 65717，2003年11月21日）的第二版，以协调I和II区的中间存储条件与III区和IV区的长期存储条件。</w:t>
      </w:r>
    </w:p>
    <w:p w14:paraId="0BA1EC8B">
      <w:pPr>
        <w:pStyle w:val="9"/>
        <w:jc w:val="both"/>
        <w:rPr>
          <w:rFonts w:ascii="Arial" w:hAnsi="Arial" w:cs="Arial"/>
        </w:rPr>
      </w:pPr>
    </w:p>
  </w:footnote>
  <w:footnote w:id="4">
    <w:p w14:paraId="24DA02AC">
      <w:pPr>
        <w:pStyle w:val="9"/>
        <w:jc w:val="both"/>
        <w:rPr>
          <w:rFonts w:ascii="Arial" w:hAnsi="Arial" w:cs="Arial"/>
        </w:rPr>
      </w:pPr>
      <w:r>
        <w:rPr>
          <w:rStyle w:val="14"/>
          <w:rFonts w:ascii="Arial" w:hAnsi="Arial" w:cs="Arial"/>
        </w:rPr>
        <w:footnoteRef/>
      </w:r>
      <w:r>
        <w:rPr>
          <w:rFonts w:ascii="Arial" w:hAnsi="Arial" w:cs="Arial"/>
        </w:rPr>
        <w:t xml:space="preserve"> </w:t>
      </w:r>
      <w:r>
        <w:rPr>
          <w:rFonts w:ascii="Arial" w:hAnsi="Arial" w:eastAsia="宋体" w:cs="Arial"/>
        </w:rPr>
        <w:t>如前所述，如果贵公司目前正在执行无菌试验以作为稳定性方案中的稳定性指示试验，贵公司仍可继续进行此类操作。此外，如果贵公司的产品已批准用于稳定性方案中的无菌试验替代方法，则本文档不会就其他试验要求提供建议。</w:t>
      </w:r>
    </w:p>
  </w:footnote>
  <w:footnote w:id="5">
    <w:p w14:paraId="3A93BC85">
      <w:pPr>
        <w:pStyle w:val="9"/>
        <w:jc w:val="both"/>
        <w:rPr>
          <w:rFonts w:ascii="Arial" w:hAnsi="Arial" w:cs="Arial"/>
        </w:rPr>
      </w:pPr>
      <w:r>
        <w:rPr>
          <w:rStyle w:val="14"/>
          <w:rFonts w:ascii="Arial" w:hAnsi="Arial" w:cs="Arial"/>
        </w:rPr>
        <w:footnoteRef/>
      </w:r>
      <w:r>
        <w:rPr>
          <w:rFonts w:ascii="Arial" w:hAnsi="Arial" w:cs="Arial"/>
        </w:rPr>
        <w:t xml:space="preserve"> </w:t>
      </w:r>
      <w:r>
        <w:rPr>
          <w:rFonts w:ascii="Arial" w:hAnsi="Arial" w:eastAsia="宋体" w:cs="Arial"/>
        </w:rPr>
        <w:t>请参见ICH指导</w:t>
      </w:r>
      <w:r>
        <w:rPr>
          <w:rFonts w:ascii="宋体" w:hAnsi="宋体" w:eastAsia="宋体" w:cs="Arial"/>
        </w:rPr>
        <w:t>“</w:t>
      </w:r>
      <w:r>
        <w:rPr>
          <w:rFonts w:ascii="Arial" w:hAnsi="Arial" w:eastAsia="宋体" w:cs="Arial"/>
        </w:rPr>
        <w:t>新型药物物质和产品稳定性试验的Q1D包围和矩阵设计</w:t>
      </w:r>
      <w:r>
        <w:rPr>
          <w:rFonts w:ascii="宋体" w:hAnsi="宋体" w:eastAsia="宋体" w:cs="Arial"/>
        </w:rPr>
        <w:t>”</w:t>
      </w:r>
      <w:r>
        <w:rPr>
          <w:rFonts w:ascii="Arial" w:hAnsi="Arial" w:eastAsia="宋体" w:cs="Arial"/>
        </w:rPr>
        <w:t>（68 FR 2339，2003年1月16日）。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0CFBB">
    <w:pPr>
      <w:snapToGrid w:val="0"/>
      <w:spacing w:line="300" w:lineRule="auto"/>
      <w:ind w:left="23"/>
      <w:jc w:val="center"/>
      <w:rPr>
        <w:rFonts w:ascii="Times New Roman" w:hAnsi="Times New Roman" w:eastAsia="宋体" w:cs="Times New Roman"/>
        <w:sz w:val="24"/>
        <w:szCs w:val="24"/>
      </w:rPr>
    </w:pPr>
    <w:r>
      <w:rPr>
        <w:rFonts w:hint="eastAsia" w:ascii="Times New Roman" w:eastAsia="宋体"/>
        <w:b/>
        <w:sz w:val="24"/>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875B2F"/>
    <w:multiLevelType w:val="multilevel"/>
    <w:tmpl w:val="68875B2F"/>
    <w:lvl w:ilvl="0" w:tentative="0">
      <w:start w:val="1"/>
      <w:numFmt w:val="upperRoman"/>
      <w:lvlText w:val="%1."/>
      <w:lvlJc w:val="left"/>
      <w:pPr>
        <w:ind w:left="820" w:hanging="720"/>
        <w:jc w:val="left"/>
      </w:pPr>
      <w:rPr>
        <w:rFonts w:hint="default" w:ascii="Times New Roman" w:hAnsi="Times New Roman" w:eastAsia="Times New Roman"/>
        <w:b/>
        <w:bCs/>
        <w:sz w:val="24"/>
        <w:szCs w:val="24"/>
      </w:rPr>
    </w:lvl>
    <w:lvl w:ilvl="1" w:tentative="0">
      <w:start w:val="1"/>
      <w:numFmt w:val="upperRoman"/>
      <w:lvlText w:val="%2."/>
      <w:lvlJc w:val="left"/>
      <w:pPr>
        <w:ind w:left="1059" w:hanging="720"/>
        <w:jc w:val="right"/>
      </w:pPr>
      <w:rPr>
        <w:rFonts w:hint="default" w:ascii="Arial" w:hAnsi="Arial" w:eastAsia="Times New Roman" w:cs="Arial"/>
        <w:b/>
        <w:bCs/>
        <w:sz w:val="24"/>
        <w:szCs w:val="24"/>
      </w:rPr>
    </w:lvl>
    <w:lvl w:ilvl="2" w:tentative="0">
      <w:start w:val="1"/>
      <w:numFmt w:val="decimal"/>
      <w:lvlText w:val="%3."/>
      <w:lvlJc w:val="left"/>
      <w:pPr>
        <w:ind w:left="1200" w:hanging="360"/>
        <w:jc w:val="left"/>
      </w:pPr>
      <w:rPr>
        <w:rFonts w:hint="default" w:ascii="Arial" w:hAnsi="Arial" w:eastAsia="Times New Roman" w:cs="Arial"/>
        <w:sz w:val="24"/>
        <w:szCs w:val="24"/>
      </w:rPr>
    </w:lvl>
    <w:lvl w:ilvl="3" w:tentative="0">
      <w:start w:val="1"/>
      <w:numFmt w:val="bullet"/>
      <w:lvlText w:val="•"/>
      <w:lvlJc w:val="left"/>
      <w:pPr>
        <w:ind w:left="2225" w:hanging="360"/>
      </w:pPr>
      <w:rPr>
        <w:rFonts w:hint="default"/>
      </w:rPr>
    </w:lvl>
    <w:lvl w:ilvl="4" w:tentative="0">
      <w:start w:val="1"/>
      <w:numFmt w:val="bullet"/>
      <w:lvlText w:val="•"/>
      <w:lvlJc w:val="left"/>
      <w:pPr>
        <w:ind w:left="3250" w:hanging="360"/>
      </w:pPr>
      <w:rPr>
        <w:rFonts w:hint="default"/>
      </w:rPr>
    </w:lvl>
    <w:lvl w:ilvl="5" w:tentative="0">
      <w:start w:val="1"/>
      <w:numFmt w:val="bullet"/>
      <w:lvlText w:val="•"/>
      <w:lvlJc w:val="left"/>
      <w:pPr>
        <w:ind w:left="4275" w:hanging="360"/>
      </w:pPr>
      <w:rPr>
        <w:rFonts w:hint="default"/>
      </w:rPr>
    </w:lvl>
    <w:lvl w:ilvl="6" w:tentative="0">
      <w:start w:val="1"/>
      <w:numFmt w:val="bullet"/>
      <w:lvlText w:val="•"/>
      <w:lvlJc w:val="left"/>
      <w:pPr>
        <w:ind w:left="5300" w:hanging="360"/>
      </w:pPr>
      <w:rPr>
        <w:rFonts w:hint="default"/>
      </w:rPr>
    </w:lvl>
    <w:lvl w:ilvl="7" w:tentative="0">
      <w:start w:val="1"/>
      <w:numFmt w:val="bullet"/>
      <w:lvlText w:val="•"/>
      <w:lvlJc w:val="left"/>
      <w:pPr>
        <w:ind w:left="6325" w:hanging="360"/>
      </w:pPr>
      <w:rPr>
        <w:rFonts w:hint="default"/>
      </w:rPr>
    </w:lvl>
    <w:lvl w:ilvl="8" w:tentative="0">
      <w:start w:val="1"/>
      <w:numFmt w:val="bullet"/>
      <w:lvlText w:val="•"/>
      <w:lvlJc w:val="left"/>
      <w:pPr>
        <w:ind w:left="735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12"/>
    <w:footnote w:id="13"/>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DAD"/>
    <w:rsid w:val="00012CA1"/>
    <w:rsid w:val="001500C9"/>
    <w:rsid w:val="001503D8"/>
    <w:rsid w:val="00155E57"/>
    <w:rsid w:val="001905F4"/>
    <w:rsid w:val="001A3BC9"/>
    <w:rsid w:val="001A5DAD"/>
    <w:rsid w:val="001D52BD"/>
    <w:rsid w:val="001E0A2F"/>
    <w:rsid w:val="00264F61"/>
    <w:rsid w:val="002E214E"/>
    <w:rsid w:val="002F63F6"/>
    <w:rsid w:val="00363EDF"/>
    <w:rsid w:val="003F0662"/>
    <w:rsid w:val="004531C5"/>
    <w:rsid w:val="00455481"/>
    <w:rsid w:val="00482087"/>
    <w:rsid w:val="0048569B"/>
    <w:rsid w:val="004944B1"/>
    <w:rsid w:val="004B2AF3"/>
    <w:rsid w:val="005168A3"/>
    <w:rsid w:val="00561A5A"/>
    <w:rsid w:val="005E0821"/>
    <w:rsid w:val="006209AD"/>
    <w:rsid w:val="006357D0"/>
    <w:rsid w:val="00664127"/>
    <w:rsid w:val="006F0DDB"/>
    <w:rsid w:val="00714B6B"/>
    <w:rsid w:val="00717CE2"/>
    <w:rsid w:val="00723A51"/>
    <w:rsid w:val="00747232"/>
    <w:rsid w:val="0077707B"/>
    <w:rsid w:val="007775B9"/>
    <w:rsid w:val="007A2B92"/>
    <w:rsid w:val="008016E6"/>
    <w:rsid w:val="00827F69"/>
    <w:rsid w:val="00842E5B"/>
    <w:rsid w:val="00876282"/>
    <w:rsid w:val="00930304"/>
    <w:rsid w:val="009354F2"/>
    <w:rsid w:val="00935992"/>
    <w:rsid w:val="009B1856"/>
    <w:rsid w:val="009E0BBD"/>
    <w:rsid w:val="00A201D4"/>
    <w:rsid w:val="00A37DA3"/>
    <w:rsid w:val="00A97ABF"/>
    <w:rsid w:val="00AC3254"/>
    <w:rsid w:val="00AC6103"/>
    <w:rsid w:val="00AF43C3"/>
    <w:rsid w:val="00B56DD6"/>
    <w:rsid w:val="00B97848"/>
    <w:rsid w:val="00C35822"/>
    <w:rsid w:val="00C43425"/>
    <w:rsid w:val="00C50D05"/>
    <w:rsid w:val="00C766D4"/>
    <w:rsid w:val="00CB5F60"/>
    <w:rsid w:val="00CC6603"/>
    <w:rsid w:val="00CE57C7"/>
    <w:rsid w:val="00D501CF"/>
    <w:rsid w:val="00D530A7"/>
    <w:rsid w:val="00D731D3"/>
    <w:rsid w:val="00D86A28"/>
    <w:rsid w:val="00DF74A1"/>
    <w:rsid w:val="00E12A44"/>
    <w:rsid w:val="00E24813"/>
    <w:rsid w:val="00E801E3"/>
    <w:rsid w:val="00EC0CE6"/>
    <w:rsid w:val="00EC2E63"/>
    <w:rsid w:val="00EE512C"/>
    <w:rsid w:val="00EF0250"/>
    <w:rsid w:val="00EF7D37"/>
    <w:rsid w:val="00EF7D74"/>
    <w:rsid w:val="00F42BEE"/>
    <w:rsid w:val="00F42FD0"/>
    <w:rsid w:val="00F5528C"/>
    <w:rsid w:val="00FA0086"/>
    <w:rsid w:val="00FA2186"/>
    <w:rsid w:val="00FC30DB"/>
    <w:rsid w:val="32F60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839" w:hanging="719"/>
      <w:outlineLvl w:val="0"/>
    </w:pPr>
    <w:rPr>
      <w:rFonts w:ascii="Times New Roman" w:hAnsi="Times New Roman" w:eastAsia="宋体"/>
      <w:b/>
      <w:bCs/>
      <w:sz w:val="24"/>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20"/>
    </w:pPr>
    <w:rPr>
      <w:rFonts w:ascii="Times New Roman" w:hAnsi="Times New Roman" w:eastAsia="宋体"/>
      <w:sz w:val="24"/>
      <w:szCs w:val="24"/>
    </w:rPr>
  </w:style>
  <w:style w:type="paragraph" w:styleId="4">
    <w:name w:val="Date"/>
    <w:basedOn w:val="1"/>
    <w:next w:val="1"/>
    <w:link w:val="21"/>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qFormat/>
    <w:uiPriority w:val="39"/>
    <w:pPr>
      <w:spacing w:before="240"/>
      <w:ind w:left="820" w:hanging="720"/>
    </w:pPr>
    <w:rPr>
      <w:rFonts w:ascii="Times New Roman" w:hAnsi="Times New Roman" w:eastAsia="宋体"/>
      <w:b/>
      <w:bCs/>
      <w:sz w:val="24"/>
      <w:szCs w:val="24"/>
    </w:rPr>
  </w:style>
  <w:style w:type="paragraph" w:styleId="9">
    <w:name w:val="footnote text"/>
    <w:basedOn w:val="1"/>
    <w:link w:val="22"/>
    <w:semiHidden/>
    <w:unhideWhenUsed/>
    <w:uiPriority w:val="99"/>
    <w:pPr>
      <w:snapToGrid w:val="0"/>
    </w:pPr>
    <w:rPr>
      <w:sz w:val="18"/>
      <w:szCs w:val="18"/>
    </w:r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uiPriority w:val="99"/>
    <w:rPr>
      <w:color w:val="0000FF" w:themeColor="hyperlink"/>
      <w:u w:val="single"/>
      <w14:textFill>
        <w14:solidFill>
          <w14:schemeClr w14:val="hlink"/>
        </w14:solidFill>
      </w14:textFill>
    </w:rPr>
  </w:style>
  <w:style w:type="character" w:styleId="14">
    <w:name w:val="footnote reference"/>
    <w:basedOn w:val="12"/>
    <w:semiHidden/>
    <w:unhideWhenUsed/>
    <w:qFormat/>
    <w:uiPriority w:val="99"/>
    <w:rPr>
      <w:vertAlign w:val="superscript"/>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页眉 Char"/>
    <w:basedOn w:val="12"/>
    <w:link w:val="7"/>
    <w:uiPriority w:val="99"/>
    <w:rPr>
      <w:sz w:val="18"/>
      <w:szCs w:val="18"/>
    </w:rPr>
  </w:style>
  <w:style w:type="character" w:customStyle="1" w:styleId="19">
    <w:name w:val="页脚 Char"/>
    <w:basedOn w:val="12"/>
    <w:link w:val="6"/>
    <w:uiPriority w:val="99"/>
    <w:rPr>
      <w:sz w:val="18"/>
      <w:szCs w:val="18"/>
    </w:rPr>
  </w:style>
  <w:style w:type="character" w:customStyle="1" w:styleId="20">
    <w:name w:val="批注框文本 Char"/>
    <w:basedOn w:val="12"/>
    <w:link w:val="5"/>
    <w:semiHidden/>
    <w:qFormat/>
    <w:uiPriority w:val="99"/>
    <w:rPr>
      <w:sz w:val="18"/>
      <w:szCs w:val="18"/>
    </w:rPr>
  </w:style>
  <w:style w:type="character" w:customStyle="1" w:styleId="21">
    <w:name w:val="日期 Char"/>
    <w:basedOn w:val="12"/>
    <w:link w:val="4"/>
    <w:semiHidden/>
    <w:qFormat/>
    <w:uiPriority w:val="99"/>
  </w:style>
  <w:style w:type="character" w:customStyle="1" w:styleId="22">
    <w:name w:val="脚注文本 Char"/>
    <w:basedOn w:val="12"/>
    <w:link w:val="9"/>
    <w:semiHidden/>
    <w:uiPriority w:val="99"/>
    <w:rPr>
      <w:sz w:val="18"/>
      <w:szCs w:val="18"/>
    </w:rPr>
  </w:style>
  <w:style w:type="paragraph" w:customStyle="1" w:styleId="23">
    <w:name w:val="TOC Heading"/>
    <w:basedOn w:val="2"/>
    <w:next w:val="1"/>
    <w:semiHidden/>
    <w:unhideWhenUsed/>
    <w:qFormat/>
    <w:uiPriority w:val="39"/>
    <w:pPr>
      <w:keepNext/>
      <w:keepLines/>
      <w:widowControl/>
      <w:spacing w:before="480" w:line="276" w:lineRule="auto"/>
      <w:ind w:left="0" w:firstLine="0"/>
      <w:outlineLvl w:val="9"/>
    </w:pPr>
    <w:rPr>
      <w:rFonts w:asciiTheme="majorHAnsi" w:hAnsiTheme="majorHAnsi" w:eastAsiaTheme="majorEastAsia" w:cstheme="majorBidi"/>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55E43-897B-4B05-A002-45E93AE7D8F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4342</Words>
  <Characters>4967</Characters>
  <Lines>41</Lines>
  <Paragraphs>11</Paragraphs>
  <TotalTime>3</TotalTime>
  <ScaleCrop>false</ScaleCrop>
  <LinksUpToDate>false</LinksUpToDate>
  <CharactersWithSpaces>5050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2017-10-16T11:02:00Z</dcterms:created>
  <dc:creator>CBER CDER CDRH CVM</dc:creator>
  <cp:keywords>guidance, container, closure, container closure integrity testing, sterility, sterility testing, stability protocol, sterile, sterile product</cp:keywords>
  <cp:lastModifiedBy>太极箫客</cp:lastModifiedBy>
  <dcterms:modified xsi:type="dcterms:W3CDTF">2025-08-14T06:50:30Z</dcterms:modified>
  <dc:subject>2/2008</dc:subject>
  <dc:title>Guidance for Industry Container and Closure System Integrity Testing in Lieu of Sterility Testing as a Component of the Stability Protocol for Sterile Products</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2008-02-12T00:00:00Z</vt:filetime>
  </property>
  <property fmtid="{D5CDD505-2E9C-101B-9397-08002B2CF9AE}" pid="3" name="Creator">
    <vt:lpwstr>Acrobat PDFMaker 7.0.5 for Word</vt:lpwstr>
  </property>
  <property fmtid="{D5CDD505-2E9C-101B-9397-08002B2CF9AE}" pid="4" name="LastSaved">
    <vt:filetime>2017-10-07T00:00:00Z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8D5D50AE7A414E1AA7F7D416CEBF8B96_12</vt:lpwstr>
  </property>
</Properties>
</file>