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0B320">
      <w:pPr>
        <w:snapToGrid w:val="0"/>
        <w:spacing w:before="120" w:beforeLines="50" w:line="312" w:lineRule="auto"/>
        <w:ind w:firstLine="2"/>
        <w:jc w:val="both"/>
        <w:rPr>
          <w:rFonts w:ascii="Arial" w:hAnsi="Arial" w:eastAsia="宋体" w:cs="Arial"/>
          <w:szCs w:val="21"/>
          <w:shd w:val="clear" w:color="auto" w:fill="FFFFFF"/>
        </w:rPr>
      </w:pPr>
      <w:bookmarkStart w:id="0" w:name="_GoBack"/>
      <w:bookmarkEnd w:id="0"/>
    </w:p>
    <w:p w14:paraId="280139AC">
      <w:pPr>
        <w:snapToGrid w:val="0"/>
        <w:spacing w:before="120" w:beforeLines="50" w:line="312" w:lineRule="auto"/>
        <w:ind w:firstLine="2"/>
        <w:jc w:val="both"/>
        <w:rPr>
          <w:rFonts w:ascii="Arial" w:hAnsi="Arial" w:eastAsia="宋体" w:cs="Arial"/>
          <w:szCs w:val="21"/>
          <w:shd w:val="clear" w:color="auto" w:fill="FFFFFF"/>
        </w:rPr>
      </w:pPr>
    </w:p>
    <w:p w14:paraId="4F986076">
      <w:pPr>
        <w:snapToGrid w:val="0"/>
        <w:spacing w:before="120" w:beforeLines="50" w:line="312" w:lineRule="auto"/>
        <w:ind w:firstLine="2"/>
        <w:jc w:val="both"/>
        <w:rPr>
          <w:rFonts w:ascii="Arial" w:hAnsi="Arial" w:eastAsia="宋体" w:cs="Arial"/>
          <w:szCs w:val="21"/>
          <w:shd w:val="clear" w:color="auto" w:fill="FFFFFF"/>
        </w:rPr>
      </w:pPr>
    </w:p>
    <w:p w14:paraId="4D458144">
      <w:pPr>
        <w:snapToGrid w:val="0"/>
        <w:spacing w:before="120" w:beforeLines="50" w:line="312" w:lineRule="auto"/>
        <w:ind w:firstLine="2"/>
        <w:jc w:val="both"/>
        <w:rPr>
          <w:rFonts w:ascii="Arial" w:hAnsi="Arial" w:eastAsia="宋体" w:cs="Arial"/>
          <w:szCs w:val="21"/>
          <w:shd w:val="clear" w:color="auto" w:fill="FFFFFF"/>
        </w:rPr>
      </w:pPr>
    </w:p>
    <w:p w14:paraId="72AC5065">
      <w:pPr>
        <w:snapToGrid w:val="0"/>
        <w:spacing w:before="120" w:beforeLines="50" w:line="312" w:lineRule="auto"/>
        <w:ind w:firstLine="2"/>
        <w:jc w:val="both"/>
        <w:rPr>
          <w:rFonts w:ascii="Arial" w:hAnsi="Arial" w:eastAsia="宋体" w:cs="Arial"/>
          <w:szCs w:val="21"/>
          <w:shd w:val="clear" w:color="auto" w:fill="FFFFFF"/>
        </w:rPr>
      </w:pPr>
    </w:p>
    <w:p w14:paraId="6686BA1B">
      <w:pPr>
        <w:snapToGrid w:val="0"/>
        <w:spacing w:before="120" w:beforeLines="50" w:line="312" w:lineRule="auto"/>
        <w:ind w:firstLine="2"/>
        <w:jc w:val="both"/>
        <w:rPr>
          <w:rFonts w:ascii="Arial" w:hAnsi="Arial" w:eastAsia="宋体" w:cs="Arial"/>
          <w:szCs w:val="21"/>
          <w:shd w:val="clear" w:color="auto" w:fill="FFFFFF"/>
        </w:rPr>
      </w:pPr>
    </w:p>
    <w:p w14:paraId="42444A91">
      <w:pPr>
        <w:snapToGrid w:val="0"/>
        <w:spacing w:before="120" w:beforeLines="50" w:line="312" w:lineRule="auto"/>
        <w:ind w:firstLine="2"/>
        <w:jc w:val="both"/>
        <w:rPr>
          <w:rFonts w:ascii="Arial" w:hAnsi="Arial" w:eastAsia="宋体" w:cs="Arial"/>
          <w:szCs w:val="21"/>
          <w:shd w:val="clear" w:color="auto" w:fill="FFFFFF"/>
        </w:rPr>
      </w:pPr>
    </w:p>
    <w:p w14:paraId="5232961B">
      <w:pPr>
        <w:snapToGrid w:val="0"/>
        <w:spacing w:before="120" w:beforeLines="50" w:line="312" w:lineRule="auto"/>
        <w:ind w:firstLine="2"/>
        <w:jc w:val="both"/>
        <w:rPr>
          <w:rFonts w:ascii="Arial" w:hAnsi="Arial" w:eastAsia="宋体" w:cs="Arial"/>
          <w:szCs w:val="21"/>
          <w:shd w:val="clear" w:color="auto" w:fill="FFFFFF"/>
        </w:rPr>
      </w:pPr>
    </w:p>
    <w:p w14:paraId="49DB93F7">
      <w:pPr>
        <w:snapToGrid w:val="0"/>
        <w:spacing w:before="120" w:beforeLines="50" w:line="312" w:lineRule="auto"/>
        <w:ind w:firstLine="2"/>
        <w:jc w:val="both"/>
        <w:rPr>
          <w:rFonts w:ascii="Arial" w:hAnsi="Arial" w:eastAsia="宋体" w:cs="Arial"/>
          <w:szCs w:val="21"/>
          <w:shd w:val="clear" w:color="auto" w:fill="FFFFFF"/>
        </w:rPr>
      </w:pPr>
    </w:p>
    <w:p w14:paraId="2A741B38">
      <w:pPr>
        <w:snapToGrid w:val="0"/>
        <w:spacing w:before="120" w:beforeLines="50" w:line="312" w:lineRule="auto"/>
        <w:ind w:firstLine="2"/>
        <w:jc w:val="both"/>
        <w:rPr>
          <w:rFonts w:ascii="Arial" w:hAnsi="Arial" w:eastAsia="宋体" w:cs="Arial"/>
          <w:szCs w:val="21"/>
          <w:shd w:val="clear" w:color="auto" w:fill="FFFFFF"/>
        </w:rPr>
      </w:pPr>
    </w:p>
    <w:p w14:paraId="5CD74350">
      <w:pPr>
        <w:spacing w:before="144"/>
        <w:jc w:val="center"/>
      </w:pPr>
      <w:r>
        <w:rPr>
          <w:rFonts w:hint="eastAsia" w:ascii="Arial" w:hAnsi="Arial" w:eastAsia="宋体" w:cs="Arial"/>
          <w:color w:val="000000" w:themeColor="text1"/>
          <w:sz w:val="21"/>
          <w:szCs w:val="21"/>
          <w:shd w:val="clear" w:color="auto" w:fill="FFFFFF"/>
        </w:rPr>
        <w:t>本指南编写于</w:t>
      </w:r>
      <w:r>
        <w:rPr>
          <w:rFonts w:ascii="Arial" w:hAnsi="Arial" w:eastAsia="宋体" w:cs="Arial"/>
          <w:color w:val="000000" w:themeColor="text1"/>
          <w:sz w:val="21"/>
          <w:szCs w:val="21"/>
          <w:shd w:val="clear" w:color="auto" w:fill="FFFFFF"/>
        </w:rPr>
        <w:t>1997</w:t>
      </w:r>
      <w:r>
        <w:rPr>
          <w:rFonts w:hint="eastAsia" w:ascii="Arial" w:hAnsi="Arial" w:eastAsia="宋体" w:cs="Arial"/>
          <w:color w:val="000000" w:themeColor="text1"/>
          <w:sz w:val="21"/>
          <w:szCs w:val="21"/>
          <w:shd w:val="clear" w:color="auto" w:fill="FFFFFF"/>
        </w:rPr>
        <w:t>年</w:t>
      </w:r>
      <w:r>
        <w:rPr>
          <w:rFonts w:ascii="Arial" w:hAnsi="Arial" w:eastAsia="宋体" w:cs="Arial"/>
          <w:color w:val="000000" w:themeColor="text1"/>
          <w:sz w:val="21"/>
          <w:szCs w:val="21"/>
          <w:shd w:val="clear" w:color="auto" w:fill="FFFFFF"/>
        </w:rPr>
        <w:t>2</w:t>
      </w:r>
      <w:r>
        <w:rPr>
          <w:rFonts w:hint="eastAsia" w:ascii="Arial" w:hAnsi="Arial" w:eastAsia="宋体" w:cs="Arial"/>
          <w:color w:val="000000" w:themeColor="text1"/>
          <w:sz w:val="21"/>
          <w:szCs w:val="21"/>
          <w:shd w:val="clear" w:color="auto" w:fill="FFFFFF"/>
        </w:rPr>
        <w:t>月</w:t>
      </w:r>
      <w:r>
        <w:rPr>
          <w:rFonts w:ascii="Arial" w:hAnsi="Arial" w:eastAsia="宋体" w:cs="Arial"/>
          <w:color w:val="000000" w:themeColor="text1"/>
          <w:sz w:val="21"/>
          <w:szCs w:val="21"/>
          <w:shd w:val="clear" w:color="auto" w:fill="FFFFFF"/>
        </w:rPr>
        <w:t>27</w:t>
      </w:r>
      <w:r>
        <w:rPr>
          <w:rFonts w:hint="eastAsia" w:ascii="Arial" w:hAnsi="Arial" w:eastAsia="宋体" w:cs="Arial"/>
          <w:color w:val="000000" w:themeColor="text1"/>
          <w:sz w:val="21"/>
          <w:szCs w:val="21"/>
          <w:shd w:val="clear" w:color="auto" w:fill="FFFFFF"/>
        </w:rPr>
        <w:t>日实施</w:t>
      </w:r>
      <w:r>
        <w:rPr>
          <w:rFonts w:ascii="Arial" w:hAnsi="Arial" w:eastAsia="宋体" w:cs="Arial"/>
          <w:color w:val="000000" w:themeColor="text1"/>
          <w:sz w:val="21"/>
          <w:szCs w:val="21"/>
          <w:shd w:val="clear" w:color="auto" w:fill="FFFFFF"/>
        </w:rPr>
        <w:t>FDA</w:t>
      </w:r>
      <w:r>
        <w:rPr>
          <w:rFonts w:hint="eastAsia" w:ascii="Arial" w:hAnsi="Arial" w:eastAsia="宋体" w:cs="Arial"/>
          <w:color w:val="000000" w:themeColor="text1"/>
          <w:sz w:val="21"/>
          <w:szCs w:val="21"/>
          <w:shd w:val="clear" w:color="auto" w:fill="FFFFFF"/>
        </w:rPr>
        <w:t>的良好指导规范（</w:t>
      </w:r>
      <w:r>
        <w:rPr>
          <w:rFonts w:ascii="Arial" w:hAnsi="Arial" w:eastAsia="宋体" w:cs="Arial"/>
          <w:color w:val="000000" w:themeColor="text1"/>
          <w:sz w:val="21"/>
          <w:szCs w:val="21"/>
          <w:shd w:val="clear" w:color="auto" w:fill="FFFFFF"/>
        </w:rPr>
        <w:t>GGP</w:t>
      </w:r>
      <w:r>
        <w:rPr>
          <w:rFonts w:hint="eastAsia" w:ascii="Arial" w:hAnsi="Arial" w:eastAsia="宋体" w:cs="Arial"/>
          <w:color w:val="000000" w:themeColor="text1"/>
          <w:sz w:val="21"/>
          <w:szCs w:val="21"/>
          <w:shd w:val="clear" w:color="auto" w:fill="FFFFFF"/>
        </w:rPr>
        <w:t>）之前。其不会为任何人创造或赋予任何权利，也不对</w:t>
      </w:r>
      <w:r>
        <w:rPr>
          <w:rFonts w:ascii="Arial" w:hAnsi="Arial" w:eastAsia="宋体" w:cs="Arial"/>
          <w:color w:val="000000" w:themeColor="text1"/>
          <w:sz w:val="21"/>
          <w:szCs w:val="21"/>
          <w:shd w:val="clear" w:color="auto" w:fill="FFFFFF"/>
        </w:rPr>
        <w:t>FDA</w:t>
      </w:r>
      <w:r>
        <w:rPr>
          <w:rFonts w:hint="eastAsia" w:ascii="Arial" w:hAnsi="Arial" w:eastAsia="宋体" w:cs="Arial"/>
          <w:color w:val="000000" w:themeColor="text1"/>
          <w:sz w:val="21"/>
          <w:szCs w:val="21"/>
          <w:shd w:val="clear" w:color="auto" w:fill="FFFFFF"/>
        </w:rPr>
        <w:t>或公众具有约束力。如果替代方法满足适用的法律、法规或其两者的要求，可以使用替代方法。本指南将在下一版本中更新，以纳入</w:t>
      </w:r>
      <w:r>
        <w:rPr>
          <w:rFonts w:ascii="Arial" w:hAnsi="Arial" w:eastAsia="宋体" w:cs="Arial"/>
          <w:color w:val="000000" w:themeColor="text1"/>
          <w:sz w:val="21"/>
          <w:szCs w:val="21"/>
          <w:shd w:val="clear" w:color="auto" w:fill="FFFFFF"/>
        </w:rPr>
        <w:t>GGP</w:t>
      </w:r>
      <w:r>
        <w:rPr>
          <w:rFonts w:hint="eastAsia" w:ascii="Arial" w:hAnsi="Arial" w:eastAsia="宋体" w:cs="Arial"/>
          <w:color w:val="000000" w:themeColor="text1"/>
          <w:sz w:val="21"/>
          <w:szCs w:val="21"/>
          <w:shd w:val="clear" w:color="auto" w:fill="FFFFFF"/>
        </w:rPr>
        <w:t>的标准部分。</w:t>
      </w:r>
    </w:p>
    <w:p w14:paraId="2CCA1037">
      <w:pPr>
        <w:snapToGrid w:val="0"/>
        <w:spacing w:before="120" w:beforeLines="50" w:line="312" w:lineRule="auto"/>
        <w:ind w:firstLine="2"/>
        <w:jc w:val="center"/>
        <w:rPr>
          <w:rFonts w:ascii="Arial" w:hAnsi="Arial" w:eastAsia="宋体" w:cs="Arial"/>
          <w:color w:val="000000" w:themeColor="text1"/>
          <w:sz w:val="21"/>
          <w:szCs w:val="21"/>
          <w:shd w:val="clear" w:color="auto" w:fill="FFFFFF"/>
        </w:rPr>
      </w:pPr>
    </w:p>
    <w:p w14:paraId="47963707">
      <w:pPr>
        <w:snapToGrid w:val="0"/>
        <w:spacing w:before="120" w:beforeLines="50" w:line="312" w:lineRule="auto"/>
        <w:ind w:firstLine="2"/>
        <w:jc w:val="both"/>
        <w:rPr>
          <w:rFonts w:ascii="Arial" w:hAnsi="Arial" w:eastAsia="宋体" w:cs="Arial"/>
          <w:szCs w:val="21"/>
          <w:shd w:val="clear" w:color="auto" w:fill="FFFFFF"/>
        </w:rPr>
      </w:pPr>
    </w:p>
    <w:p w14:paraId="21D0B0D1">
      <w:pPr>
        <w:snapToGrid w:val="0"/>
        <w:spacing w:before="120" w:beforeLines="50" w:line="312" w:lineRule="auto"/>
        <w:ind w:firstLine="2"/>
        <w:jc w:val="both"/>
        <w:rPr>
          <w:rFonts w:ascii="Arial" w:hAnsi="Arial" w:eastAsia="宋体" w:cs="Arial"/>
          <w:szCs w:val="21"/>
          <w:shd w:val="clear" w:color="auto" w:fill="FFFFFF"/>
        </w:rPr>
      </w:pPr>
    </w:p>
    <w:p w14:paraId="44EF1260">
      <w:pPr>
        <w:snapToGrid w:val="0"/>
        <w:spacing w:before="120" w:beforeLines="50" w:line="312" w:lineRule="auto"/>
        <w:ind w:firstLine="2"/>
        <w:jc w:val="both"/>
        <w:rPr>
          <w:rFonts w:ascii="Arial" w:hAnsi="Arial" w:eastAsia="宋体" w:cs="Arial"/>
          <w:szCs w:val="21"/>
          <w:shd w:val="clear" w:color="auto" w:fill="FFFFFF"/>
        </w:rPr>
      </w:pPr>
    </w:p>
    <w:p w14:paraId="33BC2999">
      <w:pPr>
        <w:snapToGrid w:val="0"/>
        <w:spacing w:before="120" w:beforeLines="50" w:line="312" w:lineRule="auto"/>
        <w:ind w:firstLine="2"/>
        <w:jc w:val="both"/>
        <w:rPr>
          <w:rFonts w:ascii="Arial" w:hAnsi="Arial" w:eastAsia="宋体" w:cs="Arial"/>
          <w:szCs w:val="21"/>
          <w:shd w:val="clear" w:color="auto" w:fill="FFFFFF"/>
        </w:rPr>
      </w:pPr>
    </w:p>
    <w:p w14:paraId="1E90C589">
      <w:pPr>
        <w:snapToGrid w:val="0"/>
        <w:spacing w:before="120" w:beforeLines="50" w:line="312" w:lineRule="auto"/>
        <w:ind w:firstLine="2"/>
        <w:jc w:val="both"/>
        <w:rPr>
          <w:rFonts w:ascii="Arial" w:hAnsi="Arial" w:eastAsia="宋体" w:cs="Arial"/>
          <w:szCs w:val="21"/>
          <w:shd w:val="clear" w:color="auto" w:fill="FFFFFF"/>
        </w:rPr>
      </w:pPr>
    </w:p>
    <w:p w14:paraId="6182E4DA">
      <w:pPr>
        <w:snapToGrid w:val="0"/>
        <w:spacing w:before="120" w:beforeLines="50" w:line="312" w:lineRule="auto"/>
        <w:ind w:firstLine="2"/>
        <w:jc w:val="both"/>
        <w:rPr>
          <w:rFonts w:ascii="Arial" w:hAnsi="Arial" w:eastAsia="宋体" w:cs="Arial"/>
          <w:szCs w:val="21"/>
          <w:shd w:val="clear" w:color="auto" w:fill="FFFFFF"/>
        </w:rPr>
      </w:pPr>
    </w:p>
    <w:p w14:paraId="6E4553BF">
      <w:pPr>
        <w:snapToGrid w:val="0"/>
        <w:spacing w:before="120" w:beforeLines="50" w:line="312" w:lineRule="auto"/>
        <w:ind w:firstLine="2"/>
        <w:jc w:val="both"/>
        <w:rPr>
          <w:rFonts w:ascii="Arial" w:hAnsi="Arial" w:eastAsia="宋体" w:cs="Arial"/>
          <w:szCs w:val="21"/>
          <w:shd w:val="clear" w:color="auto" w:fill="FFFFFF"/>
        </w:rPr>
      </w:pPr>
    </w:p>
    <w:p w14:paraId="0BB81821">
      <w:pPr>
        <w:snapToGrid w:val="0"/>
        <w:spacing w:before="120" w:beforeLines="50" w:line="312" w:lineRule="auto"/>
        <w:ind w:firstLine="2"/>
        <w:jc w:val="both"/>
        <w:rPr>
          <w:rFonts w:ascii="Arial" w:hAnsi="Arial" w:eastAsia="宋体" w:cs="Arial"/>
          <w:szCs w:val="21"/>
          <w:shd w:val="clear" w:color="auto" w:fill="FFFFFF"/>
        </w:rPr>
      </w:pPr>
    </w:p>
    <w:p w14:paraId="6FBC43D5">
      <w:pPr>
        <w:snapToGrid w:val="0"/>
        <w:spacing w:before="120" w:beforeLines="50" w:line="312" w:lineRule="auto"/>
        <w:ind w:firstLine="2"/>
        <w:jc w:val="both"/>
        <w:rPr>
          <w:rFonts w:ascii="Arial" w:hAnsi="Arial" w:eastAsia="宋体" w:cs="Arial"/>
          <w:szCs w:val="21"/>
          <w:shd w:val="clear" w:color="auto" w:fill="FFFFFF"/>
        </w:rPr>
      </w:pPr>
    </w:p>
    <w:p w14:paraId="209009A7">
      <w:pPr>
        <w:snapToGrid w:val="0"/>
        <w:spacing w:before="120" w:beforeLines="50" w:line="312" w:lineRule="auto"/>
        <w:ind w:firstLine="2"/>
        <w:jc w:val="both"/>
        <w:rPr>
          <w:rFonts w:ascii="Arial" w:hAnsi="Arial" w:eastAsia="宋体" w:cs="Arial"/>
          <w:szCs w:val="21"/>
          <w:shd w:val="clear" w:color="auto" w:fill="FFFFFF"/>
        </w:rPr>
      </w:pPr>
    </w:p>
    <w:p w14:paraId="33F4CF92">
      <w:pPr>
        <w:snapToGrid w:val="0"/>
        <w:spacing w:before="120" w:beforeLines="50" w:line="312" w:lineRule="auto"/>
        <w:ind w:firstLine="2"/>
        <w:jc w:val="both"/>
        <w:rPr>
          <w:rFonts w:ascii="Arial" w:hAnsi="Arial" w:eastAsia="宋体" w:cs="Arial"/>
          <w:szCs w:val="21"/>
          <w:shd w:val="clear" w:color="auto" w:fill="FFFFFF"/>
        </w:rPr>
      </w:pPr>
    </w:p>
    <w:p w14:paraId="582EAED2">
      <w:pPr>
        <w:snapToGrid w:val="0"/>
        <w:spacing w:before="120" w:beforeLines="50" w:line="312" w:lineRule="auto"/>
        <w:ind w:firstLine="2"/>
        <w:jc w:val="both"/>
        <w:rPr>
          <w:rFonts w:ascii="Arial" w:hAnsi="Arial" w:eastAsia="宋体" w:cs="Arial"/>
          <w:szCs w:val="21"/>
          <w:shd w:val="clear" w:color="auto" w:fill="FFFFFF"/>
        </w:rPr>
      </w:pPr>
    </w:p>
    <w:p w14:paraId="5A7FA841">
      <w:pPr>
        <w:snapToGrid w:val="0"/>
        <w:spacing w:before="120" w:beforeLines="50" w:line="312" w:lineRule="auto"/>
        <w:ind w:firstLine="2"/>
        <w:jc w:val="both"/>
        <w:rPr>
          <w:rFonts w:ascii="Arial" w:hAnsi="Arial" w:eastAsia="宋体" w:cs="Arial"/>
          <w:szCs w:val="21"/>
          <w:shd w:val="clear" w:color="auto" w:fill="FFFFFF"/>
        </w:rPr>
      </w:pPr>
    </w:p>
    <w:p w14:paraId="5772B38E">
      <w:pPr>
        <w:snapToGrid w:val="0"/>
        <w:spacing w:before="120" w:beforeLines="50" w:line="312" w:lineRule="auto"/>
        <w:ind w:firstLine="2"/>
        <w:jc w:val="both"/>
        <w:rPr>
          <w:rFonts w:ascii="Arial" w:hAnsi="Arial" w:eastAsia="宋体" w:cs="Arial"/>
          <w:szCs w:val="21"/>
          <w:shd w:val="clear" w:color="auto" w:fill="FFFFFF"/>
        </w:rPr>
      </w:pPr>
    </w:p>
    <w:p w14:paraId="02BF7091">
      <w:pPr>
        <w:ind w:firstLine="2"/>
        <w:rPr>
          <w:rFonts w:ascii="Arial" w:hAnsi="Arial" w:eastAsia="宋体" w:cs="Arial"/>
          <w:b/>
          <w:sz w:val="21"/>
          <w:szCs w:val="21"/>
        </w:rPr>
        <w:sectPr>
          <w:headerReference r:id="rId3" w:type="default"/>
          <w:footerReference r:id="rId4" w:type="default"/>
          <w:type w:val="continuous"/>
          <w:pgSz w:w="12240" w:h="15840"/>
          <w:pgMar w:top="1134" w:right="1134" w:bottom="1134" w:left="1134" w:header="708" w:footer="708" w:gutter="0"/>
          <w:cols w:space="708" w:num="1"/>
          <w:docGrid w:linePitch="326" w:charSpace="0"/>
        </w:sectPr>
      </w:pPr>
    </w:p>
    <w:p w14:paraId="44C62444">
      <w:pPr>
        <w:widowControl w:val="0"/>
        <w:snapToGrid w:val="0"/>
        <w:spacing w:before="50" w:line="312" w:lineRule="auto"/>
        <w:ind w:firstLine="2"/>
        <w:jc w:val="center"/>
        <w:rPr>
          <w:rFonts w:ascii="Arial" w:hAnsi="Arial" w:eastAsia="宋体" w:cs="Arial"/>
          <w:b/>
          <w:sz w:val="21"/>
          <w:szCs w:val="21"/>
        </w:rPr>
      </w:pPr>
      <w:r>
        <w:rPr>
          <w:rFonts w:ascii="Arial" w:hAnsi="Arial" w:eastAsia="宋体" w:cs="Arial"/>
          <w:b/>
          <w:sz w:val="21"/>
          <w:szCs w:val="21"/>
        </w:rPr>
        <w:t>宫颈细胞学器械的注意事项</w:t>
      </w:r>
    </w:p>
    <w:p w14:paraId="3765FF6B">
      <w:pPr>
        <w:widowControl w:val="0"/>
        <w:snapToGrid w:val="0"/>
        <w:spacing w:before="50" w:line="312" w:lineRule="auto"/>
        <w:ind w:firstLine="2"/>
        <w:jc w:val="both"/>
        <w:rPr>
          <w:rFonts w:ascii="Arial" w:hAnsi="Arial" w:eastAsia="宋体" w:cs="Arial"/>
          <w:sz w:val="21"/>
          <w:szCs w:val="21"/>
        </w:rPr>
      </w:pPr>
    </w:p>
    <w:p w14:paraId="13E5AE73">
      <w:pPr>
        <w:widowControl w:val="0"/>
        <w:snapToGrid w:val="0"/>
        <w:spacing w:before="50" w:line="312" w:lineRule="auto"/>
        <w:ind w:firstLine="2"/>
        <w:jc w:val="both"/>
        <w:rPr>
          <w:rFonts w:ascii="Arial" w:hAnsi="Arial" w:eastAsia="宋体" w:cs="Arial"/>
          <w:b/>
          <w:sz w:val="21"/>
          <w:szCs w:val="21"/>
        </w:rPr>
      </w:pPr>
      <w:r>
        <w:rPr>
          <w:rFonts w:ascii="Arial" w:hAnsi="Arial" w:eastAsia="宋体" w:cs="Arial"/>
          <w:b/>
          <w:sz w:val="21"/>
          <w:szCs w:val="21"/>
        </w:rPr>
        <w:t>前言</w:t>
      </w:r>
    </w:p>
    <w:p w14:paraId="4E96C4DB">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本注意事项文件补充了现有的用于体外诊断器械上市前提交资料的批准或许可的食品药品监督管理局（FDA）指南。所要求的信息是全面的，但可能不是包括全部。重点在于食品药品监督管理局（FDA）对于妇科样本的细胞学器械的审查特别关注点。</w:t>
      </w:r>
    </w:p>
    <w:p w14:paraId="48F1384C">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这些产品包括：</w:t>
      </w:r>
    </w:p>
    <w:p w14:paraId="02437C99">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1.</w:t>
      </w:r>
      <w:r>
        <w:rPr>
          <w:rFonts w:ascii="Arial" w:hAnsi="Arial" w:eastAsia="宋体" w:cs="Arial"/>
          <w:sz w:val="21"/>
          <w:szCs w:val="21"/>
        </w:rPr>
        <w:tab/>
      </w:r>
      <w:r>
        <w:rPr>
          <w:rFonts w:ascii="Arial" w:hAnsi="Arial" w:eastAsia="宋体" w:cs="Arial"/>
          <w:sz w:val="21"/>
          <w:szCs w:val="21"/>
        </w:rPr>
        <w:t>用于初始宫颈阴道样本的收集器械（刮刀，刷子等）（受21CFR 884.4530，II类监管）</w:t>
      </w:r>
    </w:p>
    <w:p w14:paraId="7BFB4808">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2.</w:t>
      </w:r>
      <w:r>
        <w:rPr>
          <w:rFonts w:ascii="Arial" w:hAnsi="Arial" w:eastAsia="宋体" w:cs="Arial"/>
          <w:sz w:val="21"/>
          <w:szCs w:val="21"/>
        </w:rPr>
        <w:tab/>
      </w:r>
      <w:r>
        <w:rPr>
          <w:rFonts w:ascii="Arial" w:hAnsi="Arial" w:eastAsia="宋体" w:cs="Arial"/>
          <w:sz w:val="21"/>
          <w:szCs w:val="21"/>
        </w:rPr>
        <w:t xml:space="preserve">用于薄层或单层载玻片制作细胞悬浮液的器械（未分类） </w:t>
      </w:r>
    </w:p>
    <w:p w14:paraId="36A41D9F">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3.</w:t>
      </w:r>
      <w:r>
        <w:rPr>
          <w:rFonts w:ascii="Arial" w:hAnsi="Arial" w:eastAsia="宋体" w:cs="Arial"/>
          <w:sz w:val="21"/>
          <w:szCs w:val="21"/>
        </w:rPr>
        <w:tab/>
      </w:r>
      <w:r>
        <w:rPr>
          <w:rFonts w:ascii="Arial" w:hAnsi="Arial" w:eastAsia="宋体" w:cs="Arial"/>
          <w:sz w:val="21"/>
          <w:szCs w:val="21"/>
        </w:rPr>
        <w:t xml:space="preserve">染色器械（受21CFR 864.3800监管，豁免） </w:t>
      </w:r>
    </w:p>
    <w:p w14:paraId="6E4FCF19">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4.</w:t>
      </w:r>
      <w:r>
        <w:rPr>
          <w:rFonts w:ascii="Arial" w:hAnsi="Arial" w:eastAsia="宋体" w:cs="Arial"/>
          <w:sz w:val="21"/>
          <w:szCs w:val="21"/>
        </w:rPr>
        <w:tab/>
      </w:r>
      <w:r>
        <w:rPr>
          <w:rFonts w:ascii="Arial" w:hAnsi="Arial" w:eastAsia="宋体" w:cs="Arial"/>
          <w:sz w:val="21"/>
          <w:szCs w:val="21"/>
        </w:rPr>
        <w:t>计算机辅助细胞定位器械（受21CFR 864.5260监管，II类）</w:t>
      </w:r>
    </w:p>
    <w:p w14:paraId="12E8A389">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5.</w:t>
      </w:r>
      <w:r>
        <w:rPr>
          <w:rFonts w:ascii="Arial" w:hAnsi="Arial" w:eastAsia="宋体" w:cs="Arial"/>
          <w:sz w:val="21"/>
          <w:szCs w:val="21"/>
        </w:rPr>
        <w:tab/>
      </w:r>
      <w:r>
        <w:rPr>
          <w:rFonts w:ascii="Arial" w:hAnsi="Arial" w:eastAsia="宋体" w:cs="Arial"/>
          <w:sz w:val="21"/>
          <w:szCs w:val="21"/>
        </w:rPr>
        <w:t>半自动和自动化计算机辅助图像分析仪（未分类）</w:t>
      </w:r>
    </w:p>
    <w:p w14:paraId="730683B9">
      <w:pPr>
        <w:widowControl w:val="0"/>
        <w:snapToGrid w:val="0"/>
        <w:spacing w:before="50" w:line="312" w:lineRule="auto"/>
        <w:ind w:firstLine="406"/>
        <w:jc w:val="both"/>
        <w:rPr>
          <w:rFonts w:ascii="Arial" w:hAnsi="Arial" w:eastAsia="宋体" w:cs="Arial"/>
          <w:sz w:val="21"/>
          <w:szCs w:val="21"/>
        </w:rPr>
      </w:pPr>
      <w:r>
        <w:rPr>
          <w:rFonts w:ascii="Arial" w:hAnsi="Arial" w:eastAsia="宋体" w:cs="Arial"/>
          <w:sz w:val="21"/>
          <w:szCs w:val="21"/>
        </w:rPr>
        <w:t>6.</w:t>
      </w:r>
      <w:r>
        <w:rPr>
          <w:rFonts w:ascii="Arial" w:hAnsi="Arial" w:eastAsia="宋体" w:cs="Arial"/>
          <w:sz w:val="21"/>
          <w:szCs w:val="21"/>
        </w:rPr>
        <w:tab/>
      </w:r>
      <w:r>
        <w:rPr>
          <w:rFonts w:ascii="Arial" w:hAnsi="Arial" w:eastAsia="宋体" w:cs="Arial"/>
          <w:sz w:val="21"/>
          <w:szCs w:val="21"/>
        </w:rPr>
        <w:t>用于制备，读取和解释妇科细胞学样本的任何其他器械。（这些可能受到监管或未分类。）</w:t>
      </w:r>
    </w:p>
    <w:p w14:paraId="1E5A5F5E">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妇科细胞学器械的设计人员遇到了未在其他体外诊断器械中发现的研究设计和方法验证方面的挑战。一些例子如下：</w:t>
      </w:r>
    </w:p>
    <w:p w14:paraId="5EECD80B">
      <w:pPr>
        <w:widowControl w:val="0"/>
        <w:snapToGrid w:val="0"/>
        <w:spacing w:before="50" w:line="312" w:lineRule="auto"/>
        <w:ind w:left="274" w:leftChars="-17" w:hanging="315" w:hangingChars="150"/>
        <w:jc w:val="both"/>
        <w:rPr>
          <w:rFonts w:ascii="Arial" w:hAnsi="Arial" w:eastAsia="宋体" w:cs="Arial"/>
          <w:sz w:val="21"/>
          <w:szCs w:val="21"/>
        </w:rPr>
      </w:pPr>
      <w:r>
        <w:rPr>
          <w:rFonts w:ascii="Arial" w:hAnsi="Arial" w:eastAsia="宋体" w:cs="Arial"/>
          <w:sz w:val="21"/>
          <w:szCs w:val="21"/>
        </w:rPr>
        <w:t>*    每年进行超过5000万次的巴氏涂片检查，有大约200万次被诊断为异常。巴氏试验器械微小的性能差异可能导致对检查检测率的重大影响。</w:t>
      </w:r>
    </w:p>
    <w:p w14:paraId="370831D6">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    在进行制作最后的涂片之前，即使是少数几个细胞的损失可能都是至关重要的。</w:t>
      </w:r>
    </w:p>
    <w:p w14:paraId="5BD59ACA">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    没有动物模型或材料作为每个患者样本的阳性或阴性内部对照。</w:t>
      </w:r>
    </w:p>
    <w:p w14:paraId="541B8737">
      <w:pPr>
        <w:rPr>
          <w:rFonts w:ascii="Arial" w:hAnsi="Arial" w:eastAsia="宋体" w:cs="Arial"/>
          <w:sz w:val="21"/>
          <w:szCs w:val="21"/>
        </w:rPr>
      </w:pPr>
      <w:r>
        <w:rPr>
          <w:rFonts w:ascii="Arial" w:hAnsi="Arial" w:eastAsia="宋体" w:cs="Arial"/>
          <w:sz w:val="21"/>
          <w:szCs w:val="21"/>
        </w:rPr>
        <w:br w:type="page"/>
      </w:r>
    </w:p>
    <w:p w14:paraId="147DA159">
      <w:pPr>
        <w:widowControl w:val="0"/>
        <w:snapToGrid w:val="0"/>
        <w:spacing w:before="50" w:after="120" w:afterLines="50" w:line="312" w:lineRule="auto"/>
        <w:ind w:firstLine="2"/>
        <w:jc w:val="both"/>
        <w:rPr>
          <w:rFonts w:ascii="Arial" w:hAnsi="Arial" w:eastAsia="宋体" w:cs="Arial"/>
          <w:sz w:val="21"/>
          <w:szCs w:val="21"/>
        </w:rPr>
      </w:pPr>
      <w:r>
        <w:rPr>
          <w:rFonts w:ascii="Arial" w:hAnsi="Arial" w:eastAsia="宋体" w:cs="Arial"/>
          <w:sz w:val="21"/>
          <w:szCs w:val="21"/>
        </w:rPr>
        <w:t>*    重复子宫颈细胞学样本可能不可靠，直到宫颈上皮有一个足够的时间间隔来再生，通常至少4至6周。</w:t>
      </w:r>
    </w:p>
    <w:p w14:paraId="6E1FAD7F">
      <w:pPr>
        <w:widowControl w:val="0"/>
        <w:snapToGrid w:val="0"/>
        <w:spacing w:before="50" w:after="120" w:afterLines="50" w:line="312" w:lineRule="auto"/>
        <w:ind w:firstLine="2"/>
        <w:jc w:val="both"/>
        <w:rPr>
          <w:rFonts w:ascii="Arial" w:hAnsi="Arial" w:eastAsia="宋体" w:cs="Arial"/>
          <w:sz w:val="21"/>
          <w:szCs w:val="21"/>
        </w:rPr>
      </w:pPr>
      <w:r>
        <w:rPr>
          <w:rFonts w:ascii="Arial" w:hAnsi="Arial" w:eastAsia="宋体" w:cs="Arial"/>
          <w:sz w:val="21"/>
          <w:szCs w:val="21"/>
        </w:rPr>
        <w:t>*    细胞学诊断取决于多种预分析因素，包括样本采集和甚至之前需要严格的镜检准备。   </w:t>
      </w:r>
    </w:p>
    <w:p w14:paraId="4025ABA8">
      <w:pPr>
        <w:widowControl w:val="0"/>
        <w:snapToGrid w:val="0"/>
        <w:spacing w:before="50" w:after="120" w:afterLines="50" w:line="312" w:lineRule="auto"/>
        <w:ind w:left="315" w:hanging="315" w:hangingChars="150"/>
        <w:jc w:val="both"/>
        <w:rPr>
          <w:rFonts w:ascii="Arial" w:hAnsi="Arial" w:eastAsia="宋体" w:cs="Arial"/>
          <w:sz w:val="21"/>
          <w:szCs w:val="21"/>
        </w:rPr>
      </w:pPr>
      <w:r>
        <w:rPr>
          <w:rFonts w:ascii="Arial" w:hAnsi="Arial" w:eastAsia="宋体" w:cs="Arial"/>
          <w:sz w:val="21"/>
          <w:szCs w:val="21"/>
        </w:rPr>
        <w:t>*   细胞学诊断是基于可能的图像解译的定性标准，可能在不同个人观察和不同实验室间解译有差异。某种程度的主观性是不可避免的。</w:t>
      </w:r>
    </w:p>
    <w:p w14:paraId="713B5F8A">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t>食品药品监督管理局（FDA）鼓励申办方在提交正式申请之前，最好是在临床研究开始之前咨询临床实验室器械部（DCLD）和审查方案。如果在提交资料中的研究记录了器械的安全性和有效性，则食品药品监督管理局（FDA）许可/审批程序可以在提交提资料的队列的范围内以最及时的方式进行。</w:t>
      </w:r>
    </w:p>
    <w:p w14:paraId="0768DF59">
      <w:pPr>
        <w:widowControl w:val="0"/>
        <w:snapToGrid w:val="0"/>
        <w:spacing w:before="50" w:line="312" w:lineRule="auto"/>
        <w:ind w:firstLine="2"/>
        <w:jc w:val="both"/>
        <w:rPr>
          <w:rFonts w:ascii="Arial" w:hAnsi="Arial" w:eastAsia="宋体" w:cs="Arial"/>
          <w:b/>
          <w:sz w:val="21"/>
          <w:szCs w:val="21"/>
          <w:u w:val="single"/>
        </w:rPr>
      </w:pPr>
      <w:r>
        <w:rPr>
          <w:rFonts w:ascii="Arial" w:hAnsi="Arial" w:eastAsia="宋体" w:cs="Arial"/>
          <w:b/>
          <w:sz w:val="21"/>
          <w:szCs w:val="21"/>
          <w:u w:val="single"/>
        </w:rPr>
        <w:t>最低资料要求：</w:t>
      </w:r>
    </w:p>
    <w:p w14:paraId="0CB572C5">
      <w:pPr>
        <w:pStyle w:val="13"/>
        <w:widowControl w:val="0"/>
        <w:numPr>
          <w:ilvl w:val="0"/>
          <w:numId w:val="1"/>
        </w:numPr>
        <w:snapToGrid w:val="0"/>
        <w:spacing w:before="50" w:line="312" w:lineRule="auto"/>
        <w:ind w:left="0" w:firstLine="2" w:firstLineChars="0"/>
        <w:jc w:val="both"/>
        <w:rPr>
          <w:rFonts w:ascii="Arial" w:hAnsi="Arial" w:eastAsia="宋体" w:cs="Arial"/>
          <w:b/>
          <w:sz w:val="21"/>
          <w:szCs w:val="21"/>
          <w:u w:val="single"/>
        </w:rPr>
      </w:pPr>
      <w:r>
        <w:rPr>
          <w:rFonts w:ascii="Arial" w:hAnsi="Arial" w:eastAsia="宋体" w:cs="Arial"/>
          <w:b/>
          <w:sz w:val="21"/>
          <w:szCs w:val="21"/>
          <w:u w:val="single"/>
        </w:rPr>
        <w:t>器械描述</w:t>
      </w:r>
    </w:p>
    <w:p w14:paraId="23CEFB97">
      <w:pPr>
        <w:widowControl w:val="0"/>
        <w:snapToGrid w:val="0"/>
        <w:spacing w:before="50" w:line="312" w:lineRule="auto"/>
        <w:ind w:left="709" w:leftChars="295" w:hanging="1"/>
        <w:jc w:val="both"/>
        <w:rPr>
          <w:rFonts w:ascii="Arial" w:hAnsi="Arial" w:eastAsia="宋体" w:cs="Arial"/>
          <w:sz w:val="21"/>
          <w:szCs w:val="21"/>
        </w:rPr>
      </w:pPr>
      <w:r>
        <w:rPr>
          <w:rFonts w:ascii="Arial" w:hAnsi="Arial" w:eastAsia="宋体" w:cs="Arial"/>
          <w:sz w:val="21"/>
          <w:szCs w:val="21"/>
        </w:rPr>
        <w:t>提供以下信息：</w:t>
      </w:r>
    </w:p>
    <w:p w14:paraId="552522F9">
      <w:pPr>
        <w:widowControl w:val="0"/>
        <w:snapToGrid w:val="0"/>
        <w:spacing w:before="50" w:line="312" w:lineRule="auto"/>
        <w:ind w:left="709" w:leftChars="295" w:hanging="1"/>
        <w:jc w:val="both"/>
        <w:rPr>
          <w:rFonts w:ascii="Arial" w:hAnsi="Arial" w:eastAsia="宋体" w:cs="Arial"/>
          <w:sz w:val="21"/>
          <w:szCs w:val="21"/>
          <w:u w:val="single"/>
        </w:rPr>
      </w:pPr>
      <w:r>
        <w:rPr>
          <w:rFonts w:ascii="Arial" w:hAnsi="Arial" w:eastAsia="宋体" w:cs="Arial"/>
          <w:sz w:val="21"/>
          <w:szCs w:val="21"/>
          <w:u w:val="single"/>
        </w:rPr>
        <w:t>A.预期用途</w:t>
      </w:r>
    </w:p>
    <w:p w14:paraId="2C0DC924">
      <w:pPr>
        <w:widowControl w:val="0"/>
        <w:snapToGrid w:val="0"/>
        <w:spacing w:before="50" w:line="312" w:lineRule="auto"/>
        <w:ind w:left="709" w:leftChars="295" w:hanging="1"/>
        <w:jc w:val="both"/>
        <w:rPr>
          <w:rFonts w:ascii="Arial" w:hAnsi="Arial" w:eastAsia="宋体" w:cs="Arial"/>
          <w:sz w:val="21"/>
          <w:szCs w:val="21"/>
        </w:rPr>
      </w:pPr>
      <w:r>
        <w:rPr>
          <w:rFonts w:ascii="Arial" w:hAnsi="Arial" w:eastAsia="宋体" w:cs="Arial"/>
          <w:sz w:val="21"/>
          <w:szCs w:val="21"/>
        </w:rPr>
        <w:t>临床预期用途的描述，包括该器械所用于的临床疾病、疾病的科学依据，该程序或检验结果的临床意义，使用该器械的风险收益的问题，以及临床有效性。</w:t>
      </w:r>
    </w:p>
    <w:p w14:paraId="73270136">
      <w:pPr>
        <w:widowControl w:val="0"/>
        <w:snapToGrid w:val="0"/>
        <w:spacing w:before="50" w:line="312" w:lineRule="auto"/>
        <w:ind w:left="709" w:leftChars="295" w:hanging="1"/>
        <w:jc w:val="both"/>
        <w:rPr>
          <w:rFonts w:ascii="Arial" w:hAnsi="Arial" w:eastAsia="宋体" w:cs="Arial"/>
          <w:sz w:val="21"/>
          <w:szCs w:val="21"/>
          <w:u w:val="single"/>
        </w:rPr>
      </w:pPr>
      <w:r>
        <w:rPr>
          <w:rFonts w:ascii="Arial" w:hAnsi="Arial" w:eastAsia="宋体" w:cs="Arial"/>
          <w:sz w:val="21"/>
          <w:szCs w:val="21"/>
          <w:u w:val="single"/>
        </w:rPr>
        <w:t>B.程序原理</w:t>
      </w:r>
    </w:p>
    <w:p w14:paraId="71C954C4">
      <w:pPr>
        <w:widowControl w:val="0"/>
        <w:snapToGrid w:val="0"/>
        <w:spacing w:before="50" w:line="312" w:lineRule="auto"/>
        <w:ind w:left="709" w:leftChars="295" w:hanging="1"/>
        <w:jc w:val="both"/>
        <w:rPr>
          <w:rFonts w:ascii="Arial" w:hAnsi="Arial" w:eastAsia="宋体" w:cs="Arial"/>
          <w:sz w:val="21"/>
          <w:szCs w:val="21"/>
        </w:rPr>
      </w:pPr>
      <w:r>
        <w:rPr>
          <w:rFonts w:ascii="Arial" w:hAnsi="Arial" w:eastAsia="宋体" w:cs="Arial"/>
          <w:sz w:val="21"/>
          <w:szCs w:val="21"/>
        </w:rPr>
        <w:t>程序原理或检测方法学的描述包括器械用于做什么、器械如何使用，以及谁将使用该器械。器械是系统的组件还是作为一个独立的器械?器械是用于涂片的初始诊断，诊断的确认、筛选或监测？定义谁将使用此器械；细胞学家、病理学家，临床医生、妇科医生、非专业人士或组合用户。</w:t>
      </w:r>
    </w:p>
    <w:p w14:paraId="5F2B0946">
      <w:pPr>
        <w:widowControl w:val="0"/>
        <w:snapToGrid w:val="0"/>
        <w:spacing w:before="50" w:line="312" w:lineRule="auto"/>
        <w:ind w:left="709" w:leftChars="295" w:hanging="1"/>
        <w:jc w:val="both"/>
        <w:rPr>
          <w:rFonts w:ascii="Arial" w:hAnsi="Arial" w:eastAsia="宋体" w:cs="Arial"/>
          <w:sz w:val="21"/>
          <w:szCs w:val="21"/>
          <w:u w:val="single"/>
        </w:rPr>
      </w:pPr>
      <w:r>
        <w:rPr>
          <w:rFonts w:ascii="Arial" w:hAnsi="Arial" w:eastAsia="宋体" w:cs="Arial"/>
          <w:sz w:val="21"/>
          <w:szCs w:val="21"/>
          <w:u w:val="single"/>
        </w:rPr>
        <w:t>C.器械组件</w:t>
      </w:r>
    </w:p>
    <w:p w14:paraId="6F791395">
      <w:pPr>
        <w:widowControl w:val="0"/>
        <w:snapToGrid w:val="0"/>
        <w:spacing w:before="50" w:line="312" w:lineRule="auto"/>
        <w:ind w:left="709" w:leftChars="295" w:hanging="1"/>
        <w:jc w:val="both"/>
        <w:rPr>
          <w:rFonts w:ascii="Arial" w:hAnsi="Arial" w:eastAsia="宋体" w:cs="Arial"/>
          <w:sz w:val="21"/>
          <w:szCs w:val="21"/>
        </w:rPr>
      </w:pPr>
      <w:r>
        <w:rPr>
          <w:rFonts w:ascii="Arial" w:hAnsi="Arial" w:eastAsia="宋体" w:cs="Arial"/>
          <w:sz w:val="21"/>
          <w:szCs w:val="21"/>
        </w:rPr>
        <w:t>对器械提供的组件的描述。提供用于获取器械未包含的任何组件的说明。</w:t>
      </w:r>
    </w:p>
    <w:p w14:paraId="1F9D858E">
      <w:pPr>
        <w:rPr>
          <w:rFonts w:ascii="Arial" w:hAnsi="Arial" w:eastAsia="宋体" w:cs="Arial"/>
          <w:sz w:val="21"/>
          <w:szCs w:val="21"/>
          <w:u w:val="single"/>
        </w:rPr>
      </w:pPr>
      <w:r>
        <w:rPr>
          <w:rFonts w:ascii="Arial" w:hAnsi="Arial" w:eastAsia="宋体" w:cs="Arial"/>
          <w:sz w:val="21"/>
          <w:szCs w:val="21"/>
          <w:u w:val="single"/>
        </w:rPr>
        <w:br w:type="page"/>
      </w:r>
    </w:p>
    <w:p w14:paraId="60CDAFCB">
      <w:pPr>
        <w:widowControl w:val="0"/>
        <w:snapToGrid w:val="0"/>
        <w:spacing w:before="50" w:line="312" w:lineRule="auto"/>
        <w:ind w:left="709" w:leftChars="295" w:hanging="1"/>
        <w:jc w:val="both"/>
        <w:rPr>
          <w:rFonts w:ascii="Arial" w:hAnsi="Arial" w:eastAsia="宋体" w:cs="Arial"/>
          <w:sz w:val="21"/>
          <w:szCs w:val="21"/>
        </w:rPr>
      </w:pPr>
      <w:r>
        <w:rPr>
          <w:rFonts w:ascii="Arial" w:hAnsi="Arial" w:eastAsia="宋体" w:cs="Arial"/>
          <w:sz w:val="21"/>
          <w:szCs w:val="21"/>
        </w:rPr>
        <w:t>D.</w:t>
      </w:r>
      <w:r>
        <w:rPr>
          <w:rFonts w:ascii="Arial" w:hAnsi="Arial" w:eastAsia="宋体" w:cs="Arial"/>
          <w:sz w:val="21"/>
          <w:szCs w:val="21"/>
        </w:rPr>
        <w:tab/>
      </w:r>
      <w:r>
        <w:rPr>
          <w:rFonts w:ascii="Arial" w:hAnsi="Arial" w:eastAsia="宋体" w:cs="Arial"/>
          <w:sz w:val="21"/>
          <w:szCs w:val="21"/>
        </w:rPr>
        <w:t>生产过程。</w:t>
      </w:r>
    </w:p>
    <w:p w14:paraId="4625A212">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文件说明该器械是在按照食品药品监督管理局（FDA）良好生产规范生产的，包括产品设计、质量控制、初始提交产品与制造产品的一致性，成品的稳定性、以及器械的任何其他适用功能。</w:t>
      </w:r>
    </w:p>
    <w:p w14:paraId="4347BDBF">
      <w:pPr>
        <w:pStyle w:val="13"/>
        <w:widowControl w:val="0"/>
        <w:numPr>
          <w:ilvl w:val="0"/>
          <w:numId w:val="1"/>
        </w:numPr>
        <w:snapToGrid w:val="0"/>
        <w:spacing w:before="50" w:line="312" w:lineRule="auto"/>
        <w:ind w:left="0" w:firstLine="2" w:firstLineChars="0"/>
        <w:jc w:val="both"/>
        <w:rPr>
          <w:rFonts w:ascii="Arial" w:hAnsi="Arial" w:eastAsia="宋体" w:cs="Arial"/>
          <w:b/>
          <w:sz w:val="21"/>
          <w:szCs w:val="21"/>
          <w:u w:val="single"/>
        </w:rPr>
      </w:pPr>
      <w:r>
        <w:rPr>
          <w:rFonts w:ascii="Arial" w:hAnsi="Arial" w:eastAsia="宋体" w:cs="Arial"/>
          <w:b/>
          <w:sz w:val="21"/>
          <w:szCs w:val="21"/>
          <w:u w:val="single"/>
        </w:rPr>
        <w:t>方案</w:t>
      </w:r>
    </w:p>
    <w:p w14:paraId="23BD7CC9">
      <w:pPr>
        <w:pStyle w:val="13"/>
        <w:widowControl w:val="0"/>
        <w:numPr>
          <w:ilvl w:val="0"/>
          <w:numId w:val="2"/>
        </w:numPr>
        <w:snapToGrid w:val="0"/>
        <w:spacing w:before="50" w:line="312" w:lineRule="auto"/>
        <w:ind w:firstLine="352" w:firstLineChars="0"/>
        <w:jc w:val="both"/>
        <w:rPr>
          <w:rFonts w:ascii="Arial" w:hAnsi="Arial" w:eastAsia="宋体" w:cs="Arial"/>
          <w:sz w:val="21"/>
          <w:szCs w:val="21"/>
        </w:rPr>
      </w:pPr>
      <w:r>
        <w:rPr>
          <w:rFonts w:ascii="Arial" w:hAnsi="Arial" w:eastAsia="宋体" w:cs="Arial"/>
          <w:sz w:val="21"/>
          <w:szCs w:val="21"/>
        </w:rPr>
        <w:t>方案的一般注意事项 </w:t>
      </w:r>
    </w:p>
    <w:p w14:paraId="788228E9">
      <w:pPr>
        <w:pStyle w:val="13"/>
        <w:widowControl w:val="0"/>
        <w:snapToGrid w:val="0"/>
        <w:spacing w:before="50" w:line="312" w:lineRule="auto"/>
        <w:ind w:left="714" w:firstLine="0" w:firstLineChars="0"/>
        <w:jc w:val="both"/>
        <w:rPr>
          <w:rFonts w:ascii="Arial" w:hAnsi="Arial" w:eastAsia="宋体" w:cs="Arial"/>
          <w:sz w:val="21"/>
          <w:szCs w:val="21"/>
        </w:rPr>
      </w:pPr>
    </w:p>
    <w:p w14:paraId="1DFBF4B3">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z w:val="21"/>
          <w:szCs w:val="21"/>
        </w:rPr>
        <w:t>将整个方案和研究计划</w:t>
      </w:r>
      <w:r>
        <w:rPr>
          <w:rFonts w:ascii="Arial" w:hAnsi="Arial" w:eastAsia="宋体" w:cs="Arial"/>
          <w:spacing w:val="-4"/>
          <w:sz w:val="21"/>
          <w:szCs w:val="21"/>
        </w:rPr>
        <w:t>提交给食品药品监督管理局（FDA）进行评论。</w:t>
      </w:r>
    </w:p>
    <w:p w14:paraId="4071FA81">
      <w:pPr>
        <w:widowControl w:val="0"/>
        <w:snapToGrid w:val="0"/>
        <w:spacing w:before="50" w:line="312" w:lineRule="auto"/>
        <w:ind w:left="1399" w:leftChars="583" w:firstLine="13"/>
        <w:jc w:val="both"/>
        <w:rPr>
          <w:rFonts w:ascii="Arial" w:hAnsi="Arial" w:eastAsia="宋体" w:cs="Arial"/>
          <w:spacing w:val="-4"/>
          <w:sz w:val="21"/>
          <w:szCs w:val="21"/>
        </w:rPr>
      </w:pPr>
    </w:p>
    <w:p w14:paraId="48176423">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在样本收集/选择开始之前，为研究的所有阶段提供适用于所有研究点的书面方案。申办方有责任确保在所有研究中心遵守这个步骤。</w:t>
      </w:r>
    </w:p>
    <w:p w14:paraId="66B969E4">
      <w:pPr>
        <w:widowControl w:val="0"/>
        <w:snapToGrid w:val="0"/>
        <w:spacing w:before="50" w:line="312" w:lineRule="auto"/>
        <w:ind w:left="1399" w:leftChars="583" w:firstLine="13"/>
        <w:jc w:val="both"/>
        <w:rPr>
          <w:rFonts w:ascii="Arial" w:hAnsi="Arial" w:eastAsia="宋体" w:cs="Arial"/>
          <w:spacing w:val="-4"/>
          <w:sz w:val="21"/>
          <w:szCs w:val="21"/>
        </w:rPr>
      </w:pPr>
    </w:p>
    <w:p w14:paraId="1F3894D9">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在步骤的初始规划阶段和数据分析期间，咨询生物统计学家。上市前提交失败的常见原因是方案计划不良。一旦完成了研究，几乎不可能接受计划不良的研究。</w:t>
      </w:r>
    </w:p>
    <w:p w14:paraId="530F0F13">
      <w:pPr>
        <w:widowControl w:val="0"/>
        <w:snapToGrid w:val="0"/>
        <w:spacing w:before="50" w:line="312" w:lineRule="auto"/>
        <w:ind w:left="1399" w:leftChars="583" w:firstLine="13"/>
        <w:jc w:val="both"/>
        <w:rPr>
          <w:rFonts w:ascii="Arial" w:hAnsi="Arial" w:eastAsia="宋体" w:cs="Arial"/>
          <w:spacing w:val="-4"/>
          <w:sz w:val="21"/>
          <w:szCs w:val="21"/>
        </w:rPr>
      </w:pPr>
    </w:p>
    <w:p w14:paraId="7B535670">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确保研究有一个明确的假设，研究设计有能力检验这个假设。</w:t>
      </w:r>
    </w:p>
    <w:p w14:paraId="5F00B7E3">
      <w:pPr>
        <w:widowControl w:val="0"/>
        <w:snapToGrid w:val="0"/>
        <w:spacing w:before="50" w:line="312" w:lineRule="auto"/>
        <w:ind w:left="1399" w:leftChars="583" w:firstLine="13"/>
        <w:jc w:val="both"/>
        <w:rPr>
          <w:rFonts w:ascii="Arial" w:hAnsi="Arial" w:eastAsia="宋体" w:cs="Arial"/>
          <w:spacing w:val="-4"/>
          <w:sz w:val="21"/>
          <w:szCs w:val="21"/>
        </w:rPr>
      </w:pPr>
    </w:p>
    <w:p w14:paraId="7FBCAEF7">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研究开始之后，证明和记录方案的任何和所有更改。所有更改都必须写入方案。通知食品药品监督管理局（FDA）提出的方案变更，以及这些变化将对数据解释产生何种影响。在实施前与生物统计学家讨论这些问题。</w:t>
      </w:r>
    </w:p>
    <w:p w14:paraId="314C3E69">
      <w:pPr>
        <w:widowControl w:val="0"/>
        <w:snapToGrid w:val="0"/>
        <w:spacing w:before="50" w:line="312" w:lineRule="auto"/>
        <w:ind w:left="1399" w:leftChars="583" w:firstLine="13"/>
        <w:jc w:val="both"/>
        <w:rPr>
          <w:rFonts w:ascii="Arial" w:hAnsi="Arial" w:eastAsia="宋体" w:cs="Arial"/>
          <w:spacing w:val="-4"/>
          <w:sz w:val="21"/>
          <w:szCs w:val="21"/>
        </w:rPr>
      </w:pPr>
    </w:p>
    <w:p w14:paraId="4AEA6DBE">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收集每个预期样本类型或目标人群的数据。</w:t>
      </w:r>
    </w:p>
    <w:p w14:paraId="1599640C">
      <w:pPr>
        <w:widowControl w:val="0"/>
        <w:snapToGrid w:val="0"/>
        <w:spacing w:before="50" w:line="312" w:lineRule="auto"/>
        <w:ind w:left="1399" w:leftChars="583" w:firstLine="13"/>
        <w:jc w:val="both"/>
        <w:rPr>
          <w:rFonts w:ascii="Arial" w:hAnsi="Arial" w:eastAsia="宋体" w:cs="Arial"/>
          <w:spacing w:val="-4"/>
          <w:sz w:val="21"/>
          <w:szCs w:val="21"/>
        </w:rPr>
      </w:pPr>
    </w:p>
    <w:p w14:paraId="50662624">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使用最终生产模型器械收集性能数据，而不是原型器械。</w:t>
      </w:r>
    </w:p>
    <w:p w14:paraId="77D0B37A">
      <w:pPr>
        <w:widowControl w:val="0"/>
        <w:snapToGrid w:val="0"/>
        <w:spacing w:before="50" w:line="312" w:lineRule="auto"/>
        <w:ind w:left="1399" w:leftChars="583" w:firstLine="13"/>
        <w:jc w:val="both"/>
        <w:rPr>
          <w:rFonts w:ascii="Arial" w:hAnsi="Arial" w:eastAsia="宋体" w:cs="Arial"/>
          <w:spacing w:val="-4"/>
          <w:sz w:val="21"/>
          <w:szCs w:val="21"/>
        </w:rPr>
      </w:pPr>
    </w:p>
    <w:p w14:paraId="6FD76148">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任命一名研究协调员来监督方案研究的所有方面。这个人必须了解所有的研究细节，并保护数据的完整性。</w:t>
      </w:r>
    </w:p>
    <w:p w14:paraId="51F4F109">
      <w:pPr>
        <w:widowControl w:val="0"/>
        <w:snapToGrid w:val="0"/>
        <w:spacing w:before="50" w:line="312" w:lineRule="auto"/>
        <w:ind w:left="1399" w:leftChars="583" w:firstLine="13"/>
        <w:jc w:val="both"/>
        <w:rPr>
          <w:rFonts w:ascii="Arial" w:hAnsi="Arial" w:eastAsia="宋体" w:cs="Arial"/>
          <w:spacing w:val="-4"/>
          <w:sz w:val="21"/>
          <w:szCs w:val="21"/>
        </w:rPr>
      </w:pPr>
    </w:p>
    <w:p w14:paraId="12BEDB2F">
      <w:pPr>
        <w:rPr>
          <w:rFonts w:ascii="Arial" w:hAnsi="Arial" w:eastAsia="宋体" w:cs="Arial"/>
          <w:spacing w:val="-4"/>
          <w:sz w:val="21"/>
          <w:szCs w:val="21"/>
        </w:rPr>
      </w:pPr>
      <w:r>
        <w:rPr>
          <w:rFonts w:ascii="Arial" w:hAnsi="Arial" w:eastAsia="宋体" w:cs="Arial"/>
          <w:spacing w:val="-4"/>
          <w:sz w:val="21"/>
          <w:szCs w:val="21"/>
        </w:rPr>
        <w:br w:type="page"/>
      </w:r>
    </w:p>
    <w:p w14:paraId="50A5F089">
      <w:pPr>
        <w:widowControl w:val="0"/>
        <w:snapToGrid w:val="0"/>
        <w:spacing w:before="50" w:line="312" w:lineRule="auto"/>
        <w:ind w:left="1399" w:leftChars="583" w:firstLine="13"/>
        <w:jc w:val="both"/>
        <w:rPr>
          <w:rFonts w:ascii="Arial" w:hAnsi="Arial" w:eastAsia="宋体" w:cs="Arial"/>
          <w:spacing w:val="-4"/>
          <w:sz w:val="21"/>
          <w:szCs w:val="21"/>
        </w:rPr>
      </w:pPr>
      <w:r>
        <w:rPr>
          <w:rFonts w:ascii="Arial" w:hAnsi="Arial" w:eastAsia="宋体" w:cs="Arial"/>
          <w:spacing w:val="-4"/>
          <w:sz w:val="21"/>
          <w:szCs w:val="21"/>
        </w:rPr>
        <w:t>大多数研究设计将比较新的细胞学器械与传统手动准备的和手动显微镜读取方法相比。在某些情况下，新的细胞学器械可能会产生传统巴氏涂片检查检测不到的检查结果。先前所有诊断为阴性的异常涂片必须向实验室报告。这包括ASCUS及以上，AGCUS及以上等。申办方有责任监测和确保适当的患者随访。验证测试必须按照Bethesda系统（TBS）指南进行。</w:t>
      </w:r>
    </w:p>
    <w:p w14:paraId="7698DDD9">
      <w:pPr>
        <w:pStyle w:val="13"/>
        <w:widowControl w:val="0"/>
        <w:numPr>
          <w:ilvl w:val="0"/>
          <w:numId w:val="2"/>
        </w:numPr>
        <w:snapToGrid w:val="0"/>
        <w:spacing w:before="50" w:line="312" w:lineRule="auto"/>
        <w:ind w:firstLine="352" w:firstLineChars="0"/>
        <w:jc w:val="both"/>
        <w:rPr>
          <w:rFonts w:ascii="Arial" w:hAnsi="Arial" w:eastAsia="宋体" w:cs="Arial"/>
          <w:sz w:val="21"/>
          <w:szCs w:val="21"/>
        </w:rPr>
      </w:pPr>
      <w:r>
        <w:rPr>
          <w:rFonts w:ascii="Arial" w:hAnsi="Arial" w:eastAsia="宋体" w:cs="Arial"/>
          <w:sz w:val="21"/>
          <w:szCs w:val="21"/>
        </w:rPr>
        <w:t>临床前研究</w:t>
      </w:r>
    </w:p>
    <w:p w14:paraId="4013E56C">
      <w:pPr>
        <w:widowControl w:val="0"/>
        <w:snapToGrid w:val="0"/>
        <w:spacing w:before="50" w:line="312" w:lineRule="auto"/>
        <w:ind w:left="1413" w:leftChars="583" w:hanging="14"/>
        <w:jc w:val="both"/>
        <w:rPr>
          <w:rFonts w:ascii="Arial" w:hAnsi="Arial" w:eastAsia="宋体" w:cs="Arial"/>
          <w:sz w:val="21"/>
          <w:szCs w:val="21"/>
        </w:rPr>
      </w:pPr>
      <w:r>
        <w:rPr>
          <w:rFonts w:ascii="Arial" w:hAnsi="Arial" w:eastAsia="宋体" w:cs="Arial"/>
          <w:sz w:val="21"/>
          <w:szCs w:val="21"/>
        </w:rPr>
        <w:t>定义和测试以下性能特征：</w:t>
      </w:r>
    </w:p>
    <w:p w14:paraId="1ADFEF16">
      <w:pPr>
        <w:widowControl w:val="0"/>
        <w:snapToGrid w:val="0"/>
        <w:spacing w:before="50" w:line="312" w:lineRule="auto"/>
        <w:ind w:left="1428" w:leftChars="589" w:hanging="14"/>
        <w:jc w:val="both"/>
        <w:rPr>
          <w:rFonts w:ascii="Arial" w:hAnsi="Arial" w:eastAsia="宋体" w:cs="Arial"/>
          <w:sz w:val="21"/>
          <w:szCs w:val="21"/>
          <w:u w:val="single"/>
        </w:rPr>
      </w:pPr>
      <w:r>
        <w:rPr>
          <w:rFonts w:ascii="Arial" w:hAnsi="Arial" w:eastAsia="宋体" w:cs="Arial"/>
          <w:sz w:val="21"/>
          <w:szCs w:val="21"/>
          <w:u w:val="single"/>
        </w:rPr>
        <w:t>准确度（没有偏倚）</w:t>
      </w:r>
    </w:p>
    <w:p w14:paraId="57ABEEA3">
      <w:pPr>
        <w:widowControl w:val="0"/>
        <w:snapToGrid w:val="0"/>
        <w:spacing w:before="50" w:line="312" w:lineRule="auto"/>
        <w:ind w:left="1414" w:leftChars="589" w:firstLine="406"/>
        <w:jc w:val="both"/>
        <w:rPr>
          <w:rFonts w:ascii="Arial" w:hAnsi="Arial" w:eastAsia="宋体" w:cs="Arial"/>
          <w:sz w:val="21"/>
          <w:szCs w:val="21"/>
        </w:rPr>
      </w:pPr>
      <w:r>
        <w:rPr>
          <w:rFonts w:ascii="Arial" w:hAnsi="Arial" w:eastAsia="宋体" w:cs="Arial"/>
          <w:sz w:val="21"/>
          <w:szCs w:val="21"/>
        </w:rPr>
        <w:t>与黄金标准比较</w:t>
      </w:r>
    </w:p>
    <w:p w14:paraId="7ED543FB">
      <w:pPr>
        <w:widowControl w:val="0"/>
        <w:snapToGrid w:val="0"/>
        <w:spacing w:before="50" w:line="312" w:lineRule="auto"/>
        <w:ind w:left="1428" w:leftChars="589" w:hanging="14"/>
        <w:jc w:val="both"/>
        <w:rPr>
          <w:rFonts w:ascii="Arial" w:hAnsi="Arial" w:eastAsia="宋体" w:cs="Arial"/>
          <w:sz w:val="21"/>
          <w:szCs w:val="21"/>
          <w:u w:val="single"/>
        </w:rPr>
      </w:pPr>
      <w:r>
        <w:rPr>
          <w:rFonts w:ascii="Arial" w:hAnsi="Arial" w:eastAsia="宋体" w:cs="Arial"/>
          <w:sz w:val="21"/>
          <w:szCs w:val="21"/>
          <w:u w:val="single"/>
        </w:rPr>
        <w:t>准确度（没有随机误差）</w:t>
      </w:r>
    </w:p>
    <w:p w14:paraId="75A8FB07">
      <w:pPr>
        <w:widowControl w:val="0"/>
        <w:snapToGrid w:val="0"/>
        <w:spacing w:before="50" w:line="312" w:lineRule="auto"/>
        <w:ind w:left="1414" w:leftChars="589" w:firstLine="406"/>
        <w:jc w:val="both"/>
        <w:rPr>
          <w:rFonts w:ascii="Arial" w:hAnsi="Arial" w:eastAsia="宋体" w:cs="Arial"/>
          <w:sz w:val="21"/>
          <w:szCs w:val="21"/>
        </w:rPr>
      </w:pPr>
      <w:r>
        <w:rPr>
          <w:rFonts w:ascii="Arial" w:hAnsi="Arial" w:eastAsia="宋体" w:cs="Arial"/>
          <w:sz w:val="21"/>
          <w:szCs w:val="21"/>
        </w:rPr>
        <w:t>重现性（观察者间、实验室间、仪器间、观察者内部、仪器内）</w:t>
      </w:r>
    </w:p>
    <w:p w14:paraId="0C795CBA">
      <w:pPr>
        <w:widowControl w:val="0"/>
        <w:snapToGrid w:val="0"/>
        <w:spacing w:before="50" w:line="312" w:lineRule="auto"/>
        <w:ind w:left="1414" w:leftChars="589" w:firstLine="406"/>
        <w:jc w:val="both"/>
        <w:rPr>
          <w:rFonts w:ascii="Arial" w:hAnsi="Arial" w:eastAsia="宋体" w:cs="Arial"/>
          <w:sz w:val="21"/>
          <w:szCs w:val="21"/>
        </w:rPr>
      </w:pPr>
      <w:r>
        <w:rPr>
          <w:rFonts w:ascii="Arial" w:hAnsi="Arial" w:eastAsia="宋体" w:cs="Arial"/>
          <w:sz w:val="21"/>
          <w:szCs w:val="21"/>
        </w:rPr>
        <w:t>百分比一致性、调整</w:t>
      </w:r>
    </w:p>
    <w:p w14:paraId="70A38AA5">
      <w:pPr>
        <w:widowControl w:val="0"/>
        <w:snapToGrid w:val="0"/>
        <w:spacing w:before="50" w:line="312" w:lineRule="auto"/>
        <w:ind w:left="1428" w:leftChars="589" w:hanging="14"/>
        <w:jc w:val="both"/>
        <w:rPr>
          <w:rFonts w:ascii="Arial" w:hAnsi="Arial" w:eastAsia="宋体" w:cs="Arial"/>
          <w:sz w:val="21"/>
          <w:szCs w:val="21"/>
          <w:u w:val="single"/>
        </w:rPr>
      </w:pPr>
      <w:r>
        <w:rPr>
          <w:rFonts w:ascii="Arial" w:hAnsi="Arial" w:eastAsia="宋体" w:cs="Arial"/>
          <w:sz w:val="21"/>
          <w:szCs w:val="21"/>
          <w:u w:val="single"/>
        </w:rPr>
        <w:t>形态学标准</w:t>
      </w:r>
    </w:p>
    <w:p w14:paraId="016AFA2A">
      <w:pPr>
        <w:widowControl w:val="0"/>
        <w:snapToGrid w:val="0"/>
        <w:spacing w:before="50" w:line="312" w:lineRule="auto"/>
        <w:ind w:left="1834" w:leftChars="764" w:firstLine="28"/>
        <w:jc w:val="both"/>
        <w:rPr>
          <w:rFonts w:ascii="Arial" w:hAnsi="Arial" w:eastAsia="宋体" w:cs="Arial"/>
          <w:sz w:val="21"/>
          <w:szCs w:val="21"/>
        </w:rPr>
      </w:pPr>
      <w:r>
        <w:rPr>
          <w:rFonts w:ascii="Arial" w:hAnsi="Arial" w:eastAsia="宋体" w:cs="Arial"/>
          <w:sz w:val="21"/>
          <w:szCs w:val="21"/>
        </w:rPr>
        <w:t>提供数据，以证明与常规涂片相比，器械保持细胞形态结构的能力；捕获子宫颈组件的足够标志物；并指示炎症和感染因子的存在。</w:t>
      </w:r>
    </w:p>
    <w:p w14:paraId="2A24B820">
      <w:pPr>
        <w:widowControl w:val="0"/>
        <w:snapToGrid w:val="0"/>
        <w:spacing w:before="50" w:line="312" w:lineRule="auto"/>
        <w:ind w:left="1414" w:leftChars="589" w:firstLine="406"/>
        <w:jc w:val="both"/>
        <w:rPr>
          <w:rFonts w:ascii="Arial" w:hAnsi="Arial" w:eastAsia="宋体" w:cs="Arial"/>
          <w:sz w:val="21"/>
          <w:szCs w:val="21"/>
        </w:rPr>
      </w:pPr>
      <w:r>
        <w:rPr>
          <w:rFonts w:ascii="Arial" w:hAnsi="Arial" w:eastAsia="宋体" w:cs="Arial"/>
          <w:sz w:val="21"/>
          <w:szCs w:val="21"/>
        </w:rPr>
        <w:t>食品药品监督管理局（FDA）建议坚持使用贝塞斯达系统（TBS）标准。</w:t>
      </w:r>
    </w:p>
    <w:p w14:paraId="0AB3CEDC">
      <w:pPr>
        <w:widowControl w:val="0"/>
        <w:snapToGrid w:val="0"/>
        <w:spacing w:before="50" w:line="312" w:lineRule="auto"/>
        <w:ind w:left="1428" w:leftChars="589" w:hanging="14"/>
        <w:jc w:val="both"/>
        <w:rPr>
          <w:rFonts w:ascii="Arial" w:hAnsi="Arial" w:eastAsia="宋体" w:cs="Arial"/>
          <w:sz w:val="21"/>
          <w:szCs w:val="21"/>
          <w:u w:val="single"/>
        </w:rPr>
      </w:pPr>
      <w:r>
        <w:rPr>
          <w:rFonts w:ascii="Arial" w:hAnsi="Arial" w:eastAsia="宋体" w:cs="Arial"/>
          <w:sz w:val="21"/>
          <w:szCs w:val="21"/>
          <w:u w:val="single"/>
        </w:rPr>
        <w:t>稳定性</w:t>
      </w:r>
    </w:p>
    <w:p w14:paraId="50ECE772">
      <w:pPr>
        <w:widowControl w:val="0"/>
        <w:snapToGrid w:val="0"/>
        <w:spacing w:before="50" w:line="312" w:lineRule="auto"/>
        <w:ind w:left="1833" w:leftChars="758" w:hanging="14"/>
        <w:jc w:val="both"/>
        <w:rPr>
          <w:rFonts w:ascii="Arial" w:hAnsi="Arial" w:eastAsia="宋体" w:cs="Arial"/>
          <w:sz w:val="21"/>
          <w:szCs w:val="21"/>
        </w:rPr>
      </w:pPr>
      <w:r>
        <w:rPr>
          <w:rFonts w:ascii="Arial" w:hAnsi="Arial" w:eastAsia="宋体" w:cs="Arial"/>
          <w:sz w:val="21"/>
          <w:szCs w:val="21"/>
        </w:rPr>
        <w:t>提供来自不同制造批次的实时研究，其中包括数据，以证明任何试剂和/或缓冲液在预期运输、处理和储存条件（包括各种极端温度、湿度和光线）下的稳定性。这包括预收集缓冲溶液和细胞形态学的后收集保存。</w:t>
      </w:r>
    </w:p>
    <w:p w14:paraId="781796FF">
      <w:pPr>
        <w:rPr>
          <w:rFonts w:ascii="Arial" w:hAnsi="Arial" w:eastAsia="宋体" w:cs="Arial"/>
          <w:sz w:val="21"/>
          <w:szCs w:val="21"/>
        </w:rPr>
      </w:pPr>
      <w:r>
        <w:rPr>
          <w:rFonts w:ascii="Arial" w:hAnsi="Arial" w:eastAsia="宋体" w:cs="Arial"/>
          <w:sz w:val="21"/>
          <w:szCs w:val="21"/>
        </w:rPr>
        <w:br w:type="page"/>
      </w:r>
    </w:p>
    <w:p w14:paraId="4E1B95C3">
      <w:pPr>
        <w:pStyle w:val="13"/>
        <w:widowControl w:val="0"/>
        <w:numPr>
          <w:ilvl w:val="0"/>
          <w:numId w:val="2"/>
        </w:numPr>
        <w:snapToGrid w:val="0"/>
        <w:spacing w:before="50" w:line="312" w:lineRule="auto"/>
        <w:ind w:firstLine="352" w:firstLineChars="0"/>
        <w:jc w:val="both"/>
        <w:rPr>
          <w:rFonts w:ascii="Arial" w:hAnsi="Arial" w:eastAsia="宋体" w:cs="Arial"/>
          <w:sz w:val="21"/>
          <w:szCs w:val="21"/>
        </w:rPr>
      </w:pPr>
      <w:r>
        <w:rPr>
          <w:rFonts w:ascii="Arial" w:hAnsi="Arial" w:eastAsia="宋体" w:cs="Arial"/>
          <w:sz w:val="21"/>
          <w:szCs w:val="21"/>
        </w:rPr>
        <w:t>临床研究</w:t>
      </w:r>
    </w:p>
    <w:p w14:paraId="3723BF46">
      <w:pPr>
        <w:pStyle w:val="13"/>
        <w:widowControl w:val="0"/>
        <w:numPr>
          <w:ilvl w:val="0"/>
          <w:numId w:val="3"/>
        </w:numPr>
        <w:snapToGrid w:val="0"/>
        <w:spacing w:before="50" w:line="312" w:lineRule="auto"/>
        <w:ind w:firstLine="1052" w:firstLineChars="0"/>
        <w:jc w:val="both"/>
        <w:rPr>
          <w:rFonts w:ascii="Arial" w:hAnsi="Arial" w:eastAsia="宋体" w:cs="Arial"/>
          <w:sz w:val="21"/>
          <w:szCs w:val="21"/>
        </w:rPr>
      </w:pPr>
      <w:r>
        <w:rPr>
          <w:rFonts w:ascii="Arial" w:hAnsi="Arial" w:eastAsia="宋体" w:cs="Arial"/>
          <w:sz w:val="21"/>
          <w:szCs w:val="21"/>
        </w:rPr>
        <w:t>研究设计</w:t>
      </w:r>
    </w:p>
    <w:p w14:paraId="63A9A5E4">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提供以下研究设计信息：</w:t>
      </w:r>
    </w:p>
    <w:p w14:paraId="63FAB16F">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a.患者纳入和排除标准。</w:t>
      </w:r>
    </w:p>
    <w:p w14:paraId="764F5894">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对所有患者进行记录，并为被排除研究之外的所有患者提供解释。</w:t>
      </w:r>
    </w:p>
    <w:p w14:paraId="7ACBB799">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b.具体的患者选择抽样方案。</w:t>
      </w:r>
    </w:p>
    <w:p w14:paraId="3D3AB1FE">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不限于常规的巴氏涂片的方法：</w:t>
      </w:r>
    </w:p>
    <w:p w14:paraId="4244104E">
      <w:pPr>
        <w:widowControl w:val="0"/>
        <w:snapToGrid w:val="0"/>
        <w:spacing w:before="50" w:after="120" w:afterLines="50" w:line="312" w:lineRule="auto"/>
        <w:ind w:left="2576" w:leftChars="885" w:hanging="452"/>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优先考虑患者抽样以至于定义时间段的所有患者连续进入研究。如果没有，提供详细的统计方案。申办方经常在预定研究期间未能使用连续患者，因此对该抽样必须提供了清晰的方法描述。抽样方法应完全随机性和代表性。所选择的抽样方法应确保目标人群样本数据的代表性、完整性和普遍性。</w:t>
      </w:r>
    </w:p>
    <w:p w14:paraId="6F47A9E4">
      <w:pPr>
        <w:widowControl w:val="0"/>
        <w:snapToGrid w:val="0"/>
        <w:spacing w:before="50" w:after="120" w:afterLines="50" w:line="312" w:lineRule="auto"/>
        <w:ind w:left="2141" w:leftChars="885" w:hanging="17"/>
        <w:jc w:val="both"/>
        <w:rPr>
          <w:rFonts w:ascii="Arial" w:hAnsi="Arial" w:eastAsia="宋体" w:cs="Arial"/>
          <w:sz w:val="21"/>
          <w:szCs w:val="21"/>
        </w:rPr>
      </w:pPr>
      <w:r>
        <w:rPr>
          <w:rFonts w:ascii="Arial" w:hAnsi="Arial" w:eastAsia="宋体" w:cs="Arial"/>
          <w:sz w:val="21"/>
          <w:szCs w:val="21"/>
        </w:rPr>
        <w:t>对于限于常规巴氏涂片的方法：</w:t>
      </w:r>
    </w:p>
    <w:p w14:paraId="21C39F10">
      <w:pPr>
        <w:widowControl w:val="0"/>
        <w:snapToGrid w:val="0"/>
        <w:spacing w:before="50" w:after="120" w:afterLines="50" w:line="312" w:lineRule="auto"/>
        <w:ind w:left="2576" w:leftChars="885" w:hanging="452"/>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可以进行回顾性研究仅基于常规的巴氏涂片，例如，计算机辅助的巴氏涂片检测读取与手动巴氏涂片检测读取。不过，这些将被仅被视为可行性研究。</w:t>
      </w:r>
    </w:p>
    <w:p w14:paraId="2439A955">
      <w:pPr>
        <w:widowControl w:val="0"/>
        <w:snapToGrid w:val="0"/>
        <w:spacing w:before="50" w:after="120" w:afterLines="50" w:line="312" w:lineRule="auto"/>
        <w:ind w:left="2574" w:leftChars="1072" w:hanging="1"/>
        <w:jc w:val="both"/>
        <w:rPr>
          <w:rFonts w:ascii="Arial" w:hAnsi="Arial" w:eastAsia="宋体" w:cs="Arial"/>
          <w:sz w:val="21"/>
          <w:szCs w:val="21"/>
        </w:rPr>
      </w:pPr>
      <w:r>
        <w:rPr>
          <w:rFonts w:ascii="Arial" w:hAnsi="Arial" w:eastAsia="宋体" w:cs="Arial"/>
          <w:sz w:val="21"/>
          <w:szCs w:val="21"/>
        </w:rPr>
        <w:t>如果使用阴性档案的涂片，必须有新器械研究信息所做的，IRB认可的书面步骤细节。如果新方法产生异常诊断（包括ASCUS及以上，AGCUS及以上等），以前被诊断为阴性，实验室诊断常规巴氏涂片必须进行修改。申办方有责任监测并确保合适的患者随访。认证测试必须按照TBS指南进行。</w:t>
      </w:r>
    </w:p>
    <w:p w14:paraId="08B551B5">
      <w:pPr>
        <w:rPr>
          <w:rFonts w:ascii="Arial" w:hAnsi="Arial" w:eastAsia="宋体" w:cs="Arial"/>
          <w:sz w:val="21"/>
          <w:szCs w:val="21"/>
        </w:rPr>
      </w:pPr>
      <w:r>
        <w:rPr>
          <w:rFonts w:ascii="Arial" w:hAnsi="Arial" w:eastAsia="宋体" w:cs="Arial"/>
          <w:sz w:val="21"/>
          <w:szCs w:val="21"/>
        </w:rPr>
        <w:br w:type="page"/>
      </w:r>
    </w:p>
    <w:p w14:paraId="063D81C9">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对于所有器械：</w:t>
      </w:r>
    </w:p>
    <w:p w14:paraId="54D170C0">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选择临床研究的终点支持临床预期用途。</w:t>
      </w:r>
    </w:p>
    <w:p w14:paraId="07D61AFA">
      <w:pPr>
        <w:widowControl w:val="0"/>
        <w:snapToGrid w:val="0"/>
        <w:spacing w:before="50" w:after="120" w:afterLines="50" w:line="312" w:lineRule="auto"/>
        <w:ind w:left="2882" w:leftChars="1201"/>
        <w:jc w:val="both"/>
        <w:rPr>
          <w:rFonts w:ascii="Arial" w:hAnsi="Arial" w:eastAsia="宋体" w:cs="Arial"/>
          <w:sz w:val="21"/>
          <w:szCs w:val="21"/>
        </w:rPr>
      </w:pPr>
      <w:r>
        <w:rPr>
          <w:rFonts w:ascii="Arial" w:hAnsi="Arial" w:eastAsia="宋体" w:cs="Arial"/>
          <w:sz w:val="21"/>
          <w:szCs w:val="21"/>
        </w:rPr>
        <w:t>未经证实的新器械可能需要最严格的数据终点，可能包括临床结局，即器械对发病率和/或死亡率的影响，阴道镜检查结果和定向活检结果作为临床指征。替代终点包括阴道镜定向活组织，传统的巴氏涂片检查与薄层或单层巴氏涂片检查，手动读取和解释巴氏涂片检查与测试电脑辅助或自动巴氏涂片检查。</w:t>
      </w:r>
    </w:p>
    <w:p w14:paraId="70E5459F">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选择定义患者的研究期。</w:t>
      </w:r>
    </w:p>
    <w:p w14:paraId="02F1C3EB">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提供研究中心的类型和数量。</w:t>
      </w:r>
    </w:p>
    <w:p w14:paraId="0A7DEF69">
      <w:pPr>
        <w:widowControl w:val="0"/>
        <w:snapToGrid w:val="0"/>
        <w:spacing w:before="50" w:after="120" w:afterLines="50" w:line="312" w:lineRule="auto"/>
        <w:ind w:left="2882" w:leftChars="1201"/>
        <w:jc w:val="both"/>
        <w:rPr>
          <w:rFonts w:ascii="Arial" w:hAnsi="Arial" w:eastAsia="宋体" w:cs="Arial"/>
          <w:sz w:val="21"/>
          <w:szCs w:val="21"/>
        </w:rPr>
      </w:pPr>
      <w:r>
        <w:rPr>
          <w:rFonts w:ascii="Arial" w:hAnsi="Arial" w:eastAsia="宋体" w:cs="Arial"/>
          <w:sz w:val="21"/>
          <w:szCs w:val="21"/>
        </w:rPr>
        <w:t>仔细选择临床研究现场来代表该器械适合于研究宫颈病变，包括低发病率和高流行疾病的人口学特征的样本。</w:t>
      </w:r>
    </w:p>
    <w:p w14:paraId="4690F79F">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提供每个中心的患者数。</w:t>
      </w:r>
    </w:p>
    <w:p w14:paraId="6E90D55A">
      <w:pPr>
        <w:widowControl w:val="0"/>
        <w:snapToGrid w:val="0"/>
        <w:spacing w:before="50" w:after="120" w:afterLines="50" w:line="312" w:lineRule="auto"/>
        <w:ind w:left="2882" w:leftChars="1201"/>
        <w:jc w:val="both"/>
        <w:rPr>
          <w:rFonts w:ascii="Arial" w:hAnsi="Arial" w:eastAsia="宋体" w:cs="Arial"/>
          <w:sz w:val="21"/>
          <w:szCs w:val="21"/>
        </w:rPr>
      </w:pPr>
      <w:r>
        <w:rPr>
          <w:rFonts w:ascii="Arial" w:hAnsi="Arial" w:eastAsia="宋体" w:cs="Arial"/>
          <w:sz w:val="21"/>
          <w:szCs w:val="21"/>
        </w:rPr>
        <w:t>研究足够数量的阳性确诊患者，并确认每个现场的阴性结果来允许现场独立分析和支持预先规定的统计显著性水平能力的临床灵敏度及临床的特异性差异检查。</w:t>
      </w:r>
    </w:p>
    <w:p w14:paraId="2B2B1C0E">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统计所有来自多中心研究的数据汇总。</w:t>
      </w:r>
    </w:p>
    <w:p w14:paraId="071DAC39">
      <w:pPr>
        <w:widowControl w:val="0"/>
        <w:snapToGrid w:val="0"/>
        <w:spacing w:before="50" w:after="120" w:afterLines="50" w:line="312" w:lineRule="auto"/>
        <w:ind w:left="2882" w:leftChars="1201"/>
        <w:jc w:val="both"/>
        <w:rPr>
          <w:rFonts w:ascii="Arial" w:hAnsi="Arial" w:eastAsia="宋体" w:cs="Arial"/>
          <w:sz w:val="21"/>
          <w:szCs w:val="21"/>
        </w:rPr>
      </w:pPr>
      <w:r>
        <w:rPr>
          <w:rFonts w:ascii="Arial" w:hAnsi="Arial" w:eastAsia="宋体" w:cs="Arial"/>
          <w:sz w:val="21"/>
          <w:szCs w:val="21"/>
        </w:rPr>
        <w:t>收集足够大量来自每个研究中心的样本来允许在每个中心的独立分析。</w:t>
      </w:r>
    </w:p>
    <w:p w14:paraId="7BC4D13C">
      <w:pPr>
        <w:rPr>
          <w:rFonts w:ascii="Arial" w:hAnsi="Arial" w:eastAsia="宋体" w:cs="Arial"/>
          <w:sz w:val="21"/>
          <w:szCs w:val="21"/>
        </w:rPr>
      </w:pPr>
      <w:r>
        <w:rPr>
          <w:rFonts w:ascii="Arial" w:hAnsi="Arial" w:eastAsia="宋体" w:cs="Arial"/>
          <w:sz w:val="21"/>
          <w:szCs w:val="21"/>
        </w:rPr>
        <w:br w:type="page"/>
      </w:r>
    </w:p>
    <w:p w14:paraId="27819CE9">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c．</w:t>
      </w:r>
      <w:r>
        <w:rPr>
          <w:rFonts w:ascii="Arial" w:hAnsi="Arial" w:eastAsia="宋体" w:cs="Arial"/>
          <w:sz w:val="21"/>
          <w:szCs w:val="21"/>
        </w:rPr>
        <w:tab/>
      </w:r>
      <w:r>
        <w:rPr>
          <w:rFonts w:ascii="Arial" w:hAnsi="Arial" w:eastAsia="宋体" w:cs="Arial"/>
          <w:sz w:val="21"/>
          <w:szCs w:val="21"/>
        </w:rPr>
        <w:t>假设检验</w:t>
      </w:r>
    </w:p>
    <w:p w14:paraId="146B798B">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3x3序数数据分类的简单假设和复合假设。</w:t>
      </w:r>
    </w:p>
    <w:p w14:paraId="12DCF9F7">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 xml:space="preserve">贝塞斯达系统（TBS）宫颈细胞学诊断表示定性或分类数据，例如阴性的，非典型的未定性的扁平细胞（ASCUS），低级鳞状上皮内病变（LGSIL），高级鳞状上皮内病变 （HGSIL）等。 </w:t>
      </w:r>
    </w:p>
    <w:p w14:paraId="52F9D079">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TBS诊断可以分为三个治疗类别：阴性，ASCUS，LGSIL及以上。这些数据按比例缩放并可形成两个（新器械和参考）随机点分布。</w:t>
      </w:r>
    </w:p>
    <w:p w14:paraId="51F7CE25">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明确定义简单和复合假设检验如上所示的3x3有序分类表。</w:t>
      </w:r>
    </w:p>
    <w:p w14:paraId="1741E590">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简单假设应该合理一致地由来自新器械参考文献的大量研究数据分析构建。</w:t>
      </w:r>
    </w:p>
    <w:p w14:paraId="6E3E5F76">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复合假设旨在包括未包括在简单假设中的所有可能性。</w:t>
      </w:r>
    </w:p>
    <w:p w14:paraId="40D9AFD5">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例如：</w:t>
      </w:r>
    </w:p>
    <w:p w14:paraId="63354701">
      <w:pPr>
        <w:widowControl w:val="0"/>
        <w:snapToGrid w:val="0"/>
        <w:spacing w:before="50" w:after="240" w:afterLines="100" w:line="312" w:lineRule="auto"/>
        <w:ind w:left="2856" w:leftChars="1190"/>
        <w:jc w:val="both"/>
        <w:rPr>
          <w:rFonts w:ascii="Arial" w:hAnsi="Arial" w:eastAsia="宋体" w:cs="Arial"/>
          <w:b/>
          <w:sz w:val="21"/>
          <w:szCs w:val="21"/>
        </w:rPr>
      </w:pPr>
      <w:r>
        <w:rPr>
          <w:rFonts w:ascii="Arial" w:hAnsi="Arial" w:eastAsia="宋体" w:cs="Arial"/>
          <w:b/>
          <w:sz w:val="21"/>
          <w:szCs w:val="21"/>
        </w:rPr>
        <w:t>简单假设=临床结果的双侧边缘分布结果（阴性，ASCUS，LGSIL及更高）在新的和参考器械之间相等。</w:t>
      </w:r>
    </w:p>
    <w:p w14:paraId="711CB9E2">
      <w:pPr>
        <w:widowControl w:val="0"/>
        <w:snapToGrid w:val="0"/>
        <w:spacing w:before="50" w:after="240" w:afterLines="100" w:line="312" w:lineRule="auto"/>
        <w:ind w:left="2856" w:leftChars="1190"/>
        <w:jc w:val="both"/>
        <w:rPr>
          <w:rFonts w:ascii="Arial" w:hAnsi="Arial" w:eastAsia="宋体" w:cs="Arial"/>
          <w:b/>
          <w:sz w:val="21"/>
          <w:szCs w:val="21"/>
        </w:rPr>
      </w:pPr>
      <w:r>
        <w:rPr>
          <w:rFonts w:ascii="Arial" w:hAnsi="Arial" w:eastAsia="宋体" w:cs="Arial"/>
          <w:b/>
          <w:sz w:val="21"/>
          <w:szCs w:val="21"/>
        </w:rPr>
        <w:t>符合假设=临床结果的双侧边缘分布在新的和参考器械之间（双向）不相等</w:t>
      </w:r>
      <w:r>
        <w:rPr>
          <w:rFonts w:hint="eastAsia" w:ascii="Arial" w:hAnsi="Arial" w:eastAsia="宋体" w:cs="Arial"/>
          <w:b/>
          <w:sz w:val="21"/>
          <w:szCs w:val="21"/>
        </w:rPr>
        <w:t>。</w:t>
      </w:r>
      <w:r>
        <w:rPr>
          <w:rFonts w:ascii="Arial" w:hAnsi="Arial" w:eastAsia="宋体" w:cs="Arial"/>
          <w:b/>
          <w:sz w:val="21"/>
          <w:szCs w:val="21"/>
        </w:rPr>
        <w:t>这种假设考虑了器械比原器械更好或更糟的可</w:t>
      </w:r>
      <w:r>
        <w:rPr>
          <w:rFonts w:hint="eastAsia" w:ascii="Arial" w:hAnsi="Arial" w:eastAsia="宋体" w:cs="Arial"/>
          <w:b/>
          <w:sz w:val="21"/>
          <w:szCs w:val="21"/>
        </w:rPr>
        <w:t>能</w:t>
      </w:r>
      <w:r>
        <w:rPr>
          <w:rFonts w:ascii="Arial" w:hAnsi="Arial" w:eastAsia="宋体" w:cs="Arial"/>
          <w:b/>
          <w:sz w:val="21"/>
          <w:szCs w:val="21"/>
        </w:rPr>
        <w:t>性。</w:t>
      </w:r>
    </w:p>
    <w:p w14:paraId="5CD1C54A">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对3x3有序分类数据进行适当的统计学显著性检验。</w:t>
      </w:r>
    </w:p>
    <w:p w14:paraId="76329009">
      <w:pPr>
        <w:widowControl w:val="0"/>
        <w:snapToGrid w:val="0"/>
        <w:spacing w:before="50" w:after="240" w:afterLines="100" w:line="312" w:lineRule="auto"/>
        <w:ind w:left="2856" w:leftChars="1190"/>
        <w:jc w:val="both"/>
        <w:rPr>
          <w:rFonts w:ascii="Arial" w:hAnsi="Arial" w:eastAsia="宋体" w:cs="Arial"/>
          <w:b/>
          <w:sz w:val="21"/>
          <w:szCs w:val="21"/>
        </w:rPr>
      </w:pPr>
    </w:p>
    <w:p w14:paraId="7821941F">
      <w:pPr>
        <w:rPr>
          <w:rFonts w:ascii="Arial" w:hAnsi="Arial" w:eastAsia="宋体" w:cs="Arial"/>
          <w:sz w:val="21"/>
          <w:szCs w:val="21"/>
        </w:rPr>
      </w:pPr>
      <w:r>
        <w:rPr>
          <w:rFonts w:ascii="Arial" w:hAnsi="Arial" w:eastAsia="宋体" w:cs="Arial"/>
          <w:sz w:val="21"/>
          <w:szCs w:val="21"/>
        </w:rPr>
        <w:br w:type="page"/>
      </w:r>
    </w:p>
    <w:p w14:paraId="6804DCA8">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如果在上述3x3分类数据的检验中，简单假设被拒绝，通过结合ASCUS进入阴性或阳性组（LGSIL及以上）进行2x2分类表的统计学显著分析。</w:t>
      </w:r>
    </w:p>
    <w:p w14:paraId="1D342B6C">
      <w:pPr>
        <w:widowControl w:val="0"/>
        <w:snapToGrid w:val="0"/>
        <w:spacing w:before="50" w:after="240" w:afterLines="100" w:line="312" w:lineRule="auto"/>
        <w:ind w:left="2856" w:leftChars="1190"/>
        <w:jc w:val="both"/>
        <w:rPr>
          <w:rFonts w:ascii="Arial" w:hAnsi="Arial" w:eastAsia="宋体" w:cs="Arial"/>
          <w:sz w:val="21"/>
          <w:szCs w:val="21"/>
        </w:rPr>
      </w:pPr>
      <w:r>
        <w:rPr>
          <w:rFonts w:ascii="Arial" w:hAnsi="Arial" w:eastAsia="宋体" w:cs="Arial"/>
          <w:sz w:val="21"/>
          <w:szCs w:val="21"/>
        </w:rPr>
        <w:t>如果患者的真实疾病状况已知，则按2x2表中的每一个，计算对于参考和新器械的疾病阳性组的临床敏感度值和疾病阴性组的临床特异性值。如果患者真实的疾病状况未知，分别计算对于参考和新器械的疾病（（LGSIL和更高）的比例。</w:t>
      </w:r>
    </w:p>
    <w:p w14:paraId="035C82EA">
      <w:pPr>
        <w:widowControl w:val="0"/>
        <w:snapToGrid w:val="0"/>
        <w:spacing w:before="50" w:after="240" w:afterLines="100" w:line="312" w:lineRule="auto"/>
        <w:ind w:left="2882" w:leftChars="1201"/>
        <w:jc w:val="both"/>
        <w:rPr>
          <w:rFonts w:ascii="Arial" w:hAnsi="Arial" w:eastAsia="宋体" w:cs="Arial"/>
          <w:sz w:val="21"/>
          <w:szCs w:val="21"/>
        </w:rPr>
      </w:pPr>
      <w:r>
        <w:rPr>
          <w:rFonts w:ascii="Arial" w:hAnsi="Arial" w:eastAsia="宋体" w:cs="Arial"/>
          <w:sz w:val="21"/>
          <w:szCs w:val="21"/>
        </w:rPr>
        <w:t>当患者的真实疾病状况已知时，参考和新器械之间进行统计学显著性检测，以比较两种真实的临床灵敏度和两种真正的临床特征（或两种真实的疾病比例，如果患者疾病未知）。需要考虑用于多重比较问题的适当程序，因为当3x3的有序数据导致零假设的拒绝时，从SAME 3乘以3表格重构了上述2×2表中的每一个。</w:t>
      </w:r>
    </w:p>
    <w:p w14:paraId="1B17DA37">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d．置信区间</w:t>
      </w:r>
    </w:p>
    <w:p w14:paraId="349A851A">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对于上述2x2表格，如果患者疾病状态已知，则基于疾病阳性确诊组和基于无患证实组的新器械的临床特异性，为真实临床灵敏度提供95%置信区间。</w:t>
      </w:r>
    </w:p>
    <w:p w14:paraId="2F5C7868">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另外，为两个真正的临床灵敏度之间的差异提供95％的置信区间，以及新的和参考器械之间的两个真正的临床特征。此计算可用于临床决策。</w:t>
      </w:r>
    </w:p>
    <w:p w14:paraId="7B31780A">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当患者的真实疾病状态未知时，提供疾病状态，LGSIL或更高的真实比例，以及两个真实比例之间差异的95％置信区间。</w:t>
      </w:r>
    </w:p>
    <w:p w14:paraId="45C4116C">
      <w:pPr>
        <w:rPr>
          <w:rFonts w:ascii="Arial" w:hAnsi="Arial" w:eastAsia="宋体" w:cs="Arial"/>
          <w:sz w:val="21"/>
          <w:szCs w:val="21"/>
        </w:rPr>
      </w:pPr>
      <w:r>
        <w:rPr>
          <w:rFonts w:ascii="Arial" w:hAnsi="Arial" w:eastAsia="宋体" w:cs="Arial"/>
          <w:sz w:val="21"/>
          <w:szCs w:val="21"/>
        </w:rPr>
        <w:br w:type="page"/>
      </w:r>
    </w:p>
    <w:p w14:paraId="23621ED9">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e．确定样本量</w:t>
      </w:r>
    </w:p>
    <w:p w14:paraId="537D6FF5">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以下必须在临床和统计学上预先指定用于估计所需样本量：</w:t>
      </w:r>
    </w:p>
    <w:p w14:paraId="66F872AE">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I型错误（拒绝真正的简单假设）</w:t>
      </w:r>
    </w:p>
    <w:p w14:paraId="345B4849">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效度（拒绝错误简单假设的概率）</w:t>
      </w:r>
    </w:p>
    <w:p w14:paraId="6B102FCC">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假设的临床灵敏度和特异性（真正的疾病状态已知）</w:t>
      </w:r>
    </w:p>
    <w:p w14:paraId="6BCF92BE">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LGSIL，HGSIL和癌的假设比例（真实疾病状态未知）</w:t>
      </w:r>
    </w:p>
    <w:p w14:paraId="4603C8BC">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疾病流行</w:t>
      </w:r>
    </w:p>
    <w:p w14:paraId="7E048A59">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收集足够数量的疾病阳性和阴性样本，以检验在临床上新器械和标准参考器械之间的性能特性的差异在预先指定的统计显著性水平和效度。</w:t>
      </w:r>
    </w:p>
    <w:p w14:paraId="306033DB">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f．为原始数据指定以下参数的统计分析： </w:t>
      </w:r>
    </w:p>
    <w:p w14:paraId="57295A05">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临床灵敏度</w:t>
      </w:r>
    </w:p>
    <w:p w14:paraId="27D94675">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 xml:space="preserve"> 临床特异性</w:t>
      </w:r>
    </w:p>
    <w:p w14:paraId="1917796C">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阳性和阴性的预测价值</w:t>
      </w:r>
    </w:p>
    <w:p w14:paraId="725F17F3">
      <w:pPr>
        <w:widowControl w:val="0"/>
        <w:snapToGrid w:val="0"/>
        <w:spacing w:before="50" w:after="240" w:afterLines="100" w:line="312" w:lineRule="auto"/>
        <w:ind w:left="2897" w:leftChars="1207"/>
        <w:jc w:val="both"/>
        <w:rPr>
          <w:rFonts w:ascii="Arial" w:hAnsi="Arial" w:eastAsia="宋体" w:cs="Arial"/>
          <w:sz w:val="21"/>
          <w:szCs w:val="21"/>
        </w:rPr>
      </w:pPr>
      <w:r>
        <w:rPr>
          <w:rFonts w:ascii="Arial" w:hAnsi="Arial" w:eastAsia="宋体" w:cs="Arial"/>
          <w:sz w:val="21"/>
          <w:szCs w:val="21"/>
        </w:rPr>
        <w:t>观察员和观察员间协议（屏蔽）</w:t>
      </w:r>
    </w:p>
    <w:p w14:paraId="7F527E76">
      <w:pPr>
        <w:widowControl w:val="0"/>
        <w:snapToGrid w:val="0"/>
        <w:spacing w:before="50" w:after="120" w:afterLines="50" w:line="312" w:lineRule="auto"/>
        <w:ind w:left="2100" w:leftChars="875"/>
        <w:jc w:val="both"/>
        <w:rPr>
          <w:rFonts w:ascii="Arial" w:hAnsi="Arial" w:eastAsia="宋体" w:cs="Arial"/>
          <w:sz w:val="21"/>
          <w:szCs w:val="21"/>
        </w:rPr>
      </w:pPr>
      <w:r>
        <w:rPr>
          <w:rFonts w:ascii="Arial" w:hAnsi="Arial" w:eastAsia="宋体" w:cs="Arial"/>
          <w:sz w:val="21"/>
          <w:szCs w:val="21"/>
        </w:rPr>
        <w:t>g．用新器械研究人口必须模拟预期人口</w:t>
      </w:r>
    </w:p>
    <w:p w14:paraId="085B3726">
      <w:pPr>
        <w:widowControl w:val="0"/>
        <w:snapToGrid w:val="0"/>
        <w:spacing w:before="50" w:after="240" w:afterLines="100" w:line="312" w:lineRule="auto"/>
        <w:ind w:left="3583" w:leftChars="1207" w:hanging="686" w:hangingChars="32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在3-5个不同地理位置进行取样和测试。大力鼓励美国网站的选择。模拟测试和使用器械所在站点。</w:t>
      </w:r>
    </w:p>
    <w:p w14:paraId="22528810">
      <w:pPr>
        <w:rPr>
          <w:rFonts w:ascii="Arial" w:hAnsi="Arial" w:eastAsia="宋体" w:cs="Arial"/>
          <w:sz w:val="21"/>
          <w:szCs w:val="21"/>
        </w:rPr>
      </w:pPr>
      <w:r>
        <w:rPr>
          <w:rFonts w:ascii="Arial" w:hAnsi="Arial" w:eastAsia="宋体" w:cs="Arial"/>
          <w:sz w:val="21"/>
          <w:szCs w:val="21"/>
        </w:rPr>
        <w:br w:type="page"/>
      </w:r>
    </w:p>
    <w:p w14:paraId="115ACCAD">
      <w:pPr>
        <w:widowControl w:val="0"/>
        <w:snapToGrid w:val="0"/>
        <w:spacing w:before="50" w:after="240" w:afterLines="100" w:line="312" w:lineRule="auto"/>
        <w:ind w:left="3583" w:leftChars="1207" w:hanging="686" w:hangingChars="32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收集来自具有低和高患病率范围的人群的标本，以便根据其预期用途由器械检测。</w:t>
      </w:r>
    </w:p>
    <w:p w14:paraId="428263EE">
      <w:pPr>
        <w:widowControl w:val="0"/>
        <w:snapToGrid w:val="0"/>
        <w:spacing w:before="50" w:after="240" w:afterLines="100" w:line="312" w:lineRule="auto"/>
        <w:ind w:left="3583" w:leftChars="1207" w:hanging="686" w:hangingChars="32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贝塞斯达体系（TBS）涵盖的所有宫颈疾病和病症的示例。在预期用途中精心列出诊断类别的任何排除，例如“该器械不是用于处理，检测，解释炎症细胞等”或者在上市前研究中没有检测到或通过该器械分析X条件的例子。该器械的性能对于X条件是未知的。“（X是在大多数条件下具有足够效率的前瞻性临床研究中不容易检测到的罕见病症。）</w:t>
      </w:r>
    </w:p>
    <w:p w14:paraId="2D118AFE">
      <w:pPr>
        <w:widowControl w:val="0"/>
        <w:snapToGrid w:val="0"/>
        <w:spacing w:before="50" w:after="240" w:afterLines="100" w:line="312" w:lineRule="auto"/>
        <w:ind w:left="3720" w:leftChars="1550"/>
        <w:jc w:val="both"/>
        <w:rPr>
          <w:rFonts w:ascii="Arial" w:hAnsi="Arial" w:eastAsia="宋体" w:cs="Arial"/>
          <w:sz w:val="21"/>
          <w:szCs w:val="21"/>
        </w:rPr>
      </w:pPr>
      <w:r>
        <w:rPr>
          <w:rFonts w:ascii="Arial" w:hAnsi="Arial" w:eastAsia="宋体" w:cs="Arial"/>
          <w:sz w:val="21"/>
          <w:szCs w:val="21"/>
        </w:rPr>
        <w:t>设计临床前测试至少在理论上支持器械对所有要求的所有条件都是安全有效的，甚至是最罕见的。</w:t>
      </w:r>
    </w:p>
    <w:p w14:paraId="3C0E940F">
      <w:pPr>
        <w:widowControl w:val="0"/>
        <w:snapToGrid w:val="0"/>
        <w:spacing w:before="50" w:after="240" w:afterLines="100" w:line="312" w:lineRule="auto"/>
        <w:ind w:left="3720" w:leftChars="1550"/>
        <w:jc w:val="both"/>
        <w:rPr>
          <w:rFonts w:ascii="Arial" w:hAnsi="Arial" w:eastAsia="宋体" w:cs="Arial"/>
          <w:sz w:val="21"/>
          <w:szCs w:val="21"/>
        </w:rPr>
      </w:pPr>
      <w:r>
        <w:rPr>
          <w:rFonts w:ascii="Arial" w:hAnsi="Arial" w:eastAsia="宋体" w:cs="Arial"/>
          <w:sz w:val="21"/>
          <w:szCs w:val="21"/>
        </w:rPr>
        <w:t>设计上市后研究，以便在使用足够数量的临床样本的稀有病况下验证器件的安全性和有效性。</w:t>
      </w:r>
    </w:p>
    <w:p w14:paraId="4F73767A">
      <w:pPr>
        <w:widowControl w:val="0"/>
        <w:snapToGrid w:val="0"/>
        <w:spacing w:before="50" w:after="240" w:afterLines="100" w:line="312" w:lineRule="auto"/>
        <w:ind w:left="3583" w:leftChars="1207" w:hanging="686" w:hangingChars="327"/>
        <w:jc w:val="both"/>
        <w:rPr>
          <w:rFonts w:ascii="Arial" w:hAnsi="Arial" w:eastAsia="宋体" w:cs="Arial"/>
          <w:sz w:val="21"/>
          <w:szCs w:val="21"/>
        </w:rPr>
      </w:pPr>
      <w:r>
        <w:rPr>
          <w:rFonts w:ascii="Arial" w:hAnsi="Arial" w:eastAsia="宋体" w:cs="Arial"/>
          <w:sz w:val="21"/>
          <w:szCs w:val="21"/>
        </w:rPr>
        <w:t>*</w:t>
      </w:r>
      <w:r>
        <w:rPr>
          <w:rFonts w:ascii="Arial" w:hAnsi="Arial" w:eastAsia="宋体" w:cs="Arial"/>
          <w:sz w:val="21"/>
          <w:szCs w:val="21"/>
        </w:rPr>
        <w:tab/>
      </w:r>
      <w:r>
        <w:rPr>
          <w:rFonts w:ascii="Arial" w:hAnsi="Arial" w:eastAsia="宋体" w:cs="Arial"/>
          <w:sz w:val="21"/>
          <w:szCs w:val="21"/>
        </w:rPr>
        <w:t>计划对预期用途声明所述的其他条件的任何其他抽样要求，例如处理病毒培养样品，核苷酸研究等。</w:t>
      </w:r>
    </w:p>
    <w:p w14:paraId="64FC7B73">
      <w:pPr>
        <w:widowControl w:val="0"/>
        <w:snapToGrid w:val="0"/>
        <w:spacing w:before="50" w:after="240" w:afterLines="100" w:line="312" w:lineRule="auto"/>
        <w:ind w:firstLine="2"/>
        <w:jc w:val="both"/>
        <w:rPr>
          <w:rFonts w:ascii="Arial" w:hAnsi="Arial" w:eastAsia="宋体" w:cs="Arial"/>
          <w:sz w:val="21"/>
          <w:szCs w:val="21"/>
        </w:rPr>
      </w:pPr>
      <w:r>
        <w:rPr>
          <w:rFonts w:ascii="Arial" w:hAnsi="Arial" w:eastAsia="宋体" w:cs="Arial"/>
          <w:sz w:val="21"/>
          <w:szCs w:val="21"/>
        </w:rPr>
        <w:t>2.</w:t>
      </w:r>
      <w:r>
        <w:rPr>
          <w:rFonts w:ascii="Arial" w:hAnsi="Arial" w:eastAsia="宋体" w:cs="Arial"/>
          <w:sz w:val="21"/>
          <w:szCs w:val="21"/>
        </w:rPr>
        <w:tab/>
      </w:r>
      <w:r>
        <w:rPr>
          <w:rFonts w:ascii="Arial" w:hAnsi="Arial" w:eastAsia="宋体" w:cs="Arial"/>
          <w:sz w:val="21"/>
          <w:szCs w:val="21"/>
        </w:rPr>
        <w:t>终点：临床准确度。</w:t>
      </w:r>
    </w:p>
    <w:p w14:paraId="325CF2A3">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体外诊断方法的验证需要独立的参考端点作为准确度（真实）的度量。一旦选择了参考方法，则必须比较结果。</w:t>
      </w:r>
    </w:p>
    <w:p w14:paraId="063727E8">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测量器械代表采集样本的患者的真实临床状况。收集并分析筛选细胞学技术人员的样本所有结果并且单独分析所有参考病理学家的样本结果。确保方案的参照标准来自细胞技术专家到病理学家的细胞技术专家的所有案例。掩饰所有新器械与参考方法的比对。</w:t>
      </w:r>
    </w:p>
    <w:p w14:paraId="572A2D0B">
      <w:pPr>
        <w:rPr>
          <w:rFonts w:ascii="Arial" w:hAnsi="Arial" w:eastAsia="宋体" w:cs="Arial"/>
          <w:sz w:val="21"/>
          <w:szCs w:val="21"/>
        </w:rPr>
      </w:pPr>
      <w:r>
        <w:rPr>
          <w:rFonts w:ascii="Arial" w:hAnsi="Arial" w:eastAsia="宋体" w:cs="Arial"/>
          <w:sz w:val="21"/>
          <w:szCs w:val="21"/>
        </w:rPr>
        <w:br w:type="page"/>
      </w:r>
    </w:p>
    <w:p w14:paraId="042B5BD1">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以下终点按照其效度的降序列出作为新器械验证的科学证据，从此开始用黄金标准方法：</w:t>
      </w:r>
    </w:p>
    <w:p w14:paraId="799FD4FF">
      <w:pPr>
        <w:pStyle w:val="13"/>
        <w:widowControl w:val="0"/>
        <w:numPr>
          <w:ilvl w:val="0"/>
          <w:numId w:val="4"/>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临床结果</w:t>
      </w:r>
    </w:p>
    <w:p w14:paraId="282BC699">
      <w:pPr>
        <w:widowControl w:val="0"/>
        <w:snapToGrid w:val="0"/>
        <w:spacing w:before="50" w:after="240" w:afterLines="100" w:line="312" w:lineRule="auto"/>
        <w:ind w:left="698" w:leftChars="291" w:firstLine="434" w:firstLineChars="207"/>
        <w:jc w:val="both"/>
        <w:rPr>
          <w:rFonts w:ascii="Arial" w:hAnsi="Arial" w:eastAsia="宋体" w:cs="Arial"/>
          <w:sz w:val="21"/>
          <w:szCs w:val="21"/>
        </w:rPr>
      </w:pPr>
      <w:r>
        <w:rPr>
          <w:rFonts w:ascii="Arial" w:hAnsi="Arial" w:eastAsia="宋体" w:cs="Arial"/>
          <w:sz w:val="21"/>
          <w:szCs w:val="21"/>
        </w:rPr>
        <w:t>这是黄金标准的参考资料的准确度和临床实用性，但缺点是，长期随访需要间隔评估妇科细胞学。</w:t>
      </w:r>
    </w:p>
    <w:p w14:paraId="4A596B52">
      <w:pPr>
        <w:widowControl w:val="0"/>
        <w:snapToGrid w:val="0"/>
        <w:spacing w:before="50" w:after="240" w:afterLines="100" w:line="312" w:lineRule="auto"/>
        <w:ind w:left="1581" w:leftChars="658" w:hanging="2" w:hangingChars="1"/>
        <w:jc w:val="both"/>
        <w:rPr>
          <w:rFonts w:ascii="Arial" w:hAnsi="Arial" w:eastAsia="宋体" w:cs="Arial"/>
          <w:sz w:val="21"/>
          <w:szCs w:val="21"/>
        </w:rPr>
      </w:pPr>
      <w:r>
        <w:rPr>
          <w:rFonts w:ascii="Arial" w:hAnsi="Arial" w:eastAsia="宋体" w:cs="Arial"/>
          <w:sz w:val="21"/>
          <w:szCs w:val="21"/>
        </w:rPr>
        <w:t xml:space="preserve">对于那些不是基于传统的巴氏涂片器械可能需要更长时间的临床研究，因为它不可能使用纵向研究的档案情况。 </w:t>
      </w:r>
    </w:p>
    <w:p w14:paraId="38F563C4">
      <w:pPr>
        <w:pStyle w:val="13"/>
        <w:widowControl w:val="0"/>
        <w:numPr>
          <w:ilvl w:val="0"/>
          <w:numId w:val="4"/>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宫颈活检</w:t>
      </w:r>
    </w:p>
    <w:p w14:paraId="6625AD9B">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这种方法由于活检抽样困难而低于黄金标准。活组织检查采样误差可能会产生假阴性结果。其中一些患者可能有阴性的细胞学结果，但实际上是肿瘤前期或肿瘤。此外，还有其他问题，因为它不是实际活检大量阴性，ASCUS或AGCUS细胞学结果的患者。</w:t>
      </w:r>
    </w:p>
    <w:p w14:paraId="0732C529">
      <w:pPr>
        <w:pStyle w:val="13"/>
        <w:widowControl w:val="0"/>
        <w:numPr>
          <w:ilvl w:val="0"/>
          <w:numId w:val="4"/>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阴道镜检查和直接的细胞学和/或组织活检取样。</w:t>
      </w:r>
    </w:p>
    <w:p w14:paraId="39F36B61">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如果要使用阴道镜宫颈细胞学样本来确认，那么要确保来自任何先前细胞学样本检查已经经过足够长的时间从而允许宫颈上皮再生（4到6周）。</w:t>
      </w:r>
    </w:p>
    <w:p w14:paraId="4146584A">
      <w:pPr>
        <w:pStyle w:val="13"/>
        <w:widowControl w:val="0"/>
        <w:numPr>
          <w:ilvl w:val="0"/>
          <w:numId w:val="3"/>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代替端点：试样准确度。</w:t>
      </w:r>
    </w:p>
    <w:p w14:paraId="69EF402F">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常规巴氏涂片与手动显微镜读取可以用作数据子集解决差异来评估样本准确度。对于器械使用传统巴氏涂片，屏蔽手动显微镜是可接受的使用替代参考方法（小于黄金标准），并且作为薄层或单层贴片准备的对比方法，记录执行任何未掩盖的对比前的掩盖的参照诊断或者“共识”读数或图像。</w:t>
      </w:r>
    </w:p>
    <w:p w14:paraId="1D4AF689">
      <w:pPr>
        <w:rPr>
          <w:rFonts w:ascii="Arial" w:hAnsi="Arial" w:eastAsia="宋体" w:cs="Arial"/>
          <w:sz w:val="21"/>
          <w:szCs w:val="21"/>
        </w:rPr>
      </w:pPr>
      <w:r>
        <w:rPr>
          <w:rFonts w:ascii="Arial" w:hAnsi="Arial" w:eastAsia="宋体" w:cs="Arial"/>
          <w:sz w:val="21"/>
          <w:szCs w:val="21"/>
        </w:rPr>
        <w:br w:type="page"/>
      </w:r>
    </w:p>
    <w:p w14:paraId="2B3C99E7">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对每个细胞学技术人员和病理学家进行掩饰比对方法以及相互的对于传统巴氏涂片检查和新器械的结果，例如，自动或半自动化的图像分析或计算机辅助的细胞定位器械。</w:t>
      </w:r>
    </w:p>
    <w:p w14:paraId="0AB6208B">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记录屏蔽代码将不会破坏，直到所有数据被收集和记录。 保持屏蔽代码直到最终的数据分析这一点很重要。</w:t>
      </w:r>
    </w:p>
    <w:p w14:paraId="04ECB0BC">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3.</w:t>
      </w:r>
      <w:r>
        <w:rPr>
          <w:rFonts w:ascii="Arial" w:hAnsi="Arial" w:eastAsia="宋体" w:cs="Arial"/>
          <w:sz w:val="21"/>
          <w:szCs w:val="21"/>
        </w:rPr>
        <w:tab/>
      </w:r>
      <w:r>
        <w:rPr>
          <w:rFonts w:ascii="Arial" w:hAnsi="Arial" w:eastAsia="宋体" w:cs="Arial"/>
          <w:sz w:val="21"/>
          <w:szCs w:val="21"/>
        </w:rPr>
        <w:t>样本收集</w:t>
      </w:r>
    </w:p>
    <w:p w14:paraId="6A65486D">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a．</w:t>
      </w:r>
      <w:r>
        <w:rPr>
          <w:rFonts w:ascii="Arial" w:hAnsi="Arial" w:eastAsia="宋体" w:cs="Arial"/>
          <w:sz w:val="21"/>
          <w:szCs w:val="21"/>
        </w:rPr>
        <w:tab/>
      </w:r>
      <w:r>
        <w:rPr>
          <w:rFonts w:ascii="Arial" w:hAnsi="Arial" w:eastAsia="宋体" w:cs="Arial"/>
          <w:sz w:val="21"/>
          <w:szCs w:val="21"/>
        </w:rPr>
        <w:t>宫颈样本的收集器械</w:t>
      </w:r>
    </w:p>
    <w:p w14:paraId="75378FD2">
      <w:pPr>
        <w:widowControl w:val="0"/>
        <w:snapToGrid w:val="0"/>
        <w:spacing w:before="50" w:after="240" w:afterLines="100" w:line="312" w:lineRule="auto"/>
        <w:ind w:left="1440" w:leftChars="600" w:firstLine="6" w:firstLineChars="3"/>
        <w:jc w:val="both"/>
        <w:rPr>
          <w:rFonts w:ascii="Arial" w:hAnsi="Arial" w:eastAsia="宋体" w:cs="Arial"/>
          <w:sz w:val="21"/>
          <w:szCs w:val="21"/>
        </w:rPr>
      </w:pPr>
      <w:r>
        <w:rPr>
          <w:rFonts w:ascii="Arial" w:hAnsi="Arial" w:eastAsia="宋体" w:cs="Arial"/>
          <w:sz w:val="21"/>
          <w:szCs w:val="21"/>
        </w:rPr>
        <w:t>限制宫颈样本收集器械那些将被FDA清除。器械必须在子宫颈内膜和宫颈外膜取样。数据应该收集足够的细胞结构，确保TBS标准子宫组件等。Ayres spatula单独用于子宫抽样是不够的。Bnish 单独使用不足以进行宫颈外膜取样。收集器械的组合或组合器械，例如，宫颈扫帚提供足够的，子宫颈内膜和外膜抽样。</w:t>
      </w:r>
    </w:p>
    <w:p w14:paraId="2F147AA9">
      <w:pPr>
        <w:widowControl w:val="0"/>
        <w:snapToGrid w:val="0"/>
        <w:spacing w:before="50" w:after="240" w:afterLines="100" w:line="312" w:lineRule="auto"/>
        <w:ind w:left="1147" w:leftChars="478" w:firstLine="714" w:firstLineChars="340"/>
        <w:jc w:val="both"/>
        <w:rPr>
          <w:rFonts w:ascii="Arial" w:hAnsi="Arial" w:eastAsia="宋体" w:cs="Arial"/>
          <w:sz w:val="21"/>
          <w:szCs w:val="21"/>
        </w:rPr>
      </w:pPr>
      <w:r>
        <w:rPr>
          <w:rFonts w:ascii="Arial" w:hAnsi="Arial" w:eastAsia="宋体" w:cs="Arial"/>
          <w:sz w:val="21"/>
          <w:szCs w:val="21"/>
        </w:rPr>
        <w:t>一个缺点是一些刷子可能过多的出血，不会在怀孕期间被使用。</w:t>
      </w:r>
    </w:p>
    <w:p w14:paraId="291259C3">
      <w:pPr>
        <w:widowControl w:val="0"/>
        <w:snapToGrid w:val="0"/>
        <w:spacing w:before="50" w:after="240" w:afterLines="100" w:line="312" w:lineRule="auto"/>
        <w:ind w:left="698" w:leftChars="291"/>
        <w:jc w:val="both"/>
        <w:rPr>
          <w:rFonts w:ascii="Arial" w:hAnsi="Arial" w:eastAsia="宋体" w:cs="Arial"/>
          <w:sz w:val="21"/>
          <w:szCs w:val="21"/>
        </w:rPr>
      </w:pPr>
      <w:r>
        <w:rPr>
          <w:rFonts w:ascii="Arial" w:hAnsi="Arial" w:eastAsia="宋体" w:cs="Arial"/>
          <w:sz w:val="21"/>
          <w:szCs w:val="21"/>
        </w:rPr>
        <w:t>b.</w:t>
      </w:r>
      <w:r>
        <w:rPr>
          <w:rFonts w:ascii="Arial" w:hAnsi="Arial" w:eastAsia="宋体" w:cs="Arial"/>
          <w:sz w:val="21"/>
          <w:szCs w:val="21"/>
        </w:rPr>
        <w:tab/>
      </w:r>
      <w:r>
        <w:rPr>
          <w:rFonts w:ascii="Arial" w:hAnsi="Arial" w:eastAsia="宋体" w:cs="Arial"/>
          <w:sz w:val="21"/>
          <w:szCs w:val="21"/>
        </w:rPr>
        <w:t>不是基于传统的巴氏涂片载体的收集，制备和观察的器械，例如薄或单层载玻片。</w:t>
      </w:r>
    </w:p>
    <w:p w14:paraId="680DBFA4">
      <w:pPr>
        <w:rPr>
          <w:rFonts w:ascii="Arial" w:hAnsi="Arial" w:eastAsia="宋体" w:cs="Arial"/>
          <w:sz w:val="21"/>
          <w:szCs w:val="21"/>
        </w:rPr>
      </w:pPr>
      <w:r>
        <w:rPr>
          <w:rFonts w:ascii="Arial" w:hAnsi="Arial" w:eastAsia="宋体" w:cs="Arial"/>
          <w:sz w:val="21"/>
          <w:szCs w:val="21"/>
        </w:rPr>
        <w:br w:type="page"/>
      </w:r>
    </w:p>
    <w:p w14:paraId="3A7FC489">
      <w:pPr>
        <w:widowControl w:val="0"/>
        <w:snapToGrid w:val="0"/>
        <w:spacing w:before="50" w:after="240" w:afterLines="100" w:line="312" w:lineRule="auto"/>
        <w:ind w:left="1147" w:leftChars="472" w:hanging="14" w:hangingChars="7"/>
        <w:jc w:val="both"/>
        <w:rPr>
          <w:rFonts w:ascii="Arial" w:hAnsi="Arial" w:eastAsia="宋体" w:cs="Arial"/>
          <w:sz w:val="21"/>
          <w:szCs w:val="21"/>
        </w:rPr>
      </w:pPr>
      <w:r>
        <w:rPr>
          <w:rFonts w:ascii="Arial" w:hAnsi="Arial" w:eastAsia="宋体" w:cs="Arial"/>
          <w:sz w:val="21"/>
          <w:szCs w:val="21"/>
        </w:rPr>
        <w:t>如果要通过一种方法但不允许使用常规的巴氏检查（传统的巴氏涂片由细胞技术人员参照病理学家读取）筛检患者，需要机构审查委员会（IRB）批准并通知同意。</w:t>
      </w:r>
    </w:p>
    <w:p w14:paraId="42A6151B">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样本收集可以在以下两个之一中处理：</w:t>
      </w:r>
    </w:p>
    <w:p w14:paraId="112FE873">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如果要制作巴氏涂片，请在尽心非巴氏图片的任何步骤钱，收集宫颈样品并准备一个以正常方式进行的巴氏涂片。</w:t>
      </w:r>
    </w:p>
    <w:p w14:paraId="143D0AE9">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 xml:space="preserve">新技术取样，例如薄层或单层悬浮物可以由来自spatul，刷子的残余物制备。 </w:t>
      </w:r>
    </w:p>
    <w:p w14:paraId="2BFC0F09">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如果没有传统的子宫颈抹片检查是在抽样之前薄层或单层准备，那么随机的研究对象为两个：一组将传统巴氏涂片和另一组将非传统的方法采样，例如：薄层或单层涂片。</w:t>
      </w:r>
    </w:p>
    <w:p w14:paraId="0B952378">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适当的统计设计需要确保等于或接近两组样本的每一个数据。这种方法可能需要一个临床实验的器械免税（DE）和患者签署的知情同意书以及IRB批准，如果研究是PMA的话。</w:t>
      </w:r>
    </w:p>
    <w:p w14:paraId="6EAFAB48">
      <w:pPr>
        <w:widowControl w:val="0"/>
        <w:snapToGrid w:val="0"/>
        <w:spacing w:before="50" w:after="240" w:afterLines="100" w:line="312" w:lineRule="auto"/>
        <w:ind w:left="1133" w:leftChars="472"/>
        <w:jc w:val="both"/>
        <w:rPr>
          <w:rFonts w:ascii="Arial" w:hAnsi="Arial" w:eastAsia="宋体" w:cs="Arial"/>
          <w:sz w:val="21"/>
          <w:szCs w:val="21"/>
        </w:rPr>
      </w:pPr>
      <w:r>
        <w:rPr>
          <w:rFonts w:ascii="Arial" w:hAnsi="Arial" w:eastAsia="宋体" w:cs="Arial"/>
          <w:sz w:val="21"/>
          <w:szCs w:val="21"/>
        </w:rPr>
        <w:t>这些研究的终点是TBS诊断发现的两个研究小组比例的比较。看到额外的取样注意附加附录。</w:t>
      </w:r>
    </w:p>
    <w:p w14:paraId="43B10DB5">
      <w:pPr>
        <w:pStyle w:val="13"/>
        <w:widowControl w:val="0"/>
        <w:numPr>
          <w:ilvl w:val="0"/>
          <w:numId w:val="5"/>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采样处理</w:t>
      </w:r>
    </w:p>
    <w:p w14:paraId="26B49533">
      <w:pPr>
        <w:widowControl w:val="0"/>
        <w:snapToGrid w:val="0"/>
        <w:spacing w:before="50" w:after="240" w:afterLines="100" w:line="312" w:lineRule="auto"/>
        <w:ind w:left="362" w:leftChars="151"/>
        <w:jc w:val="both"/>
        <w:rPr>
          <w:rFonts w:ascii="Arial" w:hAnsi="Arial" w:eastAsia="宋体" w:cs="Arial"/>
          <w:sz w:val="21"/>
          <w:szCs w:val="21"/>
        </w:rPr>
      </w:pPr>
      <w:r>
        <w:rPr>
          <w:rFonts w:ascii="Arial" w:hAnsi="Arial" w:eastAsia="宋体" w:cs="Arial"/>
          <w:sz w:val="21"/>
          <w:szCs w:val="21"/>
        </w:rPr>
        <w:t>必须考虑处理宫颈样本的方法。提交涂片的信息和数据将不同于悬浮或宫颈样本的不同分离。 微分分离宫颈粘液细胞，红细胞，白细胞，和非细胞物质需要证明诊断和上下文相关的细胞并没有在样品的处理中丢失。分离、过滤或离心分离的方法必须解决以及固定的类型。 </w:t>
      </w:r>
    </w:p>
    <w:p w14:paraId="7B1261B2">
      <w:pPr>
        <w:rPr>
          <w:rFonts w:ascii="Arial" w:hAnsi="Arial" w:eastAsia="宋体" w:cs="Arial"/>
          <w:sz w:val="21"/>
          <w:szCs w:val="21"/>
        </w:rPr>
      </w:pPr>
      <w:r>
        <w:rPr>
          <w:rFonts w:ascii="Arial" w:hAnsi="Arial" w:eastAsia="宋体" w:cs="Arial"/>
          <w:sz w:val="21"/>
          <w:szCs w:val="21"/>
        </w:rPr>
        <w:br w:type="page"/>
      </w:r>
    </w:p>
    <w:p w14:paraId="2A755BD9">
      <w:pPr>
        <w:pStyle w:val="13"/>
        <w:widowControl w:val="0"/>
        <w:numPr>
          <w:ilvl w:val="0"/>
          <w:numId w:val="5"/>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涂片准备</w:t>
      </w:r>
    </w:p>
    <w:p w14:paraId="002586A9">
      <w:pPr>
        <w:widowControl w:val="0"/>
        <w:snapToGrid w:val="0"/>
        <w:spacing w:before="50" w:after="240" w:afterLines="100" w:line="312" w:lineRule="auto"/>
        <w:ind w:left="362" w:leftChars="151"/>
        <w:jc w:val="both"/>
        <w:rPr>
          <w:rFonts w:ascii="Arial" w:hAnsi="Arial" w:eastAsia="宋体" w:cs="Arial"/>
          <w:sz w:val="21"/>
          <w:szCs w:val="21"/>
        </w:rPr>
      </w:pPr>
      <w:r>
        <w:rPr>
          <w:rFonts w:ascii="Arial" w:hAnsi="Arial" w:eastAsia="宋体" w:cs="Arial"/>
          <w:sz w:val="21"/>
          <w:szCs w:val="21"/>
        </w:rPr>
        <w:t>问题涉及转让宫颈标本的涂片，根据使用的方法会有所不同。细胞的转移从一个悬挂的过滤、离心、沉淀是不同于直接涂片的。</w:t>
      </w:r>
    </w:p>
    <w:p w14:paraId="2618CFEB">
      <w:pPr>
        <w:pStyle w:val="13"/>
        <w:widowControl w:val="0"/>
        <w:numPr>
          <w:ilvl w:val="0"/>
          <w:numId w:val="5"/>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细胞发现定位器械</w:t>
      </w:r>
    </w:p>
    <w:p w14:paraId="238B9A5C">
      <w:pPr>
        <w:widowControl w:val="0"/>
        <w:snapToGrid w:val="0"/>
        <w:spacing w:before="50" w:after="240" w:afterLines="100" w:line="312" w:lineRule="auto"/>
        <w:ind w:left="362" w:leftChars="151"/>
        <w:jc w:val="both"/>
        <w:rPr>
          <w:rFonts w:ascii="Arial" w:hAnsi="Arial" w:eastAsia="宋体" w:cs="Arial"/>
          <w:sz w:val="21"/>
          <w:szCs w:val="21"/>
        </w:rPr>
      </w:pPr>
      <w:r>
        <w:rPr>
          <w:rFonts w:ascii="Arial" w:hAnsi="Arial" w:eastAsia="宋体" w:cs="Arial"/>
          <w:sz w:val="21"/>
          <w:szCs w:val="21"/>
        </w:rPr>
        <w:t>要解决的这种类型的器械的问题包括操作理论，图像处理对于细胞选择的灵敏度和特异性。该器械是否提供可疑细胞的标记？什么是操作员交互？提供什么类型的长期记录？应提供设计为细胞定位器械一部分的软件的记录。</w:t>
      </w:r>
    </w:p>
    <w:p w14:paraId="51B79098">
      <w:pPr>
        <w:pStyle w:val="13"/>
        <w:widowControl w:val="0"/>
        <w:numPr>
          <w:ilvl w:val="0"/>
          <w:numId w:val="5"/>
        </w:numPr>
        <w:snapToGrid w:val="0"/>
        <w:spacing w:before="50" w:after="240" w:afterLines="100" w:line="312" w:lineRule="auto"/>
        <w:ind w:firstLineChars="0"/>
        <w:jc w:val="both"/>
        <w:rPr>
          <w:rFonts w:ascii="Arial" w:hAnsi="Arial" w:eastAsia="宋体" w:cs="Arial"/>
          <w:sz w:val="21"/>
          <w:szCs w:val="21"/>
        </w:rPr>
      </w:pPr>
      <w:r>
        <w:rPr>
          <w:rFonts w:ascii="Arial" w:hAnsi="Arial" w:eastAsia="宋体" w:cs="Arial"/>
          <w:sz w:val="21"/>
          <w:szCs w:val="21"/>
        </w:rPr>
        <w:t>图像解译</w:t>
      </w:r>
    </w:p>
    <w:p w14:paraId="1C0D56AE">
      <w:pPr>
        <w:widowControl w:val="0"/>
        <w:snapToGrid w:val="0"/>
        <w:spacing w:before="50" w:after="240" w:afterLines="100" w:line="312" w:lineRule="auto"/>
        <w:ind w:left="362" w:leftChars="151"/>
        <w:jc w:val="both"/>
        <w:rPr>
          <w:rFonts w:ascii="Arial" w:hAnsi="Arial" w:eastAsia="宋体" w:cs="Arial"/>
          <w:sz w:val="21"/>
          <w:szCs w:val="21"/>
        </w:rPr>
      </w:pPr>
      <w:r>
        <w:rPr>
          <w:rFonts w:ascii="Arial" w:hAnsi="Arial" w:eastAsia="宋体" w:cs="Arial"/>
          <w:sz w:val="21"/>
          <w:szCs w:val="21"/>
        </w:rPr>
        <w:t>对于提供图像解释的器械，要解决的问题包括操作理论，与传统显微镜的比较，操作员/仪器交互，长期记录保存，以及符合标准的危害分析和软件文档。</w:t>
      </w:r>
    </w:p>
    <w:p w14:paraId="2B7880A2">
      <w:pPr>
        <w:widowControl w:val="0"/>
        <w:snapToGrid w:val="0"/>
        <w:spacing w:before="50" w:after="240" w:afterLines="100" w:line="312" w:lineRule="auto"/>
        <w:ind w:firstLine="2"/>
        <w:jc w:val="both"/>
        <w:rPr>
          <w:rFonts w:ascii="Arial" w:hAnsi="Arial" w:eastAsia="宋体" w:cs="Arial"/>
          <w:b/>
          <w:sz w:val="21"/>
          <w:szCs w:val="21"/>
        </w:rPr>
      </w:pPr>
      <w:r>
        <w:rPr>
          <w:rFonts w:ascii="Arial" w:hAnsi="Arial" w:eastAsia="宋体" w:cs="Arial"/>
          <w:b/>
          <w:sz w:val="21"/>
          <w:szCs w:val="21"/>
        </w:rPr>
        <w:t>III.</w:t>
      </w:r>
      <w:r>
        <w:rPr>
          <w:rFonts w:ascii="Arial" w:hAnsi="Arial" w:eastAsia="宋体" w:cs="Arial"/>
          <w:b/>
          <w:sz w:val="21"/>
          <w:szCs w:val="21"/>
        </w:rPr>
        <w:tab/>
      </w:r>
      <w:r>
        <w:rPr>
          <w:rFonts w:ascii="Arial" w:hAnsi="Arial" w:eastAsia="宋体" w:cs="Arial"/>
          <w:b/>
          <w:sz w:val="21"/>
          <w:szCs w:val="21"/>
        </w:rPr>
        <w:t>数据</w:t>
      </w:r>
    </w:p>
    <w:p w14:paraId="7059E4BB">
      <w:pPr>
        <w:pStyle w:val="13"/>
        <w:widowControl w:val="0"/>
        <w:numPr>
          <w:ilvl w:val="0"/>
          <w:numId w:val="6"/>
        </w:numPr>
        <w:snapToGrid w:val="0"/>
        <w:spacing w:before="50" w:after="240" w:afterLines="100" w:line="312" w:lineRule="auto"/>
        <w:ind w:left="700" w:hanging="28" w:firstLineChars="0"/>
        <w:jc w:val="both"/>
        <w:rPr>
          <w:rFonts w:ascii="Arial" w:hAnsi="Arial" w:eastAsia="宋体" w:cs="Arial"/>
          <w:sz w:val="21"/>
          <w:szCs w:val="21"/>
        </w:rPr>
      </w:pPr>
      <w:r>
        <w:rPr>
          <w:rFonts w:ascii="Arial" w:hAnsi="Arial" w:eastAsia="宋体" w:cs="Arial"/>
          <w:sz w:val="21"/>
          <w:szCs w:val="21"/>
        </w:rPr>
        <w:t>保持记录</w:t>
      </w:r>
    </w:p>
    <w:p w14:paraId="63140328">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通过TBS诊断来分析数据和结果，以通过筛选细胞学技术专家和病理     学家来声明预期的用途。应使用以下术语：高度鳞状上皮内病变（HGSIL），低度鳞状上皮内病变（LCiSIL），未确定意义的非典型鳞状细胞（ASCUS），未确定意义的非典型腺细胞（AGCUS）等。</w:t>
      </w:r>
    </w:p>
    <w:p w14:paraId="1896C756">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ASCUS应该是仅限于TBS类别。还应注意与炎症和感染的存在以及反应性变化和样本充分性有关的描述性诊断。</w:t>
      </w:r>
    </w:p>
    <w:p w14:paraId="51B72841">
      <w:pPr>
        <w:widowControl w:val="0"/>
        <w:snapToGrid w:val="0"/>
        <w:spacing w:before="50" w:after="240" w:afterLines="100" w:line="312" w:lineRule="auto"/>
        <w:ind w:left="700" w:hanging="28"/>
        <w:jc w:val="both"/>
        <w:rPr>
          <w:rFonts w:ascii="Arial" w:hAnsi="Arial" w:eastAsia="宋体" w:cs="Arial"/>
          <w:sz w:val="21"/>
          <w:szCs w:val="21"/>
        </w:rPr>
      </w:pPr>
      <w:r>
        <w:rPr>
          <w:rFonts w:ascii="Arial" w:hAnsi="Arial" w:eastAsia="宋体" w:cs="Arial"/>
          <w:sz w:val="21"/>
          <w:szCs w:val="21"/>
        </w:rPr>
        <w:t>B.</w:t>
      </w:r>
      <w:r>
        <w:rPr>
          <w:rFonts w:ascii="Arial" w:hAnsi="Arial" w:eastAsia="宋体" w:cs="Arial"/>
          <w:sz w:val="21"/>
          <w:szCs w:val="21"/>
        </w:rPr>
        <w:tab/>
      </w:r>
      <w:r>
        <w:rPr>
          <w:rFonts w:ascii="Arial" w:hAnsi="Arial" w:eastAsia="宋体" w:cs="Arial"/>
          <w:sz w:val="21"/>
          <w:szCs w:val="21"/>
        </w:rPr>
        <w:t>数据的完整性</w:t>
      </w:r>
    </w:p>
    <w:p w14:paraId="307369E5">
      <w:pPr>
        <w:rPr>
          <w:rFonts w:ascii="Arial" w:hAnsi="Arial" w:eastAsia="宋体" w:cs="Arial"/>
          <w:sz w:val="21"/>
          <w:szCs w:val="21"/>
        </w:rPr>
      </w:pPr>
      <w:r>
        <w:rPr>
          <w:rFonts w:ascii="Arial" w:hAnsi="Arial" w:eastAsia="宋体" w:cs="Arial"/>
          <w:sz w:val="21"/>
          <w:szCs w:val="21"/>
        </w:rPr>
        <w:br w:type="page"/>
      </w:r>
    </w:p>
    <w:p w14:paraId="046FB55E">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1.</w:t>
      </w:r>
      <w:r>
        <w:rPr>
          <w:rFonts w:ascii="Arial" w:hAnsi="Arial" w:eastAsia="宋体" w:cs="Arial"/>
          <w:sz w:val="21"/>
          <w:szCs w:val="21"/>
        </w:rPr>
        <w:tab/>
      </w:r>
      <w:r>
        <w:rPr>
          <w:rFonts w:ascii="Arial" w:hAnsi="Arial" w:eastAsia="宋体" w:cs="Arial"/>
          <w:sz w:val="21"/>
          <w:szCs w:val="21"/>
        </w:rPr>
        <w:t>复印所有原始工作表，并将其提供给有计划或未通知的FDA检查。在不保留研究的原始形式下，所有转接的数据应该展示记录的起始以及转录的日期。如果原始工作表可能不在以后提供，重要的是提供一个验证的转录数据应个人验证转录和个人验证时间。书面文件修改或修改原始工作表。更正或修改应符合标准，好的实验室实践通过改变的符号绘制了一条单行。校正写在上面，记录日期，个人改变的起始。确保计算机化工作表（数据库）上的数据的完整性，以便永久记录所有数据和所有修正的输入日期。屏蔽读取，解释和数据记录。屏蔽所有数据分析和解释。</w:t>
      </w:r>
    </w:p>
    <w:p w14:paraId="4EA2E92F">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2.</w:t>
      </w:r>
      <w:r>
        <w:rPr>
          <w:rFonts w:ascii="Arial" w:hAnsi="Arial" w:eastAsia="宋体" w:cs="Arial"/>
          <w:sz w:val="21"/>
          <w:szCs w:val="21"/>
        </w:rPr>
        <w:tab/>
      </w:r>
      <w:r>
        <w:rPr>
          <w:rFonts w:ascii="Arial" w:hAnsi="Arial" w:eastAsia="宋体" w:cs="Arial"/>
          <w:sz w:val="21"/>
          <w:szCs w:val="21"/>
        </w:rPr>
        <w:t>在预期的使用场所，常规手动制备的巴氏涂片和由新器械准备或读取的涂片，例如，计算机辅助的读取器械或细胞定位器可以筛选TBS类别之间的诊断。很可能这些涂片将被视为更高的诊断，而不是较低的TBS诊断包括临时诊断。涂片将由细胞学技术人员转交给一位训练较高的观察者。</w:t>
      </w:r>
    </w:p>
    <w:p w14:paraId="16F97BA9">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如果病理学家的诊断在两个TBS诊断类别之间明显下降，则可以预期病理学家会将该涂片转到另一位病理学家，或者在向临床医生报告中明确诊断情况，以便进行适当的修改。</w:t>
      </w:r>
    </w:p>
    <w:p w14:paraId="3C2D2D01">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记录工作表中不确定TBS诊断的所有诊断，例如对冲诊断、如暂定、临时、推定、排除、R/O或问号?作为下一个更高级诊断。在研究开始之前，在方案中建立所有可能的诊断变体的书面算法。</w:t>
      </w:r>
    </w:p>
    <w:p w14:paraId="5F8FF3EB">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确保数据录入人员了解TBS诊断标准。 任何模棱两可的对冲诊断都应该被提到下一个级别细胞学方案中的审查者，即不明确否定所有载玻片。</w:t>
      </w:r>
    </w:p>
    <w:p w14:paraId="44C7DD0C">
      <w:pPr>
        <w:rPr>
          <w:rFonts w:ascii="Arial" w:hAnsi="Arial" w:eastAsia="宋体" w:cs="Arial"/>
          <w:sz w:val="21"/>
          <w:szCs w:val="21"/>
        </w:rPr>
      </w:pPr>
      <w:r>
        <w:rPr>
          <w:rFonts w:ascii="Arial" w:hAnsi="Arial" w:eastAsia="宋体" w:cs="Arial"/>
          <w:sz w:val="21"/>
          <w:szCs w:val="21"/>
        </w:rPr>
        <w:br w:type="page"/>
      </w:r>
    </w:p>
    <w:p w14:paraId="279A0306">
      <w:pPr>
        <w:pStyle w:val="13"/>
        <w:widowControl w:val="0"/>
        <w:numPr>
          <w:ilvl w:val="0"/>
          <w:numId w:val="3"/>
        </w:numPr>
        <w:snapToGrid w:val="0"/>
        <w:spacing w:before="50" w:after="240" w:afterLines="100" w:line="312" w:lineRule="auto"/>
        <w:ind w:firstLine="1094" w:firstLineChars="0"/>
        <w:jc w:val="both"/>
        <w:rPr>
          <w:rFonts w:ascii="Arial" w:hAnsi="Arial" w:eastAsia="宋体" w:cs="Arial"/>
          <w:sz w:val="21"/>
          <w:szCs w:val="21"/>
        </w:rPr>
      </w:pPr>
      <w:r>
        <w:rPr>
          <w:rFonts w:ascii="Arial" w:hAnsi="Arial" w:eastAsia="宋体" w:cs="Arial"/>
          <w:sz w:val="21"/>
          <w:szCs w:val="21"/>
        </w:rPr>
        <w:t>如果器械是计算机辅助的，请通过手动显微镜以检查并重新检查被识别为异常的细胞。</w:t>
      </w:r>
    </w:p>
    <w:p w14:paraId="49E36B50">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如果不可能通过手动显微镜检查异常细胞，那么证明新方法的安全性和有效性。</w:t>
      </w:r>
    </w:p>
    <w:p w14:paraId="49F4C486">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4.</w:t>
      </w:r>
      <w:r>
        <w:rPr>
          <w:rFonts w:ascii="Arial" w:hAnsi="Arial" w:eastAsia="宋体" w:cs="Arial"/>
          <w:sz w:val="21"/>
          <w:szCs w:val="21"/>
        </w:rPr>
        <w:tab/>
      </w:r>
      <w:r>
        <w:rPr>
          <w:rFonts w:ascii="Arial" w:hAnsi="Arial" w:eastAsia="宋体" w:cs="Arial"/>
          <w:sz w:val="21"/>
          <w:szCs w:val="21"/>
        </w:rPr>
        <w:t>如果器械在计算机上显示异常细胞，请记录如何存储这些图像以  供其他观察者重新分析。</w:t>
      </w:r>
    </w:p>
    <w:p w14:paraId="3969F152">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5.</w:t>
      </w:r>
      <w:r>
        <w:rPr>
          <w:rFonts w:ascii="Arial" w:hAnsi="Arial" w:eastAsia="宋体" w:cs="Arial"/>
          <w:sz w:val="21"/>
          <w:szCs w:val="21"/>
        </w:rPr>
        <w:tab/>
      </w:r>
      <w:r>
        <w:rPr>
          <w:rFonts w:ascii="Arial" w:hAnsi="Arial" w:eastAsia="宋体" w:cs="Arial"/>
          <w:sz w:val="21"/>
          <w:szCs w:val="21"/>
        </w:rPr>
        <w:t>提供研究方案中的说明，以确保遵守制造商细胞技术专家和病理学家提出的方案。</w:t>
      </w:r>
    </w:p>
    <w:p w14:paraId="2E40453D">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6.</w:t>
      </w:r>
      <w:r>
        <w:rPr>
          <w:rFonts w:ascii="Arial" w:hAnsi="Arial" w:eastAsia="宋体" w:cs="Arial"/>
          <w:sz w:val="21"/>
          <w:szCs w:val="21"/>
        </w:rPr>
        <w:tab/>
      </w:r>
      <w:r>
        <w:rPr>
          <w:rFonts w:ascii="Arial" w:hAnsi="Arial" w:eastAsia="宋体" w:cs="Arial"/>
          <w:sz w:val="21"/>
          <w:szCs w:val="21"/>
        </w:rPr>
        <w:t>器械允许很少或没有机会进行人为干预，特别是软件控制的“黑盒式”器械，可能需要软件验证研究来记录器械对于全范围预期标本的预期目标可以被期望来保持合理的性能。</w:t>
      </w:r>
    </w:p>
    <w:p w14:paraId="3BAD6EC2">
      <w:pPr>
        <w:widowControl w:val="0"/>
        <w:snapToGrid w:val="0"/>
        <w:spacing w:before="50" w:after="240" w:afterLines="100" w:line="312" w:lineRule="auto"/>
        <w:ind w:firstLine="2"/>
        <w:jc w:val="both"/>
        <w:rPr>
          <w:rFonts w:ascii="Arial" w:hAnsi="Arial" w:eastAsia="宋体" w:cs="Arial"/>
          <w:b/>
          <w:sz w:val="21"/>
          <w:szCs w:val="21"/>
          <w:u w:val="single"/>
        </w:rPr>
      </w:pPr>
      <w:r>
        <w:rPr>
          <w:rFonts w:ascii="Arial" w:hAnsi="Arial" w:eastAsia="宋体" w:cs="Arial"/>
          <w:b/>
          <w:sz w:val="21"/>
          <w:szCs w:val="21"/>
          <w:u w:val="single"/>
        </w:rPr>
        <w:t>IV．培训要求</w:t>
      </w:r>
    </w:p>
    <w:p w14:paraId="0268818D">
      <w:pPr>
        <w:widowControl w:val="0"/>
        <w:snapToGrid w:val="0"/>
        <w:spacing w:before="50" w:after="240" w:afterLines="100" w:line="312" w:lineRule="auto"/>
        <w:ind w:left="405" w:leftChars="163" w:hanging="14" w:hangingChars="7"/>
        <w:jc w:val="both"/>
        <w:rPr>
          <w:rFonts w:ascii="Arial" w:hAnsi="Arial" w:eastAsia="宋体" w:cs="Arial"/>
          <w:sz w:val="21"/>
          <w:szCs w:val="21"/>
        </w:rPr>
      </w:pPr>
      <w:r>
        <w:rPr>
          <w:rFonts w:ascii="Arial" w:hAnsi="Arial" w:eastAsia="宋体" w:cs="Arial"/>
          <w:sz w:val="21"/>
          <w:szCs w:val="21"/>
        </w:rPr>
        <w:t>说明与传统的巴氏测试（手动制作的涂片、手动处理、读取和解释、无需计算机辅助）不同的任何步骤和解释的培训要求的发现和数量。</w:t>
      </w:r>
    </w:p>
    <w:p w14:paraId="7BCA8DE4">
      <w:pPr>
        <w:widowControl w:val="0"/>
        <w:snapToGrid w:val="0"/>
        <w:spacing w:before="50" w:after="240" w:afterLines="100" w:line="312" w:lineRule="auto"/>
        <w:ind w:left="405" w:leftChars="163" w:hanging="14" w:hangingChars="7"/>
        <w:jc w:val="both"/>
        <w:rPr>
          <w:rFonts w:ascii="Arial" w:hAnsi="Arial" w:eastAsia="宋体" w:cs="Arial"/>
          <w:sz w:val="21"/>
          <w:szCs w:val="21"/>
        </w:rPr>
      </w:pPr>
      <w:r>
        <w:rPr>
          <w:rFonts w:ascii="Arial" w:hAnsi="Arial" w:eastAsia="宋体" w:cs="Arial"/>
          <w:sz w:val="21"/>
          <w:szCs w:val="21"/>
        </w:rPr>
        <w:t>建议实验室和实验室将传统的巴氏测试方法转换为新器械的相应程序。</w:t>
      </w:r>
    </w:p>
    <w:p w14:paraId="49765434">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一些需要考虑的培训问题是：</w:t>
      </w:r>
    </w:p>
    <w:p w14:paraId="69CC2187">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新器械会影响完成的贴片的外观吗？</w:t>
      </w:r>
    </w:p>
    <w:p w14:paraId="4BDF00C2">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贴片是常规的巴氏涂片还是薄层或单层涂片？</w:t>
      </w:r>
    </w:p>
    <w:p w14:paraId="671DD446">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新的涂片方法是否包含常规涂片的所有组成?</w:t>
      </w:r>
    </w:p>
    <w:p w14:paraId="0088B2D7">
      <w:pPr>
        <w:widowControl w:val="0"/>
        <w:snapToGrid w:val="0"/>
        <w:spacing w:before="50" w:after="240" w:afterLines="100" w:line="312" w:lineRule="auto"/>
        <w:ind w:left="1440" w:firstLine="462" w:firstLineChars="220"/>
        <w:jc w:val="both"/>
        <w:rPr>
          <w:rFonts w:ascii="Arial" w:hAnsi="Arial" w:eastAsia="宋体" w:cs="Arial"/>
          <w:sz w:val="21"/>
          <w:szCs w:val="21"/>
        </w:rPr>
      </w:pPr>
      <w:r>
        <w:rPr>
          <w:rFonts w:ascii="Arial" w:hAnsi="Arial" w:eastAsia="宋体" w:cs="Arial"/>
          <w:sz w:val="21"/>
          <w:szCs w:val="21"/>
        </w:rPr>
        <w:t>如果没有，那么（那些）组件的损失可能会被误诊？</w:t>
      </w:r>
    </w:p>
    <w:p w14:paraId="75C7F5DB">
      <w:pPr>
        <w:rPr>
          <w:rFonts w:ascii="Arial" w:hAnsi="Arial" w:eastAsia="宋体" w:cs="Arial"/>
          <w:sz w:val="21"/>
          <w:szCs w:val="21"/>
        </w:rPr>
      </w:pPr>
      <w:r>
        <w:rPr>
          <w:rFonts w:ascii="Arial" w:hAnsi="Arial" w:eastAsia="宋体" w:cs="Arial"/>
          <w:sz w:val="21"/>
          <w:szCs w:val="21"/>
        </w:rPr>
        <w:br w:type="page"/>
      </w:r>
    </w:p>
    <w:p w14:paraId="7DC612FA">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这些关于样品收集，样品准备，贴片准备和结果的最终解释是怎样的?</w:t>
      </w:r>
    </w:p>
    <w:p w14:paraId="488DE7A4">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这些问题在样品处理，贴片准备，异常细胞鉴定和准备细胞的解释过程中会怎样影响细胞学家？</w:t>
      </w:r>
    </w:p>
    <w:p w14:paraId="5413B38E">
      <w:pPr>
        <w:widowControl w:val="0"/>
        <w:snapToGrid w:val="0"/>
        <w:spacing w:before="50" w:after="240" w:afterLines="100" w:line="312" w:lineRule="auto"/>
        <w:ind w:left="1440"/>
        <w:jc w:val="both"/>
        <w:rPr>
          <w:rFonts w:ascii="Arial" w:hAnsi="Arial" w:eastAsia="宋体" w:cs="Arial"/>
          <w:sz w:val="21"/>
          <w:szCs w:val="21"/>
        </w:rPr>
      </w:pPr>
      <w:r>
        <w:rPr>
          <w:rFonts w:ascii="Arial" w:hAnsi="Arial" w:eastAsia="宋体" w:cs="Arial"/>
          <w:sz w:val="21"/>
          <w:szCs w:val="21"/>
        </w:rPr>
        <w:t>考虑这些问题如何影响病理学家鉴定异常细胞和异常细胞的解释？</w:t>
      </w:r>
    </w:p>
    <w:p w14:paraId="4CE840F4">
      <w:pPr>
        <w:widowControl w:val="0"/>
        <w:snapToGrid w:val="0"/>
        <w:spacing w:before="50" w:line="312" w:lineRule="auto"/>
        <w:ind w:firstLine="2"/>
        <w:jc w:val="both"/>
        <w:rPr>
          <w:rFonts w:ascii="Arial" w:hAnsi="Arial" w:eastAsia="宋体" w:cs="Arial"/>
          <w:b/>
          <w:sz w:val="21"/>
          <w:szCs w:val="21"/>
        </w:rPr>
      </w:pPr>
      <w:r>
        <w:rPr>
          <w:rFonts w:ascii="Arial" w:hAnsi="Arial" w:eastAsia="宋体" w:cs="Arial"/>
          <w:b/>
          <w:sz w:val="21"/>
          <w:szCs w:val="21"/>
        </w:rPr>
        <w:t>V.</w:t>
      </w:r>
      <w:r>
        <w:rPr>
          <w:rFonts w:ascii="Arial" w:hAnsi="Arial" w:eastAsia="宋体" w:cs="Arial"/>
          <w:b/>
          <w:sz w:val="21"/>
          <w:szCs w:val="21"/>
        </w:rPr>
        <w:tab/>
      </w:r>
      <w:r>
        <w:rPr>
          <w:rFonts w:ascii="Arial" w:hAnsi="Arial" w:eastAsia="宋体" w:cs="Arial"/>
          <w:b/>
          <w:sz w:val="21"/>
          <w:szCs w:val="21"/>
        </w:rPr>
        <w:t>工作量限制</w:t>
      </w:r>
    </w:p>
    <w:p w14:paraId="2A8FDCB5">
      <w:pPr>
        <w:widowControl w:val="0"/>
        <w:tabs>
          <w:tab w:val="left" w:pos="686"/>
        </w:tabs>
        <w:snapToGrid w:val="0"/>
        <w:spacing w:before="50" w:line="312" w:lineRule="auto"/>
        <w:ind w:left="684" w:leftChars="285"/>
        <w:jc w:val="both"/>
        <w:rPr>
          <w:rFonts w:ascii="Arial" w:hAnsi="Arial" w:eastAsia="宋体" w:cs="Arial"/>
          <w:sz w:val="21"/>
          <w:szCs w:val="21"/>
        </w:rPr>
      </w:pPr>
      <w:r>
        <w:rPr>
          <w:rFonts w:ascii="Arial" w:hAnsi="Arial" w:eastAsia="宋体" w:cs="Arial"/>
          <w:sz w:val="21"/>
          <w:szCs w:val="21"/>
        </w:rPr>
        <w:t>提交食品药品监督管理局（FDA）批准或清除的所有妇科细胞学器械必须对其工作量限制进行评估。这适用于用于制造薄层载玻片的细胞悬浮液的器械，计算机辅助细胞定位器械，半自动化和自动计算机辅助图像分析仪以及用于制备，读取和解释妇科细胞学标本的任何其它器械。必须提供数据来评估和评估疲劳因子，以确定适当的工作量限制。</w:t>
      </w:r>
    </w:p>
    <w:p w14:paraId="29511F94">
      <w:pPr>
        <w:widowControl w:val="0"/>
        <w:snapToGrid w:val="0"/>
        <w:spacing w:before="50" w:line="312" w:lineRule="auto"/>
        <w:ind w:firstLine="2"/>
        <w:jc w:val="both"/>
        <w:rPr>
          <w:rFonts w:ascii="Arial" w:hAnsi="Arial" w:eastAsia="宋体" w:cs="Arial"/>
          <w:b/>
          <w:sz w:val="21"/>
          <w:szCs w:val="21"/>
          <w:u w:val="single"/>
        </w:rPr>
      </w:pPr>
    </w:p>
    <w:p w14:paraId="03725138">
      <w:pPr>
        <w:widowControl w:val="0"/>
        <w:snapToGrid w:val="0"/>
        <w:spacing w:before="50" w:line="312" w:lineRule="auto"/>
        <w:ind w:firstLine="2"/>
        <w:jc w:val="both"/>
        <w:rPr>
          <w:rFonts w:ascii="Arial" w:hAnsi="Arial" w:eastAsia="宋体" w:cs="Arial"/>
          <w:b/>
          <w:sz w:val="21"/>
          <w:szCs w:val="21"/>
        </w:rPr>
      </w:pPr>
      <w:r>
        <w:rPr>
          <w:rFonts w:hint="eastAsia" w:ascii="宋体" w:hAnsi="宋体" w:eastAsia="宋体" w:cs="宋体"/>
          <w:b/>
          <w:sz w:val="21"/>
          <w:szCs w:val="21"/>
        </w:rPr>
        <w:t>Ⅵ</w:t>
      </w:r>
      <w:r>
        <w:rPr>
          <w:rFonts w:ascii="Arial" w:hAnsi="Arial" w:eastAsia="宋体" w:cs="Arial"/>
          <w:b/>
          <w:sz w:val="21"/>
          <w:szCs w:val="21"/>
        </w:rPr>
        <w:t>.</w:t>
      </w:r>
      <w:r>
        <w:rPr>
          <w:rFonts w:ascii="Arial" w:hAnsi="Arial" w:eastAsia="宋体" w:cs="Arial"/>
          <w:b/>
          <w:sz w:val="21"/>
          <w:szCs w:val="21"/>
        </w:rPr>
        <w:tab/>
      </w:r>
      <w:r>
        <w:rPr>
          <w:rFonts w:ascii="Arial" w:hAnsi="Arial" w:eastAsia="宋体" w:cs="Arial"/>
          <w:b/>
          <w:sz w:val="21"/>
          <w:szCs w:val="21"/>
        </w:rPr>
        <w:t>参考</w:t>
      </w:r>
      <w:r>
        <w:rPr>
          <w:rFonts w:hint="eastAsia" w:ascii="Arial" w:hAnsi="Arial" w:eastAsia="宋体" w:cs="Arial"/>
          <w:b/>
          <w:sz w:val="21"/>
          <w:szCs w:val="21"/>
        </w:rPr>
        <w:t>文件</w:t>
      </w:r>
    </w:p>
    <w:p w14:paraId="732DF519">
      <w:pPr>
        <w:widowControl w:val="0"/>
        <w:snapToGrid w:val="0"/>
        <w:spacing w:before="50" w:line="312" w:lineRule="auto"/>
        <w:ind w:firstLine="2"/>
        <w:jc w:val="both"/>
        <w:rPr>
          <w:rFonts w:ascii="Arial" w:hAnsi="Arial" w:eastAsia="宋体" w:cs="Arial"/>
          <w:sz w:val="21"/>
          <w:szCs w:val="21"/>
        </w:rPr>
      </w:pPr>
      <w:r>
        <w:rPr>
          <w:rFonts w:ascii="Arial" w:hAnsi="Arial" w:eastAsia="宋体" w:cs="Arial"/>
          <w:sz w:val="21"/>
          <w:szCs w:val="21"/>
        </w:rPr>
        <w:drawing>
          <wp:anchor distT="0" distB="0" distL="114300" distR="114300" simplePos="0" relativeHeight="251659264" behindDoc="0" locked="0" layoutInCell="1" allowOverlap="1">
            <wp:simplePos x="0" y="0"/>
            <wp:positionH relativeFrom="margin">
              <wp:posOffset>0</wp:posOffset>
            </wp:positionH>
            <wp:positionV relativeFrom="margin">
              <wp:posOffset>3228975</wp:posOffset>
            </wp:positionV>
            <wp:extent cx="5486400" cy="3152775"/>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5486400" cy="3152775"/>
                    </a:xfrm>
                    <a:prstGeom prst="rect">
                      <a:avLst/>
                    </a:prstGeom>
                    <a:noFill/>
                    <a:ln w="9525">
                      <a:noFill/>
                      <a:miter lim="800000"/>
                      <a:headEnd/>
                      <a:tailEnd/>
                    </a:ln>
                  </pic:spPr>
                </pic:pic>
              </a:graphicData>
            </a:graphic>
          </wp:anchor>
        </w:drawing>
      </w:r>
    </w:p>
    <w:p w14:paraId="257C677E">
      <w:pPr>
        <w:snapToGrid w:val="0"/>
        <w:spacing w:before="120" w:beforeLines="50" w:line="312" w:lineRule="auto"/>
        <w:ind w:firstLine="2"/>
        <w:jc w:val="both"/>
        <w:rPr>
          <w:rFonts w:hint="eastAsia" w:eastAsia="等线"/>
          <w:lang w:eastAsia="zh-CN"/>
        </w:rPr>
      </w:pPr>
    </w:p>
    <w:p w14:paraId="2C926265">
      <w:pPr>
        <w:snapToGrid w:val="0"/>
        <w:spacing w:before="120" w:beforeLines="50" w:line="312" w:lineRule="auto"/>
        <w:ind w:firstLine="2"/>
        <w:jc w:val="center"/>
        <w:rPr>
          <w:rFonts w:hint="eastAsia" w:eastAsia="等线"/>
          <w:lang w:eastAsia="zh-CN"/>
        </w:rPr>
      </w:pPr>
    </w:p>
    <w:p w14:paraId="105E628A">
      <w:pPr>
        <w:snapToGrid w:val="0"/>
        <w:spacing w:before="120" w:beforeLines="50" w:line="312" w:lineRule="auto"/>
        <w:ind w:firstLine="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2240" w:h="15840"/>
      <w:pgMar w:top="1134" w:right="1134" w:bottom="1134" w:left="1134" w:header="708" w:footer="708" w:gutter="0"/>
      <w:pgNumType w:start="1"/>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F77A">
    <w:pPr>
      <w:pStyle w:val="9"/>
      <w:jc w:val="center"/>
      <w:rPr>
        <w:rFonts w:ascii="Arial" w:hAnsi="Arial" w:cs="Arial"/>
      </w:rPr>
    </w:pPr>
  </w:p>
  <w:p w14:paraId="3170D37A">
    <w:pPr>
      <w:widowControl w:val="0"/>
      <w:spacing w:line="14" w:lineRule="auto"/>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792250146"/>
      <w:docPartObj>
        <w:docPartGallery w:val="AutoText"/>
      </w:docPartObj>
    </w:sdtPr>
    <w:sdtEndPr>
      <w:rPr>
        <w:rFonts w:ascii="Arial" w:hAnsi="Arial" w:cs="Arial"/>
      </w:rPr>
    </w:sdtEndPr>
    <w:sdtContent>
      <w:p w14:paraId="11D3E7E4">
        <w:pPr>
          <w:pStyle w:val="9"/>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17</w:t>
        </w:r>
        <w:r>
          <w:rPr>
            <w:rFonts w:ascii="Arial" w:hAnsi="Arial" w:cs="Arial"/>
          </w:rPr>
          <w:fldChar w:fldCharType="end"/>
        </w:r>
      </w:p>
    </w:sdtContent>
  </w:sdt>
  <w:p w14:paraId="7C3399EC">
    <w:pPr>
      <w:widowControl w:val="0"/>
      <w:spacing w:line="14" w:lineRule="auto"/>
      <w:rPr>
        <w:rFonts w:ascii="Arial" w:hAnsi="Arial" w:cs="Arial"/>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F209">
    <w:pPr>
      <w:pStyle w:val="10"/>
      <w:pBdr>
        <w:bottom w:val="none" w:color="auto" w:sz="0" w:space="0"/>
      </w:pBdr>
      <w:jc w:val="left"/>
      <w:rPr>
        <w:rFonts w:ascii="Arial" w:hAnsi="Arial" w:cs="Arial"/>
        <w:b/>
        <w:bCs/>
        <w:sz w:val="20"/>
        <w:szCs w:val="20"/>
      </w:rPr>
    </w:pPr>
    <w:r>
      <w:rPr>
        <w:rFonts w:hint="eastAsia" w:ascii="Arial" w:hAnsi="Arial" w:cs="Arial"/>
        <w:b/>
        <w:bCs/>
        <w:sz w:val="20"/>
        <w:szCs w:val="20"/>
      </w:rPr>
      <w:t>注意事项</w:t>
    </w:r>
    <w:r>
      <w:rPr>
        <w:rFonts w:ascii="Arial" w:hAnsi="Arial" w:cs="Arial"/>
        <w:b/>
        <w:bCs/>
        <w:sz w:val="20"/>
        <w:szCs w:val="20"/>
      </w:rPr>
      <w:t xml:space="preserve">: </w:t>
    </w:r>
    <w:r>
      <w:rPr>
        <w:rFonts w:hint="eastAsia" w:ascii="Arial" w:hAnsi="Arial" w:cs="Arial"/>
        <w:b/>
        <w:bCs/>
        <w:sz w:val="20"/>
        <w:szCs w:val="20"/>
      </w:rPr>
      <w:t>宫颈细胞学器械，版本</w:t>
    </w:r>
    <w:r>
      <w:rPr>
        <w:rFonts w:ascii="Arial" w:hAnsi="Arial" w:cs="Arial"/>
        <w:b/>
        <w:bCs/>
        <w:sz w:val="20"/>
        <w:szCs w:val="20"/>
      </w:rPr>
      <w:t>7/25/94</w:t>
    </w:r>
  </w:p>
  <w:p w14:paraId="2EA62F0B">
    <w:pPr>
      <w:pStyle w:val="10"/>
      <w:pBdr>
        <w:bottom w:val="none" w:color="auto" w:sz="0" w:space="0"/>
      </w:pBdr>
      <w:jc w:val="left"/>
      <w:rPr>
        <w:rFonts w:ascii="Arial" w:hAnsi="Arial" w:cs="Arial"/>
        <w:b/>
        <w:bCs/>
        <w:sz w:val="20"/>
        <w:szCs w:val="20"/>
      </w:rPr>
    </w:pPr>
  </w:p>
  <w:p w14:paraId="2ECE47C2">
    <w:pPr>
      <w:pStyle w:val="10"/>
      <w:pBdr>
        <w:bottom w:val="none" w:color="auto" w:sz="0" w:space="0"/>
      </w:pBdr>
      <w:jc w:val="lef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20D86"/>
    <w:multiLevelType w:val="multilevel"/>
    <w:tmpl w:val="03A20D86"/>
    <w:lvl w:ilvl="0" w:tentative="0">
      <w:start w:val="4"/>
      <w:numFmt w:val="decimal"/>
      <w:lvlText w:val="%1."/>
      <w:lvlJc w:val="left"/>
      <w:pPr>
        <w:ind w:left="36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117BF5"/>
    <w:multiLevelType w:val="multilevel"/>
    <w:tmpl w:val="06117BF5"/>
    <w:lvl w:ilvl="0" w:tentative="0">
      <w:start w:val="1"/>
      <w:numFmt w:val="upperLetter"/>
      <w:lvlText w:val="%1."/>
      <w:lvlJc w:val="left"/>
      <w:pPr>
        <w:ind w:left="362" w:hanging="36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
    <w:nsid w:val="1A502FD7"/>
    <w:multiLevelType w:val="multilevel"/>
    <w:tmpl w:val="1A502FD7"/>
    <w:lvl w:ilvl="0" w:tentative="0">
      <w:start w:val="1"/>
      <w:numFmt w:val="decimal"/>
      <w:lvlText w:val="%1."/>
      <w:lvlJc w:val="left"/>
      <w:pPr>
        <w:ind w:left="362" w:hanging="36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
    <w:nsid w:val="234433AB"/>
    <w:multiLevelType w:val="multilevel"/>
    <w:tmpl w:val="234433AB"/>
    <w:lvl w:ilvl="0" w:tentative="0">
      <w:start w:val="1"/>
      <w:numFmt w:val="lowerLetter"/>
      <w:lvlText w:val="%1."/>
      <w:lvlJc w:val="left"/>
      <w:pPr>
        <w:ind w:left="1118" w:hanging="420"/>
      </w:pPr>
      <w:rPr>
        <w:rFonts w:hint="eastAsia"/>
      </w:rPr>
    </w:lvl>
    <w:lvl w:ilvl="1" w:tentative="0">
      <w:start w:val="1"/>
      <w:numFmt w:val="lowerLetter"/>
      <w:lvlText w:val="%2)"/>
      <w:lvlJc w:val="left"/>
      <w:pPr>
        <w:ind w:left="1538" w:hanging="420"/>
      </w:pPr>
    </w:lvl>
    <w:lvl w:ilvl="2" w:tentative="0">
      <w:start w:val="1"/>
      <w:numFmt w:val="lowerRoman"/>
      <w:lvlText w:val="%3."/>
      <w:lvlJc w:val="right"/>
      <w:pPr>
        <w:ind w:left="1958" w:hanging="420"/>
      </w:pPr>
    </w:lvl>
    <w:lvl w:ilvl="3" w:tentative="0">
      <w:start w:val="1"/>
      <w:numFmt w:val="decimal"/>
      <w:lvlText w:val="%4."/>
      <w:lvlJc w:val="left"/>
      <w:pPr>
        <w:ind w:left="2378" w:hanging="420"/>
      </w:pPr>
    </w:lvl>
    <w:lvl w:ilvl="4" w:tentative="0">
      <w:start w:val="1"/>
      <w:numFmt w:val="lowerLetter"/>
      <w:lvlText w:val="%5)"/>
      <w:lvlJc w:val="left"/>
      <w:pPr>
        <w:ind w:left="2798" w:hanging="420"/>
      </w:pPr>
    </w:lvl>
    <w:lvl w:ilvl="5" w:tentative="0">
      <w:start w:val="1"/>
      <w:numFmt w:val="lowerRoman"/>
      <w:lvlText w:val="%6."/>
      <w:lvlJc w:val="right"/>
      <w:pPr>
        <w:ind w:left="3218" w:hanging="420"/>
      </w:pPr>
    </w:lvl>
    <w:lvl w:ilvl="6" w:tentative="0">
      <w:start w:val="1"/>
      <w:numFmt w:val="decimal"/>
      <w:lvlText w:val="%7."/>
      <w:lvlJc w:val="left"/>
      <w:pPr>
        <w:ind w:left="3638" w:hanging="420"/>
      </w:pPr>
    </w:lvl>
    <w:lvl w:ilvl="7" w:tentative="0">
      <w:start w:val="1"/>
      <w:numFmt w:val="lowerLetter"/>
      <w:lvlText w:val="%8)"/>
      <w:lvlJc w:val="left"/>
      <w:pPr>
        <w:ind w:left="4058" w:hanging="420"/>
      </w:pPr>
    </w:lvl>
    <w:lvl w:ilvl="8" w:tentative="0">
      <w:start w:val="1"/>
      <w:numFmt w:val="lowerRoman"/>
      <w:lvlText w:val="%9."/>
      <w:lvlJc w:val="right"/>
      <w:pPr>
        <w:ind w:left="4478" w:hanging="420"/>
      </w:pPr>
    </w:lvl>
  </w:abstractNum>
  <w:abstractNum w:abstractNumId="4">
    <w:nsid w:val="2F4238D3"/>
    <w:multiLevelType w:val="multilevel"/>
    <w:tmpl w:val="2F4238D3"/>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7C5BFF"/>
    <w:multiLevelType w:val="multilevel"/>
    <w:tmpl w:val="587C5BFF"/>
    <w:lvl w:ilvl="0" w:tentative="0">
      <w:start w:val="1"/>
      <w:numFmt w:val="upperLetter"/>
      <w:lvlText w:val="%1."/>
      <w:lvlJc w:val="left"/>
      <w:pPr>
        <w:ind w:left="362" w:hanging="36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2"/>
  </w:compat>
  <w:rsids>
    <w:rsidRoot w:val="001E29D1"/>
    <w:rsid w:val="000005B4"/>
    <w:rsid w:val="00010061"/>
    <w:rsid w:val="000465F0"/>
    <w:rsid w:val="00061DC9"/>
    <w:rsid w:val="000622E8"/>
    <w:rsid w:val="00076D5C"/>
    <w:rsid w:val="00081488"/>
    <w:rsid w:val="000B0862"/>
    <w:rsid w:val="000D0A9A"/>
    <w:rsid w:val="00123539"/>
    <w:rsid w:val="00126A5C"/>
    <w:rsid w:val="001309FF"/>
    <w:rsid w:val="00131FA1"/>
    <w:rsid w:val="0014120D"/>
    <w:rsid w:val="0014350B"/>
    <w:rsid w:val="0017136C"/>
    <w:rsid w:val="001872F9"/>
    <w:rsid w:val="0019763D"/>
    <w:rsid w:val="001B401E"/>
    <w:rsid w:val="001B6194"/>
    <w:rsid w:val="001C5914"/>
    <w:rsid w:val="001E29D1"/>
    <w:rsid w:val="00207D23"/>
    <w:rsid w:val="00241BEB"/>
    <w:rsid w:val="00260751"/>
    <w:rsid w:val="002805D2"/>
    <w:rsid w:val="00281878"/>
    <w:rsid w:val="00287A7A"/>
    <w:rsid w:val="00291B55"/>
    <w:rsid w:val="002957AA"/>
    <w:rsid w:val="002B2EAF"/>
    <w:rsid w:val="002B74C8"/>
    <w:rsid w:val="002D3329"/>
    <w:rsid w:val="002E0F3C"/>
    <w:rsid w:val="002E4B68"/>
    <w:rsid w:val="002F7923"/>
    <w:rsid w:val="00313927"/>
    <w:rsid w:val="003149C6"/>
    <w:rsid w:val="0033169E"/>
    <w:rsid w:val="00360FCB"/>
    <w:rsid w:val="003664C2"/>
    <w:rsid w:val="00373C50"/>
    <w:rsid w:val="003D0745"/>
    <w:rsid w:val="003D11C9"/>
    <w:rsid w:val="003E71A3"/>
    <w:rsid w:val="00407FA5"/>
    <w:rsid w:val="00420A38"/>
    <w:rsid w:val="00424F02"/>
    <w:rsid w:val="00426924"/>
    <w:rsid w:val="00427D9C"/>
    <w:rsid w:val="0043564E"/>
    <w:rsid w:val="004556C8"/>
    <w:rsid w:val="0046017E"/>
    <w:rsid w:val="0046255F"/>
    <w:rsid w:val="00465CA9"/>
    <w:rsid w:val="00475641"/>
    <w:rsid w:val="0049606D"/>
    <w:rsid w:val="004A1131"/>
    <w:rsid w:val="004A1D21"/>
    <w:rsid w:val="004A43D9"/>
    <w:rsid w:val="004B05ED"/>
    <w:rsid w:val="004B7B8B"/>
    <w:rsid w:val="004C1052"/>
    <w:rsid w:val="004E29ED"/>
    <w:rsid w:val="004F2AFB"/>
    <w:rsid w:val="004F2B5B"/>
    <w:rsid w:val="0050303D"/>
    <w:rsid w:val="0050314C"/>
    <w:rsid w:val="005065D6"/>
    <w:rsid w:val="0059130D"/>
    <w:rsid w:val="005967F2"/>
    <w:rsid w:val="005A3E1F"/>
    <w:rsid w:val="005B18F6"/>
    <w:rsid w:val="005C0D0F"/>
    <w:rsid w:val="005C6AC2"/>
    <w:rsid w:val="005F14AA"/>
    <w:rsid w:val="00604D5F"/>
    <w:rsid w:val="00606D9E"/>
    <w:rsid w:val="00614CB7"/>
    <w:rsid w:val="00631CE7"/>
    <w:rsid w:val="0063522A"/>
    <w:rsid w:val="006529FF"/>
    <w:rsid w:val="00664F0D"/>
    <w:rsid w:val="0067506C"/>
    <w:rsid w:val="0068269A"/>
    <w:rsid w:val="006A32F7"/>
    <w:rsid w:val="006A4DA4"/>
    <w:rsid w:val="006B788B"/>
    <w:rsid w:val="006C6A7D"/>
    <w:rsid w:val="006E5C2C"/>
    <w:rsid w:val="006F1502"/>
    <w:rsid w:val="0070298F"/>
    <w:rsid w:val="00722BC4"/>
    <w:rsid w:val="00726340"/>
    <w:rsid w:val="00733FC5"/>
    <w:rsid w:val="007720DA"/>
    <w:rsid w:val="00783388"/>
    <w:rsid w:val="007B1FF8"/>
    <w:rsid w:val="007C066F"/>
    <w:rsid w:val="008108DF"/>
    <w:rsid w:val="00823035"/>
    <w:rsid w:val="0084420B"/>
    <w:rsid w:val="00853791"/>
    <w:rsid w:val="00890E11"/>
    <w:rsid w:val="008C3FDC"/>
    <w:rsid w:val="008C45F1"/>
    <w:rsid w:val="008E737C"/>
    <w:rsid w:val="00924733"/>
    <w:rsid w:val="00961F54"/>
    <w:rsid w:val="00963EA0"/>
    <w:rsid w:val="009820DF"/>
    <w:rsid w:val="00A132E8"/>
    <w:rsid w:val="00A148E8"/>
    <w:rsid w:val="00A504AC"/>
    <w:rsid w:val="00A55D2F"/>
    <w:rsid w:val="00A6473A"/>
    <w:rsid w:val="00A85814"/>
    <w:rsid w:val="00A8733D"/>
    <w:rsid w:val="00A91A18"/>
    <w:rsid w:val="00AA4558"/>
    <w:rsid w:val="00AC2B97"/>
    <w:rsid w:val="00AC58BA"/>
    <w:rsid w:val="00AD2970"/>
    <w:rsid w:val="00B10AB6"/>
    <w:rsid w:val="00B327F8"/>
    <w:rsid w:val="00B36F71"/>
    <w:rsid w:val="00B45EFD"/>
    <w:rsid w:val="00B63F34"/>
    <w:rsid w:val="00BA3788"/>
    <w:rsid w:val="00BF5596"/>
    <w:rsid w:val="00C0191B"/>
    <w:rsid w:val="00C2248A"/>
    <w:rsid w:val="00C40E28"/>
    <w:rsid w:val="00CB1C26"/>
    <w:rsid w:val="00CB5CA7"/>
    <w:rsid w:val="00CC22D4"/>
    <w:rsid w:val="00CC6599"/>
    <w:rsid w:val="00CC77D9"/>
    <w:rsid w:val="00CF3FFA"/>
    <w:rsid w:val="00D04D56"/>
    <w:rsid w:val="00D1034D"/>
    <w:rsid w:val="00D3235B"/>
    <w:rsid w:val="00D37E30"/>
    <w:rsid w:val="00D44000"/>
    <w:rsid w:val="00D57D7C"/>
    <w:rsid w:val="00D63249"/>
    <w:rsid w:val="00D71C1F"/>
    <w:rsid w:val="00DE0323"/>
    <w:rsid w:val="00E14A72"/>
    <w:rsid w:val="00E2187C"/>
    <w:rsid w:val="00E4664B"/>
    <w:rsid w:val="00E62C1F"/>
    <w:rsid w:val="00E72D57"/>
    <w:rsid w:val="00EA25B3"/>
    <w:rsid w:val="00ED2313"/>
    <w:rsid w:val="00EE35BF"/>
    <w:rsid w:val="00F06A93"/>
    <w:rsid w:val="00F15375"/>
    <w:rsid w:val="00F53362"/>
    <w:rsid w:val="00F71AB5"/>
    <w:rsid w:val="00F92309"/>
    <w:rsid w:val="00FF0F02"/>
    <w:rsid w:val="32D23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0"/>
    <w:pPr>
      <w:keepNext/>
      <w:spacing w:before="240" w:after="60"/>
      <w:outlineLvl w:val="0"/>
    </w:pPr>
    <w:rPr>
      <w:rFonts w:eastAsia="Times New Roman"/>
      <w:b/>
      <w:bCs/>
      <w:kern w:val="36"/>
      <w:sz w:val="48"/>
      <w:szCs w:val="48"/>
    </w:rPr>
  </w:style>
  <w:style w:type="paragraph" w:styleId="3">
    <w:name w:val="heading 2"/>
    <w:basedOn w:val="1"/>
    <w:next w:val="1"/>
    <w:qFormat/>
    <w:uiPriority w:val="0"/>
    <w:pPr>
      <w:keepNext/>
      <w:spacing w:before="240" w:after="60"/>
      <w:outlineLvl w:val="1"/>
    </w:pPr>
    <w:rPr>
      <w:rFonts w:eastAsia="Times New Roman"/>
      <w:b/>
      <w:bCs/>
      <w:iCs/>
      <w:sz w:val="36"/>
      <w:szCs w:val="36"/>
    </w:rPr>
  </w:style>
  <w:style w:type="paragraph" w:styleId="4">
    <w:name w:val="heading 3"/>
    <w:basedOn w:val="1"/>
    <w:next w:val="1"/>
    <w:qFormat/>
    <w:uiPriority w:val="0"/>
    <w:pPr>
      <w:keepNext/>
      <w:spacing w:before="240" w:after="60"/>
      <w:outlineLvl w:val="2"/>
    </w:pPr>
    <w:rPr>
      <w:rFonts w:eastAsia="Times New Roman"/>
      <w:b/>
      <w:bCs/>
      <w:sz w:val="28"/>
      <w:szCs w:val="28"/>
    </w:rPr>
  </w:style>
  <w:style w:type="paragraph" w:styleId="5">
    <w:name w:val="heading 4"/>
    <w:basedOn w:val="1"/>
    <w:next w:val="1"/>
    <w:qFormat/>
    <w:uiPriority w:val="0"/>
    <w:pPr>
      <w:keepNext/>
      <w:spacing w:before="240" w:after="60"/>
      <w:outlineLvl w:val="3"/>
    </w:pPr>
    <w:rPr>
      <w:rFonts w:eastAsia="Times New Roman"/>
      <w:b/>
      <w:bCs/>
    </w:rPr>
  </w:style>
  <w:style w:type="paragraph" w:styleId="6">
    <w:name w:val="heading 5"/>
    <w:basedOn w:val="1"/>
    <w:next w:val="1"/>
    <w:qFormat/>
    <w:uiPriority w:val="0"/>
    <w:pPr>
      <w:spacing w:before="240" w:after="60"/>
      <w:outlineLvl w:val="4"/>
    </w:pPr>
    <w:rPr>
      <w:rFonts w:eastAsia="Times New Roman"/>
      <w:b/>
      <w:bCs/>
      <w:iCs/>
      <w:sz w:val="20"/>
      <w:szCs w:val="20"/>
    </w:rPr>
  </w:style>
  <w:style w:type="paragraph" w:styleId="7">
    <w:name w:val="heading 6"/>
    <w:basedOn w:val="1"/>
    <w:next w:val="1"/>
    <w:qFormat/>
    <w:uiPriority w:val="0"/>
    <w:pPr>
      <w:spacing w:before="240" w:after="60"/>
      <w:outlineLvl w:val="5"/>
    </w:pPr>
    <w:rPr>
      <w:rFonts w:eastAsia="Times New Roman"/>
      <w:b/>
      <w:bCs/>
      <w:sz w:val="16"/>
      <w:szCs w:val="1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Balloon Text"/>
    <w:basedOn w:val="1"/>
    <w:link w:val="16"/>
    <w:semiHidden/>
    <w:unhideWhenUsed/>
    <w:uiPriority w:val="99"/>
    <w:rPr>
      <w:sz w:val="18"/>
      <w:szCs w:val="18"/>
    </w:rPr>
  </w:style>
  <w:style w:type="paragraph" w:styleId="9">
    <w:name w:val="footer"/>
    <w:basedOn w:val="1"/>
    <w:link w:val="15"/>
    <w:unhideWhenUsed/>
    <w:uiPriority w:val="99"/>
    <w:pPr>
      <w:tabs>
        <w:tab w:val="center" w:pos="4153"/>
        <w:tab w:val="right" w:pos="8306"/>
      </w:tabs>
      <w:snapToGrid w:val="0"/>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34"/>
    <w:pPr>
      <w:ind w:firstLine="420" w:firstLineChars="200"/>
    </w:pPr>
  </w:style>
  <w:style w:type="character" w:customStyle="1" w:styleId="14">
    <w:name w:val="页眉 Char"/>
    <w:basedOn w:val="12"/>
    <w:link w:val="10"/>
    <w:uiPriority w:val="99"/>
    <w:rPr>
      <w:sz w:val="18"/>
      <w:szCs w:val="18"/>
    </w:rPr>
  </w:style>
  <w:style w:type="character" w:customStyle="1" w:styleId="15">
    <w:name w:val="页脚 Char"/>
    <w:basedOn w:val="12"/>
    <w:link w:val="9"/>
    <w:uiPriority w:val="99"/>
    <w:rPr>
      <w:sz w:val="18"/>
      <w:szCs w:val="18"/>
    </w:rPr>
  </w:style>
  <w:style w:type="character" w:customStyle="1" w:styleId="16">
    <w:name w:val="批注框文本 Char"/>
    <w:basedOn w:val="12"/>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7375</Words>
  <Characters>7703</Characters>
  <Lines>56</Lines>
  <Paragraphs>15</Paragraphs>
  <TotalTime>411</TotalTime>
  <ScaleCrop>false</ScaleCrop>
  <LinksUpToDate>false</LinksUpToDate>
  <CharactersWithSpaces>7792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2017-04-04T19:02:00Z</dcterms:created>
  <cp:keywords>cdrhguidance</cp:keywords>
  <cp:lastModifiedBy>太极箫客</cp:lastModifiedBy>
  <dcterms:modified xsi:type="dcterms:W3CDTF">2025-08-14T06:50:21Z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765CF162CEC145ED94A61A956745D234_12</vt:lpwstr>
  </property>
</Properties>
</file>