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4E0C4">
      <w:pPr>
        <w:pBdr>
          <w:bottom w:val="single" w:color="auto" w:sz="4" w:space="1"/>
        </w:pBdr>
        <w:overflowPunct w:val="0"/>
        <w:snapToGrid w:val="0"/>
        <w:spacing w:after="156" w:afterLines="50" w:line="300" w:lineRule="auto"/>
        <w:jc w:val="center"/>
        <w:rPr>
          <w:rFonts w:ascii="Arial" w:hAnsi="Arial" w:eastAsia="宋体" w:cs="Arial"/>
          <w:b/>
          <w:sz w:val="72"/>
          <w:szCs w:val="72"/>
        </w:rPr>
      </w:pPr>
      <w:bookmarkStart w:id="73" w:name="_GoBack"/>
      <w:bookmarkEnd w:id="73"/>
      <w:r>
        <w:rPr>
          <w:rFonts w:ascii="Arial" w:hAnsi="Arial" w:eastAsia="宋体" w:cs="Arial"/>
          <w:b/>
          <w:sz w:val="72"/>
          <w:szCs w:val="72"/>
        </w:rPr>
        <w:t>行业、FDA工作人员和临床实验室指南草案</w:t>
      </w:r>
    </w:p>
    <w:p w14:paraId="1AEF81AB">
      <w:pPr>
        <w:overflowPunct w:val="0"/>
        <w:snapToGrid w:val="0"/>
        <w:spacing w:after="156" w:afterLines="50" w:line="300" w:lineRule="auto"/>
        <w:jc w:val="center"/>
        <w:rPr>
          <w:rFonts w:ascii="Arial" w:hAnsi="Arial" w:eastAsia="宋体" w:cs="Arial"/>
          <w:b/>
          <w:sz w:val="72"/>
          <w:szCs w:val="72"/>
        </w:rPr>
      </w:pPr>
      <w:r>
        <w:rPr>
          <w:rFonts w:ascii="Arial" w:hAnsi="Arial" w:eastAsia="宋体" w:cs="Arial"/>
          <w:b/>
          <w:sz w:val="72"/>
          <w:szCs w:val="72"/>
        </w:rPr>
        <w:t>实验室检测（LDT）的FDA通知和医疗器械报告</w:t>
      </w:r>
    </w:p>
    <w:p w14:paraId="714E3504">
      <w:pPr>
        <w:overflowPunct w:val="0"/>
        <w:snapToGrid w:val="0"/>
        <w:spacing w:after="156" w:afterLines="50" w:line="300" w:lineRule="auto"/>
        <w:jc w:val="center"/>
        <w:rPr>
          <w:rFonts w:ascii="Arial" w:hAnsi="Arial" w:eastAsia="宋体" w:cs="Arial"/>
          <w:i/>
          <w:sz w:val="36"/>
          <w:szCs w:val="36"/>
        </w:rPr>
      </w:pPr>
      <w:r>
        <w:rPr>
          <w:rFonts w:ascii="Arial" w:hAnsi="Arial" w:eastAsia="宋体" w:cs="Arial"/>
          <w:i/>
          <w:sz w:val="36"/>
          <w:szCs w:val="36"/>
        </w:rPr>
        <w:t>指南草案</w:t>
      </w:r>
    </w:p>
    <w:p w14:paraId="19E08AB5">
      <w:pPr>
        <w:overflowPunct w:val="0"/>
        <w:adjustRightInd w:val="0"/>
        <w:snapToGrid w:val="0"/>
        <w:spacing w:after="156" w:afterLines="50" w:line="300" w:lineRule="auto"/>
        <w:jc w:val="center"/>
        <w:rPr>
          <w:rFonts w:ascii="Arial" w:hAnsi="Arial" w:eastAsia="宋体" w:cs="Arial"/>
          <w:b/>
          <w:sz w:val="28"/>
          <w:szCs w:val="28"/>
        </w:rPr>
      </w:pPr>
      <w:r>
        <w:rPr>
          <w:rFonts w:ascii="Arial" w:hAnsi="Arial" w:eastAsia="宋体" w:cs="Arial"/>
          <w:b/>
          <w:sz w:val="28"/>
          <w:szCs w:val="28"/>
        </w:rPr>
        <w:t>本指南草案公布的目的仅用于征询意见、建议用途。</w:t>
      </w:r>
    </w:p>
    <w:p w14:paraId="2F7B11A1">
      <w:pPr>
        <w:overflowPunct w:val="0"/>
        <w:adjustRightInd w:val="0"/>
        <w:snapToGrid w:val="0"/>
        <w:spacing w:after="156" w:afterLines="50" w:line="300" w:lineRule="auto"/>
        <w:jc w:val="center"/>
        <w:rPr>
          <w:rFonts w:ascii="Arial" w:hAnsi="Arial" w:eastAsia="宋体" w:cs="Arial"/>
          <w:b/>
          <w:sz w:val="28"/>
          <w:szCs w:val="28"/>
        </w:rPr>
      </w:pPr>
      <w:r>
        <w:rPr>
          <w:rFonts w:ascii="Arial" w:hAnsi="Arial" w:eastAsia="宋体" w:cs="Arial"/>
          <w:b/>
          <w:sz w:val="28"/>
          <w:szCs w:val="28"/>
        </w:rPr>
        <w:t>文件发布日期：2014年10月3日</w:t>
      </w:r>
    </w:p>
    <w:p w14:paraId="1F60126D">
      <w:pPr>
        <w:pStyle w:val="20"/>
        <w:overflowPunct w:val="0"/>
        <w:snapToGrid w:val="0"/>
        <w:spacing w:after="312" w:afterLines="100" w:line="300" w:lineRule="auto"/>
        <w:rPr>
          <w:rFonts w:ascii="Arial" w:hAnsi="Arial" w:eastAsia="宋体" w:cs="Arial"/>
        </w:rPr>
      </w:pPr>
      <w:r>
        <w:rPr>
          <w:rFonts w:ascii="Arial" w:hAnsi="Arial" w:eastAsia="宋体" w:cs="Arial"/>
        </w:rPr>
        <w:t>关于本草案文件的任何评论及建议，请于联邦公报刊载草案文件发布通知的120天内提交。评论请提交至食品药品监督管理局案卷管理科（HFA-305）（5630 Fishers Lane，rm. 1061，Rockville，MD 20852）。您也可以通过网址</w:t>
      </w:r>
      <w:r>
        <w:rPr>
          <w:rStyle w:val="12"/>
          <w:rFonts w:ascii="Arial" w:hAnsi="Arial" w:eastAsia="宋体" w:cs="Arial"/>
          <w:color w:val="0000FF"/>
        </w:rPr>
        <w:t>http://www.regulations.gov</w:t>
      </w:r>
      <w:r>
        <w:rPr>
          <w:color w:val="0000FF"/>
          <w:sz w:val="23"/>
          <w:szCs w:val="23"/>
        </w:rPr>
        <w:t xml:space="preserve"> </w:t>
      </w:r>
      <w:r>
        <w:rPr>
          <w:rFonts w:ascii="Arial" w:hAnsi="Arial" w:eastAsia="宋体" w:cs="Arial"/>
        </w:rPr>
        <w:t>提交电子版评论。所有评论应注明案卷编号，该编号在联邦公报上公布的可用性通知中列出。</w:t>
      </w:r>
    </w:p>
    <w:p w14:paraId="43AF9745">
      <w:pPr>
        <w:overflowPunct w:val="0"/>
        <w:adjustRightInd w:val="0"/>
        <w:snapToGrid w:val="0"/>
        <w:spacing w:after="156" w:afterLines="50" w:line="300" w:lineRule="auto"/>
        <w:jc w:val="left"/>
        <w:rPr>
          <w:rFonts w:ascii="Arial" w:hAnsi="Arial" w:eastAsia="宋体" w:cs="Arial"/>
          <w:sz w:val="24"/>
          <w:szCs w:val="24"/>
        </w:rPr>
      </w:pPr>
      <w:r>
        <w:rPr>
          <w:rFonts w:ascii="Arial" w:hAnsi="Arial" w:eastAsia="宋体" w:cs="Arial"/>
          <w:sz w:val="24"/>
          <w:szCs w:val="24"/>
        </w:rPr>
        <w:t>关于草案文件的任何问题，</w:t>
      </w:r>
      <w:r>
        <w:fldChar w:fldCharType="begin"/>
      </w:r>
      <w:r>
        <w:instrText xml:space="preserve"> HYPERLINK "mailto:请联系LDTframework@fda.hhs.gov" </w:instrText>
      </w:r>
      <w:r>
        <w:fldChar w:fldCharType="separate"/>
      </w:r>
      <w:r>
        <w:rPr>
          <w:rStyle w:val="12"/>
          <w:rFonts w:ascii="Arial" w:hAnsi="Arial" w:eastAsia="宋体" w:cs="Arial"/>
          <w:color w:val="000000" w:themeColor="text1"/>
          <w:sz w:val="24"/>
          <w:szCs w:val="24"/>
          <w:u w:val="none"/>
          <w14:textFill>
            <w14:solidFill>
              <w14:schemeClr w14:val="tx1"/>
            </w14:solidFill>
          </w14:textFill>
        </w:rPr>
        <w:t>请联系</w:t>
      </w:r>
      <w:r>
        <w:rPr>
          <w:rStyle w:val="12"/>
          <w:rFonts w:ascii="Arial" w:hAnsi="Arial" w:eastAsia="宋体" w:cs="Arial"/>
          <w:color w:val="0000FF"/>
          <w:sz w:val="24"/>
          <w:szCs w:val="24"/>
        </w:rPr>
        <w:t>LDTframework@fda.hhs.gov</w:t>
      </w:r>
      <w:r>
        <w:rPr>
          <w:rStyle w:val="12"/>
          <w:rFonts w:ascii="Arial" w:hAnsi="Arial" w:eastAsia="宋体" w:cs="Arial"/>
          <w:color w:val="0000FF"/>
          <w:sz w:val="24"/>
          <w:szCs w:val="24"/>
        </w:rPr>
        <w:fldChar w:fldCharType="end"/>
      </w:r>
      <w:r>
        <w:rPr>
          <w:rFonts w:ascii="Arial" w:hAnsi="Arial" w:eastAsia="宋体" w:cs="Arial"/>
          <w:sz w:val="24"/>
          <w:szCs w:val="24"/>
        </w:rPr>
        <w:t>。关于本文件在CBER监管下的器械应用的相关问题，请通过电话1-800-835-4709 或301-827-1800，或通过邮件ocod@fda.hhs.gov联系CBER沟通、外联和发展办公室。</w:t>
      </w:r>
    </w:p>
    <w:p w14:paraId="424B0A55">
      <w:pPr>
        <w:overflowPunct w:val="0"/>
        <w:snapToGrid w:val="0"/>
        <w:spacing w:line="300" w:lineRule="auto"/>
        <w:jc w:val="right"/>
        <w:rPr>
          <w:rFonts w:ascii="Arial" w:hAnsi="Arial" w:eastAsia="宋体" w:cs="Arial"/>
          <w:b/>
          <w:sz w:val="24"/>
          <w:szCs w:val="24"/>
        </w:rPr>
      </w:pPr>
      <w:r>
        <w:rPr>
          <w:rFonts w:ascii="Arial" w:hAnsi="Arial" w:eastAsia="宋体" w:cs="Arial"/>
          <w:b/>
          <w:sz w:val="24"/>
          <w:szCs w:val="24"/>
        </w:rPr>
        <w:t>美国卫生和人类服务署</w:t>
      </w:r>
    </w:p>
    <w:p w14:paraId="53D837AB">
      <w:pPr>
        <w:overflowPunct w:val="0"/>
        <w:snapToGrid w:val="0"/>
        <w:spacing w:line="300" w:lineRule="auto"/>
        <w:jc w:val="right"/>
        <w:rPr>
          <w:rFonts w:ascii="Arial" w:hAnsi="Arial" w:eastAsia="宋体" w:cs="Arial"/>
          <w:b/>
          <w:sz w:val="24"/>
          <w:szCs w:val="24"/>
        </w:rPr>
      </w:pPr>
      <w:bookmarkStart w:id="0" w:name="OLE_LINK8"/>
      <w:bookmarkStart w:id="1" w:name="OLE_LINK9"/>
      <w:r>
        <w:drawing>
          <wp:anchor distT="0" distB="0" distL="114300" distR="114300" simplePos="0" relativeHeight="251659264" behindDoc="0" locked="0" layoutInCell="1" allowOverlap="1">
            <wp:simplePos x="0" y="0"/>
            <wp:positionH relativeFrom="column">
              <wp:posOffset>-29845</wp:posOffset>
            </wp:positionH>
            <wp:positionV relativeFrom="paragraph">
              <wp:posOffset>40005</wp:posOffset>
            </wp:positionV>
            <wp:extent cx="866140" cy="18757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66140" cy="1875790"/>
                    </a:xfrm>
                    <a:prstGeom prst="rect">
                      <a:avLst/>
                    </a:prstGeom>
                  </pic:spPr>
                </pic:pic>
              </a:graphicData>
            </a:graphic>
          </wp:anchor>
        </w:drawing>
      </w:r>
      <w:r>
        <w:rPr>
          <w:rFonts w:ascii="Arial" w:hAnsi="Arial" w:eastAsia="宋体" w:cs="Arial"/>
          <w:b/>
          <w:sz w:val="24"/>
          <w:szCs w:val="24"/>
        </w:rPr>
        <w:t>食品药品监督管理局</w:t>
      </w:r>
      <w:bookmarkEnd w:id="0"/>
      <w:bookmarkEnd w:id="1"/>
    </w:p>
    <w:p w14:paraId="28DC7E54">
      <w:pPr>
        <w:overflowPunct w:val="0"/>
        <w:snapToGrid w:val="0"/>
        <w:spacing w:line="300" w:lineRule="auto"/>
        <w:jc w:val="right"/>
        <w:rPr>
          <w:rFonts w:ascii="Arial" w:hAnsi="Arial" w:eastAsia="宋体" w:cs="Arial"/>
          <w:b/>
          <w:sz w:val="24"/>
          <w:szCs w:val="24"/>
        </w:rPr>
      </w:pPr>
      <w:r>
        <w:rPr>
          <w:rFonts w:ascii="Arial" w:hAnsi="Arial" w:eastAsia="宋体" w:cs="Arial"/>
          <w:b/>
          <w:sz w:val="24"/>
          <w:szCs w:val="24"/>
        </w:rPr>
        <w:t>器械和放射卫生中心</w:t>
      </w:r>
    </w:p>
    <w:p w14:paraId="2DE722E0">
      <w:pPr>
        <w:overflowPunct w:val="0"/>
        <w:snapToGrid w:val="0"/>
        <w:spacing w:line="300" w:lineRule="auto"/>
        <w:jc w:val="right"/>
        <w:rPr>
          <w:rFonts w:ascii="Arial" w:hAnsi="Arial" w:eastAsia="宋体" w:cs="Arial"/>
          <w:b/>
          <w:sz w:val="24"/>
          <w:szCs w:val="24"/>
        </w:rPr>
      </w:pPr>
      <w:r>
        <w:rPr>
          <w:rFonts w:ascii="Arial" w:hAnsi="Arial" w:eastAsia="宋体" w:cs="Arial"/>
          <w:b/>
          <w:sz w:val="24"/>
          <w:szCs w:val="24"/>
        </w:rPr>
        <w:t>体外诊断器械评价和安全性办公室</w:t>
      </w:r>
    </w:p>
    <w:p w14:paraId="1731B45C">
      <w:pPr>
        <w:overflowPunct w:val="0"/>
        <w:snapToGrid w:val="0"/>
        <w:spacing w:line="300" w:lineRule="auto"/>
        <w:jc w:val="right"/>
        <w:rPr>
          <w:rFonts w:ascii="Arial" w:hAnsi="Arial" w:eastAsia="宋体" w:cs="Arial"/>
          <w:b/>
          <w:sz w:val="24"/>
          <w:szCs w:val="24"/>
        </w:rPr>
      </w:pPr>
      <w:r>
        <w:rPr>
          <w:rFonts w:ascii="Arial" w:hAnsi="Arial" w:eastAsia="宋体" w:cs="Arial"/>
          <w:b/>
          <w:sz w:val="24"/>
          <w:szCs w:val="24"/>
        </w:rPr>
        <w:t>生物制剂评价和研究中心</w:t>
      </w:r>
    </w:p>
    <w:p w14:paraId="68E0DDC0">
      <w:pPr>
        <w:widowControl/>
        <w:overflowPunct w:val="0"/>
        <w:snapToGrid w:val="0"/>
        <w:spacing w:line="300" w:lineRule="auto"/>
        <w:jc w:val="left"/>
        <w:rPr>
          <w:rFonts w:ascii="Arial" w:hAnsi="Arial" w:eastAsia="宋体" w:cs="Arial"/>
          <w:sz w:val="24"/>
          <w:szCs w:val="24"/>
        </w:rPr>
      </w:pPr>
      <w:r>
        <w:rPr>
          <w:rFonts w:ascii="Arial" w:hAnsi="Arial" w:eastAsia="宋体" w:cs="Arial"/>
          <w:sz w:val="24"/>
          <w:szCs w:val="24"/>
        </w:rPr>
        <w:br w:type="page"/>
      </w:r>
    </w:p>
    <w:p w14:paraId="15A7EEA9">
      <w:pPr>
        <w:overflowPunct w:val="0"/>
        <w:snapToGrid w:val="0"/>
        <w:spacing w:after="156" w:afterLines="50" w:line="300" w:lineRule="auto"/>
        <w:jc w:val="center"/>
        <w:rPr>
          <w:rFonts w:ascii="Arial" w:hAnsi="Arial" w:eastAsia="宋体" w:cs="Arial"/>
          <w:b/>
          <w:sz w:val="44"/>
          <w:szCs w:val="44"/>
        </w:rPr>
      </w:pPr>
      <w:r>
        <w:rPr>
          <w:rFonts w:ascii="Arial" w:hAnsi="Arial" w:eastAsia="宋体" w:cs="Arial"/>
          <w:b/>
          <w:sz w:val="44"/>
          <w:szCs w:val="44"/>
        </w:rPr>
        <w:t>前言</w:t>
      </w:r>
    </w:p>
    <w:p w14:paraId="667B900D">
      <w:pPr>
        <w:overflowPunct w:val="0"/>
        <w:snapToGrid w:val="0"/>
        <w:spacing w:after="156" w:afterLines="50" w:line="300" w:lineRule="auto"/>
        <w:jc w:val="left"/>
        <w:rPr>
          <w:rFonts w:ascii="Arial" w:hAnsi="Arial" w:eastAsia="宋体" w:cs="Arial"/>
          <w:b/>
          <w:sz w:val="32"/>
          <w:szCs w:val="32"/>
        </w:rPr>
      </w:pPr>
      <w:r>
        <w:rPr>
          <w:rFonts w:ascii="Arial" w:hAnsi="Arial" w:eastAsia="宋体" w:cs="Arial"/>
          <w:b/>
          <w:sz w:val="32"/>
          <w:szCs w:val="32"/>
        </w:rPr>
        <w:t>其他副本</w:t>
      </w:r>
    </w:p>
    <w:p w14:paraId="2D522794">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其他副本可从互联网获得。您还可以向</w:t>
      </w:r>
      <w:r>
        <w:rPr>
          <w:rFonts w:ascii="Arial" w:hAnsi="Arial" w:eastAsia="宋体" w:cs="Arial"/>
          <w:color w:val="0000FF"/>
          <w:sz w:val="24"/>
          <w:szCs w:val="24"/>
          <w:u w:val="single"/>
        </w:rPr>
        <w:t>CDRH-Guidance@fda.hhs.gov</w:t>
      </w:r>
      <w:r>
        <w:rPr>
          <w:rFonts w:ascii="Arial" w:hAnsi="Arial" w:eastAsia="宋体" w:cs="Arial"/>
          <w:sz w:val="24"/>
          <w:szCs w:val="24"/>
        </w:rPr>
        <w:t>发送电子邮件请求以接收本指南的电子副本。请使用文件编号1738来注明您所要求获得的指南。</w:t>
      </w:r>
    </w:p>
    <w:p w14:paraId="43C51EF9">
      <w:pPr>
        <w:overflowPunct w:val="0"/>
        <w:adjustRightInd w:val="0"/>
        <w:snapToGrid w:val="0"/>
        <w:spacing w:after="156" w:afterLines="50" w:line="300" w:lineRule="auto"/>
        <w:jc w:val="left"/>
        <w:rPr>
          <w:rFonts w:ascii="Arial" w:hAnsi="Arial" w:eastAsia="宋体" w:cs="Arial"/>
          <w:sz w:val="24"/>
          <w:szCs w:val="24"/>
        </w:rPr>
      </w:pPr>
      <w:r>
        <w:rPr>
          <w:rFonts w:ascii="Arial" w:hAnsi="Arial" w:eastAsia="宋体" w:cs="Arial"/>
          <w:sz w:val="24"/>
          <w:szCs w:val="24"/>
        </w:rPr>
        <w:t>或，联系：</w:t>
      </w:r>
    </w:p>
    <w:p w14:paraId="7C4217DC">
      <w:pPr>
        <w:overflowPunct w:val="0"/>
        <w:adjustRightInd w:val="0"/>
        <w:snapToGrid w:val="0"/>
        <w:spacing w:line="300" w:lineRule="auto"/>
        <w:jc w:val="left"/>
        <w:rPr>
          <w:rFonts w:ascii="Arial" w:hAnsi="Arial" w:eastAsia="宋体" w:cs="Arial"/>
          <w:sz w:val="24"/>
          <w:szCs w:val="24"/>
        </w:rPr>
      </w:pPr>
      <w:r>
        <w:rPr>
          <w:rFonts w:ascii="Arial" w:hAnsi="Arial" w:eastAsia="宋体" w:cs="Arial"/>
          <w:sz w:val="24"/>
          <w:szCs w:val="24"/>
        </w:rPr>
        <w:t>沟通、外联和发展办公室</w:t>
      </w:r>
    </w:p>
    <w:p w14:paraId="0E9A5839">
      <w:pPr>
        <w:overflowPunct w:val="0"/>
        <w:adjustRightInd w:val="0"/>
        <w:snapToGrid w:val="0"/>
        <w:spacing w:line="300" w:lineRule="auto"/>
        <w:jc w:val="left"/>
        <w:rPr>
          <w:rFonts w:ascii="Arial" w:hAnsi="Arial" w:eastAsia="宋体" w:cs="Arial"/>
          <w:sz w:val="24"/>
          <w:szCs w:val="24"/>
        </w:rPr>
      </w:pPr>
      <w:r>
        <w:rPr>
          <w:rFonts w:ascii="Arial" w:hAnsi="Arial" w:eastAsia="宋体" w:cs="Arial"/>
          <w:sz w:val="24"/>
          <w:szCs w:val="24"/>
        </w:rPr>
        <w:t>生物制剂评价和研究中心</w:t>
      </w:r>
    </w:p>
    <w:p w14:paraId="52373B94">
      <w:pPr>
        <w:overflowPunct w:val="0"/>
        <w:adjustRightInd w:val="0"/>
        <w:snapToGrid w:val="0"/>
        <w:spacing w:line="300" w:lineRule="auto"/>
        <w:jc w:val="left"/>
        <w:rPr>
          <w:rFonts w:ascii="Arial" w:hAnsi="Arial" w:eastAsia="宋体" w:cs="Arial"/>
          <w:sz w:val="24"/>
          <w:szCs w:val="24"/>
        </w:rPr>
      </w:pPr>
      <w:r>
        <w:rPr>
          <w:rFonts w:ascii="Arial" w:hAnsi="Arial" w:eastAsia="宋体" w:cs="Arial"/>
          <w:sz w:val="24"/>
          <w:szCs w:val="24"/>
        </w:rPr>
        <w:t>食品药品监督管理局</w:t>
      </w:r>
    </w:p>
    <w:p w14:paraId="2BF57170">
      <w:pPr>
        <w:overflowPunct w:val="0"/>
        <w:adjustRightInd w:val="0"/>
        <w:snapToGrid w:val="0"/>
        <w:spacing w:line="300" w:lineRule="auto"/>
        <w:jc w:val="left"/>
        <w:rPr>
          <w:rFonts w:ascii="Arial" w:hAnsi="Arial" w:eastAsia="宋体" w:cs="Arial"/>
          <w:sz w:val="24"/>
          <w:szCs w:val="24"/>
        </w:rPr>
      </w:pPr>
      <w:r>
        <w:rPr>
          <w:rFonts w:ascii="Arial" w:hAnsi="Arial" w:eastAsia="宋体" w:cs="Arial"/>
          <w:sz w:val="24"/>
          <w:szCs w:val="24"/>
        </w:rPr>
        <w:t>10903 New Hampshire Ave.，Bldg. 71，rm. 3128，Silver Spring，MD 20993-0002</w:t>
      </w:r>
    </w:p>
    <w:p w14:paraId="020D92E8">
      <w:pPr>
        <w:overflowPunct w:val="0"/>
        <w:adjustRightInd w:val="0"/>
        <w:snapToGrid w:val="0"/>
        <w:spacing w:line="300" w:lineRule="auto"/>
        <w:jc w:val="left"/>
        <w:rPr>
          <w:rFonts w:ascii="Arial" w:hAnsi="Arial" w:eastAsia="宋体" w:cs="Arial"/>
          <w:sz w:val="24"/>
          <w:szCs w:val="24"/>
        </w:rPr>
      </w:pPr>
      <w:r>
        <w:rPr>
          <w:rFonts w:ascii="Arial" w:hAnsi="Arial" w:eastAsia="宋体" w:cs="Arial"/>
          <w:sz w:val="24"/>
          <w:szCs w:val="24"/>
        </w:rPr>
        <w:t>网址：</w:t>
      </w:r>
      <w:r>
        <w:rPr>
          <w:rStyle w:val="12"/>
          <w:rFonts w:ascii="Arial" w:hAnsi="Arial" w:cs="Arial"/>
          <w:color w:val="0000FF"/>
          <w:sz w:val="24"/>
          <w:szCs w:val="24"/>
        </w:rPr>
        <w:t>http://www.fda.gov/BiologicsBloodVaccines/GuidanceComplianceRegulatoryInformation/default.htm</w:t>
      </w:r>
    </w:p>
    <w:p w14:paraId="5DC9911E">
      <w:pPr>
        <w:overflowPunct w:val="0"/>
        <w:adjustRightInd w:val="0"/>
        <w:snapToGrid w:val="0"/>
        <w:spacing w:line="300" w:lineRule="auto"/>
        <w:jc w:val="left"/>
        <w:rPr>
          <w:rFonts w:ascii="Arial" w:hAnsi="Arial" w:eastAsia="宋体" w:cs="Arial"/>
          <w:sz w:val="24"/>
          <w:szCs w:val="24"/>
        </w:rPr>
      </w:pPr>
      <w:r>
        <w:rPr>
          <w:rFonts w:ascii="Arial" w:hAnsi="Arial" w:eastAsia="宋体" w:cs="Arial"/>
          <w:sz w:val="24"/>
          <w:szCs w:val="24"/>
        </w:rPr>
        <w:t>电话：800-835-4709或240-402-7800</w:t>
      </w:r>
    </w:p>
    <w:p w14:paraId="18D106A4">
      <w:pPr>
        <w:overflowPunct w:val="0"/>
        <w:adjustRightInd w:val="0"/>
        <w:snapToGrid w:val="0"/>
        <w:spacing w:after="156" w:afterLines="50" w:line="300" w:lineRule="auto"/>
        <w:jc w:val="left"/>
        <w:rPr>
          <w:rFonts w:ascii="Arial" w:hAnsi="Arial" w:eastAsia="宋体" w:cs="Arial"/>
          <w:sz w:val="24"/>
          <w:szCs w:val="24"/>
        </w:rPr>
      </w:pPr>
      <w:r>
        <w:rPr>
          <w:rFonts w:ascii="Arial" w:hAnsi="Arial" w:eastAsia="宋体" w:cs="Arial"/>
          <w:sz w:val="24"/>
          <w:szCs w:val="24"/>
        </w:rPr>
        <w:t>邮箱：</w:t>
      </w:r>
      <w:r>
        <w:fldChar w:fldCharType="begin"/>
      </w:r>
      <w:r>
        <w:instrText xml:space="preserve"> HYPERLINK "mailto:ocod@fda.hhs.gov" </w:instrText>
      </w:r>
      <w:r>
        <w:fldChar w:fldCharType="separate"/>
      </w:r>
      <w:r>
        <w:rPr>
          <w:rStyle w:val="12"/>
          <w:rFonts w:ascii="Arial" w:hAnsi="Arial" w:eastAsia="宋体" w:cs="Arial"/>
          <w:color w:val="000000" w:themeColor="text1"/>
          <w:sz w:val="24"/>
          <w:szCs w:val="24"/>
          <w:u w:val="none"/>
          <w14:textFill>
            <w14:solidFill>
              <w14:schemeClr w14:val="tx1"/>
            </w14:solidFill>
          </w14:textFill>
        </w:rPr>
        <w:t>ocod@fda.hhs.gov</w:t>
      </w:r>
      <w:r>
        <w:rPr>
          <w:rStyle w:val="12"/>
          <w:rFonts w:ascii="Arial" w:hAnsi="Arial" w:eastAsia="宋体" w:cs="Arial"/>
          <w:color w:val="000000" w:themeColor="text1"/>
          <w:sz w:val="24"/>
          <w:szCs w:val="24"/>
          <w:u w:val="none"/>
          <w14:textFill>
            <w14:solidFill>
              <w14:schemeClr w14:val="tx1"/>
            </w14:solidFill>
          </w14:textFill>
        </w:rPr>
        <w:fldChar w:fldCharType="end"/>
      </w:r>
    </w:p>
    <w:p w14:paraId="25F88AC9">
      <w:pPr>
        <w:widowControl/>
        <w:overflowPunct w:val="0"/>
        <w:snapToGrid w:val="0"/>
        <w:spacing w:after="156" w:afterLines="50" w:line="300" w:lineRule="auto"/>
        <w:jc w:val="left"/>
        <w:rPr>
          <w:rFonts w:ascii="Arial" w:hAnsi="Arial" w:eastAsia="宋体" w:cs="Arial"/>
          <w:sz w:val="24"/>
          <w:szCs w:val="24"/>
        </w:rPr>
      </w:pPr>
      <w:r>
        <w:rPr>
          <w:rFonts w:ascii="Arial" w:hAnsi="Arial" w:eastAsia="宋体" w:cs="Arial"/>
          <w:sz w:val="24"/>
          <w:szCs w:val="24"/>
        </w:rPr>
        <w:br w:type="page"/>
      </w:r>
    </w:p>
    <w:sdt>
      <w:sdtPr>
        <w:rPr>
          <w:rFonts w:asciiTheme="minorHAnsi" w:hAnsiTheme="minorHAnsi" w:eastAsiaTheme="minorEastAsia" w:cstheme="minorBidi"/>
          <w:b w:val="0"/>
          <w:bCs w:val="0"/>
          <w:color w:val="auto"/>
          <w:kern w:val="2"/>
          <w:sz w:val="21"/>
          <w:szCs w:val="22"/>
          <w:lang w:val="zh-CN"/>
        </w:rPr>
        <w:id w:val="-2139951382"/>
        <w:docPartObj>
          <w:docPartGallery w:val="Table of Contents"/>
          <w:docPartUnique/>
        </w:docPartObj>
      </w:sdtPr>
      <w:sdtEndPr>
        <w:rPr>
          <w:rFonts w:ascii="Arial" w:hAnsi="Arial" w:cs="Arial" w:eastAsiaTheme="minorEastAsia"/>
          <w:b w:val="0"/>
          <w:bCs w:val="0"/>
          <w:color w:val="auto"/>
          <w:kern w:val="2"/>
          <w:sz w:val="21"/>
          <w:szCs w:val="22"/>
          <w:lang w:val="zh-CN"/>
        </w:rPr>
      </w:sdtEndPr>
      <w:sdtContent>
        <w:p w14:paraId="41714EF4">
          <w:pPr>
            <w:pStyle w:val="22"/>
            <w:jc w:val="center"/>
            <w:rPr>
              <w:rFonts w:ascii="Arial" w:hAnsi="Arial" w:eastAsia="宋体" w:cs="Arial"/>
              <w:color w:val="000000" w:themeColor="text1"/>
              <w:sz w:val="36"/>
              <w:szCs w:val="36"/>
              <w14:textFill>
                <w14:solidFill>
                  <w14:schemeClr w14:val="tx1"/>
                </w14:solidFill>
              </w14:textFill>
            </w:rPr>
          </w:pPr>
          <w:r>
            <w:rPr>
              <w:rFonts w:ascii="Arial" w:hAnsi="Arial" w:eastAsia="宋体" w:cs="Arial"/>
              <w:color w:val="000000" w:themeColor="text1"/>
              <w:sz w:val="36"/>
              <w:szCs w:val="36"/>
              <w:lang w:val="zh-CN"/>
              <w14:textFill>
                <w14:solidFill>
                  <w14:schemeClr w14:val="tx1"/>
                </w14:solidFill>
              </w14:textFill>
            </w:rPr>
            <w:t>目录</w:t>
          </w:r>
        </w:p>
        <w:p w14:paraId="31828CAB">
          <w:pPr>
            <w:pStyle w:val="7"/>
            <w:tabs>
              <w:tab w:val="left" w:pos="630"/>
              <w:tab w:val="right" w:leader="dot" w:pos="8296"/>
            </w:tabs>
            <w:rPr>
              <w:rFonts w:ascii="Arial" w:hAnsi="Arial" w:cs="Ari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"_Toc498010387" </w:instrText>
          </w:r>
          <w:r>
            <w:fldChar w:fldCharType="separate"/>
          </w:r>
          <w:r>
            <w:rPr>
              <w:rStyle w:val="12"/>
              <w:rFonts w:ascii="Arial" w:hAnsi="Arial" w:eastAsia="宋体" w:cs="Arial"/>
            </w:rPr>
            <w:t>A.</w:t>
          </w:r>
          <w:r>
            <w:rPr>
              <w:rFonts w:ascii="Arial" w:hAnsi="Arial" w:cs="Arial"/>
            </w:rPr>
            <w:tab/>
          </w:r>
          <w:r>
            <w:rPr>
              <w:rStyle w:val="12"/>
              <w:rFonts w:ascii="Arial" w:hAnsi="Arial" w:eastAsia="宋体" w:cs="Arial"/>
            </w:rPr>
            <w:t>引言</w:t>
          </w:r>
          <w:r>
            <w:rPr>
              <w:rFonts w:ascii="Arial" w:hAnsi="Arial" w:cs="Arial"/>
            </w:rPr>
            <w:tab/>
          </w:r>
          <w:r>
            <w:rPr>
              <w:rFonts w:ascii="Arial" w:hAnsi="Arial" w:cs="Arial"/>
            </w:rPr>
            <w:fldChar w:fldCharType="begin"/>
          </w:r>
          <w:r>
            <w:rPr>
              <w:rFonts w:ascii="Arial" w:hAnsi="Arial" w:cs="Arial"/>
            </w:rPr>
            <w:instrText xml:space="preserve"> PAGEREF _Toc498010387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785B4373">
          <w:pPr>
            <w:pStyle w:val="7"/>
            <w:tabs>
              <w:tab w:val="left" w:pos="630"/>
              <w:tab w:val="right" w:leader="dot" w:pos="8296"/>
            </w:tabs>
            <w:rPr>
              <w:rFonts w:ascii="Arial" w:hAnsi="Arial" w:cs="Arial"/>
            </w:rPr>
          </w:pPr>
          <w:r>
            <w:fldChar w:fldCharType="begin"/>
          </w:r>
          <w:r>
            <w:instrText xml:space="preserve"> HYPERLINK \l "_Toc498010388" </w:instrText>
          </w:r>
          <w:r>
            <w:fldChar w:fldCharType="separate"/>
          </w:r>
          <w:r>
            <w:rPr>
              <w:rStyle w:val="12"/>
              <w:rFonts w:ascii="Arial" w:hAnsi="Arial" w:eastAsia="宋体" w:cs="Arial"/>
            </w:rPr>
            <w:t>B.</w:t>
          </w:r>
          <w:r>
            <w:rPr>
              <w:rFonts w:ascii="Arial" w:hAnsi="Arial" w:cs="Arial"/>
            </w:rPr>
            <w:tab/>
          </w:r>
          <w:r>
            <w:rPr>
              <w:rStyle w:val="12"/>
              <w:rFonts w:ascii="Arial" w:hAnsi="Arial" w:eastAsia="宋体" w:cs="Arial"/>
            </w:rPr>
            <w:t>背景</w:t>
          </w:r>
          <w:r>
            <w:rPr>
              <w:rFonts w:ascii="Arial" w:hAnsi="Arial" w:cs="Arial"/>
            </w:rPr>
            <w:tab/>
          </w:r>
          <w:r>
            <w:rPr>
              <w:rFonts w:ascii="Arial" w:hAnsi="Arial" w:cs="Arial"/>
            </w:rPr>
            <w:fldChar w:fldCharType="begin"/>
          </w:r>
          <w:r>
            <w:rPr>
              <w:rFonts w:ascii="Arial" w:hAnsi="Arial" w:cs="Arial"/>
            </w:rPr>
            <w:instrText xml:space="preserve"> PAGEREF _Toc498010388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60378FFB">
          <w:pPr>
            <w:pStyle w:val="7"/>
            <w:tabs>
              <w:tab w:val="left" w:pos="630"/>
              <w:tab w:val="right" w:leader="dot" w:pos="8296"/>
            </w:tabs>
            <w:rPr>
              <w:rFonts w:ascii="Arial" w:hAnsi="Arial" w:cs="Arial"/>
            </w:rPr>
          </w:pPr>
          <w:r>
            <w:fldChar w:fldCharType="begin"/>
          </w:r>
          <w:r>
            <w:instrText xml:space="preserve"> HYPERLINK \l "_Toc498010389" </w:instrText>
          </w:r>
          <w:r>
            <w:fldChar w:fldCharType="separate"/>
          </w:r>
          <w:r>
            <w:rPr>
              <w:rStyle w:val="12"/>
              <w:rFonts w:ascii="Arial" w:hAnsi="Arial" w:eastAsia="宋体" w:cs="Arial"/>
            </w:rPr>
            <w:t>C.</w:t>
          </w:r>
          <w:r>
            <w:rPr>
              <w:rFonts w:ascii="Arial" w:hAnsi="Arial" w:cs="Arial"/>
            </w:rPr>
            <w:tab/>
          </w:r>
          <w:r>
            <w:rPr>
              <w:rStyle w:val="12"/>
              <w:rFonts w:ascii="Arial" w:hAnsi="Arial" w:eastAsia="宋体" w:cs="Arial"/>
            </w:rPr>
            <w:t>范围</w:t>
          </w:r>
          <w:r>
            <w:rPr>
              <w:rFonts w:ascii="Arial" w:hAnsi="Arial" w:cs="Arial"/>
            </w:rPr>
            <w:tab/>
          </w:r>
          <w:r>
            <w:rPr>
              <w:rFonts w:ascii="Arial" w:hAnsi="Arial" w:cs="Arial"/>
            </w:rPr>
            <w:fldChar w:fldCharType="begin"/>
          </w:r>
          <w:r>
            <w:rPr>
              <w:rFonts w:ascii="Arial" w:hAnsi="Arial" w:cs="Arial"/>
            </w:rPr>
            <w:instrText xml:space="preserve"> PAGEREF _Toc498010389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4E9B7E1A">
          <w:pPr>
            <w:pStyle w:val="7"/>
            <w:tabs>
              <w:tab w:val="left" w:pos="630"/>
              <w:tab w:val="right" w:leader="dot" w:pos="8296"/>
            </w:tabs>
            <w:rPr>
              <w:rFonts w:ascii="Arial" w:hAnsi="Arial" w:cs="Arial"/>
            </w:rPr>
          </w:pPr>
          <w:r>
            <w:fldChar w:fldCharType="begin"/>
          </w:r>
          <w:r>
            <w:instrText xml:space="preserve"> HYPERLINK \l "_Toc498010390" </w:instrText>
          </w:r>
          <w:r>
            <w:fldChar w:fldCharType="separate"/>
          </w:r>
          <w:r>
            <w:rPr>
              <w:rStyle w:val="12"/>
              <w:rFonts w:ascii="Arial" w:hAnsi="Arial" w:eastAsia="宋体" w:cs="Arial"/>
            </w:rPr>
            <w:t>D.</w:t>
          </w:r>
          <w:r>
            <w:rPr>
              <w:rFonts w:ascii="Arial" w:hAnsi="Arial" w:cs="Arial"/>
            </w:rPr>
            <w:tab/>
          </w:r>
          <w:r>
            <w:rPr>
              <w:rStyle w:val="12"/>
              <w:rFonts w:ascii="Arial" w:hAnsi="Arial" w:eastAsia="宋体" w:cs="Arial"/>
            </w:rPr>
            <w:t>实验室生产全部LDT的FDA通知</w:t>
          </w:r>
          <w:r>
            <w:rPr>
              <w:rFonts w:ascii="Arial" w:hAnsi="Arial" w:cs="Arial"/>
            </w:rPr>
            <w:tab/>
          </w:r>
          <w:r>
            <w:rPr>
              <w:rFonts w:ascii="Arial" w:hAnsi="Arial" w:cs="Arial"/>
            </w:rPr>
            <w:fldChar w:fldCharType="begin"/>
          </w:r>
          <w:r>
            <w:rPr>
              <w:rFonts w:ascii="Arial" w:hAnsi="Arial" w:cs="Arial"/>
            </w:rPr>
            <w:instrText xml:space="preserve"> PAGEREF _Toc498010390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3E419731">
          <w:pPr>
            <w:pStyle w:val="7"/>
            <w:tabs>
              <w:tab w:val="left" w:pos="420"/>
              <w:tab w:val="right" w:leader="dot" w:pos="8296"/>
            </w:tabs>
            <w:rPr>
              <w:rFonts w:ascii="Arial" w:hAnsi="Arial" w:cs="Arial"/>
            </w:rPr>
          </w:pPr>
          <w:r>
            <w:fldChar w:fldCharType="begin"/>
          </w:r>
          <w:r>
            <w:instrText xml:space="preserve"> HYPERLINK \l "_Toc498010391" </w:instrText>
          </w:r>
          <w:r>
            <w:fldChar w:fldCharType="separate"/>
          </w:r>
          <w:r>
            <w:rPr>
              <w:rStyle w:val="12"/>
              <w:rFonts w:ascii="Arial" w:hAnsi="Arial" w:eastAsia="宋体" w:cs="Arial"/>
            </w:rPr>
            <w:t>E.</w:t>
          </w:r>
          <w:r>
            <w:rPr>
              <w:rFonts w:ascii="Arial" w:hAnsi="Arial" w:cs="Arial"/>
            </w:rPr>
            <w:tab/>
          </w:r>
          <w:r>
            <w:rPr>
              <w:rStyle w:val="12"/>
              <w:rFonts w:ascii="Arial" w:hAnsi="Arial" w:eastAsia="宋体" w:cs="Arial"/>
            </w:rPr>
            <w:t>LDT的医疗器械报告</w:t>
          </w:r>
          <w:r>
            <w:rPr>
              <w:rFonts w:ascii="Arial" w:hAnsi="Arial" w:cs="Arial"/>
            </w:rPr>
            <w:tab/>
          </w:r>
          <w:r>
            <w:rPr>
              <w:rFonts w:ascii="Arial" w:hAnsi="Arial" w:cs="Arial"/>
            </w:rPr>
            <w:fldChar w:fldCharType="begin"/>
          </w:r>
          <w:r>
            <w:rPr>
              <w:rFonts w:ascii="Arial" w:hAnsi="Arial" w:cs="Arial"/>
            </w:rPr>
            <w:instrText xml:space="preserve"> PAGEREF _Toc498010391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75521448">
          <w:pPr>
            <w:pStyle w:val="7"/>
            <w:tabs>
              <w:tab w:val="right" w:leader="dot" w:pos="8296"/>
            </w:tabs>
            <w:rPr>
              <w:rFonts w:ascii="Arial" w:hAnsi="Arial" w:cs="Arial"/>
            </w:rPr>
          </w:pPr>
          <w:r>
            <w:fldChar w:fldCharType="begin"/>
          </w:r>
          <w:r>
            <w:instrText xml:space="preserve"> HYPERLINK \l "_Toc498010392" </w:instrText>
          </w:r>
          <w:r>
            <w:fldChar w:fldCharType="separate"/>
          </w:r>
          <w:r>
            <w:rPr>
              <w:rStyle w:val="12"/>
              <w:rFonts w:ascii="Arial" w:hAnsi="Arial" w:eastAsia="宋体" w:cs="Arial"/>
            </w:rPr>
            <w:t>附录A：FDA通知数据元素</w:t>
          </w:r>
          <w:r>
            <w:rPr>
              <w:rFonts w:ascii="Arial" w:hAnsi="Arial" w:cs="Arial"/>
            </w:rPr>
            <w:tab/>
          </w:r>
          <w:r>
            <w:rPr>
              <w:rFonts w:ascii="Arial" w:hAnsi="Arial" w:cs="Arial"/>
            </w:rPr>
            <w:fldChar w:fldCharType="begin"/>
          </w:r>
          <w:r>
            <w:rPr>
              <w:rFonts w:ascii="Arial" w:hAnsi="Arial" w:cs="Arial"/>
            </w:rPr>
            <w:instrText xml:space="preserve"> PAGEREF _Toc498010392 \h </w:instrText>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fldChar w:fldCharType="end"/>
          </w:r>
        </w:p>
        <w:p w14:paraId="68E0F40E">
          <w:pPr>
            <w:pStyle w:val="7"/>
            <w:tabs>
              <w:tab w:val="right" w:leader="dot" w:pos="8296"/>
            </w:tabs>
            <w:rPr>
              <w:rFonts w:ascii="Arial" w:hAnsi="Arial" w:cs="Arial"/>
            </w:rPr>
          </w:pPr>
          <w:r>
            <w:fldChar w:fldCharType="begin"/>
          </w:r>
          <w:r>
            <w:instrText xml:space="preserve"> HYPERLINK \l "_Toc498010393" </w:instrText>
          </w:r>
          <w:r>
            <w:fldChar w:fldCharType="separate"/>
          </w:r>
          <w:r>
            <w:rPr>
              <w:rStyle w:val="12"/>
              <w:rFonts w:ascii="Arial" w:hAnsi="Arial" w:eastAsia="宋体" w:cs="Arial"/>
            </w:rPr>
            <w:t>附录B：不良事件报告要求</w:t>
          </w:r>
          <w:r>
            <w:rPr>
              <w:rFonts w:ascii="Arial" w:hAnsi="Arial" w:cs="Arial"/>
            </w:rPr>
            <w:tab/>
          </w:r>
          <w:r>
            <w:rPr>
              <w:rFonts w:ascii="Arial" w:hAnsi="Arial" w:cs="Arial"/>
            </w:rPr>
            <w:fldChar w:fldCharType="begin"/>
          </w:r>
          <w:r>
            <w:rPr>
              <w:rFonts w:ascii="Arial" w:hAnsi="Arial" w:cs="Arial"/>
            </w:rPr>
            <w:instrText xml:space="preserve"> PAGEREF _Toc498010393 \h </w:instrText>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rPr>
            <w:fldChar w:fldCharType="end"/>
          </w:r>
        </w:p>
        <w:p w14:paraId="32EEBD56">
          <w:pPr>
            <w:rPr>
              <w:rFonts w:ascii="Arial" w:hAnsi="Arial" w:cs="Arial"/>
            </w:rPr>
          </w:pPr>
          <w:r>
            <w:rPr>
              <w:rFonts w:ascii="Arial" w:hAnsi="Arial" w:cs="Arial"/>
              <w:bCs/>
              <w:lang w:val="zh-CN"/>
            </w:rPr>
            <w:fldChar w:fldCharType="end"/>
          </w:r>
        </w:p>
      </w:sdtContent>
    </w:sdt>
    <w:p w14:paraId="4D076E75">
      <w:pPr>
        <w:widowControl/>
        <w:overflowPunct w:val="0"/>
        <w:snapToGrid w:val="0"/>
        <w:spacing w:after="156" w:afterLines="50" w:line="300" w:lineRule="auto"/>
        <w:jc w:val="left"/>
        <w:rPr>
          <w:rFonts w:ascii="Arial" w:hAnsi="Arial" w:eastAsia="宋体" w:cs="Arial"/>
          <w:sz w:val="24"/>
          <w:szCs w:val="24"/>
        </w:rPr>
      </w:pPr>
    </w:p>
    <w:p w14:paraId="75F8E138">
      <w:pPr>
        <w:pBdr>
          <w:bottom w:val="single" w:color="auto" w:sz="4" w:space="1"/>
        </w:pBdr>
        <w:overflowPunct w:val="0"/>
        <w:snapToGrid w:val="0"/>
        <w:spacing w:after="156" w:afterLines="50" w:line="300" w:lineRule="auto"/>
        <w:jc w:val="center"/>
        <w:rPr>
          <w:rFonts w:ascii="Arial" w:hAnsi="Arial" w:eastAsia="宋体" w:cs="Arial"/>
          <w:b/>
          <w:sz w:val="52"/>
          <w:szCs w:val="52"/>
        </w:rPr>
        <w:sectPr>
          <w:headerReference r:id="rId4" w:type="default"/>
          <w:pgSz w:w="11906" w:h="16838"/>
          <w:pgMar w:top="1440" w:right="1800" w:bottom="1440" w:left="1800" w:header="851" w:footer="992" w:gutter="0"/>
          <w:cols w:space="425" w:num="1"/>
          <w:docGrid w:type="lines" w:linePitch="312" w:charSpace="0"/>
        </w:sectPr>
      </w:pPr>
    </w:p>
    <w:p w14:paraId="31254B4E">
      <w:pPr>
        <w:pBdr>
          <w:bottom w:val="single" w:color="auto" w:sz="4" w:space="1"/>
        </w:pBdr>
        <w:overflowPunct w:val="0"/>
        <w:snapToGrid w:val="0"/>
        <w:spacing w:after="156" w:afterLines="50" w:line="300" w:lineRule="auto"/>
        <w:jc w:val="center"/>
        <w:rPr>
          <w:rFonts w:ascii="Arial" w:hAnsi="Arial" w:eastAsia="宋体" w:cs="Arial"/>
          <w:b/>
          <w:sz w:val="52"/>
          <w:szCs w:val="52"/>
        </w:rPr>
      </w:pPr>
      <w:r>
        <w:rPr>
          <w:rFonts w:ascii="Arial" w:hAnsi="Arial" w:eastAsia="宋体" w:cs="Arial"/>
          <w:b/>
          <w:sz w:val="52"/>
          <w:szCs w:val="52"/>
        </w:rPr>
        <w:t>行业、FDA工作人员和临床实验室指南草案</w:t>
      </w:r>
    </w:p>
    <w:p w14:paraId="7EC6D024">
      <w:pPr>
        <w:overflowPunct w:val="0"/>
        <w:adjustRightInd w:val="0"/>
        <w:snapToGrid w:val="0"/>
        <w:spacing w:after="156" w:afterLines="50" w:line="300" w:lineRule="auto"/>
        <w:ind w:left="420"/>
        <w:jc w:val="center"/>
        <w:rPr>
          <w:rFonts w:ascii="Arial" w:hAnsi="Arial" w:eastAsia="宋体" w:cs="Arial"/>
          <w:b/>
          <w:sz w:val="52"/>
          <w:szCs w:val="52"/>
        </w:rPr>
      </w:pPr>
      <w:r>
        <w:rPr>
          <w:rFonts w:ascii="Arial" w:hAnsi="Arial" w:eastAsia="宋体" w:cs="Arial"/>
          <w:b/>
          <w:sz w:val="52"/>
          <w:szCs w:val="52"/>
        </w:rPr>
        <w:t>实验室检测（LDT）的FDA通知和医疗器械报告</w:t>
      </w:r>
    </w:p>
    <w:tbl>
      <w:tblPr>
        <w:tblStyle w:val="10"/>
        <w:tblW w:w="5000" w:type="pct"/>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522"/>
      </w:tblGrid>
      <w:tr w14:paraId="2B96321D">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5000" w:type="pct"/>
          </w:tcPr>
          <w:p w14:paraId="2C2BE8FE">
            <w:pPr>
              <w:overflowPunct w:val="0"/>
              <w:adjustRightInd w:val="0"/>
              <w:snapToGrid w:val="0"/>
              <w:spacing w:line="300" w:lineRule="auto"/>
              <w:jc w:val="left"/>
              <w:rPr>
                <w:rFonts w:ascii="Arial" w:hAnsi="Arial" w:eastAsia="宋体" w:cs="Arial"/>
                <w:b/>
                <w:i/>
                <w:sz w:val="24"/>
                <w:szCs w:val="24"/>
              </w:rPr>
            </w:pPr>
            <w:r>
              <w:rPr>
                <w:rFonts w:ascii="Arial" w:hAnsi="Arial" w:eastAsia="宋体" w:cs="Arial"/>
                <w:b/>
                <w:i/>
                <w:kern w:val="0"/>
                <w:sz w:val="24"/>
                <w:szCs w:val="24"/>
              </w:rPr>
              <w:t>本指南草案代表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3C0D5435">
      <w:pPr>
        <w:pStyle w:val="14"/>
        <w:numPr>
          <w:ilvl w:val="0"/>
          <w:numId w:val="1"/>
        </w:numPr>
        <w:overflowPunct w:val="0"/>
        <w:adjustRightInd w:val="0"/>
        <w:snapToGrid w:val="0"/>
        <w:spacing w:before="156" w:beforeLines="50" w:after="156" w:afterLines="50" w:line="300" w:lineRule="auto"/>
        <w:ind w:left="357" w:hanging="357" w:firstLineChars="0"/>
        <w:jc w:val="left"/>
        <w:outlineLvl w:val="0"/>
        <w:rPr>
          <w:rFonts w:ascii="Arial" w:hAnsi="Arial" w:eastAsia="宋体" w:cs="Arial"/>
          <w:b/>
          <w:sz w:val="32"/>
          <w:szCs w:val="32"/>
        </w:rPr>
      </w:pPr>
      <w:bookmarkStart w:id="2" w:name="_Toc498010387"/>
      <w:r>
        <w:rPr>
          <w:rFonts w:ascii="Arial" w:hAnsi="Arial" w:eastAsia="宋体" w:cs="Arial"/>
          <w:b/>
          <w:sz w:val="32"/>
          <w:szCs w:val="32"/>
        </w:rPr>
        <w:t>引言</w:t>
      </w:r>
      <w:bookmarkEnd w:id="2"/>
    </w:p>
    <w:p w14:paraId="66644EA4">
      <w:pPr>
        <w:overflowPunct w:val="0"/>
        <w:adjustRightInd w:val="0"/>
        <w:snapToGrid w:val="0"/>
        <w:spacing w:after="156" w:afterLines="50" w:line="300" w:lineRule="auto"/>
        <w:rPr>
          <w:rFonts w:ascii="Arial" w:hAnsi="Arial" w:eastAsia="宋体" w:cs="Arial"/>
          <w:sz w:val="28"/>
          <w:szCs w:val="28"/>
        </w:rPr>
      </w:pPr>
      <w:r>
        <w:rPr>
          <w:rFonts w:ascii="Arial" w:hAnsi="Arial" w:eastAsia="宋体" w:cs="Arial"/>
          <w:sz w:val="28"/>
          <w:szCs w:val="28"/>
        </w:rPr>
        <w:t>本文件旨在描述临床实验室向FDA通知其生产的检测（LDT）的流程，以及描述21 CFR第803部分对生产LDT临床实验室的医疗器械报告（MDR）要求。LDT指的是用于临床，且由独立的实验室设计、生产及使用的体外诊断器械（IVD）。</w:t>
      </w:r>
      <w:r>
        <w:rPr>
          <w:rStyle w:val="13"/>
          <w:rFonts w:ascii="Arial" w:hAnsi="Arial" w:eastAsia="宋体" w:cs="Arial"/>
          <w:sz w:val="28"/>
          <w:szCs w:val="28"/>
        </w:rPr>
        <w:footnoteReference w:id="0"/>
      </w:r>
      <w:r>
        <w:rPr>
          <w:rFonts w:hint="eastAsia" w:ascii="Arial" w:hAnsi="Arial" w:eastAsia="宋体" w:cs="Arial"/>
          <w:sz w:val="28"/>
          <w:szCs w:val="28"/>
          <w:vertAlign w:val="superscript"/>
        </w:rPr>
        <w:t>,</w:t>
      </w:r>
      <w:r>
        <w:rPr>
          <w:rStyle w:val="13"/>
          <w:rFonts w:ascii="Arial" w:hAnsi="Arial" w:eastAsia="宋体" w:cs="Arial"/>
          <w:sz w:val="28"/>
          <w:szCs w:val="28"/>
        </w:rPr>
        <w:footnoteReference w:id="1"/>
      </w:r>
    </w:p>
    <w:p w14:paraId="3129DE2B">
      <w:pPr>
        <w:overflowPunct w:val="0"/>
        <w:adjustRightInd w:val="0"/>
        <w:snapToGrid w:val="0"/>
        <w:spacing w:after="156" w:afterLines="50" w:line="300" w:lineRule="auto"/>
        <w:rPr>
          <w:rFonts w:ascii="Arial" w:hAnsi="Arial" w:eastAsia="宋体" w:cs="Arial"/>
          <w:sz w:val="28"/>
          <w:szCs w:val="28"/>
        </w:rPr>
      </w:pPr>
      <w:r>
        <w:rPr>
          <w:rFonts w:ascii="Arial" w:hAnsi="Arial" w:eastAsia="宋体" w:cs="Arial"/>
          <w:sz w:val="28"/>
          <w:szCs w:val="28"/>
        </w:rPr>
        <w:t>FDA指导性文件，包括本指南在内，不具有法律强制责任。相反，指南表明了该机构目前关于该主题的思考，除非引用具体的法规或法律要求，否则只应视为建议。在本机构指南中使用词语</w:t>
      </w:r>
      <w:r>
        <w:rPr>
          <w:rFonts w:ascii="宋体" w:hAnsi="宋体" w:eastAsia="宋体" w:cs="Arial"/>
          <w:sz w:val="28"/>
          <w:szCs w:val="28"/>
        </w:rPr>
        <w:t>“</w:t>
      </w:r>
      <w:r>
        <w:rPr>
          <w:rFonts w:ascii="Arial" w:hAnsi="Arial" w:eastAsia="宋体" w:cs="Arial"/>
          <w:sz w:val="28"/>
          <w:szCs w:val="28"/>
        </w:rPr>
        <w:t>应当</w:t>
      </w:r>
      <w:r>
        <w:rPr>
          <w:rFonts w:ascii="宋体" w:hAnsi="宋体" w:eastAsia="宋体" w:cs="Arial"/>
          <w:sz w:val="28"/>
          <w:szCs w:val="28"/>
        </w:rPr>
        <w:t>”</w:t>
      </w:r>
      <w:r>
        <w:rPr>
          <w:rFonts w:ascii="Arial" w:hAnsi="Arial" w:eastAsia="宋体" w:cs="Arial"/>
          <w:sz w:val="28"/>
          <w:szCs w:val="28"/>
        </w:rPr>
        <w:t>是指建议或推荐进行某一事项，并非强制要求。</w:t>
      </w:r>
    </w:p>
    <w:p w14:paraId="46FCFE28">
      <w:pPr>
        <w:widowControl/>
        <w:overflowPunct w:val="0"/>
        <w:jc w:val="left"/>
        <w:rPr>
          <w:rFonts w:ascii="Arial" w:hAnsi="Arial" w:eastAsia="宋体" w:cs="Arial"/>
          <w:b/>
          <w:sz w:val="32"/>
          <w:szCs w:val="32"/>
        </w:rPr>
      </w:pPr>
      <w:r>
        <w:rPr>
          <w:rFonts w:ascii="Arial" w:hAnsi="Arial" w:eastAsia="宋体" w:cs="Arial"/>
          <w:b/>
          <w:sz w:val="32"/>
          <w:szCs w:val="32"/>
        </w:rPr>
        <w:br w:type="page"/>
      </w:r>
    </w:p>
    <w:p w14:paraId="2E3CE360">
      <w:pPr>
        <w:pStyle w:val="14"/>
        <w:numPr>
          <w:ilvl w:val="0"/>
          <w:numId w:val="1"/>
        </w:numPr>
        <w:overflowPunct w:val="0"/>
        <w:adjustRightInd w:val="0"/>
        <w:snapToGrid w:val="0"/>
        <w:spacing w:before="156" w:beforeLines="50" w:after="156" w:afterLines="50" w:line="300" w:lineRule="auto"/>
        <w:ind w:left="357" w:hanging="357" w:firstLineChars="0"/>
        <w:jc w:val="left"/>
        <w:outlineLvl w:val="0"/>
        <w:rPr>
          <w:rFonts w:ascii="Arial" w:hAnsi="Arial" w:eastAsia="宋体" w:cs="Arial"/>
          <w:b/>
          <w:sz w:val="32"/>
          <w:szCs w:val="32"/>
        </w:rPr>
      </w:pPr>
      <w:bookmarkStart w:id="3" w:name="_Toc498010388"/>
      <w:r>
        <w:rPr>
          <w:rFonts w:ascii="Arial" w:hAnsi="Arial" w:eastAsia="宋体" w:cs="Arial"/>
          <w:b/>
          <w:sz w:val="32"/>
          <w:szCs w:val="32"/>
        </w:rPr>
        <w:t>背景</w:t>
      </w:r>
      <w:bookmarkEnd w:id="3"/>
    </w:p>
    <w:p w14:paraId="70EBA5DA">
      <w:pPr>
        <w:overflowPunct w:val="0"/>
        <w:adjustRightInd w:val="0"/>
        <w:snapToGrid w:val="0"/>
        <w:spacing w:line="300" w:lineRule="auto"/>
        <w:rPr>
          <w:rFonts w:ascii="Arial" w:hAnsi="Arial" w:eastAsia="宋体" w:cs="Arial"/>
          <w:b/>
          <w:sz w:val="28"/>
          <w:szCs w:val="28"/>
        </w:rPr>
      </w:pPr>
      <w:r>
        <w:rPr>
          <w:rFonts w:ascii="Arial" w:hAnsi="Arial" w:eastAsia="宋体" w:cs="Arial"/>
          <w:b/>
          <w:sz w:val="28"/>
          <w:szCs w:val="28"/>
        </w:rPr>
        <w:t>LDT背景和法规历史</w:t>
      </w:r>
    </w:p>
    <w:p w14:paraId="1B467D15">
      <w:pPr>
        <w:overflowPunct w:val="0"/>
        <w:adjustRightInd w:val="0"/>
        <w:snapToGrid w:val="0"/>
        <w:spacing w:after="156" w:afterLines="50" w:line="300" w:lineRule="auto"/>
        <w:rPr>
          <w:rFonts w:ascii="Arial" w:hAnsi="Arial" w:eastAsia="宋体" w:cs="Arial"/>
          <w:sz w:val="28"/>
          <w:szCs w:val="28"/>
        </w:rPr>
      </w:pPr>
      <w:r>
        <w:rPr>
          <w:rFonts w:ascii="Arial" w:hAnsi="Arial" w:eastAsia="宋体" w:cs="Arial"/>
          <w:sz w:val="28"/>
          <w:szCs w:val="28"/>
        </w:rPr>
        <w:t>1976年，国会通过了医疗器械修正案（MDA），与联邦食品药品与化妆品法案（FD&amp;C法案）共同建立以人用医疗器械的综合监管体系。同时也对医疗器械的定义进行了修订，其范围扩展到了体外诊断器械（IVD）。</w:t>
      </w:r>
      <w:r>
        <w:rPr>
          <w:rStyle w:val="13"/>
          <w:rFonts w:ascii="Arial" w:hAnsi="Arial" w:eastAsia="宋体" w:cs="Arial"/>
          <w:sz w:val="28"/>
          <w:szCs w:val="28"/>
        </w:rPr>
        <w:footnoteReference w:id="2"/>
      </w:r>
      <w:r>
        <w:rPr>
          <w:rFonts w:ascii="Arial" w:hAnsi="Arial" w:eastAsia="宋体" w:cs="Arial"/>
          <w:sz w:val="28"/>
          <w:szCs w:val="28"/>
        </w:rPr>
        <w:t>医疗器械的定义同时适用于由常规医疗器械制造商和实验室生产的体外诊断器械。因此，不论在何时由何人生产，IVD均符合医疗器械的定义。</w:t>
      </w:r>
    </w:p>
    <w:p w14:paraId="7A393CDB">
      <w:pPr>
        <w:overflowPunct w:val="0"/>
        <w:adjustRightInd w:val="0"/>
        <w:snapToGrid w:val="0"/>
        <w:spacing w:after="156" w:afterLines="50" w:line="300" w:lineRule="auto"/>
        <w:rPr>
          <w:rFonts w:ascii="Arial" w:hAnsi="Arial" w:eastAsia="宋体" w:cs="Arial"/>
          <w:sz w:val="28"/>
          <w:szCs w:val="28"/>
        </w:rPr>
      </w:pPr>
      <w:r>
        <w:rPr>
          <w:rFonts w:ascii="Arial" w:hAnsi="Arial" w:eastAsia="宋体" w:cs="Arial"/>
          <w:sz w:val="28"/>
          <w:szCs w:val="28"/>
        </w:rPr>
        <w:t>但从1976年MDA实施以来，FDA行使强制执行自由裁量权，未针对LDT强制实施FD&amp;C法案和FDA规范条款。</w:t>
      </w:r>
    </w:p>
    <w:p w14:paraId="00E0A08A">
      <w:pPr>
        <w:overflowPunct w:val="0"/>
        <w:adjustRightInd w:val="0"/>
        <w:snapToGrid w:val="0"/>
        <w:spacing w:after="156" w:afterLines="50" w:line="300" w:lineRule="auto"/>
        <w:rPr>
          <w:rFonts w:ascii="Arial" w:hAnsi="Arial" w:eastAsia="宋体" w:cs="Arial"/>
          <w:sz w:val="28"/>
          <w:szCs w:val="28"/>
        </w:rPr>
      </w:pPr>
      <w:r>
        <w:rPr>
          <w:rFonts w:ascii="Arial" w:hAnsi="Arial" w:eastAsia="宋体" w:cs="Arial"/>
          <w:sz w:val="28"/>
          <w:szCs w:val="28"/>
        </w:rPr>
        <w:t>自从1976年国会根据FD&amp;C认定ICD为医疗器械，且FDA决定针对LDT行使强制执行自由裁量权以来，行业发生了大幅增长和变化。FDA发现由于缺少针对LDT的恰当的监管，对患者造成了潜在的风险。FDA认为，对于全部IVD而言，多种不同类型的LDT的潜在风险存在差异。因此，为了保护患者安全，使用基于风险的方式对LDT进行监管是合适且有必要的。</w:t>
      </w:r>
    </w:p>
    <w:p w14:paraId="447B6EBA">
      <w:pPr>
        <w:overflowPunct w:val="0"/>
        <w:adjustRightInd w:val="0"/>
        <w:snapToGrid w:val="0"/>
        <w:spacing w:after="156" w:afterLines="50" w:line="300" w:lineRule="auto"/>
        <w:rPr>
          <w:rFonts w:ascii="Arial" w:hAnsi="Arial" w:eastAsia="宋体" w:cs="Arial"/>
          <w:sz w:val="28"/>
          <w:szCs w:val="28"/>
        </w:rPr>
      </w:pPr>
      <w:r>
        <w:rPr>
          <w:rFonts w:ascii="Arial" w:hAnsi="Arial" w:eastAsia="宋体" w:cs="Arial"/>
          <w:sz w:val="28"/>
          <w:szCs w:val="28"/>
        </w:rPr>
        <w:t>与本文件同时发布接受评论的还有指南草案文件《</w:t>
      </w:r>
      <w:bookmarkStart w:id="4" w:name="OLE_LINK61"/>
      <w:bookmarkStart w:id="5" w:name="OLE_LINK62"/>
      <w:r>
        <w:rPr>
          <w:rFonts w:ascii="Arial" w:hAnsi="Arial" w:eastAsia="宋体" w:cs="Arial"/>
          <w:sz w:val="28"/>
          <w:szCs w:val="28"/>
        </w:rPr>
        <w:t>实验室检测（LDT）监管框架</w:t>
      </w:r>
      <w:bookmarkEnd w:id="4"/>
      <w:bookmarkEnd w:id="5"/>
      <w:r>
        <w:rPr>
          <w:rFonts w:ascii="Arial" w:hAnsi="Arial" w:eastAsia="宋体" w:cs="Arial"/>
          <w:sz w:val="28"/>
          <w:szCs w:val="28"/>
        </w:rPr>
        <w:t>》（LDT框架指导性文件），与该文件一致，FDA希望针对LDT，以及生产、制备、传播、混合、组装或加工LDT的实验室施行特定的医疗器械要求。</w:t>
      </w:r>
      <w:r>
        <w:rPr>
          <w:rStyle w:val="13"/>
          <w:rFonts w:ascii="Arial" w:hAnsi="Arial" w:eastAsia="宋体" w:cs="Arial"/>
          <w:sz w:val="28"/>
          <w:szCs w:val="28"/>
        </w:rPr>
        <w:footnoteReference w:id="3"/>
      </w:r>
      <w:r>
        <w:rPr>
          <w:rFonts w:ascii="Arial" w:hAnsi="Arial" w:eastAsia="宋体" w:cs="Arial"/>
          <w:sz w:val="28"/>
          <w:szCs w:val="28"/>
        </w:rPr>
        <w:t>FDA希望通过通知流程收集目前已用于临床的LDT的信息。另外，FDA希望在生产LDT的实验室中施行21 CFR第803部分的要求，报告与LDT相关的安全性因素，并建立与LDT使用相关的任何已知和可疑的不良事件的信息收集机制。FDA相信，无论任何制造商，通过这种监管方式均可以确保健康护理中使用的IVD检测有充足的安全性和有效性保障。</w:t>
      </w:r>
    </w:p>
    <w:p w14:paraId="4E53AFEF">
      <w:pPr>
        <w:pStyle w:val="14"/>
        <w:numPr>
          <w:ilvl w:val="0"/>
          <w:numId w:val="1"/>
        </w:numPr>
        <w:overflowPunct w:val="0"/>
        <w:adjustRightInd w:val="0"/>
        <w:snapToGrid w:val="0"/>
        <w:spacing w:before="156" w:beforeLines="50" w:after="156" w:afterLines="50" w:line="360" w:lineRule="auto"/>
        <w:ind w:left="357" w:hanging="357" w:firstLineChars="0"/>
        <w:jc w:val="left"/>
        <w:outlineLvl w:val="0"/>
        <w:rPr>
          <w:rFonts w:ascii="Arial" w:hAnsi="Arial" w:eastAsia="宋体" w:cs="Arial"/>
          <w:b/>
          <w:sz w:val="32"/>
          <w:szCs w:val="32"/>
        </w:rPr>
      </w:pPr>
      <w:bookmarkStart w:id="6" w:name="_Toc498010389"/>
      <w:r>
        <w:rPr>
          <w:rFonts w:ascii="Arial" w:hAnsi="Arial" w:eastAsia="宋体" w:cs="Arial"/>
          <w:b/>
          <w:sz w:val="32"/>
          <w:szCs w:val="32"/>
        </w:rPr>
        <w:t>范围</w:t>
      </w:r>
      <w:bookmarkEnd w:id="6"/>
    </w:p>
    <w:p w14:paraId="7B914B5F">
      <w:pPr>
        <w:overflowPunct w:val="0"/>
        <w:adjustRightInd w:val="0"/>
        <w:snapToGrid w:val="0"/>
        <w:spacing w:after="156" w:afterLines="50" w:line="360" w:lineRule="auto"/>
        <w:rPr>
          <w:rFonts w:ascii="Arial" w:hAnsi="Arial" w:eastAsia="宋体" w:cs="Arial"/>
          <w:sz w:val="28"/>
          <w:szCs w:val="28"/>
        </w:rPr>
      </w:pPr>
      <w:r>
        <w:rPr>
          <w:rFonts w:ascii="Arial" w:hAnsi="Arial" w:eastAsia="宋体" w:cs="Arial"/>
          <w:sz w:val="28"/>
          <w:szCs w:val="28"/>
        </w:rPr>
        <w:t>本文件的目标是解释临床实验室应以怎样的方式通知FDA其生产、制备、传播、复合、或处理的LDT。本指南也提供了如何遵守FDA针对LDT的MDR要求的信息。</w:t>
      </w:r>
    </w:p>
    <w:p w14:paraId="10057CC4">
      <w:pPr>
        <w:pStyle w:val="14"/>
        <w:numPr>
          <w:ilvl w:val="0"/>
          <w:numId w:val="1"/>
        </w:numPr>
        <w:overflowPunct w:val="0"/>
        <w:adjustRightInd w:val="0"/>
        <w:snapToGrid w:val="0"/>
        <w:spacing w:before="156" w:beforeLines="50" w:after="156" w:afterLines="50" w:line="360" w:lineRule="auto"/>
        <w:ind w:left="357" w:hanging="357" w:firstLineChars="0"/>
        <w:jc w:val="left"/>
        <w:outlineLvl w:val="0"/>
        <w:rPr>
          <w:rFonts w:ascii="Arial" w:hAnsi="Arial" w:eastAsia="宋体" w:cs="Arial"/>
          <w:b/>
          <w:sz w:val="32"/>
          <w:szCs w:val="32"/>
        </w:rPr>
      </w:pPr>
      <w:bookmarkStart w:id="7" w:name="_Toc498010390"/>
      <w:r>
        <w:rPr>
          <w:rFonts w:ascii="Arial" w:hAnsi="Arial" w:eastAsia="宋体" w:cs="Arial"/>
          <w:b/>
          <w:sz w:val="32"/>
          <w:szCs w:val="32"/>
        </w:rPr>
        <w:t>实验室生产全部LDT的FDA通知</w:t>
      </w:r>
      <w:bookmarkEnd w:id="7"/>
    </w:p>
    <w:p w14:paraId="3D902B6B">
      <w:pPr>
        <w:overflowPunct w:val="0"/>
        <w:adjustRightInd w:val="0"/>
        <w:snapToGrid w:val="0"/>
        <w:spacing w:after="156" w:afterLines="50" w:line="360" w:lineRule="auto"/>
        <w:rPr>
          <w:rFonts w:ascii="Arial" w:hAnsi="Arial" w:eastAsia="宋体" w:cs="Arial"/>
          <w:sz w:val="28"/>
          <w:szCs w:val="28"/>
        </w:rPr>
      </w:pPr>
      <w:r>
        <w:rPr>
          <w:rFonts w:ascii="Arial" w:hAnsi="Arial" w:eastAsia="宋体" w:cs="Arial"/>
          <w:sz w:val="28"/>
          <w:szCs w:val="28"/>
        </w:rPr>
        <w:t>下文所描述的通知流程旨在收集实验室所使用的LDT的信息，用以LDT的风险分级以及协助FDA确定在不同类型的LDT中施行上市前审查要求的优先级。</w:t>
      </w:r>
    </w:p>
    <w:p w14:paraId="5EDE74E5">
      <w:pPr>
        <w:overflowPunct w:val="0"/>
        <w:adjustRightInd w:val="0"/>
        <w:snapToGrid w:val="0"/>
        <w:spacing w:after="156" w:afterLines="50" w:line="360" w:lineRule="auto"/>
        <w:rPr>
          <w:rFonts w:ascii="Arial" w:hAnsi="Arial" w:eastAsia="宋体" w:cs="Arial"/>
          <w:sz w:val="28"/>
          <w:szCs w:val="28"/>
        </w:rPr>
      </w:pPr>
      <w:r>
        <w:rPr>
          <w:rFonts w:ascii="Arial" w:hAnsi="Arial" w:eastAsia="宋体" w:cs="Arial"/>
          <w:sz w:val="28"/>
          <w:szCs w:val="28"/>
        </w:rPr>
        <w:t>每项LDT通知中应提供的特定信息见本文件附录A。虽然在LDT发生重大改变时应提交额外的通知，但一般情况下每项LDT应提交一次通知。</w:t>
      </w:r>
    </w:p>
    <w:p w14:paraId="17376AE8">
      <w:pPr>
        <w:overflowPunct w:val="0"/>
        <w:adjustRightInd w:val="0"/>
        <w:snapToGrid w:val="0"/>
        <w:spacing w:after="156" w:afterLines="50" w:line="360" w:lineRule="auto"/>
        <w:rPr>
          <w:rFonts w:ascii="Arial" w:hAnsi="Arial" w:eastAsia="宋体" w:cs="Arial"/>
          <w:sz w:val="28"/>
          <w:szCs w:val="28"/>
        </w:rPr>
      </w:pPr>
      <w:r>
        <w:rPr>
          <w:rFonts w:ascii="Arial" w:hAnsi="Arial" w:eastAsia="宋体" w:cs="Arial"/>
          <w:sz w:val="28"/>
          <w:szCs w:val="28"/>
        </w:rPr>
        <w:t>完成通知流程并不意味着符合注册和等级要求，实验室也不应认为其已在FDA注册或登记。</w:t>
      </w:r>
    </w:p>
    <w:p w14:paraId="440D0778">
      <w:pPr>
        <w:overflowPunct w:val="0"/>
        <w:adjustRightInd w:val="0"/>
        <w:snapToGrid w:val="0"/>
        <w:spacing w:after="156" w:afterLines="50" w:line="360" w:lineRule="auto"/>
        <w:rPr>
          <w:rFonts w:ascii="Arial" w:hAnsi="Arial" w:eastAsia="宋体" w:cs="Arial"/>
          <w:b/>
          <w:sz w:val="28"/>
          <w:szCs w:val="28"/>
        </w:rPr>
      </w:pPr>
      <w:r>
        <w:rPr>
          <w:rFonts w:ascii="Arial" w:hAnsi="Arial" w:eastAsia="宋体" w:cs="Arial"/>
          <w:b/>
          <w:sz w:val="28"/>
          <w:szCs w:val="28"/>
        </w:rPr>
        <w:t>已经上市的LDT，以及在LDT最终框架指导性文件发布后6个月内上市的新LDT的通知流程：</w:t>
      </w:r>
    </w:p>
    <w:p w14:paraId="42E4617B">
      <w:pPr>
        <w:overflowPunct w:val="0"/>
        <w:adjustRightInd w:val="0"/>
        <w:snapToGrid w:val="0"/>
        <w:spacing w:after="156" w:afterLines="50" w:line="360" w:lineRule="auto"/>
        <w:rPr>
          <w:rFonts w:ascii="Arial" w:hAnsi="Arial" w:eastAsia="宋体" w:cs="Arial"/>
          <w:sz w:val="28"/>
          <w:szCs w:val="28"/>
        </w:rPr>
      </w:pPr>
      <w:r>
        <w:rPr>
          <w:rFonts w:ascii="Arial" w:hAnsi="Arial" w:eastAsia="宋体" w:cs="Arial"/>
          <w:sz w:val="28"/>
          <w:szCs w:val="28"/>
        </w:rPr>
        <w:t>对于在最终版LDT框架指导性文件发布日已上市的所有LDT，以及文件发布后6个月内上市的LDT，</w:t>
      </w:r>
      <w:bookmarkStart w:id="8" w:name="OLE_LINK1"/>
      <w:r>
        <w:rPr>
          <w:rFonts w:ascii="Arial" w:hAnsi="Arial" w:eastAsia="宋体" w:cs="Arial"/>
          <w:sz w:val="28"/>
          <w:szCs w:val="28"/>
        </w:rPr>
        <w:t>FDA希望根据21 CFR第807部分的注册和等级要求</w:t>
      </w:r>
      <w:r>
        <w:rPr>
          <w:rStyle w:val="13"/>
          <w:rFonts w:ascii="Arial" w:hAnsi="Arial" w:eastAsia="宋体" w:cs="Arial"/>
          <w:sz w:val="28"/>
          <w:szCs w:val="28"/>
        </w:rPr>
        <w:footnoteReference w:id="4"/>
      </w:r>
      <w:r>
        <w:rPr>
          <w:rFonts w:ascii="Arial" w:hAnsi="Arial" w:eastAsia="宋体" w:cs="Arial"/>
          <w:sz w:val="28"/>
          <w:szCs w:val="28"/>
        </w:rPr>
        <w:t>，继续在生产、制备、传播、复合、或处理</w:t>
      </w:r>
      <w:r>
        <w:rPr>
          <w:rStyle w:val="13"/>
          <w:rFonts w:ascii="Arial" w:hAnsi="Arial" w:eastAsia="宋体" w:cs="Arial"/>
          <w:sz w:val="28"/>
          <w:szCs w:val="28"/>
        </w:rPr>
        <w:footnoteReference w:id="5"/>
      </w:r>
      <w:r>
        <w:rPr>
          <w:rFonts w:ascii="Arial" w:hAnsi="Arial" w:eastAsia="宋体" w:cs="Arial"/>
          <w:sz w:val="28"/>
          <w:szCs w:val="28"/>
        </w:rPr>
        <w:t>LDT的实验室所有者和操作者中施行强制执行自由裁量权，前提条件是实验室的所有者/操作者通知机构，并提供其在最终版LDT框架指导性文件发布6个月内生产的所有LDT的基本信息。</w:t>
      </w:r>
      <w:bookmarkEnd w:id="8"/>
    </w:p>
    <w:p w14:paraId="4E7C922F">
      <w:pPr>
        <w:overflowPunct w:val="0"/>
        <w:adjustRightInd w:val="0"/>
        <w:snapToGrid w:val="0"/>
        <w:spacing w:line="360" w:lineRule="auto"/>
        <w:rPr>
          <w:rFonts w:ascii="Arial" w:hAnsi="Arial" w:eastAsia="宋体" w:cs="Arial"/>
          <w:b/>
          <w:sz w:val="28"/>
          <w:szCs w:val="28"/>
        </w:rPr>
      </w:pPr>
      <w:r>
        <w:rPr>
          <w:rFonts w:ascii="Arial" w:hAnsi="Arial" w:eastAsia="宋体" w:cs="Arial"/>
          <w:b/>
          <w:sz w:val="28"/>
          <w:szCs w:val="28"/>
        </w:rPr>
        <w:t>在LDT最终框架指导性文件发布后6个月后上市的新LDT的通知流程：</w:t>
      </w:r>
    </w:p>
    <w:p w14:paraId="1C01017F">
      <w:pPr>
        <w:overflowPunct w:val="0"/>
        <w:adjustRightInd w:val="0"/>
        <w:snapToGrid w:val="0"/>
        <w:spacing w:after="156" w:afterLines="50" w:line="360" w:lineRule="auto"/>
        <w:rPr>
          <w:rFonts w:ascii="Arial" w:hAnsi="Arial" w:eastAsia="宋体" w:cs="Arial"/>
          <w:sz w:val="28"/>
          <w:szCs w:val="28"/>
        </w:rPr>
      </w:pPr>
      <w:r>
        <w:rPr>
          <w:rFonts w:ascii="Arial" w:hAnsi="Arial" w:eastAsia="宋体" w:cs="Arial"/>
          <w:sz w:val="28"/>
          <w:szCs w:val="28"/>
        </w:rPr>
        <w:t>从最终版LDT框架指导性文件发布日后6个月开始，FDA希望根据21 CFR第807部分的注册和等级要求</w:t>
      </w:r>
      <w:r>
        <w:rPr>
          <w:rStyle w:val="13"/>
          <w:rFonts w:ascii="Arial" w:hAnsi="Arial" w:eastAsia="宋体" w:cs="Arial"/>
          <w:sz w:val="28"/>
          <w:szCs w:val="28"/>
        </w:rPr>
        <w:footnoteReference w:id="6"/>
      </w:r>
      <w:r>
        <w:rPr>
          <w:rFonts w:ascii="Arial" w:hAnsi="Arial" w:eastAsia="宋体" w:cs="Arial"/>
          <w:sz w:val="28"/>
          <w:szCs w:val="28"/>
        </w:rPr>
        <w:t>，继续在生产、制备、传播、复合、或处理</w:t>
      </w:r>
      <w:r>
        <w:rPr>
          <w:rStyle w:val="13"/>
          <w:rFonts w:ascii="Arial" w:hAnsi="Arial" w:eastAsia="宋体" w:cs="Arial"/>
          <w:sz w:val="28"/>
          <w:szCs w:val="28"/>
        </w:rPr>
        <w:footnoteReference w:id="7"/>
      </w:r>
      <w:r>
        <w:rPr>
          <w:rFonts w:ascii="Arial" w:hAnsi="Arial" w:eastAsia="宋体" w:cs="Arial"/>
          <w:sz w:val="28"/>
          <w:szCs w:val="28"/>
        </w:rPr>
        <w:t>LDT的实验室所有者和操作者中施行</w:t>
      </w:r>
      <w:bookmarkStart w:id="9" w:name="OLE_LINK2"/>
      <w:bookmarkStart w:id="10" w:name="OLE_LINK3"/>
      <w:r>
        <w:rPr>
          <w:rFonts w:ascii="Arial" w:hAnsi="Arial" w:eastAsia="宋体" w:cs="Arial"/>
          <w:sz w:val="28"/>
          <w:szCs w:val="28"/>
        </w:rPr>
        <w:t>强制执行自由裁量权</w:t>
      </w:r>
      <w:bookmarkEnd w:id="9"/>
      <w:bookmarkEnd w:id="10"/>
      <w:r>
        <w:rPr>
          <w:rFonts w:ascii="Arial" w:hAnsi="Arial" w:eastAsia="宋体" w:cs="Arial"/>
          <w:sz w:val="28"/>
          <w:szCs w:val="28"/>
        </w:rPr>
        <w:t>，前提条件是实验室的所有者/操作者通知机构，并在临床应用前提供其在所有新LDT的基本信息。</w:t>
      </w:r>
    </w:p>
    <w:p w14:paraId="6DA3389B">
      <w:pPr>
        <w:overflowPunct w:val="0"/>
        <w:adjustRightInd w:val="0"/>
        <w:snapToGrid w:val="0"/>
        <w:spacing w:line="360" w:lineRule="auto"/>
        <w:rPr>
          <w:rFonts w:ascii="Arial" w:hAnsi="Arial" w:eastAsia="宋体" w:cs="Arial"/>
          <w:b/>
          <w:sz w:val="28"/>
          <w:szCs w:val="28"/>
        </w:rPr>
      </w:pPr>
      <w:r>
        <w:rPr>
          <w:rFonts w:ascii="Arial" w:hAnsi="Arial" w:eastAsia="宋体" w:cs="Arial"/>
          <w:b/>
          <w:sz w:val="28"/>
          <w:szCs w:val="28"/>
        </w:rPr>
        <w:t>涉及LDT重大变更的FDA通知：</w:t>
      </w:r>
    </w:p>
    <w:p w14:paraId="1D0694B8">
      <w:pPr>
        <w:overflowPunct w:val="0"/>
        <w:adjustRightInd w:val="0"/>
        <w:snapToGrid w:val="0"/>
        <w:spacing w:after="156" w:afterLines="50" w:line="360" w:lineRule="auto"/>
        <w:rPr>
          <w:rFonts w:ascii="Arial" w:hAnsi="Arial" w:eastAsia="宋体" w:cs="Arial"/>
          <w:b/>
          <w:sz w:val="28"/>
          <w:szCs w:val="28"/>
        </w:rPr>
      </w:pPr>
      <w:r>
        <w:rPr>
          <w:rFonts w:ascii="Arial" w:hAnsi="Arial" w:eastAsia="宋体" w:cs="Arial"/>
          <w:sz w:val="28"/>
          <w:szCs w:val="28"/>
        </w:rPr>
        <w:t>对于已经提交过通知的LDT，如果实验室对其预期的使用情况做出了重大变更，则FDA会认为该LDT为新型LDT</w:t>
      </w:r>
      <w:r>
        <w:rPr>
          <w:rStyle w:val="13"/>
          <w:rFonts w:ascii="Arial" w:hAnsi="Arial" w:eastAsia="宋体" w:cs="Arial"/>
          <w:sz w:val="28"/>
          <w:szCs w:val="28"/>
        </w:rPr>
        <w:footnoteReference w:id="8"/>
      </w:r>
      <w:r>
        <w:rPr>
          <w:rFonts w:ascii="Arial" w:hAnsi="Arial" w:eastAsia="宋体" w:cs="Arial"/>
          <w:sz w:val="28"/>
          <w:szCs w:val="28"/>
        </w:rPr>
        <w:t>。因此，应在最终版LDT框架指导性文件发布后6个月内，或者，如果在6个月后上市，则应在临床使用前提供新的通知。如果已上市产品的预期使用情况的变化会增加器械的风险，则该通知尤为重要。另外，FDA要求对初步通知后再次对LDT作出重要改变的实验室再次提交通知数据，与FDA沟通上述变更（关于重大医疗器械变更的更多信息见LDT框架指导性文件第D.5（e）章节）。</w:t>
      </w:r>
      <w:r>
        <w:rPr>
          <w:rFonts w:ascii="Arial" w:hAnsi="Arial" w:eastAsia="宋体" w:cs="Arial"/>
          <w:b/>
          <w:sz w:val="28"/>
          <w:szCs w:val="28"/>
        </w:rPr>
        <w:br w:type="page"/>
      </w:r>
    </w:p>
    <w:p w14:paraId="31A46888">
      <w:pPr>
        <w:overflowPunct w:val="0"/>
        <w:adjustRightInd w:val="0"/>
        <w:snapToGrid w:val="0"/>
        <w:spacing w:line="300" w:lineRule="auto"/>
        <w:rPr>
          <w:rFonts w:ascii="Arial" w:hAnsi="Arial" w:eastAsia="宋体" w:cs="Arial"/>
          <w:b/>
          <w:sz w:val="28"/>
          <w:szCs w:val="28"/>
        </w:rPr>
      </w:pPr>
      <w:r>
        <w:rPr>
          <w:rFonts w:ascii="Arial" w:hAnsi="Arial" w:eastAsia="宋体" w:cs="Arial"/>
          <w:b/>
          <w:sz w:val="28"/>
          <w:szCs w:val="28"/>
        </w:rPr>
        <w:t>不提供通知的实验室：</w:t>
      </w:r>
    </w:p>
    <w:p w14:paraId="0B4B051F">
      <w:pPr>
        <w:overflowPunct w:val="0"/>
        <w:adjustRightInd w:val="0"/>
        <w:snapToGrid w:val="0"/>
        <w:spacing w:after="156" w:afterLines="50" w:line="300" w:lineRule="auto"/>
        <w:rPr>
          <w:rFonts w:ascii="Arial" w:hAnsi="Arial" w:eastAsia="宋体" w:cs="Arial"/>
          <w:sz w:val="28"/>
          <w:szCs w:val="28"/>
        </w:rPr>
      </w:pPr>
      <w:r>
        <w:rPr>
          <w:rFonts w:ascii="Arial" w:hAnsi="Arial" w:eastAsia="宋体" w:cs="Arial"/>
          <w:sz w:val="28"/>
          <w:szCs w:val="28"/>
        </w:rPr>
        <w:t>选择不通知机构和提供其在上述框架内生产的每项LDT相关基本信息的实验室，或在LDT预期使用情况作出重大变更后选择不通知机构并提供基本信息的实验室将不被纳入21 CFR第807部分规定的注册和登记要求的强制执行自由裁量权范围内。针对上述实验室，机构在注册和登记要求方面将不会采取常规的强制执行途径。这些要求包括支付注册费用（FD&amp;C法案第738（a）（3）章节；21 U.S.C. 379j（a）（3））、机构建立FDA等级、以及</w:t>
      </w:r>
      <w:bookmarkStart w:id="11" w:name="OLE_LINK4"/>
      <w:bookmarkStart w:id="12" w:name="OLE_LINK5"/>
      <w:r>
        <w:rPr>
          <w:rFonts w:ascii="Arial" w:hAnsi="Arial" w:eastAsia="宋体" w:cs="Arial"/>
          <w:sz w:val="28"/>
          <w:szCs w:val="28"/>
        </w:rPr>
        <w:t>上述机构</w:t>
      </w:r>
      <w:r>
        <w:rPr>
          <w:rStyle w:val="13"/>
          <w:rFonts w:ascii="Arial" w:hAnsi="Arial" w:eastAsia="宋体" w:cs="Arial"/>
          <w:sz w:val="28"/>
          <w:szCs w:val="28"/>
        </w:rPr>
        <w:footnoteReference w:id="9"/>
      </w:r>
      <w:r>
        <w:rPr>
          <w:rFonts w:ascii="Arial" w:hAnsi="Arial" w:eastAsia="宋体" w:cs="Arial"/>
          <w:sz w:val="28"/>
          <w:szCs w:val="28"/>
        </w:rPr>
        <w:t>生产的医疗器械的登记（21 CFR 807.20（a））</w:t>
      </w:r>
      <w:bookmarkEnd w:id="11"/>
      <w:bookmarkEnd w:id="12"/>
      <w:r>
        <w:rPr>
          <w:rFonts w:ascii="Arial" w:hAnsi="Arial" w:eastAsia="宋体" w:cs="Arial"/>
          <w:sz w:val="28"/>
          <w:szCs w:val="28"/>
        </w:rPr>
        <w:t>。</w:t>
      </w:r>
    </w:p>
    <w:p w14:paraId="58103653">
      <w:pPr>
        <w:overflowPunct w:val="0"/>
        <w:adjustRightInd w:val="0"/>
        <w:snapToGrid w:val="0"/>
        <w:spacing w:line="300" w:lineRule="auto"/>
        <w:rPr>
          <w:rFonts w:ascii="Arial" w:hAnsi="Arial" w:eastAsia="宋体" w:cs="Arial"/>
          <w:b/>
          <w:sz w:val="28"/>
          <w:szCs w:val="28"/>
        </w:rPr>
      </w:pPr>
      <w:r>
        <w:rPr>
          <w:rFonts w:ascii="Arial" w:hAnsi="Arial" w:eastAsia="宋体" w:cs="Arial"/>
          <w:b/>
          <w:sz w:val="28"/>
          <w:szCs w:val="28"/>
        </w:rPr>
        <w:t>涉及除LDT外其他医疗器械生产的机构指南：</w:t>
      </w:r>
    </w:p>
    <w:p w14:paraId="0100F39C">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FDA对仅生产、制备、传播、复合、或处理LDT的实验室的注册和等级要求施行强制执行自由裁量权。</w:t>
      </w:r>
      <w:bookmarkStart w:id="13" w:name="OLE_LINK6"/>
      <w:bookmarkStart w:id="14" w:name="OLE_LINK7"/>
      <w:r>
        <w:rPr>
          <w:rFonts w:ascii="Arial" w:hAnsi="Arial" w:eastAsia="宋体" w:cs="Arial"/>
          <w:sz w:val="24"/>
          <w:szCs w:val="24"/>
        </w:rPr>
        <w:t>生产、制备、传播、复合、或处理</w:t>
      </w:r>
      <w:bookmarkEnd w:id="13"/>
      <w:bookmarkEnd w:id="14"/>
      <w:r>
        <w:rPr>
          <w:rFonts w:ascii="Arial" w:hAnsi="Arial" w:eastAsia="宋体" w:cs="Arial"/>
          <w:sz w:val="24"/>
          <w:szCs w:val="24"/>
        </w:rPr>
        <w:t>LDT以外的医疗器械的机构必须遵守21 CFR第807部分规定的注册和登记要求，包括支付注册费用（FD&amp;C法案第738（a）（3）章节；21 U.S.C. 379j（a）（3））、在FDA进行机构注册、以及上述机构生产的医疗器械的登记（21 CFR 807.20（a）），包括LDT。FDA不保证针对上述实验室的强制执行自由裁量，因为FDA已经根据上述实验室与其他医疗器械产品相关的活动实施了相应的注册和登记要求。</w:t>
      </w:r>
    </w:p>
    <w:p w14:paraId="1C8E58E7">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在完成FDA的注册和登记后，上述机构的所有者和操作者应通过向FDA的统一注册和登记系统（FURLS）提供LDT产品代码</w:t>
      </w:r>
      <w:r>
        <w:rPr>
          <w:rFonts w:ascii="宋体" w:hAnsi="宋体" w:eastAsia="宋体" w:cs="Arial"/>
          <w:sz w:val="24"/>
          <w:szCs w:val="24"/>
        </w:rPr>
        <w:t>“</w:t>
      </w:r>
      <w:r>
        <w:rPr>
          <w:rFonts w:ascii="Arial" w:hAnsi="Arial" w:eastAsia="宋体" w:cs="Arial"/>
          <w:sz w:val="24"/>
          <w:szCs w:val="24"/>
        </w:rPr>
        <w:t>OQS</w:t>
      </w:r>
      <w:r>
        <w:rPr>
          <w:rFonts w:ascii="宋体" w:hAnsi="宋体" w:eastAsia="宋体" w:cs="Arial"/>
          <w:sz w:val="24"/>
          <w:szCs w:val="24"/>
        </w:rPr>
        <w:t>”</w:t>
      </w:r>
      <w:r>
        <w:rPr>
          <w:rFonts w:ascii="Arial" w:hAnsi="Arial" w:eastAsia="宋体" w:cs="Arial"/>
          <w:sz w:val="24"/>
          <w:szCs w:val="24"/>
        </w:rPr>
        <w:t>的方式提供其LDT的登记信息。产品代码是为未通过FDA批准或审批流程获取产品代码的特定LDT产品分配的产品代码。</w:t>
      </w:r>
    </w:p>
    <w:p w14:paraId="1BF5565C">
      <w:pPr>
        <w:overflowPunct w:val="0"/>
        <w:adjustRightInd w:val="0"/>
        <w:snapToGrid w:val="0"/>
        <w:spacing w:line="300" w:lineRule="auto"/>
        <w:rPr>
          <w:rFonts w:ascii="Arial" w:hAnsi="Arial" w:eastAsia="宋体" w:cs="Arial"/>
          <w:b/>
          <w:sz w:val="28"/>
          <w:szCs w:val="28"/>
        </w:rPr>
      </w:pPr>
      <w:r>
        <w:rPr>
          <w:rFonts w:ascii="Arial" w:hAnsi="Arial" w:eastAsia="宋体" w:cs="Arial"/>
          <w:b/>
          <w:sz w:val="28"/>
          <w:szCs w:val="28"/>
        </w:rPr>
        <w:t>寻求FDA批准或审批的LDT注册和登记要求</w:t>
      </w:r>
    </w:p>
    <w:p w14:paraId="2DFECE7E">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一旦实验室向机构提交了LDT的上市前申请（例如上市前审批申请或上市前通知申请（510（k））），则FDA会针对生产、制备、传播、复合、或处理该LDT的机构实施注册和登记要求。实验室寻求LDT上市前批准/审批的理由可以是FDA宣布针对该类LDT实施上市前审查要求（见LDT框架指导性文件草案），也可以是实验室自主选择。</w:t>
      </w:r>
    </w:p>
    <w:p w14:paraId="23448969">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接收FDA审批或批准的LDT制造商不应将此类批准或审批的医疗器械置于</w:t>
      </w:r>
      <w:r>
        <w:rPr>
          <w:rFonts w:ascii="宋体" w:hAnsi="宋体" w:eastAsia="宋体" w:cs="Arial"/>
          <w:sz w:val="24"/>
          <w:szCs w:val="24"/>
        </w:rPr>
        <w:t>“</w:t>
      </w:r>
      <w:r>
        <w:rPr>
          <w:rFonts w:ascii="Arial" w:hAnsi="Arial" w:eastAsia="宋体" w:cs="Arial"/>
          <w:sz w:val="24"/>
          <w:szCs w:val="24"/>
        </w:rPr>
        <w:t>OQS</w:t>
      </w:r>
      <w:r>
        <w:rPr>
          <w:rFonts w:ascii="宋体" w:hAnsi="宋体" w:eastAsia="宋体" w:cs="Arial"/>
          <w:sz w:val="24"/>
          <w:szCs w:val="24"/>
        </w:rPr>
        <w:t>”</w:t>
      </w:r>
      <w:r>
        <w:rPr>
          <w:rFonts w:ascii="Arial" w:hAnsi="Arial" w:eastAsia="宋体" w:cs="Arial"/>
          <w:sz w:val="24"/>
          <w:szCs w:val="24"/>
        </w:rPr>
        <w:t>产品编码目录下。相反，机构应使用FDA在上市前申请的批准/审批中分配于该医疗器械的产品代码。只有当LDT未通过批准或审批时制造商才可以使用</w:t>
      </w:r>
      <w:r>
        <w:rPr>
          <w:rFonts w:ascii="宋体" w:hAnsi="宋体" w:eastAsia="宋体" w:cs="Arial"/>
          <w:sz w:val="24"/>
          <w:szCs w:val="24"/>
        </w:rPr>
        <w:t>“</w:t>
      </w:r>
      <w:r>
        <w:rPr>
          <w:rFonts w:ascii="Arial" w:hAnsi="Arial" w:eastAsia="宋体" w:cs="Arial"/>
          <w:sz w:val="24"/>
          <w:szCs w:val="24"/>
        </w:rPr>
        <w:t>OQS</w:t>
      </w:r>
      <w:r>
        <w:rPr>
          <w:rFonts w:ascii="宋体" w:hAnsi="宋体" w:eastAsia="宋体" w:cs="Arial"/>
          <w:sz w:val="24"/>
          <w:szCs w:val="24"/>
        </w:rPr>
        <w:t>”</w:t>
      </w:r>
      <w:r>
        <w:rPr>
          <w:rFonts w:ascii="Arial" w:hAnsi="Arial" w:eastAsia="宋体" w:cs="Arial"/>
          <w:sz w:val="24"/>
          <w:szCs w:val="24"/>
        </w:rPr>
        <w:t>代码。</w:t>
      </w:r>
    </w:p>
    <w:p w14:paraId="175843DF">
      <w:pPr>
        <w:pStyle w:val="14"/>
        <w:numPr>
          <w:ilvl w:val="0"/>
          <w:numId w:val="1"/>
        </w:numPr>
        <w:overflowPunct w:val="0"/>
        <w:adjustRightInd w:val="0"/>
        <w:snapToGrid w:val="0"/>
        <w:spacing w:before="156" w:beforeLines="50" w:after="156" w:afterLines="50" w:line="300" w:lineRule="auto"/>
        <w:ind w:left="357" w:hanging="357" w:firstLineChars="0"/>
        <w:jc w:val="left"/>
        <w:outlineLvl w:val="0"/>
        <w:rPr>
          <w:rFonts w:ascii="Arial" w:hAnsi="Arial" w:eastAsia="宋体" w:cs="Arial"/>
          <w:b/>
          <w:sz w:val="32"/>
          <w:szCs w:val="32"/>
        </w:rPr>
      </w:pPr>
      <w:bookmarkStart w:id="15" w:name="_Toc498010391"/>
      <w:r>
        <w:rPr>
          <w:rFonts w:ascii="Arial" w:hAnsi="Arial" w:eastAsia="宋体" w:cs="Arial"/>
          <w:b/>
          <w:sz w:val="32"/>
          <w:szCs w:val="32"/>
        </w:rPr>
        <w:t>LDT的医疗器械报告</w:t>
      </w:r>
      <w:bookmarkEnd w:id="15"/>
    </w:p>
    <w:p w14:paraId="30307F1E">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医疗器械报告（MDR）要求概述</w:t>
      </w:r>
    </w:p>
    <w:p w14:paraId="4F896D77">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医疗器械报告（MDR）要求见21 CFR第803部分。MDR法规的一个目标是为FDA和医疗器械制造商提供确定和检测涉及医疗器械的重大不良事件的机制，从而及时检测和纠正问题。该法规对进口商、制造商和使用机构提出了报告要求。</w:t>
      </w:r>
    </w:p>
    <w:p w14:paraId="66393BF7">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实验室作为医疗器械使用机构接受MDR相关条款的监管</w:t>
      </w:r>
      <w:r>
        <w:rPr>
          <w:rStyle w:val="13"/>
          <w:rFonts w:ascii="Arial" w:hAnsi="Arial" w:eastAsia="宋体" w:cs="Arial"/>
          <w:sz w:val="24"/>
          <w:szCs w:val="24"/>
        </w:rPr>
        <w:footnoteReference w:id="10"/>
      </w:r>
      <w:r>
        <w:rPr>
          <w:rFonts w:ascii="Arial" w:hAnsi="Arial" w:eastAsia="宋体" w:cs="Arial"/>
          <w:sz w:val="24"/>
          <w:szCs w:val="24"/>
        </w:rPr>
        <w:t>（21 CFR 803.10（a）、803.30、803.32和803.33）。规定要求，如</w:t>
      </w:r>
      <w:bookmarkStart w:id="16" w:name="OLE_LINK10"/>
      <w:bookmarkStart w:id="17" w:name="OLE_LINK11"/>
      <w:r>
        <w:rPr>
          <w:rFonts w:ascii="Arial" w:hAnsi="Arial" w:eastAsia="宋体" w:cs="Arial"/>
          <w:sz w:val="24"/>
          <w:szCs w:val="24"/>
        </w:rPr>
        <w:t>果使用器械的机构从任何来源得到信息</w:t>
      </w:r>
      <w:bookmarkStart w:id="18" w:name="OLE_LINK12"/>
      <w:bookmarkStart w:id="19" w:name="OLE_LINK13"/>
      <w:r>
        <w:rPr>
          <w:rFonts w:ascii="Arial" w:hAnsi="Arial" w:eastAsia="宋体" w:cs="Arial"/>
          <w:sz w:val="24"/>
          <w:szCs w:val="24"/>
        </w:rPr>
        <w:t>，表明某种医疗器械已经造成、可能造成、或可能会增加机构内患者死亡风险</w:t>
      </w:r>
      <w:bookmarkEnd w:id="18"/>
      <w:bookmarkEnd w:id="19"/>
      <w:r>
        <w:rPr>
          <w:rFonts w:ascii="Arial" w:hAnsi="Arial" w:eastAsia="宋体" w:cs="Arial"/>
          <w:sz w:val="24"/>
          <w:szCs w:val="24"/>
        </w:rPr>
        <w:t>，则应在得到上述信息的10个工作日内向医疗器械的制造商和FDA报告。</w:t>
      </w:r>
      <w:bookmarkEnd w:id="16"/>
      <w:bookmarkEnd w:id="17"/>
      <w:r>
        <w:rPr>
          <w:rFonts w:ascii="Arial" w:hAnsi="Arial" w:eastAsia="宋体" w:cs="Arial"/>
          <w:sz w:val="24"/>
          <w:szCs w:val="24"/>
        </w:rPr>
        <w:t>21 CFR 803.30（a）（1）。如果使用器械的机构从任何来源得到信息，表明某种医疗器械已经造成、可能造成、或可能会增加机构内患者发生重大损伤的风险，则应在得到上述信息的10个工作日内向医疗器械的制造商</w:t>
      </w:r>
      <w:r>
        <w:rPr>
          <w:rStyle w:val="13"/>
          <w:rFonts w:ascii="Arial" w:hAnsi="Arial" w:eastAsia="宋体" w:cs="Arial"/>
          <w:sz w:val="24"/>
          <w:szCs w:val="24"/>
        </w:rPr>
        <w:footnoteReference w:id="11"/>
      </w:r>
      <w:r>
        <w:rPr>
          <w:rFonts w:ascii="Arial" w:hAnsi="Arial" w:eastAsia="宋体" w:cs="Arial"/>
          <w:sz w:val="24"/>
          <w:szCs w:val="24"/>
        </w:rPr>
        <w:t>提交报告。如果不知道医疗器械制造商的信息，则使用器械的机构必须向FDA报告。21 CFR 803.30（a）（2）。使用医疗器械的机构还应向FDA提交包含本年度报告时间区间内发生的应报告时间的信息的年度报告（见21 CFR 803.33）。</w:t>
      </w:r>
    </w:p>
    <w:p w14:paraId="3CBE710F">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除了强制要求实验室作为医疗器械的使用机构报告不良事件，FDA也要求生产</w:t>
      </w:r>
      <w:r>
        <w:rPr>
          <w:rStyle w:val="13"/>
          <w:rFonts w:ascii="Arial" w:hAnsi="Arial" w:eastAsia="宋体" w:cs="Arial"/>
          <w:sz w:val="24"/>
          <w:szCs w:val="24"/>
        </w:rPr>
        <w:footnoteReference w:id="12"/>
      </w:r>
      <w:r>
        <w:rPr>
          <w:rFonts w:ascii="Arial" w:hAnsi="Arial" w:eastAsia="宋体" w:cs="Arial"/>
          <w:sz w:val="24"/>
          <w:szCs w:val="24"/>
        </w:rPr>
        <w:t>LDT的实验室按照21 CFR第803部分，包括21 CFR 803.10（c）、21 CFR 803.50、和21 CFR 803.52的要求承担报告责任。以下指南旨在帮助临床实验室作为制造商提交不良事件报告，以及满足21 CFR第803部分，包括21 CFR 803.17、21 CFR 803.18、21 CFR 803.53和21 CFR 803.56的要求。</w:t>
      </w:r>
    </w:p>
    <w:p w14:paraId="71042FBA">
      <w:pPr>
        <w:pStyle w:val="14"/>
        <w:numPr>
          <w:ilvl w:val="0"/>
          <w:numId w:val="2"/>
        </w:numPr>
        <w:overflowPunct w:val="0"/>
        <w:adjustRightInd w:val="0"/>
        <w:snapToGrid w:val="0"/>
        <w:spacing w:after="156" w:afterLines="50" w:line="300" w:lineRule="auto"/>
        <w:ind w:firstLineChars="0"/>
        <w:rPr>
          <w:rFonts w:ascii="Arial" w:hAnsi="Arial" w:eastAsia="宋体" w:cs="Arial"/>
          <w:b/>
          <w:sz w:val="24"/>
          <w:szCs w:val="24"/>
        </w:rPr>
      </w:pPr>
      <w:r>
        <w:rPr>
          <w:rFonts w:ascii="Arial" w:hAnsi="Arial" w:eastAsia="宋体" w:cs="Arial"/>
          <w:b/>
          <w:sz w:val="24"/>
          <w:szCs w:val="24"/>
        </w:rPr>
        <w:t>制造商报告要求</w:t>
      </w:r>
    </w:p>
    <w:p w14:paraId="399B1397">
      <w:pPr>
        <w:widowControl/>
        <w:jc w:val="left"/>
        <w:rPr>
          <w:rFonts w:ascii="Arial" w:hAnsi="Arial" w:eastAsia="宋体" w:cs="Arial"/>
          <w:sz w:val="24"/>
          <w:szCs w:val="24"/>
        </w:rPr>
      </w:pPr>
      <w:r>
        <w:rPr>
          <w:rFonts w:ascii="Arial" w:hAnsi="Arial" w:eastAsia="宋体" w:cs="Arial"/>
          <w:sz w:val="24"/>
          <w:szCs w:val="24"/>
        </w:rPr>
        <w:br w:type="page"/>
      </w:r>
    </w:p>
    <w:p w14:paraId="48A7E642">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MDR法规要求医疗器械的制造商当其发现</w:t>
      </w:r>
      <w:r>
        <w:rPr>
          <w:rStyle w:val="13"/>
          <w:rFonts w:ascii="Arial" w:hAnsi="Arial" w:eastAsia="宋体" w:cs="Arial"/>
          <w:sz w:val="24"/>
          <w:szCs w:val="24"/>
        </w:rPr>
        <w:footnoteReference w:id="13"/>
      </w:r>
      <w:r>
        <w:rPr>
          <w:rFonts w:ascii="Arial" w:hAnsi="Arial" w:eastAsia="宋体" w:cs="Arial"/>
          <w:sz w:val="24"/>
          <w:szCs w:val="24"/>
        </w:rPr>
        <w:t>某些信息，表明其销售的某种医疗器械已经造成或可能会增加</w:t>
      </w:r>
      <w:r>
        <w:rPr>
          <w:rStyle w:val="13"/>
          <w:rFonts w:ascii="Arial" w:hAnsi="Arial" w:eastAsia="宋体" w:cs="Arial"/>
          <w:sz w:val="24"/>
          <w:szCs w:val="24"/>
        </w:rPr>
        <w:footnoteReference w:id="14"/>
      </w:r>
      <w:r>
        <w:rPr>
          <w:rFonts w:ascii="Arial" w:hAnsi="Arial" w:eastAsia="宋体" w:cs="Arial"/>
          <w:sz w:val="24"/>
          <w:szCs w:val="24"/>
        </w:rPr>
        <w:t>患者死亡风险或严重损伤</w:t>
      </w:r>
      <w:r>
        <w:rPr>
          <w:rStyle w:val="13"/>
          <w:rFonts w:ascii="Arial" w:hAnsi="Arial" w:eastAsia="宋体" w:cs="Arial"/>
          <w:sz w:val="24"/>
          <w:szCs w:val="24"/>
        </w:rPr>
        <w:footnoteReference w:id="15"/>
      </w:r>
      <w:r>
        <w:rPr>
          <w:rFonts w:ascii="Arial" w:hAnsi="Arial" w:eastAsia="宋体" w:cs="Arial"/>
          <w:sz w:val="24"/>
          <w:szCs w:val="24"/>
        </w:rPr>
        <w:t>，或</w:t>
      </w:r>
      <w:bookmarkStart w:id="20" w:name="OLE_LINK14"/>
      <w:bookmarkStart w:id="21" w:name="OLE_LINK15"/>
      <w:r>
        <w:rPr>
          <w:rFonts w:ascii="Arial" w:hAnsi="Arial" w:eastAsia="宋体" w:cs="Arial"/>
          <w:sz w:val="24"/>
          <w:szCs w:val="24"/>
        </w:rPr>
        <w:t>功能已经出现异常，且继续使用的话该异常可能会造成或加剧可报告的死亡或严重损伤</w:t>
      </w:r>
      <w:bookmarkEnd w:id="20"/>
      <w:bookmarkEnd w:id="21"/>
      <w:r>
        <w:rPr>
          <w:rFonts w:ascii="Arial" w:hAnsi="Arial" w:eastAsia="宋体" w:cs="Arial"/>
          <w:sz w:val="24"/>
          <w:szCs w:val="24"/>
        </w:rPr>
        <w:t>，则此时应向FDA提交报告。21 CFR 803.50。</w:t>
      </w:r>
    </w:p>
    <w:p w14:paraId="6C395D32">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医疗器械的制造商（21 CFR 803.3），包括国外制造商应当：</w:t>
      </w:r>
    </w:p>
    <w:p w14:paraId="6FB94497">
      <w:pPr>
        <w:pStyle w:val="14"/>
        <w:numPr>
          <w:ilvl w:val="0"/>
          <w:numId w:val="3"/>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根据21 CFR 803.10（c）、21 CFR 803.50、和21 CFR 803.52的要求提交涉及其医疗器械的MDR可报告事件；</w:t>
      </w:r>
    </w:p>
    <w:p w14:paraId="318957C2">
      <w:pPr>
        <w:pStyle w:val="14"/>
        <w:numPr>
          <w:ilvl w:val="0"/>
          <w:numId w:val="3"/>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根据21 CFR 803.53的要求提交5日报告；</w:t>
      </w:r>
    </w:p>
    <w:p w14:paraId="7CF86D89">
      <w:pPr>
        <w:pStyle w:val="14"/>
        <w:numPr>
          <w:ilvl w:val="0"/>
          <w:numId w:val="3"/>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根据21 CFR 803.56的要求提交补充报告；</w:t>
      </w:r>
    </w:p>
    <w:p w14:paraId="618F2C96">
      <w:pPr>
        <w:pStyle w:val="14"/>
        <w:numPr>
          <w:ilvl w:val="0"/>
          <w:numId w:val="3"/>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根据21 CFR 803.50（b）（3）的要求对每项事件进行调查并评估原因；</w:t>
      </w:r>
    </w:p>
    <w:p w14:paraId="4CAE4E3C">
      <w:pPr>
        <w:pStyle w:val="14"/>
        <w:numPr>
          <w:ilvl w:val="0"/>
          <w:numId w:val="3"/>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根据21 CFR 803.17的要求建立、维护和实施书面MDR流程；和</w:t>
      </w:r>
    </w:p>
    <w:p w14:paraId="55FC222C">
      <w:pPr>
        <w:pStyle w:val="14"/>
        <w:numPr>
          <w:ilvl w:val="0"/>
          <w:numId w:val="3"/>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根据21 CFR 803.18（a）和（e）的要求建立和维护所有涉及医疗器械不良事件的MDR事件的完整档案。</w:t>
      </w:r>
    </w:p>
    <w:p w14:paraId="44B7CBAC">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何时提交报告</w:t>
      </w:r>
    </w:p>
    <w:p w14:paraId="5A0D6F95">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所有生产临床用LDT的临床实验室均需要按照以下要求以医疗器械制造商的身份向FDA提交MDR报告：</w:t>
      </w:r>
    </w:p>
    <w:p w14:paraId="507E88C3">
      <w:pPr>
        <w:pStyle w:val="14"/>
        <w:numPr>
          <w:ilvl w:val="0"/>
          <w:numId w:val="4"/>
        </w:numPr>
        <w:overflowPunct w:val="0"/>
        <w:adjustRightInd w:val="0"/>
        <w:snapToGrid w:val="0"/>
        <w:spacing w:after="156" w:afterLines="50" w:line="300" w:lineRule="auto"/>
        <w:ind w:firstLineChars="0"/>
        <w:rPr>
          <w:rFonts w:ascii="Arial" w:hAnsi="Arial" w:eastAsia="宋体" w:cs="Arial"/>
          <w:sz w:val="24"/>
          <w:szCs w:val="24"/>
        </w:rPr>
      </w:pPr>
      <w:bookmarkStart w:id="22" w:name="OLE_LINK34"/>
      <w:bookmarkStart w:id="23" w:name="OLE_LINK35"/>
      <w:r>
        <w:rPr>
          <w:rFonts w:ascii="Arial" w:hAnsi="Arial" w:eastAsia="宋体" w:cs="Arial"/>
          <w:sz w:val="24"/>
          <w:szCs w:val="24"/>
        </w:rPr>
        <w:t>当</w:t>
      </w:r>
      <w:bookmarkStart w:id="24" w:name="OLE_LINK16"/>
      <w:bookmarkStart w:id="25" w:name="OLE_LINK17"/>
      <w:r>
        <w:rPr>
          <w:rFonts w:ascii="Arial" w:hAnsi="Arial" w:eastAsia="宋体" w:cs="Arial"/>
          <w:sz w:val="24"/>
          <w:szCs w:val="24"/>
        </w:rPr>
        <w:t>实验室</w:t>
      </w:r>
      <w:bookmarkEnd w:id="24"/>
      <w:bookmarkEnd w:id="25"/>
      <w:r>
        <w:rPr>
          <w:rFonts w:ascii="Arial" w:hAnsi="Arial" w:eastAsia="宋体" w:cs="Arial"/>
          <w:sz w:val="24"/>
          <w:szCs w:val="24"/>
        </w:rPr>
        <w:t>从任何来源得到信息，表明其生产的某种医疗器械出现以下情况时，该实验室应在30自然日内提交每项不良事件的报告：</w:t>
      </w:r>
    </w:p>
    <w:p w14:paraId="21516E51">
      <w:pPr>
        <w:pStyle w:val="14"/>
        <w:numPr>
          <w:ilvl w:val="1"/>
          <w:numId w:val="5"/>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可能会导致或增加患者死亡或严重损伤的风险</w:t>
      </w:r>
      <w:bookmarkEnd w:id="22"/>
      <w:bookmarkEnd w:id="23"/>
      <w:r>
        <w:rPr>
          <w:rFonts w:ascii="Arial" w:hAnsi="Arial" w:eastAsia="宋体" w:cs="Arial"/>
          <w:sz w:val="24"/>
          <w:szCs w:val="24"/>
        </w:rPr>
        <w:t>，或</w:t>
      </w:r>
    </w:p>
    <w:p w14:paraId="4C01EC39">
      <w:pPr>
        <w:pStyle w:val="14"/>
        <w:numPr>
          <w:ilvl w:val="1"/>
          <w:numId w:val="5"/>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功能已经出现异常，且继续使用的话，该器械或类似的LDT可能会造成或加剧可报告的死亡或严重损伤。（21 CFR 803.50（a））</w:t>
      </w:r>
    </w:p>
    <w:p w14:paraId="00D01589">
      <w:pPr>
        <w:pStyle w:val="14"/>
        <w:numPr>
          <w:ilvl w:val="0"/>
          <w:numId w:val="6"/>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当实验室发现需要采取医疗措施，防止对公众健康造成不必要风险的重大危害的可报告事件，或发现FDA发出书面要求的可报告事件时，实验室应在5个工作日内提交每项不良事件的报告。（21 CFR 803.53）。</w:t>
      </w:r>
    </w:p>
    <w:p w14:paraId="49D6DF8B">
      <w:pPr>
        <w:pStyle w:val="14"/>
        <w:numPr>
          <w:ilvl w:val="0"/>
          <w:numId w:val="7"/>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当实验室收到先前的报告为提及的可报告信息时，应在1月内提交补充报告。（21 CFR 803.56）。</w:t>
      </w:r>
    </w:p>
    <w:p w14:paraId="534AA8DE">
      <w:pPr>
        <w:overflowPunct w:val="0"/>
        <w:adjustRightInd w:val="0"/>
        <w:snapToGrid w:val="0"/>
        <w:spacing w:line="300" w:lineRule="auto"/>
        <w:rPr>
          <w:rFonts w:ascii="Arial" w:hAnsi="Arial" w:eastAsia="宋体" w:cs="Arial"/>
          <w:b/>
          <w:sz w:val="24"/>
          <w:szCs w:val="24"/>
        </w:rPr>
      </w:pPr>
      <w:r>
        <w:rPr>
          <w:rFonts w:ascii="Arial" w:hAnsi="Arial" w:eastAsia="宋体" w:cs="Arial"/>
          <w:b/>
          <w:sz w:val="24"/>
          <w:szCs w:val="24"/>
        </w:rPr>
        <w:t>如何提交报告</w:t>
      </w:r>
    </w:p>
    <w:p w14:paraId="723D3BFD">
      <w:pPr>
        <w:overflowPunct w:val="0"/>
        <w:adjustRightInd w:val="0"/>
        <w:snapToGrid w:val="0"/>
        <w:spacing w:line="300" w:lineRule="auto"/>
        <w:rPr>
          <w:rFonts w:ascii="Arial" w:hAnsi="Arial" w:eastAsia="宋体" w:cs="Arial"/>
          <w:sz w:val="24"/>
          <w:szCs w:val="24"/>
        </w:rPr>
      </w:pPr>
      <w:r>
        <w:rPr>
          <w:rFonts w:ascii="Arial" w:hAnsi="Arial" w:eastAsia="宋体" w:cs="Arial"/>
          <w:sz w:val="24"/>
          <w:szCs w:val="24"/>
        </w:rPr>
        <w:t>报告与其LDT相关的不良事件的实验室必须填写MedWatch 3500A表格（见于</w:t>
      </w:r>
      <w:r>
        <w:rPr>
          <w:rFonts w:ascii="Arial" w:hAnsi="Arial" w:eastAsia="宋体" w:cs="Arial"/>
          <w:color w:val="0000FF"/>
          <w:sz w:val="24"/>
          <w:szCs w:val="24"/>
          <w:u w:val="single"/>
        </w:rPr>
        <w:t>http://www.fda.gov/downloads/AboutFDA/ReportsManualsForms/Forms/UCM048334.pdf</w:t>
      </w:r>
      <w:r>
        <w:rPr>
          <w:rFonts w:ascii="Arial" w:hAnsi="Arial" w:eastAsia="宋体" w:cs="Arial"/>
          <w:sz w:val="24"/>
          <w:szCs w:val="24"/>
        </w:rPr>
        <w:t>），然后将完整表格邮寄至FDA</w:t>
      </w:r>
      <w:r>
        <w:rPr>
          <w:rStyle w:val="13"/>
          <w:rFonts w:ascii="Arial" w:hAnsi="Arial" w:eastAsia="宋体" w:cs="Arial"/>
          <w:sz w:val="24"/>
          <w:szCs w:val="24"/>
        </w:rPr>
        <w:footnoteReference w:id="16"/>
      </w:r>
      <w:r>
        <w:rPr>
          <w:rFonts w:ascii="Arial" w:hAnsi="Arial" w:eastAsia="宋体" w:cs="Arial"/>
          <w:sz w:val="24"/>
          <w:szCs w:val="24"/>
        </w:rPr>
        <w:t>。</w:t>
      </w:r>
    </w:p>
    <w:p w14:paraId="323355F7">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将MedWatch 3500A表格提交至：</w:t>
      </w:r>
    </w:p>
    <w:p w14:paraId="7675C4B6">
      <w:pPr>
        <w:overflowPunct w:val="0"/>
        <w:adjustRightInd w:val="0"/>
        <w:snapToGrid w:val="0"/>
        <w:spacing w:line="300" w:lineRule="auto"/>
        <w:ind w:left="420"/>
        <w:rPr>
          <w:rFonts w:ascii="Arial" w:hAnsi="Arial" w:eastAsia="宋体" w:cs="Arial"/>
          <w:sz w:val="24"/>
          <w:szCs w:val="24"/>
        </w:rPr>
      </w:pPr>
      <w:r>
        <w:rPr>
          <w:rFonts w:ascii="Arial" w:hAnsi="Arial" w:eastAsia="宋体" w:cs="Arial"/>
          <w:sz w:val="24"/>
          <w:szCs w:val="24"/>
        </w:rPr>
        <w:t>食品药品监督管理局</w:t>
      </w:r>
    </w:p>
    <w:p w14:paraId="1F086E1C">
      <w:pPr>
        <w:overflowPunct w:val="0"/>
        <w:adjustRightInd w:val="0"/>
        <w:snapToGrid w:val="0"/>
        <w:spacing w:line="300" w:lineRule="auto"/>
        <w:ind w:left="420"/>
        <w:rPr>
          <w:rFonts w:ascii="Arial" w:hAnsi="Arial" w:eastAsia="宋体" w:cs="Arial"/>
          <w:sz w:val="24"/>
          <w:szCs w:val="24"/>
        </w:rPr>
      </w:pPr>
      <w:r>
        <w:rPr>
          <w:rFonts w:ascii="Arial" w:hAnsi="Arial" w:eastAsia="宋体" w:cs="Arial"/>
          <w:sz w:val="24"/>
          <w:szCs w:val="24"/>
        </w:rPr>
        <w:t>医疗器械和放射卫生中心</w:t>
      </w:r>
    </w:p>
    <w:p w14:paraId="2174E28B">
      <w:pPr>
        <w:overflowPunct w:val="0"/>
        <w:adjustRightInd w:val="0"/>
        <w:snapToGrid w:val="0"/>
        <w:spacing w:line="300" w:lineRule="auto"/>
        <w:ind w:left="420"/>
        <w:rPr>
          <w:rFonts w:ascii="Arial" w:hAnsi="Arial" w:eastAsia="宋体" w:cs="Arial"/>
          <w:sz w:val="24"/>
          <w:szCs w:val="24"/>
        </w:rPr>
      </w:pPr>
      <w:r>
        <w:rPr>
          <w:rFonts w:ascii="Arial" w:hAnsi="Arial" w:eastAsia="宋体" w:cs="Arial"/>
          <w:sz w:val="24"/>
          <w:szCs w:val="24"/>
        </w:rPr>
        <w:t>医疗器械报告</w:t>
      </w:r>
    </w:p>
    <w:p w14:paraId="1C23B515">
      <w:pPr>
        <w:overflowPunct w:val="0"/>
        <w:adjustRightInd w:val="0"/>
        <w:snapToGrid w:val="0"/>
        <w:spacing w:line="300" w:lineRule="auto"/>
        <w:ind w:left="420"/>
        <w:rPr>
          <w:rFonts w:ascii="Arial" w:hAnsi="Arial" w:eastAsia="宋体" w:cs="Arial"/>
          <w:sz w:val="24"/>
          <w:szCs w:val="24"/>
        </w:rPr>
      </w:pPr>
      <w:r>
        <w:rPr>
          <w:rFonts w:ascii="Arial" w:hAnsi="Arial" w:eastAsia="宋体" w:cs="Arial"/>
          <w:sz w:val="24"/>
          <w:szCs w:val="24"/>
        </w:rPr>
        <w:t>邮箱地址3002</w:t>
      </w:r>
    </w:p>
    <w:p w14:paraId="20E69E27">
      <w:pPr>
        <w:overflowPunct w:val="0"/>
        <w:adjustRightInd w:val="0"/>
        <w:snapToGrid w:val="0"/>
        <w:spacing w:after="156" w:afterLines="50" w:line="300" w:lineRule="auto"/>
        <w:ind w:left="420"/>
        <w:rPr>
          <w:rFonts w:ascii="Arial" w:hAnsi="Arial" w:eastAsia="宋体" w:cs="Arial"/>
          <w:sz w:val="24"/>
          <w:szCs w:val="24"/>
        </w:rPr>
      </w:pPr>
      <w:r>
        <w:rPr>
          <w:rFonts w:ascii="Arial" w:hAnsi="Arial" w:eastAsia="宋体" w:cs="Arial"/>
          <w:sz w:val="24"/>
          <w:szCs w:val="24"/>
        </w:rPr>
        <w:t>Rockville，MD 20847-3002</w:t>
      </w:r>
    </w:p>
    <w:p w14:paraId="4A4E087F">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也可以通过电子版形式提交表格。关于电子表格填写的指导见E章节，问题14。</w:t>
      </w:r>
    </w:p>
    <w:p w14:paraId="2EA8D12C">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请注意：未在FDA注册和登记，但通过本指南所述流程向FDA提交了LDT通知的实验室应当使用其通知确认号码，而非FDA注册号码，来创建恰当的</w:t>
      </w:r>
      <w:r>
        <w:rPr>
          <w:rFonts w:ascii="宋体" w:hAnsi="宋体" w:eastAsia="宋体" w:cs="Arial"/>
          <w:sz w:val="24"/>
          <w:szCs w:val="24"/>
        </w:rPr>
        <w:t>“</w:t>
      </w:r>
      <w:r>
        <w:rPr>
          <w:rFonts w:ascii="Arial" w:hAnsi="Arial" w:eastAsia="宋体" w:cs="Arial"/>
          <w:sz w:val="24"/>
          <w:szCs w:val="24"/>
        </w:rPr>
        <w:t>制造商报告编码</w:t>
      </w:r>
      <w:r>
        <w:rPr>
          <w:rFonts w:ascii="宋体" w:hAnsi="宋体" w:eastAsia="宋体" w:cs="Arial"/>
          <w:sz w:val="24"/>
          <w:szCs w:val="24"/>
        </w:rPr>
        <w:t>”</w:t>
      </w:r>
      <w:r>
        <w:rPr>
          <w:rFonts w:ascii="Arial" w:hAnsi="Arial" w:eastAsia="宋体" w:cs="Arial"/>
          <w:sz w:val="24"/>
          <w:szCs w:val="24"/>
        </w:rPr>
        <w:t>（MedWatch 3500A表格右上角）。</w:t>
      </w:r>
    </w:p>
    <w:p w14:paraId="1D6D4114">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另外，应在MedWatch 3500A表格题为</w:t>
      </w:r>
      <w:r>
        <w:rPr>
          <w:rFonts w:ascii="宋体" w:hAnsi="宋体" w:eastAsia="宋体" w:cs="Arial"/>
          <w:sz w:val="24"/>
          <w:szCs w:val="24"/>
        </w:rPr>
        <w:t>“</w:t>
      </w:r>
      <w:r>
        <w:rPr>
          <w:rFonts w:ascii="Arial" w:hAnsi="Arial" w:eastAsia="宋体" w:cs="Arial"/>
          <w:sz w:val="24"/>
          <w:szCs w:val="24"/>
        </w:rPr>
        <w:t>D.疑似医疗器械</w:t>
      </w:r>
      <w:r>
        <w:rPr>
          <w:rFonts w:ascii="宋体" w:hAnsi="宋体" w:eastAsia="宋体" w:cs="Arial"/>
          <w:sz w:val="24"/>
          <w:szCs w:val="24"/>
        </w:rPr>
        <w:t>”</w:t>
      </w:r>
      <w:r>
        <w:rPr>
          <w:rFonts w:ascii="Arial" w:hAnsi="Arial" w:eastAsia="宋体" w:cs="Arial"/>
          <w:sz w:val="24"/>
          <w:szCs w:val="24"/>
        </w:rPr>
        <w:t>下的子章节D.4</w:t>
      </w:r>
      <w:r>
        <w:rPr>
          <w:rFonts w:ascii="宋体" w:hAnsi="宋体" w:eastAsia="宋体" w:cs="Arial"/>
          <w:sz w:val="24"/>
          <w:szCs w:val="24"/>
        </w:rPr>
        <w:t>“</w:t>
      </w:r>
      <w:r>
        <w:rPr>
          <w:rFonts w:ascii="Arial" w:hAnsi="Arial" w:eastAsia="宋体" w:cs="Arial"/>
          <w:sz w:val="24"/>
          <w:szCs w:val="24"/>
        </w:rPr>
        <w:t>其他</w:t>
      </w:r>
      <w:r>
        <w:rPr>
          <w:rFonts w:ascii="宋体" w:hAnsi="宋体" w:eastAsia="宋体" w:cs="Arial"/>
          <w:sz w:val="24"/>
          <w:szCs w:val="24"/>
        </w:rPr>
        <w:t>”</w:t>
      </w:r>
      <w:r>
        <w:rPr>
          <w:rFonts w:ascii="Arial" w:hAnsi="Arial" w:eastAsia="宋体" w:cs="Arial"/>
          <w:sz w:val="24"/>
          <w:szCs w:val="24"/>
        </w:rPr>
        <w:t>中纳入术语</w:t>
      </w:r>
      <w:r>
        <w:rPr>
          <w:rFonts w:ascii="宋体" w:hAnsi="宋体" w:eastAsia="宋体" w:cs="Arial"/>
          <w:sz w:val="24"/>
          <w:szCs w:val="24"/>
        </w:rPr>
        <w:t>“</w:t>
      </w:r>
      <w:r>
        <w:rPr>
          <w:rFonts w:ascii="Arial" w:hAnsi="Arial" w:eastAsia="宋体" w:cs="Arial"/>
          <w:sz w:val="24"/>
          <w:szCs w:val="24"/>
        </w:rPr>
        <w:t>产品编码OQS</w:t>
      </w:r>
      <w:r>
        <w:rPr>
          <w:rFonts w:ascii="宋体" w:hAnsi="宋体" w:eastAsia="宋体" w:cs="Arial"/>
          <w:sz w:val="24"/>
          <w:szCs w:val="24"/>
        </w:rPr>
        <w:t>”</w:t>
      </w:r>
      <w:r>
        <w:rPr>
          <w:rFonts w:ascii="Arial" w:hAnsi="Arial" w:eastAsia="宋体" w:cs="Arial"/>
          <w:sz w:val="24"/>
          <w:szCs w:val="24"/>
        </w:rPr>
        <w:t>（除非LDT经过了FDA批准和审批，在该情况下应使用批准/审批流程中分配的产品编码）。</w:t>
      </w:r>
    </w:p>
    <w:p w14:paraId="036669AC">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MDR报告（MedWatch 3500A表格）必须包含21 CFR 803.52中描述的，临床实验室作为制造商已知的或合理认为已知的所有信息。合理认为应当已知的信息为：</w:t>
      </w:r>
    </w:p>
    <w:p w14:paraId="0AF090F4">
      <w:pPr>
        <w:pStyle w:val="14"/>
        <w:numPr>
          <w:ilvl w:val="0"/>
          <w:numId w:val="8"/>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可以通过联系使用该器械的机构、进口商或其他初次报告者获取；</w:t>
      </w:r>
    </w:p>
    <w:p w14:paraId="49F58D39">
      <w:pPr>
        <w:pStyle w:val="14"/>
        <w:numPr>
          <w:ilvl w:val="0"/>
          <w:numId w:val="8"/>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由制造商掌握；或</w:t>
      </w:r>
    </w:p>
    <w:p w14:paraId="6C37A077">
      <w:pPr>
        <w:pStyle w:val="14"/>
        <w:numPr>
          <w:ilvl w:val="0"/>
          <w:numId w:val="8"/>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可以通过对器械进行分析、测试或其他评价方式获取。</w:t>
      </w:r>
    </w:p>
    <w:p w14:paraId="2D13F07D">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21 CFR 803.50（b）</w:t>
      </w:r>
    </w:p>
    <w:p w14:paraId="70FDBD9B">
      <w:pPr>
        <w:overflowPunct w:val="0"/>
        <w:adjustRightInd w:val="0"/>
        <w:snapToGrid w:val="0"/>
        <w:spacing w:after="156" w:afterLines="50" w:line="300" w:lineRule="auto"/>
        <w:jc w:val="left"/>
        <w:rPr>
          <w:rFonts w:ascii="Arial" w:hAnsi="Arial" w:eastAsia="宋体" w:cs="Arial"/>
          <w:sz w:val="24"/>
          <w:szCs w:val="24"/>
        </w:rPr>
      </w:pPr>
      <w:r>
        <w:rPr>
          <w:rFonts w:ascii="Arial" w:hAnsi="Arial" w:eastAsia="宋体" w:cs="Arial"/>
          <w:sz w:val="24"/>
          <w:szCs w:val="24"/>
        </w:rPr>
        <w:t>关于填写MedWatch 3500A表格特定条目的指导见于：</w:t>
      </w:r>
      <w:r>
        <w:fldChar w:fldCharType="begin"/>
      </w:r>
      <w:r>
        <w:instrText xml:space="preserve"> HYPERLINK "http://www.fda.gov/downloads/Safety/MedWatch/HowToReport/DownloadForms/UCM387038.pdf" </w:instrText>
      </w:r>
      <w:r>
        <w:fldChar w:fldCharType="separate"/>
      </w:r>
      <w:r>
        <w:rPr>
          <w:rStyle w:val="12"/>
          <w:rFonts w:ascii="Arial" w:hAnsi="Arial" w:eastAsia="宋体" w:cs="Arial"/>
          <w:color w:val="0000FF"/>
          <w:sz w:val="24"/>
          <w:szCs w:val="24"/>
        </w:rPr>
        <w:t>http://www.fda.gov/downloads/Safety/MedWatch/HowToReport/DownloadForms/UCM387038.pdf</w:t>
      </w:r>
      <w:r>
        <w:rPr>
          <w:rStyle w:val="12"/>
          <w:rFonts w:ascii="Arial" w:hAnsi="Arial" w:eastAsia="宋体" w:cs="Arial"/>
          <w:color w:val="0000FF"/>
          <w:sz w:val="24"/>
          <w:szCs w:val="24"/>
        </w:rPr>
        <w:fldChar w:fldCharType="end"/>
      </w:r>
      <w:r>
        <w:rPr>
          <w:rFonts w:ascii="Arial" w:hAnsi="Arial" w:eastAsia="宋体" w:cs="Arial"/>
          <w:sz w:val="24"/>
          <w:szCs w:val="24"/>
        </w:rPr>
        <w:t>。</w:t>
      </w:r>
    </w:p>
    <w:p w14:paraId="515FC71D">
      <w:pPr>
        <w:overflowPunct w:val="0"/>
        <w:adjustRightInd w:val="0"/>
        <w:snapToGrid w:val="0"/>
        <w:spacing w:after="156" w:afterLines="50" w:line="300" w:lineRule="auto"/>
        <w:jc w:val="left"/>
        <w:rPr>
          <w:rFonts w:ascii="Arial" w:hAnsi="Arial" w:eastAsia="宋体" w:cs="Arial"/>
          <w:sz w:val="24"/>
          <w:szCs w:val="24"/>
        </w:rPr>
      </w:pPr>
      <w:r>
        <w:rPr>
          <w:rFonts w:ascii="Arial" w:hAnsi="Arial" w:eastAsia="宋体" w:cs="Arial"/>
          <w:sz w:val="24"/>
          <w:szCs w:val="24"/>
        </w:rPr>
        <w:t>编码手册见于：</w:t>
      </w:r>
      <w:r>
        <w:fldChar w:fldCharType="begin"/>
      </w:r>
      <w:r>
        <w:instrText xml:space="preserve"> HYPERLINK "http://www.fda.gov/MedicalDevices/DeviceRegulationandGuidance/GuidanceDocuments/ucm106737.htm" </w:instrText>
      </w:r>
      <w:r>
        <w:fldChar w:fldCharType="separate"/>
      </w:r>
      <w:r>
        <w:rPr>
          <w:rStyle w:val="12"/>
          <w:rFonts w:ascii="Arial" w:hAnsi="Arial" w:eastAsia="宋体" w:cs="Arial"/>
          <w:color w:val="0000FF"/>
          <w:sz w:val="24"/>
          <w:szCs w:val="24"/>
        </w:rPr>
        <w:t>http://www.fda.gov/MedicalDevices/DeviceRegulationandGuidance/GuidanceDocuments/ucm106737.htm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62667B46">
      <w:pPr>
        <w:pStyle w:val="14"/>
        <w:numPr>
          <w:ilvl w:val="0"/>
          <w:numId w:val="2"/>
        </w:numPr>
        <w:overflowPunct w:val="0"/>
        <w:adjustRightInd w:val="0"/>
        <w:snapToGrid w:val="0"/>
        <w:spacing w:after="156" w:afterLines="50" w:line="300" w:lineRule="auto"/>
        <w:ind w:firstLineChars="0"/>
        <w:rPr>
          <w:rFonts w:ascii="Arial" w:hAnsi="Arial" w:eastAsia="宋体" w:cs="Arial"/>
          <w:b/>
          <w:sz w:val="24"/>
          <w:szCs w:val="24"/>
        </w:rPr>
      </w:pPr>
      <w:r>
        <w:rPr>
          <w:rFonts w:ascii="Arial" w:hAnsi="Arial" w:eastAsia="宋体" w:cs="Arial"/>
          <w:b/>
          <w:sz w:val="24"/>
          <w:szCs w:val="24"/>
        </w:rPr>
        <w:t>建立、维护和实施书面MDR流程要求</w:t>
      </w:r>
    </w:p>
    <w:p w14:paraId="1094212C">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与其他医疗器械制造商一样，制造用于临床使用的LDT的临床实验室必须建立、维护和实施书面MDR流程。21 CFR 803.17。具体来说，这些流程应包括用于提供指导的内部系统：及时有效的识别、沟通、和评估可能需要满足MDR要求的事件；协助确定事件是否满足MDR报告标准的标准化审查流程或程序；以及及时向FDA提交完整的MDR报告。21 CFR 803.17（a）。</w:t>
      </w:r>
    </w:p>
    <w:p w14:paraId="1DC94850">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此外，这些流程必须包括关于临床实验室将如何解决文档和记录保存问题的说明：用于评估以确定事件是否可报告的信息；提交给FDA的所有医疗器械报告和信息；为准备年度报告而进行的评估的资料；确保FDA可以及时跟进和检查机构信息的系统。21 CFR 803.17（b）。</w:t>
      </w:r>
    </w:p>
    <w:p w14:paraId="4DE7E8CC">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实验室作为制造商，还需要建立和维护21 CFR 803.18所要求的MDR事件文件。</w:t>
      </w:r>
    </w:p>
    <w:p w14:paraId="54DABBBD">
      <w:pPr>
        <w:overflowPunct w:val="0"/>
        <w:adjustRightInd w:val="0"/>
        <w:snapToGrid w:val="0"/>
        <w:spacing w:after="156" w:afterLines="50" w:line="300" w:lineRule="auto"/>
        <w:jc w:val="left"/>
        <w:rPr>
          <w:rFonts w:ascii="Arial" w:hAnsi="Arial" w:eastAsia="宋体" w:cs="Arial"/>
          <w:spacing w:val="-4"/>
          <w:sz w:val="24"/>
          <w:szCs w:val="24"/>
        </w:rPr>
      </w:pPr>
      <w:r>
        <w:rPr>
          <w:rFonts w:ascii="Arial" w:hAnsi="Arial" w:eastAsia="宋体" w:cs="Arial"/>
          <w:spacing w:val="-4"/>
          <w:sz w:val="24"/>
          <w:szCs w:val="24"/>
        </w:rPr>
        <w:t>有关MDR法规和报告要求的其他指导性文件，请参阅</w:t>
      </w:r>
      <w:r>
        <w:rPr>
          <w:rFonts w:ascii="宋体" w:hAnsi="宋体" w:eastAsia="宋体" w:cs="Arial"/>
          <w:spacing w:val="-4"/>
          <w:sz w:val="24"/>
          <w:szCs w:val="24"/>
        </w:rPr>
        <w:t>“</w:t>
      </w:r>
      <w:r>
        <w:rPr>
          <w:rFonts w:ascii="Arial" w:hAnsi="Arial" w:eastAsia="宋体" w:cs="Arial"/>
          <w:spacing w:val="-4"/>
          <w:sz w:val="24"/>
          <w:szCs w:val="24"/>
        </w:rPr>
        <w:t>制造商医疗器械报告</w:t>
      </w:r>
      <w:r>
        <w:rPr>
          <w:rFonts w:ascii="宋体" w:hAnsi="宋体" w:eastAsia="宋体" w:cs="Arial"/>
          <w:spacing w:val="-4"/>
          <w:sz w:val="24"/>
          <w:szCs w:val="24"/>
        </w:rPr>
        <w:t>”</w:t>
      </w:r>
      <w:r>
        <w:rPr>
          <w:rFonts w:ascii="Arial" w:hAnsi="Arial" w:eastAsia="宋体" w:cs="Arial"/>
          <w:spacing w:val="-4"/>
          <w:sz w:val="24"/>
          <w:szCs w:val="24"/>
        </w:rPr>
        <w:t>文件：</w:t>
      </w:r>
      <w:r>
        <w:fldChar w:fldCharType="begin"/>
      </w:r>
      <w:r>
        <w:instrText xml:space="preserve"> HYPERLINK "http://www.fda.gov/MedicalDevices/DeviceRegulationandGuidance/GuidanceDocuments/ucm094529.htm" </w:instrText>
      </w:r>
      <w:r>
        <w:fldChar w:fldCharType="separate"/>
      </w:r>
      <w:r>
        <w:rPr>
          <w:rStyle w:val="12"/>
          <w:rFonts w:ascii="Arial" w:hAnsi="Arial" w:eastAsia="宋体" w:cs="Arial"/>
          <w:color w:val="0000FF"/>
          <w:spacing w:val="-4"/>
          <w:sz w:val="24"/>
          <w:szCs w:val="24"/>
        </w:rPr>
        <w:t>http://www.fda.gov/MedicalDevices/DeviceRegulationandGuidance/GuidanceDocuments/ucm094529.htm</w:t>
      </w:r>
      <w:r>
        <w:rPr>
          <w:rStyle w:val="12"/>
          <w:rFonts w:ascii="Arial" w:hAnsi="Arial" w:eastAsia="宋体" w:cs="Arial"/>
          <w:color w:val="0000FF"/>
          <w:spacing w:val="-4"/>
          <w:sz w:val="24"/>
          <w:szCs w:val="24"/>
        </w:rPr>
        <w:fldChar w:fldCharType="end"/>
      </w:r>
      <w:r>
        <w:rPr>
          <w:rFonts w:ascii="Arial" w:hAnsi="Arial" w:eastAsia="宋体" w:cs="Arial"/>
          <w:spacing w:val="-4"/>
          <w:sz w:val="24"/>
          <w:szCs w:val="24"/>
        </w:rPr>
        <w:t>。</w:t>
      </w:r>
    </w:p>
    <w:p w14:paraId="3B80ED13">
      <w:pPr>
        <w:widowControl/>
        <w:jc w:val="left"/>
        <w:rPr>
          <w:rFonts w:ascii="Arial" w:hAnsi="Arial" w:eastAsia="宋体" w:cs="Arial"/>
          <w:sz w:val="24"/>
          <w:szCs w:val="24"/>
        </w:rPr>
      </w:pPr>
      <w:r>
        <w:rPr>
          <w:rFonts w:ascii="Arial" w:hAnsi="Arial" w:eastAsia="宋体" w:cs="Arial"/>
          <w:sz w:val="24"/>
          <w:szCs w:val="24"/>
        </w:rPr>
        <w:br w:type="page"/>
      </w:r>
    </w:p>
    <w:p w14:paraId="6661357F">
      <w:pPr>
        <w:overflowPunct w:val="0"/>
        <w:adjustRightInd w:val="0"/>
        <w:snapToGrid w:val="0"/>
        <w:spacing w:after="156" w:afterLines="50" w:line="300" w:lineRule="auto"/>
        <w:rPr>
          <w:rFonts w:ascii="Arial" w:hAnsi="Arial" w:eastAsia="宋体" w:cs="Arial"/>
          <w:b/>
          <w:sz w:val="24"/>
          <w:szCs w:val="24"/>
        </w:rPr>
      </w:pPr>
      <w:bookmarkStart w:id="26" w:name="OLE_LINK18"/>
      <w:r>
        <w:rPr>
          <w:rFonts w:ascii="Arial" w:hAnsi="Arial" w:eastAsia="宋体" w:cs="Arial"/>
          <w:b/>
          <w:sz w:val="24"/>
          <w:szCs w:val="24"/>
        </w:rPr>
        <w:t>作为医疗器械使用机构和制造商</w:t>
      </w:r>
      <w:bookmarkEnd w:id="26"/>
      <w:r>
        <w:rPr>
          <w:rFonts w:ascii="Arial" w:hAnsi="Arial" w:eastAsia="宋体" w:cs="Arial"/>
          <w:b/>
          <w:sz w:val="24"/>
          <w:szCs w:val="24"/>
        </w:rPr>
        <w:t>报告不良事件</w:t>
      </w:r>
    </w:p>
    <w:p w14:paraId="3A4E424C">
      <w:pPr>
        <w:pStyle w:val="14"/>
        <w:numPr>
          <w:ilvl w:val="0"/>
          <w:numId w:val="9"/>
        </w:numPr>
        <w:overflowPunct w:val="0"/>
        <w:adjustRightInd w:val="0"/>
        <w:snapToGrid w:val="0"/>
        <w:spacing w:after="156" w:afterLines="50" w:line="300" w:lineRule="auto"/>
        <w:ind w:firstLineChars="0"/>
        <w:rPr>
          <w:rFonts w:ascii="Arial" w:hAnsi="Arial" w:eastAsia="宋体" w:cs="Arial"/>
          <w:b/>
          <w:sz w:val="24"/>
          <w:szCs w:val="24"/>
        </w:rPr>
      </w:pPr>
      <w:bookmarkStart w:id="27" w:name="OLE_LINK19"/>
      <w:r>
        <w:rPr>
          <w:rFonts w:ascii="Arial" w:hAnsi="Arial" w:eastAsia="宋体" w:cs="Arial"/>
          <w:b/>
          <w:sz w:val="24"/>
          <w:szCs w:val="24"/>
        </w:rPr>
        <w:t>医疗器械使用机构和制造商</w:t>
      </w:r>
      <w:bookmarkEnd w:id="27"/>
      <w:r>
        <w:rPr>
          <w:rFonts w:ascii="Arial" w:hAnsi="Arial" w:eastAsia="宋体" w:cs="Arial"/>
          <w:b/>
          <w:sz w:val="24"/>
          <w:szCs w:val="24"/>
        </w:rPr>
        <w:t>的基本不良事件报告义务是什么？</w:t>
      </w:r>
    </w:p>
    <w:p w14:paraId="67522C6F">
      <w:pPr>
        <w:pStyle w:val="14"/>
        <w:numPr>
          <w:ilvl w:val="1"/>
          <w:numId w:val="9"/>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21 CFR第803部分规定了医疗器械使用机构和制造商报告不良事件的要求：</w:t>
      </w:r>
    </w:p>
    <w:p w14:paraId="567F7B76">
      <w:pPr>
        <w:overflowPunct w:val="0"/>
        <w:adjustRightInd w:val="0"/>
        <w:snapToGrid w:val="0"/>
        <w:spacing w:after="156" w:afterLines="50" w:line="300" w:lineRule="auto"/>
        <w:ind w:left="420" w:leftChars="200"/>
        <w:jc w:val="left"/>
        <w:rPr>
          <w:rFonts w:ascii="Arial" w:hAnsi="Arial" w:eastAsia="宋体" w:cs="Arial"/>
          <w:kern w:val="0"/>
          <w:sz w:val="24"/>
          <w:szCs w:val="24"/>
        </w:rPr>
      </w:pPr>
      <w:r>
        <w:rPr>
          <w:rFonts w:ascii="Arial" w:hAnsi="Arial" w:eastAsia="宋体" w:cs="Arial"/>
          <w:sz w:val="24"/>
          <w:szCs w:val="24"/>
        </w:rPr>
        <w:t>医疗器械使用机构和制造商通过统一的报告系统向FDA报告独立的不良事件。</w:t>
      </w:r>
      <w:r>
        <w:rPr>
          <w:rFonts w:ascii="Arial" w:hAnsi="Arial" w:eastAsia="宋体" w:cs="Arial"/>
          <w:kern w:val="0"/>
          <w:sz w:val="24"/>
          <w:szCs w:val="24"/>
        </w:rPr>
        <w:t>医疗器械使用机构和制造商均使用相同的MedWatch 3500A表格进行报告，即</w:t>
      </w:r>
      <w:r>
        <w:rPr>
          <w:rFonts w:ascii="宋体" w:hAnsi="宋体" w:eastAsia="宋体" w:cs="Arial"/>
          <w:kern w:val="0"/>
          <w:sz w:val="24"/>
          <w:szCs w:val="24"/>
        </w:rPr>
        <w:t>“</w:t>
      </w:r>
      <w:r>
        <w:rPr>
          <w:rFonts w:ascii="Arial" w:hAnsi="Arial" w:eastAsia="宋体" w:cs="Arial"/>
          <w:kern w:val="0"/>
          <w:sz w:val="24"/>
          <w:szCs w:val="24"/>
        </w:rPr>
        <w:t>药品和医疗器械经验报告。</w:t>
      </w:r>
      <w:r>
        <w:rPr>
          <w:rFonts w:ascii="宋体" w:hAnsi="宋体" w:eastAsia="宋体" w:cs="Arial"/>
          <w:kern w:val="0"/>
          <w:sz w:val="24"/>
          <w:szCs w:val="24"/>
        </w:rPr>
        <w:t>”</w:t>
      </w:r>
      <w:r>
        <w:rPr>
          <w:rFonts w:ascii="Arial" w:hAnsi="Arial" w:eastAsia="宋体" w:cs="Arial"/>
          <w:kern w:val="0"/>
          <w:sz w:val="24"/>
          <w:szCs w:val="24"/>
        </w:rPr>
        <w:t>21 CFR 803.11（您可以在下列网站找到强制性MedWatch报告表格副本：</w:t>
      </w:r>
      <w:r>
        <w:fldChar w:fldCharType="begin"/>
      </w:r>
      <w:r>
        <w:instrText xml:space="preserve"> HYPERLINK "http://www.fda.gov/downloads/AboutFDA/ReportsManualsForms/Forms/UCM048334.pdf" </w:instrText>
      </w:r>
      <w:r>
        <w:fldChar w:fldCharType="separate"/>
      </w:r>
      <w:r>
        <w:rPr>
          <w:rStyle w:val="12"/>
          <w:rFonts w:ascii="Arial" w:hAnsi="Arial" w:eastAsia="宋体" w:cs="Arial"/>
          <w:color w:val="0000FF"/>
          <w:kern w:val="0"/>
          <w:sz w:val="24"/>
          <w:szCs w:val="24"/>
        </w:rPr>
        <w:t>http://www.fda.gov/downloads/AboutFDA/ReportsManualsForms/Forms/UCM048334.pdf</w:t>
      </w:r>
      <w:r>
        <w:rPr>
          <w:rStyle w:val="12"/>
          <w:rFonts w:ascii="Arial" w:hAnsi="Arial" w:eastAsia="宋体" w:cs="Arial"/>
          <w:color w:val="0000FF"/>
          <w:kern w:val="0"/>
          <w:sz w:val="24"/>
          <w:szCs w:val="24"/>
        </w:rPr>
        <w:fldChar w:fldCharType="end"/>
      </w:r>
      <w:r>
        <w:rPr>
          <w:rFonts w:ascii="Arial" w:hAnsi="Arial" w:eastAsia="宋体" w:cs="Arial"/>
          <w:kern w:val="0"/>
          <w:sz w:val="24"/>
          <w:szCs w:val="24"/>
        </w:rPr>
        <w:t>）。</w:t>
      </w:r>
    </w:p>
    <w:p w14:paraId="73B02F3D">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kern w:val="0"/>
          <w:sz w:val="24"/>
          <w:szCs w:val="24"/>
        </w:rPr>
        <w:t>如果</w:t>
      </w:r>
      <w:bookmarkStart w:id="28" w:name="OLE_LINK20"/>
      <w:bookmarkStart w:id="29" w:name="OLE_LINK22"/>
      <w:bookmarkStart w:id="30" w:name="OLE_LINK21"/>
      <w:r>
        <w:rPr>
          <w:rFonts w:ascii="Arial" w:hAnsi="Arial" w:eastAsia="宋体" w:cs="Arial"/>
          <w:sz w:val="24"/>
          <w:szCs w:val="24"/>
        </w:rPr>
        <w:t>医疗器械使用机构</w:t>
      </w:r>
      <w:bookmarkEnd w:id="28"/>
      <w:bookmarkEnd w:id="29"/>
      <w:bookmarkEnd w:id="30"/>
      <w:r>
        <w:rPr>
          <w:rFonts w:ascii="Arial" w:hAnsi="Arial" w:eastAsia="宋体" w:cs="Arial"/>
          <w:sz w:val="24"/>
          <w:szCs w:val="24"/>
        </w:rPr>
        <w:t>接收到了关于可报告不良事件的信息，则该机构必须在其发现此不良事件后立即向FDA和/或制造商报告。如果该不良事件涉及死亡，则医疗器械使用机构应填写MedWatch 3500A表格的特定部分，并在接受信息的10个工作日内将表格副本提交至FDA和制造商。如果该不良事件涉及严重损伤，则医疗器械使用机构应在知晓该信息的10个工作日内将报告提交至制造商。21 CFR 803.30。如果无法确定制造商的身份，则机构应在知晓该信息的10个工作日内将不良事件报告提交至FDA。21 CFR 803.30。</w:t>
      </w:r>
    </w:p>
    <w:p w14:paraId="49111B0A">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制造商从医疗器械使用机构知晓该可报告事件后，应进一步调查该事件，并在MedWatch 3500A表格内补充其他信息。21 CFR 803.50。制造商必须在知晓该不良事件后的30个自然日内向FDA提交完整的MedWatch 3500A表格。21 CFR 803.50。如果根据21 CFR 803.53的规定，该不良事件需要采取医疗措施，则制造商还应在知晓该可报告的MDR事件后的5个工作日内向FDA提交MedWatch 3500A表格。该项要求会在下文的问题6D中进一步讨论。21 CFR第803部分，E子部分。</w:t>
      </w:r>
    </w:p>
    <w:p w14:paraId="30472D6B">
      <w:pPr>
        <w:pStyle w:val="14"/>
        <w:numPr>
          <w:ilvl w:val="1"/>
          <w:numId w:val="9"/>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医疗器械使用机构</w:t>
      </w:r>
      <w:bookmarkStart w:id="31" w:name="OLE_LINK28"/>
      <w:r>
        <w:rPr>
          <w:rFonts w:ascii="Arial" w:hAnsi="Arial" w:eastAsia="宋体" w:cs="Arial"/>
          <w:sz w:val="24"/>
          <w:szCs w:val="24"/>
        </w:rPr>
        <w:t>应负责的其他不良事件报告：</w:t>
      </w:r>
      <w:bookmarkEnd w:id="31"/>
    </w:p>
    <w:p w14:paraId="35A63318">
      <w:pPr>
        <w:overflowPunct w:val="0"/>
        <w:adjustRightInd w:val="0"/>
        <w:snapToGrid w:val="0"/>
        <w:spacing w:after="156" w:afterLines="50" w:line="300" w:lineRule="auto"/>
        <w:ind w:left="420" w:leftChars="200"/>
        <w:rPr>
          <w:rFonts w:ascii="Arial" w:hAnsi="Arial" w:eastAsia="宋体" w:cs="Arial"/>
          <w:sz w:val="24"/>
          <w:szCs w:val="24"/>
        </w:rPr>
      </w:pPr>
      <w:bookmarkStart w:id="32" w:name="OLE_LINK29"/>
      <w:bookmarkStart w:id="33" w:name="OLE_LINK24"/>
      <w:bookmarkStart w:id="34" w:name="OLE_LINK23"/>
      <w:r>
        <w:rPr>
          <w:rFonts w:ascii="Arial" w:hAnsi="Arial" w:eastAsia="宋体" w:cs="Arial"/>
          <w:sz w:val="24"/>
          <w:szCs w:val="24"/>
        </w:rPr>
        <w:t>医疗器械使用机构</w:t>
      </w:r>
      <w:bookmarkEnd w:id="32"/>
      <w:bookmarkEnd w:id="33"/>
      <w:bookmarkEnd w:id="34"/>
      <w:r>
        <w:rPr>
          <w:rFonts w:ascii="Arial" w:hAnsi="Arial" w:eastAsia="宋体" w:cs="Arial"/>
          <w:sz w:val="24"/>
          <w:szCs w:val="24"/>
        </w:rPr>
        <w:t>必须在每年的1月1日完成并向FDA提交年度报告。21 CFR 803.33。根据21 CFR 803.33的规定，年度报告中的信息必须包括：</w:t>
      </w:r>
    </w:p>
    <w:p w14:paraId="4402F5A9">
      <w:pPr>
        <w:pStyle w:val="14"/>
        <w:numPr>
          <w:ilvl w:val="0"/>
          <w:numId w:val="10"/>
        </w:numPr>
        <w:overflowPunct w:val="0"/>
        <w:adjustRightInd w:val="0"/>
        <w:snapToGrid w:val="0"/>
        <w:spacing w:line="300" w:lineRule="auto"/>
        <w:ind w:left="840" w:leftChars="400" w:firstLineChars="0"/>
        <w:rPr>
          <w:rFonts w:ascii="Arial" w:hAnsi="Arial" w:eastAsia="宋体" w:cs="Arial"/>
          <w:sz w:val="24"/>
          <w:szCs w:val="24"/>
        </w:rPr>
      </w:pPr>
      <w:bookmarkStart w:id="35" w:name="OLE_LINK25"/>
      <w:bookmarkStart w:id="36" w:name="OLE_LINK26"/>
      <w:bookmarkStart w:id="37" w:name="OLE_LINK27"/>
      <w:r>
        <w:rPr>
          <w:rFonts w:ascii="Arial" w:hAnsi="Arial" w:eastAsia="宋体" w:cs="Arial"/>
          <w:sz w:val="24"/>
          <w:szCs w:val="24"/>
        </w:rPr>
        <w:t>医疗器械使用机构</w:t>
      </w:r>
      <w:bookmarkEnd w:id="35"/>
      <w:bookmarkEnd w:id="36"/>
      <w:bookmarkEnd w:id="37"/>
      <w:r>
        <w:rPr>
          <w:rFonts w:ascii="Arial" w:hAnsi="Arial" w:eastAsia="宋体" w:cs="Arial"/>
          <w:sz w:val="24"/>
          <w:szCs w:val="24"/>
        </w:rPr>
        <w:t>的医疗保险和医疗补助服务中心（CMS）提供者代码，或由FDA发布的其他用于报告的号码；</w:t>
      </w:r>
    </w:p>
    <w:p w14:paraId="40973B59">
      <w:pPr>
        <w:pStyle w:val="14"/>
        <w:numPr>
          <w:ilvl w:val="0"/>
          <w:numId w:val="10"/>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报告年；</w:t>
      </w:r>
    </w:p>
    <w:p w14:paraId="04CC8ED7">
      <w:pPr>
        <w:pStyle w:val="14"/>
        <w:numPr>
          <w:ilvl w:val="0"/>
          <w:numId w:val="10"/>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机构名称和完整地址；</w:t>
      </w:r>
    </w:p>
    <w:p w14:paraId="369088DA">
      <w:pPr>
        <w:pStyle w:val="14"/>
        <w:numPr>
          <w:ilvl w:val="0"/>
          <w:numId w:val="10"/>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附加或总结的报告总数；</w:t>
      </w:r>
    </w:p>
    <w:p w14:paraId="61DED641">
      <w:pPr>
        <w:pStyle w:val="14"/>
        <w:numPr>
          <w:ilvl w:val="0"/>
          <w:numId w:val="10"/>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年度报告的日期，以及医疗器械使用机构在报告年度内提交的最低和最高的医疗器械报告编码（例如123456790-2001-0001到0895）；</w:t>
      </w:r>
    </w:p>
    <w:p w14:paraId="3CCE6B42">
      <w:pPr>
        <w:pStyle w:val="14"/>
        <w:numPr>
          <w:ilvl w:val="0"/>
          <w:numId w:val="10"/>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医疗器械使用机构负责报告的联系人姓名、职位和完整地址，以及该联系人是否为新的联系人；和</w:t>
      </w:r>
    </w:p>
    <w:p w14:paraId="55F58F2D">
      <w:pPr>
        <w:pStyle w:val="14"/>
        <w:numPr>
          <w:ilvl w:val="0"/>
          <w:numId w:val="10"/>
        </w:numPr>
        <w:overflowPunct w:val="0"/>
        <w:adjustRightInd w:val="0"/>
        <w:snapToGrid w:val="0"/>
        <w:spacing w:after="156" w:afterLines="50" w:line="300" w:lineRule="auto"/>
        <w:ind w:left="840" w:leftChars="400" w:firstLineChars="0"/>
        <w:rPr>
          <w:rFonts w:ascii="Arial" w:hAnsi="Arial" w:eastAsia="宋体" w:cs="Arial"/>
          <w:sz w:val="24"/>
          <w:szCs w:val="24"/>
        </w:rPr>
      </w:pPr>
      <w:r>
        <w:rPr>
          <w:rFonts w:ascii="Arial" w:hAnsi="Arial" w:eastAsia="宋体" w:cs="Arial"/>
          <w:sz w:val="24"/>
          <w:szCs w:val="24"/>
        </w:rPr>
        <w:t>在年度报告期间内发生的每项可报告事件的信息（详细信息见21 CFR 803.33 （7）（i-vi））。</w:t>
      </w:r>
    </w:p>
    <w:p w14:paraId="4882A722">
      <w:pPr>
        <w:overflowPunct w:val="0"/>
        <w:adjustRightInd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年度报告信息必须使用FDA表格3419，或使用FDA根据21 CFR 803.14批准的电子版表格提交。21 CFR 803.33。如果在该期间内未向FDA或制造商提交过报告，则不需要年度报告。21 CFR 803.33（c）。</w:t>
      </w:r>
    </w:p>
    <w:p w14:paraId="5752B1DF">
      <w:pPr>
        <w:pStyle w:val="14"/>
        <w:numPr>
          <w:ilvl w:val="1"/>
          <w:numId w:val="9"/>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制造商应负责的其他不良事件报告：</w:t>
      </w:r>
    </w:p>
    <w:p w14:paraId="1A7E8EC8">
      <w:pPr>
        <w:overflowPunct w:val="0"/>
        <w:adjustRightInd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制造商应提交针对初次报告时未知或无法获取信息的补充报告。21 CFR 803.56。该信息必须在制造商接收到信息后的1个月内提交。21 CFR 803.56。</w:t>
      </w:r>
    </w:p>
    <w:p w14:paraId="04384F2C">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作为制造商会对不良事件报告责任带来哪些变化？</w:t>
      </w:r>
    </w:p>
    <w:p w14:paraId="7F420D84">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sz w:val="24"/>
          <w:szCs w:val="24"/>
        </w:rPr>
        <w:t>如果除医疗器械使用机构的身份外还作为医疗器械的制造商实体，则您的临床实验室也需要遵守针对制造商的不良事件报告要求。因此，对于涉及LDT的不良事件，您必须同时满足21 CFR第803部分针对</w:t>
      </w:r>
      <w:r>
        <w:rPr>
          <w:rFonts w:ascii="Arial" w:hAnsi="Arial" w:eastAsia="宋体" w:cs="Arial"/>
          <w:kern w:val="0"/>
          <w:sz w:val="24"/>
          <w:szCs w:val="24"/>
        </w:rPr>
        <w:t>医疗器械使用机构的和制造商的报告要求。21 CFR 803.3。本指南旨在帮助您确定在何种情况下临床实验室必须</w:t>
      </w:r>
      <w:r>
        <w:rPr>
          <w:rFonts w:ascii="Arial" w:hAnsi="Arial" w:eastAsia="宋体" w:cs="Arial"/>
          <w:sz w:val="24"/>
          <w:szCs w:val="24"/>
        </w:rPr>
        <w:t>同时满足21 CFR第803部分针对</w:t>
      </w:r>
      <w:r>
        <w:rPr>
          <w:rFonts w:ascii="Arial" w:hAnsi="Arial" w:eastAsia="宋体" w:cs="Arial"/>
          <w:kern w:val="0"/>
          <w:sz w:val="24"/>
          <w:szCs w:val="24"/>
        </w:rPr>
        <w:t>医疗器械使用机构的和制造商的报告要求，以及在何种情况下只需要</w:t>
      </w:r>
      <w:r>
        <w:rPr>
          <w:rFonts w:ascii="Arial" w:hAnsi="Arial" w:eastAsia="宋体" w:cs="Arial"/>
          <w:sz w:val="24"/>
          <w:szCs w:val="24"/>
        </w:rPr>
        <w:t>满足21 CFR第803部分针对</w:t>
      </w:r>
      <w:r>
        <w:rPr>
          <w:rFonts w:ascii="Arial" w:hAnsi="Arial" w:eastAsia="宋体" w:cs="Arial"/>
          <w:kern w:val="0"/>
          <w:sz w:val="24"/>
          <w:szCs w:val="24"/>
        </w:rPr>
        <w:t>医疗器械使用机构的报告要求。</w:t>
      </w:r>
    </w:p>
    <w:p w14:paraId="240D8C8C">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21 CFR第803部分针对医疗器械使用机构和制造商的报告要求的主要不同点是什么？</w:t>
      </w:r>
    </w:p>
    <w:p w14:paraId="36D5999F">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作为医疗器械使用机构的和制造商向FDA报告不良事件有几个重要的不同点。医疗器械的制造商要求向FDA而非制造商报告严重损伤事件；填写MedWatch 3500A表格中的其他章节信息；报告具体的器械功能异常；以及向机构提交5日补救措施实践报告。除了填写MedWatch3500A表格外，制造商还应该提交适当的补充MDR报告。</w:t>
      </w:r>
    </w:p>
    <w:p w14:paraId="5C04F216">
      <w:pPr>
        <w:widowControl/>
        <w:jc w:val="left"/>
        <w:rPr>
          <w:rFonts w:ascii="Arial" w:hAnsi="Arial" w:eastAsia="宋体" w:cs="Arial"/>
          <w:b/>
          <w:sz w:val="24"/>
          <w:szCs w:val="24"/>
        </w:rPr>
      </w:pPr>
      <w:r>
        <w:rPr>
          <w:rFonts w:ascii="Arial" w:hAnsi="Arial" w:eastAsia="宋体" w:cs="Arial"/>
          <w:b/>
          <w:sz w:val="24"/>
          <w:szCs w:val="24"/>
        </w:rPr>
        <w:br w:type="page"/>
      </w:r>
    </w:p>
    <w:p w14:paraId="3B733C88">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如何获知应作为制造商还是医疗器械使用机构进行报告？</w:t>
      </w:r>
    </w:p>
    <w:p w14:paraId="4EE60A18">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您仅需要满足作为医疗器械使用机构的不良事件报告要求，还是需要同时满足作为制造商和医疗器械使用机构的报告要求取决于不良事件是否涉及LDT。您仅需要作为医疗器械使用机构进行不良事件的报告还是必须作为制造商报告取决于您对以下问题的答案：</w:t>
      </w:r>
    </w:p>
    <w:p w14:paraId="6A1E08A4">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 xml:space="preserve">A. </w:t>
      </w:r>
      <w:bookmarkStart w:id="38" w:name="OLE_LINK30"/>
      <w:bookmarkStart w:id="39" w:name="OLE_LINK31"/>
      <w:r>
        <w:rPr>
          <w:rFonts w:ascii="Arial" w:hAnsi="Arial" w:eastAsia="宋体" w:cs="Arial"/>
          <w:kern w:val="0"/>
          <w:sz w:val="24"/>
          <w:szCs w:val="24"/>
        </w:rPr>
        <w:t>该可报告事件是否涉及实验室所生产的LDT</w:t>
      </w:r>
      <w:bookmarkEnd w:id="38"/>
      <w:bookmarkEnd w:id="39"/>
      <w:r>
        <w:rPr>
          <w:rFonts w:ascii="Arial" w:hAnsi="Arial" w:eastAsia="宋体" w:cs="Arial"/>
          <w:kern w:val="0"/>
          <w:sz w:val="24"/>
          <w:szCs w:val="24"/>
        </w:rPr>
        <w:t>？</w:t>
      </w:r>
    </w:p>
    <w:p w14:paraId="1D3E7830">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如果该可报告事件涉及实验室所生产的LDT，则即使问题LDT所含的关键成分，如分析特定试剂（ASR），并非由您的实验室生产（即实验室对FDA批准/审批过的医疗器械进行了修改，并影响了其适应症或IVD性能），您仍然应当满足作为制造商和医疗器械使用机构的报告要求。21 CFR 803.3。</w:t>
      </w:r>
    </w:p>
    <w:p w14:paraId="00957F8A">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B. 该可报告事件所涉及的IVD或其他医疗器械是否并非实验室生产的LDT？</w:t>
      </w:r>
    </w:p>
    <w:p w14:paraId="024A8A28">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如果该可报告事件涉及的IVD或其他医疗器械并非实验室生产的LDT，则您只需要满足作为医疗器械使用机构的报告要求。21 CFR 803.3。</w:t>
      </w:r>
    </w:p>
    <w:p w14:paraId="00A2DCC7">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bookmarkStart w:id="40" w:name="OLE_LINK32"/>
      <w:bookmarkStart w:id="41" w:name="OLE_LINK33"/>
      <w:r>
        <w:rPr>
          <w:rFonts w:ascii="Arial" w:hAnsi="Arial" w:eastAsia="宋体" w:cs="Arial"/>
          <w:b/>
          <w:sz w:val="24"/>
          <w:szCs w:val="24"/>
        </w:rPr>
        <w:t>如果不良事件与临床实验室生产的LDT无关，则在何种情况下应当报告该事件</w:t>
      </w:r>
      <w:bookmarkEnd w:id="40"/>
      <w:bookmarkEnd w:id="41"/>
      <w:r>
        <w:rPr>
          <w:rFonts w:ascii="Arial" w:hAnsi="Arial" w:eastAsia="宋体" w:cs="Arial"/>
          <w:b/>
          <w:sz w:val="24"/>
          <w:szCs w:val="24"/>
        </w:rPr>
        <w:t>？</w:t>
      </w:r>
    </w:p>
    <w:p w14:paraId="02FC7EC5">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当出现下列情况时，您应当满足作为医疗器械使用机构的报告要求：</w:t>
      </w:r>
    </w:p>
    <w:p w14:paraId="2B9806CF">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A. 死亡：</w:t>
      </w:r>
    </w:p>
    <w:p w14:paraId="0249EDC7">
      <w:pPr>
        <w:overflowPunct w:val="0"/>
        <w:adjustRightInd w:val="0"/>
        <w:snapToGrid w:val="0"/>
        <w:spacing w:after="156" w:afterLines="50" w:line="300" w:lineRule="auto"/>
        <w:ind w:left="840" w:leftChars="400"/>
        <w:rPr>
          <w:rFonts w:ascii="Arial" w:hAnsi="Arial" w:eastAsia="宋体" w:cs="Arial"/>
          <w:sz w:val="24"/>
          <w:szCs w:val="24"/>
        </w:rPr>
      </w:pPr>
      <w:r>
        <w:rPr>
          <w:rFonts w:ascii="Arial" w:hAnsi="Arial" w:eastAsia="宋体" w:cs="Arial"/>
          <w:kern w:val="0"/>
          <w:sz w:val="24"/>
          <w:szCs w:val="24"/>
        </w:rPr>
        <w:t>作为医疗器械使用机构，当获知某</w:t>
      </w:r>
      <w:r>
        <w:rPr>
          <w:rFonts w:ascii="Arial" w:hAnsi="Arial" w:eastAsia="宋体" w:cs="Arial"/>
          <w:sz w:val="24"/>
          <w:szCs w:val="24"/>
        </w:rPr>
        <w:t>信息表明某种医疗器械已经造成、可能造成、或可能会增加</w:t>
      </w:r>
      <w:r>
        <w:rPr>
          <w:rFonts w:ascii="Arial" w:hAnsi="Arial" w:eastAsia="宋体" w:cs="Arial"/>
          <w:kern w:val="0"/>
          <w:sz w:val="24"/>
          <w:szCs w:val="24"/>
        </w:rPr>
        <w:t>机构</w:t>
      </w:r>
      <w:r>
        <w:rPr>
          <w:rFonts w:ascii="Arial" w:hAnsi="Arial" w:eastAsia="宋体" w:cs="Arial"/>
          <w:sz w:val="24"/>
          <w:szCs w:val="24"/>
        </w:rPr>
        <w:t>内患者死亡风险，则应在得到上述信息的10个工作日内向FDA和医疗器械的制造商（如果可以确定制造商）报告。21 CFR 803.30（a）（1）。</w:t>
      </w:r>
    </w:p>
    <w:p w14:paraId="69339148">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sz w:val="24"/>
          <w:szCs w:val="24"/>
        </w:rPr>
        <w:t>B. 严重损伤：</w:t>
      </w:r>
    </w:p>
    <w:p w14:paraId="7A595484">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作为医疗器械使用机构，当获知某信息表明某种医疗器械已经造成、可能造成、或可能会增加机构内患者发生严重损伤的风险，则应在得到上述信息的10个工作日内向医疗器械的制造商报告，如果无法确定制造商则应向FDA报告。21 CFR 803.30（a）（2）。</w:t>
      </w:r>
    </w:p>
    <w:p w14:paraId="5978CA3A">
      <w:pPr>
        <w:widowControl/>
        <w:jc w:val="left"/>
        <w:rPr>
          <w:rFonts w:ascii="Arial" w:hAnsi="Arial" w:eastAsia="宋体" w:cs="Arial"/>
          <w:b/>
          <w:sz w:val="24"/>
          <w:szCs w:val="24"/>
        </w:rPr>
      </w:pPr>
      <w:r>
        <w:rPr>
          <w:rFonts w:ascii="Arial" w:hAnsi="Arial" w:eastAsia="宋体" w:cs="Arial"/>
          <w:b/>
          <w:sz w:val="24"/>
          <w:szCs w:val="24"/>
        </w:rPr>
        <w:br w:type="page"/>
      </w:r>
    </w:p>
    <w:p w14:paraId="500C493C">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如果不良事件与临床实验室生产的LDT相关，则在何种情况下必须作为制造商报告该事件？</w:t>
      </w:r>
    </w:p>
    <w:p w14:paraId="02625140">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LDT为FD&amp;C法案（FD&amp;C法案第201（h）章节；21 U.S.C. 321（h））监管下的医疗器械；因此，生产和提供临床用LDT的临床实验室认为是医疗器械的制造商。同样，临床实验室也必须遵守21 CFR 803对制造商的报告要求：</w:t>
      </w:r>
    </w:p>
    <w:p w14:paraId="10D3BE8C">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A. 死亡：</w:t>
      </w:r>
    </w:p>
    <w:p w14:paraId="2641C07A">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作为LDT制造商，当获知某信息表明某种由您的临床实验室生产的某种LDT已经造成、可能造成、或可能会增加患者死亡风险，则应在得到上述信息的30个自然日内向FDA报告。21 CFR 803.50（a）（1）。</w:t>
      </w:r>
    </w:p>
    <w:p w14:paraId="4381DAF7">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B. 严重损伤：</w:t>
      </w:r>
    </w:p>
    <w:p w14:paraId="67BA1CFB">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作为LDT制造商，当获知某信息表明某种由您的临床实验室生产的某种LDT已经造成、可能造成、或可能会增加患者发生严重损伤的风险，则应在得到上述信息的30个自然日内向FDA报告。21 CFR 803.50（a）（1）。</w:t>
      </w:r>
    </w:p>
    <w:p w14:paraId="69F6AE8F">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C. 功能异常</w:t>
      </w:r>
    </w:p>
    <w:p w14:paraId="37939AF0">
      <w:pPr>
        <w:overflowPunct w:val="0"/>
        <w:adjustRightInd w:val="0"/>
        <w:snapToGrid w:val="0"/>
        <w:spacing w:after="156" w:afterLines="50" w:line="300" w:lineRule="auto"/>
        <w:ind w:left="840" w:leftChars="400"/>
        <w:rPr>
          <w:rFonts w:ascii="Arial" w:hAnsi="Arial" w:eastAsia="宋体" w:cs="Arial"/>
          <w:sz w:val="24"/>
          <w:szCs w:val="24"/>
        </w:rPr>
      </w:pPr>
      <w:r>
        <w:rPr>
          <w:rFonts w:ascii="Arial" w:hAnsi="Arial" w:eastAsia="宋体" w:cs="Arial"/>
          <w:kern w:val="0"/>
          <w:sz w:val="24"/>
          <w:szCs w:val="24"/>
        </w:rPr>
        <w:t>作为LDT制造商，当获知某信息表明某种由您的临床实验室生产的某种LDT已经发生了功能异常，且如果不对该功能异常进行修复，则该类医疗器械（LDT）或您的临床实验室生产的类似器械（LDT）可能会造成或增加患者死亡或发生严重损伤的风险，则应在得到上述信息的30个自</w:t>
      </w:r>
      <w:r>
        <w:rPr>
          <w:rFonts w:ascii="Arial" w:hAnsi="Arial" w:eastAsia="宋体" w:cs="Arial"/>
          <w:sz w:val="24"/>
          <w:szCs w:val="24"/>
        </w:rPr>
        <w:t>然日内向FDA报告。21 CFR 803.50（a）（2）。</w:t>
      </w:r>
    </w:p>
    <w:p w14:paraId="34ABADBF">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sz w:val="24"/>
          <w:szCs w:val="24"/>
        </w:rPr>
        <w:t xml:space="preserve">D. </w:t>
      </w:r>
      <w:r>
        <w:rPr>
          <w:rFonts w:ascii="Arial" w:hAnsi="Arial" w:eastAsia="宋体" w:cs="Arial"/>
          <w:kern w:val="0"/>
          <w:sz w:val="24"/>
          <w:szCs w:val="24"/>
        </w:rPr>
        <w:t>补救措施；要求：</w:t>
      </w:r>
    </w:p>
    <w:p w14:paraId="393559F2">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kern w:val="0"/>
          <w:sz w:val="24"/>
          <w:szCs w:val="24"/>
        </w:rPr>
        <w:t>作为LDT制造商，当您发现以下情况时，应在5个工作日内向FDA报告不良事件：</w:t>
      </w:r>
    </w:p>
    <w:p w14:paraId="4EC85F6C">
      <w:pPr>
        <w:overflowPunct w:val="0"/>
        <w:adjustRightInd w:val="0"/>
        <w:snapToGrid w:val="0"/>
        <w:spacing w:after="156" w:afterLines="50" w:line="300" w:lineRule="auto"/>
        <w:ind w:left="1260" w:leftChars="600"/>
        <w:rPr>
          <w:rFonts w:ascii="Arial" w:hAnsi="Arial" w:eastAsia="宋体" w:cs="Arial"/>
          <w:sz w:val="24"/>
          <w:szCs w:val="24"/>
        </w:rPr>
      </w:pPr>
      <w:r>
        <w:rPr>
          <w:rFonts w:ascii="Arial" w:hAnsi="Arial" w:eastAsia="宋体" w:cs="Arial"/>
          <w:sz w:val="24"/>
          <w:szCs w:val="24"/>
        </w:rPr>
        <w:t xml:space="preserve">1. </w:t>
      </w:r>
      <w:bookmarkStart w:id="42" w:name="OLE_LINK37"/>
      <w:bookmarkStart w:id="43" w:name="OLE_LINK36"/>
      <w:r>
        <w:rPr>
          <w:rFonts w:ascii="Arial" w:hAnsi="Arial" w:eastAsia="宋体" w:cs="Arial"/>
          <w:sz w:val="24"/>
          <w:szCs w:val="24"/>
        </w:rPr>
        <w:t>发生了可报告事件，且</w:t>
      </w:r>
      <w:bookmarkEnd w:id="42"/>
      <w:bookmarkEnd w:id="43"/>
      <w:r>
        <w:rPr>
          <w:rFonts w:ascii="Arial" w:hAnsi="Arial" w:eastAsia="宋体" w:cs="Arial"/>
          <w:sz w:val="24"/>
          <w:szCs w:val="24"/>
        </w:rPr>
        <w:t>该事件需要采取医疗措施，防止对公众健康造成不必要的风险和严重损害，或</w:t>
      </w:r>
    </w:p>
    <w:p w14:paraId="78018926">
      <w:pPr>
        <w:overflowPunct w:val="0"/>
        <w:adjustRightInd w:val="0"/>
        <w:snapToGrid w:val="0"/>
        <w:spacing w:after="156" w:afterLines="50" w:line="300" w:lineRule="auto"/>
        <w:ind w:left="1260" w:leftChars="600"/>
        <w:rPr>
          <w:rFonts w:ascii="Arial" w:hAnsi="Arial" w:eastAsia="宋体" w:cs="Arial"/>
          <w:sz w:val="24"/>
          <w:szCs w:val="24"/>
        </w:rPr>
      </w:pPr>
      <w:r>
        <w:rPr>
          <w:rFonts w:ascii="Arial" w:hAnsi="Arial" w:eastAsia="宋体" w:cs="Arial"/>
          <w:sz w:val="24"/>
          <w:szCs w:val="24"/>
        </w:rPr>
        <w:t>2. 发生了可报告事件，且FDA针对该事件发出了书面请求。</w:t>
      </w:r>
    </w:p>
    <w:p w14:paraId="6DF76B9E">
      <w:pPr>
        <w:overflowPunct w:val="0"/>
        <w:adjustRightInd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21 CFR 803.53（a）和（b）。</w:t>
      </w:r>
    </w:p>
    <w:p w14:paraId="636216F1">
      <w:pPr>
        <w:widowControl/>
        <w:jc w:val="left"/>
        <w:rPr>
          <w:rFonts w:ascii="Arial" w:hAnsi="Arial" w:eastAsia="宋体" w:cs="Arial"/>
          <w:sz w:val="24"/>
          <w:szCs w:val="24"/>
        </w:rPr>
      </w:pPr>
      <w:r>
        <w:rPr>
          <w:rFonts w:ascii="Arial" w:hAnsi="Arial" w:eastAsia="宋体" w:cs="Arial"/>
          <w:sz w:val="24"/>
          <w:szCs w:val="24"/>
        </w:rPr>
        <w:br w:type="page"/>
      </w:r>
    </w:p>
    <w:p w14:paraId="47E86D21">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作为LDT制造商，我有义务在30个自然日内（见上述问题6）向FDA报告死亡事件。但作为</w:t>
      </w:r>
      <w:bookmarkStart w:id="44" w:name="OLE_LINK39"/>
      <w:bookmarkStart w:id="45" w:name="OLE_LINK38"/>
      <w:r>
        <w:rPr>
          <w:rFonts w:ascii="Arial" w:hAnsi="Arial" w:eastAsia="宋体" w:cs="Arial"/>
          <w:b/>
          <w:sz w:val="24"/>
          <w:szCs w:val="24"/>
        </w:rPr>
        <w:t>医疗器械使用机构，</w:t>
      </w:r>
      <w:bookmarkEnd w:id="44"/>
      <w:bookmarkEnd w:id="45"/>
      <w:r>
        <w:rPr>
          <w:rFonts w:ascii="Arial" w:hAnsi="Arial" w:eastAsia="宋体" w:cs="Arial"/>
          <w:b/>
          <w:sz w:val="24"/>
          <w:szCs w:val="24"/>
        </w:rPr>
        <w:t>我有一位在10个工作日内（见上述问题5）向FDA报告死亡事件。为满足不同的报告要求，针对同样的事件是否应填写两份独立的MedWatch 3500A表格？</w:t>
      </w:r>
    </w:p>
    <w:p w14:paraId="3AAF7802">
      <w:pPr>
        <w:overflowPunct w:val="0"/>
        <w:adjustRightInd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当事件涉及可报告的死亡时，为了避免两次报告同一事件，您可以填写MedWatch 3500A表格的所有医疗器械章节（跳过第C章），并在10个工作日内向机构提交完整的表格。</w:t>
      </w:r>
    </w:p>
    <w:p w14:paraId="789BC994">
      <w:pPr>
        <w:overflowPunct w:val="0"/>
        <w:adjustRightInd w:val="0"/>
        <w:snapToGrid w:val="0"/>
        <w:spacing w:after="156" w:afterLines="50" w:line="300" w:lineRule="auto"/>
        <w:ind w:left="840" w:leftChars="400"/>
        <w:rPr>
          <w:rFonts w:ascii="Arial" w:hAnsi="Arial" w:eastAsia="宋体" w:cs="Arial"/>
          <w:kern w:val="0"/>
          <w:sz w:val="24"/>
          <w:szCs w:val="24"/>
        </w:rPr>
      </w:pPr>
      <w:r>
        <w:rPr>
          <w:rFonts w:ascii="Arial" w:hAnsi="Arial" w:eastAsia="宋体" w:cs="Arial"/>
          <w:sz w:val="24"/>
          <w:szCs w:val="24"/>
        </w:rPr>
        <w:t>作为</w:t>
      </w:r>
      <w:r>
        <w:rPr>
          <w:rFonts w:ascii="Arial" w:hAnsi="Arial" w:eastAsia="宋体" w:cs="Arial"/>
          <w:kern w:val="0"/>
          <w:sz w:val="24"/>
          <w:szCs w:val="24"/>
        </w:rPr>
        <w:t>医疗器械使用机构，您必须填写MedWatch 3500A表格的A-F章节（跳过C章节）。21 CFR 803.32。</w:t>
      </w:r>
      <w:r>
        <w:rPr>
          <w:rFonts w:ascii="Arial" w:hAnsi="Arial" w:eastAsia="宋体" w:cs="Arial"/>
          <w:sz w:val="24"/>
          <w:szCs w:val="24"/>
        </w:rPr>
        <w:t>作为制造商</w:t>
      </w:r>
      <w:r>
        <w:rPr>
          <w:rFonts w:ascii="Arial" w:hAnsi="Arial" w:eastAsia="宋体" w:cs="Arial"/>
          <w:kern w:val="0"/>
          <w:sz w:val="24"/>
          <w:szCs w:val="24"/>
        </w:rPr>
        <w:t>，您必须填写MedWatch 3500A表格的</w:t>
      </w:r>
      <w:bookmarkStart w:id="46" w:name="OLE_LINK40"/>
      <w:bookmarkStart w:id="47" w:name="OLE_LINK41"/>
      <w:r>
        <w:rPr>
          <w:rFonts w:ascii="Arial" w:hAnsi="Arial" w:eastAsia="宋体" w:cs="Arial"/>
          <w:kern w:val="0"/>
          <w:sz w:val="24"/>
          <w:szCs w:val="24"/>
        </w:rPr>
        <w:t>A、B、D</w:t>
      </w:r>
      <w:bookmarkEnd w:id="46"/>
      <w:bookmarkEnd w:id="47"/>
      <w:r>
        <w:rPr>
          <w:rFonts w:ascii="Arial" w:hAnsi="Arial" w:eastAsia="宋体" w:cs="Arial"/>
          <w:kern w:val="0"/>
          <w:sz w:val="24"/>
          <w:szCs w:val="24"/>
        </w:rPr>
        <w:t>、E、G和H章节。21 CFR 803.52。因此，总体来说，您必须填写MedWatch 3500A表格的A、B、D-H章节。21 CFR 803.32和21 CFR 803.52。</w:t>
      </w:r>
    </w:p>
    <w:p w14:paraId="0B911F57">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宋体" w:hAnsi="宋体" w:eastAsia="宋体" w:cs="Arial"/>
          <w:b/>
          <w:sz w:val="24"/>
          <w:szCs w:val="24"/>
        </w:rPr>
        <w:t>“</w:t>
      </w:r>
      <w:r>
        <w:rPr>
          <w:rFonts w:ascii="Arial" w:hAnsi="Arial" w:eastAsia="宋体" w:cs="Arial"/>
          <w:b/>
          <w:sz w:val="24"/>
          <w:szCs w:val="24"/>
        </w:rPr>
        <w:t>严重损伤</w:t>
      </w:r>
      <w:r>
        <w:rPr>
          <w:rFonts w:ascii="宋体" w:hAnsi="宋体" w:eastAsia="宋体" w:cs="Arial"/>
          <w:b/>
          <w:sz w:val="24"/>
          <w:szCs w:val="24"/>
        </w:rPr>
        <w:t>”</w:t>
      </w:r>
      <w:r>
        <w:rPr>
          <w:rFonts w:ascii="Arial" w:hAnsi="Arial" w:eastAsia="宋体" w:cs="Arial"/>
          <w:b/>
          <w:sz w:val="24"/>
          <w:szCs w:val="24"/>
        </w:rPr>
        <w:t>的定义是什么？</w:t>
      </w:r>
    </w:p>
    <w:p w14:paraId="596C07B9">
      <w:pPr>
        <w:overflowPunct w:val="0"/>
        <w:adjustRightInd w:val="0"/>
        <w:snapToGrid w:val="0"/>
        <w:spacing w:after="156" w:afterLines="50" w:line="300" w:lineRule="auto"/>
        <w:ind w:left="840" w:leftChars="400"/>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严重损伤</w:t>
      </w:r>
      <w:r>
        <w:rPr>
          <w:rFonts w:ascii="宋体" w:hAnsi="宋体" w:eastAsia="宋体" w:cs="Arial"/>
          <w:sz w:val="24"/>
          <w:szCs w:val="24"/>
        </w:rPr>
        <w:t>”</w:t>
      </w:r>
      <w:r>
        <w:rPr>
          <w:rFonts w:ascii="Arial" w:hAnsi="Arial" w:eastAsia="宋体" w:cs="Arial"/>
          <w:sz w:val="24"/>
          <w:szCs w:val="24"/>
        </w:rPr>
        <w:t>指的是下列情况的</w:t>
      </w:r>
      <w:r>
        <w:rPr>
          <w:rFonts w:ascii="Arial" w:hAnsi="Arial" w:eastAsia="宋体" w:cs="Arial"/>
          <w:kern w:val="0"/>
          <w:sz w:val="24"/>
          <w:szCs w:val="24"/>
        </w:rPr>
        <w:t>损伤</w:t>
      </w:r>
      <w:r>
        <w:rPr>
          <w:rFonts w:ascii="Arial" w:hAnsi="Arial" w:eastAsia="宋体" w:cs="Arial"/>
          <w:sz w:val="24"/>
          <w:szCs w:val="24"/>
        </w:rPr>
        <w:t>或疾病：</w:t>
      </w:r>
    </w:p>
    <w:p w14:paraId="20712A1D">
      <w:pPr>
        <w:pStyle w:val="14"/>
        <w:numPr>
          <w:ilvl w:val="0"/>
          <w:numId w:val="11"/>
        </w:numPr>
        <w:overflowPunct w:val="0"/>
        <w:adjustRightInd w:val="0"/>
        <w:snapToGrid w:val="0"/>
        <w:spacing w:after="156" w:afterLines="50" w:line="300" w:lineRule="auto"/>
        <w:ind w:left="1260" w:leftChars="600" w:firstLineChars="0"/>
        <w:rPr>
          <w:rFonts w:ascii="Arial" w:hAnsi="Arial" w:eastAsia="宋体" w:cs="Arial"/>
          <w:sz w:val="24"/>
          <w:szCs w:val="24"/>
        </w:rPr>
      </w:pPr>
      <w:bookmarkStart w:id="48" w:name="OLE_LINK66"/>
      <w:bookmarkStart w:id="49" w:name="OLE_LINK67"/>
      <w:r>
        <w:rPr>
          <w:rFonts w:ascii="Arial" w:hAnsi="Arial" w:eastAsia="宋体" w:cs="Arial"/>
          <w:sz w:val="24"/>
          <w:szCs w:val="24"/>
        </w:rPr>
        <w:t>危及生命；</w:t>
      </w:r>
    </w:p>
    <w:p w14:paraId="30694F36">
      <w:pPr>
        <w:pStyle w:val="14"/>
        <w:numPr>
          <w:ilvl w:val="0"/>
          <w:numId w:val="11"/>
        </w:numPr>
        <w:overflowPunct w:val="0"/>
        <w:adjustRightInd w:val="0"/>
        <w:snapToGrid w:val="0"/>
        <w:spacing w:after="156" w:afterLines="50" w:line="300" w:lineRule="auto"/>
        <w:ind w:left="1260" w:leftChars="600" w:firstLineChars="0"/>
        <w:rPr>
          <w:rFonts w:ascii="Arial" w:hAnsi="Arial" w:eastAsia="宋体" w:cs="Arial"/>
          <w:sz w:val="24"/>
          <w:szCs w:val="24"/>
        </w:rPr>
      </w:pPr>
      <w:r>
        <w:rPr>
          <w:rFonts w:ascii="Arial" w:hAnsi="Arial" w:eastAsia="宋体" w:cs="Arial"/>
          <w:sz w:val="24"/>
          <w:szCs w:val="24"/>
        </w:rPr>
        <w:t>造成身体功能的永久性损害，或对身体结构造成永久性损害；</w:t>
      </w:r>
    </w:p>
    <w:p w14:paraId="531098B1">
      <w:pPr>
        <w:pStyle w:val="14"/>
        <w:numPr>
          <w:ilvl w:val="0"/>
          <w:numId w:val="11"/>
        </w:numPr>
        <w:overflowPunct w:val="0"/>
        <w:adjustRightInd w:val="0"/>
        <w:snapToGrid w:val="0"/>
        <w:spacing w:after="156" w:afterLines="50" w:line="300" w:lineRule="auto"/>
        <w:ind w:left="1260" w:leftChars="600" w:firstLineChars="0"/>
        <w:rPr>
          <w:rFonts w:ascii="Arial" w:hAnsi="Arial" w:eastAsia="宋体" w:cs="Arial"/>
          <w:sz w:val="24"/>
          <w:szCs w:val="24"/>
        </w:rPr>
      </w:pPr>
      <w:r>
        <w:rPr>
          <w:rFonts w:ascii="Arial" w:hAnsi="Arial" w:eastAsia="宋体" w:cs="Arial"/>
          <w:sz w:val="24"/>
          <w:szCs w:val="24"/>
        </w:rPr>
        <w:t>需要采取医疗或手术措施来防止造成身体功能的永久性损害，或对身体结构造成永久性损害。21 CFR 803.3。</w:t>
      </w:r>
      <w:bookmarkEnd w:id="48"/>
      <w:bookmarkEnd w:id="49"/>
    </w:p>
    <w:p w14:paraId="3EBEA27B">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宋体" w:hAnsi="宋体" w:eastAsia="宋体" w:cs="Arial"/>
          <w:b/>
          <w:sz w:val="24"/>
          <w:szCs w:val="24"/>
        </w:rPr>
        <w:t>“</w:t>
      </w:r>
      <w:r>
        <w:rPr>
          <w:rFonts w:ascii="Arial" w:hAnsi="Arial" w:eastAsia="宋体" w:cs="Arial"/>
          <w:b/>
          <w:sz w:val="24"/>
          <w:szCs w:val="24"/>
        </w:rPr>
        <w:t>功能异常</w:t>
      </w:r>
      <w:r>
        <w:rPr>
          <w:rFonts w:ascii="宋体" w:hAnsi="宋体" w:eastAsia="宋体" w:cs="Arial"/>
          <w:b/>
          <w:sz w:val="24"/>
          <w:szCs w:val="24"/>
        </w:rPr>
        <w:t>”</w:t>
      </w:r>
      <w:r>
        <w:rPr>
          <w:rFonts w:ascii="Arial" w:hAnsi="Arial" w:eastAsia="宋体" w:cs="Arial"/>
          <w:b/>
          <w:sz w:val="24"/>
          <w:szCs w:val="24"/>
        </w:rPr>
        <w:t>的定义是什么？</w:t>
      </w:r>
    </w:p>
    <w:p w14:paraId="326C1CE7">
      <w:pPr>
        <w:overflowPunct w:val="0"/>
        <w:adjustRightInd w:val="0"/>
        <w:snapToGrid w:val="0"/>
        <w:spacing w:after="156" w:afterLines="50" w:line="300" w:lineRule="auto"/>
        <w:ind w:left="840" w:leftChars="400"/>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功能异常</w:t>
      </w:r>
      <w:r>
        <w:rPr>
          <w:rFonts w:ascii="宋体" w:hAnsi="宋体" w:eastAsia="宋体" w:cs="Arial"/>
          <w:sz w:val="24"/>
          <w:szCs w:val="24"/>
        </w:rPr>
        <w:t>”</w:t>
      </w:r>
      <w:r>
        <w:rPr>
          <w:rFonts w:ascii="Arial" w:hAnsi="Arial" w:eastAsia="宋体" w:cs="Arial"/>
          <w:sz w:val="24"/>
          <w:szCs w:val="24"/>
        </w:rPr>
        <w:t>的定义是器械无法满足其性能规格或预期的性能。21 CFR 803.3。性能规格包括器械标签上所有声称的功能。21 CFR 803.3。器械的预期性能指的是医疗器械标签规定或上市销售中的预期使用情况。21 CFR 801.4和21 CFR 803.3。</w:t>
      </w:r>
    </w:p>
    <w:p w14:paraId="789DAA0C">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作为</w:t>
      </w:r>
      <w:bookmarkStart w:id="50" w:name="OLE_LINK42"/>
      <w:bookmarkStart w:id="51" w:name="OLE_LINK43"/>
      <w:r>
        <w:rPr>
          <w:rFonts w:ascii="Arial" w:hAnsi="Arial" w:eastAsia="宋体" w:cs="Arial"/>
          <w:b/>
          <w:sz w:val="24"/>
          <w:szCs w:val="24"/>
        </w:rPr>
        <w:t>医疗器械使用机构</w:t>
      </w:r>
      <w:bookmarkEnd w:id="50"/>
      <w:bookmarkEnd w:id="51"/>
      <w:r>
        <w:rPr>
          <w:rFonts w:ascii="Arial" w:hAnsi="Arial" w:eastAsia="宋体" w:cs="Arial"/>
          <w:b/>
          <w:sz w:val="24"/>
          <w:szCs w:val="24"/>
        </w:rPr>
        <w:t>，在报告不良事件时，必须填写MedWatch 3500A表格的哪些部分？</w:t>
      </w:r>
    </w:p>
    <w:p w14:paraId="53919049">
      <w:pPr>
        <w:pStyle w:val="14"/>
        <w:numPr>
          <w:ilvl w:val="1"/>
          <w:numId w:val="9"/>
        </w:numPr>
        <w:overflowPunct w:val="0"/>
        <w:adjustRightInd w:val="0"/>
        <w:snapToGrid w:val="0"/>
        <w:spacing w:after="156" w:afterLines="50" w:line="300" w:lineRule="auto"/>
        <w:ind w:left="1197" w:leftChars="400" w:hanging="357" w:firstLineChars="0"/>
        <w:rPr>
          <w:rFonts w:ascii="Arial" w:hAnsi="Arial" w:eastAsia="宋体" w:cs="Arial"/>
          <w:sz w:val="24"/>
          <w:szCs w:val="24"/>
        </w:rPr>
      </w:pPr>
      <w:bookmarkStart w:id="52" w:name="OLE_LINK46"/>
      <w:bookmarkStart w:id="53" w:name="OLE_LINK47"/>
      <w:r>
        <w:rPr>
          <w:rFonts w:ascii="Arial" w:hAnsi="Arial" w:eastAsia="宋体" w:cs="Arial"/>
          <w:sz w:val="24"/>
          <w:szCs w:val="24"/>
        </w:rPr>
        <w:t>在MedWatch 3500A表格的首页右上角，在</w:t>
      </w:r>
      <w:r>
        <w:rPr>
          <w:rFonts w:ascii="宋体" w:hAnsi="宋体" w:eastAsia="宋体" w:cs="Arial"/>
          <w:sz w:val="24"/>
          <w:szCs w:val="24"/>
        </w:rPr>
        <w:t>“</w:t>
      </w:r>
      <w:r>
        <w:rPr>
          <w:rFonts w:ascii="Arial" w:hAnsi="Arial" w:eastAsia="宋体" w:cs="Arial"/>
          <w:sz w:val="24"/>
          <w:szCs w:val="24"/>
        </w:rPr>
        <w:t>UF/Dist report #</w:t>
      </w:r>
      <w:r>
        <w:rPr>
          <w:rFonts w:ascii="宋体" w:hAnsi="宋体" w:eastAsia="宋体" w:cs="Arial"/>
          <w:sz w:val="24"/>
          <w:szCs w:val="24"/>
        </w:rPr>
        <w:t>”</w:t>
      </w:r>
      <w:r>
        <w:rPr>
          <w:rFonts w:ascii="Arial" w:hAnsi="Arial" w:eastAsia="宋体" w:cs="Arial"/>
          <w:sz w:val="24"/>
          <w:szCs w:val="24"/>
        </w:rPr>
        <w:t>处填写医疗器械使用机构编码。UF #是您机构的CMS编码（或FDA分配给您所在机构的编码）、报告提交自然年的4为数字、和本年度内提交的报告序列4位编号的组合（例如1234567890-2011-0001，1234567890-2011-0002等）。</w:t>
      </w:r>
      <w:bookmarkEnd w:id="52"/>
      <w:bookmarkEnd w:id="53"/>
    </w:p>
    <w:p w14:paraId="1259192A">
      <w:pPr>
        <w:pStyle w:val="14"/>
        <w:numPr>
          <w:ilvl w:val="1"/>
          <w:numId w:val="9"/>
        </w:numPr>
        <w:overflowPunct w:val="0"/>
        <w:adjustRightInd w:val="0"/>
        <w:snapToGrid w:val="0"/>
        <w:spacing w:after="156" w:afterLines="50" w:line="300" w:lineRule="auto"/>
        <w:ind w:left="1197" w:leftChars="400" w:hanging="357" w:firstLineChars="0"/>
        <w:rPr>
          <w:rFonts w:ascii="Arial" w:hAnsi="Arial" w:eastAsia="宋体" w:cs="Arial"/>
          <w:sz w:val="24"/>
          <w:szCs w:val="24"/>
        </w:rPr>
      </w:pPr>
      <w:bookmarkStart w:id="54" w:name="OLE_LINK49"/>
      <w:bookmarkStart w:id="55" w:name="OLE_LINK48"/>
      <w:r>
        <w:rPr>
          <w:rFonts w:ascii="Arial" w:hAnsi="Arial" w:eastAsia="宋体" w:cs="Arial"/>
          <w:sz w:val="24"/>
          <w:szCs w:val="24"/>
        </w:rPr>
        <w:t>完成章节A.</w:t>
      </w:r>
      <w:r>
        <w:rPr>
          <w:rFonts w:ascii="Arial" w:hAnsi="Arial" w:eastAsia="宋体" w:cs="Arial"/>
          <w:i/>
          <w:sz w:val="24"/>
          <w:szCs w:val="24"/>
        </w:rPr>
        <w:t>患者信息</w:t>
      </w:r>
      <w:r>
        <w:rPr>
          <w:rFonts w:ascii="Arial" w:hAnsi="Arial" w:eastAsia="宋体" w:cs="Arial"/>
          <w:sz w:val="24"/>
          <w:szCs w:val="24"/>
        </w:rPr>
        <w:t>部分的全部条目。</w:t>
      </w:r>
    </w:p>
    <w:p w14:paraId="7F270F29">
      <w:pPr>
        <w:pStyle w:val="14"/>
        <w:numPr>
          <w:ilvl w:val="1"/>
          <w:numId w:val="9"/>
        </w:numPr>
        <w:overflowPunct w:val="0"/>
        <w:adjustRightInd w:val="0"/>
        <w:snapToGrid w:val="0"/>
        <w:spacing w:after="156" w:afterLines="50" w:line="300" w:lineRule="auto"/>
        <w:ind w:left="1197" w:leftChars="400" w:hanging="357" w:firstLineChars="0"/>
        <w:rPr>
          <w:rFonts w:ascii="Arial" w:hAnsi="Arial" w:eastAsia="宋体" w:cs="Arial"/>
          <w:sz w:val="24"/>
          <w:szCs w:val="24"/>
        </w:rPr>
      </w:pPr>
      <w:r>
        <w:rPr>
          <w:rFonts w:ascii="Arial" w:hAnsi="Arial" w:eastAsia="宋体" w:cs="Arial"/>
          <w:sz w:val="24"/>
          <w:szCs w:val="24"/>
        </w:rPr>
        <w:t>完成章节B.</w:t>
      </w:r>
      <w:r>
        <w:rPr>
          <w:rFonts w:ascii="Arial" w:hAnsi="Arial" w:eastAsia="宋体" w:cs="Arial"/>
          <w:i/>
          <w:sz w:val="24"/>
          <w:szCs w:val="24"/>
        </w:rPr>
        <w:t>不良事件或产品问题</w:t>
      </w:r>
      <w:r>
        <w:rPr>
          <w:rFonts w:ascii="Arial" w:hAnsi="Arial" w:eastAsia="宋体" w:cs="Arial"/>
          <w:sz w:val="24"/>
          <w:szCs w:val="24"/>
        </w:rPr>
        <w:t>部分的全部条目。（注：跳过章节C.可疑用药。）</w:t>
      </w:r>
    </w:p>
    <w:p w14:paraId="187D8CDC">
      <w:pPr>
        <w:pStyle w:val="14"/>
        <w:numPr>
          <w:ilvl w:val="1"/>
          <w:numId w:val="9"/>
        </w:numPr>
        <w:overflowPunct w:val="0"/>
        <w:adjustRightInd w:val="0"/>
        <w:snapToGrid w:val="0"/>
        <w:spacing w:after="156" w:afterLines="50" w:line="300" w:lineRule="auto"/>
        <w:ind w:left="1197" w:leftChars="400" w:hanging="357" w:firstLineChars="0"/>
        <w:rPr>
          <w:rFonts w:ascii="Arial" w:hAnsi="Arial" w:eastAsia="宋体" w:cs="Arial"/>
          <w:sz w:val="24"/>
          <w:szCs w:val="24"/>
        </w:rPr>
      </w:pPr>
      <w:r>
        <w:rPr>
          <w:rFonts w:ascii="Arial" w:hAnsi="Arial" w:eastAsia="宋体" w:cs="Arial"/>
          <w:sz w:val="24"/>
          <w:szCs w:val="24"/>
        </w:rPr>
        <w:t>完成章节D.</w:t>
      </w:r>
      <w:r>
        <w:rPr>
          <w:rFonts w:ascii="Arial" w:hAnsi="Arial" w:eastAsia="宋体" w:cs="Arial"/>
          <w:i/>
          <w:sz w:val="24"/>
          <w:szCs w:val="24"/>
        </w:rPr>
        <w:t>可疑医疗器械使用</w:t>
      </w:r>
      <w:r>
        <w:rPr>
          <w:rFonts w:ascii="Arial" w:hAnsi="Arial" w:eastAsia="宋体" w:cs="Arial"/>
          <w:sz w:val="24"/>
          <w:szCs w:val="24"/>
        </w:rPr>
        <w:t>部分的全部条目。注意，应填写具体医疗器械的编号信息，见于器械或器械标签。</w:t>
      </w:r>
    </w:p>
    <w:p w14:paraId="23919C3B">
      <w:pPr>
        <w:pStyle w:val="14"/>
        <w:numPr>
          <w:ilvl w:val="1"/>
          <w:numId w:val="9"/>
        </w:numPr>
        <w:overflowPunct w:val="0"/>
        <w:adjustRightInd w:val="0"/>
        <w:snapToGrid w:val="0"/>
        <w:spacing w:after="156" w:afterLines="50" w:line="300" w:lineRule="auto"/>
        <w:ind w:left="1197" w:leftChars="400" w:hanging="357" w:firstLineChars="0"/>
        <w:rPr>
          <w:rFonts w:ascii="Arial" w:hAnsi="Arial" w:eastAsia="宋体" w:cs="Arial"/>
          <w:sz w:val="24"/>
          <w:szCs w:val="24"/>
        </w:rPr>
      </w:pPr>
      <w:bookmarkStart w:id="56" w:name="OLE_LINK45"/>
      <w:bookmarkStart w:id="57" w:name="OLE_LINK44"/>
      <w:r>
        <w:rPr>
          <w:rFonts w:ascii="Arial" w:hAnsi="Arial" w:eastAsia="宋体" w:cs="Arial"/>
          <w:sz w:val="24"/>
          <w:szCs w:val="24"/>
        </w:rPr>
        <w:t>完成章节</w:t>
      </w:r>
      <w:r>
        <w:rPr>
          <w:rFonts w:ascii="Arial" w:hAnsi="Arial" w:eastAsia="宋体" w:cs="Arial"/>
          <w:i/>
          <w:sz w:val="24"/>
          <w:szCs w:val="24"/>
        </w:rPr>
        <w:t>E.最初报告者</w:t>
      </w:r>
      <w:r>
        <w:rPr>
          <w:rFonts w:ascii="Arial" w:hAnsi="Arial" w:eastAsia="宋体" w:cs="Arial"/>
          <w:sz w:val="24"/>
          <w:szCs w:val="24"/>
        </w:rPr>
        <w:t>部分的全部条目。</w:t>
      </w:r>
      <w:bookmarkEnd w:id="56"/>
      <w:bookmarkEnd w:id="57"/>
      <w:r>
        <w:rPr>
          <w:rFonts w:ascii="Arial" w:hAnsi="Arial" w:eastAsia="宋体" w:cs="Arial"/>
          <w:sz w:val="24"/>
          <w:szCs w:val="24"/>
        </w:rPr>
        <w:t>最初报告者为向医疗器械使用机构提供不良事件信息的个人。</w:t>
      </w:r>
    </w:p>
    <w:p w14:paraId="242341C7">
      <w:pPr>
        <w:pStyle w:val="14"/>
        <w:numPr>
          <w:ilvl w:val="1"/>
          <w:numId w:val="9"/>
        </w:numPr>
        <w:overflowPunct w:val="0"/>
        <w:adjustRightInd w:val="0"/>
        <w:snapToGrid w:val="0"/>
        <w:spacing w:after="156" w:afterLines="50" w:line="300" w:lineRule="auto"/>
        <w:ind w:left="1197" w:leftChars="400" w:hanging="357" w:firstLineChars="0"/>
        <w:rPr>
          <w:rFonts w:ascii="Arial" w:hAnsi="Arial" w:eastAsia="宋体" w:cs="Arial"/>
          <w:sz w:val="24"/>
          <w:szCs w:val="24"/>
        </w:rPr>
      </w:pPr>
      <w:r>
        <w:rPr>
          <w:rFonts w:ascii="Arial" w:hAnsi="Arial" w:eastAsia="宋体" w:cs="Arial"/>
          <w:sz w:val="24"/>
          <w:szCs w:val="24"/>
        </w:rPr>
        <w:t>完成章节F.仅供医疗器械使用机构/经销商填写部分的全部条目。</w:t>
      </w:r>
    </w:p>
    <w:bookmarkEnd w:id="54"/>
    <w:bookmarkEnd w:id="55"/>
    <w:p w14:paraId="779F2790">
      <w:pPr>
        <w:overflowPunct w:val="0"/>
        <w:adjustRightInd w:val="0"/>
        <w:snapToGrid w:val="0"/>
        <w:spacing w:after="156" w:afterLines="50" w:line="300" w:lineRule="auto"/>
        <w:ind w:left="840" w:leftChars="400"/>
        <w:rPr>
          <w:rFonts w:ascii="Arial" w:hAnsi="Arial" w:eastAsia="宋体" w:cs="Arial"/>
          <w:sz w:val="24"/>
          <w:szCs w:val="24"/>
        </w:rPr>
      </w:pPr>
      <w:r>
        <w:rPr>
          <w:rFonts w:ascii="Arial" w:hAnsi="Arial" w:eastAsia="宋体" w:cs="Arial"/>
          <w:sz w:val="24"/>
          <w:szCs w:val="24"/>
        </w:rPr>
        <w:t>21 CFR 803.20和21 CFR 803.32。</w:t>
      </w:r>
    </w:p>
    <w:p w14:paraId="2FBDA8F6">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作为制造商，在报告涉及本临床实验室生产的LDT的不良事件时，必须填写MedWatch 3500A表格的哪些部分？</w:t>
      </w:r>
    </w:p>
    <w:p w14:paraId="1A07C3B4">
      <w:pPr>
        <w:pStyle w:val="14"/>
        <w:numPr>
          <w:ilvl w:val="1"/>
          <w:numId w:val="9"/>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在MedWatch 3500A表格的首页右上角，填写您的</w:t>
      </w:r>
      <w:r>
        <w:rPr>
          <w:rFonts w:ascii="宋体" w:hAnsi="宋体" w:eastAsia="宋体" w:cs="Arial"/>
          <w:sz w:val="24"/>
          <w:szCs w:val="24"/>
        </w:rPr>
        <w:t>“</w:t>
      </w:r>
      <w:r>
        <w:rPr>
          <w:rFonts w:ascii="Arial" w:hAnsi="Arial" w:eastAsia="宋体" w:cs="Arial"/>
          <w:sz w:val="24"/>
          <w:szCs w:val="24"/>
        </w:rPr>
        <w:t>Mfr. report #</w:t>
      </w:r>
      <w:r>
        <w:rPr>
          <w:rFonts w:ascii="宋体" w:hAnsi="宋体" w:eastAsia="宋体" w:cs="Arial"/>
          <w:sz w:val="24"/>
          <w:szCs w:val="24"/>
        </w:rPr>
        <w:t>”</w:t>
      </w:r>
      <w:r>
        <w:rPr>
          <w:rFonts w:ascii="Arial" w:hAnsi="Arial" w:eastAsia="宋体" w:cs="Arial"/>
          <w:sz w:val="24"/>
          <w:szCs w:val="24"/>
        </w:rPr>
        <w:t>。Mfr. report #由您作为制造商向FDA注册和登记时FDA分配的注册编码或向机构通知LDT时分配的通知确认编码、报告提交自然年的4位数字、和本年度内提交的报告序列5位编号的组合（例如9876543210-2011-00001，9876543210-2011-00002等）。您还应该在MedWatch 3500A表格的</w:t>
      </w:r>
      <w:r>
        <w:rPr>
          <w:rFonts w:ascii="宋体" w:hAnsi="宋体" w:eastAsia="宋体" w:cs="Arial"/>
          <w:sz w:val="24"/>
          <w:szCs w:val="24"/>
        </w:rPr>
        <w:t>“</w:t>
      </w:r>
      <w:r>
        <w:rPr>
          <w:rFonts w:ascii="Arial" w:hAnsi="Arial" w:eastAsia="宋体" w:cs="Arial"/>
          <w:sz w:val="24"/>
          <w:szCs w:val="24"/>
        </w:rPr>
        <w:t>UF/Dist report #</w:t>
      </w:r>
      <w:r>
        <w:rPr>
          <w:rFonts w:ascii="宋体" w:hAnsi="宋体" w:eastAsia="宋体" w:cs="Arial"/>
          <w:sz w:val="24"/>
          <w:szCs w:val="24"/>
        </w:rPr>
        <w:t>”</w:t>
      </w:r>
      <w:r>
        <w:rPr>
          <w:rFonts w:ascii="Arial" w:hAnsi="Arial" w:eastAsia="宋体" w:cs="Arial"/>
          <w:sz w:val="24"/>
          <w:szCs w:val="24"/>
        </w:rPr>
        <w:t>部分填写医疗器械使用机构编码（见上文10A）。</w:t>
      </w:r>
    </w:p>
    <w:p w14:paraId="36EB9E2B">
      <w:pPr>
        <w:pStyle w:val="14"/>
        <w:numPr>
          <w:ilvl w:val="1"/>
          <w:numId w:val="9"/>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完成章节A.患者信息部分的全部条目。</w:t>
      </w:r>
    </w:p>
    <w:p w14:paraId="081F9FEE">
      <w:pPr>
        <w:pStyle w:val="14"/>
        <w:numPr>
          <w:ilvl w:val="1"/>
          <w:numId w:val="9"/>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完成章节B.不良事件或产品问题部分的全部条目。（注：跳过章节C.可疑用药。）</w:t>
      </w:r>
    </w:p>
    <w:p w14:paraId="40472BCD">
      <w:pPr>
        <w:pStyle w:val="14"/>
        <w:numPr>
          <w:ilvl w:val="1"/>
          <w:numId w:val="9"/>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完成章节D.可疑医疗器械使用部分的全部条目。对于条目D.3.制造上姓名和地址，填写生产LDT的实验室名称和地址。对于条目D.4.其他编号，如果LDT未经FDA审批或批准，请填写</w:t>
      </w:r>
      <w:r>
        <w:rPr>
          <w:rFonts w:ascii="宋体" w:hAnsi="宋体" w:eastAsia="宋体" w:cs="Arial"/>
          <w:sz w:val="24"/>
          <w:szCs w:val="24"/>
        </w:rPr>
        <w:t>“</w:t>
      </w:r>
      <w:r>
        <w:rPr>
          <w:rFonts w:ascii="Arial" w:hAnsi="Arial" w:eastAsia="宋体" w:cs="Arial"/>
          <w:sz w:val="24"/>
          <w:szCs w:val="24"/>
        </w:rPr>
        <w:t>产品代码OQS</w:t>
      </w:r>
      <w:r>
        <w:rPr>
          <w:rFonts w:ascii="宋体" w:hAnsi="宋体" w:eastAsia="宋体" w:cs="Arial"/>
          <w:sz w:val="24"/>
          <w:szCs w:val="24"/>
        </w:rPr>
        <w:t>”</w:t>
      </w:r>
      <w:r>
        <w:rPr>
          <w:rFonts w:ascii="Arial" w:hAnsi="Arial" w:eastAsia="宋体" w:cs="Arial"/>
          <w:sz w:val="24"/>
          <w:szCs w:val="24"/>
        </w:rPr>
        <w:t>。如果LDT已经经过FDA审批或批准，请填写</w:t>
      </w:r>
      <w:r>
        <w:rPr>
          <w:rFonts w:ascii="宋体" w:hAnsi="宋体" w:eastAsia="宋体" w:cs="Arial"/>
          <w:sz w:val="24"/>
          <w:szCs w:val="24"/>
        </w:rPr>
        <w:t>“</w:t>
      </w:r>
      <w:r>
        <w:rPr>
          <w:rFonts w:ascii="Arial" w:hAnsi="Arial" w:eastAsia="宋体" w:cs="Arial"/>
          <w:sz w:val="24"/>
          <w:szCs w:val="24"/>
        </w:rPr>
        <w:t>产品代码</w:t>
      </w:r>
      <w:r>
        <w:rPr>
          <w:rFonts w:ascii="宋体" w:hAnsi="宋体" w:eastAsia="宋体" w:cs="Arial"/>
          <w:sz w:val="24"/>
          <w:szCs w:val="24"/>
        </w:rPr>
        <w:t>”</w:t>
      </w:r>
      <w:r>
        <w:rPr>
          <w:rFonts w:ascii="Arial" w:hAnsi="Arial" w:eastAsia="宋体" w:cs="Arial"/>
          <w:sz w:val="24"/>
          <w:szCs w:val="24"/>
        </w:rPr>
        <w:t>以及分配给器械的产品特定产品代码。</w:t>
      </w:r>
    </w:p>
    <w:p w14:paraId="0568361C">
      <w:pPr>
        <w:pStyle w:val="14"/>
        <w:numPr>
          <w:ilvl w:val="1"/>
          <w:numId w:val="9"/>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完成章节E.最初报告者部分的全部条目。最初报告者为向医疗器械使用机构或制造商提供不良事件信息的个人。</w:t>
      </w:r>
    </w:p>
    <w:p w14:paraId="7450C2EA">
      <w:pPr>
        <w:widowControl/>
        <w:jc w:val="left"/>
        <w:rPr>
          <w:rFonts w:ascii="Arial" w:hAnsi="Arial" w:eastAsia="宋体" w:cs="Arial"/>
          <w:sz w:val="24"/>
          <w:szCs w:val="24"/>
        </w:rPr>
      </w:pPr>
      <w:r>
        <w:rPr>
          <w:rFonts w:ascii="Arial" w:hAnsi="Arial" w:eastAsia="宋体" w:cs="Arial"/>
          <w:sz w:val="24"/>
          <w:szCs w:val="24"/>
        </w:rPr>
        <w:br w:type="page"/>
      </w:r>
    </w:p>
    <w:p w14:paraId="09F09376">
      <w:pPr>
        <w:pStyle w:val="14"/>
        <w:numPr>
          <w:ilvl w:val="1"/>
          <w:numId w:val="9"/>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完成章节F.仅供</w:t>
      </w:r>
      <w:bookmarkStart w:id="58" w:name="OLE_LINK54"/>
      <w:r>
        <w:rPr>
          <w:rFonts w:ascii="Arial" w:hAnsi="Arial" w:eastAsia="宋体" w:cs="Arial"/>
          <w:sz w:val="24"/>
          <w:szCs w:val="24"/>
        </w:rPr>
        <w:t>医疗器械使用机构/经销商</w:t>
      </w:r>
      <w:bookmarkEnd w:id="58"/>
      <w:r>
        <w:rPr>
          <w:rFonts w:ascii="Arial" w:hAnsi="Arial" w:eastAsia="宋体" w:cs="Arial"/>
          <w:sz w:val="24"/>
          <w:szCs w:val="24"/>
        </w:rPr>
        <w:t>填写部分的全部条目。如果对于该事件您既为医疗器械使用机构，也为制造商，则您应当以医疗器械使用机构的身份填写本部分。对于非医疗器械使用机构上报的功能异常事件，制造商提交的内容应包含MedWatch 3500A表格F章节部分的内容。F章节的修改或信息缺失，包括相关的患者问题和器械问题代码均应包含于制造商所提供MedWatch 3500A表格的H.11章节（修改的数据）中。</w:t>
      </w:r>
    </w:p>
    <w:p w14:paraId="6D55CDB0">
      <w:pPr>
        <w:pStyle w:val="14"/>
        <w:numPr>
          <w:ilvl w:val="0"/>
          <w:numId w:val="12"/>
        </w:numPr>
        <w:overflowPunct w:val="0"/>
        <w:adjustRightInd w:val="0"/>
        <w:snapToGrid w:val="0"/>
        <w:spacing w:after="156" w:afterLines="50" w:line="300" w:lineRule="auto"/>
        <w:ind w:left="1197" w:leftChars="400" w:hanging="357" w:firstLineChars="0"/>
        <w:rPr>
          <w:rFonts w:ascii="Arial" w:hAnsi="Arial" w:eastAsia="宋体" w:cs="Arial"/>
          <w:sz w:val="24"/>
          <w:szCs w:val="24"/>
        </w:rPr>
      </w:pPr>
      <w:r>
        <w:rPr>
          <w:rFonts w:ascii="Arial" w:hAnsi="Arial" w:eastAsia="宋体" w:cs="Arial"/>
          <w:sz w:val="24"/>
          <w:szCs w:val="24"/>
        </w:rPr>
        <w:t>F.13.报告是否发送至制造商？在本部分中</w:t>
      </w:r>
      <w:r>
        <w:rPr>
          <w:rFonts w:ascii="宋体" w:hAnsi="宋体" w:eastAsia="宋体" w:cs="Arial"/>
          <w:sz w:val="24"/>
          <w:szCs w:val="24"/>
        </w:rPr>
        <w:t>“</w:t>
      </w:r>
      <w:r>
        <w:rPr>
          <w:rFonts w:ascii="Arial" w:hAnsi="Arial" w:eastAsia="宋体" w:cs="Arial"/>
          <w:sz w:val="24"/>
          <w:szCs w:val="24"/>
        </w:rPr>
        <w:t>制造商</w:t>
      </w:r>
      <w:r>
        <w:rPr>
          <w:rFonts w:ascii="宋体" w:hAnsi="宋体" w:eastAsia="宋体" w:cs="Arial"/>
          <w:sz w:val="24"/>
          <w:szCs w:val="24"/>
        </w:rPr>
        <w:t>”</w:t>
      </w:r>
      <w:r>
        <w:rPr>
          <w:rFonts w:ascii="Arial" w:hAnsi="Arial" w:eastAsia="宋体" w:cs="Arial"/>
          <w:sz w:val="24"/>
          <w:szCs w:val="24"/>
        </w:rPr>
        <w:t>一词指的是LDT的制造商。</w:t>
      </w:r>
    </w:p>
    <w:p w14:paraId="0FC0BF25">
      <w:pPr>
        <w:pStyle w:val="14"/>
        <w:numPr>
          <w:ilvl w:val="0"/>
          <w:numId w:val="12"/>
        </w:numPr>
        <w:overflowPunct w:val="0"/>
        <w:adjustRightInd w:val="0"/>
        <w:snapToGrid w:val="0"/>
        <w:spacing w:after="156" w:afterLines="50" w:line="300" w:lineRule="auto"/>
        <w:ind w:left="1197" w:leftChars="400" w:hanging="357" w:firstLineChars="0"/>
        <w:rPr>
          <w:rFonts w:ascii="Arial" w:hAnsi="Arial" w:eastAsia="宋体" w:cs="Arial"/>
          <w:sz w:val="24"/>
          <w:szCs w:val="24"/>
        </w:rPr>
      </w:pPr>
      <w:r>
        <w:rPr>
          <w:rFonts w:ascii="Arial" w:hAnsi="Arial" w:eastAsia="宋体" w:cs="Arial"/>
          <w:sz w:val="24"/>
          <w:szCs w:val="24"/>
        </w:rPr>
        <w:t>F.14：制造商名称/地址。在本部分中</w:t>
      </w:r>
      <w:r>
        <w:rPr>
          <w:rFonts w:ascii="宋体" w:hAnsi="宋体" w:eastAsia="宋体" w:cs="Arial"/>
          <w:sz w:val="24"/>
          <w:szCs w:val="24"/>
        </w:rPr>
        <w:t>“</w:t>
      </w:r>
      <w:r>
        <w:rPr>
          <w:rFonts w:ascii="Arial" w:hAnsi="Arial" w:eastAsia="宋体" w:cs="Arial"/>
          <w:sz w:val="24"/>
          <w:szCs w:val="24"/>
        </w:rPr>
        <w:t>制造商</w:t>
      </w:r>
      <w:r>
        <w:rPr>
          <w:rFonts w:ascii="宋体" w:hAnsi="宋体" w:eastAsia="宋体" w:cs="Arial"/>
          <w:sz w:val="24"/>
          <w:szCs w:val="24"/>
        </w:rPr>
        <w:t>”</w:t>
      </w:r>
      <w:r>
        <w:rPr>
          <w:rFonts w:ascii="Arial" w:hAnsi="Arial" w:eastAsia="宋体" w:cs="Arial"/>
          <w:sz w:val="24"/>
          <w:szCs w:val="24"/>
        </w:rPr>
        <w:t>一词指的是LDT的制造商。因为该信息也要求在G.1章节联系办公室——名称/地址（以及医疗器械生产地址）中填写，因此您可以在F.14章节制造商名称/地址中填写</w:t>
      </w:r>
      <w:r>
        <w:rPr>
          <w:rFonts w:ascii="宋体" w:hAnsi="宋体" w:eastAsia="宋体" w:cs="Arial"/>
          <w:sz w:val="24"/>
          <w:szCs w:val="24"/>
        </w:rPr>
        <w:t>“</w:t>
      </w:r>
      <w:r>
        <w:rPr>
          <w:rFonts w:ascii="Arial" w:hAnsi="Arial" w:eastAsia="宋体" w:cs="Arial"/>
          <w:sz w:val="24"/>
          <w:szCs w:val="24"/>
        </w:rPr>
        <w:t>见G.1.</w:t>
      </w:r>
      <w:r>
        <w:rPr>
          <w:rFonts w:ascii="宋体" w:hAnsi="宋体" w:eastAsia="宋体" w:cs="Arial"/>
          <w:sz w:val="24"/>
          <w:szCs w:val="24"/>
        </w:rPr>
        <w:t>”</w:t>
      </w:r>
      <w:r>
        <w:rPr>
          <w:rFonts w:ascii="Arial" w:hAnsi="Arial" w:eastAsia="宋体" w:cs="Arial"/>
          <w:sz w:val="24"/>
          <w:szCs w:val="24"/>
        </w:rPr>
        <w:t>。</w:t>
      </w:r>
    </w:p>
    <w:p w14:paraId="707198A0">
      <w:pPr>
        <w:pStyle w:val="14"/>
        <w:numPr>
          <w:ilvl w:val="1"/>
          <w:numId w:val="9"/>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完成章节G.所有制造商部分的全部条目。</w:t>
      </w:r>
    </w:p>
    <w:p w14:paraId="50F91614">
      <w:pPr>
        <w:pStyle w:val="14"/>
        <w:numPr>
          <w:ilvl w:val="0"/>
          <w:numId w:val="13"/>
        </w:numPr>
        <w:overflowPunct w:val="0"/>
        <w:adjustRightInd w:val="0"/>
        <w:snapToGrid w:val="0"/>
        <w:spacing w:after="156" w:afterLines="50" w:line="300" w:lineRule="auto"/>
        <w:ind w:left="1197" w:leftChars="400" w:hanging="357" w:firstLineChars="0"/>
        <w:rPr>
          <w:rFonts w:ascii="Arial" w:hAnsi="Arial" w:eastAsia="宋体" w:cs="Arial"/>
          <w:kern w:val="0"/>
          <w:sz w:val="24"/>
          <w:szCs w:val="24"/>
        </w:rPr>
      </w:pPr>
      <w:r>
        <w:rPr>
          <w:rFonts w:ascii="Arial" w:hAnsi="Arial" w:eastAsia="宋体" w:cs="Arial"/>
          <w:sz w:val="24"/>
          <w:szCs w:val="24"/>
        </w:rPr>
        <w:t>G.1：联系办公室——名称/地址（以及医疗器械生产地址）。本部分的信息与LDT</w:t>
      </w:r>
      <w:r>
        <w:rPr>
          <w:rFonts w:ascii="Arial" w:hAnsi="Arial" w:eastAsia="宋体" w:cs="Arial"/>
          <w:kern w:val="0"/>
          <w:sz w:val="24"/>
          <w:szCs w:val="24"/>
        </w:rPr>
        <w:t>制造商相关；因此，请填写提交LDT事件报告的实验室的联系办公室、名称和地址。</w:t>
      </w:r>
    </w:p>
    <w:p w14:paraId="7ED0E317">
      <w:pPr>
        <w:pStyle w:val="14"/>
        <w:numPr>
          <w:ilvl w:val="0"/>
          <w:numId w:val="13"/>
        </w:numPr>
        <w:overflowPunct w:val="0"/>
        <w:adjustRightInd w:val="0"/>
        <w:snapToGrid w:val="0"/>
        <w:spacing w:after="156" w:afterLines="50" w:line="300" w:lineRule="auto"/>
        <w:ind w:left="1197" w:leftChars="400" w:hanging="357" w:firstLineChars="0"/>
        <w:rPr>
          <w:rFonts w:ascii="Arial" w:hAnsi="Arial" w:eastAsia="宋体" w:cs="Arial"/>
          <w:kern w:val="0"/>
          <w:sz w:val="24"/>
          <w:szCs w:val="24"/>
        </w:rPr>
      </w:pPr>
      <w:r>
        <w:rPr>
          <w:rFonts w:ascii="Arial" w:hAnsi="Arial" w:eastAsia="宋体" w:cs="Arial"/>
          <w:kern w:val="0"/>
          <w:sz w:val="24"/>
          <w:szCs w:val="24"/>
        </w:rPr>
        <w:t>G.4：制造商接收的日期（月/日/年）。为实验室知晓不良事件的日期。</w:t>
      </w:r>
    </w:p>
    <w:p w14:paraId="2EA4E3CA">
      <w:pPr>
        <w:pStyle w:val="14"/>
        <w:numPr>
          <w:ilvl w:val="0"/>
          <w:numId w:val="13"/>
        </w:numPr>
        <w:overflowPunct w:val="0"/>
        <w:adjustRightInd w:val="0"/>
        <w:snapToGrid w:val="0"/>
        <w:spacing w:after="156" w:afterLines="50" w:line="300" w:lineRule="auto"/>
        <w:ind w:left="1197" w:leftChars="400" w:hanging="357" w:firstLineChars="0"/>
        <w:rPr>
          <w:rFonts w:ascii="Arial" w:hAnsi="Arial" w:eastAsia="宋体" w:cs="Arial"/>
          <w:kern w:val="0"/>
          <w:sz w:val="24"/>
          <w:szCs w:val="24"/>
        </w:rPr>
      </w:pPr>
      <w:r>
        <w:rPr>
          <w:rFonts w:ascii="Arial" w:hAnsi="Arial" w:eastAsia="宋体" w:cs="Arial"/>
          <w:kern w:val="0"/>
          <w:sz w:val="24"/>
          <w:szCs w:val="24"/>
        </w:rPr>
        <w:t>G.5，6和8：该部分不适用于医疗器械。</w:t>
      </w:r>
    </w:p>
    <w:p w14:paraId="06C38EBC">
      <w:pPr>
        <w:pStyle w:val="14"/>
        <w:numPr>
          <w:ilvl w:val="0"/>
          <w:numId w:val="13"/>
        </w:numPr>
        <w:overflowPunct w:val="0"/>
        <w:adjustRightInd w:val="0"/>
        <w:snapToGrid w:val="0"/>
        <w:spacing w:after="156" w:afterLines="50" w:line="300" w:lineRule="auto"/>
        <w:ind w:left="1197" w:leftChars="400" w:hanging="357" w:firstLineChars="0"/>
        <w:rPr>
          <w:rFonts w:ascii="Arial" w:hAnsi="Arial" w:eastAsia="宋体" w:cs="Arial"/>
          <w:kern w:val="0"/>
          <w:sz w:val="24"/>
          <w:szCs w:val="24"/>
        </w:rPr>
      </w:pPr>
      <w:r>
        <w:rPr>
          <w:rFonts w:ascii="Arial" w:hAnsi="Arial" w:eastAsia="宋体" w:cs="Arial"/>
          <w:kern w:val="0"/>
          <w:sz w:val="24"/>
          <w:szCs w:val="24"/>
        </w:rPr>
        <w:t>G.7：报告类型。适用于LDT制造商的报告类型仅有3种：5天，初次（即30天报告）和随访。请选择适用于您正在报告的事件的报告类型。</w:t>
      </w:r>
    </w:p>
    <w:p w14:paraId="17476750">
      <w:pPr>
        <w:pStyle w:val="14"/>
        <w:numPr>
          <w:ilvl w:val="0"/>
          <w:numId w:val="13"/>
        </w:numPr>
        <w:overflowPunct w:val="0"/>
        <w:adjustRightInd w:val="0"/>
        <w:snapToGrid w:val="0"/>
        <w:spacing w:after="156" w:afterLines="50" w:line="300" w:lineRule="auto"/>
        <w:ind w:left="1197" w:leftChars="400" w:hanging="357" w:firstLineChars="0"/>
        <w:rPr>
          <w:rFonts w:ascii="Arial" w:hAnsi="Arial" w:eastAsia="宋体" w:cs="Arial"/>
          <w:kern w:val="0"/>
          <w:sz w:val="24"/>
          <w:szCs w:val="24"/>
        </w:rPr>
      </w:pPr>
      <w:r>
        <w:rPr>
          <w:rFonts w:ascii="Arial" w:hAnsi="Arial" w:eastAsia="宋体" w:cs="Arial"/>
          <w:kern w:val="0"/>
          <w:sz w:val="24"/>
          <w:szCs w:val="24"/>
        </w:rPr>
        <w:t>G9：制造商报告编码：G9应与您再MedWatch 3500A表格右上角分配于时间的报告编码一致，且在向MedWatch 3500A添加附页时应在在附页上注明。</w:t>
      </w:r>
    </w:p>
    <w:p w14:paraId="29533790">
      <w:pPr>
        <w:pStyle w:val="14"/>
        <w:numPr>
          <w:ilvl w:val="1"/>
          <w:numId w:val="9"/>
        </w:numPr>
        <w:overflowPunct w:val="0"/>
        <w:adjustRightInd w:val="0"/>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完成章节H.仅供医疗器械制造商填写部分的全部条目。作为LDT制造商，无论医疗器械的分析在何处完成，均必须填写完成所有章节的内容。</w:t>
      </w:r>
    </w:p>
    <w:p w14:paraId="78875E6F">
      <w:pPr>
        <w:pStyle w:val="14"/>
        <w:numPr>
          <w:ilvl w:val="0"/>
          <w:numId w:val="14"/>
        </w:numPr>
        <w:overflowPunct w:val="0"/>
        <w:adjustRightInd w:val="0"/>
        <w:snapToGrid w:val="0"/>
        <w:spacing w:after="156" w:afterLines="50" w:line="300" w:lineRule="auto"/>
        <w:ind w:left="1197" w:leftChars="400" w:hanging="357" w:firstLineChars="0"/>
        <w:rPr>
          <w:rFonts w:ascii="Arial" w:hAnsi="Arial" w:eastAsia="宋体" w:cs="Arial"/>
          <w:sz w:val="24"/>
          <w:szCs w:val="24"/>
        </w:rPr>
      </w:pPr>
      <w:r>
        <w:rPr>
          <w:rFonts w:ascii="Arial" w:hAnsi="Arial" w:eastAsia="宋体" w:cs="Arial"/>
          <w:sz w:val="24"/>
          <w:szCs w:val="24"/>
        </w:rPr>
        <w:t>H4：医疗器械生产日期（月/年）。在本部分中，生产日期指的是LDT由您的临床实验室生产的日期。注意：如果LDT是在不同的日期生产的，FDA会将</w:t>
      </w:r>
      <w:r>
        <w:rPr>
          <w:rFonts w:ascii="宋体" w:hAnsi="宋体" w:eastAsia="宋体" w:cs="Arial"/>
          <w:sz w:val="24"/>
          <w:szCs w:val="24"/>
        </w:rPr>
        <w:t>“</w:t>
      </w:r>
      <w:r>
        <w:rPr>
          <w:rFonts w:ascii="Arial" w:hAnsi="Arial" w:eastAsia="宋体" w:cs="Arial"/>
          <w:sz w:val="24"/>
          <w:szCs w:val="24"/>
        </w:rPr>
        <w:t>器械生产日期</w:t>
      </w:r>
      <w:r>
        <w:rPr>
          <w:rFonts w:ascii="宋体" w:hAnsi="宋体" w:eastAsia="宋体" w:cs="Arial"/>
          <w:sz w:val="24"/>
          <w:szCs w:val="24"/>
        </w:rPr>
        <w:t>”</w:t>
      </w:r>
      <w:r>
        <w:rPr>
          <w:rFonts w:ascii="Arial" w:hAnsi="Arial" w:eastAsia="宋体" w:cs="Arial"/>
          <w:sz w:val="24"/>
          <w:szCs w:val="24"/>
        </w:rPr>
        <w:t>认定为实验室生产出LDT的最后一部分和/或可供使用的日期。</w:t>
      </w:r>
    </w:p>
    <w:p w14:paraId="7C3EC154">
      <w:pPr>
        <w:pStyle w:val="14"/>
        <w:numPr>
          <w:ilvl w:val="0"/>
          <w:numId w:val="14"/>
        </w:numPr>
        <w:overflowPunct w:val="0"/>
        <w:adjustRightInd w:val="0"/>
        <w:snapToGrid w:val="0"/>
        <w:spacing w:after="156" w:afterLines="50" w:line="300" w:lineRule="auto"/>
        <w:ind w:left="1197" w:leftChars="400" w:hanging="357" w:firstLineChars="0"/>
        <w:rPr>
          <w:rFonts w:ascii="Arial" w:hAnsi="Arial" w:eastAsia="宋体" w:cs="Arial"/>
          <w:sz w:val="24"/>
          <w:szCs w:val="24"/>
        </w:rPr>
      </w:pPr>
      <w:r>
        <w:rPr>
          <w:rFonts w:ascii="Arial" w:hAnsi="Arial" w:eastAsia="宋体" w:cs="Arial"/>
          <w:sz w:val="24"/>
          <w:szCs w:val="24"/>
        </w:rPr>
        <w:t>H.7：如果采取了补救性措施，请勾选类型。选择最合适的补救性措施类型。根据MDR规定，</w:t>
      </w:r>
      <w:r>
        <w:rPr>
          <w:rFonts w:ascii="宋体" w:hAnsi="宋体" w:eastAsia="宋体" w:cs="Arial"/>
          <w:sz w:val="24"/>
          <w:szCs w:val="24"/>
        </w:rPr>
        <w:t>“</w:t>
      </w:r>
      <w:r>
        <w:rPr>
          <w:rFonts w:ascii="Arial" w:hAnsi="Arial" w:eastAsia="宋体" w:cs="Arial"/>
          <w:sz w:val="24"/>
          <w:szCs w:val="24"/>
        </w:rPr>
        <w:t>补救性措施</w:t>
      </w:r>
      <w:r>
        <w:rPr>
          <w:rFonts w:ascii="宋体" w:hAnsi="宋体" w:eastAsia="宋体" w:cs="Arial"/>
          <w:sz w:val="24"/>
          <w:szCs w:val="24"/>
        </w:rPr>
        <w:t>”</w:t>
      </w:r>
      <w:r>
        <w:rPr>
          <w:rFonts w:ascii="Arial" w:hAnsi="Arial" w:eastAsia="宋体" w:cs="Arial"/>
          <w:sz w:val="24"/>
          <w:szCs w:val="24"/>
        </w:rPr>
        <w:t>是常规器械维护或服务范围外采取的，防止MDR可报告事件再次出现必须采取的措施。21 CFR 803.3。FDA认为具体的MDR可报告事件中采取的仅针对一台器械的措施不是补救性措施。21 CFR 803.20，21 CFR 803.32，和21 CFR 803.52。</w:t>
      </w:r>
    </w:p>
    <w:p w14:paraId="0E8BC135">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什么时候必须提交纠正和移除措施的报告？</w:t>
      </w:r>
    </w:p>
    <w:p w14:paraId="227FD450">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根据21 CFR第806部分的规定，必须在采取以下目的启动纠正或清除措施后的10个工作日内向FDA提交书面报告：</w:t>
      </w:r>
    </w:p>
    <w:p w14:paraId="1D00D489">
      <w:pPr>
        <w:pStyle w:val="14"/>
        <w:numPr>
          <w:ilvl w:val="0"/>
          <w:numId w:val="15"/>
        </w:numPr>
        <w:overflowPunct w:val="0"/>
        <w:adjustRightInd w:val="0"/>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为了降低器械对健康带来的风险；或</w:t>
      </w:r>
    </w:p>
    <w:p w14:paraId="43E64C95">
      <w:pPr>
        <w:pStyle w:val="14"/>
        <w:numPr>
          <w:ilvl w:val="0"/>
          <w:numId w:val="15"/>
        </w:numPr>
        <w:overflowPunct w:val="0"/>
        <w:adjustRightInd w:val="0"/>
        <w:snapToGrid w:val="0"/>
        <w:spacing w:after="156" w:afterLines="50" w:line="300" w:lineRule="auto"/>
        <w:ind w:firstLine="0" w:firstLineChars="0"/>
        <w:rPr>
          <w:rFonts w:ascii="Arial" w:hAnsi="Arial" w:eastAsia="宋体" w:cs="Arial"/>
          <w:sz w:val="24"/>
          <w:szCs w:val="24"/>
        </w:rPr>
      </w:pPr>
      <w:r>
        <w:rPr>
          <w:rFonts w:ascii="Arial" w:hAnsi="Arial" w:eastAsia="宋体" w:cs="Arial"/>
          <w:sz w:val="24"/>
          <w:szCs w:val="24"/>
        </w:rPr>
        <w:t>为了弥补器械问题可能对健康带来的风险。</w:t>
      </w:r>
    </w:p>
    <w:p w14:paraId="7514CE89">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纠正和移除措施报告，21 CFR第806部分，规定了报告中必须包含的信息，以及公司在分配纠正/移除报告编号时必须遵循的格式。编号由相关责任公司的注册编号、月/日/年格式的报告日期、该日期内报告顺序的3位数字编码（如001，002，003等）、以及报告类型代码（如</w:t>
      </w:r>
      <w:r>
        <w:rPr>
          <w:rFonts w:ascii="宋体" w:hAnsi="宋体" w:eastAsia="宋体" w:cs="Arial"/>
          <w:sz w:val="24"/>
          <w:szCs w:val="24"/>
        </w:rPr>
        <w:t>“</w:t>
      </w:r>
      <w:r>
        <w:rPr>
          <w:rFonts w:ascii="Arial" w:hAnsi="Arial" w:eastAsia="宋体" w:cs="Arial"/>
          <w:sz w:val="24"/>
          <w:szCs w:val="24"/>
        </w:rPr>
        <w:t>C</w:t>
      </w:r>
      <w:r>
        <w:rPr>
          <w:rFonts w:ascii="宋体" w:hAnsi="宋体" w:eastAsia="宋体" w:cs="Arial"/>
          <w:sz w:val="24"/>
          <w:szCs w:val="24"/>
        </w:rPr>
        <w:t>”</w:t>
      </w:r>
      <w:r>
        <w:rPr>
          <w:rFonts w:ascii="Arial" w:hAnsi="Arial" w:eastAsia="宋体" w:cs="Arial"/>
          <w:sz w:val="24"/>
          <w:szCs w:val="24"/>
        </w:rPr>
        <w:t>为纠正报告，</w:t>
      </w:r>
      <w:r>
        <w:rPr>
          <w:rFonts w:ascii="宋体" w:hAnsi="宋体" w:eastAsia="宋体" w:cs="Arial"/>
          <w:sz w:val="24"/>
          <w:szCs w:val="24"/>
        </w:rPr>
        <w:t>“</w:t>
      </w:r>
      <w:r>
        <w:rPr>
          <w:rFonts w:ascii="Arial" w:hAnsi="Arial" w:eastAsia="宋体" w:cs="Arial"/>
          <w:sz w:val="24"/>
          <w:szCs w:val="24"/>
        </w:rPr>
        <w:t>R</w:t>
      </w:r>
      <w:r>
        <w:rPr>
          <w:rFonts w:ascii="宋体" w:hAnsi="宋体" w:eastAsia="宋体" w:cs="Arial"/>
          <w:sz w:val="24"/>
          <w:szCs w:val="24"/>
        </w:rPr>
        <w:t>”</w:t>
      </w:r>
      <w:r>
        <w:rPr>
          <w:rFonts w:ascii="Arial" w:hAnsi="Arial" w:eastAsia="宋体" w:cs="Arial"/>
          <w:sz w:val="24"/>
          <w:szCs w:val="24"/>
        </w:rPr>
        <w:t>为批准报告）组成。21 CFR 806.10。</w:t>
      </w:r>
    </w:p>
    <w:p w14:paraId="3A4458E1">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再次提醒您，您应在启动上述纠正或移除措施后的10个工作日内向FDA相应的部门办公室提交纠正和移除的报告，报告应包含21 CFR 806.10所规定的信息。</w:t>
      </w:r>
    </w:p>
    <w:p w14:paraId="6B1273FF">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如果在MedWatch 3500A表格中记录生产的LDT相关的不良事件报告，还需要提交纠正和移除措施报告吗？</w:t>
      </w:r>
    </w:p>
    <w:p w14:paraId="3DF8E9AF">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MedWatch 3500A表格并不包含21 CFR第806部分规定的所有数据元素，因此不能取代纠正和移除措施报告。但可以将</w:t>
      </w:r>
      <w:bookmarkStart w:id="59" w:name="OLE_LINK50"/>
      <w:bookmarkStart w:id="60" w:name="OLE_LINK51"/>
      <w:r>
        <w:rPr>
          <w:rFonts w:ascii="Arial" w:hAnsi="Arial" w:eastAsia="宋体" w:cs="Arial"/>
          <w:sz w:val="24"/>
          <w:szCs w:val="24"/>
        </w:rPr>
        <w:t>21 CFR第806部分</w:t>
      </w:r>
      <w:bookmarkEnd w:id="59"/>
      <w:bookmarkEnd w:id="60"/>
      <w:r>
        <w:rPr>
          <w:rFonts w:ascii="Arial" w:hAnsi="Arial" w:eastAsia="宋体" w:cs="Arial"/>
          <w:sz w:val="24"/>
          <w:szCs w:val="24"/>
        </w:rPr>
        <w:t>报告附在MedWatch3500A表格中。</w:t>
      </w:r>
    </w:p>
    <w:p w14:paraId="1129B5B8">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另外，21 CFR第806部分应寄送至相应的FDA地区办公室，而MedWatch 3500A表格应提交至FDA总部。</w:t>
      </w:r>
    </w:p>
    <w:p w14:paraId="0EE86EAF">
      <w:pPr>
        <w:widowControl/>
        <w:jc w:val="left"/>
        <w:rPr>
          <w:rFonts w:ascii="Arial" w:hAnsi="Arial" w:eastAsia="宋体" w:cs="Arial"/>
          <w:b/>
          <w:sz w:val="24"/>
          <w:szCs w:val="24"/>
        </w:rPr>
      </w:pPr>
      <w:r>
        <w:rPr>
          <w:rFonts w:ascii="Arial" w:hAnsi="Arial" w:eastAsia="宋体" w:cs="Arial"/>
          <w:b/>
          <w:sz w:val="24"/>
          <w:szCs w:val="24"/>
        </w:rPr>
        <w:br w:type="page"/>
      </w:r>
    </w:p>
    <w:p w14:paraId="082D10D7">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可以</w:t>
      </w:r>
      <w:bookmarkStart w:id="61" w:name="OLE_LINK52"/>
      <w:bookmarkStart w:id="62" w:name="OLE_LINK53"/>
      <w:r>
        <w:rPr>
          <w:rFonts w:ascii="Arial" w:hAnsi="Arial" w:eastAsia="宋体" w:cs="Arial"/>
          <w:b/>
          <w:sz w:val="24"/>
          <w:szCs w:val="24"/>
        </w:rPr>
        <w:t>提交电子版报告</w:t>
      </w:r>
      <w:bookmarkEnd w:id="61"/>
      <w:bookmarkEnd w:id="62"/>
      <w:r>
        <w:rPr>
          <w:rFonts w:ascii="Arial" w:hAnsi="Arial" w:eastAsia="宋体" w:cs="Arial"/>
          <w:b/>
          <w:sz w:val="24"/>
          <w:szCs w:val="24"/>
        </w:rPr>
        <w:t>吗？</w:t>
      </w:r>
    </w:p>
    <w:p w14:paraId="43EBB609">
      <w:pPr>
        <w:overflowPunct w:val="0"/>
        <w:adjustRightInd w:val="0"/>
        <w:snapToGrid w:val="0"/>
        <w:spacing w:after="156" w:afterLines="50" w:line="300" w:lineRule="auto"/>
        <w:ind w:left="420" w:leftChars="200"/>
        <w:jc w:val="left"/>
        <w:rPr>
          <w:rFonts w:ascii="Arial" w:hAnsi="Arial" w:eastAsia="宋体" w:cs="Arial"/>
          <w:sz w:val="24"/>
          <w:szCs w:val="24"/>
        </w:rPr>
      </w:pPr>
      <w:r>
        <w:rPr>
          <w:rFonts w:ascii="Arial" w:hAnsi="Arial" w:eastAsia="宋体" w:cs="Arial"/>
          <w:sz w:val="24"/>
          <w:szCs w:val="24"/>
        </w:rPr>
        <w:t>是的，您可以向FDA提交电子版初始和补充报告。关于提交电子版初始和补充报告的信息见</w:t>
      </w:r>
      <w:r>
        <w:fldChar w:fldCharType="begin"/>
      </w:r>
      <w:r>
        <w:instrText xml:space="preserve"> HYPERLINK "http://www.fda.gov/ForIndustry/FDAeSubmitter/default.htm" </w:instrText>
      </w:r>
      <w:r>
        <w:fldChar w:fldCharType="separate"/>
      </w:r>
      <w:r>
        <w:rPr>
          <w:rStyle w:val="12"/>
          <w:rFonts w:ascii="Arial" w:hAnsi="Arial" w:eastAsia="宋体" w:cs="Arial"/>
          <w:color w:val="0000FF"/>
          <w:sz w:val="24"/>
          <w:szCs w:val="24"/>
        </w:rPr>
        <w:t>http://www.fda.gov/ForIndustry/FDAeSubmitter/default.htm</w:t>
      </w:r>
      <w:r>
        <w:rPr>
          <w:rStyle w:val="12"/>
          <w:rFonts w:ascii="Arial" w:hAnsi="Arial" w:eastAsia="宋体" w:cs="Arial"/>
          <w:color w:val="0000FF"/>
          <w:sz w:val="24"/>
          <w:szCs w:val="24"/>
        </w:rPr>
        <w:fldChar w:fldCharType="end"/>
      </w:r>
      <w:r>
        <w:rPr>
          <w:rFonts w:ascii="Arial" w:hAnsi="Arial" w:eastAsia="宋体" w:cs="Arial"/>
          <w:sz w:val="24"/>
          <w:szCs w:val="24"/>
        </w:rPr>
        <w:t>。电子版提交相关的指导见电子版医疗器械报告（eMDR）主页：</w:t>
      </w:r>
      <w:r>
        <w:fldChar w:fldCharType="begin"/>
      </w:r>
      <w:r>
        <w:instrText xml:space="preserve"> HYPERLINK "http://www.fda.gov/MedicalDevices/DeviceRegulationandGuidance/PostmarketRequirements/ReportingAdverseEvents/eMDR%E2%80%93ElectronicMedicalDeviceReporting/default.htm" </w:instrText>
      </w:r>
      <w:r>
        <w:fldChar w:fldCharType="separate"/>
      </w:r>
      <w:r>
        <w:rPr>
          <w:rStyle w:val="12"/>
          <w:rFonts w:ascii="Arial" w:hAnsi="Arial" w:eastAsia="宋体" w:cs="Arial"/>
          <w:color w:val="0000FF"/>
          <w:sz w:val="24"/>
          <w:szCs w:val="24"/>
        </w:rPr>
        <w:t>http://www.fda.gov/MedicalDevices/DeviceRegulationandGuidance/PostmarketRequirements/ReportingAdverseEvents/eMDR%E2%80%93ElectronicMedicalDeviceReporting/default.htm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44B35E5F">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什么是作为LDT制造商必须提交的补充报告？</w:t>
      </w:r>
    </w:p>
    <w:p w14:paraId="303839F4">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作为LDT制造商，在接收到关于不良事件的其他信息或更新的信息时（这些信息在初次使用MedWatch 3500A表格提交是不可获取或未知的），您有义务在接收信息后的1个月内使用MedWatch 3500A表格向FDA提交补充报告。21 CFR 803.56。您应当通过完成第G.7部分（报告类型）和G.9部分（制造商编码）以及在H.2部分勾选合适的代码来提供与初始申请一致的医疗器械使用机构代码和制造商代码。MedWatch 3500A表格应只纳入新的、改变的、或纠正的信息。已经提交的信息不应重复提交。关于补充报告要求的详细描述见21 CFR 803.56。</w:t>
      </w:r>
    </w:p>
    <w:p w14:paraId="78141E81">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对于生产LDT的医疗器械使用机构，是否有额外的MDR要求？</w:t>
      </w:r>
    </w:p>
    <w:p w14:paraId="36E3250A">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是的。您需要对当前的MDR流程进行补充，以同时符合作为医疗器械使用机构和作为制造商的MDR报告要求。21 CFR 803.17。</w:t>
      </w:r>
    </w:p>
    <w:p w14:paraId="4310B2F2">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医疗器械使用机构和制造商需要建立和维护MDR事件文档。21 CFR 803.18。对于涉及临床实验室生产的LDT不良事件，需要同时遵守21 CFR 803.18（e）对于制造上的附加要求。</w:t>
      </w:r>
    </w:p>
    <w:p w14:paraId="72ADBE3C">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作为LDT制造商，应如何申请豁免和替代报告选项？</w:t>
      </w:r>
    </w:p>
    <w:p w14:paraId="0E67F936">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作为LDT制造商，根据21 CFR 803.19（b）和（c）的规定，您可以申请豁免21 CFR第803部分所有的报告要求。FDA经过慎重考虑后，可以</w:t>
      </w:r>
      <w:bookmarkStart w:id="63" w:name="OLE_LINK56"/>
      <w:bookmarkStart w:id="64" w:name="OLE_LINK55"/>
      <w:r>
        <w:rPr>
          <w:rFonts w:ascii="Arial" w:hAnsi="Arial" w:eastAsia="宋体" w:cs="Arial"/>
          <w:sz w:val="24"/>
          <w:szCs w:val="24"/>
        </w:rPr>
        <w:t>批准不良事件报告的豁免或替代报告形式</w:t>
      </w:r>
      <w:bookmarkEnd w:id="63"/>
      <w:bookmarkEnd w:id="64"/>
      <w:r>
        <w:rPr>
          <w:rFonts w:ascii="Arial" w:hAnsi="Arial" w:eastAsia="宋体" w:cs="Arial"/>
          <w:sz w:val="24"/>
          <w:szCs w:val="24"/>
        </w:rPr>
        <w:t>。如果机构批准不良事件报告的豁免或替代报告形式，则其可能会施行其他的报告要求，以确保公众健康。</w:t>
      </w:r>
    </w:p>
    <w:p w14:paraId="45D0585F">
      <w:pPr>
        <w:overflowPunct w:val="0"/>
        <w:adjustRightInd w:val="0"/>
        <w:snapToGrid w:val="0"/>
        <w:spacing w:after="156" w:afterLines="50" w:line="300" w:lineRule="auto"/>
        <w:ind w:left="420" w:leftChars="200"/>
        <w:rPr>
          <w:rFonts w:ascii="Arial" w:hAnsi="Arial" w:eastAsia="宋体" w:cs="Arial"/>
          <w:sz w:val="24"/>
          <w:szCs w:val="24"/>
        </w:rPr>
      </w:pPr>
      <w:r>
        <w:fldChar w:fldCharType="begin"/>
      </w:r>
      <w:r>
        <w:instrText xml:space="preserve"> HYPERLINK "mailto:更多信息请联系MDR政策分部MDRPolicy@fda.hhs.gov" </w:instrText>
      </w:r>
      <w:r>
        <w:fldChar w:fldCharType="separate"/>
      </w:r>
      <w:r>
        <w:rPr>
          <w:rStyle w:val="12"/>
          <w:rFonts w:ascii="Arial" w:hAnsi="Arial" w:eastAsia="宋体" w:cs="Arial"/>
          <w:color w:val="auto"/>
          <w:sz w:val="24"/>
          <w:szCs w:val="24"/>
          <w:u w:val="none"/>
        </w:rPr>
        <w:t>更多信息请联系MDR政策分部</w:t>
      </w:r>
      <w:r>
        <w:rPr>
          <w:rStyle w:val="12"/>
          <w:rFonts w:ascii="Arial" w:hAnsi="Arial" w:eastAsia="宋体" w:cs="Arial"/>
          <w:color w:val="0000FF"/>
          <w:sz w:val="24"/>
          <w:szCs w:val="24"/>
        </w:rPr>
        <w:t>MDRPolicy@fda.hhs.gov</w:t>
      </w:r>
      <w:r>
        <w:rPr>
          <w:rStyle w:val="12"/>
          <w:rFonts w:ascii="Arial" w:hAnsi="Arial" w:eastAsia="宋体" w:cs="Arial"/>
          <w:color w:val="0000FF"/>
          <w:sz w:val="24"/>
          <w:szCs w:val="24"/>
        </w:rPr>
        <w:fldChar w:fldCharType="end"/>
      </w:r>
      <w:r>
        <w:rPr>
          <w:rFonts w:ascii="Arial" w:hAnsi="Arial" w:eastAsia="宋体" w:cs="Arial"/>
          <w:sz w:val="24"/>
          <w:szCs w:val="24"/>
        </w:rPr>
        <w:t>。</w:t>
      </w:r>
    </w:p>
    <w:p w14:paraId="68E5271C">
      <w:pPr>
        <w:widowControl/>
        <w:jc w:val="left"/>
        <w:rPr>
          <w:rFonts w:ascii="Arial" w:hAnsi="Arial" w:eastAsia="宋体" w:cs="Arial"/>
          <w:b/>
          <w:sz w:val="24"/>
          <w:szCs w:val="24"/>
        </w:rPr>
      </w:pPr>
      <w:r>
        <w:rPr>
          <w:rFonts w:ascii="Arial" w:hAnsi="Arial" w:eastAsia="宋体" w:cs="Arial"/>
          <w:b/>
          <w:sz w:val="24"/>
          <w:szCs w:val="24"/>
        </w:rPr>
        <w:br w:type="page"/>
      </w:r>
    </w:p>
    <w:p w14:paraId="64DB007D">
      <w:pPr>
        <w:pStyle w:val="14"/>
        <w:numPr>
          <w:ilvl w:val="0"/>
          <w:numId w:val="9"/>
        </w:numPr>
        <w:overflowPunct w:val="0"/>
        <w:adjustRightInd w:val="0"/>
        <w:snapToGrid w:val="0"/>
        <w:spacing w:after="156" w:afterLines="50" w:line="300" w:lineRule="auto"/>
        <w:ind w:left="777" w:leftChars="200" w:hanging="357" w:firstLineChars="0"/>
        <w:rPr>
          <w:rFonts w:ascii="Arial" w:hAnsi="Arial" w:eastAsia="宋体" w:cs="Arial"/>
          <w:b/>
          <w:sz w:val="24"/>
          <w:szCs w:val="24"/>
        </w:rPr>
      </w:pPr>
      <w:r>
        <w:rPr>
          <w:rFonts w:ascii="Arial" w:hAnsi="Arial" w:eastAsia="宋体" w:cs="Arial"/>
          <w:b/>
          <w:sz w:val="24"/>
          <w:szCs w:val="24"/>
        </w:rPr>
        <w:t>在哪里可以获取关于医疗器械使用机构或制造商的MDR报告要求的更多信息？</w:t>
      </w:r>
    </w:p>
    <w:p w14:paraId="40AE9C4B">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信息源：</w:t>
      </w:r>
    </w:p>
    <w:p w14:paraId="05AEBDC5">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在下列地址获取报告信息：</w:t>
      </w:r>
    </w:p>
    <w:p w14:paraId="1BB2DDD9">
      <w:pPr>
        <w:pStyle w:val="14"/>
        <w:numPr>
          <w:ilvl w:val="0"/>
          <w:numId w:val="16"/>
        </w:numPr>
        <w:overflowPunct w:val="0"/>
        <w:adjustRightInd w:val="0"/>
        <w:snapToGrid w:val="0"/>
        <w:spacing w:line="300" w:lineRule="auto"/>
        <w:ind w:firstLineChars="0"/>
        <w:jc w:val="left"/>
        <w:rPr>
          <w:rFonts w:ascii="Arial" w:hAnsi="Arial" w:eastAsia="宋体" w:cs="Arial"/>
          <w:sz w:val="24"/>
          <w:szCs w:val="24"/>
        </w:rPr>
      </w:pPr>
      <w:r>
        <w:rPr>
          <w:rFonts w:ascii="Arial" w:hAnsi="Arial" w:eastAsia="宋体" w:cs="Arial"/>
          <w:sz w:val="24"/>
          <w:szCs w:val="24"/>
        </w:rPr>
        <w:t>MedWatch：FDA安全信息和不良事件报告项目（</w:t>
      </w:r>
      <w:r>
        <w:rPr>
          <w:rStyle w:val="12"/>
          <w:rFonts w:ascii="Arial" w:hAnsi="Arial" w:cs="Arial"/>
          <w:color w:val="0000FF"/>
          <w:sz w:val="24"/>
          <w:szCs w:val="24"/>
        </w:rPr>
        <w:t>http://www.fda.gov/Safety/MedWatch/default.htm</w:t>
      </w:r>
      <w:r>
        <w:rPr>
          <w:rFonts w:ascii="Arial" w:hAnsi="Arial" w:eastAsia="宋体" w:cs="Arial"/>
          <w:sz w:val="24"/>
          <w:szCs w:val="24"/>
        </w:rPr>
        <w:t>）。</w:t>
      </w:r>
    </w:p>
    <w:p w14:paraId="37F598E9">
      <w:pPr>
        <w:pStyle w:val="14"/>
        <w:numPr>
          <w:ilvl w:val="0"/>
          <w:numId w:val="16"/>
        </w:numPr>
        <w:overflowPunct w:val="0"/>
        <w:adjustRightInd w:val="0"/>
        <w:snapToGrid w:val="0"/>
        <w:spacing w:line="300" w:lineRule="auto"/>
        <w:ind w:firstLineChars="0"/>
        <w:jc w:val="left"/>
        <w:rPr>
          <w:rFonts w:ascii="Arial" w:hAnsi="Arial" w:eastAsia="宋体" w:cs="Arial"/>
          <w:sz w:val="24"/>
          <w:szCs w:val="24"/>
        </w:rPr>
      </w:pPr>
      <w:r>
        <w:rPr>
          <w:rFonts w:ascii="Arial" w:hAnsi="Arial" w:eastAsia="宋体" w:cs="Arial"/>
          <w:sz w:val="24"/>
          <w:szCs w:val="24"/>
        </w:rPr>
        <w:t>如何报告问题（医疗器械）（</w:t>
      </w:r>
      <w:r>
        <w:rPr>
          <w:rStyle w:val="12"/>
          <w:rFonts w:ascii="Arial" w:hAnsi="Arial" w:cs="Arial"/>
          <w:color w:val="0000FF"/>
          <w:sz w:val="24"/>
          <w:szCs w:val="24"/>
        </w:rPr>
        <w:t>http://www.fda.gov/MedicalDevices/Safety/ReportaProblem/default.htm</w:t>
      </w:r>
      <w:r>
        <w:rPr>
          <w:rFonts w:ascii="Arial" w:hAnsi="Arial" w:eastAsia="宋体" w:cs="Arial"/>
          <w:sz w:val="24"/>
          <w:szCs w:val="24"/>
        </w:rPr>
        <w:t>）。</w:t>
      </w:r>
    </w:p>
    <w:p w14:paraId="63F7FCA2">
      <w:pPr>
        <w:pStyle w:val="14"/>
        <w:numPr>
          <w:ilvl w:val="0"/>
          <w:numId w:val="16"/>
        </w:numPr>
        <w:overflowPunct w:val="0"/>
        <w:adjustRightInd w:val="0"/>
        <w:snapToGrid w:val="0"/>
        <w:spacing w:line="300" w:lineRule="auto"/>
        <w:ind w:firstLineChars="0"/>
        <w:jc w:val="left"/>
        <w:rPr>
          <w:rFonts w:ascii="Arial" w:hAnsi="Arial" w:eastAsia="宋体" w:cs="Arial"/>
          <w:sz w:val="24"/>
          <w:szCs w:val="24"/>
        </w:rPr>
      </w:pPr>
      <w:r>
        <w:rPr>
          <w:rFonts w:ascii="Arial" w:hAnsi="Arial" w:eastAsia="宋体" w:cs="Arial"/>
          <w:sz w:val="24"/>
          <w:szCs w:val="24"/>
        </w:rPr>
        <w:t>MedWatch编码工具/源文件（</w:t>
      </w:r>
      <w:r>
        <w:rPr>
          <w:rStyle w:val="12"/>
          <w:rFonts w:ascii="Arial" w:hAnsi="Arial" w:cs="Arial"/>
          <w:color w:val="0000FF"/>
          <w:sz w:val="24"/>
          <w:szCs w:val="24"/>
        </w:rPr>
        <w:t>http://www.fda.gov/MedicalDevices/DeviceRegulationandGuidance/PostmarketRequirements/ReportingAdverseEvents/EventProblemCodes/default.htm</w:t>
      </w:r>
      <w:r>
        <w:rPr>
          <w:rFonts w:ascii="Arial" w:hAnsi="Arial" w:eastAsia="宋体" w:cs="Arial"/>
          <w:sz w:val="24"/>
          <w:szCs w:val="24"/>
        </w:rPr>
        <w:t>）。</w:t>
      </w:r>
    </w:p>
    <w:p w14:paraId="3BA3B276">
      <w:pPr>
        <w:pStyle w:val="14"/>
        <w:numPr>
          <w:ilvl w:val="0"/>
          <w:numId w:val="16"/>
        </w:numPr>
        <w:overflowPunct w:val="0"/>
        <w:adjustRightInd w:val="0"/>
        <w:snapToGrid w:val="0"/>
        <w:spacing w:after="156" w:afterLines="50" w:line="300" w:lineRule="auto"/>
        <w:ind w:firstLineChars="0"/>
        <w:jc w:val="left"/>
        <w:rPr>
          <w:rFonts w:ascii="Arial" w:hAnsi="Arial" w:eastAsia="宋体" w:cs="Arial"/>
          <w:sz w:val="24"/>
          <w:szCs w:val="24"/>
        </w:rPr>
      </w:pPr>
      <w:r>
        <w:rPr>
          <w:rFonts w:ascii="Arial" w:hAnsi="Arial" w:eastAsia="宋体" w:cs="Arial"/>
          <w:sz w:val="24"/>
          <w:szCs w:val="24"/>
        </w:rPr>
        <w:t>医疗器械和放射卫生中心（CDRH）学习页的医疗器械报告（MDR）模块：（</w:t>
      </w:r>
      <w:r>
        <w:fldChar w:fldCharType="begin"/>
      </w:r>
      <w:r>
        <w:instrText xml:space="preserve"> HYPERLINK "http://www.fda.gov/training/cdrhlearn/default.htm" </w:instrText>
      </w:r>
      <w:r>
        <w:fldChar w:fldCharType="separate"/>
      </w:r>
      <w:r>
        <w:rPr>
          <w:rStyle w:val="12"/>
          <w:rFonts w:ascii="Arial" w:hAnsi="Arial" w:eastAsia="宋体" w:cs="Arial"/>
          <w:color w:val="0000FF"/>
          <w:sz w:val="24"/>
          <w:szCs w:val="24"/>
        </w:rPr>
        <w:t>http://www.fda.gov/training/cdrhlearn/default.htm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12022A05">
      <w:pPr>
        <w:overflowPunct w:val="0"/>
        <w:adjustRightInd w:val="0"/>
        <w:snapToGrid w:val="0"/>
        <w:spacing w:after="156" w:afterLines="50" w:line="300" w:lineRule="auto"/>
        <w:jc w:val="left"/>
        <w:rPr>
          <w:rFonts w:ascii="Arial" w:hAnsi="Arial" w:eastAsia="宋体" w:cs="Arial"/>
          <w:sz w:val="24"/>
          <w:szCs w:val="24"/>
        </w:rPr>
      </w:pPr>
      <w:r>
        <w:rPr>
          <w:rFonts w:ascii="Arial" w:hAnsi="Arial" w:eastAsia="宋体" w:cs="Arial"/>
          <w:sz w:val="24"/>
          <w:szCs w:val="24"/>
        </w:rPr>
        <w:t>您也可以向MDR政策分部（MPB）提交关于MDR报告的问题：</w:t>
      </w:r>
      <w:r>
        <w:fldChar w:fldCharType="begin"/>
      </w:r>
      <w:r>
        <w:instrText xml:space="preserve"> HYPERLINK "mailto:MDRPolicy@fda.hhs.gov" </w:instrText>
      </w:r>
      <w:r>
        <w:fldChar w:fldCharType="separate"/>
      </w:r>
      <w:r>
        <w:rPr>
          <w:rStyle w:val="12"/>
          <w:rFonts w:ascii="Arial" w:hAnsi="Arial" w:eastAsia="宋体" w:cs="Arial"/>
          <w:color w:val="0000FF"/>
          <w:sz w:val="24"/>
          <w:szCs w:val="24"/>
        </w:rPr>
        <w:t>MDRPolicy@fda.hhs.gov</w:t>
      </w:r>
      <w:r>
        <w:rPr>
          <w:rStyle w:val="12"/>
          <w:rFonts w:ascii="Arial" w:hAnsi="Arial" w:eastAsia="宋体" w:cs="Arial"/>
          <w:color w:val="0000FF"/>
          <w:sz w:val="24"/>
          <w:szCs w:val="24"/>
        </w:rPr>
        <w:fldChar w:fldCharType="end"/>
      </w:r>
      <w:r>
        <w:rPr>
          <w:rFonts w:ascii="Arial" w:hAnsi="Arial" w:eastAsia="宋体" w:cs="Arial"/>
          <w:sz w:val="24"/>
          <w:szCs w:val="24"/>
        </w:rPr>
        <w:t>。您也可以参考网站：</w:t>
      </w:r>
      <w:r>
        <w:fldChar w:fldCharType="begin"/>
      </w:r>
      <w:r>
        <w:instrText xml:space="preserve"> HYPERLINK "http://www.fda.gov/MedicalDevices/Safety/ReportaProblem/default.htm" </w:instrText>
      </w:r>
      <w:r>
        <w:fldChar w:fldCharType="separate"/>
      </w:r>
      <w:r>
        <w:rPr>
          <w:rStyle w:val="12"/>
          <w:rFonts w:ascii="Arial" w:hAnsi="Arial" w:eastAsia="宋体" w:cs="Arial"/>
          <w:color w:val="0000FF"/>
          <w:sz w:val="24"/>
          <w:szCs w:val="24"/>
        </w:rPr>
        <w:t>http://www.fda.gov/MedicalDevices/Safety/ReportaProblem/default.htm</w:t>
      </w:r>
      <w:r>
        <w:rPr>
          <w:rStyle w:val="12"/>
          <w:rFonts w:ascii="Arial" w:hAnsi="Arial" w:eastAsia="宋体" w:cs="Arial"/>
          <w:color w:val="0000FF"/>
          <w:sz w:val="24"/>
          <w:szCs w:val="24"/>
        </w:rPr>
        <w:fldChar w:fldCharType="end"/>
      </w:r>
      <w:r>
        <w:rPr>
          <w:rFonts w:ascii="Arial" w:hAnsi="Arial" w:eastAsia="宋体" w:cs="Arial"/>
          <w:sz w:val="24"/>
          <w:szCs w:val="24"/>
        </w:rPr>
        <w:t>。</w:t>
      </w:r>
    </w:p>
    <w:p w14:paraId="7812AA6D">
      <w:pPr>
        <w:widowControl/>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br w:type="page"/>
      </w:r>
    </w:p>
    <w:p w14:paraId="7F2102AB">
      <w:pPr>
        <w:overflowPunct w:val="0"/>
        <w:adjustRightInd w:val="0"/>
        <w:snapToGrid w:val="0"/>
        <w:spacing w:after="156" w:afterLines="50" w:line="300" w:lineRule="auto"/>
        <w:outlineLvl w:val="0"/>
        <w:rPr>
          <w:rFonts w:ascii="Arial" w:hAnsi="Arial" w:eastAsia="宋体" w:cs="Arial"/>
          <w:b/>
          <w:sz w:val="36"/>
          <w:szCs w:val="36"/>
        </w:rPr>
      </w:pPr>
      <w:bookmarkStart w:id="65" w:name="_Toc498010392"/>
      <w:r>
        <w:rPr>
          <w:rFonts w:ascii="Arial" w:hAnsi="Arial" w:eastAsia="宋体" w:cs="Arial"/>
          <w:b/>
          <w:sz w:val="36"/>
          <w:szCs w:val="36"/>
        </w:rPr>
        <w:t>附录A：FDA通知数据元素</w:t>
      </w:r>
      <w:bookmarkEnd w:id="65"/>
    </w:p>
    <w:p w14:paraId="307049B1">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为了以合适的方式向FDA通知某机构生产的所有LDT，机构的所有者/操作者应当为机构内生产的每项LDT提供以下数据元素。通知信息应当通过FDA网站在线提交。</w:t>
      </w:r>
    </w:p>
    <w:p w14:paraId="5EC7D09C">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1. 实验室名称</w:t>
      </w:r>
    </w:p>
    <w:p w14:paraId="329ACB30">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明确您希望在FDA记录中出现的实验室合法名称。</w:t>
      </w:r>
    </w:p>
    <w:p w14:paraId="7771B418">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2. 实验室</w:t>
      </w:r>
      <w:bookmarkStart w:id="66" w:name="OLE_LINK57"/>
      <w:bookmarkStart w:id="67" w:name="OLE_LINK58"/>
      <w:r>
        <w:rPr>
          <w:rFonts w:ascii="Arial" w:hAnsi="Arial" w:eastAsia="宋体" w:cs="Arial"/>
          <w:b/>
          <w:sz w:val="24"/>
          <w:szCs w:val="24"/>
        </w:rPr>
        <w:t>联系电子邮件地址</w:t>
      </w:r>
      <w:bookmarkEnd w:id="66"/>
      <w:bookmarkEnd w:id="67"/>
    </w:p>
    <w:p w14:paraId="6016FDBE">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明确您希望在FDA记录中出现的实验室联系电子邮件地址。</w:t>
      </w:r>
    </w:p>
    <w:p w14:paraId="6D115A22">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3. 检测名称</w:t>
      </w:r>
    </w:p>
    <w:p w14:paraId="4DBBAAB5">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明确您所描述检测的名称。请注意名称可以使用商品名或实验室用于指代该检测的通用名称。</w:t>
      </w:r>
    </w:p>
    <w:p w14:paraId="3390D25F">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4. 每月检测量</w:t>
      </w:r>
    </w:p>
    <w:p w14:paraId="55E36093">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明确实验室每月使用该IVD进行的临床检测的数量。</w:t>
      </w:r>
    </w:p>
    <w:p w14:paraId="0EFCCDFC">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5. 预期用途</w:t>
      </w:r>
    </w:p>
    <w:p w14:paraId="1376E337">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提供描述检测预期使用情况的简要陈述。请提供该检测可以用于提供诊断、处理、预防、治疗或缓解的疾病或症状的一般性描述。请注意一项检测可能有多个预期用途。</w:t>
      </w:r>
    </w:p>
    <w:p w14:paraId="52F75DF7">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i/>
          <w:sz w:val="24"/>
          <w:szCs w:val="24"/>
        </w:rPr>
        <w:t>示例一：</w:t>
      </w:r>
      <w:r>
        <w:rPr>
          <w:rFonts w:ascii="Arial" w:hAnsi="Arial" w:eastAsia="宋体" w:cs="Arial"/>
          <w:sz w:val="24"/>
          <w:szCs w:val="24"/>
        </w:rPr>
        <w:t>X尿检测是一项用于定性确定人类尿液中的人绒毛膜促性腺激素（hCG）的免疫检测剂，可以用于早期孕检。</w:t>
      </w:r>
    </w:p>
    <w:p w14:paraId="76DCB447">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i/>
          <w:sz w:val="24"/>
          <w:szCs w:val="24"/>
        </w:rPr>
        <w:t>示例二：</w:t>
      </w:r>
      <w:r>
        <w:rPr>
          <w:rFonts w:ascii="Arial" w:hAnsi="Arial" w:eastAsia="宋体" w:cs="Arial"/>
          <w:sz w:val="24"/>
          <w:szCs w:val="24"/>
        </w:rPr>
        <w:t>Y是一种定性的体外诊断检测服务，在独立的实验室中进行，使用新鲜冰冻的乳腺癌组织样本的基因表达谱阿里评估患者远端转移的风险。该检测适用于61岁以下、I级或II级乳腺癌、肿瘤大小≤5.0cm、且淋巴结阴性的乳腺癌患者。Y检测的结果与其他临床病理学因素一起，仅可供医生进行预后标记。</w:t>
      </w:r>
    </w:p>
    <w:p w14:paraId="0BFD090C">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6. 检测的临床使用</w:t>
      </w:r>
    </w:p>
    <w:p w14:paraId="27567027">
      <w:pPr>
        <w:widowControl/>
        <w:jc w:val="left"/>
        <w:rPr>
          <w:rFonts w:ascii="Arial" w:hAnsi="Arial" w:eastAsia="宋体" w:cs="Arial"/>
          <w:sz w:val="24"/>
          <w:szCs w:val="24"/>
        </w:rPr>
      </w:pPr>
      <w:r>
        <w:rPr>
          <w:rFonts w:ascii="Arial" w:hAnsi="Arial" w:eastAsia="宋体" w:cs="Arial"/>
          <w:sz w:val="24"/>
          <w:szCs w:val="24"/>
        </w:rPr>
        <w:br w:type="page"/>
      </w:r>
    </w:p>
    <w:p w14:paraId="0550D194">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明确以下分类中哪一项可以描述检测所产生的信息的预期临床使用情况。请明确以下列出的选项中所有适用于LDT产生的信息的预期使用情况的选项。如果选择了</w:t>
      </w:r>
      <w:r>
        <w:rPr>
          <w:rFonts w:ascii="宋体" w:hAnsi="宋体" w:eastAsia="宋体" w:cs="Arial"/>
          <w:sz w:val="24"/>
          <w:szCs w:val="24"/>
        </w:rPr>
        <w:t>“</w:t>
      </w:r>
      <w:r>
        <w:rPr>
          <w:rFonts w:ascii="Arial" w:hAnsi="Arial" w:eastAsia="宋体" w:cs="Arial"/>
          <w:sz w:val="24"/>
          <w:szCs w:val="24"/>
        </w:rPr>
        <w:t>其他</w:t>
      </w:r>
      <w:r>
        <w:rPr>
          <w:rFonts w:ascii="宋体" w:hAnsi="宋体" w:eastAsia="宋体" w:cs="Arial"/>
          <w:sz w:val="24"/>
          <w:szCs w:val="24"/>
        </w:rPr>
        <w:t>”</w:t>
      </w:r>
      <w:r>
        <w:rPr>
          <w:rFonts w:ascii="Arial" w:hAnsi="Arial" w:eastAsia="宋体" w:cs="Arial"/>
          <w:sz w:val="24"/>
          <w:szCs w:val="24"/>
        </w:rPr>
        <w:t>选项，请注明该检测预期的临床使用类型。</w:t>
      </w:r>
    </w:p>
    <w:p w14:paraId="0884C16F">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选项：</w:t>
      </w:r>
    </w:p>
    <w:p w14:paraId="67FD684F">
      <w:pPr>
        <w:pStyle w:val="14"/>
        <w:numPr>
          <w:ilvl w:val="0"/>
          <w:numId w:val="17"/>
        </w:numPr>
        <w:overflowPunct w:val="0"/>
        <w:adjustRightInd w:val="0"/>
        <w:snapToGrid w:val="0"/>
        <w:spacing w:line="300" w:lineRule="auto"/>
        <w:ind w:left="1259" w:firstLineChars="0"/>
        <w:rPr>
          <w:rFonts w:ascii="Arial" w:hAnsi="Arial" w:eastAsia="宋体" w:cs="Arial"/>
          <w:i/>
          <w:sz w:val="24"/>
          <w:szCs w:val="24"/>
        </w:rPr>
      </w:pPr>
      <w:r>
        <w:rPr>
          <w:rFonts w:ascii="Arial" w:hAnsi="Arial" w:eastAsia="宋体" w:cs="Arial"/>
          <w:i/>
          <w:sz w:val="24"/>
          <w:szCs w:val="24"/>
        </w:rPr>
        <w:t>诊断</w:t>
      </w:r>
    </w:p>
    <w:p w14:paraId="7F97863F">
      <w:pPr>
        <w:pStyle w:val="14"/>
        <w:numPr>
          <w:ilvl w:val="0"/>
          <w:numId w:val="17"/>
        </w:numPr>
        <w:overflowPunct w:val="0"/>
        <w:adjustRightInd w:val="0"/>
        <w:snapToGrid w:val="0"/>
        <w:spacing w:line="300" w:lineRule="auto"/>
        <w:ind w:left="1259" w:firstLineChars="0"/>
        <w:rPr>
          <w:rFonts w:ascii="Arial" w:hAnsi="Arial" w:eastAsia="宋体" w:cs="Arial"/>
          <w:i/>
          <w:sz w:val="24"/>
          <w:szCs w:val="24"/>
        </w:rPr>
      </w:pPr>
      <w:r>
        <w:rPr>
          <w:rFonts w:ascii="Arial" w:hAnsi="Arial" w:eastAsia="宋体" w:cs="Arial"/>
          <w:i/>
          <w:sz w:val="24"/>
          <w:szCs w:val="24"/>
        </w:rPr>
        <w:t>预后</w:t>
      </w:r>
    </w:p>
    <w:p w14:paraId="73062023">
      <w:pPr>
        <w:pStyle w:val="14"/>
        <w:numPr>
          <w:ilvl w:val="0"/>
          <w:numId w:val="17"/>
        </w:numPr>
        <w:overflowPunct w:val="0"/>
        <w:adjustRightInd w:val="0"/>
        <w:snapToGrid w:val="0"/>
        <w:spacing w:line="300" w:lineRule="auto"/>
        <w:ind w:left="1259" w:firstLineChars="0"/>
        <w:rPr>
          <w:rFonts w:ascii="Arial" w:hAnsi="Arial" w:eastAsia="宋体" w:cs="Arial"/>
          <w:i/>
          <w:sz w:val="24"/>
          <w:szCs w:val="24"/>
        </w:rPr>
      </w:pPr>
      <w:r>
        <w:rPr>
          <w:rFonts w:ascii="Arial" w:hAnsi="Arial" w:eastAsia="宋体" w:cs="Arial"/>
          <w:i/>
          <w:sz w:val="24"/>
          <w:szCs w:val="24"/>
        </w:rPr>
        <w:t>监测</w:t>
      </w:r>
    </w:p>
    <w:p w14:paraId="4D0BC54B">
      <w:pPr>
        <w:pStyle w:val="14"/>
        <w:numPr>
          <w:ilvl w:val="0"/>
          <w:numId w:val="17"/>
        </w:numPr>
        <w:overflowPunct w:val="0"/>
        <w:adjustRightInd w:val="0"/>
        <w:snapToGrid w:val="0"/>
        <w:spacing w:line="300" w:lineRule="auto"/>
        <w:ind w:left="1259" w:firstLineChars="0"/>
        <w:rPr>
          <w:rFonts w:ascii="Arial" w:hAnsi="Arial" w:eastAsia="宋体" w:cs="Arial"/>
          <w:i/>
          <w:sz w:val="24"/>
          <w:szCs w:val="24"/>
        </w:rPr>
      </w:pPr>
      <w:r>
        <w:rPr>
          <w:rFonts w:ascii="Arial" w:hAnsi="Arial" w:eastAsia="宋体" w:cs="Arial"/>
          <w:i/>
          <w:sz w:val="24"/>
          <w:szCs w:val="24"/>
        </w:rPr>
        <w:t>风险评估</w:t>
      </w:r>
    </w:p>
    <w:p w14:paraId="579C9B59">
      <w:pPr>
        <w:pStyle w:val="14"/>
        <w:numPr>
          <w:ilvl w:val="0"/>
          <w:numId w:val="17"/>
        </w:numPr>
        <w:overflowPunct w:val="0"/>
        <w:adjustRightInd w:val="0"/>
        <w:snapToGrid w:val="0"/>
        <w:spacing w:line="300" w:lineRule="auto"/>
        <w:ind w:left="1259" w:firstLineChars="0"/>
        <w:rPr>
          <w:rFonts w:ascii="Arial" w:hAnsi="Arial" w:eastAsia="宋体" w:cs="Arial"/>
          <w:i/>
          <w:sz w:val="24"/>
          <w:szCs w:val="24"/>
        </w:rPr>
      </w:pPr>
      <w:r>
        <w:rPr>
          <w:rFonts w:ascii="Arial" w:hAnsi="Arial" w:eastAsia="宋体" w:cs="Arial"/>
          <w:i/>
          <w:sz w:val="24"/>
          <w:szCs w:val="24"/>
        </w:rPr>
        <w:t>筛查</w:t>
      </w:r>
    </w:p>
    <w:p w14:paraId="2E007BA7">
      <w:pPr>
        <w:pStyle w:val="14"/>
        <w:numPr>
          <w:ilvl w:val="0"/>
          <w:numId w:val="17"/>
        </w:numPr>
        <w:overflowPunct w:val="0"/>
        <w:adjustRightInd w:val="0"/>
        <w:snapToGrid w:val="0"/>
        <w:spacing w:line="300" w:lineRule="auto"/>
        <w:ind w:left="1259" w:firstLineChars="0"/>
        <w:rPr>
          <w:rFonts w:ascii="Arial" w:hAnsi="Arial" w:eastAsia="宋体" w:cs="Arial"/>
          <w:i/>
          <w:sz w:val="24"/>
          <w:szCs w:val="24"/>
        </w:rPr>
      </w:pPr>
      <w:r>
        <w:rPr>
          <w:rFonts w:ascii="Arial" w:hAnsi="Arial" w:eastAsia="宋体" w:cs="Arial"/>
          <w:i/>
          <w:sz w:val="24"/>
          <w:szCs w:val="24"/>
        </w:rPr>
        <w:t>确定微生物</w:t>
      </w:r>
    </w:p>
    <w:p w14:paraId="639472BC">
      <w:pPr>
        <w:pStyle w:val="14"/>
        <w:numPr>
          <w:ilvl w:val="0"/>
          <w:numId w:val="17"/>
        </w:numPr>
        <w:overflowPunct w:val="0"/>
        <w:adjustRightInd w:val="0"/>
        <w:snapToGrid w:val="0"/>
        <w:spacing w:line="300" w:lineRule="auto"/>
        <w:ind w:left="1259" w:firstLineChars="0"/>
        <w:rPr>
          <w:rFonts w:ascii="Arial" w:hAnsi="Arial" w:eastAsia="宋体" w:cs="Arial"/>
          <w:i/>
          <w:sz w:val="24"/>
          <w:szCs w:val="24"/>
        </w:rPr>
      </w:pPr>
      <w:r>
        <w:rPr>
          <w:rFonts w:ascii="Arial" w:hAnsi="Arial" w:eastAsia="宋体" w:cs="Arial"/>
          <w:i/>
          <w:sz w:val="24"/>
          <w:szCs w:val="24"/>
        </w:rPr>
        <w:t>治疗选择/监测</w:t>
      </w:r>
    </w:p>
    <w:p w14:paraId="5102718F">
      <w:pPr>
        <w:pStyle w:val="14"/>
        <w:numPr>
          <w:ilvl w:val="0"/>
          <w:numId w:val="17"/>
        </w:numPr>
        <w:overflowPunct w:val="0"/>
        <w:adjustRightInd w:val="0"/>
        <w:snapToGrid w:val="0"/>
        <w:spacing w:after="156" w:afterLines="50" w:line="300" w:lineRule="auto"/>
        <w:ind w:firstLineChars="0"/>
        <w:rPr>
          <w:rFonts w:ascii="Arial" w:hAnsi="Arial" w:eastAsia="宋体" w:cs="Arial"/>
          <w:i/>
          <w:sz w:val="24"/>
          <w:szCs w:val="24"/>
        </w:rPr>
      </w:pPr>
      <w:r>
        <w:rPr>
          <w:rFonts w:ascii="Arial" w:hAnsi="Arial" w:eastAsia="宋体" w:cs="Arial"/>
          <w:i/>
          <w:sz w:val="24"/>
          <w:szCs w:val="24"/>
        </w:rPr>
        <w:t>其他</w:t>
      </w:r>
    </w:p>
    <w:p w14:paraId="65CB5DED">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7. 测量或检测（如被分析物、被测物理量）的是什么？</w:t>
      </w:r>
    </w:p>
    <w:p w14:paraId="45DF4B47">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明确该检测所测量的被分析物或检测的微生物。</w:t>
      </w:r>
    </w:p>
    <w:p w14:paraId="2257B823">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8. 诊断性器械适用的疾病/症状</w:t>
      </w:r>
    </w:p>
    <w:p w14:paraId="1A3FEC49">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明确该检测适用的疾病或症状类型（如心血管疾病、糖尿病、乳腺癌等）。</w:t>
      </w:r>
    </w:p>
    <w:p w14:paraId="215870A2">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9. 患者人群</w:t>
      </w:r>
    </w:p>
    <w:p w14:paraId="58E5AE99">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提供检测适应患者人群的简要描述。</w:t>
      </w:r>
    </w:p>
    <w:p w14:paraId="7E6802D0">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示例：罹患II型糖尿病高风险的患者。</w:t>
      </w:r>
    </w:p>
    <w:p w14:paraId="7740E097">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10. 患者人群是否包括儿童患者？（&lt;21岁）</w:t>
      </w:r>
    </w:p>
    <w:p w14:paraId="0EF50AF4">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明确LDT是否适用于21岁及以下的患者。</w:t>
      </w:r>
    </w:p>
    <w:p w14:paraId="69B1DD1F">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11. 样本类型</w:t>
      </w:r>
    </w:p>
    <w:p w14:paraId="677CEE16">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明确该检测所使用的所有样本类型。</w:t>
      </w:r>
      <w:bookmarkStart w:id="68" w:name="OLE_LINK59"/>
      <w:r>
        <w:rPr>
          <w:rFonts w:ascii="Arial" w:hAnsi="Arial" w:eastAsia="宋体" w:cs="Arial"/>
          <w:sz w:val="24"/>
          <w:szCs w:val="24"/>
        </w:rPr>
        <w:t>请注意一项检测可能使用多种样本类型。如果选择</w:t>
      </w:r>
      <w:r>
        <w:rPr>
          <w:rFonts w:ascii="宋体" w:hAnsi="宋体" w:eastAsia="宋体" w:cs="Arial"/>
          <w:sz w:val="24"/>
          <w:szCs w:val="24"/>
        </w:rPr>
        <w:t>“</w:t>
      </w:r>
      <w:r>
        <w:rPr>
          <w:rFonts w:ascii="Arial" w:hAnsi="Arial" w:eastAsia="宋体" w:cs="Arial"/>
          <w:sz w:val="24"/>
          <w:szCs w:val="24"/>
        </w:rPr>
        <w:t>其他</w:t>
      </w:r>
      <w:r>
        <w:rPr>
          <w:rFonts w:ascii="宋体" w:hAnsi="宋体" w:eastAsia="宋体" w:cs="Arial"/>
          <w:sz w:val="24"/>
          <w:szCs w:val="24"/>
        </w:rPr>
        <w:t>”</w:t>
      </w:r>
      <w:r>
        <w:rPr>
          <w:rFonts w:ascii="Arial" w:hAnsi="Arial" w:eastAsia="宋体" w:cs="Arial"/>
          <w:sz w:val="24"/>
          <w:szCs w:val="24"/>
        </w:rPr>
        <w:t>请注明检测使用的样本类型。</w:t>
      </w:r>
      <w:bookmarkEnd w:id="68"/>
    </w:p>
    <w:p w14:paraId="3EC6BD8D">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选项：</w:t>
      </w:r>
    </w:p>
    <w:p w14:paraId="696291DA">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血清</w:t>
      </w:r>
    </w:p>
    <w:p w14:paraId="05824AEA">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血浆</w:t>
      </w:r>
    </w:p>
    <w:p w14:paraId="7280AA01">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尿</w:t>
      </w:r>
    </w:p>
    <w:p w14:paraId="4D06CEA4">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全血</w:t>
      </w:r>
    </w:p>
    <w:p w14:paraId="1932412C">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脑脊液（CSF）</w:t>
      </w:r>
    </w:p>
    <w:p w14:paraId="37FAF56C">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骨髓</w:t>
      </w:r>
    </w:p>
    <w:p w14:paraId="31A6122B">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组织</w:t>
      </w:r>
    </w:p>
    <w:p w14:paraId="4B13BE9B">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微生物培养</w:t>
      </w:r>
    </w:p>
    <w:p w14:paraId="4F8428FC">
      <w:pPr>
        <w:pStyle w:val="14"/>
        <w:numPr>
          <w:ilvl w:val="0"/>
          <w:numId w:val="18"/>
        </w:numPr>
        <w:overflowPunct w:val="0"/>
        <w:adjustRightInd w:val="0"/>
        <w:snapToGrid w:val="0"/>
        <w:spacing w:after="156" w:afterLines="50" w:line="300" w:lineRule="auto"/>
        <w:ind w:left="840" w:leftChars="400" w:firstLineChars="0"/>
        <w:rPr>
          <w:rFonts w:ascii="Arial" w:hAnsi="Arial" w:eastAsia="宋体" w:cs="Arial"/>
          <w:sz w:val="24"/>
          <w:szCs w:val="24"/>
        </w:rPr>
      </w:pPr>
      <w:r>
        <w:rPr>
          <w:rFonts w:ascii="Arial" w:hAnsi="Arial" w:eastAsia="宋体" w:cs="Arial"/>
          <w:sz w:val="24"/>
          <w:szCs w:val="24"/>
        </w:rPr>
        <w:t>其他</w:t>
      </w:r>
    </w:p>
    <w:p w14:paraId="1C251BDF">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12. 检测方法</w:t>
      </w:r>
    </w:p>
    <w:p w14:paraId="56AB090F">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明确检测使用的所有检测方法。请注意一项检测可能使用多种检测方法。</w:t>
      </w:r>
      <w:bookmarkStart w:id="69" w:name="OLE_LINK60"/>
      <w:r>
        <w:rPr>
          <w:rFonts w:ascii="Arial" w:hAnsi="Arial" w:eastAsia="宋体" w:cs="Arial"/>
          <w:sz w:val="24"/>
          <w:szCs w:val="24"/>
        </w:rPr>
        <w:t>如果选择</w:t>
      </w:r>
      <w:r>
        <w:rPr>
          <w:rFonts w:ascii="宋体" w:hAnsi="宋体" w:eastAsia="宋体" w:cs="Arial"/>
          <w:sz w:val="24"/>
          <w:szCs w:val="24"/>
        </w:rPr>
        <w:t>“</w:t>
      </w:r>
      <w:r>
        <w:rPr>
          <w:rFonts w:ascii="Arial" w:hAnsi="Arial" w:eastAsia="宋体" w:cs="Arial"/>
          <w:sz w:val="24"/>
          <w:szCs w:val="24"/>
        </w:rPr>
        <w:t>其他</w:t>
      </w:r>
      <w:r>
        <w:rPr>
          <w:rFonts w:ascii="宋体" w:hAnsi="宋体" w:eastAsia="宋体" w:cs="Arial"/>
          <w:sz w:val="24"/>
          <w:szCs w:val="24"/>
        </w:rPr>
        <w:t>”</w:t>
      </w:r>
      <w:r>
        <w:rPr>
          <w:rFonts w:ascii="Arial" w:hAnsi="Arial" w:eastAsia="宋体" w:cs="Arial"/>
          <w:sz w:val="24"/>
          <w:szCs w:val="24"/>
        </w:rPr>
        <w:t>请注明检测使用的检测方法。</w:t>
      </w:r>
    </w:p>
    <w:bookmarkEnd w:id="69"/>
    <w:p w14:paraId="7A87767D">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选项：</w:t>
      </w:r>
    </w:p>
    <w:p w14:paraId="39D984C8">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血清学</w:t>
      </w:r>
    </w:p>
    <w:p w14:paraId="68C7D1BB">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流细胞计数法</w:t>
      </w:r>
    </w:p>
    <w:p w14:paraId="54C5F469">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荧光原位杂交（FISH）</w:t>
      </w:r>
    </w:p>
    <w:p w14:paraId="493E3530">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基因分型/核酸检测法（人类）</w:t>
      </w:r>
    </w:p>
    <w:p w14:paraId="728B527E">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免疫组织生化（IHC）</w:t>
      </w:r>
    </w:p>
    <w:p w14:paraId="65E8A6BB">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免疫测定</w:t>
      </w:r>
    </w:p>
    <w:p w14:paraId="2951309F">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质谱测定</w:t>
      </w:r>
    </w:p>
    <w:p w14:paraId="2AC311B0">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微阵列（如基因分型、蛋白质组学、微阵列比较基因组杂交等）</w:t>
      </w:r>
    </w:p>
    <w:p w14:paraId="188A632F">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用于微生物检测的核酸扩增检测（NAAT）</w:t>
      </w:r>
    </w:p>
    <w:p w14:paraId="100BB82D">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高效液相层析法（HPLC）</w:t>
      </w:r>
    </w:p>
    <w:p w14:paraId="2CA54F5F">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聚合酶链反应（PCR）</w:t>
      </w:r>
    </w:p>
    <w:p w14:paraId="5CE2ABC1">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DNA测序</w:t>
      </w:r>
    </w:p>
    <w:p w14:paraId="7EE3E673">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其他</w:t>
      </w:r>
    </w:p>
    <w:p w14:paraId="080CB3BB">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13. 该检测是否为FDA已经批准/审批的检测的修改？</w:t>
      </w:r>
    </w:p>
    <w:p w14:paraId="6A57BA6A">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请明确该IVD是否为FDA已经批准/审批的检测通过某种方式修改，从而影响器械性能或预期用途。</w:t>
      </w:r>
    </w:p>
    <w:p w14:paraId="4297582A">
      <w:pPr>
        <w:overflowPunct w:val="0"/>
        <w:adjustRightInd w:val="0"/>
        <w:snapToGrid w:val="0"/>
        <w:spacing w:after="156" w:afterLines="50" w:line="300" w:lineRule="auto"/>
        <w:rPr>
          <w:rFonts w:ascii="Arial" w:hAnsi="Arial" w:eastAsia="宋体" w:cs="Arial"/>
          <w:b/>
          <w:sz w:val="24"/>
          <w:szCs w:val="24"/>
        </w:rPr>
      </w:pPr>
      <w:r>
        <w:rPr>
          <w:rFonts w:ascii="Arial" w:hAnsi="Arial" w:eastAsia="宋体" w:cs="Arial"/>
          <w:b/>
          <w:sz w:val="24"/>
          <w:szCs w:val="24"/>
        </w:rPr>
        <w:t>14. 如果该检测为FDA已经批准/审批的检测的修改，则做出了哪些修改？</w:t>
      </w:r>
    </w:p>
    <w:p w14:paraId="431E0D10">
      <w:pPr>
        <w:overflowPunct w:val="0"/>
        <w:adjustRightInd w:val="0"/>
        <w:snapToGrid w:val="0"/>
        <w:spacing w:after="156" w:afterLines="50" w:line="300" w:lineRule="auto"/>
        <w:ind w:left="420" w:leftChars="200"/>
        <w:rPr>
          <w:rFonts w:ascii="Arial" w:hAnsi="Arial" w:eastAsia="宋体" w:cs="Arial"/>
          <w:sz w:val="24"/>
          <w:szCs w:val="24"/>
        </w:rPr>
      </w:pPr>
      <w:r>
        <w:rPr>
          <w:rFonts w:ascii="Arial" w:hAnsi="Arial" w:eastAsia="宋体" w:cs="Arial"/>
          <w:sz w:val="24"/>
          <w:szCs w:val="24"/>
        </w:rPr>
        <w:t>如果该IVD为FDA已经批准/审批的检测通过某种方式修改后的检测，且修改影响了器械性能或预期用途，则请指明该FDA已经批准/审批的检测进行了哪些修改。请指出所有适用的选项。如果选择</w:t>
      </w:r>
      <w:r>
        <w:rPr>
          <w:rFonts w:ascii="宋体" w:hAnsi="宋体" w:eastAsia="宋体" w:cs="Arial"/>
          <w:sz w:val="24"/>
          <w:szCs w:val="24"/>
        </w:rPr>
        <w:t>“</w:t>
      </w:r>
      <w:r>
        <w:rPr>
          <w:rFonts w:ascii="Arial" w:hAnsi="Arial" w:eastAsia="宋体" w:cs="Arial"/>
          <w:sz w:val="24"/>
          <w:szCs w:val="24"/>
        </w:rPr>
        <w:t>其他</w:t>
      </w:r>
      <w:r>
        <w:rPr>
          <w:rFonts w:ascii="宋体" w:hAnsi="宋体" w:eastAsia="宋体" w:cs="Arial"/>
          <w:sz w:val="24"/>
          <w:szCs w:val="24"/>
        </w:rPr>
        <w:t>”</w:t>
      </w:r>
      <w:r>
        <w:rPr>
          <w:rFonts w:ascii="Arial" w:hAnsi="Arial" w:eastAsia="宋体" w:cs="Arial"/>
          <w:sz w:val="24"/>
          <w:szCs w:val="24"/>
        </w:rPr>
        <w:t>请简要描述该修改。</w:t>
      </w:r>
    </w:p>
    <w:p w14:paraId="72E7F56D">
      <w:pPr>
        <w:overflowPunct w:val="0"/>
        <w:adjustRightInd w:val="0"/>
        <w:snapToGrid w:val="0"/>
        <w:spacing w:after="156" w:afterLines="50" w:line="300" w:lineRule="auto"/>
        <w:rPr>
          <w:rFonts w:ascii="Arial" w:hAnsi="Arial" w:eastAsia="宋体" w:cs="Arial"/>
          <w:sz w:val="24"/>
          <w:szCs w:val="24"/>
        </w:rPr>
      </w:pPr>
      <w:r>
        <w:rPr>
          <w:rFonts w:ascii="Arial" w:hAnsi="Arial" w:eastAsia="宋体" w:cs="Arial"/>
          <w:sz w:val="24"/>
          <w:szCs w:val="24"/>
        </w:rPr>
        <w:t>选项：</w:t>
      </w:r>
    </w:p>
    <w:p w14:paraId="47BF55E7">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预期用途变更</w:t>
      </w:r>
    </w:p>
    <w:p w14:paraId="124F49C6">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器械变更</w:t>
      </w:r>
    </w:p>
    <w:p w14:paraId="06CDF604">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流程变更</w:t>
      </w:r>
    </w:p>
    <w:p w14:paraId="2663BD10">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软件修改</w:t>
      </w:r>
    </w:p>
    <w:p w14:paraId="5B58DED6">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样本/标本类型变更</w:t>
      </w:r>
    </w:p>
    <w:p w14:paraId="7B699147">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结果解释报告变更</w:t>
      </w:r>
    </w:p>
    <w:p w14:paraId="1BF75352">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关键阵列组成部分变更</w:t>
      </w:r>
    </w:p>
    <w:p w14:paraId="7A443472">
      <w:pPr>
        <w:pStyle w:val="14"/>
        <w:numPr>
          <w:ilvl w:val="0"/>
          <w:numId w:val="18"/>
        </w:numPr>
        <w:overflowPunct w:val="0"/>
        <w:adjustRightInd w:val="0"/>
        <w:snapToGrid w:val="0"/>
        <w:spacing w:line="300" w:lineRule="auto"/>
        <w:ind w:left="840" w:leftChars="400" w:firstLineChars="0"/>
        <w:rPr>
          <w:rFonts w:ascii="Arial" w:hAnsi="Arial" w:eastAsia="宋体" w:cs="Arial"/>
          <w:sz w:val="24"/>
          <w:szCs w:val="24"/>
        </w:rPr>
      </w:pPr>
      <w:r>
        <w:rPr>
          <w:rFonts w:ascii="Arial" w:hAnsi="Arial" w:eastAsia="宋体" w:cs="Arial"/>
          <w:sz w:val="24"/>
          <w:szCs w:val="24"/>
        </w:rPr>
        <w:t>其他</w:t>
      </w:r>
    </w:p>
    <w:p w14:paraId="259CFA71">
      <w:pPr>
        <w:widowControl/>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br w:type="page"/>
      </w:r>
    </w:p>
    <w:p w14:paraId="124092CD">
      <w:pPr>
        <w:overflowPunct w:val="0"/>
        <w:adjustRightInd w:val="0"/>
        <w:snapToGrid w:val="0"/>
        <w:spacing w:after="156" w:afterLines="50" w:line="300" w:lineRule="auto"/>
        <w:jc w:val="center"/>
        <w:outlineLvl w:val="0"/>
        <w:rPr>
          <w:rFonts w:ascii="Arial" w:hAnsi="Arial" w:eastAsia="宋体" w:cs="Arial"/>
          <w:b/>
          <w:sz w:val="36"/>
          <w:szCs w:val="36"/>
        </w:rPr>
      </w:pPr>
      <w:bookmarkStart w:id="70" w:name="_Toc498010393"/>
      <w:r>
        <w:rPr>
          <w:rFonts w:ascii="Arial" w:hAnsi="Arial" w:eastAsia="宋体" w:cs="Arial"/>
          <w:b/>
          <w:sz w:val="36"/>
          <w:szCs w:val="36"/>
        </w:rPr>
        <w:t>附录B：不良事件报告要求</w:t>
      </w:r>
      <w:bookmarkEnd w:id="70"/>
    </w:p>
    <w:tbl>
      <w:tblPr>
        <w:tblStyle w:val="10"/>
        <w:tblW w:w="9939" w:type="dxa"/>
        <w:tblInd w:w="-7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6"/>
        <w:gridCol w:w="2058"/>
        <w:gridCol w:w="1988"/>
        <w:gridCol w:w="2113"/>
        <w:gridCol w:w="2114"/>
      </w:tblGrid>
      <w:tr w14:paraId="2DAE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tcPr>
          <w:p w14:paraId="524C7C77">
            <w:pPr>
              <w:overflowPunct w:val="0"/>
              <w:adjustRightInd w:val="0"/>
              <w:snapToGrid w:val="0"/>
              <w:spacing w:before="156" w:beforeLines="50" w:after="156" w:afterLines="50" w:line="300" w:lineRule="auto"/>
              <w:ind w:left="42" w:leftChars="20" w:right="42" w:rightChars="20"/>
              <w:rPr>
                <w:rFonts w:ascii="Arial" w:hAnsi="Arial" w:eastAsia="宋体" w:cs="Arial"/>
                <w:szCs w:val="21"/>
              </w:rPr>
            </w:pPr>
          </w:p>
        </w:tc>
        <w:tc>
          <w:tcPr>
            <w:tcW w:w="2058" w:type="dxa"/>
          </w:tcPr>
          <w:p w14:paraId="5B4FD1B2">
            <w:pPr>
              <w:overflowPunct w:val="0"/>
              <w:adjustRightInd w:val="0"/>
              <w:snapToGrid w:val="0"/>
              <w:spacing w:before="156" w:beforeLines="50" w:after="156" w:afterLines="50" w:line="300" w:lineRule="auto"/>
              <w:ind w:left="42" w:leftChars="20" w:right="42" w:rightChars="20"/>
              <w:rPr>
                <w:rFonts w:ascii="Arial" w:hAnsi="Arial" w:eastAsia="宋体" w:cs="Arial"/>
                <w:b/>
                <w:szCs w:val="21"/>
              </w:rPr>
            </w:pPr>
            <w:r>
              <w:rPr>
                <w:rFonts w:ascii="Arial" w:hAnsi="Arial" w:eastAsia="宋体" w:cs="Arial"/>
                <w:b/>
                <w:szCs w:val="21"/>
              </w:rPr>
              <w:t>相关不良事件必须报告的器械类型</w:t>
            </w:r>
          </w:p>
        </w:tc>
        <w:tc>
          <w:tcPr>
            <w:tcW w:w="1988" w:type="dxa"/>
          </w:tcPr>
          <w:p w14:paraId="202C8C28">
            <w:pPr>
              <w:overflowPunct w:val="0"/>
              <w:adjustRightInd w:val="0"/>
              <w:snapToGrid w:val="0"/>
              <w:spacing w:before="156" w:beforeLines="50" w:after="156" w:afterLines="50" w:line="300" w:lineRule="auto"/>
              <w:ind w:left="42" w:leftChars="20" w:right="42" w:rightChars="20"/>
              <w:rPr>
                <w:rFonts w:ascii="Arial" w:hAnsi="Arial" w:eastAsia="宋体" w:cs="Arial"/>
                <w:b/>
                <w:szCs w:val="21"/>
              </w:rPr>
            </w:pPr>
            <w:r>
              <w:rPr>
                <w:rFonts w:ascii="Arial" w:hAnsi="Arial" w:eastAsia="宋体" w:cs="Arial"/>
                <w:b/>
                <w:szCs w:val="21"/>
              </w:rPr>
              <w:t>报告副本接收人</w:t>
            </w:r>
          </w:p>
        </w:tc>
        <w:tc>
          <w:tcPr>
            <w:tcW w:w="2113" w:type="dxa"/>
          </w:tcPr>
          <w:p w14:paraId="6809A2FC">
            <w:pPr>
              <w:overflowPunct w:val="0"/>
              <w:adjustRightInd w:val="0"/>
              <w:snapToGrid w:val="0"/>
              <w:spacing w:before="156" w:beforeLines="50" w:after="156" w:afterLines="50" w:line="300" w:lineRule="auto"/>
              <w:ind w:left="42" w:leftChars="20" w:right="42" w:rightChars="20"/>
              <w:rPr>
                <w:rFonts w:ascii="Arial" w:hAnsi="Arial" w:eastAsia="宋体" w:cs="Arial"/>
                <w:b/>
                <w:szCs w:val="21"/>
              </w:rPr>
            </w:pPr>
            <w:r>
              <w:rPr>
                <w:rFonts w:ascii="Arial" w:hAnsi="Arial" w:eastAsia="宋体" w:cs="Arial"/>
                <w:b/>
                <w:szCs w:val="21"/>
              </w:rPr>
              <w:t>不良事件报告的时间框架</w:t>
            </w:r>
          </w:p>
        </w:tc>
        <w:tc>
          <w:tcPr>
            <w:tcW w:w="2114" w:type="dxa"/>
          </w:tcPr>
          <w:p w14:paraId="54BE9030">
            <w:pPr>
              <w:overflowPunct w:val="0"/>
              <w:adjustRightInd w:val="0"/>
              <w:snapToGrid w:val="0"/>
              <w:spacing w:before="156" w:beforeLines="50" w:after="156" w:afterLines="50" w:line="300" w:lineRule="auto"/>
              <w:ind w:left="42" w:leftChars="20" w:right="42" w:rightChars="20"/>
              <w:rPr>
                <w:rFonts w:ascii="Arial" w:hAnsi="Arial" w:eastAsia="宋体" w:cs="Arial"/>
                <w:b/>
                <w:szCs w:val="21"/>
              </w:rPr>
            </w:pPr>
            <w:r>
              <w:rPr>
                <w:rFonts w:ascii="Arial" w:hAnsi="Arial" w:eastAsia="宋体" w:cs="Arial"/>
                <w:b/>
                <w:szCs w:val="21"/>
              </w:rPr>
              <w:t>MedWatch 3500A表格必须完成的部分</w:t>
            </w:r>
          </w:p>
        </w:tc>
      </w:tr>
      <w:tr w14:paraId="62A5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restart"/>
          </w:tcPr>
          <w:p w14:paraId="146C4A6B">
            <w:pPr>
              <w:overflowPunct w:val="0"/>
              <w:adjustRightInd w:val="0"/>
              <w:snapToGrid w:val="0"/>
              <w:spacing w:before="156" w:beforeLines="50" w:after="156" w:afterLines="50" w:line="300" w:lineRule="auto"/>
              <w:ind w:left="42" w:leftChars="20" w:right="42" w:rightChars="20"/>
              <w:rPr>
                <w:rFonts w:ascii="Arial" w:hAnsi="Arial" w:eastAsia="宋体" w:cs="Arial"/>
                <w:b/>
                <w:szCs w:val="21"/>
              </w:rPr>
            </w:pPr>
            <w:bookmarkStart w:id="71" w:name="_Hlk497578069"/>
            <w:r>
              <w:rPr>
                <w:rFonts w:ascii="Arial" w:hAnsi="Arial" w:eastAsia="宋体" w:cs="Arial"/>
                <w:b/>
                <w:szCs w:val="21"/>
              </w:rPr>
              <w:t>1. 您的临床实验室生产的LDT，即作为LDT制造商的报告。</w:t>
            </w:r>
          </w:p>
        </w:tc>
        <w:tc>
          <w:tcPr>
            <w:tcW w:w="2058" w:type="dxa"/>
          </w:tcPr>
          <w:p w14:paraId="196F9BA7">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死亡（21 CFR 803.50）</w:t>
            </w:r>
          </w:p>
        </w:tc>
        <w:tc>
          <w:tcPr>
            <w:tcW w:w="1988" w:type="dxa"/>
          </w:tcPr>
          <w:p w14:paraId="69B312A8">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FDA</w:t>
            </w:r>
          </w:p>
        </w:tc>
        <w:tc>
          <w:tcPr>
            <w:tcW w:w="2113" w:type="dxa"/>
          </w:tcPr>
          <w:p w14:paraId="15DFB1B1">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在知晓该事件后的30个自然日内。</w:t>
            </w:r>
          </w:p>
        </w:tc>
        <w:tc>
          <w:tcPr>
            <w:tcW w:w="2114" w:type="dxa"/>
            <w:vMerge w:val="restart"/>
          </w:tcPr>
          <w:p w14:paraId="41B0940A">
            <w:pPr>
              <w:overflowPunct w:val="0"/>
              <w:adjustRightInd w:val="0"/>
              <w:snapToGrid w:val="0"/>
              <w:spacing w:before="156" w:beforeLines="50" w:after="156" w:afterLines="50" w:line="300" w:lineRule="auto"/>
              <w:ind w:left="42" w:leftChars="20" w:right="42" w:rightChars="20"/>
              <w:rPr>
                <w:rFonts w:ascii="Arial" w:hAnsi="Arial" w:eastAsia="宋体" w:cs="Arial"/>
                <w:szCs w:val="21"/>
              </w:rPr>
            </w:pPr>
            <w:r>
              <w:rPr>
                <w:rFonts w:ascii="Arial" w:hAnsi="Arial" w:eastAsia="宋体" w:cs="Arial"/>
                <w:szCs w:val="21"/>
              </w:rPr>
              <w:t>所有报告：</w:t>
            </w:r>
          </w:p>
          <w:p w14:paraId="2E2C1B13">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A.患者信息；</w:t>
            </w:r>
          </w:p>
          <w:p w14:paraId="6D1780C4">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B.不良事件或产品问题（跳过章节C）</w:t>
            </w:r>
          </w:p>
          <w:p w14:paraId="39B3C961">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D.疑似医疗器械；</w:t>
            </w:r>
          </w:p>
          <w:p w14:paraId="4141508D">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E.初始报告人；</w:t>
            </w:r>
          </w:p>
          <w:p w14:paraId="01BC018D">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G. 所有制造商；和</w:t>
            </w:r>
          </w:p>
          <w:p w14:paraId="249426E9">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H. 仅医疗器械制造商。</w:t>
            </w:r>
          </w:p>
        </w:tc>
      </w:tr>
      <w:bookmarkEnd w:id="71"/>
      <w:tr w14:paraId="7230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Pr>
          <w:p w14:paraId="02D2402B">
            <w:pPr>
              <w:overflowPunct w:val="0"/>
              <w:adjustRightInd w:val="0"/>
              <w:snapToGrid w:val="0"/>
              <w:spacing w:before="156" w:beforeLines="50" w:after="156" w:afterLines="50" w:line="300" w:lineRule="auto"/>
              <w:ind w:left="42" w:leftChars="20" w:right="42" w:rightChars="20"/>
              <w:rPr>
                <w:rFonts w:ascii="Arial" w:hAnsi="Arial" w:eastAsia="宋体" w:cs="Arial"/>
                <w:szCs w:val="21"/>
              </w:rPr>
            </w:pPr>
          </w:p>
        </w:tc>
        <w:tc>
          <w:tcPr>
            <w:tcW w:w="2058" w:type="dxa"/>
          </w:tcPr>
          <w:p w14:paraId="56F46732">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严重损伤（21 CFR 803.50）</w:t>
            </w:r>
          </w:p>
        </w:tc>
        <w:tc>
          <w:tcPr>
            <w:tcW w:w="1988" w:type="dxa"/>
          </w:tcPr>
          <w:p w14:paraId="7927BE22">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FDA</w:t>
            </w:r>
          </w:p>
        </w:tc>
        <w:tc>
          <w:tcPr>
            <w:tcW w:w="2113" w:type="dxa"/>
          </w:tcPr>
          <w:p w14:paraId="04B60E73">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在知晓该事件后的30个自然日内。</w:t>
            </w:r>
          </w:p>
        </w:tc>
        <w:tc>
          <w:tcPr>
            <w:tcW w:w="2114" w:type="dxa"/>
            <w:vMerge w:val="continue"/>
          </w:tcPr>
          <w:p w14:paraId="5754FB10">
            <w:pPr>
              <w:overflowPunct w:val="0"/>
              <w:adjustRightInd w:val="0"/>
              <w:snapToGrid w:val="0"/>
              <w:spacing w:before="156" w:beforeLines="50" w:after="156" w:afterLines="50" w:line="300" w:lineRule="auto"/>
              <w:ind w:left="42" w:leftChars="20" w:right="42" w:rightChars="20"/>
              <w:rPr>
                <w:rFonts w:ascii="Arial" w:hAnsi="Arial" w:eastAsia="宋体" w:cs="Arial"/>
                <w:szCs w:val="21"/>
              </w:rPr>
            </w:pPr>
          </w:p>
        </w:tc>
      </w:tr>
      <w:tr w14:paraId="7058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Pr>
          <w:p w14:paraId="478D68C7">
            <w:pPr>
              <w:overflowPunct w:val="0"/>
              <w:adjustRightInd w:val="0"/>
              <w:snapToGrid w:val="0"/>
              <w:spacing w:before="156" w:beforeLines="50" w:after="156" w:afterLines="50" w:line="300" w:lineRule="auto"/>
              <w:ind w:left="42" w:leftChars="20" w:right="42" w:rightChars="20"/>
              <w:rPr>
                <w:rFonts w:ascii="Arial" w:hAnsi="Arial" w:eastAsia="宋体" w:cs="Arial"/>
                <w:szCs w:val="21"/>
              </w:rPr>
            </w:pPr>
          </w:p>
        </w:tc>
        <w:tc>
          <w:tcPr>
            <w:tcW w:w="2058" w:type="dxa"/>
          </w:tcPr>
          <w:p w14:paraId="16F9825F">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功能异常（21 CFR 803.50）</w:t>
            </w:r>
          </w:p>
        </w:tc>
        <w:tc>
          <w:tcPr>
            <w:tcW w:w="1988" w:type="dxa"/>
          </w:tcPr>
          <w:p w14:paraId="7D0B3573">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FDA</w:t>
            </w:r>
          </w:p>
        </w:tc>
        <w:tc>
          <w:tcPr>
            <w:tcW w:w="2113" w:type="dxa"/>
          </w:tcPr>
          <w:p w14:paraId="320E6CCC">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在知晓该事件后的30个自然日内。</w:t>
            </w:r>
          </w:p>
        </w:tc>
        <w:tc>
          <w:tcPr>
            <w:tcW w:w="2114" w:type="dxa"/>
            <w:vMerge w:val="continue"/>
          </w:tcPr>
          <w:p w14:paraId="6E7096DD">
            <w:pPr>
              <w:overflowPunct w:val="0"/>
              <w:adjustRightInd w:val="0"/>
              <w:snapToGrid w:val="0"/>
              <w:spacing w:before="156" w:beforeLines="50" w:after="156" w:afterLines="50" w:line="300" w:lineRule="auto"/>
              <w:ind w:left="42" w:leftChars="20" w:right="42" w:rightChars="20"/>
              <w:rPr>
                <w:rFonts w:ascii="Arial" w:hAnsi="Arial" w:eastAsia="宋体" w:cs="Arial"/>
                <w:szCs w:val="21"/>
              </w:rPr>
            </w:pPr>
          </w:p>
        </w:tc>
      </w:tr>
      <w:tr w14:paraId="4EF9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Pr>
          <w:p w14:paraId="0EDD82C0">
            <w:pPr>
              <w:overflowPunct w:val="0"/>
              <w:adjustRightInd w:val="0"/>
              <w:snapToGrid w:val="0"/>
              <w:spacing w:before="156" w:beforeLines="50" w:after="156" w:afterLines="50" w:line="300" w:lineRule="auto"/>
              <w:ind w:left="42" w:leftChars="20" w:right="42" w:rightChars="20"/>
              <w:rPr>
                <w:rFonts w:ascii="Arial" w:hAnsi="Arial" w:eastAsia="宋体" w:cs="Arial"/>
                <w:szCs w:val="21"/>
              </w:rPr>
            </w:pPr>
          </w:p>
        </w:tc>
        <w:tc>
          <w:tcPr>
            <w:tcW w:w="2058" w:type="dxa"/>
          </w:tcPr>
          <w:p w14:paraId="62EDACEE">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为了防止对公众健康造成实质性损害的风险或在FDA的要求下采取的纠正措施。（21 CFR 803.30）</w:t>
            </w:r>
          </w:p>
        </w:tc>
        <w:tc>
          <w:tcPr>
            <w:tcW w:w="1988" w:type="dxa"/>
          </w:tcPr>
          <w:p w14:paraId="5310149B">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FDA</w:t>
            </w:r>
          </w:p>
        </w:tc>
        <w:tc>
          <w:tcPr>
            <w:tcW w:w="2113" w:type="dxa"/>
          </w:tcPr>
          <w:p w14:paraId="2AF35899">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通过任何途径知晓需要采取补救的需求后的5个工作日内，包括趋势分析，或接受来自FDA的5日报告要求。</w:t>
            </w:r>
          </w:p>
        </w:tc>
        <w:tc>
          <w:tcPr>
            <w:tcW w:w="2114" w:type="dxa"/>
            <w:vMerge w:val="continue"/>
          </w:tcPr>
          <w:p w14:paraId="549ABAB3">
            <w:pPr>
              <w:overflowPunct w:val="0"/>
              <w:adjustRightInd w:val="0"/>
              <w:snapToGrid w:val="0"/>
              <w:spacing w:before="156" w:beforeLines="50" w:after="156" w:afterLines="50" w:line="300" w:lineRule="auto"/>
              <w:ind w:left="42" w:leftChars="20" w:right="42" w:rightChars="20"/>
              <w:rPr>
                <w:rFonts w:ascii="Arial" w:hAnsi="Arial" w:eastAsia="宋体" w:cs="Arial"/>
                <w:szCs w:val="21"/>
              </w:rPr>
            </w:pPr>
          </w:p>
        </w:tc>
      </w:tr>
      <w:tr w14:paraId="4A39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restart"/>
          </w:tcPr>
          <w:p w14:paraId="4CE7858F">
            <w:pPr>
              <w:overflowPunct w:val="0"/>
              <w:adjustRightInd w:val="0"/>
              <w:snapToGrid w:val="0"/>
              <w:spacing w:before="156" w:beforeLines="50" w:after="156" w:afterLines="50" w:line="300" w:lineRule="auto"/>
              <w:ind w:left="42" w:leftChars="20" w:right="42" w:rightChars="20"/>
              <w:rPr>
                <w:rFonts w:ascii="Arial" w:hAnsi="Arial" w:eastAsia="宋体" w:cs="Arial"/>
                <w:b/>
                <w:szCs w:val="21"/>
              </w:rPr>
            </w:pPr>
            <w:r>
              <w:rPr>
                <w:rFonts w:ascii="Arial" w:hAnsi="Arial" w:eastAsia="宋体" w:cs="Arial"/>
                <w:b/>
                <w:szCs w:val="21"/>
              </w:rPr>
              <w:t>2. 医疗器械并非为您的临床实验室生产的LDT，即仅作为医疗器械使用机构报告。如果您同时作为医疗器械使用机构和制造商报告，则您必须同时满足本部分的要求和本表格第1部分列出的要求。</w:t>
            </w:r>
          </w:p>
        </w:tc>
        <w:tc>
          <w:tcPr>
            <w:tcW w:w="2058" w:type="dxa"/>
          </w:tcPr>
          <w:p w14:paraId="68FB9BEF">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死亡（21 CFR 803.50）</w:t>
            </w:r>
          </w:p>
        </w:tc>
        <w:tc>
          <w:tcPr>
            <w:tcW w:w="1988" w:type="dxa"/>
          </w:tcPr>
          <w:p w14:paraId="179A09A0">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FDA和</w:t>
            </w:r>
          </w:p>
          <w:p w14:paraId="0B7004E3">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器械制造商</w:t>
            </w:r>
          </w:p>
        </w:tc>
        <w:tc>
          <w:tcPr>
            <w:tcW w:w="2113" w:type="dxa"/>
          </w:tcPr>
          <w:p w14:paraId="6378300F">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在知晓该事件后的10个工作日内。</w:t>
            </w:r>
          </w:p>
        </w:tc>
        <w:tc>
          <w:tcPr>
            <w:tcW w:w="2114" w:type="dxa"/>
            <w:vMerge w:val="restart"/>
          </w:tcPr>
          <w:p w14:paraId="14D8A71D">
            <w:pPr>
              <w:overflowPunct w:val="0"/>
              <w:adjustRightInd w:val="0"/>
              <w:snapToGrid w:val="0"/>
              <w:spacing w:before="156" w:beforeLines="50" w:after="156" w:afterLines="50" w:line="300" w:lineRule="auto"/>
              <w:ind w:left="42" w:leftChars="20" w:right="42" w:rightChars="20"/>
              <w:rPr>
                <w:rFonts w:ascii="Arial" w:hAnsi="Arial" w:eastAsia="宋体" w:cs="Arial"/>
                <w:szCs w:val="21"/>
              </w:rPr>
            </w:pPr>
            <w:r>
              <w:rPr>
                <w:rFonts w:ascii="Arial" w:hAnsi="Arial" w:eastAsia="宋体" w:cs="Arial"/>
                <w:szCs w:val="21"/>
              </w:rPr>
              <w:t>所有报告：</w:t>
            </w:r>
          </w:p>
          <w:p w14:paraId="568FBA15">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A. 患者信息；</w:t>
            </w:r>
          </w:p>
          <w:p w14:paraId="62E29A75">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B. 不良事件或产品问题（跳过章节C）</w:t>
            </w:r>
          </w:p>
          <w:p w14:paraId="2A4C6AC0">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D. 疑似医疗器械；</w:t>
            </w:r>
          </w:p>
          <w:p w14:paraId="50A7FEF9">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E. 初始报告人；</w:t>
            </w:r>
          </w:p>
          <w:p w14:paraId="57ED6B46">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F. 仅限医疗器械使用机构/医疗器械经销商。</w:t>
            </w:r>
          </w:p>
        </w:tc>
      </w:tr>
      <w:tr w14:paraId="6F3A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Pr>
          <w:p w14:paraId="13701DE0">
            <w:pPr>
              <w:overflowPunct w:val="0"/>
              <w:adjustRightInd w:val="0"/>
              <w:snapToGrid w:val="0"/>
              <w:spacing w:before="156" w:beforeLines="50" w:after="156" w:afterLines="50" w:line="300" w:lineRule="auto"/>
              <w:ind w:left="42" w:leftChars="20" w:right="42" w:rightChars="20"/>
              <w:rPr>
                <w:rFonts w:ascii="Arial" w:hAnsi="Arial" w:eastAsia="宋体" w:cs="Arial"/>
                <w:szCs w:val="21"/>
              </w:rPr>
            </w:pPr>
          </w:p>
        </w:tc>
        <w:tc>
          <w:tcPr>
            <w:tcW w:w="2058" w:type="dxa"/>
          </w:tcPr>
          <w:p w14:paraId="4F36CF80">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严重损伤（21 CFR 803.50）</w:t>
            </w:r>
          </w:p>
        </w:tc>
        <w:tc>
          <w:tcPr>
            <w:tcW w:w="1988" w:type="dxa"/>
          </w:tcPr>
          <w:p w14:paraId="04C33307">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器械制造商或</w:t>
            </w:r>
          </w:p>
          <w:p w14:paraId="4F8938A2">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当制造商不确定时FDA</w:t>
            </w:r>
          </w:p>
        </w:tc>
        <w:tc>
          <w:tcPr>
            <w:tcW w:w="2113" w:type="dxa"/>
          </w:tcPr>
          <w:p w14:paraId="5E4E7551">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在知晓该事件后的10个工作日内。</w:t>
            </w:r>
          </w:p>
        </w:tc>
        <w:tc>
          <w:tcPr>
            <w:tcW w:w="2114" w:type="dxa"/>
            <w:vMerge w:val="continue"/>
          </w:tcPr>
          <w:p w14:paraId="02F795CC">
            <w:pPr>
              <w:overflowPunct w:val="0"/>
              <w:adjustRightInd w:val="0"/>
              <w:snapToGrid w:val="0"/>
              <w:spacing w:before="156" w:beforeLines="50" w:after="156" w:afterLines="50" w:line="300" w:lineRule="auto"/>
              <w:ind w:left="42" w:leftChars="20" w:right="42" w:rightChars="20"/>
              <w:rPr>
                <w:rFonts w:ascii="Arial" w:hAnsi="Arial" w:eastAsia="宋体" w:cs="Arial"/>
                <w:szCs w:val="21"/>
              </w:rPr>
            </w:pPr>
          </w:p>
        </w:tc>
      </w:tr>
      <w:tr w14:paraId="49E3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Pr>
          <w:p w14:paraId="2D78C5F0">
            <w:pPr>
              <w:overflowPunct w:val="0"/>
              <w:adjustRightInd w:val="0"/>
              <w:snapToGrid w:val="0"/>
              <w:spacing w:before="156" w:beforeLines="50" w:after="156" w:afterLines="50" w:line="300" w:lineRule="auto"/>
              <w:ind w:left="42" w:leftChars="20" w:right="42" w:rightChars="20"/>
              <w:rPr>
                <w:rFonts w:ascii="Arial" w:hAnsi="Arial" w:eastAsia="宋体" w:cs="Arial"/>
                <w:szCs w:val="21"/>
              </w:rPr>
            </w:pPr>
          </w:p>
        </w:tc>
        <w:tc>
          <w:tcPr>
            <w:tcW w:w="2058" w:type="dxa"/>
          </w:tcPr>
          <w:p w14:paraId="0D4E499A">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可以自愿报告功能异常</w:t>
            </w:r>
          </w:p>
        </w:tc>
        <w:tc>
          <w:tcPr>
            <w:tcW w:w="1988" w:type="dxa"/>
          </w:tcPr>
          <w:p w14:paraId="0F6A6261">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FDA或</w:t>
            </w:r>
          </w:p>
          <w:p w14:paraId="7F4CD703">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器械制造商</w:t>
            </w:r>
          </w:p>
        </w:tc>
        <w:tc>
          <w:tcPr>
            <w:tcW w:w="2113" w:type="dxa"/>
          </w:tcPr>
          <w:p w14:paraId="41E17BA3">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不要求。自愿报告可以在任何时间提交。</w:t>
            </w:r>
          </w:p>
          <w:p w14:paraId="0250E546">
            <w:pPr>
              <w:pStyle w:val="14"/>
              <w:numPr>
                <w:ilvl w:val="0"/>
                <w:numId w:val="19"/>
              </w:numPr>
              <w:overflowPunct w:val="0"/>
              <w:adjustRightInd w:val="0"/>
              <w:snapToGrid w:val="0"/>
              <w:spacing w:before="156" w:beforeLines="50" w:after="156" w:afterLines="50" w:line="300" w:lineRule="auto"/>
              <w:ind w:right="42" w:rightChars="20" w:firstLineChars="0"/>
              <w:rPr>
                <w:rFonts w:ascii="Arial" w:hAnsi="Arial" w:eastAsia="宋体" w:cs="Arial"/>
                <w:szCs w:val="21"/>
              </w:rPr>
            </w:pPr>
            <w:r>
              <w:rPr>
                <w:rFonts w:ascii="Arial" w:hAnsi="Arial" w:eastAsia="宋体" w:cs="Arial"/>
                <w:szCs w:val="21"/>
              </w:rPr>
              <w:t>3500自愿报告表格链接：https://www.accessdata.fda.gov/scripts/medwatch/。</w:t>
            </w:r>
          </w:p>
        </w:tc>
        <w:tc>
          <w:tcPr>
            <w:tcW w:w="2114" w:type="dxa"/>
            <w:vMerge w:val="continue"/>
          </w:tcPr>
          <w:p w14:paraId="747865B9">
            <w:pPr>
              <w:overflowPunct w:val="0"/>
              <w:adjustRightInd w:val="0"/>
              <w:snapToGrid w:val="0"/>
              <w:spacing w:before="156" w:beforeLines="50" w:after="156" w:afterLines="50" w:line="300" w:lineRule="auto"/>
              <w:ind w:left="42" w:leftChars="20" w:right="42" w:rightChars="20"/>
              <w:rPr>
                <w:rFonts w:ascii="Arial" w:hAnsi="Arial" w:eastAsia="宋体" w:cs="Arial"/>
                <w:szCs w:val="21"/>
              </w:rPr>
            </w:pPr>
          </w:p>
        </w:tc>
      </w:tr>
    </w:tbl>
    <w:p w14:paraId="4CA382CC">
      <w:pPr>
        <w:overflowPunct w:val="0"/>
        <w:adjustRightInd w:val="0"/>
        <w:snapToGrid w:val="0"/>
        <w:spacing w:after="156" w:afterLines="50" w:line="300" w:lineRule="auto"/>
        <w:rPr>
          <w:rFonts w:ascii="Arial" w:hAnsi="Arial" w:eastAsia="宋体" w:cs="Arial"/>
          <w:sz w:val="24"/>
          <w:szCs w:val="24"/>
        </w:rPr>
      </w:pPr>
    </w:p>
    <w:p w14:paraId="136EFB4B">
      <w:pPr>
        <w:pBdr>
          <w:bottom w:val="single" w:color="auto" w:sz="4" w:space="1"/>
        </w:pBdr>
        <w:overflowPunct w:val="0"/>
        <w:snapToGrid w:val="0"/>
        <w:spacing w:after="156" w:afterLines="50" w:line="300" w:lineRule="auto"/>
        <w:jc w:val="center"/>
        <w:rPr>
          <w:rFonts w:hint="eastAsia" w:eastAsia="等线"/>
          <w:lang w:eastAsia="zh-CN"/>
        </w:rPr>
      </w:pPr>
    </w:p>
    <w:p w14:paraId="78EBD07C">
      <w:pPr>
        <w:pBdr>
          <w:bottom w:val="single" w:color="auto" w:sz="4" w:space="1"/>
        </w:pBdr>
        <w:overflowPunct w:val="0"/>
        <w:snapToGrid w:val="0"/>
        <w:spacing w:after="156" w:afterLines="50" w:line="300" w:lineRule="auto"/>
        <w:jc w:val="center"/>
        <w:rPr>
          <w:rFonts w:hint="eastAsia" w:eastAsia="等线"/>
          <w:lang w:eastAsia="zh-CN"/>
        </w:rPr>
      </w:pPr>
    </w:p>
    <w:p w14:paraId="2F706414">
      <w:pPr>
        <w:pBdr>
          <w:bottom w:val="single" w:color="auto" w:sz="4" w:space="1"/>
        </w:pBdr>
        <w:overflowPunct w:val="0"/>
        <w:snapToGrid w:val="0"/>
        <w:spacing w:after="156" w:afterLines="5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840976968"/>
      <w:docPartObj>
        <w:docPartGallery w:val="AutoText"/>
      </w:docPartObj>
    </w:sdtPr>
    <w:sdtEndPr>
      <w:rPr>
        <w:rFonts w:ascii="Arial" w:hAnsi="Arial" w:cs="Arial"/>
        <w:sz w:val="21"/>
        <w:szCs w:val="21"/>
      </w:rPr>
    </w:sdtEndPr>
    <w:sdtContent>
      <w:p w14:paraId="5AB58B4E">
        <w:pPr>
          <w:pStyle w:val="5"/>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27</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14:paraId="70DA25BA">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独立的实验室指的是拥有独立的CLIA许可的机构，见于42 CFR 493.43(a)-(b)（也见于42 CFR 493.55）。LDT仅可以由满足42 CFR 493.17(c)(4)和493.25中CLIA规定的高复杂度检测要求的实验室设计、生产和使用。</w:t>
      </w:r>
    </w:p>
  </w:footnote>
  <w:footnote w:id="1">
    <w:p w14:paraId="1AC5C5FB">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本指南的范围与行业、FDA工作人员与临床实验室指南草案；实验室检测（LDT）监管框架的范围一致。</w:t>
      </w:r>
    </w:p>
  </w:footnote>
  <w:footnote w:id="2">
    <w:p w14:paraId="6B671E18">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FD&amp;C法案201(h)章节规定：</w:t>
      </w:r>
    </w:p>
    <w:p w14:paraId="69F21968">
      <w:pPr>
        <w:pStyle w:val="8"/>
        <w:rPr>
          <w:rFonts w:ascii="Arial" w:hAnsi="Arial" w:eastAsia="宋体" w:cs="Arial"/>
        </w:rPr>
      </w:pPr>
      <w:r>
        <w:rPr>
          <w:rFonts w:ascii="Arial" w:hAnsi="Arial" w:eastAsia="宋体" w:cs="Arial"/>
        </w:rPr>
        <w:t>（h）术语</w:t>
      </w:r>
      <w:r>
        <w:rPr>
          <w:rFonts w:ascii="宋体" w:hAnsi="宋体" w:eastAsia="宋体" w:cs="Arial"/>
        </w:rPr>
        <w:t>“</w:t>
      </w:r>
      <w:r>
        <w:rPr>
          <w:rFonts w:ascii="Arial" w:hAnsi="Arial" w:eastAsia="宋体" w:cs="Arial"/>
        </w:rPr>
        <w:t>器械</w:t>
      </w:r>
      <w:r>
        <w:rPr>
          <w:rFonts w:ascii="宋体" w:hAnsi="宋体" w:eastAsia="宋体" w:cs="Arial"/>
        </w:rPr>
        <w:t>”</w:t>
      </w:r>
      <w:r>
        <w:rPr>
          <w:rFonts w:ascii="Arial" w:hAnsi="Arial" w:eastAsia="宋体" w:cs="Arial"/>
        </w:rPr>
        <w:t>（除用于本章及301(i)、403(f)、502(c)、和602(c)章节外）指的是用于以下目的的器械、装置、工具、器械、人工制品、植入物、体外试剂、或其他相似或相关的制品，包括任何组件。部分或附件：</w:t>
      </w:r>
    </w:p>
    <w:p w14:paraId="298092A7">
      <w:pPr>
        <w:pStyle w:val="8"/>
        <w:rPr>
          <w:rFonts w:ascii="Arial" w:hAnsi="Arial" w:eastAsia="宋体" w:cs="Arial"/>
        </w:rPr>
      </w:pPr>
      <w:r>
        <w:rPr>
          <w:rFonts w:ascii="Arial" w:hAnsi="Arial" w:eastAsia="宋体" w:cs="Arial"/>
        </w:rPr>
        <w:t>（1）美国国家处方集、官方版本的美国药典及上述文件的补充文件所认可的制品；</w:t>
      </w:r>
    </w:p>
    <w:p w14:paraId="4E1EA701">
      <w:pPr>
        <w:pStyle w:val="8"/>
        <w:rPr>
          <w:rFonts w:ascii="Arial" w:hAnsi="Arial" w:eastAsia="宋体" w:cs="Arial"/>
        </w:rPr>
      </w:pPr>
      <w:r>
        <w:rPr>
          <w:rFonts w:ascii="Arial" w:hAnsi="Arial" w:eastAsia="宋体" w:cs="Arial"/>
        </w:rPr>
        <w:t>（2）用于人类或动物疾病或其他症状的诊断，或用于治疗、缓解、处理或预防疾病；</w:t>
      </w:r>
    </w:p>
    <w:p w14:paraId="7E167DA2">
      <w:pPr>
        <w:pStyle w:val="8"/>
        <w:rPr>
          <w:rFonts w:ascii="Arial" w:hAnsi="Arial" w:eastAsia="宋体" w:cs="Arial"/>
        </w:rPr>
      </w:pPr>
      <w:r>
        <w:rPr>
          <w:rFonts w:ascii="Arial" w:hAnsi="Arial" w:eastAsia="宋体" w:cs="Arial"/>
        </w:rPr>
        <w:t>（3）用于影响人类或动物身体结构或功能，且不以人体或其他动物体内产生化学作用的方式实现主要预期目的，且其重要功能并非依赖代谢的方式实现。</w:t>
      </w:r>
    </w:p>
  </w:footnote>
  <w:footnote w:id="3">
    <w:p w14:paraId="65D3EE6B">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w:t>
      </w:r>
      <w:bookmarkStart w:id="72" w:name="OLE_LINK65"/>
      <w:r>
        <w:rPr>
          <w:rFonts w:ascii="Arial" w:hAnsi="Arial" w:eastAsia="宋体" w:cs="Arial"/>
        </w:rPr>
        <w:t>上述术语的定义见21 CFR 807.3（d）。本指南中使用</w:t>
      </w:r>
      <w:r>
        <w:rPr>
          <w:rFonts w:ascii="宋体" w:hAnsi="宋体" w:eastAsia="宋体" w:cs="Arial"/>
        </w:rPr>
        <w:t>“</w:t>
      </w:r>
      <w:r>
        <w:rPr>
          <w:rFonts w:ascii="Arial" w:hAnsi="Arial" w:eastAsia="宋体" w:cs="Arial"/>
        </w:rPr>
        <w:t>制造商</w:t>
      </w:r>
      <w:r>
        <w:rPr>
          <w:rFonts w:ascii="宋体" w:hAnsi="宋体" w:eastAsia="宋体" w:cs="Arial"/>
        </w:rPr>
        <w:t>”</w:t>
      </w:r>
      <w:r>
        <w:rPr>
          <w:rFonts w:ascii="Arial" w:hAnsi="Arial" w:eastAsia="宋体" w:cs="Arial"/>
        </w:rPr>
        <w:t>来包含上述所有。</w:t>
      </w:r>
      <w:bookmarkEnd w:id="72"/>
    </w:p>
  </w:footnote>
  <w:footnote w:id="4">
    <w:p w14:paraId="0722B67D">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根据42 CFR 493.43(a)-(b)的规定，实验室指的是具有独立的CLIA许可的机构。（也见于42 CFR 493.55）</w:t>
      </w:r>
    </w:p>
  </w:footnote>
  <w:footnote w:id="5">
    <w:p w14:paraId="327CE53E">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上述术语的定义见21 CFR 807.3（d）。本指南中使用</w:t>
      </w:r>
      <w:r>
        <w:rPr>
          <w:rFonts w:ascii="宋体" w:hAnsi="宋体" w:eastAsia="宋体" w:cs="Arial"/>
        </w:rPr>
        <w:t>“</w:t>
      </w:r>
      <w:r>
        <w:rPr>
          <w:rFonts w:ascii="Arial" w:hAnsi="Arial" w:eastAsia="宋体" w:cs="Arial"/>
        </w:rPr>
        <w:t>制造商</w:t>
      </w:r>
      <w:r>
        <w:rPr>
          <w:rFonts w:ascii="宋体" w:hAnsi="宋体" w:eastAsia="宋体" w:cs="Arial"/>
        </w:rPr>
        <w:t>”</w:t>
      </w:r>
      <w:r>
        <w:rPr>
          <w:rFonts w:ascii="Arial" w:hAnsi="Arial" w:eastAsia="宋体" w:cs="Arial"/>
        </w:rPr>
        <w:t>来包含上述所有。</w:t>
      </w:r>
    </w:p>
  </w:footnote>
  <w:footnote w:id="6">
    <w:p w14:paraId="4FD34AEA">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见上文脚注3。</w:t>
      </w:r>
    </w:p>
  </w:footnote>
  <w:footnote w:id="7">
    <w:p w14:paraId="214B1764">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见上文脚注4。</w:t>
      </w:r>
    </w:p>
  </w:footnote>
  <w:footnote w:id="8">
    <w:p w14:paraId="7959DBB0">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在本指南中，FDA使用术语</w:t>
      </w:r>
      <w:r>
        <w:rPr>
          <w:rFonts w:ascii="宋体" w:hAnsi="宋体" w:eastAsia="宋体" w:cs="Arial"/>
        </w:rPr>
        <w:t>“</w:t>
      </w:r>
      <w:r>
        <w:rPr>
          <w:rFonts w:ascii="Arial" w:hAnsi="Arial" w:eastAsia="宋体" w:cs="Arial"/>
        </w:rPr>
        <w:t>上市的预期用途</w:t>
      </w:r>
      <w:r>
        <w:rPr>
          <w:rFonts w:ascii="宋体" w:hAnsi="宋体" w:eastAsia="宋体" w:cs="Arial"/>
        </w:rPr>
        <w:t>”</w:t>
      </w:r>
      <w:r>
        <w:rPr>
          <w:rFonts w:ascii="Arial" w:hAnsi="Arial" w:eastAsia="宋体" w:cs="Arial"/>
        </w:rPr>
        <w:t>来指代实验室推广或在任何适用的标签中涵盖的检测的使用场景。虽然FDA一般会认为新型医疗器械包括对已有器械的其他类型的修改（例如技术性改变），但仅在本分章节中，新型LDT并不包括对已有LDT的其他类型的修改。</w:t>
      </w:r>
    </w:p>
  </w:footnote>
  <w:footnote w:id="9">
    <w:p w14:paraId="6E33C43C">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w:t>
      </w:r>
      <w:r>
        <w:rPr>
          <w:rFonts w:ascii="宋体" w:hAnsi="宋体" w:eastAsia="宋体" w:cs="Arial"/>
        </w:rPr>
        <w:t>“</w:t>
      </w:r>
      <w:r>
        <w:rPr>
          <w:rFonts w:ascii="Arial" w:hAnsi="Arial" w:eastAsia="宋体" w:cs="Arial"/>
        </w:rPr>
        <w:t>机构</w:t>
      </w:r>
      <w:r>
        <w:rPr>
          <w:rFonts w:ascii="宋体" w:hAnsi="宋体" w:eastAsia="宋体" w:cs="Arial"/>
        </w:rPr>
        <w:t>”</w:t>
      </w:r>
      <w:r>
        <w:rPr>
          <w:rFonts w:ascii="Arial" w:hAnsi="Arial" w:eastAsia="宋体" w:cs="Arial"/>
        </w:rPr>
        <w:t>的定义见21 CFR 807.3（c）。</w:t>
      </w:r>
    </w:p>
  </w:footnote>
  <w:footnote w:id="10">
    <w:p w14:paraId="4932F232">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根据21 CFR第803.3部分的定义，</w:t>
      </w:r>
      <w:r>
        <w:rPr>
          <w:rFonts w:ascii="宋体" w:hAnsi="宋体" w:eastAsia="宋体" w:cs="Arial"/>
        </w:rPr>
        <w:t>“</w:t>
      </w:r>
      <w:r>
        <w:rPr>
          <w:rFonts w:ascii="Arial" w:hAnsi="Arial" w:eastAsia="宋体" w:cs="Arial"/>
        </w:rPr>
        <w:t>医疗器械使用机构</w:t>
      </w:r>
      <w:r>
        <w:rPr>
          <w:rFonts w:ascii="宋体" w:hAnsi="宋体" w:eastAsia="宋体" w:cs="Arial"/>
        </w:rPr>
        <w:t>”</w:t>
      </w:r>
      <w:r>
        <w:rPr>
          <w:rFonts w:ascii="Arial" w:hAnsi="Arial" w:eastAsia="宋体" w:cs="Arial"/>
        </w:rPr>
        <w:t>指的是</w:t>
      </w:r>
      <w:r>
        <w:rPr>
          <w:rFonts w:ascii="宋体" w:hAnsi="宋体" w:eastAsia="宋体" w:cs="Arial"/>
        </w:rPr>
        <w:t>“</w:t>
      </w:r>
      <w:r>
        <w:rPr>
          <w:rFonts w:ascii="Arial" w:hAnsi="Arial" w:eastAsia="宋体" w:cs="Arial"/>
        </w:rPr>
        <w:t>医院、非固定式手术机构、护理室、门诊诊断机构、或门诊治疗机构</w:t>
      </w:r>
      <w:r>
        <w:rPr>
          <w:rFonts w:ascii="宋体" w:hAnsi="宋体" w:eastAsia="宋体" w:cs="Arial"/>
        </w:rPr>
        <w:t>”</w:t>
      </w:r>
      <w:r>
        <w:rPr>
          <w:rFonts w:ascii="Arial" w:hAnsi="Arial" w:eastAsia="宋体" w:cs="Arial"/>
        </w:rPr>
        <w:t>。本指导性文件关注的提供LDT的实验室。</w:t>
      </w:r>
    </w:p>
  </w:footnote>
  <w:footnote w:id="11">
    <w:p w14:paraId="574D9656">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请注意，对于LDT而言，实验室既是医疗器械使用机构，也是制造商。</w:t>
      </w:r>
    </w:p>
  </w:footnote>
  <w:footnote w:id="12">
    <w:p w14:paraId="43781E76">
      <w:pPr>
        <w:pStyle w:val="8"/>
        <w:rPr>
          <w:rFonts w:ascii="Arial" w:hAnsi="Arial" w:cs="Arial"/>
        </w:rPr>
      </w:pPr>
      <w:r>
        <w:rPr>
          <w:rStyle w:val="13"/>
          <w:rFonts w:ascii="Arial" w:hAnsi="Arial" w:eastAsia="宋体" w:cs="Arial"/>
        </w:rPr>
        <w:footnoteRef/>
      </w:r>
      <w:r>
        <w:rPr>
          <w:rFonts w:ascii="Arial" w:hAnsi="Arial" w:eastAsia="宋体" w:cs="Arial"/>
        </w:rPr>
        <w:t xml:space="preserve"> 根据21 CFR 803.3的规定，制造商是指</w:t>
      </w:r>
      <w:r>
        <w:rPr>
          <w:rFonts w:ascii="宋体" w:hAnsi="宋体" w:eastAsia="宋体" w:cs="Arial"/>
        </w:rPr>
        <w:t>“</w:t>
      </w:r>
      <w:r>
        <w:rPr>
          <w:rFonts w:ascii="Arial" w:hAnsi="Arial" w:eastAsia="宋体" w:cs="Arial"/>
        </w:rPr>
        <w:t>任何通过化学、物理、生物或其他流程生产、制备、宣传、符合、组装或处理器械的个人</w:t>
      </w:r>
      <w:r>
        <w:rPr>
          <w:rFonts w:ascii="宋体" w:hAnsi="宋体" w:eastAsia="宋体" w:cs="Arial"/>
        </w:rPr>
        <w:t>”</w:t>
      </w:r>
      <w:r>
        <w:rPr>
          <w:rFonts w:ascii="Arial" w:hAnsi="Arial" w:eastAsia="宋体" w:cs="Arial"/>
        </w:rPr>
        <w:t>。因此，该定义也包括了涉及和生产LDT，或对FDA已经批准/审批的医疗器械作出重大修改的实验室（如对性能或预期用途进行修改）。</w:t>
      </w:r>
    </w:p>
  </w:footnote>
  <w:footnote w:id="13">
    <w:p w14:paraId="42D2BE52">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当机构内的人员获取报告表明已经发生了可报告的不良事件，则认为该制造商已</w:t>
      </w:r>
      <w:r>
        <w:rPr>
          <w:rFonts w:ascii="宋体" w:hAnsi="宋体" w:eastAsia="宋体" w:cs="Arial"/>
        </w:rPr>
        <w:t>“</w:t>
      </w:r>
      <w:r>
        <w:rPr>
          <w:rFonts w:ascii="Arial" w:hAnsi="Arial" w:eastAsia="宋体" w:cs="Arial"/>
        </w:rPr>
        <w:t>知晓</w:t>
      </w:r>
      <w:r>
        <w:rPr>
          <w:rFonts w:ascii="宋体" w:hAnsi="宋体" w:eastAsia="宋体" w:cs="Arial"/>
        </w:rPr>
        <w:t>”</w:t>
      </w:r>
      <w:r>
        <w:rPr>
          <w:rFonts w:ascii="Arial" w:hAnsi="Arial" w:eastAsia="宋体" w:cs="Arial"/>
        </w:rPr>
        <w:t>该事件。（21 CFR 803.3）。</w:t>
      </w:r>
    </w:p>
  </w:footnote>
  <w:footnote w:id="14">
    <w:p w14:paraId="66091B80">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表述</w:t>
      </w:r>
      <w:r>
        <w:rPr>
          <w:rFonts w:ascii="宋体" w:hAnsi="宋体" w:eastAsia="宋体" w:cs="Arial"/>
        </w:rPr>
        <w:t>“</w:t>
      </w:r>
      <w:r>
        <w:rPr>
          <w:rFonts w:ascii="Arial" w:hAnsi="Arial" w:eastAsia="宋体" w:cs="Arial"/>
        </w:rPr>
        <w:t>导致或增加风险</w:t>
      </w:r>
      <w:r>
        <w:rPr>
          <w:rFonts w:ascii="宋体" w:hAnsi="宋体" w:eastAsia="宋体" w:cs="Arial"/>
        </w:rPr>
        <w:t>”</w:t>
      </w:r>
      <w:r>
        <w:rPr>
          <w:rFonts w:ascii="Arial" w:hAnsi="Arial" w:eastAsia="宋体" w:cs="Arial"/>
        </w:rPr>
        <w:t>指的是死亡或严重损伤是由医疗器械引起或导致，或某种医疗器械是死亡或严重损伤的因素，包括由于故障、功能异常、设计不当或不足、生产、标签或用户使用不当引起的事件。（21 CFR 803.3）</w:t>
      </w:r>
    </w:p>
  </w:footnote>
  <w:footnote w:id="15">
    <w:p w14:paraId="29038E7A">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w:t>
      </w:r>
      <w:r>
        <w:rPr>
          <w:rFonts w:ascii="宋体" w:hAnsi="宋体" w:eastAsia="宋体" w:cs="Arial"/>
        </w:rPr>
        <w:t>“</w:t>
      </w:r>
      <w:r>
        <w:rPr>
          <w:rFonts w:ascii="Arial" w:hAnsi="Arial" w:eastAsia="宋体" w:cs="Arial"/>
        </w:rPr>
        <w:t>严重损伤</w:t>
      </w:r>
      <w:r>
        <w:rPr>
          <w:rFonts w:ascii="宋体" w:hAnsi="宋体" w:eastAsia="宋体" w:cs="Arial"/>
        </w:rPr>
        <w:t>”</w:t>
      </w:r>
      <w:r>
        <w:rPr>
          <w:rFonts w:ascii="Arial" w:hAnsi="Arial" w:eastAsia="宋体" w:cs="Arial"/>
        </w:rPr>
        <w:t>指的是危及生命、造成身体功能的永久性损害，或对身体结构造成永久性损害、或需要采取医疗或手术措施来防止造成身体功能的永久性损害，或对身体结构造成永久性损害的损伤或疾病。（21 CFR 803.3）。</w:t>
      </w:r>
    </w:p>
  </w:footnote>
  <w:footnote w:id="16">
    <w:p w14:paraId="6B2BC4DC">
      <w:pPr>
        <w:pStyle w:val="8"/>
        <w:rPr>
          <w:rFonts w:ascii="Arial" w:hAnsi="Arial" w:eastAsia="宋体" w:cs="Arial"/>
        </w:rPr>
      </w:pPr>
      <w:r>
        <w:rPr>
          <w:rStyle w:val="13"/>
          <w:rFonts w:ascii="Arial" w:hAnsi="Arial" w:eastAsia="宋体" w:cs="Arial"/>
        </w:rPr>
        <w:footnoteRef/>
      </w:r>
      <w:r>
        <w:rPr>
          <w:rFonts w:ascii="Arial" w:hAnsi="Arial" w:eastAsia="宋体" w:cs="Arial"/>
        </w:rPr>
        <w:t xml:space="preserve"> 21 CFR第803部分的MDR法规与2014年2月14日进行了修订，修订条款要求医疗器械的制造商和进口商以电子版格式向FDA提交MDR（包括补充报告）。79 FR 8832。修正条款于2015年8月14日生效。Id。根据21 CFR 803.19的规定，在修正条款生效后，除非FDA颁发豁免许可，否则LDT的制造商必须以电子版格式向FDA提交MDR（包括补充报告）。Id。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D975">
    <w:pPr>
      <w:snapToGrid w:val="0"/>
      <w:spacing w:line="300" w:lineRule="auto"/>
      <w:jc w:val="center"/>
      <w:rPr>
        <w:rFonts w:ascii="宋体" w:hAnsi="宋体" w:eastAsia="宋体" w:cs="Arial"/>
        <w:b/>
        <w:i/>
        <w:szCs w:val="21"/>
      </w:rPr>
    </w:pPr>
    <w:r>
      <w:rPr>
        <w:rFonts w:ascii="宋体" w:hAnsi="宋体" w:eastAsia="宋体" w:cs="Arial"/>
        <w:b/>
        <w:i/>
        <w:szCs w:val="21"/>
      </w:rPr>
      <w:t>所含建议不具约束力</w:t>
    </w:r>
  </w:p>
  <w:p w14:paraId="2CD42C8E">
    <w:pPr>
      <w:snapToGrid w:val="0"/>
      <w:spacing w:after="120" w:afterLines="50" w:line="300" w:lineRule="auto"/>
      <w:jc w:val="center"/>
      <w:rPr>
        <w:rFonts w:ascii="宋体" w:hAnsi="宋体" w:eastAsia="宋体" w:cs="Arial"/>
        <w:i/>
        <w:szCs w:val="21"/>
      </w:rPr>
    </w:pPr>
    <w:r>
      <w:rPr>
        <w:rFonts w:ascii="宋体" w:hAnsi="宋体" w:eastAsia="宋体" w:cs="Arial"/>
        <w:i/>
        <w:szCs w:val="21"/>
      </w:rPr>
      <w:t>草案-不用于实施</w:t>
    </w:r>
  </w:p>
  <w:p w14:paraId="0A5D927C">
    <w:pPr>
      <w:pStyle w:val="6"/>
      <w:pBdr>
        <w:bottom w:val="none" w:color="auto" w:sz="0" w:space="0"/>
      </w:pBdr>
      <w:rPr>
        <w:rFonts w:ascii="宋体" w:hAnsi="宋体" w:eastAsia="宋体"/>
        <w: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C5255"/>
    <w:multiLevelType w:val="multilevel"/>
    <w:tmpl w:val="0B2C525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17537517"/>
    <w:multiLevelType w:val="multilevel"/>
    <w:tmpl w:val="175375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F11117"/>
    <w:multiLevelType w:val="multilevel"/>
    <w:tmpl w:val="18F1111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1FD21DF"/>
    <w:multiLevelType w:val="multilevel"/>
    <w:tmpl w:val="21FD21D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7535F5"/>
    <w:multiLevelType w:val="multilevel"/>
    <w:tmpl w:val="2C7535F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30137F8A"/>
    <w:multiLevelType w:val="multilevel"/>
    <w:tmpl w:val="30137F8A"/>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6">
    <w:nsid w:val="319307BD"/>
    <w:multiLevelType w:val="multilevel"/>
    <w:tmpl w:val="319307BD"/>
    <w:lvl w:ilvl="0" w:tentative="0">
      <w:start w:val="1"/>
      <w:numFmt w:val="bullet"/>
      <w:lvlText w:val=""/>
      <w:lvlJc w:val="left"/>
      <w:pPr>
        <w:ind w:left="840" w:hanging="420"/>
      </w:pPr>
      <w:rPr>
        <w:rFonts w:hint="default" w:ascii="Wingdings" w:hAnsi="Wingdings"/>
        <w:w w:val="100"/>
        <w:sz w:val="24"/>
        <w:szCs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3DC271C3"/>
    <w:multiLevelType w:val="multilevel"/>
    <w:tmpl w:val="3DC271C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42533966"/>
    <w:multiLevelType w:val="multilevel"/>
    <w:tmpl w:val="42533966"/>
    <w:lvl w:ilvl="0" w:tentative="0">
      <w:start w:val="1"/>
      <w:numFmt w:val="upp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66420B6"/>
    <w:multiLevelType w:val="multilevel"/>
    <w:tmpl w:val="466420B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CF10B03"/>
    <w:multiLevelType w:val="multilevel"/>
    <w:tmpl w:val="4CF10B0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4D6B38AD"/>
    <w:multiLevelType w:val="multilevel"/>
    <w:tmpl w:val="4D6B38A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55F56654"/>
    <w:multiLevelType w:val="multilevel"/>
    <w:tmpl w:val="55F5665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5E175BA6"/>
    <w:multiLevelType w:val="multilevel"/>
    <w:tmpl w:val="5E175BA6"/>
    <w:lvl w:ilvl="0" w:tentative="0">
      <w:start w:val="1"/>
      <w:numFmt w:val="decimal"/>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E4A15D5"/>
    <w:multiLevelType w:val="multilevel"/>
    <w:tmpl w:val="5E4A15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8044060"/>
    <w:multiLevelType w:val="multilevel"/>
    <w:tmpl w:val="680440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4774BD0"/>
    <w:multiLevelType w:val="multilevel"/>
    <w:tmpl w:val="74774BD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7B250B17"/>
    <w:multiLevelType w:val="multilevel"/>
    <w:tmpl w:val="7B250B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F6D5EE3"/>
    <w:multiLevelType w:val="multilevel"/>
    <w:tmpl w:val="7F6D5EE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3"/>
  </w:num>
  <w:num w:numId="3">
    <w:abstractNumId w:val="6"/>
  </w:num>
  <w:num w:numId="4">
    <w:abstractNumId w:val="18"/>
  </w:num>
  <w:num w:numId="5">
    <w:abstractNumId w:val="2"/>
  </w:num>
  <w:num w:numId="6">
    <w:abstractNumId w:val="16"/>
  </w:num>
  <w:num w:numId="7">
    <w:abstractNumId w:val="7"/>
  </w:num>
  <w:num w:numId="8">
    <w:abstractNumId w:val="0"/>
  </w:num>
  <w:num w:numId="9">
    <w:abstractNumId w:val="13"/>
  </w:num>
  <w:num w:numId="10">
    <w:abstractNumId w:val="12"/>
  </w:num>
  <w:num w:numId="11">
    <w:abstractNumId w:val="9"/>
  </w:num>
  <w:num w:numId="12">
    <w:abstractNumId w:val="1"/>
  </w:num>
  <w:num w:numId="13">
    <w:abstractNumId w:val="17"/>
  </w:num>
  <w:num w:numId="14">
    <w:abstractNumId w:val="14"/>
  </w:num>
  <w:num w:numId="15">
    <w:abstractNumId w:val="10"/>
  </w:num>
  <w:num w:numId="16">
    <w:abstractNumId w:val="4"/>
  </w:num>
  <w:num w:numId="17">
    <w:abstractNumId w:val="5"/>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34"/>
    <w:footnote w:id="3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EA"/>
    <w:rsid w:val="000007D1"/>
    <w:rsid w:val="000017CF"/>
    <w:rsid w:val="0000630E"/>
    <w:rsid w:val="00023690"/>
    <w:rsid w:val="00026808"/>
    <w:rsid w:val="00031EC3"/>
    <w:rsid w:val="00033B6A"/>
    <w:rsid w:val="00034ED9"/>
    <w:rsid w:val="000350C1"/>
    <w:rsid w:val="000468E5"/>
    <w:rsid w:val="0004756B"/>
    <w:rsid w:val="000575F9"/>
    <w:rsid w:val="00061A28"/>
    <w:rsid w:val="00066D9D"/>
    <w:rsid w:val="00071994"/>
    <w:rsid w:val="00090EB9"/>
    <w:rsid w:val="000910EA"/>
    <w:rsid w:val="00094A1D"/>
    <w:rsid w:val="000A3077"/>
    <w:rsid w:val="000B3AAC"/>
    <w:rsid w:val="000C494D"/>
    <w:rsid w:val="000F543B"/>
    <w:rsid w:val="00130F0D"/>
    <w:rsid w:val="00134F8E"/>
    <w:rsid w:val="001439C1"/>
    <w:rsid w:val="00167537"/>
    <w:rsid w:val="001724BC"/>
    <w:rsid w:val="00182775"/>
    <w:rsid w:val="00183A1E"/>
    <w:rsid w:val="00186360"/>
    <w:rsid w:val="001919A9"/>
    <w:rsid w:val="00194E92"/>
    <w:rsid w:val="001A32F3"/>
    <w:rsid w:val="001A4D05"/>
    <w:rsid w:val="001B6358"/>
    <w:rsid w:val="001D604E"/>
    <w:rsid w:val="001E722F"/>
    <w:rsid w:val="001E79D0"/>
    <w:rsid w:val="001F0CCC"/>
    <w:rsid w:val="001F119F"/>
    <w:rsid w:val="00200196"/>
    <w:rsid w:val="002023CF"/>
    <w:rsid w:val="002046B6"/>
    <w:rsid w:val="00204EAA"/>
    <w:rsid w:val="00206AE9"/>
    <w:rsid w:val="0021437B"/>
    <w:rsid w:val="002169B2"/>
    <w:rsid w:val="0022768D"/>
    <w:rsid w:val="002369B8"/>
    <w:rsid w:val="00237155"/>
    <w:rsid w:val="00245A8C"/>
    <w:rsid w:val="00255441"/>
    <w:rsid w:val="002675DB"/>
    <w:rsid w:val="0028102C"/>
    <w:rsid w:val="00296BCA"/>
    <w:rsid w:val="00297AEB"/>
    <w:rsid w:val="002A7292"/>
    <w:rsid w:val="002B273D"/>
    <w:rsid w:val="002B708B"/>
    <w:rsid w:val="002C4C70"/>
    <w:rsid w:val="002D1DDA"/>
    <w:rsid w:val="002F0D7F"/>
    <w:rsid w:val="00301BF2"/>
    <w:rsid w:val="0030347B"/>
    <w:rsid w:val="00307C0D"/>
    <w:rsid w:val="00317351"/>
    <w:rsid w:val="00327980"/>
    <w:rsid w:val="003327E4"/>
    <w:rsid w:val="0037606D"/>
    <w:rsid w:val="003A5241"/>
    <w:rsid w:val="003C13F1"/>
    <w:rsid w:val="003C3FA5"/>
    <w:rsid w:val="003C5D22"/>
    <w:rsid w:val="003D1F30"/>
    <w:rsid w:val="003E57D8"/>
    <w:rsid w:val="003F1577"/>
    <w:rsid w:val="003F7B4D"/>
    <w:rsid w:val="00404BAF"/>
    <w:rsid w:val="00406410"/>
    <w:rsid w:val="00413A8F"/>
    <w:rsid w:val="0042688B"/>
    <w:rsid w:val="004327CA"/>
    <w:rsid w:val="004327F3"/>
    <w:rsid w:val="004350EF"/>
    <w:rsid w:val="00436B22"/>
    <w:rsid w:val="00451362"/>
    <w:rsid w:val="00455FB2"/>
    <w:rsid w:val="0048277D"/>
    <w:rsid w:val="00482B11"/>
    <w:rsid w:val="0049359C"/>
    <w:rsid w:val="004972C4"/>
    <w:rsid w:val="004A2E66"/>
    <w:rsid w:val="004A5D22"/>
    <w:rsid w:val="004A793C"/>
    <w:rsid w:val="004D38B6"/>
    <w:rsid w:val="004E2B8B"/>
    <w:rsid w:val="004E629B"/>
    <w:rsid w:val="004F78C7"/>
    <w:rsid w:val="0050761C"/>
    <w:rsid w:val="005154A0"/>
    <w:rsid w:val="00517321"/>
    <w:rsid w:val="005219E8"/>
    <w:rsid w:val="00522409"/>
    <w:rsid w:val="00525978"/>
    <w:rsid w:val="00531027"/>
    <w:rsid w:val="00552E60"/>
    <w:rsid w:val="005642CB"/>
    <w:rsid w:val="00567095"/>
    <w:rsid w:val="00574326"/>
    <w:rsid w:val="00596605"/>
    <w:rsid w:val="005A409F"/>
    <w:rsid w:val="005A4C91"/>
    <w:rsid w:val="005C0F31"/>
    <w:rsid w:val="005C6912"/>
    <w:rsid w:val="00600767"/>
    <w:rsid w:val="00601E8F"/>
    <w:rsid w:val="00605F89"/>
    <w:rsid w:val="006128C0"/>
    <w:rsid w:val="00637732"/>
    <w:rsid w:val="00640421"/>
    <w:rsid w:val="00657CE8"/>
    <w:rsid w:val="00660A69"/>
    <w:rsid w:val="00667508"/>
    <w:rsid w:val="00670CAB"/>
    <w:rsid w:val="006A2D00"/>
    <w:rsid w:val="006A6538"/>
    <w:rsid w:val="006B2688"/>
    <w:rsid w:val="006B2BA2"/>
    <w:rsid w:val="006B63AB"/>
    <w:rsid w:val="006D2AA1"/>
    <w:rsid w:val="006E747B"/>
    <w:rsid w:val="007038F3"/>
    <w:rsid w:val="007127FF"/>
    <w:rsid w:val="00731E25"/>
    <w:rsid w:val="0073311F"/>
    <w:rsid w:val="007615BB"/>
    <w:rsid w:val="007711F3"/>
    <w:rsid w:val="0078169B"/>
    <w:rsid w:val="00785578"/>
    <w:rsid w:val="00793074"/>
    <w:rsid w:val="00794E7A"/>
    <w:rsid w:val="00797201"/>
    <w:rsid w:val="00797FF2"/>
    <w:rsid w:val="007A487C"/>
    <w:rsid w:val="007C1553"/>
    <w:rsid w:val="007C4360"/>
    <w:rsid w:val="007C68BB"/>
    <w:rsid w:val="007D0BE7"/>
    <w:rsid w:val="007D30E3"/>
    <w:rsid w:val="007F16B3"/>
    <w:rsid w:val="007F3DE5"/>
    <w:rsid w:val="00803F9C"/>
    <w:rsid w:val="008041CC"/>
    <w:rsid w:val="00814BF2"/>
    <w:rsid w:val="0082737E"/>
    <w:rsid w:val="00860F6F"/>
    <w:rsid w:val="008657AB"/>
    <w:rsid w:val="00870267"/>
    <w:rsid w:val="0087127E"/>
    <w:rsid w:val="0087464F"/>
    <w:rsid w:val="008872C7"/>
    <w:rsid w:val="00897AF4"/>
    <w:rsid w:val="008A2ED3"/>
    <w:rsid w:val="008B07BF"/>
    <w:rsid w:val="008B5FD7"/>
    <w:rsid w:val="008C254B"/>
    <w:rsid w:val="008D438F"/>
    <w:rsid w:val="008D502A"/>
    <w:rsid w:val="008D58D3"/>
    <w:rsid w:val="008E097D"/>
    <w:rsid w:val="008E0FFD"/>
    <w:rsid w:val="008E211A"/>
    <w:rsid w:val="008E270D"/>
    <w:rsid w:val="008F080B"/>
    <w:rsid w:val="008F1021"/>
    <w:rsid w:val="008F2A09"/>
    <w:rsid w:val="008F49E4"/>
    <w:rsid w:val="008F4F56"/>
    <w:rsid w:val="008F6A9E"/>
    <w:rsid w:val="00902141"/>
    <w:rsid w:val="009105AE"/>
    <w:rsid w:val="00916939"/>
    <w:rsid w:val="00921FB3"/>
    <w:rsid w:val="00923A72"/>
    <w:rsid w:val="00925C6C"/>
    <w:rsid w:val="009310D3"/>
    <w:rsid w:val="0093123B"/>
    <w:rsid w:val="00942301"/>
    <w:rsid w:val="009474BE"/>
    <w:rsid w:val="009531FC"/>
    <w:rsid w:val="009565F0"/>
    <w:rsid w:val="00987476"/>
    <w:rsid w:val="00992A1D"/>
    <w:rsid w:val="009B6C42"/>
    <w:rsid w:val="009C37BF"/>
    <w:rsid w:val="009D0EFE"/>
    <w:rsid w:val="009D1420"/>
    <w:rsid w:val="009E7976"/>
    <w:rsid w:val="009F2D89"/>
    <w:rsid w:val="00A15B02"/>
    <w:rsid w:val="00A40A97"/>
    <w:rsid w:val="00A524C8"/>
    <w:rsid w:val="00A6591E"/>
    <w:rsid w:val="00A732BC"/>
    <w:rsid w:val="00AA3D43"/>
    <w:rsid w:val="00AC5CCC"/>
    <w:rsid w:val="00AE0FC3"/>
    <w:rsid w:val="00AE44B8"/>
    <w:rsid w:val="00AF59FD"/>
    <w:rsid w:val="00B04BAF"/>
    <w:rsid w:val="00B05617"/>
    <w:rsid w:val="00B17BBD"/>
    <w:rsid w:val="00B22EC1"/>
    <w:rsid w:val="00B5136B"/>
    <w:rsid w:val="00B5188A"/>
    <w:rsid w:val="00B51FCD"/>
    <w:rsid w:val="00B60EB5"/>
    <w:rsid w:val="00B62A83"/>
    <w:rsid w:val="00B63911"/>
    <w:rsid w:val="00B85090"/>
    <w:rsid w:val="00BA365C"/>
    <w:rsid w:val="00BF0402"/>
    <w:rsid w:val="00BF7C72"/>
    <w:rsid w:val="00C260ED"/>
    <w:rsid w:val="00C42302"/>
    <w:rsid w:val="00C51944"/>
    <w:rsid w:val="00C51F2B"/>
    <w:rsid w:val="00C53F1F"/>
    <w:rsid w:val="00C579DA"/>
    <w:rsid w:val="00C721A2"/>
    <w:rsid w:val="00C84A82"/>
    <w:rsid w:val="00C87902"/>
    <w:rsid w:val="00C90E69"/>
    <w:rsid w:val="00CA7481"/>
    <w:rsid w:val="00CA79F7"/>
    <w:rsid w:val="00CB6E15"/>
    <w:rsid w:val="00CD5D85"/>
    <w:rsid w:val="00CD7C53"/>
    <w:rsid w:val="00CD7D6F"/>
    <w:rsid w:val="00CE667D"/>
    <w:rsid w:val="00CF28A8"/>
    <w:rsid w:val="00CF4C06"/>
    <w:rsid w:val="00D042AC"/>
    <w:rsid w:val="00D316C6"/>
    <w:rsid w:val="00D35C7E"/>
    <w:rsid w:val="00D529E9"/>
    <w:rsid w:val="00D54A3F"/>
    <w:rsid w:val="00D82031"/>
    <w:rsid w:val="00DA2B57"/>
    <w:rsid w:val="00DA2D8A"/>
    <w:rsid w:val="00DA7CB2"/>
    <w:rsid w:val="00DB4E2F"/>
    <w:rsid w:val="00DC17CB"/>
    <w:rsid w:val="00DC19AD"/>
    <w:rsid w:val="00DD5047"/>
    <w:rsid w:val="00DE6A5A"/>
    <w:rsid w:val="00DF0B60"/>
    <w:rsid w:val="00DF370B"/>
    <w:rsid w:val="00DF7FEB"/>
    <w:rsid w:val="00E0046F"/>
    <w:rsid w:val="00E042EC"/>
    <w:rsid w:val="00E06F59"/>
    <w:rsid w:val="00E40894"/>
    <w:rsid w:val="00E40A8A"/>
    <w:rsid w:val="00E44587"/>
    <w:rsid w:val="00E47A20"/>
    <w:rsid w:val="00E529D8"/>
    <w:rsid w:val="00E54856"/>
    <w:rsid w:val="00E7037B"/>
    <w:rsid w:val="00E77DA0"/>
    <w:rsid w:val="00E8169F"/>
    <w:rsid w:val="00E81ED7"/>
    <w:rsid w:val="00E9617E"/>
    <w:rsid w:val="00EA1686"/>
    <w:rsid w:val="00EB4ACD"/>
    <w:rsid w:val="00EE1EAD"/>
    <w:rsid w:val="00EE24B4"/>
    <w:rsid w:val="00EF1498"/>
    <w:rsid w:val="00EF6C9E"/>
    <w:rsid w:val="00EF7017"/>
    <w:rsid w:val="00F04913"/>
    <w:rsid w:val="00F07835"/>
    <w:rsid w:val="00F217FA"/>
    <w:rsid w:val="00F253F3"/>
    <w:rsid w:val="00F459EA"/>
    <w:rsid w:val="00F528AE"/>
    <w:rsid w:val="00F62D2F"/>
    <w:rsid w:val="00F631AB"/>
    <w:rsid w:val="00F807BE"/>
    <w:rsid w:val="00F90E78"/>
    <w:rsid w:val="00F9306A"/>
    <w:rsid w:val="00FA4D7B"/>
    <w:rsid w:val="00FA5DCB"/>
    <w:rsid w:val="00FA6892"/>
    <w:rsid w:val="00FB6AD7"/>
    <w:rsid w:val="00FC2106"/>
    <w:rsid w:val="00FC2CE2"/>
    <w:rsid w:val="00FC736E"/>
    <w:rsid w:val="00FD24A9"/>
    <w:rsid w:val="00FD2CCF"/>
    <w:rsid w:val="00FE291A"/>
    <w:rsid w:val="00FE4E7D"/>
    <w:rsid w:val="00FE630F"/>
    <w:rsid w:val="00FF6AE6"/>
    <w:rsid w:val="00FF6C6C"/>
    <w:rsid w:val="00FF7650"/>
    <w:rsid w:val="240C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alloon Text"/>
    <w:basedOn w:val="1"/>
    <w:link w:val="19"/>
    <w:semiHidden/>
    <w:unhideWhenUsed/>
    <w:uiPriority w:val="99"/>
    <w:rPr>
      <w:sz w:val="18"/>
      <w:szCs w:val="18"/>
    </w:rPr>
  </w:style>
  <w:style w:type="paragraph" w:styleId="5">
    <w:name w:val="footer"/>
    <w:basedOn w:val="1"/>
    <w:link w:val="18"/>
    <w:unhideWhenUsed/>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footnote text"/>
    <w:basedOn w:val="1"/>
    <w:link w:val="15"/>
    <w:semiHidden/>
    <w:unhideWhenUsed/>
    <w:uiPriority w:val="99"/>
    <w:pPr>
      <w:snapToGrid w:val="0"/>
      <w:jc w:val="left"/>
    </w:pPr>
    <w:rPr>
      <w:sz w:val="18"/>
      <w:szCs w:val="18"/>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uiPriority w:val="99"/>
    <w:rPr>
      <w:color w:val="0563C1" w:themeColor="hyperlink"/>
      <w:u w:val="single"/>
      <w14:textFill>
        <w14:solidFill>
          <w14:schemeClr w14:val="hlink"/>
        </w14:solidFill>
      </w14:textFill>
    </w:rPr>
  </w:style>
  <w:style w:type="character" w:styleId="13">
    <w:name w:val="footnote reference"/>
    <w:basedOn w:val="11"/>
    <w:semiHidden/>
    <w:unhideWhenUsed/>
    <w:qFormat/>
    <w:uiPriority w:val="99"/>
    <w:rPr>
      <w:vertAlign w:val="superscript"/>
    </w:rPr>
  </w:style>
  <w:style w:type="paragraph" w:styleId="14">
    <w:name w:val="List Paragraph"/>
    <w:basedOn w:val="1"/>
    <w:qFormat/>
    <w:uiPriority w:val="34"/>
    <w:pPr>
      <w:ind w:firstLine="420" w:firstLineChars="200"/>
    </w:pPr>
  </w:style>
  <w:style w:type="character" w:customStyle="1" w:styleId="15">
    <w:name w:val="脚注文本 Char"/>
    <w:basedOn w:val="11"/>
    <w:link w:val="8"/>
    <w:semiHidden/>
    <w:qFormat/>
    <w:uiPriority w:val="99"/>
    <w:rPr>
      <w:sz w:val="18"/>
      <w:szCs w:val="18"/>
    </w:rPr>
  </w:style>
  <w:style w:type="character" w:customStyle="1" w:styleId="16">
    <w:name w:val="标题 2 Char"/>
    <w:basedOn w:val="11"/>
    <w:link w:val="3"/>
    <w:uiPriority w:val="9"/>
    <w:rPr>
      <w:rFonts w:asciiTheme="majorHAnsi" w:hAnsiTheme="majorHAnsi" w:eastAsiaTheme="majorEastAsia" w:cstheme="majorBidi"/>
      <w:b/>
      <w:bCs/>
      <w:sz w:val="32"/>
      <w:szCs w:val="32"/>
    </w:rPr>
  </w:style>
  <w:style w:type="character" w:customStyle="1" w:styleId="17">
    <w:name w:val="页眉 Char"/>
    <w:basedOn w:val="11"/>
    <w:link w:val="6"/>
    <w:uiPriority w:val="99"/>
    <w:rPr>
      <w:sz w:val="18"/>
      <w:szCs w:val="18"/>
    </w:rPr>
  </w:style>
  <w:style w:type="character" w:customStyle="1" w:styleId="18">
    <w:name w:val="页脚 Char"/>
    <w:basedOn w:val="11"/>
    <w:link w:val="5"/>
    <w:qFormat/>
    <w:uiPriority w:val="99"/>
    <w:rPr>
      <w:sz w:val="18"/>
      <w:szCs w:val="18"/>
    </w:rPr>
  </w:style>
  <w:style w:type="character" w:customStyle="1" w:styleId="19">
    <w:name w:val="批注框文本 Char"/>
    <w:basedOn w:val="11"/>
    <w:link w:val="4"/>
    <w:semiHidden/>
    <w:qFormat/>
    <w:uiPriority w:val="99"/>
    <w:rPr>
      <w:sz w:val="18"/>
      <w:szCs w:val="18"/>
    </w:rPr>
  </w:style>
  <w:style w:type="paragraph" w:customStyle="1" w:styleId="20">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1">
    <w:name w:val="标题 1 Char"/>
    <w:basedOn w:val="11"/>
    <w:link w:val="2"/>
    <w:qFormat/>
    <w:uiPriority w:val="9"/>
    <w:rPr>
      <w:b/>
      <w:bCs/>
      <w:kern w:val="44"/>
      <w:sz w:val="44"/>
      <w:szCs w:val="44"/>
    </w:rPr>
  </w:style>
  <w:style w:type="paragraph" w:customStyle="1" w:styleId="22">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E5C7-3504-4103-A9E8-EEDDD968EED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12878</Words>
  <Characters>16732</Characters>
  <Lines>132</Lines>
  <Paragraphs>37</Paragraphs>
  <TotalTime>0</TotalTime>
  <ScaleCrop>false</ScaleCrop>
  <LinksUpToDate>false</LinksUpToDate>
  <CharactersWithSpaces>17055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2017-11-17T07:00:00Z</dcterms:created>
  <dc:creator>Guozhen Liu</dc:creator>
  <cp:lastModifiedBy>太极箫客</cp:lastModifiedBy>
  <dcterms:modified xsi:type="dcterms:W3CDTF">2025-08-14T06:50:01Z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1285795790</vt:i4>
  </property>
  <property fmtid="{D5CDD505-2E9C-101B-9397-08002B2CF9AE}" pid="3" name="KSOTemplateDocerSaveRecord">
    <vt:lpwstr>eyJoZGlkIjoiMDJiMzI3ODBiNTFmMWRjNDUyMjM1ZmZjODY5NDc2MWMiLCJ1c2VySWQiOiI0NTQ4Nzg1NzAifQ==</vt:lpwstr>
  </property>
  <property fmtid="{D5CDD505-2E9C-101B-9397-08002B2CF9AE}" pid="4" name="KSOProductBuildVer">
    <vt:lpwstr>2052-12.1.0.21915</vt:lpwstr>
  </property>
  <property fmtid="{D5CDD505-2E9C-101B-9397-08002B2CF9AE}" pid="5" name="ICV">
    <vt:lpwstr>24F82FBDC42549EA9B0C142100560DDC_12</vt:lpwstr>
  </property>
</Properties>
</file>