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B7D3">
      <w:pPr>
        <w:pBdr>
          <w:bottom w:val="single" w:color="auto" w:sz="4" w:space="1"/>
        </w:pBdr>
        <w:snapToGrid w:val="0"/>
        <w:spacing w:after="156" w:afterLines="50" w:line="300" w:lineRule="auto"/>
        <w:jc w:val="center"/>
        <w:rPr>
          <w:rFonts w:ascii="Arial" w:hAnsi="Arial" w:eastAsia="宋体" w:cs="Arial"/>
          <w:b/>
          <w:sz w:val="48"/>
          <w:szCs w:val="48"/>
        </w:rPr>
      </w:pPr>
      <w:bookmarkStart w:id="52" w:name="_GoBack"/>
      <w:bookmarkEnd w:id="52"/>
      <w:r>
        <w:rPr>
          <w:rFonts w:ascii="Arial" w:hAnsi="Arial" w:eastAsia="宋体" w:cs="Arial"/>
          <w:b/>
          <w:sz w:val="48"/>
          <w:szCs w:val="48"/>
        </w:rPr>
        <w:t>行业、FDA工作人员和临床实验室</w:t>
      </w:r>
      <w:r>
        <w:rPr>
          <w:rFonts w:hint="eastAsia" w:ascii="Arial" w:hAnsi="Arial" w:eastAsia="宋体" w:cs="Arial"/>
          <w:b/>
          <w:sz w:val="48"/>
          <w:szCs w:val="48"/>
        </w:rPr>
        <w:br w:type="textWrapping"/>
      </w:r>
      <w:r>
        <w:rPr>
          <w:rFonts w:ascii="Arial" w:hAnsi="Arial" w:eastAsia="宋体" w:cs="Arial"/>
          <w:b/>
          <w:sz w:val="48"/>
          <w:szCs w:val="48"/>
        </w:rPr>
        <w:t>指南草案</w:t>
      </w:r>
    </w:p>
    <w:p w14:paraId="04FDDE9C">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实验室开发检测（LDT）的监管框架</w:t>
      </w:r>
    </w:p>
    <w:p w14:paraId="1A51B67B">
      <w:pPr>
        <w:snapToGrid w:val="0"/>
        <w:spacing w:after="156" w:afterLines="50" w:line="300" w:lineRule="auto"/>
        <w:jc w:val="center"/>
        <w:rPr>
          <w:rFonts w:ascii="Arial" w:hAnsi="Arial" w:eastAsia="宋体" w:cs="Arial"/>
          <w:b/>
          <w:i/>
          <w:sz w:val="30"/>
          <w:szCs w:val="30"/>
        </w:rPr>
      </w:pPr>
      <w:r>
        <w:rPr>
          <w:rFonts w:ascii="Arial" w:hAnsi="Arial" w:eastAsia="宋体" w:cs="Arial"/>
          <w:b/>
          <w:i/>
          <w:sz w:val="30"/>
          <w:szCs w:val="30"/>
        </w:rPr>
        <w:t>指南草案</w:t>
      </w:r>
    </w:p>
    <w:p w14:paraId="19A3F1FA">
      <w:pPr>
        <w:snapToGrid w:val="0"/>
        <w:spacing w:after="156" w:afterLines="50" w:line="300" w:lineRule="auto"/>
        <w:jc w:val="center"/>
        <w:rPr>
          <w:rFonts w:ascii="Arial" w:hAnsi="Arial" w:eastAsia="宋体" w:cs="Arial"/>
          <w:b/>
          <w:i/>
          <w:sz w:val="30"/>
          <w:szCs w:val="30"/>
        </w:rPr>
      </w:pPr>
    </w:p>
    <w:p w14:paraId="4BD23BD0">
      <w:pPr>
        <w:snapToGrid w:val="0"/>
        <w:spacing w:line="300" w:lineRule="auto"/>
        <w:jc w:val="center"/>
        <w:rPr>
          <w:rFonts w:ascii="Arial" w:hAnsi="Arial" w:eastAsia="宋体" w:cs="Arial"/>
          <w:b/>
          <w:sz w:val="24"/>
          <w:szCs w:val="24"/>
        </w:rPr>
      </w:pPr>
      <w:r>
        <w:rPr>
          <w:rFonts w:hint="eastAsia" w:ascii="Arial" w:hAnsi="Arial" w:eastAsia="宋体" w:cs="Arial"/>
          <w:b/>
          <w:sz w:val="24"/>
          <w:szCs w:val="24"/>
        </w:rPr>
        <w:t>本指南草案公布的目的仅用于征询意见、建议用途。</w:t>
      </w:r>
    </w:p>
    <w:p w14:paraId="5B4D7E11">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文件发布日期：2014年10月3日</w:t>
      </w:r>
    </w:p>
    <w:p w14:paraId="46EA3468">
      <w:pPr>
        <w:pStyle w:val="18"/>
        <w:snapToGrid w:val="0"/>
        <w:spacing w:after="156" w:afterLines="50" w:line="300" w:lineRule="auto"/>
      </w:pPr>
      <w:r>
        <w:rPr>
          <w:rFonts w:ascii="Arial" w:hAnsi="Arial" w:eastAsia="宋体" w:cs="Arial"/>
        </w:rPr>
        <w:t>关于本草案文件的任何评论及建议，请于联邦公报刊载草案文件发布通知的120天内提交。评论请提交至食品药品监督管理局案卷管理科（HFA-305）（5630 Fishers Lane，rm. 1061，Rockville，MD 20852）。您也可以通过网址</w:t>
      </w:r>
      <w:r>
        <w:rPr>
          <w:rFonts w:ascii="Arial" w:hAnsi="Arial" w:cs="Arial"/>
          <w:color w:val="0000FF"/>
          <w:u w:val="single"/>
        </w:rPr>
        <w:t>http://www.regulations.gov</w:t>
      </w:r>
      <w:r>
        <w:rPr>
          <w:color w:val="0000FF"/>
          <w:sz w:val="23"/>
          <w:szCs w:val="23"/>
        </w:rPr>
        <w:t xml:space="preserve"> </w:t>
      </w:r>
      <w:r>
        <w:rPr>
          <w:rFonts w:ascii="Arial" w:hAnsi="Arial" w:eastAsia="宋体" w:cs="Arial"/>
        </w:rPr>
        <w:t>提交电子版评论。所有评论应注明案卷编号，该编号在联邦公报上公布的可用性通知中列出。</w:t>
      </w:r>
    </w:p>
    <w:p w14:paraId="21E958A5">
      <w:pPr>
        <w:snapToGrid w:val="0"/>
        <w:spacing w:after="156" w:afterLines="50" w:line="300" w:lineRule="auto"/>
        <w:rPr>
          <w:rFonts w:ascii="Arial" w:hAnsi="Arial" w:eastAsia="宋体" w:cs="Arial"/>
          <w:sz w:val="24"/>
          <w:szCs w:val="24"/>
        </w:rPr>
      </w:pPr>
      <w:r>
        <w:rPr>
          <w:rFonts w:ascii="Arial" w:hAnsi="Arial" w:eastAsia="宋体" w:cs="Arial"/>
          <w:sz w:val="24"/>
          <w:szCs w:val="24"/>
        </w:rPr>
        <w:t>关于草案文件的任何问题，请联系</w:t>
      </w:r>
      <w:r>
        <w:rPr>
          <w:rFonts w:ascii="Arial" w:hAnsi="Arial" w:eastAsia="宋体" w:cs="Arial"/>
          <w:color w:val="0000FF"/>
          <w:sz w:val="24"/>
          <w:szCs w:val="24"/>
          <w:u w:val="single"/>
        </w:rPr>
        <w:t>LDTframework@fda.hhs.gov</w:t>
      </w:r>
      <w:r>
        <w:rPr>
          <w:rFonts w:ascii="Arial" w:hAnsi="Arial" w:eastAsia="宋体" w:cs="Arial"/>
          <w:sz w:val="24"/>
          <w:szCs w:val="24"/>
        </w:rPr>
        <w:t>。关于本文件在CBER监管下器械应用的相关问题，请通过电话1-800-835-4709或240-402-7800，或通过邮件ocod@fda.hhs.gov联系CBER沟通、外联和发展办公室。</w:t>
      </w:r>
    </w:p>
    <w:p w14:paraId="664358A1">
      <w:pPr>
        <w:snapToGrid w:val="0"/>
        <w:spacing w:line="300" w:lineRule="auto"/>
        <w:jc w:val="right"/>
        <w:rPr>
          <w:rFonts w:ascii="Arial" w:hAnsi="Arial" w:eastAsia="宋体" w:cs="Arial"/>
          <w:b/>
          <w:sz w:val="24"/>
          <w:szCs w:val="24"/>
        </w:rPr>
      </w:pPr>
    </w:p>
    <w:p w14:paraId="40ABF360">
      <w:pPr>
        <w:snapToGrid w:val="0"/>
        <w:spacing w:line="300" w:lineRule="auto"/>
        <w:jc w:val="right"/>
        <w:rPr>
          <w:rFonts w:ascii="Arial" w:hAnsi="Arial" w:eastAsia="宋体" w:cs="Arial"/>
          <w:b/>
          <w:sz w:val="24"/>
          <w:szCs w:val="24"/>
        </w:rPr>
      </w:pPr>
    </w:p>
    <w:p w14:paraId="1FA49061">
      <w:pPr>
        <w:snapToGrid w:val="0"/>
        <w:spacing w:line="300" w:lineRule="auto"/>
        <w:jc w:val="right"/>
        <w:rPr>
          <w:rFonts w:ascii="Arial" w:hAnsi="Arial" w:eastAsia="宋体" w:cs="Arial"/>
          <w:b/>
          <w:sz w:val="24"/>
          <w:szCs w:val="24"/>
        </w:rPr>
      </w:pPr>
    </w:p>
    <w:p w14:paraId="07439F4D">
      <w:pPr>
        <w:snapToGrid w:val="0"/>
        <w:spacing w:line="300" w:lineRule="auto"/>
        <w:jc w:val="right"/>
        <w:rPr>
          <w:rFonts w:ascii="Arial" w:hAnsi="Arial" w:eastAsia="宋体" w:cs="Arial"/>
          <w:b/>
          <w:sz w:val="24"/>
          <w:szCs w:val="24"/>
        </w:rPr>
      </w:pPr>
    </w:p>
    <w:p w14:paraId="4842FA14">
      <w:pPr>
        <w:snapToGrid w:val="0"/>
        <w:spacing w:line="300" w:lineRule="auto"/>
        <w:jc w:val="right"/>
        <w:rPr>
          <w:rFonts w:ascii="Arial" w:hAnsi="Arial" w:eastAsia="宋体" w:cs="Arial"/>
          <w:b/>
          <w:sz w:val="24"/>
          <w:szCs w:val="24"/>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961390" cy="1904365"/>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61390" cy="1904365"/>
                    </a:xfrm>
                    <a:prstGeom prst="rect">
                      <a:avLst/>
                    </a:prstGeom>
                  </pic:spPr>
                </pic:pic>
              </a:graphicData>
            </a:graphic>
          </wp:anchor>
        </w:drawing>
      </w:r>
    </w:p>
    <w:p w14:paraId="0FFA63C6">
      <w:pPr>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13D24E64">
      <w:pPr>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0616134B">
      <w:pPr>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17EEEA3B">
      <w:pPr>
        <w:snapToGrid w:val="0"/>
        <w:spacing w:line="300" w:lineRule="auto"/>
        <w:jc w:val="right"/>
        <w:rPr>
          <w:rFonts w:ascii="Arial" w:hAnsi="Arial" w:eastAsia="宋体" w:cs="Arial"/>
          <w:b/>
          <w:sz w:val="24"/>
          <w:szCs w:val="24"/>
        </w:rPr>
      </w:pPr>
      <w:r>
        <w:rPr>
          <w:rFonts w:ascii="Arial" w:hAnsi="Arial" w:eastAsia="宋体" w:cs="Arial"/>
          <w:b/>
          <w:sz w:val="24"/>
          <w:szCs w:val="24"/>
        </w:rPr>
        <w:t>体外诊断器械评价和安全性办公室</w:t>
      </w:r>
    </w:p>
    <w:p w14:paraId="35253F6F">
      <w:pPr>
        <w:snapToGrid w:val="0"/>
        <w:spacing w:line="300" w:lineRule="auto"/>
        <w:jc w:val="right"/>
        <w:rPr>
          <w:rFonts w:ascii="Arial" w:hAnsi="Arial" w:eastAsia="宋体" w:cs="Arial"/>
          <w:b/>
          <w:sz w:val="24"/>
          <w:szCs w:val="24"/>
        </w:rPr>
      </w:pPr>
    </w:p>
    <w:p w14:paraId="439CA5EF">
      <w:pPr>
        <w:snapToGrid w:val="0"/>
        <w:spacing w:line="300" w:lineRule="auto"/>
        <w:jc w:val="right"/>
        <w:rPr>
          <w:rFonts w:ascii="Arial" w:hAnsi="Arial" w:eastAsia="宋体" w:cs="Arial"/>
          <w:b/>
          <w:sz w:val="24"/>
          <w:szCs w:val="24"/>
        </w:rPr>
      </w:pPr>
      <w:r>
        <w:rPr>
          <w:rFonts w:ascii="Arial" w:hAnsi="Arial" w:eastAsia="宋体" w:cs="Arial"/>
          <w:b/>
          <w:sz w:val="24"/>
          <w:szCs w:val="24"/>
        </w:rPr>
        <w:t>生物制剂评价和研究中心</w:t>
      </w:r>
    </w:p>
    <w:p w14:paraId="6B96AD1F">
      <w:pPr>
        <w:widowControl/>
        <w:snapToGrid w:val="0"/>
        <w:spacing w:after="156" w:afterLines="50" w:line="300" w:lineRule="auto"/>
        <w:rPr>
          <w:rFonts w:ascii="Arial" w:hAnsi="Arial" w:eastAsia="宋体" w:cs="Arial"/>
        </w:rPr>
      </w:pPr>
      <w:r>
        <w:rPr>
          <w:rFonts w:ascii="Arial" w:hAnsi="Arial" w:eastAsia="宋体" w:cs="Arial"/>
        </w:rPr>
        <w:br w:type="page"/>
      </w:r>
    </w:p>
    <w:p w14:paraId="0E7C5C4D">
      <w:pPr>
        <w:snapToGrid w:val="0"/>
        <w:spacing w:after="156" w:afterLines="50" w:line="300" w:lineRule="auto"/>
        <w:jc w:val="center"/>
        <w:rPr>
          <w:rFonts w:ascii="Arial" w:hAnsi="Arial" w:eastAsia="宋体" w:cs="Arial"/>
          <w:b/>
          <w:sz w:val="36"/>
          <w:szCs w:val="36"/>
        </w:rPr>
      </w:pPr>
      <w:r>
        <w:rPr>
          <w:rFonts w:ascii="Arial" w:hAnsi="Arial" w:eastAsia="宋体" w:cs="Arial"/>
          <w:b/>
          <w:sz w:val="36"/>
          <w:szCs w:val="36"/>
        </w:rPr>
        <w:t>前言</w:t>
      </w:r>
    </w:p>
    <w:p w14:paraId="53EDA7F3">
      <w:pPr>
        <w:snapToGrid w:val="0"/>
        <w:spacing w:after="156" w:afterLines="50" w:line="300" w:lineRule="auto"/>
        <w:rPr>
          <w:rFonts w:ascii="Arial" w:hAnsi="Arial" w:eastAsia="宋体" w:cs="Arial"/>
          <w:b/>
          <w:sz w:val="32"/>
          <w:szCs w:val="32"/>
        </w:rPr>
      </w:pPr>
      <w:r>
        <w:rPr>
          <w:rFonts w:ascii="Arial" w:hAnsi="Arial" w:eastAsia="宋体" w:cs="Arial"/>
          <w:b/>
          <w:sz w:val="32"/>
          <w:szCs w:val="32"/>
        </w:rPr>
        <w:t>其他副本</w:t>
      </w:r>
    </w:p>
    <w:p w14:paraId="5F50F509">
      <w:pPr>
        <w:snapToGrid w:val="0"/>
        <w:spacing w:after="156" w:afterLines="50" w:line="300" w:lineRule="auto"/>
        <w:rPr>
          <w:rFonts w:ascii="Arial" w:hAnsi="Arial" w:eastAsia="宋体" w:cs="Arial"/>
          <w:sz w:val="24"/>
          <w:szCs w:val="24"/>
        </w:rPr>
      </w:pPr>
      <w:r>
        <w:rPr>
          <w:rFonts w:ascii="Arial" w:hAnsi="Arial" w:eastAsia="宋体" w:cs="Arial"/>
          <w:sz w:val="24"/>
          <w:szCs w:val="24"/>
        </w:rPr>
        <w:t>其他副本可从互联网获得。您还可以向</w:t>
      </w:r>
      <w:r>
        <w:rPr>
          <w:rFonts w:ascii="Arial" w:hAnsi="Arial" w:eastAsia="宋体" w:cs="Arial"/>
          <w:color w:val="0000FF"/>
          <w:sz w:val="24"/>
          <w:szCs w:val="24"/>
          <w:u w:val="single"/>
        </w:rPr>
        <w:t>CDRH-Guidance@fda.hhs.gov</w:t>
      </w:r>
      <w:r>
        <w:rPr>
          <w:rFonts w:ascii="Arial" w:hAnsi="Arial" w:eastAsia="宋体" w:cs="Arial"/>
          <w:sz w:val="24"/>
          <w:szCs w:val="24"/>
        </w:rPr>
        <w:t>发送电子邮件请求以接收本指南的电子副本。请使用文件编号173</w:t>
      </w:r>
      <w:r>
        <w:rPr>
          <w:rFonts w:hint="eastAsia" w:ascii="Arial" w:hAnsi="Arial" w:eastAsia="宋体" w:cs="Arial"/>
          <w:sz w:val="24"/>
          <w:szCs w:val="24"/>
        </w:rPr>
        <w:t>9</w:t>
      </w:r>
      <w:r>
        <w:rPr>
          <w:rFonts w:ascii="Arial" w:hAnsi="Arial" w:eastAsia="宋体" w:cs="Arial"/>
          <w:sz w:val="24"/>
          <w:szCs w:val="24"/>
        </w:rPr>
        <w:t>来注明您所要求获得的指南。</w:t>
      </w:r>
    </w:p>
    <w:p w14:paraId="3FD5395B">
      <w:pPr>
        <w:snapToGrid w:val="0"/>
        <w:spacing w:after="156" w:afterLines="50" w:line="300" w:lineRule="auto"/>
        <w:rPr>
          <w:rFonts w:ascii="Arial" w:hAnsi="Arial" w:eastAsia="宋体" w:cs="Arial"/>
          <w:sz w:val="24"/>
          <w:szCs w:val="24"/>
        </w:rPr>
      </w:pPr>
      <w:r>
        <w:rPr>
          <w:rFonts w:ascii="Arial" w:hAnsi="Arial" w:eastAsia="宋体" w:cs="Arial"/>
          <w:sz w:val="24"/>
          <w:szCs w:val="24"/>
        </w:rPr>
        <w:t>或，联系：</w:t>
      </w:r>
    </w:p>
    <w:p w14:paraId="72061ECA">
      <w:pPr>
        <w:snapToGrid w:val="0"/>
        <w:spacing w:line="300" w:lineRule="auto"/>
        <w:rPr>
          <w:rFonts w:ascii="Arial" w:hAnsi="Arial" w:eastAsia="宋体" w:cs="Arial"/>
          <w:sz w:val="24"/>
          <w:szCs w:val="24"/>
        </w:rPr>
      </w:pPr>
      <w:r>
        <w:rPr>
          <w:rFonts w:ascii="Arial" w:hAnsi="Arial" w:eastAsia="宋体" w:cs="Arial"/>
          <w:sz w:val="24"/>
          <w:szCs w:val="24"/>
        </w:rPr>
        <w:t>沟通、外联和发展办公室</w:t>
      </w:r>
    </w:p>
    <w:p w14:paraId="6FD81734">
      <w:pPr>
        <w:snapToGrid w:val="0"/>
        <w:spacing w:line="300" w:lineRule="auto"/>
        <w:rPr>
          <w:rFonts w:ascii="Arial" w:hAnsi="Arial" w:eastAsia="宋体" w:cs="Arial"/>
          <w:sz w:val="24"/>
          <w:szCs w:val="24"/>
        </w:rPr>
      </w:pPr>
      <w:r>
        <w:rPr>
          <w:rFonts w:ascii="Arial" w:hAnsi="Arial" w:eastAsia="宋体" w:cs="Arial"/>
          <w:sz w:val="24"/>
          <w:szCs w:val="24"/>
        </w:rPr>
        <w:t>生物制剂评价和研究中心</w:t>
      </w:r>
    </w:p>
    <w:p w14:paraId="4FFF0E6A">
      <w:pPr>
        <w:snapToGrid w:val="0"/>
        <w:spacing w:line="300" w:lineRule="auto"/>
        <w:rPr>
          <w:rFonts w:ascii="Arial" w:hAnsi="Arial" w:eastAsia="宋体" w:cs="Arial"/>
          <w:sz w:val="24"/>
          <w:szCs w:val="24"/>
        </w:rPr>
      </w:pPr>
      <w:r>
        <w:rPr>
          <w:rFonts w:ascii="Arial" w:hAnsi="Arial" w:eastAsia="宋体" w:cs="Arial"/>
          <w:sz w:val="24"/>
          <w:szCs w:val="24"/>
        </w:rPr>
        <w:t>食品药品监督管理局</w:t>
      </w:r>
    </w:p>
    <w:p w14:paraId="06D8E156">
      <w:pPr>
        <w:snapToGrid w:val="0"/>
        <w:spacing w:line="300" w:lineRule="auto"/>
        <w:jc w:val="left"/>
        <w:rPr>
          <w:rFonts w:ascii="Arial" w:hAnsi="Arial" w:eastAsia="宋体" w:cs="Arial"/>
          <w:sz w:val="24"/>
          <w:szCs w:val="24"/>
        </w:rPr>
      </w:pPr>
      <w:r>
        <w:rPr>
          <w:rFonts w:ascii="Arial" w:hAnsi="Arial" w:eastAsia="宋体" w:cs="Arial"/>
          <w:sz w:val="24"/>
          <w:szCs w:val="24"/>
        </w:rPr>
        <w:t>10903 New Hampshire Ave.，Bldg. 71，rm. 3128，Silver Spring，MD 20993-0002</w:t>
      </w:r>
    </w:p>
    <w:p w14:paraId="49495823">
      <w:pPr>
        <w:snapToGrid w:val="0"/>
        <w:spacing w:line="300" w:lineRule="auto"/>
        <w:jc w:val="left"/>
        <w:rPr>
          <w:rFonts w:ascii="Arial" w:hAnsi="Arial" w:eastAsia="宋体" w:cs="Arial"/>
          <w:sz w:val="24"/>
          <w:szCs w:val="24"/>
        </w:rPr>
      </w:pPr>
      <w:r>
        <w:rPr>
          <w:rFonts w:ascii="Arial" w:hAnsi="Arial" w:eastAsia="宋体" w:cs="Arial"/>
          <w:sz w:val="24"/>
          <w:szCs w:val="24"/>
        </w:rPr>
        <w:t>网址：</w:t>
      </w:r>
      <w:r>
        <w:rPr>
          <w:rFonts w:ascii="Arial" w:hAnsi="Arial" w:eastAsia="宋体" w:cs="Arial"/>
          <w:color w:val="0000FF"/>
          <w:sz w:val="24"/>
          <w:szCs w:val="24"/>
          <w:u w:val="single"/>
        </w:rPr>
        <w:t>http://www.fda.gov/BiologicsBloodVaccines/GuidanceComplianceRegulatoryInformation/default.htm</w:t>
      </w:r>
    </w:p>
    <w:p w14:paraId="1DC723E3">
      <w:pPr>
        <w:snapToGrid w:val="0"/>
        <w:spacing w:line="300" w:lineRule="auto"/>
        <w:rPr>
          <w:rFonts w:ascii="Arial" w:hAnsi="Arial" w:eastAsia="宋体" w:cs="Arial"/>
          <w:sz w:val="24"/>
          <w:szCs w:val="24"/>
        </w:rPr>
      </w:pPr>
      <w:r>
        <w:rPr>
          <w:rFonts w:ascii="Arial" w:hAnsi="Arial" w:eastAsia="宋体" w:cs="Arial"/>
          <w:sz w:val="24"/>
          <w:szCs w:val="24"/>
        </w:rPr>
        <w:t>电话：800-835-4709 或240-402-7800</w:t>
      </w:r>
    </w:p>
    <w:p w14:paraId="7BB887E3">
      <w:pPr>
        <w:snapToGrid w:val="0"/>
        <w:spacing w:after="156" w:afterLines="50" w:line="300" w:lineRule="auto"/>
        <w:rPr>
          <w:rFonts w:ascii="Arial" w:hAnsi="Arial" w:eastAsia="宋体" w:cs="Arial"/>
          <w:sz w:val="24"/>
          <w:szCs w:val="24"/>
        </w:rPr>
      </w:pPr>
      <w:r>
        <w:rPr>
          <w:rFonts w:hint="eastAsia" w:ascii="Arial" w:hAnsi="Arial" w:eastAsia="宋体" w:cs="Arial"/>
          <w:sz w:val="24"/>
          <w:szCs w:val="24"/>
        </w:rPr>
        <w:t>邮箱</w:t>
      </w:r>
      <w:r>
        <w:rPr>
          <w:rFonts w:ascii="Arial" w:hAnsi="Arial" w:eastAsia="宋体" w:cs="Arial"/>
          <w:sz w:val="24"/>
          <w:szCs w:val="24"/>
        </w:rPr>
        <w:t>：</w:t>
      </w:r>
      <w:r>
        <w:fldChar w:fldCharType="begin"/>
      </w:r>
      <w:r>
        <w:instrText xml:space="preserve"> HYPERLINK "mailto:ocod@fda.hhs.gov" </w:instrText>
      </w:r>
      <w:r>
        <w:fldChar w:fldCharType="separate"/>
      </w:r>
      <w:r>
        <w:rPr>
          <w:rStyle w:val="12"/>
          <w:rFonts w:ascii="Arial" w:hAnsi="Arial" w:eastAsia="宋体" w:cs="Arial"/>
          <w:color w:val="0000FF"/>
          <w:sz w:val="24"/>
          <w:szCs w:val="24"/>
        </w:rPr>
        <w:t>ocod@fda.hhs.gov</w:t>
      </w:r>
      <w:r>
        <w:rPr>
          <w:rStyle w:val="12"/>
          <w:rFonts w:ascii="Arial" w:hAnsi="Arial" w:eastAsia="宋体" w:cs="Arial"/>
          <w:color w:val="0000FF"/>
          <w:sz w:val="24"/>
          <w:szCs w:val="24"/>
        </w:rPr>
        <w:fldChar w:fldCharType="end"/>
      </w:r>
    </w:p>
    <w:p w14:paraId="71421A28">
      <w:pPr>
        <w:widowControl/>
        <w:snapToGrid w:val="0"/>
        <w:spacing w:after="156" w:afterLines="50" w:line="300" w:lineRule="auto"/>
        <w:rPr>
          <w:rFonts w:ascii="Arial" w:hAnsi="Arial" w:eastAsia="宋体" w:cs="Arial"/>
          <w:sz w:val="24"/>
          <w:szCs w:val="24"/>
        </w:rPr>
      </w:pPr>
      <w:r>
        <w:rPr>
          <w:rFonts w:ascii="Arial" w:hAnsi="Arial" w:eastAsia="宋体" w:cs="Arial"/>
          <w:sz w:val="24"/>
          <w:szCs w:val="24"/>
        </w:rPr>
        <w:br w:type="page"/>
      </w:r>
    </w:p>
    <w:p w14:paraId="0FF252C4">
      <w:pPr>
        <w:snapToGrid w:val="0"/>
        <w:spacing w:after="156" w:afterLines="50" w:line="300" w:lineRule="auto"/>
        <w:jc w:val="center"/>
        <w:rPr>
          <w:rFonts w:ascii="Arial" w:hAnsi="Arial" w:eastAsia="宋体" w:cs="Arial"/>
          <w:b/>
          <w:sz w:val="36"/>
          <w:szCs w:val="36"/>
        </w:rPr>
      </w:pPr>
      <w:r>
        <w:rPr>
          <w:rFonts w:ascii="Arial" w:hAnsi="Arial" w:eastAsia="宋体" w:cs="Arial"/>
          <w:b/>
          <w:sz w:val="36"/>
          <w:szCs w:val="36"/>
        </w:rPr>
        <w:t>目录</w:t>
      </w:r>
    </w:p>
    <w:sdt>
      <w:sdtPr>
        <w:rPr>
          <w:rFonts w:asciiTheme="minorHAnsi" w:hAnsiTheme="minorHAnsi" w:eastAsiaTheme="minorEastAsia" w:cstheme="minorBidi"/>
          <w:b w:val="0"/>
          <w:bCs w:val="0"/>
          <w:color w:val="auto"/>
          <w:kern w:val="2"/>
          <w:sz w:val="21"/>
          <w:szCs w:val="22"/>
          <w:lang w:val="zh-CN"/>
        </w:rPr>
        <w:id w:val="-1929179701"/>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6580C459">
          <w:pPr>
            <w:pStyle w:val="21"/>
            <w:snapToGrid w:val="0"/>
            <w:spacing w:before="0" w:line="300" w:lineRule="auto"/>
          </w:pPr>
        </w:p>
        <w:p w14:paraId="37EE3E8E">
          <w:pPr>
            <w:pStyle w:val="6"/>
            <w:tabs>
              <w:tab w:val="left" w:pos="630"/>
              <w:tab w:val="right" w:leader="dot" w:pos="8296"/>
            </w:tabs>
            <w:rPr>
              <w:rFonts w:eastAsiaTheme="minorEastAsia"/>
              <w:sz w:val="21"/>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"_Toc498346738" </w:instrText>
          </w:r>
          <w:r>
            <w:fldChar w:fldCharType="separate"/>
          </w:r>
          <w:r>
            <w:rPr>
              <w:rStyle w:val="12"/>
              <w:rFonts w:ascii="Arial" w:hAnsi="Arial" w:cs="Arial"/>
              <w:b/>
            </w:rPr>
            <w:t>A.</w:t>
          </w:r>
          <w:r>
            <w:rPr>
              <w:rFonts w:eastAsiaTheme="minorEastAsia"/>
              <w:sz w:val="21"/>
            </w:rPr>
            <w:tab/>
          </w:r>
          <w:r>
            <w:rPr>
              <w:rStyle w:val="12"/>
              <w:rFonts w:hint="eastAsia" w:ascii="Arial" w:hAnsi="Arial" w:cs="Arial"/>
              <w:b/>
            </w:rPr>
            <w:t>引言</w:t>
          </w:r>
          <w:r>
            <w:tab/>
          </w:r>
          <w:r>
            <w:fldChar w:fldCharType="begin"/>
          </w:r>
          <w:r>
            <w:instrText xml:space="preserve"> PAGEREF _Toc498346738 \h </w:instrText>
          </w:r>
          <w:r>
            <w:fldChar w:fldCharType="separate"/>
          </w:r>
          <w:r>
            <w:t>4</w:t>
          </w:r>
          <w:r>
            <w:fldChar w:fldCharType="end"/>
          </w:r>
          <w:r>
            <w:fldChar w:fldCharType="end"/>
          </w:r>
        </w:p>
        <w:p w14:paraId="49E2AE51">
          <w:pPr>
            <w:pStyle w:val="6"/>
            <w:tabs>
              <w:tab w:val="left" w:pos="630"/>
              <w:tab w:val="right" w:leader="dot" w:pos="8296"/>
            </w:tabs>
            <w:rPr>
              <w:rFonts w:eastAsiaTheme="minorEastAsia"/>
              <w:sz w:val="21"/>
            </w:rPr>
          </w:pPr>
          <w:r>
            <w:fldChar w:fldCharType="begin"/>
          </w:r>
          <w:r>
            <w:instrText xml:space="preserve"> HYPERLINK \l "_Toc498346739" </w:instrText>
          </w:r>
          <w:r>
            <w:fldChar w:fldCharType="separate"/>
          </w:r>
          <w:r>
            <w:rPr>
              <w:rStyle w:val="12"/>
              <w:rFonts w:ascii="Arial" w:hAnsi="Arial" w:cs="Arial"/>
              <w:b/>
            </w:rPr>
            <w:t>B.</w:t>
          </w:r>
          <w:r>
            <w:rPr>
              <w:rFonts w:eastAsiaTheme="minorEastAsia"/>
              <w:sz w:val="21"/>
            </w:rPr>
            <w:tab/>
          </w:r>
          <w:r>
            <w:rPr>
              <w:rStyle w:val="12"/>
              <w:rFonts w:ascii="Arial" w:hAnsi="Arial" w:cs="Arial"/>
              <w:b/>
            </w:rPr>
            <w:t>LDT</w:t>
          </w:r>
          <w:r>
            <w:rPr>
              <w:rStyle w:val="12"/>
              <w:rFonts w:hint="eastAsia" w:ascii="Arial" w:hAnsi="Arial" w:cs="Arial"/>
              <w:b/>
            </w:rPr>
            <w:t>定义和指南范围</w:t>
          </w:r>
          <w:r>
            <w:tab/>
          </w:r>
          <w:r>
            <w:fldChar w:fldCharType="begin"/>
          </w:r>
          <w:r>
            <w:instrText xml:space="preserve"> PAGEREF _Toc498346739 \h </w:instrText>
          </w:r>
          <w:r>
            <w:fldChar w:fldCharType="separate"/>
          </w:r>
          <w:r>
            <w:t>5</w:t>
          </w:r>
          <w:r>
            <w:fldChar w:fldCharType="end"/>
          </w:r>
          <w:r>
            <w:fldChar w:fldCharType="end"/>
          </w:r>
        </w:p>
        <w:p w14:paraId="18464660">
          <w:pPr>
            <w:pStyle w:val="6"/>
            <w:tabs>
              <w:tab w:val="left" w:pos="630"/>
              <w:tab w:val="right" w:leader="dot" w:pos="8296"/>
            </w:tabs>
            <w:rPr>
              <w:rFonts w:eastAsiaTheme="minorEastAsia"/>
              <w:sz w:val="21"/>
            </w:rPr>
          </w:pPr>
          <w:r>
            <w:fldChar w:fldCharType="begin"/>
          </w:r>
          <w:r>
            <w:instrText xml:space="preserve"> HYPERLINK \l "_Toc498346740" </w:instrText>
          </w:r>
          <w:r>
            <w:fldChar w:fldCharType="separate"/>
          </w:r>
          <w:r>
            <w:rPr>
              <w:rStyle w:val="12"/>
              <w:rFonts w:ascii="Arial" w:hAnsi="Arial" w:cs="Arial"/>
              <w:b/>
            </w:rPr>
            <w:t>C.</w:t>
          </w:r>
          <w:r>
            <w:rPr>
              <w:rFonts w:eastAsiaTheme="minorEastAsia"/>
              <w:sz w:val="21"/>
            </w:rPr>
            <w:tab/>
          </w:r>
          <w:r>
            <w:rPr>
              <w:rStyle w:val="12"/>
              <w:rFonts w:hint="eastAsia" w:ascii="Arial" w:hAnsi="Arial" w:cs="Arial"/>
              <w:b/>
            </w:rPr>
            <w:t>背景</w:t>
          </w:r>
          <w:r>
            <w:tab/>
          </w:r>
          <w:r>
            <w:fldChar w:fldCharType="begin"/>
          </w:r>
          <w:r>
            <w:instrText xml:space="preserve"> PAGEREF _Toc498346740 \h </w:instrText>
          </w:r>
          <w:r>
            <w:fldChar w:fldCharType="separate"/>
          </w:r>
          <w:r>
            <w:t>6</w:t>
          </w:r>
          <w:r>
            <w:fldChar w:fldCharType="end"/>
          </w:r>
          <w:r>
            <w:fldChar w:fldCharType="end"/>
          </w:r>
        </w:p>
        <w:p w14:paraId="5B068865">
          <w:pPr>
            <w:pStyle w:val="8"/>
            <w:tabs>
              <w:tab w:val="left" w:pos="840"/>
              <w:tab w:val="right" w:leader="dot" w:pos="8296"/>
            </w:tabs>
            <w:ind w:left="420"/>
          </w:pPr>
          <w:r>
            <w:fldChar w:fldCharType="begin"/>
          </w:r>
          <w:r>
            <w:instrText xml:space="preserve"> HYPERLINK \l "_Toc498346741" </w:instrText>
          </w:r>
          <w:r>
            <w:fldChar w:fldCharType="separate"/>
          </w:r>
          <w:r>
            <w:rPr>
              <w:rStyle w:val="12"/>
              <w:rFonts w:ascii="Arial" w:hAnsi="Arial" w:eastAsia="宋体" w:cs="Arial"/>
              <w:b/>
            </w:rPr>
            <w:t>1.</w:t>
          </w:r>
          <w:r>
            <w:tab/>
          </w:r>
          <w:r>
            <w:rPr>
              <w:rStyle w:val="12"/>
              <w:rFonts w:ascii="Arial" w:hAnsi="Arial" w:eastAsia="宋体" w:cs="Arial"/>
              <w:b/>
            </w:rPr>
            <w:t>LDT</w:t>
          </w:r>
          <w:r>
            <w:rPr>
              <w:rStyle w:val="12"/>
              <w:rFonts w:hint="eastAsia" w:ascii="Arial" w:hAnsi="Arial" w:eastAsia="宋体" w:cs="Arial"/>
              <w:b/>
            </w:rPr>
            <w:t>监管历史</w:t>
          </w:r>
          <w:r>
            <w:tab/>
          </w:r>
          <w:r>
            <w:fldChar w:fldCharType="begin"/>
          </w:r>
          <w:r>
            <w:instrText xml:space="preserve"> PAGEREF _Toc498346741 \h </w:instrText>
          </w:r>
          <w:r>
            <w:fldChar w:fldCharType="separate"/>
          </w:r>
          <w:r>
            <w:t>6</w:t>
          </w:r>
          <w:r>
            <w:fldChar w:fldCharType="end"/>
          </w:r>
          <w:r>
            <w:fldChar w:fldCharType="end"/>
          </w:r>
        </w:p>
        <w:p w14:paraId="24AB7B63">
          <w:pPr>
            <w:pStyle w:val="8"/>
            <w:tabs>
              <w:tab w:val="left" w:pos="840"/>
              <w:tab w:val="right" w:leader="dot" w:pos="8296"/>
            </w:tabs>
            <w:ind w:left="420"/>
          </w:pPr>
          <w:r>
            <w:fldChar w:fldCharType="begin"/>
          </w:r>
          <w:r>
            <w:instrText xml:space="preserve"> HYPERLINK \l "_Toc498346742" </w:instrText>
          </w:r>
          <w:r>
            <w:fldChar w:fldCharType="separate"/>
          </w:r>
          <w:r>
            <w:rPr>
              <w:rStyle w:val="12"/>
              <w:rFonts w:ascii="Arial" w:hAnsi="Arial" w:eastAsia="宋体" w:cs="Arial"/>
              <w:b/>
            </w:rPr>
            <w:t>2.</w:t>
          </w:r>
          <w:r>
            <w:tab/>
          </w:r>
          <w:r>
            <w:rPr>
              <w:rStyle w:val="12"/>
              <w:rFonts w:ascii="Arial" w:hAnsi="Arial" w:eastAsia="宋体" w:cs="Arial"/>
              <w:b/>
            </w:rPr>
            <w:t>LDT</w:t>
          </w:r>
          <w:r>
            <w:rPr>
              <w:rStyle w:val="12"/>
              <w:rFonts w:hint="eastAsia" w:ascii="Arial" w:hAnsi="Arial" w:eastAsia="宋体" w:cs="Arial"/>
              <w:b/>
            </w:rPr>
            <w:t>技术、市场和商业模式演化，以及增加</w:t>
          </w:r>
          <w:r>
            <w:rPr>
              <w:rStyle w:val="12"/>
              <w:rFonts w:ascii="Arial" w:hAnsi="Arial" w:eastAsia="宋体" w:cs="Arial"/>
              <w:b/>
            </w:rPr>
            <w:t>LDT</w:t>
          </w:r>
          <w:r>
            <w:rPr>
              <w:rStyle w:val="12"/>
              <w:rFonts w:hint="eastAsia" w:ascii="Arial" w:hAnsi="Arial" w:eastAsia="宋体" w:cs="Arial"/>
              <w:b/>
            </w:rPr>
            <w:t>监管的需要</w:t>
          </w:r>
          <w:r>
            <w:tab/>
          </w:r>
          <w:r>
            <w:fldChar w:fldCharType="begin"/>
          </w:r>
          <w:r>
            <w:instrText xml:space="preserve"> PAGEREF _Toc498346742 \h </w:instrText>
          </w:r>
          <w:r>
            <w:fldChar w:fldCharType="separate"/>
          </w:r>
          <w:r>
            <w:t>7</w:t>
          </w:r>
          <w:r>
            <w:fldChar w:fldCharType="end"/>
          </w:r>
          <w:r>
            <w:fldChar w:fldCharType="end"/>
          </w:r>
        </w:p>
        <w:p w14:paraId="61A93FA2">
          <w:pPr>
            <w:pStyle w:val="8"/>
            <w:tabs>
              <w:tab w:val="left" w:pos="840"/>
              <w:tab w:val="right" w:leader="dot" w:pos="8296"/>
            </w:tabs>
            <w:ind w:left="420"/>
          </w:pPr>
          <w:r>
            <w:fldChar w:fldCharType="begin"/>
          </w:r>
          <w:r>
            <w:instrText xml:space="preserve"> HYPERLINK \l "_Toc498346743" </w:instrText>
          </w:r>
          <w:r>
            <w:fldChar w:fldCharType="separate"/>
          </w:r>
          <w:r>
            <w:rPr>
              <w:rStyle w:val="12"/>
              <w:rFonts w:ascii="Arial" w:hAnsi="Arial" w:eastAsia="宋体" w:cs="Arial"/>
              <w:b/>
            </w:rPr>
            <w:t>3.</w:t>
          </w:r>
          <w:r>
            <w:tab/>
          </w:r>
          <w:r>
            <w:rPr>
              <w:rStyle w:val="12"/>
              <w:rFonts w:ascii="Arial" w:hAnsi="Arial" w:eastAsia="宋体" w:cs="Arial"/>
              <w:b/>
            </w:rPr>
            <w:t>LDT</w:t>
          </w:r>
          <w:r>
            <w:rPr>
              <w:rStyle w:val="12"/>
              <w:rFonts w:hint="eastAsia" w:ascii="Arial" w:hAnsi="Arial" w:eastAsia="宋体" w:cs="Arial"/>
              <w:b/>
            </w:rPr>
            <w:t>监管的不足</w:t>
          </w:r>
          <w:r>
            <w:tab/>
          </w:r>
          <w:r>
            <w:fldChar w:fldCharType="begin"/>
          </w:r>
          <w:r>
            <w:instrText xml:space="preserve"> PAGEREF _Toc498346743 \h </w:instrText>
          </w:r>
          <w:r>
            <w:fldChar w:fldCharType="separate"/>
          </w:r>
          <w:r>
            <w:t>8</w:t>
          </w:r>
          <w:r>
            <w:fldChar w:fldCharType="end"/>
          </w:r>
          <w:r>
            <w:fldChar w:fldCharType="end"/>
          </w:r>
        </w:p>
        <w:p w14:paraId="34FB0C4F">
          <w:pPr>
            <w:pStyle w:val="8"/>
            <w:tabs>
              <w:tab w:val="left" w:pos="840"/>
              <w:tab w:val="right" w:leader="dot" w:pos="8296"/>
            </w:tabs>
            <w:ind w:left="420"/>
          </w:pPr>
          <w:r>
            <w:fldChar w:fldCharType="begin"/>
          </w:r>
          <w:r>
            <w:instrText xml:space="preserve"> HYPERLINK \l "_Toc498346744" </w:instrText>
          </w:r>
          <w:r>
            <w:fldChar w:fldCharType="separate"/>
          </w:r>
          <w:r>
            <w:rPr>
              <w:rStyle w:val="12"/>
              <w:rFonts w:ascii="Arial" w:hAnsi="Arial" w:eastAsia="宋体" w:cs="Arial"/>
              <w:b/>
            </w:rPr>
            <w:t>4.</w:t>
          </w:r>
          <w:r>
            <w:tab/>
          </w:r>
          <w:r>
            <w:rPr>
              <w:rStyle w:val="12"/>
              <w:rFonts w:hint="eastAsia" w:ascii="Arial" w:hAnsi="Arial" w:eastAsia="宋体" w:cs="Arial"/>
              <w:b/>
            </w:rPr>
            <w:t>基于风险的</w:t>
          </w:r>
          <w:r>
            <w:rPr>
              <w:rStyle w:val="12"/>
              <w:rFonts w:ascii="Arial" w:hAnsi="Arial" w:eastAsia="宋体" w:cs="Arial"/>
              <w:b/>
            </w:rPr>
            <w:t>LDT</w:t>
          </w:r>
          <w:r>
            <w:rPr>
              <w:rStyle w:val="12"/>
              <w:rFonts w:hint="eastAsia" w:ascii="Arial" w:hAnsi="Arial" w:eastAsia="宋体" w:cs="Arial"/>
              <w:b/>
            </w:rPr>
            <w:t>监管途径</w:t>
          </w:r>
          <w:r>
            <w:tab/>
          </w:r>
          <w:r>
            <w:fldChar w:fldCharType="begin"/>
          </w:r>
          <w:r>
            <w:instrText xml:space="preserve"> PAGEREF _Toc498346744 \h </w:instrText>
          </w:r>
          <w:r>
            <w:fldChar w:fldCharType="separate"/>
          </w:r>
          <w:r>
            <w:t>11</w:t>
          </w:r>
          <w:r>
            <w:fldChar w:fldCharType="end"/>
          </w:r>
          <w:r>
            <w:fldChar w:fldCharType="end"/>
          </w:r>
        </w:p>
        <w:p w14:paraId="1E14001A">
          <w:pPr>
            <w:pStyle w:val="6"/>
            <w:tabs>
              <w:tab w:val="left" w:pos="630"/>
              <w:tab w:val="right" w:leader="dot" w:pos="8296"/>
            </w:tabs>
            <w:rPr>
              <w:rFonts w:eastAsiaTheme="minorEastAsia"/>
              <w:sz w:val="21"/>
            </w:rPr>
          </w:pPr>
          <w:r>
            <w:fldChar w:fldCharType="begin"/>
          </w:r>
          <w:r>
            <w:instrText xml:space="preserve"> HYPERLINK \l "_Toc498346745" </w:instrText>
          </w:r>
          <w:r>
            <w:fldChar w:fldCharType="separate"/>
          </w:r>
          <w:r>
            <w:rPr>
              <w:rStyle w:val="12"/>
              <w:rFonts w:ascii="Arial" w:hAnsi="Arial" w:cs="Arial"/>
              <w:b/>
            </w:rPr>
            <w:t>D.</w:t>
          </w:r>
          <w:r>
            <w:rPr>
              <w:rFonts w:eastAsiaTheme="minorEastAsia"/>
              <w:sz w:val="21"/>
            </w:rPr>
            <w:tab/>
          </w:r>
          <w:r>
            <w:rPr>
              <w:rStyle w:val="12"/>
              <w:rFonts w:ascii="Arial" w:hAnsi="Arial" w:cs="Arial"/>
              <w:b/>
            </w:rPr>
            <w:t>LDT</w:t>
          </w:r>
          <w:r>
            <w:rPr>
              <w:rStyle w:val="12"/>
              <w:rFonts w:hint="eastAsia" w:ascii="Arial" w:hAnsi="Arial" w:cs="Arial"/>
              <w:b/>
            </w:rPr>
            <w:t>监管框架</w:t>
          </w:r>
          <w:r>
            <w:tab/>
          </w:r>
          <w:r>
            <w:fldChar w:fldCharType="begin"/>
          </w:r>
          <w:r>
            <w:instrText xml:space="preserve"> PAGEREF _Toc498346745 \h </w:instrText>
          </w:r>
          <w:r>
            <w:fldChar w:fldCharType="separate"/>
          </w:r>
          <w:r>
            <w:t>15</w:t>
          </w:r>
          <w:r>
            <w:fldChar w:fldCharType="end"/>
          </w:r>
          <w:r>
            <w:fldChar w:fldCharType="end"/>
          </w:r>
        </w:p>
        <w:p w14:paraId="0054B147">
          <w:pPr>
            <w:pStyle w:val="8"/>
            <w:tabs>
              <w:tab w:val="left" w:pos="840"/>
              <w:tab w:val="right" w:leader="dot" w:pos="8296"/>
            </w:tabs>
            <w:ind w:left="420"/>
          </w:pPr>
          <w:r>
            <w:fldChar w:fldCharType="begin"/>
          </w:r>
          <w:r>
            <w:instrText xml:space="preserve"> HYPERLINK \l "_Toc498346746" </w:instrText>
          </w:r>
          <w:r>
            <w:fldChar w:fldCharType="separate"/>
          </w:r>
          <w:r>
            <w:rPr>
              <w:rStyle w:val="12"/>
              <w:rFonts w:ascii="Arial" w:hAnsi="Arial" w:eastAsia="宋体" w:cs="Arial"/>
              <w:b/>
            </w:rPr>
            <w:t>1.</w:t>
          </w:r>
          <w:r>
            <w:tab/>
          </w:r>
          <w:r>
            <w:rPr>
              <w:rStyle w:val="12"/>
              <w:rFonts w:hint="eastAsia" w:ascii="Arial" w:hAnsi="Arial" w:eastAsia="宋体" w:cs="Arial"/>
              <w:b/>
            </w:rPr>
            <w:t>概述</w:t>
          </w:r>
          <w:r>
            <w:tab/>
          </w:r>
          <w:r>
            <w:fldChar w:fldCharType="begin"/>
          </w:r>
          <w:r>
            <w:instrText xml:space="preserve"> PAGEREF _Toc498346746 \h </w:instrText>
          </w:r>
          <w:r>
            <w:fldChar w:fldCharType="separate"/>
          </w:r>
          <w:r>
            <w:t>15</w:t>
          </w:r>
          <w:r>
            <w:fldChar w:fldCharType="end"/>
          </w:r>
          <w:r>
            <w:fldChar w:fldCharType="end"/>
          </w:r>
        </w:p>
        <w:p w14:paraId="4C219D60">
          <w:pPr>
            <w:pStyle w:val="8"/>
            <w:tabs>
              <w:tab w:val="left" w:pos="840"/>
              <w:tab w:val="right" w:leader="dot" w:pos="8296"/>
            </w:tabs>
            <w:ind w:left="420"/>
          </w:pPr>
          <w:r>
            <w:fldChar w:fldCharType="begin"/>
          </w:r>
          <w:r>
            <w:instrText xml:space="preserve"> HYPERLINK \l "_Toc498346747" </w:instrText>
          </w:r>
          <w:r>
            <w:fldChar w:fldCharType="separate"/>
          </w:r>
          <w:r>
            <w:rPr>
              <w:rStyle w:val="12"/>
              <w:rFonts w:ascii="Arial" w:hAnsi="Arial" w:eastAsia="宋体" w:cs="Arial"/>
              <w:b/>
            </w:rPr>
            <w:t>2.</w:t>
          </w:r>
          <w:r>
            <w:tab/>
          </w:r>
          <w:r>
            <w:rPr>
              <w:rStyle w:val="12"/>
              <w:rFonts w:hint="eastAsia" w:ascii="Arial" w:hAnsi="Arial" w:eastAsia="宋体" w:cs="Arial"/>
              <w:b/>
            </w:rPr>
            <w:t>对特定</w:t>
          </w:r>
          <w:r>
            <w:rPr>
              <w:rStyle w:val="12"/>
              <w:rFonts w:ascii="Arial" w:hAnsi="Arial" w:eastAsia="宋体" w:cs="Arial"/>
              <w:b/>
            </w:rPr>
            <w:t>LDT</w:t>
          </w:r>
          <w:r>
            <w:rPr>
              <w:rStyle w:val="12"/>
              <w:rFonts w:hint="eastAsia" w:ascii="Arial" w:hAnsi="Arial" w:eastAsia="宋体" w:cs="Arial"/>
              <w:b/>
            </w:rPr>
            <w:t>继续实行完全的强制执行自由裁量权</w:t>
          </w:r>
          <w:r>
            <w:tab/>
          </w:r>
          <w:r>
            <w:fldChar w:fldCharType="begin"/>
          </w:r>
          <w:r>
            <w:instrText xml:space="preserve"> PAGEREF _Toc498346747 \h </w:instrText>
          </w:r>
          <w:r>
            <w:fldChar w:fldCharType="separate"/>
          </w:r>
          <w:r>
            <w:t>16</w:t>
          </w:r>
          <w:r>
            <w:fldChar w:fldCharType="end"/>
          </w:r>
          <w:r>
            <w:fldChar w:fldCharType="end"/>
          </w:r>
        </w:p>
        <w:p w14:paraId="409F48A3">
          <w:pPr>
            <w:pStyle w:val="8"/>
            <w:tabs>
              <w:tab w:val="left" w:pos="840"/>
              <w:tab w:val="right" w:leader="dot" w:pos="8296"/>
            </w:tabs>
            <w:ind w:left="420"/>
          </w:pPr>
          <w:r>
            <w:fldChar w:fldCharType="begin"/>
          </w:r>
          <w:r>
            <w:instrText xml:space="preserve"> HYPERLINK \l "_Toc498346748" </w:instrText>
          </w:r>
          <w:r>
            <w:fldChar w:fldCharType="separate"/>
          </w:r>
          <w:r>
            <w:rPr>
              <w:rStyle w:val="12"/>
              <w:rFonts w:ascii="Arial" w:hAnsi="Arial" w:eastAsia="宋体" w:cs="Arial"/>
              <w:b/>
            </w:rPr>
            <w:t>3.</w:t>
          </w:r>
          <w:r>
            <w:tab/>
          </w:r>
          <w:r>
            <w:rPr>
              <w:rStyle w:val="12"/>
              <w:rFonts w:hint="eastAsia" w:ascii="Arial" w:hAnsi="Arial" w:eastAsia="宋体" w:cs="Arial"/>
              <w:b/>
            </w:rPr>
            <w:t>实验室生产的</w:t>
          </w:r>
          <w:r>
            <w:rPr>
              <w:rStyle w:val="12"/>
              <w:rFonts w:ascii="Arial" w:hAnsi="Arial" w:eastAsia="宋体" w:cs="Arial"/>
              <w:b/>
            </w:rPr>
            <w:t>LDT</w:t>
          </w:r>
          <w:r>
            <w:rPr>
              <w:rStyle w:val="12"/>
              <w:rFonts w:hint="eastAsia" w:ascii="Arial" w:hAnsi="Arial" w:eastAsia="宋体" w:cs="Arial"/>
              <w:b/>
            </w:rPr>
            <w:t>的</w:t>
          </w:r>
          <w:r>
            <w:rPr>
              <w:rStyle w:val="12"/>
              <w:rFonts w:ascii="Arial" w:hAnsi="Arial" w:eastAsia="宋体" w:cs="Arial"/>
              <w:b/>
            </w:rPr>
            <w:t>FDA</w:t>
          </w:r>
          <w:r>
            <w:rPr>
              <w:rStyle w:val="12"/>
              <w:rFonts w:hint="eastAsia" w:ascii="Arial" w:hAnsi="Arial" w:eastAsia="宋体" w:cs="Arial"/>
              <w:b/>
            </w:rPr>
            <w:t>通知或注册和登记</w:t>
          </w:r>
          <w:r>
            <w:tab/>
          </w:r>
          <w:r>
            <w:fldChar w:fldCharType="begin"/>
          </w:r>
          <w:r>
            <w:instrText xml:space="preserve"> PAGEREF _Toc498346748 \h </w:instrText>
          </w:r>
          <w:r>
            <w:fldChar w:fldCharType="separate"/>
          </w:r>
          <w:r>
            <w:t>17</w:t>
          </w:r>
          <w:r>
            <w:fldChar w:fldCharType="end"/>
          </w:r>
          <w:r>
            <w:fldChar w:fldCharType="end"/>
          </w:r>
        </w:p>
        <w:p w14:paraId="39B2787F">
          <w:pPr>
            <w:pStyle w:val="8"/>
            <w:tabs>
              <w:tab w:val="left" w:pos="840"/>
              <w:tab w:val="right" w:leader="dot" w:pos="8296"/>
            </w:tabs>
            <w:ind w:left="420"/>
          </w:pPr>
          <w:r>
            <w:fldChar w:fldCharType="begin"/>
          </w:r>
          <w:r>
            <w:instrText xml:space="preserve"> HYPERLINK \l "_Toc498346749" </w:instrText>
          </w:r>
          <w:r>
            <w:fldChar w:fldCharType="separate"/>
          </w:r>
          <w:r>
            <w:rPr>
              <w:rStyle w:val="12"/>
              <w:rFonts w:ascii="Arial" w:hAnsi="Arial" w:eastAsia="宋体" w:cs="Arial"/>
              <w:b/>
            </w:rPr>
            <w:t>4.</w:t>
          </w:r>
          <w:r>
            <w:tab/>
          </w:r>
          <w:r>
            <w:rPr>
              <w:rStyle w:val="12"/>
              <w:rFonts w:hint="eastAsia" w:ascii="Arial" w:hAnsi="Arial" w:eastAsia="宋体" w:cs="Arial"/>
              <w:b/>
            </w:rPr>
            <w:t>医疗器械报告（</w:t>
          </w:r>
          <w:r>
            <w:rPr>
              <w:rStyle w:val="12"/>
              <w:rFonts w:ascii="Arial" w:hAnsi="Arial" w:eastAsia="宋体" w:cs="Arial"/>
              <w:b/>
            </w:rPr>
            <w:t>MDR</w:t>
          </w:r>
          <w:r>
            <w:rPr>
              <w:rStyle w:val="12"/>
              <w:rFonts w:hint="eastAsia" w:ascii="Arial" w:hAnsi="Arial" w:eastAsia="宋体" w:cs="Arial"/>
              <w:b/>
            </w:rPr>
            <w:t>）要求</w:t>
          </w:r>
          <w:r>
            <w:tab/>
          </w:r>
          <w:r>
            <w:fldChar w:fldCharType="begin"/>
          </w:r>
          <w:r>
            <w:instrText xml:space="preserve"> PAGEREF _Toc498346749 \h </w:instrText>
          </w:r>
          <w:r>
            <w:fldChar w:fldCharType="separate"/>
          </w:r>
          <w:r>
            <w:t>19</w:t>
          </w:r>
          <w:r>
            <w:fldChar w:fldCharType="end"/>
          </w:r>
          <w:r>
            <w:fldChar w:fldCharType="end"/>
          </w:r>
        </w:p>
        <w:p w14:paraId="0EC56D77">
          <w:pPr>
            <w:pStyle w:val="8"/>
            <w:tabs>
              <w:tab w:val="left" w:pos="840"/>
              <w:tab w:val="right" w:leader="dot" w:pos="8296"/>
            </w:tabs>
            <w:ind w:left="420"/>
          </w:pPr>
          <w:r>
            <w:fldChar w:fldCharType="begin"/>
          </w:r>
          <w:r>
            <w:instrText xml:space="preserve"> HYPERLINK \l "_Toc498346750" </w:instrText>
          </w:r>
          <w:r>
            <w:fldChar w:fldCharType="separate"/>
          </w:r>
          <w:r>
            <w:rPr>
              <w:rStyle w:val="12"/>
              <w:rFonts w:ascii="Arial" w:hAnsi="Arial" w:eastAsia="宋体" w:cs="Arial"/>
              <w:b/>
            </w:rPr>
            <w:t>5.</w:t>
          </w:r>
          <w:r>
            <w:tab/>
          </w:r>
          <w:r>
            <w:rPr>
              <w:rStyle w:val="12"/>
              <w:rFonts w:hint="eastAsia" w:ascii="Arial" w:hAnsi="Arial" w:eastAsia="宋体" w:cs="Arial"/>
              <w:b/>
            </w:rPr>
            <w:t>上市前评价要求</w:t>
          </w:r>
          <w:r>
            <w:tab/>
          </w:r>
          <w:r>
            <w:fldChar w:fldCharType="begin"/>
          </w:r>
          <w:r>
            <w:instrText xml:space="preserve"> PAGEREF _Toc498346750 \h </w:instrText>
          </w:r>
          <w:r>
            <w:fldChar w:fldCharType="separate"/>
          </w:r>
          <w:r>
            <w:t>20</w:t>
          </w:r>
          <w:r>
            <w:fldChar w:fldCharType="end"/>
          </w:r>
          <w:r>
            <w:fldChar w:fldCharType="end"/>
          </w:r>
        </w:p>
        <w:p w14:paraId="47053317">
          <w:pPr>
            <w:pStyle w:val="8"/>
            <w:tabs>
              <w:tab w:val="left" w:pos="840"/>
              <w:tab w:val="right" w:leader="dot" w:pos="8296"/>
            </w:tabs>
            <w:ind w:left="420"/>
          </w:pPr>
          <w:r>
            <w:fldChar w:fldCharType="begin"/>
          </w:r>
          <w:r>
            <w:instrText xml:space="preserve"> HYPERLINK \l "_Toc498346751" </w:instrText>
          </w:r>
          <w:r>
            <w:fldChar w:fldCharType="separate"/>
          </w:r>
          <w:r>
            <w:rPr>
              <w:rStyle w:val="12"/>
              <w:rFonts w:ascii="Arial" w:hAnsi="Arial" w:eastAsia="宋体" w:cs="Arial"/>
              <w:b/>
            </w:rPr>
            <w:t>6.</w:t>
          </w:r>
          <w:r>
            <w:tab/>
          </w:r>
          <w:r>
            <w:rPr>
              <w:rStyle w:val="12"/>
              <w:rFonts w:hint="eastAsia" w:ascii="Arial" w:hAnsi="Arial" w:eastAsia="宋体" w:cs="Arial"/>
              <w:b/>
            </w:rPr>
            <w:t>质量体系监管要求</w:t>
          </w:r>
          <w:r>
            <w:tab/>
          </w:r>
          <w:r>
            <w:fldChar w:fldCharType="begin"/>
          </w:r>
          <w:r>
            <w:instrText xml:space="preserve"> PAGEREF _Toc498346751 \h </w:instrText>
          </w:r>
          <w:r>
            <w:fldChar w:fldCharType="separate"/>
          </w:r>
          <w:r>
            <w:t>28</w:t>
          </w:r>
          <w:r>
            <w:fldChar w:fldCharType="end"/>
          </w:r>
          <w:r>
            <w:fldChar w:fldCharType="end"/>
          </w:r>
        </w:p>
        <w:p w14:paraId="2D85D06C">
          <w:pPr>
            <w:pStyle w:val="6"/>
            <w:tabs>
              <w:tab w:val="right" w:leader="dot" w:pos="8296"/>
            </w:tabs>
            <w:rPr>
              <w:rFonts w:eastAsiaTheme="minorEastAsia"/>
              <w:sz w:val="21"/>
            </w:rPr>
          </w:pPr>
          <w:r>
            <w:fldChar w:fldCharType="begin"/>
          </w:r>
          <w:r>
            <w:instrText xml:space="preserve"> HYPERLINK \l "_Toc498346752" </w:instrText>
          </w:r>
          <w:r>
            <w:fldChar w:fldCharType="separate"/>
          </w:r>
          <w:r>
            <w:rPr>
              <w:rStyle w:val="12"/>
              <w:rFonts w:hint="eastAsia" w:ascii="Arial" w:hAnsi="Arial" w:cs="Arial"/>
              <w:b/>
            </w:rPr>
            <w:t>附录</w:t>
          </w:r>
          <w:r>
            <w:rPr>
              <w:rStyle w:val="12"/>
              <w:rFonts w:ascii="Arial" w:hAnsi="Arial" w:cs="Arial"/>
              <w:b/>
            </w:rPr>
            <w:t>A</w:t>
          </w:r>
          <w:r>
            <w:rPr>
              <w:rStyle w:val="12"/>
              <w:rFonts w:hint="eastAsia" w:ascii="Arial" w:hAnsi="Arial" w:cs="Arial"/>
              <w:b/>
            </w:rPr>
            <w:t>：</w:t>
          </w:r>
          <w:r>
            <w:rPr>
              <w:rStyle w:val="12"/>
              <w:rFonts w:ascii="Arial" w:hAnsi="Arial" w:cs="Arial"/>
              <w:b/>
            </w:rPr>
            <w:t>LDT</w:t>
          </w:r>
          <w:r>
            <w:rPr>
              <w:rStyle w:val="12"/>
              <w:rFonts w:hint="eastAsia" w:ascii="Arial" w:hAnsi="Arial" w:cs="Arial"/>
              <w:b/>
            </w:rPr>
            <w:t>监管框架总结</w:t>
          </w:r>
          <w:r>
            <w:tab/>
          </w:r>
          <w:r>
            <w:fldChar w:fldCharType="begin"/>
          </w:r>
          <w:r>
            <w:instrText xml:space="preserve"> PAGEREF _Toc498346752 \h </w:instrText>
          </w:r>
          <w:r>
            <w:fldChar w:fldCharType="separate"/>
          </w:r>
          <w:r>
            <w:t>30</w:t>
          </w:r>
          <w:r>
            <w:fldChar w:fldCharType="end"/>
          </w:r>
          <w:r>
            <w:fldChar w:fldCharType="end"/>
          </w:r>
        </w:p>
        <w:p w14:paraId="01999BA0">
          <w:pPr>
            <w:pStyle w:val="6"/>
            <w:tabs>
              <w:tab w:val="right" w:leader="dot" w:pos="8296"/>
            </w:tabs>
            <w:rPr>
              <w:rFonts w:eastAsiaTheme="minorEastAsia"/>
              <w:sz w:val="21"/>
            </w:rPr>
          </w:pPr>
          <w:r>
            <w:fldChar w:fldCharType="begin"/>
          </w:r>
          <w:r>
            <w:instrText xml:space="preserve"> HYPERLINK \l "_Toc498346753" </w:instrText>
          </w:r>
          <w:r>
            <w:fldChar w:fldCharType="separate"/>
          </w:r>
          <w:r>
            <w:rPr>
              <w:rStyle w:val="12"/>
              <w:rFonts w:hint="eastAsia" w:ascii="Arial" w:hAnsi="Arial" w:cs="Arial"/>
              <w:b/>
            </w:rPr>
            <w:t>附录</w:t>
          </w:r>
          <w:r>
            <w:rPr>
              <w:rStyle w:val="12"/>
              <w:rFonts w:ascii="Arial" w:hAnsi="Arial" w:cs="Arial"/>
              <w:b/>
            </w:rPr>
            <w:t>B</w:t>
          </w:r>
          <w:r>
            <w:rPr>
              <w:rStyle w:val="12"/>
              <w:rFonts w:hint="eastAsia" w:ascii="Arial" w:hAnsi="Arial" w:cs="Arial"/>
              <w:b/>
            </w:rPr>
            <w:t>：</w:t>
          </w:r>
          <w:r>
            <w:rPr>
              <w:rStyle w:val="12"/>
              <w:rFonts w:ascii="Arial" w:hAnsi="Arial" w:cs="Arial"/>
              <w:b/>
            </w:rPr>
            <w:t>LDT</w:t>
          </w:r>
          <w:r>
            <w:rPr>
              <w:rStyle w:val="12"/>
              <w:rFonts w:hint="eastAsia" w:ascii="Arial" w:hAnsi="Arial" w:cs="Arial"/>
              <w:b/>
            </w:rPr>
            <w:t>监管框架；问题和答案</w:t>
          </w:r>
          <w:r>
            <w:tab/>
          </w:r>
          <w:r>
            <w:fldChar w:fldCharType="begin"/>
          </w:r>
          <w:r>
            <w:instrText xml:space="preserve"> PAGEREF _Toc498346753 \h </w:instrText>
          </w:r>
          <w:r>
            <w:fldChar w:fldCharType="separate"/>
          </w:r>
          <w:r>
            <w:t>31</w:t>
          </w:r>
          <w:r>
            <w:fldChar w:fldCharType="end"/>
          </w:r>
          <w:r>
            <w:fldChar w:fldCharType="end"/>
          </w:r>
        </w:p>
        <w:p w14:paraId="7CF3FB2C">
          <w:pPr>
            <w:pStyle w:val="6"/>
            <w:tabs>
              <w:tab w:val="right" w:leader="dot" w:pos="8296"/>
            </w:tabs>
            <w:rPr>
              <w:rFonts w:eastAsiaTheme="minorEastAsia"/>
              <w:sz w:val="21"/>
            </w:rPr>
          </w:pPr>
          <w:r>
            <w:fldChar w:fldCharType="begin"/>
          </w:r>
          <w:r>
            <w:instrText xml:space="preserve"> HYPERLINK \l "_Toc498346754" </w:instrText>
          </w:r>
          <w:r>
            <w:fldChar w:fldCharType="separate"/>
          </w:r>
          <w:r>
            <w:rPr>
              <w:rStyle w:val="12"/>
              <w:rFonts w:hint="eastAsia" w:ascii="Arial" w:hAnsi="Arial" w:cs="Arial"/>
              <w:b/>
            </w:rPr>
            <w:t>附录</w:t>
          </w:r>
          <w:r>
            <w:rPr>
              <w:rStyle w:val="12"/>
              <w:rFonts w:ascii="Arial" w:hAnsi="Arial" w:cs="Arial"/>
              <w:b/>
            </w:rPr>
            <w:t>C</w:t>
          </w:r>
          <w:r>
            <w:rPr>
              <w:rStyle w:val="12"/>
              <w:rFonts w:hint="eastAsia" w:ascii="Arial" w:hAnsi="Arial" w:cs="Arial"/>
              <w:b/>
            </w:rPr>
            <w:t>：</w:t>
          </w:r>
          <w:r>
            <w:rPr>
              <w:rStyle w:val="12"/>
              <w:rFonts w:ascii="Arial" w:hAnsi="Arial" w:cs="Arial"/>
              <w:b/>
            </w:rPr>
            <w:t>LDT</w:t>
          </w:r>
          <w:r>
            <w:rPr>
              <w:rStyle w:val="12"/>
              <w:rFonts w:hint="eastAsia" w:ascii="Arial" w:hAnsi="Arial" w:cs="Arial"/>
              <w:b/>
            </w:rPr>
            <w:t>法规资源</w:t>
          </w:r>
          <w:r>
            <w:tab/>
          </w:r>
          <w:r>
            <w:fldChar w:fldCharType="begin"/>
          </w:r>
          <w:r>
            <w:instrText xml:space="preserve"> PAGEREF _Toc498346754 \h </w:instrText>
          </w:r>
          <w:r>
            <w:fldChar w:fldCharType="separate"/>
          </w:r>
          <w:r>
            <w:t>39</w:t>
          </w:r>
          <w:r>
            <w:fldChar w:fldCharType="end"/>
          </w:r>
          <w:r>
            <w:fldChar w:fldCharType="end"/>
          </w:r>
        </w:p>
        <w:p w14:paraId="17F988BD">
          <w:r>
            <w:rPr>
              <w:rFonts w:ascii="Arial" w:hAnsi="Arial" w:eastAsia="宋体" w:cs="Arial"/>
              <w:sz w:val="24"/>
            </w:rPr>
            <w:fldChar w:fldCharType="end"/>
          </w:r>
        </w:p>
      </w:sdtContent>
    </w:sdt>
    <w:p w14:paraId="72A0CED4">
      <w:pPr>
        <w:widowControl/>
        <w:snapToGrid w:val="0"/>
        <w:spacing w:after="156" w:afterLines="50" w:line="300" w:lineRule="auto"/>
        <w:rPr>
          <w:rFonts w:ascii="Arial" w:hAnsi="Arial" w:eastAsia="宋体" w:cs="Arial"/>
        </w:rPr>
      </w:pPr>
    </w:p>
    <w:p w14:paraId="43BD4643">
      <w:pPr>
        <w:snapToGrid w:val="0"/>
        <w:spacing w:after="156" w:afterLines="50" w:line="300" w:lineRule="auto"/>
        <w:ind w:left="420"/>
        <w:rPr>
          <w:rFonts w:ascii="Arial" w:hAnsi="Arial" w:eastAsia="宋体" w:cs="Arial"/>
        </w:rPr>
        <w:sectPr>
          <w:headerReference r:id="rId4" w:type="default"/>
          <w:pgSz w:w="11906" w:h="16838"/>
          <w:pgMar w:top="1440" w:right="1800" w:bottom="1440" w:left="1800" w:header="720" w:footer="720" w:gutter="0"/>
          <w:cols w:space="425" w:num="1"/>
          <w:docGrid w:type="lines" w:linePitch="312" w:charSpace="0"/>
        </w:sectPr>
      </w:pPr>
    </w:p>
    <w:p w14:paraId="1E2B942D">
      <w:pPr>
        <w:pBdr>
          <w:bottom w:val="single" w:color="auto" w:sz="4" w:space="1"/>
        </w:pBd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行业、FDA工作人员和临床实验室</w:t>
      </w:r>
      <w:r>
        <w:rPr>
          <w:rFonts w:hint="eastAsia" w:ascii="Arial" w:hAnsi="Arial" w:eastAsia="宋体" w:cs="Arial"/>
          <w:b/>
          <w:sz w:val="48"/>
          <w:szCs w:val="48"/>
        </w:rPr>
        <w:br w:type="textWrapping"/>
      </w:r>
      <w:r>
        <w:rPr>
          <w:rFonts w:ascii="Arial" w:hAnsi="Arial" w:eastAsia="宋体" w:cs="Arial"/>
          <w:b/>
          <w:sz w:val="48"/>
          <w:szCs w:val="48"/>
        </w:rPr>
        <w:t>指南草案</w:t>
      </w:r>
    </w:p>
    <w:p w14:paraId="08E05140">
      <w:pPr>
        <w:snapToGrid w:val="0"/>
        <w:spacing w:after="312" w:afterLines="100" w:line="300" w:lineRule="auto"/>
        <w:jc w:val="center"/>
        <w:rPr>
          <w:rFonts w:ascii="Arial" w:hAnsi="Arial" w:eastAsia="宋体" w:cs="Arial"/>
          <w:b/>
          <w:sz w:val="48"/>
          <w:szCs w:val="48"/>
        </w:rPr>
      </w:pPr>
      <w:r>
        <w:rPr>
          <w:rFonts w:ascii="Arial" w:hAnsi="Arial" w:eastAsia="宋体" w:cs="Arial"/>
          <w:b/>
          <w:sz w:val="48"/>
          <w:szCs w:val="48"/>
        </w:rPr>
        <w:t>实验室开发检测（LDT）的监管框架</w:t>
      </w:r>
    </w:p>
    <w:tbl>
      <w:tblPr>
        <w:tblStyle w:val="10"/>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2"/>
      </w:tblGrid>
      <w:tr w14:paraId="45B3FA86">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c>
          <w:tcPr>
            <w:tcW w:w="5000" w:type="pct"/>
          </w:tcPr>
          <w:p w14:paraId="2099C1FE">
            <w:pPr>
              <w:snapToGrid w:val="0"/>
              <w:spacing w:line="300" w:lineRule="auto"/>
              <w:rPr>
                <w:rFonts w:ascii="Arial" w:hAnsi="Arial" w:eastAsia="宋体" w:cs="Arial"/>
                <w:b/>
                <w:i/>
                <w:sz w:val="24"/>
                <w:szCs w:val="24"/>
              </w:rPr>
            </w:pPr>
            <w:r>
              <w:rPr>
                <w:rFonts w:hint="eastAsia" w:ascii="Arial" w:hAnsi="Arial" w:eastAsia="宋体" w:cs="Arial"/>
                <w:b/>
                <w:i/>
                <w:sz w:val="24"/>
                <w:szCs w:val="24"/>
              </w:rPr>
              <w:t>本指南草案代表</w:t>
            </w:r>
            <w:r>
              <w:rPr>
                <w:rFonts w:ascii="Arial" w:hAnsi="Arial" w:eastAsia="宋体" w:cs="Arial"/>
                <w:b/>
                <w:i/>
                <w:sz w:val="24"/>
                <w:szCs w:val="24"/>
              </w:rPr>
              <w:t>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249ECAF0">
      <w:pPr>
        <w:pStyle w:val="14"/>
        <w:numPr>
          <w:ilvl w:val="0"/>
          <w:numId w:val="1"/>
        </w:numPr>
        <w:overflowPunct w:val="0"/>
        <w:snapToGrid w:val="0"/>
        <w:spacing w:before="312" w:beforeLines="100" w:after="156" w:afterLines="50" w:line="300" w:lineRule="auto"/>
        <w:ind w:left="0" w:firstLine="0" w:firstLineChars="0"/>
        <w:outlineLvl w:val="0"/>
        <w:rPr>
          <w:rFonts w:ascii="Arial" w:hAnsi="Arial" w:eastAsia="宋体" w:cs="Arial"/>
          <w:b/>
          <w:sz w:val="32"/>
          <w:szCs w:val="32"/>
        </w:rPr>
      </w:pPr>
      <w:bookmarkStart w:id="0" w:name="_Toc498346738"/>
      <w:r>
        <w:rPr>
          <w:rFonts w:ascii="Arial" w:hAnsi="Arial" w:eastAsia="宋体" w:cs="Arial"/>
          <w:b/>
          <w:sz w:val="32"/>
          <w:szCs w:val="32"/>
        </w:rPr>
        <w:t>引言</w:t>
      </w:r>
      <w:bookmarkEnd w:id="0"/>
    </w:p>
    <w:p w14:paraId="7ADC0E02">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本指导性文件描述了用于体外诊断器械</w:t>
      </w:r>
      <w:r>
        <w:rPr>
          <w:rStyle w:val="13"/>
          <w:rFonts w:ascii="Arial" w:hAnsi="Arial" w:eastAsia="宋体" w:cs="Arial"/>
          <w:sz w:val="24"/>
          <w:szCs w:val="24"/>
        </w:rPr>
        <w:footnoteReference w:id="0"/>
      </w:r>
      <w:r>
        <w:rPr>
          <w:rFonts w:ascii="Arial" w:hAnsi="Arial" w:eastAsia="宋体" w:cs="Arial"/>
          <w:sz w:val="24"/>
          <w:szCs w:val="24"/>
        </w:rPr>
        <w:t>（IVD）的一个子类，即实验室开发检测</w:t>
      </w:r>
      <w:r>
        <w:rPr>
          <w:rStyle w:val="13"/>
          <w:rFonts w:ascii="Arial" w:hAnsi="Arial" w:eastAsia="宋体" w:cs="Arial"/>
          <w:sz w:val="24"/>
          <w:szCs w:val="24"/>
        </w:rPr>
        <w:footnoteReference w:id="1"/>
      </w:r>
      <w:r>
        <w:rPr>
          <w:rFonts w:ascii="Arial" w:hAnsi="Arial" w:eastAsia="宋体" w:cs="Arial"/>
          <w:sz w:val="24"/>
          <w:szCs w:val="24"/>
        </w:rPr>
        <w:t>（LDT）监管的基于风险的框架。本文件旨在为生产LDT的临床实验室提供关于FDA（机构）如何根据联邦食品药品与化妆品法案（FD&amp;C法案，或法案）对其以医疗器械制造商的身份</w:t>
      </w:r>
      <w:r>
        <w:rPr>
          <w:rStyle w:val="13"/>
          <w:rFonts w:ascii="Arial" w:hAnsi="Arial" w:eastAsia="宋体" w:cs="Arial"/>
          <w:sz w:val="24"/>
          <w:szCs w:val="24"/>
        </w:rPr>
        <w:footnoteReference w:id="2"/>
      </w:r>
      <w:r>
        <w:rPr>
          <w:rFonts w:ascii="Arial" w:hAnsi="Arial" w:eastAsia="宋体" w:cs="Arial"/>
          <w:sz w:val="24"/>
          <w:szCs w:val="24"/>
        </w:rPr>
        <w:t>进行监管的指导。</w:t>
      </w:r>
    </w:p>
    <w:p w14:paraId="6712651A">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具体来说，本指导性文件描述了FDA针对LDT施行上市前和上市后要求的优先级，以及不同阶段内FDA希望针对LDT施行FDA监管要求的流程。</w:t>
      </w:r>
    </w:p>
    <w:p w14:paraId="1B7DC4C4">
      <w:pPr>
        <w:widowControl/>
        <w:jc w:val="left"/>
        <w:rPr>
          <w:rFonts w:ascii="Arial" w:hAnsi="Arial" w:eastAsia="宋体" w:cs="Arial"/>
          <w:sz w:val="24"/>
          <w:szCs w:val="24"/>
        </w:rPr>
      </w:pPr>
      <w:r>
        <w:rPr>
          <w:rFonts w:ascii="Arial" w:hAnsi="Arial" w:eastAsia="宋体" w:cs="Arial"/>
          <w:sz w:val="24"/>
          <w:szCs w:val="24"/>
        </w:rPr>
        <w:br w:type="page"/>
      </w:r>
    </w:p>
    <w:p w14:paraId="47BD7262">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本文件并非涵盖FD&amp;C法案或FDA法规中所有适用于包括LDT在内的医疗器械的要求。本文件中所省略的特定类别的要求的讨论并不意味着制造商可以免去遵守该要求的责任。</w:t>
      </w:r>
    </w:p>
    <w:p w14:paraId="49D9EE92">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FDA指导性文件，包括本指南</w:t>
      </w:r>
      <w:r>
        <w:rPr>
          <w:rFonts w:hint="eastAsia" w:ascii="Arial" w:hAnsi="Arial" w:eastAsia="宋体" w:cs="Arial"/>
          <w:sz w:val="24"/>
          <w:szCs w:val="24"/>
        </w:rPr>
        <w:t>在内</w:t>
      </w:r>
      <w:r>
        <w:rPr>
          <w:rFonts w:ascii="Arial" w:hAnsi="Arial" w:eastAsia="宋体" w:cs="Arial"/>
          <w:sz w:val="24"/>
          <w:szCs w:val="24"/>
        </w:rPr>
        <w:t>，不构成具有法律强制力的责任。相反，指南表明了本审查机构对某一主题的最新见解，除非引用具体的法规或法律要求，否则只应视为建议。在本审查机构指南中使用词语</w:t>
      </w:r>
      <w:r>
        <w:rPr>
          <w:rFonts w:ascii="宋体" w:hAnsi="宋体" w:eastAsia="宋体" w:cs="Arial"/>
          <w:sz w:val="24"/>
          <w:szCs w:val="24"/>
        </w:rPr>
        <w:t>“</w:t>
      </w:r>
      <w:r>
        <w:rPr>
          <w:rFonts w:ascii="Arial" w:hAnsi="Arial" w:eastAsia="宋体" w:cs="Arial"/>
          <w:sz w:val="24"/>
          <w:szCs w:val="24"/>
        </w:rPr>
        <w:t>应当</w:t>
      </w:r>
      <w:r>
        <w:rPr>
          <w:rFonts w:ascii="宋体" w:hAnsi="宋体" w:eastAsia="宋体" w:cs="Arial"/>
          <w:sz w:val="24"/>
          <w:szCs w:val="24"/>
        </w:rPr>
        <w:t>”</w:t>
      </w:r>
      <w:r>
        <w:rPr>
          <w:rFonts w:ascii="Arial" w:hAnsi="Arial" w:eastAsia="宋体" w:cs="Arial"/>
          <w:sz w:val="24"/>
          <w:szCs w:val="24"/>
        </w:rPr>
        <w:t>是指建议或推荐进行某一事项，并非强制要求。</w:t>
      </w:r>
    </w:p>
    <w:p w14:paraId="48A23021">
      <w:pPr>
        <w:pStyle w:val="14"/>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sz w:val="32"/>
          <w:szCs w:val="32"/>
        </w:rPr>
      </w:pPr>
      <w:bookmarkStart w:id="1" w:name="_Toc498346739"/>
      <w:r>
        <w:rPr>
          <w:rFonts w:ascii="Arial" w:hAnsi="Arial" w:eastAsia="宋体" w:cs="Arial"/>
          <w:b/>
          <w:sz w:val="32"/>
          <w:szCs w:val="32"/>
        </w:rPr>
        <w:t>LDT定义和指南范围</w:t>
      </w:r>
      <w:bookmarkEnd w:id="1"/>
    </w:p>
    <w:p w14:paraId="111D3AB5">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FDA对</w:t>
      </w:r>
      <w:r>
        <w:rPr>
          <w:rFonts w:ascii="宋体" w:hAnsi="宋体" w:eastAsia="宋体" w:cs="Arial"/>
          <w:sz w:val="24"/>
          <w:szCs w:val="24"/>
        </w:rPr>
        <w:t>“</w:t>
      </w:r>
      <w:r>
        <w:rPr>
          <w:rFonts w:ascii="Arial" w:hAnsi="Arial" w:eastAsia="宋体" w:cs="Arial"/>
          <w:i/>
          <w:sz w:val="24"/>
          <w:szCs w:val="24"/>
        </w:rPr>
        <w:t>实验室开发检测</w:t>
      </w:r>
      <w:r>
        <w:rPr>
          <w:rFonts w:ascii="宋体" w:hAnsi="宋体" w:eastAsia="宋体" w:cs="Arial"/>
          <w:sz w:val="24"/>
          <w:szCs w:val="24"/>
        </w:rPr>
        <w:t>”</w:t>
      </w:r>
      <w:r>
        <w:rPr>
          <w:rFonts w:ascii="Arial" w:hAnsi="Arial" w:eastAsia="宋体" w:cs="Arial"/>
          <w:sz w:val="24"/>
          <w:szCs w:val="24"/>
        </w:rPr>
        <w:t>（LDT）的定义为用于临床使用，且由独立的实验室设计、生产和使用的IVD。</w:t>
      </w:r>
      <w:r>
        <w:rPr>
          <w:rStyle w:val="13"/>
          <w:rFonts w:ascii="Arial" w:hAnsi="Arial" w:eastAsia="宋体" w:cs="Arial"/>
          <w:sz w:val="24"/>
          <w:szCs w:val="24"/>
        </w:rPr>
        <w:footnoteReference w:id="3"/>
      </w:r>
      <w:r>
        <w:rPr>
          <w:rFonts w:hint="eastAsia" w:ascii="Arial" w:hAnsi="Arial" w:eastAsia="宋体" w:cs="Arial"/>
          <w:sz w:val="24"/>
          <w:szCs w:val="24"/>
          <w:vertAlign w:val="superscript"/>
        </w:rPr>
        <w:t>,</w:t>
      </w:r>
      <w:r>
        <w:rPr>
          <w:rStyle w:val="13"/>
          <w:rFonts w:ascii="Arial" w:hAnsi="Arial" w:eastAsia="宋体" w:cs="Arial"/>
          <w:sz w:val="24"/>
          <w:szCs w:val="24"/>
        </w:rPr>
        <w:footnoteReference w:id="4"/>
      </w:r>
      <w:r>
        <w:rPr>
          <w:rFonts w:ascii="Arial" w:hAnsi="Arial" w:eastAsia="宋体" w:cs="Arial"/>
          <w:sz w:val="24"/>
          <w:szCs w:val="24"/>
        </w:rPr>
        <w:t>下文是LDT的示例：</w:t>
      </w:r>
    </w:p>
    <w:p w14:paraId="2961E7A1">
      <w:pPr>
        <w:pStyle w:val="14"/>
        <w:numPr>
          <w:ilvl w:val="0"/>
          <w:numId w:val="2"/>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实验室使用同行评审的文章来指导开发新型诊断器械。该实验室结合使用了通用反应物、分析用特定反应物、以及常规实验室器械开发了一种检测方案，共同构成了监测系统，且在实验室进行了验证和确认。在验证后，该器械用于实验室内提供临床诊断结果。</w:t>
      </w:r>
    </w:p>
    <w:p w14:paraId="2BFFD5F8">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如果该器械完全或部分在实验室外设计和生产，并提供给实验室使用，则FDA会认为该器械不属于LDT。下文是FDA认定不属于LDT的部分示例：</w:t>
      </w:r>
    </w:p>
    <w:p w14:paraId="10C053B4">
      <w:pPr>
        <w:pStyle w:val="14"/>
        <w:numPr>
          <w:ilvl w:val="0"/>
          <w:numId w:val="2"/>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某个拥有多个临床实验室的机构在其中某一个临床实验室开发了某种器械，然后在其内部送至其他若干临床实验室使用。</w:t>
      </w:r>
    </w:p>
    <w:p w14:paraId="3D57D43E">
      <w:pPr>
        <w:pStyle w:val="14"/>
        <w:numPr>
          <w:ilvl w:val="0"/>
          <w:numId w:val="2"/>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某学术性机构开发了一种器械，然后对拥有CLIA认证的实验室的私人公司进行了授权，或与之签署了排他性协议。该拥有CLIA认证实验室的私人公司开始生产并使用该器械提供临床诊断结果。</w:t>
      </w:r>
    </w:p>
    <w:p w14:paraId="6D761CAC">
      <w:pPr>
        <w:pStyle w:val="14"/>
        <w:numPr>
          <w:ilvl w:val="0"/>
          <w:numId w:val="2"/>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某实验室联系了第三方制造商，生产用于该器械的关键部分（例如带涂层的微量滴定板、专用标本收集组件等）。</w:t>
      </w:r>
    </w:p>
    <w:p w14:paraId="4CB75181">
      <w:pPr>
        <w:widowControl/>
        <w:jc w:val="left"/>
        <w:rPr>
          <w:rFonts w:ascii="Arial" w:hAnsi="Arial" w:eastAsia="宋体" w:cs="Arial"/>
          <w:sz w:val="24"/>
          <w:szCs w:val="24"/>
        </w:rPr>
      </w:pPr>
      <w:r>
        <w:rPr>
          <w:rFonts w:ascii="Arial" w:hAnsi="Arial" w:eastAsia="宋体" w:cs="Arial"/>
          <w:sz w:val="24"/>
          <w:szCs w:val="24"/>
        </w:rPr>
        <w:br w:type="page"/>
      </w:r>
    </w:p>
    <w:p w14:paraId="6736DDA1">
      <w:pPr>
        <w:pStyle w:val="14"/>
        <w:numPr>
          <w:ilvl w:val="0"/>
          <w:numId w:val="2"/>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实验室与某规范研发机构签署协议，研发新型器械。完成后，在器械生产并用于该实验室提供临床诊断结果前送至临床实验室进行最终验证。</w:t>
      </w:r>
    </w:p>
    <w:p w14:paraId="3EE1601A">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认为，一些实验室可能正在以LDT的名义提供某些医疗器械，但这些器械并不符合FDA对于LDT的定义（例如，并非在一个单独的实验室内设计、生产和使用的）。以LDT的名义上市，但实际上并不属于LDT的实验室检测不符合FD&amp;C法案要求</w:t>
      </w:r>
      <w:r>
        <w:rPr>
          <w:rStyle w:val="13"/>
          <w:rFonts w:ascii="Arial" w:hAnsi="Arial" w:eastAsia="宋体" w:cs="Arial"/>
          <w:sz w:val="24"/>
          <w:szCs w:val="24"/>
        </w:rPr>
        <w:footnoteReference w:id="5"/>
      </w:r>
      <w:r>
        <w:rPr>
          <w:rFonts w:ascii="Arial" w:hAnsi="Arial" w:eastAsia="宋体" w:cs="Arial"/>
          <w:sz w:val="24"/>
          <w:szCs w:val="24"/>
        </w:rPr>
        <w:t>；但为了确保检测市场的连续型，避免无法获取这些检测方法，FDA希望针对所有CLIA认证实验室以LDT名义提供的IVD实施相同的基于风险的框架，见于本文件D章节。</w:t>
      </w:r>
    </w:p>
    <w:p w14:paraId="67308D86">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为了表述清晰，除非特别指明，在本文件的D章节中的LDT包含了CLIA认证实验室以</w:t>
      </w:r>
      <w:r>
        <w:rPr>
          <w:rFonts w:ascii="宋体" w:hAnsi="宋体" w:eastAsia="宋体" w:cs="Arial"/>
          <w:sz w:val="24"/>
          <w:szCs w:val="24"/>
        </w:rPr>
        <w:t>“</w:t>
      </w:r>
      <w:r>
        <w:rPr>
          <w:rFonts w:ascii="Arial" w:hAnsi="Arial" w:eastAsia="宋体" w:cs="Arial"/>
          <w:sz w:val="24"/>
          <w:szCs w:val="24"/>
        </w:rPr>
        <w:t>LDT</w:t>
      </w:r>
      <w:r>
        <w:rPr>
          <w:rFonts w:ascii="宋体" w:hAnsi="宋体" w:eastAsia="宋体" w:cs="Arial"/>
          <w:sz w:val="24"/>
          <w:szCs w:val="24"/>
        </w:rPr>
        <w:t>”</w:t>
      </w:r>
      <w:r>
        <w:rPr>
          <w:rFonts w:ascii="Arial" w:hAnsi="Arial" w:eastAsia="宋体" w:cs="Arial"/>
          <w:sz w:val="24"/>
          <w:szCs w:val="24"/>
        </w:rPr>
        <w:t>名义提供的所有IVD（而不论该器械是否符合FDA对于</w:t>
      </w:r>
      <w:r>
        <w:rPr>
          <w:rFonts w:ascii="宋体" w:hAnsi="宋体" w:eastAsia="宋体" w:cs="Arial"/>
          <w:sz w:val="24"/>
          <w:szCs w:val="24"/>
        </w:rPr>
        <w:t>“</w:t>
      </w:r>
      <w:r>
        <w:rPr>
          <w:rFonts w:ascii="Arial" w:hAnsi="Arial" w:eastAsia="宋体" w:cs="Arial"/>
          <w:sz w:val="24"/>
          <w:szCs w:val="24"/>
        </w:rPr>
        <w:t>LDT</w:t>
      </w:r>
      <w:r>
        <w:rPr>
          <w:rFonts w:ascii="宋体" w:hAnsi="宋体" w:eastAsia="宋体" w:cs="Arial"/>
          <w:sz w:val="24"/>
          <w:szCs w:val="24"/>
        </w:rPr>
        <w:t>”</w:t>
      </w:r>
      <w:r>
        <w:rPr>
          <w:rFonts w:ascii="Arial" w:hAnsi="Arial" w:eastAsia="宋体" w:cs="Arial"/>
          <w:sz w:val="24"/>
          <w:szCs w:val="24"/>
        </w:rPr>
        <w:t>的定义）。</w:t>
      </w:r>
    </w:p>
    <w:p w14:paraId="4CB243D7">
      <w:pPr>
        <w:pStyle w:val="14"/>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sz w:val="32"/>
          <w:szCs w:val="32"/>
        </w:rPr>
      </w:pPr>
      <w:bookmarkStart w:id="2" w:name="_Toc498346740"/>
      <w:r>
        <w:rPr>
          <w:rFonts w:ascii="Arial" w:hAnsi="Arial" w:eastAsia="宋体" w:cs="Arial"/>
          <w:b/>
          <w:sz w:val="32"/>
          <w:szCs w:val="32"/>
        </w:rPr>
        <w:t>背景</w:t>
      </w:r>
      <w:bookmarkEnd w:id="2"/>
    </w:p>
    <w:p w14:paraId="6DE17A1A">
      <w:pPr>
        <w:pStyle w:val="14"/>
        <w:numPr>
          <w:ilvl w:val="1"/>
          <w:numId w:val="1"/>
        </w:numPr>
        <w:overflowPunct w:val="0"/>
        <w:snapToGrid w:val="0"/>
        <w:spacing w:after="156" w:afterLines="50" w:line="300" w:lineRule="auto"/>
        <w:ind w:left="0" w:firstLine="0" w:firstLineChars="0"/>
        <w:outlineLvl w:val="1"/>
        <w:rPr>
          <w:rFonts w:ascii="Arial" w:hAnsi="Arial" w:eastAsia="宋体" w:cs="Arial"/>
          <w:b/>
          <w:sz w:val="28"/>
          <w:szCs w:val="28"/>
        </w:rPr>
      </w:pPr>
      <w:bookmarkStart w:id="3" w:name="_Toc498346741"/>
      <w:r>
        <w:rPr>
          <w:rFonts w:ascii="Arial" w:hAnsi="Arial" w:eastAsia="宋体" w:cs="Arial"/>
          <w:b/>
          <w:sz w:val="28"/>
          <w:szCs w:val="28"/>
        </w:rPr>
        <w:t>LDT监管历史</w:t>
      </w:r>
      <w:bookmarkEnd w:id="3"/>
    </w:p>
    <w:p w14:paraId="1CBE7ECA">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1976年，国会通过了医疗器械修正案（MDA），与联邦食品药品与化妆品法案（FD&amp;C法案）共同建立以人用医疗器械的综合监管体系。同时也对医疗器械的定义进行了修订，其范围扩展到了体外诊断器械（IVD）</w:t>
      </w:r>
      <w:r>
        <w:rPr>
          <w:rStyle w:val="13"/>
          <w:rFonts w:ascii="Arial" w:hAnsi="Arial" w:eastAsia="宋体" w:cs="Arial"/>
          <w:sz w:val="24"/>
          <w:szCs w:val="24"/>
        </w:rPr>
        <w:footnoteReference w:id="6"/>
      </w:r>
      <w:r>
        <w:rPr>
          <w:rFonts w:ascii="Arial" w:hAnsi="Arial" w:eastAsia="宋体" w:cs="Arial"/>
          <w:sz w:val="24"/>
          <w:szCs w:val="24"/>
        </w:rPr>
        <w:t>。医疗器械的定义同时适用于由常规医疗器械制造商和实验室生产的体外诊断器械。因此，不论在何时由何人生产，IVD均符合医疗器械的定义。但从1976年MDA实施以来，FDA行使强制执行自由裁量权，未针对LDT强制实施FD&amp;C法案和FDA规范条款。作为惯例，随着1976年MDA的实施，针对LDT的强制执行自由裁量也随之实施。</w:t>
      </w:r>
    </w:p>
    <w:p w14:paraId="606C5847">
      <w:pPr>
        <w:widowControl/>
        <w:jc w:val="left"/>
        <w:rPr>
          <w:rFonts w:ascii="Arial" w:hAnsi="Arial" w:eastAsia="宋体" w:cs="Arial"/>
          <w:sz w:val="24"/>
          <w:szCs w:val="24"/>
        </w:rPr>
      </w:pPr>
      <w:r>
        <w:rPr>
          <w:rFonts w:ascii="Arial" w:hAnsi="Arial" w:eastAsia="宋体" w:cs="Arial"/>
          <w:sz w:val="24"/>
          <w:szCs w:val="24"/>
        </w:rPr>
        <w:br w:type="page"/>
      </w:r>
    </w:p>
    <w:p w14:paraId="08327236">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从1988年开始，医疗保险和医疗救助服务中心（CMS）（42 U.S.C. 263a）开始根据临床实验室提高修正案（CLIA）对实验室进行监管，包括开发LDT的实验室。CLIA管理了实验室的官方认定、检查和许可流程。但CLIA的要求主要针对的是不同的功能而非FD&amp;C法案的要求。即，CLIA的要求针对的是实验室的检测流程（即实验室以准确可信的方式实施实验室检测的能力）。根据CLIA的要求，认定官员不会评估上市前的检测验证情况，也不会评估LDT的临床有效性（</w:t>
      </w:r>
      <w:bookmarkStart w:id="4" w:name="OLE_LINK72"/>
      <w:r>
        <w:rPr>
          <w:rFonts w:ascii="Arial" w:hAnsi="Arial" w:eastAsia="宋体" w:cs="Arial"/>
          <w:sz w:val="24"/>
          <w:szCs w:val="24"/>
        </w:rPr>
        <w:t>即该检测确定、测量或预测患者是否存在某种临床疾病或症状的准确性</w:t>
      </w:r>
      <w:bookmarkEnd w:id="4"/>
      <w:r>
        <w:rPr>
          <w:rFonts w:ascii="Arial" w:hAnsi="Arial" w:eastAsia="宋体" w:cs="Arial"/>
          <w:sz w:val="24"/>
          <w:szCs w:val="24"/>
        </w:rPr>
        <w:t>）。根据FD&amp;C法案，FDA应在上市前批准或审批流程中确保诊断性检测的分析有效性（即分析的特异性和敏感性，准确性和精度）和临床有效性。除了上市前评价外，FDA的相关要求还提供了其他控制措施，确保器械的设计、生产适当，确保安全性和有效性。因此，虽然CLIA监管很重要，但仅通过CLIA不能保证LDT的设计适当、生产稳定，也不能确保患者的安全性和有效性。</w:t>
      </w:r>
    </w:p>
    <w:p w14:paraId="2EDDE2D2">
      <w:pPr>
        <w:pStyle w:val="14"/>
        <w:numPr>
          <w:ilvl w:val="1"/>
          <w:numId w:val="1"/>
        </w:numPr>
        <w:overflowPunct w:val="0"/>
        <w:snapToGrid w:val="0"/>
        <w:spacing w:after="156" w:afterLines="50" w:line="300" w:lineRule="auto"/>
        <w:ind w:left="0" w:firstLine="0" w:firstLineChars="0"/>
        <w:outlineLvl w:val="1"/>
        <w:rPr>
          <w:rFonts w:ascii="Arial" w:hAnsi="Arial" w:eastAsia="宋体" w:cs="Arial"/>
          <w:b/>
          <w:sz w:val="28"/>
          <w:szCs w:val="28"/>
        </w:rPr>
      </w:pPr>
      <w:bookmarkStart w:id="5" w:name="_Toc498346742"/>
      <w:r>
        <w:rPr>
          <w:rFonts w:ascii="Arial" w:hAnsi="Arial" w:eastAsia="宋体" w:cs="Arial"/>
          <w:b/>
          <w:sz w:val="28"/>
          <w:szCs w:val="28"/>
        </w:rPr>
        <w:t>LDT技术、市场和商业模式演化，以及增加LDT监管的需要</w:t>
      </w:r>
      <w:bookmarkEnd w:id="5"/>
    </w:p>
    <w:p w14:paraId="4AF57B35">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自从1976年国会根据FD&amp;C认定ICD为医疗器械，且FDA决定针对LDT行使强制执行自由裁量权以来，行业发生了大幅增长和变化。FDA发现由于缺少针对LDT的适当的监管，对患者造成了潜在的风险。</w:t>
      </w:r>
    </w:p>
    <w:p w14:paraId="62B4633E">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1976年，LDT主要由本地实验室生产，规模较小。许多实验室生产的LDT与设计完备的标准诊断器械相似，或者用于诊断罕见疾病，或为了适应本地患者的需求。此时的LDT依赖于实验室人员的手工技术。而LDT的使用和解读也由独立机构内负责患者的医生或病理学家直接负责。另外，传统上的LDT使使用合法上市用于临床使用的成分生产的。</w:t>
      </w:r>
      <w:r>
        <w:rPr>
          <w:rStyle w:val="13"/>
          <w:rFonts w:ascii="Arial" w:hAnsi="Arial" w:eastAsia="宋体" w:cs="Arial"/>
          <w:sz w:val="24"/>
          <w:szCs w:val="24"/>
        </w:rPr>
        <w:footnoteReference w:id="7"/>
      </w:r>
    </w:p>
    <w:p w14:paraId="2B57D4D8">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虽然一些实验室仍然以</w:t>
      </w:r>
      <w:r>
        <w:rPr>
          <w:rFonts w:ascii="宋体" w:hAnsi="宋体" w:eastAsia="宋体" w:cs="Arial"/>
          <w:sz w:val="24"/>
          <w:szCs w:val="24"/>
        </w:rPr>
        <w:t>“</w:t>
      </w:r>
      <w:r>
        <w:rPr>
          <w:rFonts w:ascii="Arial" w:hAnsi="Arial" w:eastAsia="宋体" w:cs="Arial"/>
          <w:sz w:val="24"/>
          <w:szCs w:val="24"/>
        </w:rPr>
        <w:t>传统</w:t>
      </w:r>
      <w:r>
        <w:rPr>
          <w:rFonts w:ascii="宋体" w:hAnsi="宋体" w:eastAsia="宋体" w:cs="Arial"/>
          <w:sz w:val="24"/>
          <w:szCs w:val="24"/>
        </w:rPr>
        <w:t>”</w:t>
      </w:r>
      <w:r>
        <w:rPr>
          <w:rFonts w:ascii="Arial" w:hAnsi="Arial" w:eastAsia="宋体" w:cs="Arial"/>
          <w:sz w:val="24"/>
          <w:szCs w:val="24"/>
        </w:rPr>
        <w:t>的方式生产LDT，但从1976年以来，实验室检测以及LDT的情况已经发生了很大变化。现在，实验室使用的LDT通常独立于医疗护理机构。另外，现在的LDT尝试用未经合法上市用于临床使用的成分和器械，并且在生成结果和临床解释方面更依赖于高科技的仪器和软件。另外，技术的进步也增加了使用诊断性器械用于引导高风险疾病和症状的关键临床管理决策的程度，尤其是在个性化诊疗背景下。</w:t>
      </w:r>
    </w:p>
    <w:p w14:paraId="5088867E">
      <w:pPr>
        <w:widowControl/>
        <w:jc w:val="left"/>
        <w:rPr>
          <w:rFonts w:ascii="Arial" w:hAnsi="Arial" w:eastAsia="宋体" w:cs="Arial"/>
          <w:sz w:val="24"/>
          <w:szCs w:val="24"/>
        </w:rPr>
      </w:pPr>
      <w:r>
        <w:rPr>
          <w:rFonts w:ascii="Arial" w:hAnsi="Arial" w:eastAsia="宋体" w:cs="Arial"/>
          <w:sz w:val="24"/>
          <w:szCs w:val="24"/>
        </w:rPr>
        <w:br w:type="page"/>
      </w:r>
    </w:p>
    <w:p w14:paraId="2ED53B9C">
      <w:pPr>
        <w:overflowPunct w:val="0"/>
        <w:snapToGrid w:val="0"/>
        <w:spacing w:after="156" w:afterLines="50" w:line="300" w:lineRule="auto"/>
        <w:rPr>
          <w:rFonts w:ascii="Arial" w:hAnsi="Arial" w:eastAsia="宋体" w:cs="Arial"/>
          <w:spacing w:val="-2"/>
          <w:sz w:val="24"/>
          <w:szCs w:val="24"/>
        </w:rPr>
      </w:pPr>
      <w:r>
        <w:rPr>
          <w:rFonts w:ascii="Arial" w:hAnsi="Arial" w:eastAsia="宋体" w:cs="Arial"/>
          <w:spacing w:val="-2"/>
          <w:sz w:val="24"/>
          <w:szCs w:val="24"/>
        </w:rPr>
        <w:t>从1976年以来，实验室的商业模式也发生了变化。随着快速运输和包括器械检验结果在内的信息的电子化传输的发展，一个独立的实验室可以提供全国和国际的医疗器械检测结果。现在，许多新型LDT的制造商均为大型的公司，在全国范围内销售少量的复杂的、高风险的医疗器械；而与此相反，在1976年的时候，医院或公众卫生实验室使用多样化的器械，且均与设计完备的标准诊断器械相似，或者用于诊断罕见疾病，或为了适应本地患者的需求。上述这些变化共同导致了实验室开发的LDT类型发生了很大变化，对患者的潜在风险也有重大变化。</w:t>
      </w:r>
      <w:r>
        <w:rPr>
          <w:rStyle w:val="13"/>
          <w:rFonts w:ascii="Arial" w:hAnsi="Arial" w:eastAsia="宋体" w:cs="Arial"/>
          <w:spacing w:val="-2"/>
          <w:sz w:val="24"/>
          <w:szCs w:val="24"/>
        </w:rPr>
        <w:footnoteReference w:id="8"/>
      </w:r>
    </w:p>
    <w:p w14:paraId="71F9467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因此，FDA确定了下列现代LDT的特征，这些特征是1976年的LDT所不具备的，如果不进行合适的监管，则这些特征可能会增加患者的风险。许多现代的LDT：</w:t>
      </w:r>
    </w:p>
    <w:p w14:paraId="57A93D7B">
      <w:pPr>
        <w:pStyle w:val="14"/>
        <w:numPr>
          <w:ilvl w:val="0"/>
          <w:numId w:val="3"/>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生产成分未经合法上市供临床使用</w:t>
      </w:r>
    </w:p>
    <w:p w14:paraId="7A0523EA">
      <w:pPr>
        <w:pStyle w:val="14"/>
        <w:numPr>
          <w:ilvl w:val="0"/>
          <w:numId w:val="3"/>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应用人群超过了本地人群范围，且生产量大</w:t>
      </w:r>
    </w:p>
    <w:p w14:paraId="5B8688E9">
      <w:pPr>
        <w:pStyle w:val="14"/>
        <w:numPr>
          <w:ilvl w:val="0"/>
          <w:numId w:val="3"/>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广泛用于常见病而非罕见病的筛查</w:t>
      </w:r>
    </w:p>
    <w:p w14:paraId="40F7C461">
      <w:pPr>
        <w:pStyle w:val="14"/>
        <w:numPr>
          <w:ilvl w:val="0"/>
          <w:numId w:val="3"/>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直接用于进行关键治疗决策（如药物反应预测）</w:t>
      </w:r>
    </w:p>
    <w:p w14:paraId="510EA6D4">
      <w:pPr>
        <w:pStyle w:val="14"/>
        <w:numPr>
          <w:ilvl w:val="0"/>
          <w:numId w:val="3"/>
        </w:numPr>
        <w:overflowPunct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高复杂度（如自动解读、多信号器械、使用非透明的算法和/或复杂的软件来产生器械结果）</w:t>
      </w:r>
    </w:p>
    <w:p w14:paraId="7443F1E8">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但FDA认为，对于全部IVD而言，多种不同类型的LDT的潜在风险存在差异。因此，FDA认为，为了保护患者安全，使用基于风险的方式对LDT进行监管是合适且有必要的。描述FDA针对不同类型的LDT政策的综合性框架可以帮助LDT制造商理解要求，并保护患者。</w:t>
      </w:r>
    </w:p>
    <w:p w14:paraId="31D555EB">
      <w:pPr>
        <w:pStyle w:val="14"/>
        <w:numPr>
          <w:ilvl w:val="1"/>
          <w:numId w:val="1"/>
        </w:numPr>
        <w:overflowPunct w:val="0"/>
        <w:snapToGrid w:val="0"/>
        <w:spacing w:after="156" w:afterLines="50" w:line="300" w:lineRule="auto"/>
        <w:ind w:left="0" w:firstLine="0" w:firstLineChars="0"/>
        <w:outlineLvl w:val="1"/>
        <w:rPr>
          <w:rFonts w:ascii="Arial" w:hAnsi="Arial" w:eastAsia="宋体" w:cs="Arial"/>
          <w:b/>
          <w:sz w:val="28"/>
          <w:szCs w:val="28"/>
        </w:rPr>
      </w:pPr>
      <w:bookmarkStart w:id="6" w:name="_Toc498346743"/>
      <w:r>
        <w:rPr>
          <w:rFonts w:ascii="Arial" w:hAnsi="Arial" w:eastAsia="宋体" w:cs="Arial"/>
          <w:b/>
          <w:sz w:val="28"/>
          <w:szCs w:val="28"/>
        </w:rPr>
        <w:t>LDT监管的不足</w:t>
      </w:r>
      <w:bookmarkEnd w:id="6"/>
    </w:p>
    <w:p w14:paraId="5A117C52">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上所述，由于LDT复杂度和使用情况的变化，以及相关的风险的增加，FDA认为针对LDT的通用强制执行自由裁量已经不再适用。虽然CLIA的要求对于确保实验室及其工作人员保持高标准十分重要，但FDA担心仅遵守CLIA法规要求并不能确保诊断性器械本身符合FD&amp;C法案规定的安全性和有效性。具体来说，CLIA法规：</w:t>
      </w:r>
    </w:p>
    <w:p w14:paraId="3F1ECC4A">
      <w:pPr>
        <w:pStyle w:val="14"/>
        <w:numPr>
          <w:ilvl w:val="0"/>
          <w:numId w:val="4"/>
        </w:numPr>
        <w:overflowPunct w:val="0"/>
        <w:snapToGrid w:val="0"/>
        <w:spacing w:after="156" w:afterLines="50" w:line="336" w:lineRule="auto"/>
        <w:ind w:firstLineChars="0"/>
        <w:rPr>
          <w:rFonts w:ascii="Arial" w:hAnsi="Arial" w:eastAsia="宋体" w:cs="Arial"/>
          <w:sz w:val="24"/>
          <w:szCs w:val="24"/>
        </w:rPr>
      </w:pPr>
      <w:r>
        <w:rPr>
          <w:rFonts w:ascii="Arial" w:hAnsi="Arial" w:eastAsia="宋体" w:cs="Arial"/>
          <w:sz w:val="24"/>
          <w:szCs w:val="24"/>
        </w:rPr>
        <w:t>不能保证LDT的安全性和有效性。</w:t>
      </w:r>
    </w:p>
    <w:p w14:paraId="44926F48">
      <w:pPr>
        <w:pStyle w:val="14"/>
        <w:numPr>
          <w:ilvl w:val="1"/>
          <w:numId w:val="5"/>
        </w:numPr>
        <w:overflowPunct w:val="0"/>
        <w:snapToGrid w:val="0"/>
        <w:spacing w:after="156" w:afterLines="50" w:line="336" w:lineRule="auto"/>
        <w:ind w:firstLineChars="0"/>
        <w:rPr>
          <w:rFonts w:ascii="Arial" w:hAnsi="Arial" w:eastAsia="宋体" w:cs="Arial"/>
          <w:sz w:val="24"/>
          <w:szCs w:val="24"/>
        </w:rPr>
      </w:pPr>
      <w:r>
        <w:rPr>
          <w:rFonts w:ascii="Arial" w:hAnsi="Arial" w:eastAsia="宋体" w:cs="Arial"/>
          <w:sz w:val="24"/>
          <w:szCs w:val="24"/>
        </w:rPr>
        <w:t>根据CLIA的规定，实验室对LDT的分析准确性是通过两年一次的常规调查进行评估的，这意味着对分析准确性的评估是在实验室开始使用该检测，而非该检测上市前进行的。CLIA规定要求实验室在使用其检测系统报告门诊患者结果前对分析进行验证（即证明该器械可以准确地检测到检验成分），但该过程通常在器械上市后进行评估。另外，常规的CLIA调查不包含LDT的临床验证评价——即该检测确定、测量或预测患者是否存在某种临床疾病或症状的准确性。因此，无法确保该器械具有临床相关性。根据FD&amp;C法案，分析有效性和临床有效性均应在该器械进入临床应用前进行评估。</w:t>
      </w:r>
    </w:p>
    <w:p w14:paraId="23F514B8">
      <w:pPr>
        <w:pStyle w:val="14"/>
        <w:numPr>
          <w:ilvl w:val="0"/>
          <w:numId w:val="4"/>
        </w:numPr>
        <w:overflowPunct w:val="0"/>
        <w:snapToGrid w:val="0"/>
        <w:spacing w:after="156" w:afterLines="50" w:line="336" w:lineRule="auto"/>
        <w:ind w:firstLineChars="0"/>
        <w:rPr>
          <w:rFonts w:ascii="Arial" w:hAnsi="Arial" w:eastAsia="宋体" w:cs="Arial"/>
          <w:sz w:val="24"/>
          <w:szCs w:val="24"/>
        </w:rPr>
      </w:pPr>
      <w:r>
        <w:rPr>
          <w:rFonts w:ascii="Arial" w:hAnsi="Arial" w:eastAsia="宋体" w:cs="Arial"/>
          <w:sz w:val="24"/>
          <w:szCs w:val="24"/>
        </w:rPr>
        <w:t>不要求进行不良事件报告，因此监管人员很难检测到不准确、无效或不安全的器械。</w:t>
      </w:r>
    </w:p>
    <w:p w14:paraId="1346FE17">
      <w:pPr>
        <w:pStyle w:val="14"/>
        <w:numPr>
          <w:ilvl w:val="0"/>
          <w:numId w:val="4"/>
        </w:numPr>
        <w:overflowPunct w:val="0"/>
        <w:snapToGrid w:val="0"/>
        <w:spacing w:after="156" w:afterLines="50" w:line="336" w:lineRule="auto"/>
        <w:ind w:firstLineChars="0"/>
        <w:rPr>
          <w:rFonts w:ascii="Arial" w:hAnsi="Arial" w:eastAsia="宋体" w:cs="Arial"/>
          <w:sz w:val="24"/>
          <w:szCs w:val="24"/>
        </w:rPr>
      </w:pPr>
      <w:r>
        <w:rPr>
          <w:rFonts w:ascii="Arial" w:hAnsi="Arial" w:eastAsia="宋体" w:cs="Arial"/>
          <w:sz w:val="24"/>
          <w:szCs w:val="24"/>
        </w:rPr>
        <w:t>不要求不安全的器械退出市场。</w:t>
      </w:r>
    </w:p>
    <w:p w14:paraId="28739A97">
      <w:pPr>
        <w:pStyle w:val="14"/>
        <w:numPr>
          <w:ilvl w:val="0"/>
          <w:numId w:val="4"/>
        </w:numPr>
        <w:overflowPunct w:val="0"/>
        <w:snapToGrid w:val="0"/>
        <w:spacing w:after="156" w:afterLines="50" w:line="336" w:lineRule="auto"/>
        <w:ind w:firstLineChars="0"/>
        <w:rPr>
          <w:rFonts w:ascii="Arial" w:hAnsi="Arial" w:eastAsia="宋体" w:cs="Arial"/>
          <w:sz w:val="24"/>
          <w:szCs w:val="24"/>
        </w:rPr>
      </w:pPr>
      <w:r>
        <w:rPr>
          <w:rFonts w:ascii="Arial" w:hAnsi="Arial" w:eastAsia="宋体" w:cs="Arial"/>
          <w:sz w:val="24"/>
          <w:szCs w:val="24"/>
        </w:rPr>
        <w:t>不评估器械的生产质量，而该因素是器械监管的重要方面。</w:t>
      </w:r>
    </w:p>
    <w:p w14:paraId="3C83BF1D">
      <w:pPr>
        <w:pStyle w:val="14"/>
        <w:numPr>
          <w:ilvl w:val="1"/>
          <w:numId w:val="5"/>
        </w:numPr>
        <w:overflowPunct w:val="0"/>
        <w:snapToGrid w:val="0"/>
        <w:spacing w:after="156" w:afterLines="50" w:line="336" w:lineRule="auto"/>
        <w:ind w:firstLineChars="0"/>
        <w:rPr>
          <w:rFonts w:ascii="Arial" w:hAnsi="Arial" w:eastAsia="宋体" w:cs="Arial"/>
          <w:sz w:val="24"/>
          <w:szCs w:val="24"/>
        </w:rPr>
      </w:pPr>
      <w:r>
        <w:rPr>
          <w:rFonts w:ascii="Arial" w:hAnsi="Arial" w:eastAsia="宋体" w:cs="Arial"/>
          <w:sz w:val="24"/>
          <w:szCs w:val="24"/>
        </w:rPr>
        <w:t>CLIA法规关注使用器械的实验室流程，而非器械本身的设计和生产。</w:t>
      </w:r>
    </w:p>
    <w:p w14:paraId="5D6E1497">
      <w:pPr>
        <w:pStyle w:val="14"/>
        <w:numPr>
          <w:ilvl w:val="0"/>
          <w:numId w:val="4"/>
        </w:numPr>
        <w:overflowPunct w:val="0"/>
        <w:snapToGrid w:val="0"/>
        <w:spacing w:after="156" w:afterLines="50" w:line="336" w:lineRule="auto"/>
        <w:ind w:firstLineChars="0"/>
        <w:rPr>
          <w:rFonts w:ascii="Arial" w:hAnsi="Arial" w:eastAsia="宋体" w:cs="Arial"/>
          <w:sz w:val="24"/>
          <w:szCs w:val="24"/>
        </w:rPr>
      </w:pPr>
      <w:r>
        <w:rPr>
          <w:rFonts w:ascii="Arial" w:hAnsi="Arial" w:eastAsia="宋体" w:cs="Arial"/>
          <w:sz w:val="24"/>
          <w:szCs w:val="24"/>
        </w:rPr>
        <w:t>不要求获取参与LDT临床试验的患者的知情同意，未建立针对上述研究的开展流程。</w:t>
      </w:r>
    </w:p>
    <w:p w14:paraId="663ACE3B">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机构十分</w:t>
      </w:r>
      <w:r>
        <w:rPr>
          <w:rFonts w:hint="eastAsia" w:ascii="Arial" w:hAnsi="Arial" w:eastAsia="宋体" w:cs="Arial"/>
          <w:sz w:val="24"/>
          <w:szCs w:val="24"/>
        </w:rPr>
        <w:t>关注</w:t>
      </w:r>
      <w:r>
        <w:rPr>
          <w:rFonts w:ascii="Arial" w:hAnsi="Arial" w:eastAsia="宋体" w:cs="Arial"/>
          <w:sz w:val="24"/>
          <w:szCs w:val="24"/>
        </w:rPr>
        <w:t>缺少针对LDT的临床有效性证据的独立评价。临床有效性是诊断器械按照预期用途测量或检测临床症状的</w:t>
      </w:r>
      <w:r>
        <w:rPr>
          <w:rFonts w:hint="eastAsia" w:ascii="Arial" w:hAnsi="Arial" w:eastAsia="宋体" w:cs="Arial"/>
          <w:sz w:val="24"/>
          <w:szCs w:val="24"/>
        </w:rPr>
        <w:t>功能</w:t>
      </w:r>
      <w:r>
        <w:rPr>
          <w:rFonts w:ascii="Arial" w:hAnsi="Arial" w:eastAsia="宋体" w:cs="Arial"/>
          <w:sz w:val="24"/>
          <w:szCs w:val="24"/>
        </w:rPr>
        <w:t>。CLIA法规未对临床有效性进行评价。预期用途</w:t>
      </w:r>
      <w:r>
        <w:rPr>
          <w:rStyle w:val="13"/>
          <w:rFonts w:ascii="Arial" w:hAnsi="Arial" w:eastAsia="宋体" w:cs="Arial"/>
          <w:sz w:val="24"/>
          <w:szCs w:val="24"/>
        </w:rPr>
        <w:footnoteReference w:id="9"/>
      </w:r>
      <w:r>
        <w:rPr>
          <w:rFonts w:ascii="Arial" w:hAnsi="Arial" w:eastAsia="宋体" w:cs="Arial"/>
          <w:sz w:val="24"/>
          <w:szCs w:val="24"/>
        </w:rPr>
        <w:t>未经合适的临床有效性验证，且用于关键临床决策的LDT会给患者带来潜在的漏诊和误诊、无法实施有效治疗或实施无效且有潜在危害的治疗的风险。</w:t>
      </w:r>
    </w:p>
    <w:p w14:paraId="0A3F7E6F">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另外，FDA意识到，在遵守CLIA要求（42 CFR 493.1253（b）（2））的过程中，虽然临床实验室进行了某种程度的分析有效性验证，但使用的规范难以确保很多LDT的安全性和有效性。CLIA调查过程或评价LDT分析有效性数据，但通常是在器械已经辅助使用，提供临床诊断结果后实地进行的。CLIA并不能确保LDT在临床使用前即经过了合理的分析有效性验证。另外，CLIA并不要求或评估任何检测的临床有效性。因此，关于LDT而言，仅符合CLIA的规定并不足以确保患者安全性。FD&amp;C和FDA法规规定的FDA上市前评价的目的是确保安全性和有效性。</w:t>
      </w:r>
    </w:p>
    <w:p w14:paraId="4C4ABB89">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FDA也十分关注在现行的强制执行自由裁量政策下，没有与LDT使用相关的严重不良事件的上市后安全监测机制。虽然制造商医疗器械报告要求（21 CFR 803.50）也适用于生产LDT的实验室，但考虑到FDA通常会针对LDT采取强制实施自由裁量政策，因此LDT的不良事件报告，包括可能与LDT有关的严重损伤的报告并为系统性报告和收集。</w:t>
      </w:r>
      <w:r>
        <w:rPr>
          <w:rStyle w:val="13"/>
          <w:rFonts w:ascii="Arial" w:hAnsi="Arial" w:eastAsia="宋体" w:cs="Arial"/>
          <w:sz w:val="24"/>
          <w:szCs w:val="24"/>
        </w:rPr>
        <w:footnoteReference w:id="10"/>
      </w:r>
    </w:p>
    <w:p w14:paraId="1190AEDE">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另外，虽然遵守CLIA要求保证了临床实验室的操作可以保持高质量，且选择用于临床使用的方法可以提供患者护理所需的高质量结果（42 CFR493.1445（e）（1）和42 CFR 493.1445（e）（3）（i – iii）），但这些要求并不能确保诊断性器械本身的设计、生产和验证过程。也就是说，即使假定实验室具有CLIA规定的高质量实验室操作（如人员具有合适的资质，且选择的检测方法适当），如果该器械的设计、生产和验证过程不当的话，器械仍然有可能出现问题。因此，无法保证临床实验室设计生产的、未经上市前评价和其他监管元素的LDT经过了安全性和有效性的合理验证，而如果出现问题的话也没有用于追溯的不良事件报告机制。</w:t>
      </w:r>
    </w:p>
    <w:p w14:paraId="2D0E2380">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FDA也十分担心患者或治疗医生在使用上述未经严格的分析或临床评价的LDT时并不知道该器械为非FDA审批或批准的器械。如果LDT包含了合法上市的特定分析物试剂（ASR），则实验室必须在检测报告中包含声明，指出该检测未经FDA审批或批准（21 CFR 809.30（e））。但除了在检测报告上标注出的仅在检测执行后才可看到的声明外，没有其他信息可以在选择检测前直接告知患者或医生该器械状态，意味着他们可能不知道该器械为未经FDA审批或批准的LDT。另外，如果LDT未使用合法上市的ASR，则检测报告上甚至不会出现上述声明。因此，根据LDT结果进行医疗治疗决策的医生和患者可能，并且经常会不知道该LDT的分析和临床验证未经FDA审批。</w:t>
      </w:r>
    </w:p>
    <w:p w14:paraId="48ACC9FB">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FDA认为应该通过基于风险的方式来修改其强制执行自由裁量政策，并提供针对安全性和有效性的适当的保证。已有关于不准确、不安全、无效或低质量LDT造成患者伤害或潜在伤害的报告。</w:t>
      </w:r>
      <w:r>
        <w:rPr>
          <w:rStyle w:val="13"/>
          <w:rFonts w:ascii="Arial" w:hAnsi="Arial" w:eastAsia="宋体" w:cs="Arial"/>
          <w:sz w:val="24"/>
          <w:szCs w:val="24"/>
        </w:rPr>
        <w:footnoteReference w:id="11"/>
      </w:r>
      <w:r>
        <w:rPr>
          <w:rFonts w:ascii="Arial" w:hAnsi="Arial" w:eastAsia="宋体" w:cs="Arial"/>
          <w:sz w:val="24"/>
          <w:szCs w:val="24"/>
        </w:rPr>
        <w:t>FDA会提供针对LDT监管的独立评价，以及LDT临床和分析性能和主张、确保生产的恒定、以及上市后控制的评估。</w:t>
      </w:r>
    </w:p>
    <w:p w14:paraId="108397A4">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上市前评价可以确保LDT的设计合理，确保目标人群中的分析和临床有效性得到了有效评估，这是IVD性能的两个关键方面。通过施行标准医疗器械制造商不良事件报告要求来加强监管，可以为LDT提供上市后的监测，帮助确定器械使用过程中性能或质量的问题。另外，通过遵守FDA质量体系规范（QS规范）（21 CFR第820部分）</w:t>
      </w:r>
      <w:r>
        <w:rPr>
          <w:rFonts w:hint="eastAsia" w:ascii="Arial" w:hAnsi="Arial" w:eastAsia="宋体" w:cs="Arial"/>
          <w:sz w:val="24"/>
          <w:szCs w:val="24"/>
        </w:rPr>
        <w:t>适当</w:t>
      </w:r>
      <w:r>
        <w:rPr>
          <w:rFonts w:ascii="Arial" w:hAnsi="Arial" w:eastAsia="宋体" w:cs="Arial"/>
          <w:sz w:val="24"/>
          <w:szCs w:val="24"/>
        </w:rPr>
        <w:t>地进行质量控制可以提高LDT设计和生产的稳健型和可信性，减少器械缺陷导致不良事件的几率。</w:t>
      </w:r>
    </w:p>
    <w:p w14:paraId="28891023">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监管框架也可以提供更多的患者保护措施，尤其是在患者治疗中使用研究性LDT需要适当的知情同意时。</w:t>
      </w:r>
    </w:p>
    <w:p w14:paraId="604DF6B4">
      <w:pPr>
        <w:pStyle w:val="14"/>
        <w:numPr>
          <w:ilvl w:val="1"/>
          <w:numId w:val="1"/>
        </w:numPr>
        <w:overflowPunct w:val="0"/>
        <w:snapToGrid w:val="0"/>
        <w:spacing w:after="156" w:afterLines="50" w:line="336" w:lineRule="auto"/>
        <w:ind w:left="0" w:firstLine="0" w:firstLineChars="0"/>
        <w:outlineLvl w:val="1"/>
        <w:rPr>
          <w:rFonts w:ascii="Arial" w:hAnsi="Arial" w:eastAsia="宋体" w:cs="Arial"/>
          <w:b/>
          <w:sz w:val="28"/>
          <w:szCs w:val="28"/>
        </w:rPr>
      </w:pPr>
      <w:bookmarkStart w:id="7" w:name="_Toc498346744"/>
      <w:r>
        <w:rPr>
          <w:rFonts w:ascii="Arial" w:hAnsi="Arial" w:eastAsia="宋体" w:cs="Arial"/>
          <w:b/>
          <w:sz w:val="28"/>
          <w:szCs w:val="28"/>
        </w:rPr>
        <w:t>基于风险的LDT监管途径</w:t>
      </w:r>
      <w:bookmarkEnd w:id="7"/>
    </w:p>
    <w:p w14:paraId="5443555D">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考虑到上面的担忧，机构认为不应针对所有的LDT施行强制执行自由裁量。在本指导性文件完成后，将会提供一个监管框架，确保医疗护理中使用的医疗器械，不论由实验室还是传统IVD制造商生产的，均符合适当水平的监管控制，确保其安全性和有效性。监管框架的重点部分在下面的章节中进行讨论，进一步的信息请参见本</w:t>
      </w:r>
      <w:r>
        <w:rPr>
          <w:rFonts w:hint="eastAsia" w:ascii="Arial" w:hAnsi="Arial" w:eastAsia="宋体" w:cs="Arial"/>
          <w:sz w:val="24"/>
          <w:szCs w:val="24"/>
        </w:rPr>
        <w:t>指南</w:t>
      </w:r>
      <w:r>
        <w:rPr>
          <w:rFonts w:ascii="Arial" w:hAnsi="Arial" w:eastAsia="宋体" w:cs="Arial"/>
          <w:sz w:val="24"/>
          <w:szCs w:val="24"/>
        </w:rPr>
        <w:t>D章节。</w:t>
      </w:r>
    </w:p>
    <w:p w14:paraId="4A6C0569">
      <w:pPr>
        <w:overflowPunct w:val="0"/>
        <w:snapToGrid w:val="0"/>
        <w:spacing w:line="336" w:lineRule="auto"/>
        <w:rPr>
          <w:rFonts w:ascii="Arial" w:hAnsi="Arial" w:eastAsia="宋体" w:cs="Arial"/>
          <w:b/>
          <w:sz w:val="24"/>
          <w:szCs w:val="24"/>
        </w:rPr>
      </w:pPr>
      <w:r>
        <w:rPr>
          <w:rFonts w:ascii="Arial" w:hAnsi="Arial" w:eastAsia="宋体" w:cs="Arial"/>
          <w:b/>
          <w:sz w:val="24"/>
          <w:szCs w:val="24"/>
        </w:rPr>
        <w:t>基于风险的分类</w:t>
      </w:r>
    </w:p>
    <w:p w14:paraId="16EFE0E1">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根据管理的需要，医疗器械分为I、II和III三类，提供器械安全性和有效性的合理保障，确定因素包括器械的预期用途、技术性特征、以及器械故障时患者的风险。I类器械仅需要接受一般性管理，一般为低风险的器械类别，而III类器械需要接受一般性管理和上市前评价，一般为高风险器械。FD&amp;C法案513（a）（1）部分（21 U.S.C. 360c（a）（1））。</w:t>
      </w:r>
    </w:p>
    <w:p w14:paraId="685C0690">
      <w:pPr>
        <w:widowControl/>
        <w:jc w:val="left"/>
        <w:rPr>
          <w:rFonts w:ascii="Arial" w:hAnsi="Arial" w:eastAsia="宋体" w:cs="Arial"/>
          <w:sz w:val="24"/>
          <w:szCs w:val="24"/>
        </w:rPr>
      </w:pPr>
      <w:r>
        <w:rPr>
          <w:rFonts w:ascii="Arial" w:hAnsi="Arial" w:eastAsia="宋体" w:cs="Arial"/>
          <w:sz w:val="24"/>
          <w:szCs w:val="24"/>
        </w:rPr>
        <w:br w:type="page"/>
      </w:r>
    </w:p>
    <w:p w14:paraId="3E697F51">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FDA会基于已有的医疗器械分类系统来评价LDT分类的风险情况，如果行业表示有兴趣参与分类流程的讨论，则</w:t>
      </w:r>
      <w:bookmarkStart w:id="8" w:name="OLE_LINK89"/>
      <w:r>
        <w:rPr>
          <w:rFonts w:ascii="Arial" w:hAnsi="Arial" w:eastAsia="宋体" w:cs="Arial"/>
          <w:sz w:val="24"/>
          <w:szCs w:val="24"/>
        </w:rPr>
        <w:t>在合适的情况下，FDA会聘请专家顾问团队帮助对未经FDA分类的器械进行分类。在确定LDT对患者和/或用户的风险时，FDA会考虑若干因素，包括该器械是否用于高风险疾病/症状或患者人群，该器械是否用于筛查或诊断，基于检测结果会进行的临床决策性质，医生/病理学家在对患者进行临床决策时是否有其他的信息辅助（除LDT结果外），患者可用的替代诊断和治疗选项，结果错误时可能的结果/影响，与器械相关的不良事件的类型和数量等。为了提供进一步的说明，FDA希望在本指南最终完成的18个月内发布指南草案，描述机构认为那些器械通常为I类、II类或III类器械。</w:t>
      </w:r>
      <w:bookmarkEnd w:id="8"/>
    </w:p>
    <w:p w14:paraId="394F8747">
      <w:pPr>
        <w:overflowPunct w:val="0"/>
        <w:snapToGrid w:val="0"/>
        <w:spacing w:line="300" w:lineRule="auto"/>
        <w:rPr>
          <w:rFonts w:ascii="Arial" w:hAnsi="Arial" w:eastAsia="宋体" w:cs="Arial"/>
          <w:b/>
          <w:sz w:val="24"/>
          <w:szCs w:val="24"/>
        </w:rPr>
      </w:pPr>
      <w:r>
        <w:rPr>
          <w:rFonts w:ascii="Arial" w:hAnsi="Arial" w:eastAsia="宋体" w:cs="Arial"/>
          <w:b/>
          <w:sz w:val="24"/>
          <w:szCs w:val="24"/>
        </w:rPr>
        <w:t>LDT框架</w:t>
      </w:r>
    </w:p>
    <w:p w14:paraId="291DA8AF">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FDA希望对以下情况的器械的所有适用的监管要求继续实施强制执行自由裁量：</w:t>
      </w:r>
    </w:p>
    <w:p w14:paraId="5015AFFE">
      <w:pPr>
        <w:pStyle w:val="14"/>
        <w:numPr>
          <w:ilvl w:val="0"/>
          <w:numId w:val="6"/>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仅用于法医（执法）的LDT。</w:t>
      </w:r>
    </w:p>
    <w:p w14:paraId="1760BECD">
      <w:pPr>
        <w:pStyle w:val="14"/>
        <w:numPr>
          <w:ilvl w:val="0"/>
          <w:numId w:val="6"/>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用于CLIA认证的高复杂度组织相容性实验室的特定移植用LDT。</w:t>
      </w:r>
      <w:r>
        <w:rPr>
          <w:rFonts w:ascii="Arial" w:hAnsi="Arial" w:eastAsia="宋体" w:cs="Arial"/>
          <w:sz w:val="24"/>
          <w:szCs w:val="24"/>
          <w:vertAlign w:val="superscript"/>
        </w:rPr>
        <w:footnoteReference w:id="12"/>
      </w:r>
    </w:p>
    <w:p w14:paraId="7AE75F53">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FDA希望对以下情况的器械适用的上市前审查要求继续实施强制执行自由裁量，但施行其他适用的监管要求</w:t>
      </w:r>
      <w:r>
        <w:rPr>
          <w:rStyle w:val="13"/>
          <w:rFonts w:ascii="Arial" w:hAnsi="Arial" w:eastAsia="宋体" w:cs="Arial"/>
          <w:sz w:val="24"/>
          <w:szCs w:val="24"/>
        </w:rPr>
        <w:footnoteReference w:id="13"/>
      </w:r>
      <w:r>
        <w:rPr>
          <w:rFonts w:ascii="Arial" w:hAnsi="Arial" w:eastAsia="宋体" w:cs="Arial"/>
          <w:sz w:val="24"/>
          <w:szCs w:val="24"/>
        </w:rPr>
        <w:t>包括注册和登记（可选择提供通知</w:t>
      </w:r>
      <w:r>
        <w:rPr>
          <w:rStyle w:val="13"/>
          <w:rFonts w:ascii="Arial" w:hAnsi="Arial" w:eastAsia="宋体" w:cs="Arial"/>
          <w:sz w:val="24"/>
          <w:szCs w:val="24"/>
        </w:rPr>
        <w:footnoteReference w:id="14"/>
      </w:r>
      <w:r>
        <w:rPr>
          <w:rFonts w:ascii="Arial" w:hAnsi="Arial" w:eastAsia="宋体" w:cs="Arial"/>
          <w:sz w:val="24"/>
          <w:szCs w:val="24"/>
        </w:rPr>
        <w:t>），以及不良事件报告：</w:t>
      </w:r>
    </w:p>
    <w:p w14:paraId="78710591">
      <w:pPr>
        <w:pStyle w:val="14"/>
        <w:numPr>
          <w:ilvl w:val="0"/>
          <w:numId w:val="6"/>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低风险LDT（I类器械）。</w:t>
      </w:r>
    </w:p>
    <w:p w14:paraId="2DB4C46F">
      <w:pPr>
        <w:pStyle w:val="14"/>
        <w:numPr>
          <w:ilvl w:val="0"/>
          <w:numId w:val="6"/>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用于罕见病的LDT和</w:t>
      </w:r>
      <w:r>
        <w:rPr>
          <w:rFonts w:ascii="宋体" w:hAnsi="宋体" w:eastAsia="宋体" w:cs="Arial"/>
          <w:sz w:val="24"/>
          <w:szCs w:val="24"/>
        </w:rPr>
        <w:t>“</w:t>
      </w:r>
      <w:r>
        <w:rPr>
          <w:rFonts w:ascii="Arial" w:hAnsi="Arial" w:eastAsia="宋体" w:cs="Arial"/>
          <w:sz w:val="24"/>
          <w:szCs w:val="24"/>
        </w:rPr>
        <w:t>传统LDT</w:t>
      </w:r>
      <w:r>
        <w:rPr>
          <w:rFonts w:ascii="宋体" w:hAnsi="宋体" w:eastAsia="宋体" w:cs="Arial"/>
          <w:sz w:val="24"/>
          <w:szCs w:val="24"/>
        </w:rPr>
        <w:t>”</w:t>
      </w:r>
      <w:r>
        <w:rPr>
          <w:rFonts w:ascii="Arial" w:hAnsi="Arial" w:eastAsia="宋体" w:cs="Arial"/>
          <w:sz w:val="24"/>
          <w:szCs w:val="24"/>
        </w:rPr>
        <w:t>。</w:t>
      </w:r>
      <w:r>
        <w:rPr>
          <w:rFonts w:ascii="Arial" w:hAnsi="Arial" w:eastAsia="宋体" w:cs="Arial"/>
          <w:sz w:val="24"/>
          <w:szCs w:val="24"/>
          <w:vertAlign w:val="superscript"/>
        </w:rPr>
        <w:footnoteReference w:id="15"/>
      </w:r>
      <w:r>
        <w:rPr>
          <w:rFonts w:ascii="Arial" w:hAnsi="Arial" w:eastAsia="宋体" w:cs="Arial"/>
          <w:sz w:val="24"/>
          <w:szCs w:val="24"/>
        </w:rPr>
        <w:t>该类LDT指的是强制执行自由裁量政策实施前即已经存在的LDT。</w:t>
      </w:r>
    </w:p>
    <w:p w14:paraId="6004AB5E">
      <w:pPr>
        <w:pStyle w:val="14"/>
        <w:numPr>
          <w:ilvl w:val="0"/>
          <w:numId w:val="6"/>
        </w:numPr>
        <w:overflowPunct w:val="0"/>
        <w:snapToGrid w:val="0"/>
        <w:spacing w:after="156" w:afterLines="50" w:line="300" w:lineRule="auto"/>
        <w:ind w:left="420" w:leftChars="200" w:firstLineChars="0"/>
        <w:rPr>
          <w:rFonts w:ascii="Arial" w:hAnsi="Arial" w:eastAsia="宋体" w:cs="Arial"/>
          <w:spacing w:val="-2"/>
          <w:sz w:val="24"/>
          <w:szCs w:val="24"/>
        </w:rPr>
      </w:pPr>
      <w:r>
        <w:rPr>
          <w:rFonts w:ascii="宋体" w:hAnsi="宋体" w:eastAsia="宋体" w:cs="Arial"/>
          <w:spacing w:val="-2"/>
          <w:sz w:val="24"/>
          <w:szCs w:val="24"/>
        </w:rPr>
        <w:t>“</w:t>
      </w:r>
      <w:r>
        <w:rPr>
          <w:rFonts w:ascii="Arial" w:hAnsi="Arial" w:eastAsia="宋体" w:cs="Arial"/>
          <w:spacing w:val="-2"/>
          <w:sz w:val="24"/>
          <w:szCs w:val="24"/>
        </w:rPr>
        <w:t>未满足需要的LDT</w:t>
      </w:r>
      <w:r>
        <w:rPr>
          <w:rFonts w:ascii="宋体" w:hAnsi="宋体" w:eastAsia="宋体" w:cs="Arial"/>
          <w:spacing w:val="-2"/>
          <w:sz w:val="24"/>
          <w:szCs w:val="24"/>
        </w:rPr>
        <w:t>”</w:t>
      </w:r>
      <w:r>
        <w:rPr>
          <w:rFonts w:ascii="Arial" w:hAnsi="Arial" w:eastAsia="宋体" w:cs="Arial"/>
          <w:spacing w:val="-2"/>
          <w:sz w:val="24"/>
          <w:szCs w:val="24"/>
        </w:rPr>
        <w:t>，即没有其他可用的FDA批准或审批的等同器械。</w:t>
      </w:r>
      <w:r>
        <w:rPr>
          <w:rFonts w:ascii="Arial" w:hAnsi="Arial" w:eastAsia="宋体" w:cs="Arial"/>
          <w:spacing w:val="-2"/>
          <w:sz w:val="24"/>
          <w:szCs w:val="24"/>
          <w:vertAlign w:val="superscript"/>
        </w:rPr>
        <w:footnoteReference w:id="16"/>
      </w:r>
    </w:p>
    <w:p w14:paraId="183BC636">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对于其他的高中风险LDT，FDA希望施行适用的监管要求，包括注册和登记（可以选择提供通知</w:t>
      </w:r>
      <w:r>
        <w:rPr>
          <w:rFonts w:ascii="Arial" w:hAnsi="Arial" w:cs="Arial"/>
          <w:sz w:val="24"/>
          <w:szCs w:val="24"/>
          <w:vertAlign w:val="superscript"/>
        </w:rPr>
        <w:footnoteReference w:id="17"/>
      </w:r>
      <w:r>
        <w:rPr>
          <w:rFonts w:ascii="Arial" w:hAnsi="Arial" w:eastAsia="宋体" w:cs="Arial"/>
          <w:sz w:val="24"/>
          <w:szCs w:val="24"/>
        </w:rPr>
        <w:t>），不良事件报告，上市前评价，以及质量体系要求，如下：</w:t>
      </w:r>
    </w:p>
    <w:p w14:paraId="6A4F5AB5">
      <w:pPr>
        <w:pStyle w:val="14"/>
        <w:numPr>
          <w:ilvl w:val="0"/>
          <w:numId w:val="6"/>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i/>
          <w:sz w:val="24"/>
          <w:szCs w:val="24"/>
        </w:rPr>
        <w:t>高风险LDT（III类医疗器械）：</w:t>
      </w:r>
      <w:bookmarkStart w:id="9" w:name="OLE_LINK73"/>
      <w:bookmarkStart w:id="10" w:name="OLE_LINK74"/>
      <w:r>
        <w:rPr>
          <w:rFonts w:ascii="Arial" w:hAnsi="Arial" w:eastAsia="宋体" w:cs="Arial"/>
          <w:sz w:val="24"/>
          <w:szCs w:val="24"/>
        </w:rPr>
        <w:t>在指南完成后6个月内开始注册和登记（可选择通知）和不良事件报告。</w:t>
      </w:r>
      <w:bookmarkEnd w:id="9"/>
      <w:bookmarkEnd w:id="10"/>
      <w:r>
        <w:rPr>
          <w:rFonts w:ascii="Arial" w:hAnsi="Arial" w:eastAsia="宋体" w:cs="Arial"/>
          <w:sz w:val="24"/>
          <w:szCs w:val="24"/>
        </w:rPr>
        <w:t>对于高风险器械</w:t>
      </w:r>
      <w:r>
        <w:rPr>
          <w:rStyle w:val="13"/>
          <w:rFonts w:ascii="Arial" w:hAnsi="Arial" w:eastAsia="宋体" w:cs="Arial"/>
          <w:sz w:val="24"/>
          <w:szCs w:val="24"/>
        </w:rPr>
        <w:footnoteReference w:id="18"/>
      </w:r>
      <w:r>
        <w:rPr>
          <w:rFonts w:ascii="Arial" w:hAnsi="Arial" w:eastAsia="宋体" w:cs="Arial"/>
          <w:sz w:val="24"/>
          <w:szCs w:val="24"/>
        </w:rPr>
        <w:t>应在指南完成后的</w:t>
      </w:r>
      <w:r>
        <w:rPr>
          <w:rFonts w:ascii="Arial" w:hAnsi="Arial" w:eastAsia="宋体" w:cs="Arial"/>
          <w:spacing w:val="-2"/>
          <w:sz w:val="24"/>
          <w:szCs w:val="24"/>
        </w:rPr>
        <w:t>12个月内</w:t>
      </w:r>
      <w:r>
        <w:rPr>
          <w:rFonts w:ascii="Arial" w:hAnsi="Arial" w:eastAsia="宋体" w:cs="Arial"/>
          <w:sz w:val="24"/>
          <w:szCs w:val="24"/>
        </w:rPr>
        <w:t>开始上市前审查要求，剩余的高风险器械</w:t>
      </w:r>
      <w:r>
        <w:rPr>
          <w:rStyle w:val="13"/>
          <w:rFonts w:ascii="Arial" w:hAnsi="Arial" w:eastAsia="宋体" w:cs="Arial"/>
          <w:sz w:val="24"/>
          <w:szCs w:val="24"/>
        </w:rPr>
        <w:footnoteReference w:id="19"/>
      </w:r>
      <w:r>
        <w:rPr>
          <w:rFonts w:ascii="Arial" w:hAnsi="Arial" w:eastAsia="宋体" w:cs="Arial"/>
          <w:sz w:val="24"/>
          <w:szCs w:val="24"/>
        </w:rPr>
        <w:t>应分阶段4年完成。在进行审查和FDA进行申请批准的过程中该器械仍然可以在市场使用。FDA对高风险器械的关注点按顺序如下：a） 与已批准或审批的类似诊断性器械具有相同的预期用途的LDT；b） 与FDA批准的III类器械具有相同的预期用途的LDT；和c） 用于确定血液或血液制品安全性或有效性的LDT。</w:t>
      </w:r>
    </w:p>
    <w:p w14:paraId="44AD7A1C">
      <w:pPr>
        <w:pStyle w:val="14"/>
        <w:numPr>
          <w:ilvl w:val="0"/>
          <w:numId w:val="6"/>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i/>
          <w:sz w:val="24"/>
          <w:szCs w:val="24"/>
        </w:rPr>
        <w:t>中等风险LDT（II类医疗器械）：</w:t>
      </w:r>
      <w:r>
        <w:rPr>
          <w:rFonts w:ascii="Arial" w:hAnsi="Arial" w:eastAsia="宋体" w:cs="Arial"/>
          <w:sz w:val="24"/>
          <w:szCs w:val="24"/>
        </w:rPr>
        <w:t>在指南完成后6个月内开始注册和登记（可</w:t>
      </w:r>
      <w:r>
        <w:rPr>
          <w:rFonts w:ascii="Arial" w:hAnsi="Arial" w:eastAsia="宋体" w:cs="Arial"/>
          <w:spacing w:val="-2"/>
          <w:sz w:val="24"/>
          <w:szCs w:val="24"/>
        </w:rPr>
        <w:t>选择</w:t>
      </w:r>
      <w:r>
        <w:rPr>
          <w:rFonts w:ascii="Arial" w:hAnsi="Arial" w:eastAsia="宋体" w:cs="Arial"/>
          <w:sz w:val="24"/>
          <w:szCs w:val="24"/>
        </w:rPr>
        <w:t>通知）和不良事件报告。在高风险（III类）LDT完成后开始上市前审查要求，即在指南完成5前后开始，分阶段在4年完成。</w:t>
      </w:r>
      <w:r>
        <w:rPr>
          <w:rStyle w:val="13"/>
          <w:rFonts w:ascii="Arial" w:hAnsi="Arial" w:eastAsia="宋体" w:cs="Arial"/>
          <w:sz w:val="24"/>
          <w:szCs w:val="24"/>
        </w:rPr>
        <w:footnoteReference w:id="20"/>
      </w:r>
      <w:r>
        <w:rPr>
          <w:rFonts w:ascii="Arial" w:hAnsi="Arial" w:eastAsia="宋体" w:cs="Arial"/>
          <w:sz w:val="24"/>
          <w:szCs w:val="24"/>
        </w:rPr>
        <w:t>在合适的情况下，FDA希望通过FDA授权许可的第三方审查机构进行上市前申请的审查。</w:t>
      </w:r>
    </w:p>
    <w:p w14:paraId="72085954">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在本指导性文件D章节所描述的框架中，FDA希望提供合理、可预期、一致的监管政策，确保LDT的安全性和有效性，并提供足够的时间用于实施。</w:t>
      </w:r>
    </w:p>
    <w:p w14:paraId="3B27E40A">
      <w:pPr>
        <w:overflowPunct w:val="0"/>
        <w:snapToGrid w:val="0"/>
        <w:spacing w:after="156" w:afterLines="50" w:line="300" w:lineRule="auto"/>
        <w:rPr>
          <w:rFonts w:ascii="Arial" w:hAnsi="Arial" w:eastAsia="宋体" w:cs="Arial"/>
          <w:kern w:val="0"/>
          <w:sz w:val="24"/>
          <w:szCs w:val="24"/>
        </w:rPr>
      </w:pPr>
      <w:r>
        <w:rPr>
          <w:rFonts w:ascii="Arial" w:hAnsi="Arial" w:eastAsia="宋体" w:cs="Arial"/>
          <w:sz w:val="24"/>
          <w:szCs w:val="24"/>
        </w:rPr>
        <w:t>如果某种LDT测量/评估的</w:t>
      </w:r>
      <w:bookmarkStart w:id="11" w:name="OLE_LINK76"/>
      <w:bookmarkStart w:id="12" w:name="OLE_LINK75"/>
      <w:r>
        <w:rPr>
          <w:rFonts w:ascii="Arial" w:hAnsi="Arial" w:eastAsia="宋体" w:cs="Arial"/>
          <w:sz w:val="24"/>
          <w:szCs w:val="24"/>
        </w:rPr>
        <w:t>分析物/标志物</w:t>
      </w:r>
      <w:bookmarkEnd w:id="11"/>
      <w:bookmarkEnd w:id="12"/>
      <w:r>
        <w:rPr>
          <w:rFonts w:ascii="Arial" w:hAnsi="Arial" w:eastAsia="宋体" w:cs="Arial"/>
          <w:sz w:val="24"/>
          <w:szCs w:val="24"/>
        </w:rPr>
        <w:t>已经在文献中进行了临床验证，则FDA认为申请人不需要再进行新的深入的研究来证明该分析物/标志物的临床有效性，但申请人需要证明于文献中评估分析物/标志物的技术和方法的差异不会影响LDT的临床有效性。</w:t>
      </w:r>
      <w:bookmarkStart w:id="13" w:name="OLE_LINK1"/>
      <w:r>
        <w:rPr>
          <w:rFonts w:ascii="Arial" w:hAnsi="Arial" w:eastAsia="宋体" w:cs="Arial"/>
          <w:sz w:val="24"/>
          <w:szCs w:val="24"/>
        </w:rPr>
        <w:t>FDA希望与实验室团体、医疗护理专家团体、以及其他相关责任方共同合作，确定</w:t>
      </w:r>
      <w:r>
        <w:rPr>
          <w:rFonts w:ascii="Arial" w:hAnsi="Arial" w:eastAsia="宋体" w:cs="Arial"/>
          <w:kern w:val="0"/>
          <w:sz w:val="24"/>
          <w:szCs w:val="24"/>
        </w:rPr>
        <w:t>分析物/标志物的临床有效性已经在文献中进行确认的LDT。</w:t>
      </w:r>
    </w:p>
    <w:bookmarkEnd w:id="13"/>
    <w:p w14:paraId="799EBD5F">
      <w:pPr>
        <w:overflowPunct w:val="0"/>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另外，对于轻度风险的LDT而言，FDA希望与感兴趣的团队一同合作，扩展机构的第三方审查项目，纳入上述器械。如果取得了成功，则FDA认为最轻微风险的LDT是可以由第三方审查机构进行评价的。在此模型下，FDA会负责隶属于上市前批准申请（PMA）的高风险LDT的审查（即III类医疗器械），而授权第三方机构对需要上市前通知（510（k））申请的低风险LDT进行审查（一般为III类器械）。FDA希望继续对最低风险的I类器械施行针对上市前审查要求和质量体系要求的强制执行自由裁量。</w:t>
      </w:r>
    </w:p>
    <w:p w14:paraId="61082D11">
      <w:pPr>
        <w:overflowPunct w:val="0"/>
        <w:snapToGrid w:val="0"/>
        <w:spacing w:line="300" w:lineRule="auto"/>
        <w:rPr>
          <w:rFonts w:ascii="Arial" w:hAnsi="Arial" w:eastAsia="宋体" w:cs="Arial"/>
          <w:b/>
          <w:kern w:val="0"/>
          <w:sz w:val="24"/>
          <w:szCs w:val="24"/>
        </w:rPr>
      </w:pPr>
      <w:r>
        <w:rPr>
          <w:rFonts w:ascii="Arial" w:hAnsi="Arial" w:eastAsia="宋体" w:cs="Arial"/>
          <w:b/>
          <w:kern w:val="0"/>
          <w:sz w:val="24"/>
          <w:szCs w:val="24"/>
        </w:rPr>
        <w:t>时间表</w:t>
      </w:r>
    </w:p>
    <w:p w14:paraId="388563EC">
      <w:pPr>
        <w:overflowPunct w:val="0"/>
        <w:snapToGrid w:val="0"/>
        <w:spacing w:after="156" w:afterLines="50" w:line="300" w:lineRule="auto"/>
        <w:rPr>
          <w:rFonts w:ascii="Arial" w:hAnsi="Arial" w:eastAsia="宋体" w:cs="Arial"/>
          <w:sz w:val="24"/>
          <w:szCs w:val="24"/>
        </w:rPr>
      </w:pPr>
      <w:r>
        <w:rPr>
          <w:rFonts w:ascii="Arial" w:hAnsi="Arial" w:eastAsia="宋体" w:cs="Arial"/>
          <w:i/>
          <w:sz w:val="24"/>
          <w:szCs w:val="24"/>
        </w:rPr>
        <w:t>注册和登记/通知和不良事件报告：</w:t>
      </w:r>
      <w:r>
        <w:rPr>
          <w:rFonts w:ascii="Arial" w:hAnsi="Arial" w:eastAsia="宋体" w:cs="Arial"/>
          <w:sz w:val="24"/>
          <w:szCs w:val="24"/>
        </w:rPr>
        <w:t>在指南完成后6个月内，LDT的制造商如果正在开发LDT</w:t>
      </w:r>
      <w:r>
        <w:rPr>
          <w:rStyle w:val="13"/>
          <w:rFonts w:ascii="Arial" w:hAnsi="Arial" w:eastAsia="宋体" w:cs="Arial"/>
          <w:sz w:val="24"/>
          <w:szCs w:val="24"/>
        </w:rPr>
        <w:footnoteReference w:id="21"/>
      </w:r>
      <w:r>
        <w:rPr>
          <w:rFonts w:ascii="Arial" w:hAnsi="Arial" w:eastAsia="宋体" w:cs="Arial"/>
          <w:sz w:val="24"/>
          <w:szCs w:val="24"/>
        </w:rPr>
        <w:t>，则应通知FDA并开始向FDA报告严重不良事件</w:t>
      </w:r>
      <w:r>
        <w:rPr>
          <w:rStyle w:val="13"/>
          <w:rFonts w:ascii="Arial" w:hAnsi="Arial" w:eastAsia="宋体" w:cs="Arial"/>
          <w:sz w:val="24"/>
          <w:szCs w:val="24"/>
        </w:rPr>
        <w:footnoteReference w:id="22"/>
      </w:r>
      <w:r>
        <w:rPr>
          <w:rFonts w:ascii="Arial" w:hAnsi="Arial" w:eastAsia="宋体" w:cs="Arial"/>
          <w:sz w:val="24"/>
          <w:szCs w:val="24"/>
        </w:rPr>
        <w:t>，从而可以及时地发现和纠正问题。</w:t>
      </w:r>
    </w:p>
    <w:p w14:paraId="52B39B6B">
      <w:pPr>
        <w:overflowPunct w:val="0"/>
        <w:snapToGrid w:val="0"/>
        <w:spacing w:after="156" w:afterLines="50" w:line="300" w:lineRule="auto"/>
        <w:rPr>
          <w:rFonts w:ascii="Arial" w:hAnsi="Arial" w:eastAsia="宋体" w:cs="Arial"/>
          <w:sz w:val="24"/>
          <w:szCs w:val="24"/>
        </w:rPr>
      </w:pPr>
      <w:r>
        <w:rPr>
          <w:rFonts w:ascii="Arial" w:hAnsi="Arial" w:eastAsia="宋体" w:cs="Arial"/>
          <w:i/>
          <w:sz w:val="24"/>
          <w:szCs w:val="24"/>
        </w:rPr>
        <w:t>上市前审查：</w:t>
      </w:r>
      <w:r>
        <w:rPr>
          <w:rFonts w:ascii="Arial" w:hAnsi="Arial" w:eastAsia="宋体" w:cs="Arial"/>
          <w:sz w:val="24"/>
          <w:szCs w:val="24"/>
        </w:rPr>
        <w:t>FDA希望在较长的一段时间内分阶段实施针对相关LDT的上市前审查要求。LDT不同分类会根据风险来分阶段实施，每个时间点分阶段实施的数量和类型也会根据机构可用的资源来确定。分阶段实施过程从最高风险的器械开始（见D.5.（c）部分），在指南完成后12个月开始。</w:t>
      </w:r>
    </w:p>
    <w:p w14:paraId="60D42F46">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FDA会通过公开的流程根据风险对所有其他LDT设置优先级，如适用</w:t>
      </w:r>
      <w:r>
        <w:rPr>
          <w:rFonts w:hint="eastAsia" w:ascii="Arial" w:hAnsi="Arial" w:eastAsia="宋体" w:cs="Arial"/>
          <w:sz w:val="24"/>
          <w:szCs w:val="24"/>
        </w:rPr>
        <w:t>，</w:t>
      </w:r>
      <w:r>
        <w:rPr>
          <w:rFonts w:ascii="Arial" w:hAnsi="Arial" w:eastAsia="宋体" w:cs="Arial"/>
          <w:sz w:val="24"/>
          <w:szCs w:val="24"/>
        </w:rPr>
        <w:t>也包括专家顾问团队，并且会根据实施的时间先后顺序向高风险和中等风险分类的LDT的制造商发出进一步通知。最高风险的器械的上市前审查会在指南完成后的12个月开始。FDA会在指南完成后的24个月内公布其他高风险器械的优先顺序列表，并且在公布后的12个月内开始针对LDT列表中优先级最高的分组开展审查。</w:t>
      </w:r>
      <w:r>
        <w:rPr>
          <w:rStyle w:val="13"/>
          <w:rFonts w:ascii="Arial" w:hAnsi="Arial" w:eastAsia="宋体" w:cs="Arial"/>
          <w:sz w:val="24"/>
          <w:szCs w:val="24"/>
        </w:rPr>
        <w:footnoteReference w:id="23"/>
      </w:r>
      <w:r>
        <w:rPr>
          <w:rFonts w:ascii="Arial" w:hAnsi="Arial" w:eastAsia="宋体" w:cs="Arial"/>
          <w:sz w:val="24"/>
          <w:szCs w:val="24"/>
        </w:rPr>
        <w:t>FDA希望首先分步实施针对III类器械的上市前审查要求（在指南完成后的5年内）。FDA希望在III类器械分阶段实施完成后开始分阶段实施针对II类器械的要求。FDA会在指南完成后的4年内公布中等风险器械的优先顺序列表，并在指南完成后的9年内完成分阶段实施针对II类器械的上市前审查要求。</w:t>
      </w:r>
    </w:p>
    <w:p w14:paraId="4CE549C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根据提议的框架，当提交PMA或FDA发布针对LDT的510（k）批准时，生产LDT的实验室即符合FDA QS规范（21 CFR第820部分）相关的质量控制要求。遵守QS规范可以提高LDT设计和生产的稳健性和可靠性，减少能够导致不良事件的器械故障几率。监管框架也可以提供更多的患者保护措施，尤其是在患者治疗中使用研究性LDT需要适当的知情同意时。</w:t>
      </w:r>
    </w:p>
    <w:p w14:paraId="077C7B9E">
      <w:pPr>
        <w:widowControl/>
        <w:jc w:val="left"/>
        <w:rPr>
          <w:rFonts w:ascii="Arial" w:hAnsi="Arial" w:eastAsia="宋体" w:cs="Arial"/>
          <w:b/>
          <w:sz w:val="32"/>
          <w:szCs w:val="32"/>
        </w:rPr>
      </w:pPr>
      <w:r>
        <w:rPr>
          <w:rFonts w:ascii="Arial" w:hAnsi="Arial" w:eastAsia="宋体" w:cs="Arial"/>
          <w:b/>
          <w:sz w:val="32"/>
          <w:szCs w:val="32"/>
        </w:rPr>
        <w:br w:type="page"/>
      </w:r>
    </w:p>
    <w:p w14:paraId="4FF4CD67">
      <w:pPr>
        <w:pStyle w:val="14"/>
        <w:numPr>
          <w:ilvl w:val="0"/>
          <w:numId w:val="1"/>
        </w:numPr>
        <w:overflowPunct w:val="0"/>
        <w:snapToGrid w:val="0"/>
        <w:spacing w:before="156" w:beforeLines="50" w:after="156" w:afterLines="50" w:line="300" w:lineRule="auto"/>
        <w:ind w:left="0" w:firstLine="0" w:firstLineChars="0"/>
        <w:outlineLvl w:val="0"/>
        <w:rPr>
          <w:rFonts w:ascii="Arial" w:hAnsi="Arial" w:eastAsia="宋体" w:cs="Arial"/>
          <w:b/>
          <w:sz w:val="32"/>
          <w:szCs w:val="32"/>
        </w:rPr>
      </w:pPr>
      <w:bookmarkStart w:id="14" w:name="_Toc498346745"/>
      <w:r>
        <w:rPr>
          <w:rFonts w:ascii="Arial" w:hAnsi="Arial" w:eastAsia="宋体" w:cs="Arial"/>
          <w:b/>
          <w:sz w:val="32"/>
          <w:szCs w:val="32"/>
        </w:rPr>
        <w:t>LDT监管框架</w:t>
      </w:r>
      <w:bookmarkEnd w:id="14"/>
    </w:p>
    <w:p w14:paraId="1BA468B7">
      <w:pPr>
        <w:pStyle w:val="14"/>
        <w:numPr>
          <w:ilvl w:val="1"/>
          <w:numId w:val="1"/>
        </w:numPr>
        <w:overflowPunct w:val="0"/>
        <w:snapToGrid w:val="0"/>
        <w:spacing w:after="156" w:afterLines="50" w:line="300" w:lineRule="auto"/>
        <w:ind w:left="0" w:firstLine="0" w:firstLineChars="0"/>
        <w:outlineLvl w:val="1"/>
        <w:rPr>
          <w:rFonts w:ascii="Arial" w:hAnsi="Arial" w:eastAsia="宋体" w:cs="Arial"/>
          <w:b/>
          <w:sz w:val="28"/>
          <w:szCs w:val="28"/>
        </w:rPr>
      </w:pPr>
      <w:bookmarkStart w:id="15" w:name="_Toc498346746"/>
      <w:r>
        <w:rPr>
          <w:rFonts w:ascii="Arial" w:hAnsi="Arial" w:eastAsia="宋体" w:cs="Arial"/>
          <w:b/>
          <w:sz w:val="28"/>
          <w:szCs w:val="28"/>
        </w:rPr>
        <w:t>概述</w:t>
      </w:r>
      <w:bookmarkEnd w:id="15"/>
    </w:p>
    <w:p w14:paraId="0702F124">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下文讨论的LDT监管框架描述了FDA对于LDT监管实施优先级的一般情况。FDA以通用的方式提出了基于风险的、分阶段的途径，同时继续对特定类型的LDT的特定监管要求实施强制执行自由裁量。</w:t>
      </w:r>
    </w:p>
    <w:p w14:paraId="7AB396C5">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机构认为，几方面的原因决定了基于风险的、分阶段的方式是适用的。第一，FDA认为与LDT以及所有IVD相关的健康风险随着器械类型的不同而不同，机构的监管活动也应当根据风险来试试。第二，分阶段的实施周期旨在减少直接施行所有适用的要求带来的非预期的结果，例如可能减少临床检测中上述器械的可用性。另外，机构认为临床实验室可能不熟悉FDA法规，通过分阶段实施的方式，这些机构有足够的时间来学习相关要求，并建立相应的程序来符合要求。除了分阶段实施以及使用强制执行自由裁量外，在必要的时候，FDA也会采取强制执行的方式来维护公众卫生，例如当机构确定某种LDT对公众卫生造成了重大风险时。与此相反，当缺少临床必要的器械或由于其他迫切原因，机构可能会通过在较长一段时间内不实施FDA要求的方式继续行使自由裁量权。</w:t>
      </w:r>
    </w:p>
    <w:p w14:paraId="43711B7D">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FDA的监管框架的主要元素包括：</w:t>
      </w:r>
    </w:p>
    <w:p w14:paraId="12265F84">
      <w:pPr>
        <w:pStyle w:val="14"/>
        <w:numPr>
          <w:ilvl w:val="0"/>
          <w:numId w:val="7"/>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向FDA通知实验室生产的LDT，或登记和注册</w:t>
      </w:r>
    </w:p>
    <w:p w14:paraId="0F3BB77D">
      <w:pPr>
        <w:pStyle w:val="14"/>
        <w:numPr>
          <w:ilvl w:val="0"/>
          <w:numId w:val="7"/>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LDT的医疗器械报告（MDR）要求（如不良事件报告）</w:t>
      </w:r>
    </w:p>
    <w:p w14:paraId="49557088">
      <w:pPr>
        <w:pStyle w:val="14"/>
        <w:numPr>
          <w:ilvl w:val="0"/>
          <w:numId w:val="7"/>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对低风险LDT、</w:t>
      </w:r>
      <w:r>
        <w:rPr>
          <w:rFonts w:ascii="宋体" w:hAnsi="宋体" w:eastAsia="宋体" w:cs="Arial"/>
          <w:sz w:val="24"/>
          <w:szCs w:val="24"/>
        </w:rPr>
        <w:t>“</w:t>
      </w:r>
      <w:r>
        <w:rPr>
          <w:rFonts w:ascii="Arial" w:hAnsi="Arial" w:eastAsia="宋体" w:cs="Arial"/>
          <w:sz w:val="24"/>
          <w:szCs w:val="24"/>
        </w:rPr>
        <w:t>传统LDT</w:t>
      </w:r>
      <w:r>
        <w:rPr>
          <w:rFonts w:ascii="宋体" w:hAnsi="宋体" w:eastAsia="宋体" w:cs="Arial"/>
          <w:sz w:val="24"/>
          <w:szCs w:val="24"/>
        </w:rPr>
        <w:t>”</w:t>
      </w:r>
      <w:r>
        <w:rPr>
          <w:rFonts w:ascii="Arial" w:hAnsi="Arial" w:eastAsia="宋体" w:cs="Arial"/>
          <w:sz w:val="24"/>
          <w:szCs w:val="24"/>
        </w:rPr>
        <w:t>、用于罕见病的LDT、以及</w:t>
      </w:r>
      <w:r>
        <w:rPr>
          <w:rFonts w:ascii="宋体" w:hAnsi="宋体" w:eastAsia="宋体" w:cs="Arial"/>
          <w:sz w:val="24"/>
          <w:szCs w:val="24"/>
        </w:rPr>
        <w:t>“</w:t>
      </w:r>
      <w:r>
        <w:rPr>
          <w:rFonts w:ascii="Arial" w:hAnsi="Arial" w:eastAsia="宋体" w:cs="Arial"/>
          <w:sz w:val="24"/>
          <w:szCs w:val="24"/>
        </w:rPr>
        <w:t>用于未满足的需求的LDT</w:t>
      </w:r>
      <w:r>
        <w:rPr>
          <w:rFonts w:ascii="宋体" w:hAnsi="宋体" w:eastAsia="宋体" w:cs="Arial"/>
          <w:sz w:val="24"/>
          <w:szCs w:val="24"/>
        </w:rPr>
        <w:t>”</w:t>
      </w:r>
      <w:r>
        <w:rPr>
          <w:rFonts w:ascii="Arial" w:hAnsi="Arial" w:eastAsia="宋体" w:cs="Arial"/>
          <w:sz w:val="24"/>
          <w:szCs w:val="24"/>
        </w:rPr>
        <w:t>继续实施强制执行自由裁量</w:t>
      </w:r>
    </w:p>
    <w:p w14:paraId="0EDD9145">
      <w:pPr>
        <w:pStyle w:val="14"/>
        <w:numPr>
          <w:ilvl w:val="0"/>
          <w:numId w:val="7"/>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基于风险、分阶段对其他高风险和中等风险LDT施行上市前审查要求</w:t>
      </w:r>
    </w:p>
    <w:p w14:paraId="6D76D6AE">
      <w:pPr>
        <w:pStyle w:val="14"/>
        <w:numPr>
          <w:ilvl w:val="0"/>
          <w:numId w:val="7"/>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使用临床文献来支持证明临床有效性，FDA认为，对于临床有效性已经在文件中得到验证的测量/评估的分析物/标志物，通过这种方式可以减少额外进行研究证明LDT的临床有效性的需要</w:t>
      </w:r>
    </w:p>
    <w:p w14:paraId="075923D4">
      <w:pPr>
        <w:pStyle w:val="14"/>
        <w:numPr>
          <w:ilvl w:val="0"/>
          <w:numId w:val="7"/>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许多低风险LDT由第三方审查机构辅助进行</w:t>
      </w:r>
    </w:p>
    <w:p w14:paraId="1F0AA8F3">
      <w:pPr>
        <w:pStyle w:val="14"/>
        <w:numPr>
          <w:ilvl w:val="0"/>
          <w:numId w:val="7"/>
        </w:numPr>
        <w:overflowPunct w:val="0"/>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施行质量体系要求时采用分阶段的方式</w:t>
      </w:r>
    </w:p>
    <w:p w14:paraId="36B144E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LDT监管框架要素的详细信息，以及原因和时间框架见下文。</w:t>
      </w:r>
    </w:p>
    <w:p w14:paraId="1344B231">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对于已经经过FDA审批或批准的LDT，FDA希望制造商继续遵守规范。如果某器械仅用于FDA监管下的产品生产过程的质量控制检测，则该制造商应咨询FDA来确定使用额监管要求。</w:t>
      </w:r>
    </w:p>
    <w:p w14:paraId="0D51F2D3">
      <w:pPr>
        <w:pStyle w:val="14"/>
        <w:numPr>
          <w:ilvl w:val="1"/>
          <w:numId w:val="1"/>
        </w:numPr>
        <w:overflowPunct w:val="0"/>
        <w:snapToGrid w:val="0"/>
        <w:spacing w:after="156" w:afterLines="50" w:line="336" w:lineRule="auto"/>
        <w:ind w:left="0" w:firstLine="0" w:firstLineChars="0"/>
        <w:outlineLvl w:val="1"/>
        <w:rPr>
          <w:rFonts w:ascii="Arial" w:hAnsi="Arial" w:eastAsia="宋体" w:cs="Arial"/>
          <w:b/>
          <w:sz w:val="28"/>
          <w:szCs w:val="28"/>
        </w:rPr>
      </w:pPr>
      <w:bookmarkStart w:id="16" w:name="_Toc498346747"/>
      <w:r>
        <w:rPr>
          <w:rFonts w:ascii="Arial" w:hAnsi="Arial" w:eastAsia="宋体" w:cs="Arial"/>
          <w:b/>
          <w:sz w:val="28"/>
          <w:szCs w:val="28"/>
        </w:rPr>
        <w:t>对特定LDT继续</w:t>
      </w:r>
      <w:bookmarkStart w:id="17" w:name="OLE_LINK78"/>
      <w:r>
        <w:rPr>
          <w:rFonts w:ascii="Arial" w:hAnsi="Arial" w:eastAsia="宋体" w:cs="Arial"/>
          <w:b/>
          <w:sz w:val="28"/>
          <w:szCs w:val="28"/>
        </w:rPr>
        <w:t>实行</w:t>
      </w:r>
      <w:bookmarkStart w:id="18" w:name="OLE_LINK77"/>
      <w:r>
        <w:rPr>
          <w:rFonts w:ascii="Arial" w:hAnsi="Arial" w:eastAsia="宋体" w:cs="Arial"/>
          <w:b/>
          <w:sz w:val="28"/>
          <w:szCs w:val="28"/>
        </w:rPr>
        <w:t>完全的强制执行自由裁量</w:t>
      </w:r>
      <w:bookmarkEnd w:id="17"/>
      <w:r>
        <w:rPr>
          <w:rFonts w:ascii="Arial" w:hAnsi="Arial" w:eastAsia="宋体" w:cs="Arial"/>
          <w:b/>
          <w:sz w:val="28"/>
          <w:szCs w:val="28"/>
        </w:rPr>
        <w:t>权</w:t>
      </w:r>
      <w:bookmarkEnd w:id="16"/>
      <w:bookmarkEnd w:id="18"/>
    </w:p>
    <w:p w14:paraId="3D185B4D">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FDA希望对下列的诊断性器械分类继续实行完全的强制执行自由裁量权。对于下列器械，FDA不要求适用的注册和登记（也不会接收到FDA请求通知）、不良事件报告、上市前审查、或质量体系要求：</w:t>
      </w:r>
    </w:p>
    <w:p w14:paraId="21845F13">
      <w:pPr>
        <w:overflowPunct w:val="0"/>
        <w:snapToGrid w:val="0"/>
        <w:spacing w:after="156" w:afterLines="50" w:line="336" w:lineRule="auto"/>
        <w:ind w:left="420" w:leftChars="200"/>
        <w:rPr>
          <w:rFonts w:ascii="Arial" w:hAnsi="Arial" w:eastAsia="宋体" w:cs="Arial"/>
          <w:i/>
          <w:sz w:val="24"/>
          <w:szCs w:val="24"/>
        </w:rPr>
      </w:pPr>
      <w:r>
        <w:rPr>
          <w:rFonts w:ascii="Arial" w:hAnsi="Arial" w:eastAsia="宋体" w:cs="Arial"/>
          <w:i/>
          <w:sz w:val="24"/>
          <w:szCs w:val="24"/>
        </w:rPr>
        <w:t>（a）仅用于法医（执法）的LDT。</w:t>
      </w:r>
    </w:p>
    <w:p w14:paraId="0FE1F512">
      <w:pPr>
        <w:overflowPunct w:val="0"/>
        <w:snapToGrid w:val="0"/>
        <w:spacing w:after="156" w:afterLines="50" w:line="336" w:lineRule="auto"/>
        <w:ind w:left="1050" w:leftChars="500"/>
        <w:rPr>
          <w:rFonts w:ascii="Arial" w:hAnsi="Arial" w:eastAsia="宋体" w:cs="Arial"/>
          <w:sz w:val="24"/>
          <w:szCs w:val="24"/>
        </w:rPr>
      </w:pPr>
      <w:r>
        <w:rPr>
          <w:rFonts w:ascii="Arial" w:hAnsi="Arial" w:eastAsia="宋体" w:cs="Arial"/>
          <w:sz w:val="24"/>
          <w:szCs w:val="24"/>
        </w:rPr>
        <w:t>与机构现行政策一致，不论是否为LDT，FDA希望针对仅用于法医（执法）目的的IVD实施完全的强制执行自由裁量。</w:t>
      </w:r>
      <w:r>
        <w:rPr>
          <w:rStyle w:val="13"/>
          <w:rFonts w:ascii="Arial" w:hAnsi="Arial" w:eastAsia="宋体" w:cs="Arial"/>
          <w:sz w:val="24"/>
          <w:szCs w:val="24"/>
        </w:rPr>
        <w:footnoteReference w:id="24"/>
      </w:r>
    </w:p>
    <w:p w14:paraId="0634EE8B">
      <w:pPr>
        <w:overflowPunct w:val="0"/>
        <w:snapToGrid w:val="0"/>
        <w:spacing w:after="156" w:afterLines="50" w:line="336" w:lineRule="auto"/>
        <w:ind w:left="420" w:leftChars="200"/>
        <w:rPr>
          <w:rFonts w:ascii="Arial" w:hAnsi="Arial" w:eastAsia="宋体" w:cs="Arial"/>
          <w:i/>
          <w:sz w:val="24"/>
          <w:szCs w:val="24"/>
        </w:rPr>
      </w:pPr>
      <w:r>
        <w:rPr>
          <w:rFonts w:ascii="Arial" w:hAnsi="Arial" w:eastAsia="宋体" w:cs="Arial"/>
          <w:i/>
          <w:sz w:val="24"/>
          <w:szCs w:val="24"/>
        </w:rPr>
        <w:t>（b）用于CLIA认证的高复杂度组织相容性实验室的特定移植用LDT。</w:t>
      </w:r>
    </w:p>
    <w:p w14:paraId="5F115DF0">
      <w:pPr>
        <w:overflowPunct w:val="0"/>
        <w:snapToGrid w:val="0"/>
        <w:spacing w:after="156" w:afterLines="50" w:line="336" w:lineRule="auto"/>
        <w:ind w:left="1050" w:leftChars="500"/>
        <w:rPr>
          <w:rFonts w:ascii="Arial" w:hAnsi="Arial" w:eastAsia="宋体" w:cs="Arial"/>
          <w:sz w:val="24"/>
          <w:szCs w:val="24"/>
        </w:rPr>
      </w:pPr>
      <w:r>
        <w:rPr>
          <w:rFonts w:ascii="Arial" w:hAnsi="Arial" w:eastAsia="宋体" w:cs="Arial"/>
          <w:sz w:val="24"/>
          <w:szCs w:val="24"/>
        </w:rPr>
        <w:t>与器官移植部长顾问委员会2011年建议保持一致，当LDT与器官、干细胞、组织移植相关时，FDA希望对CLIA认证的高复杂度组织相容性实验室的特定移植用LDT实行完全的强制执行自由裁量：</w:t>
      </w:r>
    </w:p>
    <w:p w14:paraId="1EF8AD30">
      <w:pPr>
        <w:pStyle w:val="14"/>
        <w:numPr>
          <w:ilvl w:val="0"/>
          <w:numId w:val="8"/>
        </w:numPr>
        <w:overflowPunct w:val="0"/>
        <w:snapToGrid w:val="0"/>
        <w:spacing w:after="156" w:afterLines="50" w:line="336" w:lineRule="auto"/>
        <w:ind w:left="1260" w:leftChars="600" w:firstLineChars="0"/>
        <w:rPr>
          <w:rFonts w:ascii="Arial" w:hAnsi="Arial" w:eastAsia="宋体" w:cs="Arial"/>
          <w:sz w:val="24"/>
          <w:szCs w:val="24"/>
        </w:rPr>
      </w:pPr>
      <w:r>
        <w:rPr>
          <w:rFonts w:ascii="Arial" w:hAnsi="Arial" w:eastAsia="宋体" w:cs="Arial"/>
          <w:sz w:val="24"/>
          <w:szCs w:val="24"/>
        </w:rPr>
        <w:t>用于高分辨率基因分型；</w:t>
      </w:r>
    </w:p>
    <w:p w14:paraId="3F3BD501">
      <w:pPr>
        <w:pStyle w:val="14"/>
        <w:numPr>
          <w:ilvl w:val="0"/>
          <w:numId w:val="8"/>
        </w:numPr>
        <w:overflowPunct w:val="0"/>
        <w:snapToGrid w:val="0"/>
        <w:spacing w:after="156" w:afterLines="50" w:line="336" w:lineRule="auto"/>
        <w:ind w:left="1260" w:leftChars="600" w:firstLineChars="0"/>
        <w:rPr>
          <w:rFonts w:ascii="Arial" w:hAnsi="Arial" w:eastAsia="宋体" w:cs="Arial"/>
          <w:sz w:val="24"/>
          <w:szCs w:val="24"/>
        </w:rPr>
      </w:pPr>
      <w:r>
        <w:rPr>
          <w:rFonts w:ascii="Arial" w:hAnsi="Arial" w:eastAsia="宋体" w:cs="Arial"/>
          <w:sz w:val="24"/>
          <w:szCs w:val="24"/>
        </w:rPr>
        <w:t>用于抗体筛查和监测；或</w:t>
      </w:r>
    </w:p>
    <w:p w14:paraId="315C837C">
      <w:pPr>
        <w:pStyle w:val="14"/>
        <w:numPr>
          <w:ilvl w:val="0"/>
          <w:numId w:val="8"/>
        </w:numPr>
        <w:overflowPunct w:val="0"/>
        <w:snapToGrid w:val="0"/>
        <w:spacing w:after="156" w:afterLines="50" w:line="336" w:lineRule="auto"/>
        <w:ind w:left="1260" w:leftChars="600" w:firstLineChars="0"/>
        <w:rPr>
          <w:rFonts w:ascii="Arial" w:hAnsi="Arial" w:eastAsia="宋体" w:cs="Arial"/>
          <w:sz w:val="24"/>
          <w:szCs w:val="24"/>
        </w:rPr>
      </w:pPr>
      <w:r>
        <w:rPr>
          <w:rFonts w:ascii="Arial" w:hAnsi="Arial" w:eastAsia="宋体" w:cs="Arial"/>
          <w:sz w:val="24"/>
          <w:szCs w:val="24"/>
        </w:rPr>
        <w:t>用于进行真实和</w:t>
      </w:r>
      <w:r>
        <w:rPr>
          <w:rFonts w:ascii="宋体" w:hAnsi="宋体" w:eastAsia="宋体" w:cs="Arial"/>
          <w:sz w:val="24"/>
          <w:szCs w:val="24"/>
        </w:rPr>
        <w:t>“</w:t>
      </w:r>
      <w:r>
        <w:rPr>
          <w:rFonts w:ascii="Arial" w:hAnsi="Arial" w:eastAsia="宋体" w:cs="Arial"/>
          <w:sz w:val="24"/>
          <w:szCs w:val="24"/>
        </w:rPr>
        <w:t>虚拟</w:t>
      </w:r>
      <w:r>
        <w:rPr>
          <w:rFonts w:ascii="宋体" w:hAnsi="宋体" w:eastAsia="宋体" w:cs="Arial"/>
          <w:sz w:val="24"/>
          <w:szCs w:val="24"/>
        </w:rPr>
        <w:t>”</w:t>
      </w:r>
      <w:r>
        <w:rPr>
          <w:rFonts w:ascii="Arial" w:hAnsi="Arial" w:eastAsia="宋体" w:cs="Arial"/>
          <w:sz w:val="24"/>
          <w:szCs w:val="24"/>
        </w:rPr>
        <w:t>的配型检测。</w:t>
      </w:r>
    </w:p>
    <w:p w14:paraId="53DACAC4">
      <w:pPr>
        <w:overflowPunct w:val="0"/>
        <w:snapToGrid w:val="0"/>
        <w:spacing w:after="156" w:afterLines="50" w:line="336" w:lineRule="auto"/>
        <w:ind w:left="1050" w:leftChars="500"/>
        <w:rPr>
          <w:rFonts w:ascii="Arial" w:hAnsi="Arial" w:eastAsia="宋体" w:cs="Arial"/>
          <w:sz w:val="24"/>
          <w:szCs w:val="24"/>
        </w:rPr>
      </w:pPr>
      <w:r>
        <w:rPr>
          <w:rFonts w:ascii="Arial" w:hAnsi="Arial" w:eastAsia="宋体" w:cs="Arial"/>
          <w:sz w:val="24"/>
          <w:szCs w:val="24"/>
        </w:rPr>
        <w:t>这些器械在医疗机构内经常是个性化的，如使用可以反映本地HLA多态性和患者人口学信息的反应物。而且也会经常发生变化。这些特点引发了严重的关注，即对这些器械施行FDA法规的要求会导致敏感化移植备选患者以及不同地区的供体和受体的</w:t>
      </w:r>
      <w:r>
        <w:rPr>
          <w:rFonts w:ascii="宋体" w:hAnsi="宋体" w:eastAsia="宋体" w:cs="Arial"/>
          <w:sz w:val="24"/>
          <w:szCs w:val="24"/>
        </w:rPr>
        <w:t>“</w:t>
      </w:r>
      <w:r>
        <w:rPr>
          <w:rFonts w:ascii="Arial" w:hAnsi="Arial" w:eastAsia="宋体" w:cs="Arial"/>
          <w:sz w:val="24"/>
          <w:szCs w:val="24"/>
        </w:rPr>
        <w:t>虚拟配型</w:t>
      </w:r>
      <w:r>
        <w:rPr>
          <w:rFonts w:ascii="宋体" w:hAnsi="宋体" w:eastAsia="宋体" w:cs="Arial"/>
          <w:sz w:val="24"/>
          <w:szCs w:val="24"/>
        </w:rPr>
        <w:t>”</w:t>
      </w:r>
      <w:r>
        <w:rPr>
          <w:rFonts w:ascii="Arial" w:hAnsi="Arial" w:eastAsia="宋体" w:cs="Arial"/>
          <w:sz w:val="24"/>
          <w:szCs w:val="24"/>
        </w:rPr>
        <w:t>过程无法使用这些检测，可能会导致去敏感化以及移植后监测难度加大。但该强制执行自由裁量政策仅限于用于器官、干细胞和组织移植的LDT，不能扩展到用于输血HLA检测的LDT，因为其在不同的机构间是高度标准化的（见D.5.（c）部分）。</w:t>
      </w:r>
    </w:p>
    <w:p w14:paraId="1BDD40ED">
      <w:pPr>
        <w:pStyle w:val="14"/>
        <w:numPr>
          <w:ilvl w:val="1"/>
          <w:numId w:val="1"/>
        </w:numPr>
        <w:overflowPunct w:val="0"/>
        <w:snapToGrid w:val="0"/>
        <w:spacing w:after="156" w:afterLines="50" w:line="336" w:lineRule="auto"/>
        <w:ind w:left="0" w:firstLine="0" w:firstLineChars="0"/>
        <w:outlineLvl w:val="1"/>
        <w:rPr>
          <w:rFonts w:ascii="Arial" w:hAnsi="Arial" w:eastAsia="宋体" w:cs="Arial"/>
          <w:b/>
          <w:sz w:val="28"/>
          <w:szCs w:val="28"/>
        </w:rPr>
      </w:pPr>
      <w:bookmarkStart w:id="19" w:name="_Toc498346748"/>
      <w:r>
        <w:rPr>
          <w:rFonts w:ascii="Arial" w:hAnsi="Arial" w:eastAsia="宋体" w:cs="Arial"/>
          <w:b/>
          <w:sz w:val="28"/>
          <w:szCs w:val="28"/>
        </w:rPr>
        <w:t>实验室生产的LDT的FDA通知或注册和登记</w:t>
      </w:r>
      <w:bookmarkEnd w:id="19"/>
    </w:p>
    <w:p w14:paraId="775053F0">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除了D.2部分确定的医疗器械类别（法医（执法）用LDT和器官、干细胞、组织移植相关的LDT）外，对于生产、制备、传播、复合、组装或处理</w:t>
      </w:r>
      <w:r>
        <w:rPr>
          <w:rStyle w:val="13"/>
          <w:rFonts w:ascii="Arial" w:hAnsi="Arial" w:eastAsia="宋体" w:cs="Arial"/>
          <w:sz w:val="24"/>
          <w:szCs w:val="24"/>
        </w:rPr>
        <w:footnoteReference w:id="25"/>
      </w:r>
      <w:r>
        <w:rPr>
          <w:rFonts w:ascii="Arial" w:hAnsi="Arial" w:eastAsia="宋体" w:cs="Arial"/>
          <w:sz w:val="24"/>
          <w:szCs w:val="24"/>
        </w:rPr>
        <w:t>LDT的实验室，如果实验室向FDA通知其生产的LDT，并提供这些LDT的基本信息，则FDA希望继续施行针对注册和登记要求（21 CFR第807部分）的强制执行自由裁量。虽然在LDT发生重大改变时应提交额外的通知，但一般情况下每项LDT应提交一次通知。</w:t>
      </w:r>
    </w:p>
    <w:p w14:paraId="144A3E8F">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收集上述数据对于本指南中所描述的基于风险框架的实施十分重要，因为这些数据</w:t>
      </w:r>
      <w:r>
        <w:rPr>
          <w:rFonts w:hint="eastAsia" w:ascii="Arial" w:hAnsi="Arial" w:eastAsia="宋体" w:cs="Arial"/>
          <w:sz w:val="24"/>
          <w:szCs w:val="24"/>
        </w:rPr>
        <w:t>会</w:t>
      </w:r>
      <w:r>
        <w:rPr>
          <w:rFonts w:ascii="Arial" w:hAnsi="Arial" w:eastAsia="宋体" w:cs="Arial"/>
          <w:sz w:val="24"/>
          <w:szCs w:val="24"/>
        </w:rPr>
        <w:t>用于LDT分类、为FDA希望在本指南完成后的24个月内发布的分类指南提供信息（见D.5.（d）部分</w:t>
      </w:r>
      <w:r>
        <w:rPr>
          <w:rFonts w:ascii="宋体" w:hAnsi="宋体" w:eastAsia="宋体" w:cs="Arial"/>
          <w:sz w:val="24"/>
          <w:szCs w:val="24"/>
        </w:rPr>
        <w:t>“</w:t>
      </w:r>
      <w:r>
        <w:rPr>
          <w:rFonts w:ascii="Arial" w:hAnsi="Arial" w:eastAsia="宋体" w:cs="Arial"/>
          <w:sz w:val="24"/>
          <w:szCs w:val="24"/>
        </w:rPr>
        <w:t>LDT分类</w:t>
      </w:r>
      <w:r>
        <w:rPr>
          <w:rFonts w:ascii="宋体" w:hAnsi="宋体" w:eastAsia="宋体" w:cs="Arial"/>
          <w:sz w:val="24"/>
          <w:szCs w:val="24"/>
        </w:rPr>
        <w:t>”</w:t>
      </w:r>
      <w:r>
        <w:rPr>
          <w:rFonts w:ascii="Arial" w:hAnsi="Arial" w:eastAsia="宋体" w:cs="Arial"/>
          <w:sz w:val="24"/>
          <w:szCs w:val="24"/>
        </w:rPr>
        <w:t>）、以及为施行上市前审查要求设立优先级。具体来说，FDA希望通过顾问委员会向机构提供LDT风险、分类和特定LDT分类下施行适用的监管要求的优先级建议。通知数据对于顾问委员会形成这些建议，以及FDA执行本指南中描述的工作（例如建立优先级列表）非常有用。另外，FDA希望公开上述通知数据（在隐藏禁止公开纰漏的信息后），因为FDA认为该信息对于相关责任方十分有用，包括行业、患者、医生等。</w:t>
      </w:r>
    </w:p>
    <w:p w14:paraId="249C2FE7">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在本指导性文件最终版发布日期以及以后6个月内上市的新LDT的制造商，应在本指导性文件最终版发布日期后6个月内向FDA提交通知信息。在本指导性文件发布6个月后，提供新LDT的实验室应在LDT临床使用前提供通知。需要注意，对于已提交通知的LDT的预期用途作出重大修改后，FDA会认定其为新的LDT。</w:t>
      </w:r>
      <w:r>
        <w:rPr>
          <w:rStyle w:val="13"/>
          <w:rFonts w:ascii="Arial" w:hAnsi="Arial" w:eastAsia="宋体" w:cs="Arial"/>
          <w:sz w:val="24"/>
          <w:szCs w:val="24"/>
        </w:rPr>
        <w:footnoteReference w:id="26"/>
      </w:r>
      <w:r>
        <w:rPr>
          <w:rFonts w:ascii="Arial" w:hAnsi="Arial" w:eastAsia="宋体" w:cs="Arial"/>
          <w:sz w:val="24"/>
          <w:szCs w:val="24"/>
        </w:rPr>
        <w:t>因此，在该LDT提供给临床使用前需要提供新的通知；当预期用途的改变会增加器械风险时尤其重要。另外，在初步通知后，FDA要求在通知后对LDT作出重大修改的实验室再次向FDA提交通知数据，来沟通这些变化（关于器械重大修改的更多信息见指南D.5.（e）部分）。因为通知数据会用于LDT分类和根据风险进行上市前审查要求实施的优先级排序，因此实验室提供尽可能准确的信息来确保适当的分级对于实验室而言是有利的。</w:t>
      </w:r>
    </w:p>
    <w:p w14:paraId="7A1C4648">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完成通知流程并不意味着符合注册和等级要求，实验室也不应认为其已在FDA注册或登记。因此，在提交通知时不要求实验室向FDA提交注册费用。</w:t>
      </w:r>
    </w:p>
    <w:p w14:paraId="0FAE1863">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选择不通知机构和提供其在上述框架内生产的每项LDT相关基本信息的实验室，将不被纳入21 CFR第807部分规定的注册和登记要求的强制执行自由裁量权范围内。上述实验室在注册和登记要求方面将会采取常规的强制执行途径。注册和登记要求包括所有机构</w:t>
      </w:r>
      <w:r>
        <w:rPr>
          <w:rStyle w:val="13"/>
          <w:rFonts w:ascii="Arial" w:hAnsi="Arial" w:eastAsia="宋体" w:cs="Arial"/>
          <w:sz w:val="24"/>
          <w:szCs w:val="24"/>
        </w:rPr>
        <w:footnoteReference w:id="27"/>
      </w:r>
      <w:r>
        <w:rPr>
          <w:rFonts w:ascii="Arial" w:hAnsi="Arial" w:eastAsia="宋体" w:cs="Arial"/>
          <w:sz w:val="24"/>
          <w:szCs w:val="24"/>
        </w:rPr>
        <w:t>的FDA注册和这些机构生产的所有器械的登记（21 CFR 807.20（a））。提交注册和登记信息必须同时缴纳注册费用（FD&amp;C法案738（a）（3）部分（21 U.S.C. 379j（a）（3）））。</w:t>
      </w:r>
    </w:p>
    <w:p w14:paraId="5F205724">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另外，在任何LDT的上市前申请（如PMA （21 U.S.C. 360e（c）；21 CFR 第814部分）或510（k）申请（21 U.S.C. 360（k）；21 CFR第807部分，E子部分）提交至机构前，FDA不会针对生产、制备、传播、复合、组装或处理1或多个LDT的机构强制实施注册和登记要求。</w:t>
      </w:r>
    </w:p>
    <w:p w14:paraId="16CC0830">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关于实验室应如何适当地通知FDA关于LDT生产的信息及LDT的基本信息的具体指导，请参见指导性文件草案</w:t>
      </w:r>
      <w:r>
        <w:rPr>
          <w:rFonts w:ascii="宋体" w:hAnsi="宋体" w:eastAsia="宋体" w:cs="Arial"/>
          <w:sz w:val="24"/>
          <w:szCs w:val="24"/>
        </w:rPr>
        <w:t>“</w:t>
      </w:r>
      <w:r>
        <w:rPr>
          <w:rFonts w:ascii="Arial" w:hAnsi="Arial" w:eastAsia="宋体" w:cs="Arial"/>
          <w:sz w:val="24"/>
          <w:szCs w:val="24"/>
        </w:rPr>
        <w:t>实验室开发检测（LDT）的FDA通知和医疗器械报告。</w:t>
      </w:r>
      <w:r>
        <w:rPr>
          <w:rFonts w:ascii="宋体" w:hAnsi="宋体" w:eastAsia="宋体" w:cs="Arial"/>
          <w:sz w:val="24"/>
          <w:szCs w:val="24"/>
        </w:rPr>
        <w:t>”</w:t>
      </w:r>
    </w:p>
    <w:p w14:paraId="508E427F">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上文描述的通知系统是LDT监管框架的关键要素之一，该系统可以向机构提供目前正在生产的LDT的必要信息，帮助机构实施上文D.5部分所描述的基于风险的LDT监管框架。</w:t>
      </w:r>
    </w:p>
    <w:p w14:paraId="257457B8">
      <w:pPr>
        <w:overflowPunct w:val="0"/>
        <w:snapToGrid w:val="0"/>
        <w:spacing w:after="156" w:afterLines="50" w:line="336" w:lineRule="auto"/>
        <w:rPr>
          <w:rFonts w:ascii="Arial" w:hAnsi="Arial" w:eastAsia="宋体" w:cs="Arial"/>
          <w:sz w:val="24"/>
          <w:szCs w:val="24"/>
        </w:rPr>
      </w:pPr>
      <w:r>
        <w:rPr>
          <w:rFonts w:ascii="Arial" w:hAnsi="Arial" w:eastAsia="宋体" w:cs="Arial"/>
          <w:sz w:val="24"/>
          <w:szCs w:val="24"/>
        </w:rPr>
        <w:t>对于</w:t>
      </w:r>
      <w:bookmarkStart w:id="20" w:name="OLE_LINK7"/>
      <w:bookmarkStart w:id="21" w:name="OLE_LINK6"/>
      <w:r>
        <w:rPr>
          <w:rFonts w:ascii="Arial" w:hAnsi="Arial" w:eastAsia="宋体" w:cs="Arial"/>
          <w:sz w:val="24"/>
          <w:szCs w:val="24"/>
        </w:rPr>
        <w:t>生产、制备、传播、复合、或处理</w:t>
      </w:r>
      <w:bookmarkEnd w:id="20"/>
      <w:bookmarkEnd w:id="21"/>
      <w:r>
        <w:rPr>
          <w:rFonts w:ascii="Arial" w:hAnsi="Arial" w:eastAsia="宋体" w:cs="Arial"/>
          <w:sz w:val="24"/>
          <w:szCs w:val="24"/>
        </w:rPr>
        <w:t>LDT以外的医疗器械的机构，即使其为实验室，FDA也不会针对该机构的注册和登记要求实行强制执行自由裁量。</w:t>
      </w:r>
    </w:p>
    <w:p w14:paraId="5AC17878">
      <w:pPr>
        <w:widowControl/>
        <w:jc w:val="left"/>
        <w:rPr>
          <w:rFonts w:ascii="Arial" w:hAnsi="Arial" w:eastAsia="宋体" w:cs="Arial"/>
          <w:sz w:val="24"/>
          <w:szCs w:val="24"/>
        </w:rPr>
      </w:pPr>
      <w:r>
        <w:rPr>
          <w:rFonts w:ascii="Arial" w:hAnsi="Arial" w:eastAsia="宋体" w:cs="Arial"/>
          <w:sz w:val="24"/>
          <w:szCs w:val="24"/>
        </w:rPr>
        <w:br w:type="page"/>
      </w:r>
    </w:p>
    <w:p w14:paraId="12108763">
      <w:pPr>
        <w:pStyle w:val="14"/>
        <w:numPr>
          <w:ilvl w:val="1"/>
          <w:numId w:val="1"/>
        </w:numPr>
        <w:overflowPunct w:val="0"/>
        <w:snapToGrid w:val="0"/>
        <w:spacing w:after="156" w:afterLines="50" w:line="300" w:lineRule="auto"/>
        <w:ind w:left="0" w:firstLine="0" w:firstLineChars="0"/>
        <w:outlineLvl w:val="1"/>
        <w:rPr>
          <w:rFonts w:ascii="Arial" w:hAnsi="Arial" w:eastAsia="宋体" w:cs="Arial"/>
          <w:b/>
          <w:sz w:val="28"/>
          <w:szCs w:val="28"/>
        </w:rPr>
      </w:pPr>
      <w:bookmarkStart w:id="22" w:name="_Toc498346749"/>
      <w:r>
        <w:rPr>
          <w:rFonts w:ascii="Arial" w:hAnsi="Arial" w:eastAsia="宋体" w:cs="Arial"/>
          <w:b/>
          <w:sz w:val="28"/>
          <w:szCs w:val="28"/>
        </w:rPr>
        <w:t>医疗器械报告（MDR）要求</w:t>
      </w:r>
      <w:bookmarkEnd w:id="22"/>
    </w:p>
    <w:p w14:paraId="0617A7B6">
      <w:pPr>
        <w:overflowPunct w:val="0"/>
        <w:snapToGrid w:val="0"/>
        <w:spacing w:after="156" w:afterLines="50" w:line="300" w:lineRule="auto"/>
        <w:rPr>
          <w:rFonts w:ascii="Arial" w:hAnsi="Arial" w:eastAsia="宋体" w:cs="Arial"/>
          <w:sz w:val="24"/>
          <w:szCs w:val="24"/>
        </w:rPr>
      </w:pPr>
      <w:bookmarkStart w:id="23" w:name="OLE_LINK85"/>
      <w:bookmarkStart w:id="24" w:name="OLE_LINK86"/>
      <w:r>
        <w:rPr>
          <w:rFonts w:ascii="Arial" w:hAnsi="Arial" w:eastAsia="宋体" w:cs="Arial"/>
          <w:sz w:val="24"/>
          <w:szCs w:val="24"/>
        </w:rPr>
        <w:t>除了D.2部分确定的医疗器械类别（法医（执法）用LDT和器官、干细胞、组织移植相关的LDT）外，FDA希望</w:t>
      </w:r>
      <w:bookmarkEnd w:id="23"/>
      <w:bookmarkEnd w:id="24"/>
      <w:r>
        <w:rPr>
          <w:rFonts w:ascii="Arial" w:hAnsi="Arial" w:eastAsia="宋体" w:cs="Arial"/>
          <w:sz w:val="24"/>
          <w:szCs w:val="24"/>
        </w:rPr>
        <w:t>针对生产LDT的实验室实行医疗器械报告（MDR）法规（21 CFR第803部分，E子部分）的制造商报告要求。</w:t>
      </w:r>
      <w:r>
        <w:rPr>
          <w:rStyle w:val="13"/>
          <w:rFonts w:ascii="Arial" w:hAnsi="Arial" w:eastAsia="宋体" w:cs="Arial"/>
          <w:sz w:val="24"/>
          <w:szCs w:val="24"/>
        </w:rPr>
        <w:footnoteReference w:id="28"/>
      </w:r>
      <w:r>
        <w:rPr>
          <w:rFonts w:ascii="Arial" w:hAnsi="Arial" w:eastAsia="宋体" w:cs="Arial"/>
          <w:sz w:val="24"/>
          <w:szCs w:val="24"/>
        </w:rPr>
        <w:t xml:space="preserve"> MDR法规要求医疗器械的制造商当其发现</w:t>
      </w:r>
      <w:r>
        <w:rPr>
          <w:rStyle w:val="13"/>
          <w:rFonts w:ascii="Arial" w:hAnsi="Arial" w:eastAsia="宋体" w:cs="Arial"/>
          <w:sz w:val="24"/>
          <w:szCs w:val="24"/>
        </w:rPr>
        <w:footnoteReference w:id="29"/>
      </w:r>
      <w:r>
        <w:rPr>
          <w:rFonts w:ascii="Arial" w:hAnsi="Arial" w:eastAsia="宋体" w:cs="Arial"/>
          <w:sz w:val="24"/>
          <w:szCs w:val="24"/>
        </w:rPr>
        <w:t>某些信息，表明其销售的某种医疗器械已经造成或可能会增加患者死亡风险</w:t>
      </w:r>
      <w:r>
        <w:rPr>
          <w:rStyle w:val="13"/>
          <w:rFonts w:ascii="Arial" w:hAnsi="Arial" w:eastAsia="宋体" w:cs="Arial"/>
          <w:sz w:val="24"/>
          <w:szCs w:val="24"/>
        </w:rPr>
        <w:footnoteReference w:id="30"/>
      </w:r>
      <w:r>
        <w:rPr>
          <w:rFonts w:ascii="Arial" w:hAnsi="Arial" w:eastAsia="宋体" w:cs="Arial"/>
          <w:sz w:val="24"/>
          <w:szCs w:val="24"/>
        </w:rPr>
        <w:t>或严重损伤</w:t>
      </w:r>
      <w:r>
        <w:rPr>
          <w:rStyle w:val="13"/>
          <w:rFonts w:ascii="Arial" w:hAnsi="Arial" w:eastAsia="宋体" w:cs="Arial"/>
          <w:sz w:val="24"/>
          <w:szCs w:val="24"/>
        </w:rPr>
        <w:footnoteReference w:id="31"/>
      </w:r>
      <w:r>
        <w:rPr>
          <w:rFonts w:ascii="Arial" w:hAnsi="Arial" w:eastAsia="宋体" w:cs="Arial"/>
          <w:sz w:val="24"/>
          <w:szCs w:val="24"/>
        </w:rPr>
        <w:t>，或功能已经出现异常，且继续使用的话该异常可能会造成或加剧可报告的死亡或严重损伤，则此时应向FDA提交报告。21 CFR 803.50。</w:t>
      </w:r>
    </w:p>
    <w:p w14:paraId="2FDCF8F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MDR法规的一个目标是为FDA和器械制造商提供一种机制来确定和监测涉及医疗器械的重大不良事件，从而可以及时检测和纠正问题。该信息对于LDT尤其重要，因为很多此类器械都没有经过上市前审查。当发生与LDT性能相关的严重问题时，LDT的MDR报告可以用于提供检测、追踪和帮助解决问题的风险缓解策略。</w:t>
      </w:r>
    </w:p>
    <w:p w14:paraId="3654E65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因此，在本指导性文件最终版发布的6个月后，FDA会在生产LDT的实验室中停止针对21 CFR第803部分规定的MDR报告的强制执行自由裁量。具体要求见</w:t>
      </w:r>
      <w:bookmarkStart w:id="25" w:name="OLE_LINK87"/>
      <w:bookmarkStart w:id="26" w:name="OLE_LINK88"/>
      <w:r>
        <w:rPr>
          <w:rFonts w:ascii="Arial" w:hAnsi="Arial" w:eastAsia="宋体" w:cs="Arial"/>
          <w:sz w:val="24"/>
          <w:szCs w:val="24"/>
        </w:rPr>
        <w:t>21 CFR第803部分</w:t>
      </w:r>
      <w:bookmarkEnd w:id="25"/>
      <w:bookmarkEnd w:id="26"/>
      <w:r>
        <w:rPr>
          <w:rFonts w:ascii="Arial" w:hAnsi="Arial" w:eastAsia="宋体" w:cs="Arial"/>
          <w:sz w:val="24"/>
          <w:szCs w:val="24"/>
        </w:rPr>
        <w:t>，关于MDR要求如何适用于实验室的深入信息见于指导性文件</w:t>
      </w:r>
      <w:r>
        <w:rPr>
          <w:rFonts w:ascii="宋体" w:hAnsi="宋体" w:eastAsia="宋体" w:cs="Arial"/>
          <w:sz w:val="24"/>
          <w:szCs w:val="24"/>
        </w:rPr>
        <w:t>“</w:t>
      </w:r>
      <w:r>
        <w:rPr>
          <w:rFonts w:ascii="Arial" w:hAnsi="Arial" w:eastAsia="宋体" w:cs="Arial"/>
          <w:sz w:val="24"/>
          <w:szCs w:val="24"/>
        </w:rPr>
        <w:t>实验室开发检测（LDT）的FDA通知和医疗器械报告</w:t>
      </w:r>
      <w:r>
        <w:rPr>
          <w:rFonts w:ascii="宋体" w:hAnsi="宋体" w:eastAsia="宋体" w:cs="Arial"/>
          <w:sz w:val="24"/>
          <w:szCs w:val="24"/>
        </w:rPr>
        <w:t>”</w:t>
      </w:r>
      <w:r>
        <w:rPr>
          <w:rFonts w:ascii="Arial" w:hAnsi="Arial" w:eastAsia="宋体" w:cs="Arial"/>
          <w:sz w:val="24"/>
          <w:szCs w:val="24"/>
        </w:rPr>
        <w:t>。</w:t>
      </w:r>
    </w:p>
    <w:p w14:paraId="31A8C166">
      <w:pPr>
        <w:widowControl/>
        <w:jc w:val="left"/>
        <w:rPr>
          <w:rFonts w:ascii="Arial" w:hAnsi="Arial" w:eastAsia="宋体" w:cs="Arial"/>
          <w:b/>
          <w:sz w:val="28"/>
          <w:szCs w:val="28"/>
        </w:rPr>
      </w:pPr>
      <w:r>
        <w:rPr>
          <w:rFonts w:ascii="Arial" w:hAnsi="Arial" w:eastAsia="宋体" w:cs="Arial"/>
          <w:b/>
          <w:sz w:val="28"/>
          <w:szCs w:val="28"/>
        </w:rPr>
        <w:br w:type="page"/>
      </w:r>
    </w:p>
    <w:p w14:paraId="1F2698CA">
      <w:pPr>
        <w:pStyle w:val="14"/>
        <w:numPr>
          <w:ilvl w:val="1"/>
          <w:numId w:val="1"/>
        </w:numPr>
        <w:overflowPunct w:val="0"/>
        <w:snapToGrid w:val="0"/>
        <w:spacing w:after="156" w:afterLines="50" w:line="300" w:lineRule="auto"/>
        <w:ind w:left="0" w:firstLine="0" w:firstLineChars="0"/>
        <w:outlineLvl w:val="1"/>
        <w:rPr>
          <w:rFonts w:ascii="Arial" w:hAnsi="Arial" w:eastAsia="宋体" w:cs="Arial"/>
          <w:b/>
          <w:sz w:val="28"/>
          <w:szCs w:val="28"/>
        </w:rPr>
      </w:pPr>
      <w:bookmarkStart w:id="27" w:name="_Toc498346750"/>
      <w:r>
        <w:rPr>
          <w:rFonts w:ascii="Arial" w:hAnsi="Arial" w:eastAsia="宋体" w:cs="Arial"/>
          <w:b/>
          <w:sz w:val="28"/>
          <w:szCs w:val="28"/>
        </w:rPr>
        <w:t>上市前评价要求</w:t>
      </w:r>
      <w:bookmarkEnd w:id="27"/>
    </w:p>
    <w:p w14:paraId="1A61246F">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除了D.2部分确定的医疗器械类别（法医（执法）用LDT和器官、干细胞、组织移植相关的LDT）以及下面的段落（a）和（b）所确定的类别外，FDA希望根据器械相应的风险分阶段实施适用的上市前要求。FDA希望首先将主要精力放在风险最高的器械，然后逐步分阶段实施其他器械的要求。通过这种方式，FDA希望在寻求确保患者安全，以及确保医疗护理实施人员在进行临床决策时所依赖的医疗器械有意义、准确的同时，避免对医学检测过程造成不必要的干扰。</w:t>
      </w:r>
    </w:p>
    <w:p w14:paraId="6F4AB5F5">
      <w:pPr>
        <w:overflowPunct w:val="0"/>
        <w:snapToGrid w:val="0"/>
        <w:spacing w:after="156" w:afterLines="50" w:line="300" w:lineRule="auto"/>
        <w:ind w:left="420" w:leftChars="200"/>
        <w:rPr>
          <w:rFonts w:ascii="Arial" w:hAnsi="Arial" w:eastAsia="宋体" w:cs="Arial"/>
          <w:b/>
          <w:i/>
          <w:sz w:val="24"/>
          <w:szCs w:val="24"/>
        </w:rPr>
      </w:pPr>
      <w:r>
        <w:rPr>
          <w:rFonts w:ascii="Arial" w:hAnsi="Arial" w:eastAsia="宋体" w:cs="Arial"/>
          <w:b/>
          <w:i/>
          <w:sz w:val="24"/>
          <w:szCs w:val="24"/>
        </w:rPr>
        <w:t>（a）对用于罕见病的LDT和</w:t>
      </w:r>
      <w:r>
        <w:rPr>
          <w:rFonts w:ascii="宋体" w:hAnsi="宋体" w:eastAsia="宋体" w:cs="Arial"/>
          <w:b/>
          <w:i/>
          <w:sz w:val="24"/>
          <w:szCs w:val="24"/>
        </w:rPr>
        <w:t>“</w:t>
      </w:r>
      <w:r>
        <w:rPr>
          <w:rFonts w:ascii="Arial" w:hAnsi="Arial" w:eastAsia="宋体" w:cs="Arial"/>
          <w:b/>
          <w:i/>
          <w:sz w:val="24"/>
          <w:szCs w:val="24"/>
        </w:rPr>
        <w:t>传统LDT</w:t>
      </w:r>
      <w:r>
        <w:rPr>
          <w:rFonts w:ascii="宋体" w:hAnsi="宋体" w:eastAsia="宋体" w:cs="Arial"/>
          <w:b/>
          <w:i/>
          <w:sz w:val="24"/>
          <w:szCs w:val="24"/>
        </w:rPr>
        <w:t>”</w:t>
      </w:r>
      <w:r>
        <w:rPr>
          <w:rFonts w:ascii="Arial" w:hAnsi="Arial" w:eastAsia="宋体" w:cs="Arial"/>
          <w:b/>
          <w:i/>
          <w:sz w:val="24"/>
          <w:szCs w:val="24"/>
        </w:rPr>
        <w:t>的上市前审查要求继续施行强制执行自由裁量</w:t>
      </w:r>
    </w:p>
    <w:p w14:paraId="3FD94B9B">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FDA认为，继续对上述两类LDT的上市前审查要求施行强制执行自由裁量是合理的。但这些LDT的制造商应通过本文件D.3部分和指导性文件</w:t>
      </w:r>
      <w:r>
        <w:rPr>
          <w:rFonts w:ascii="宋体" w:hAnsi="宋体" w:eastAsia="宋体" w:cs="Arial"/>
          <w:sz w:val="24"/>
          <w:szCs w:val="24"/>
        </w:rPr>
        <w:t>“</w:t>
      </w:r>
      <w:r>
        <w:rPr>
          <w:rFonts w:ascii="Arial" w:hAnsi="Arial" w:eastAsia="宋体" w:cs="Arial"/>
          <w:sz w:val="24"/>
          <w:szCs w:val="24"/>
        </w:rPr>
        <w:t>实验室开发检测（LDT）的FDA通知和医疗器械报告</w:t>
      </w:r>
      <w:r>
        <w:rPr>
          <w:rFonts w:ascii="宋体" w:hAnsi="宋体" w:eastAsia="宋体" w:cs="Arial"/>
          <w:sz w:val="24"/>
          <w:szCs w:val="24"/>
        </w:rPr>
        <w:t>”</w:t>
      </w:r>
      <w:r>
        <w:rPr>
          <w:rFonts w:ascii="Arial" w:hAnsi="Arial" w:eastAsia="宋体" w:cs="Arial"/>
          <w:sz w:val="24"/>
          <w:szCs w:val="24"/>
        </w:rPr>
        <w:t>的描述通知FDA。对于生产这些LDT的实验室，如果其没有按照上文描述通知FDA，则FDA希望对其实施注册和登记要求。另外，FDA 希望针对生产上述LDT的实验室施行MDR报告要求，包括21 CFR第803部分的要求，相关描述见本文件D.4部分。</w:t>
      </w:r>
    </w:p>
    <w:p w14:paraId="37924C68">
      <w:pPr>
        <w:overflowPunct w:val="0"/>
        <w:snapToGrid w:val="0"/>
        <w:spacing w:line="300" w:lineRule="auto"/>
        <w:ind w:left="840" w:leftChars="400"/>
        <w:rPr>
          <w:rFonts w:ascii="Arial" w:hAnsi="Arial" w:eastAsia="宋体" w:cs="Arial"/>
          <w:b/>
          <w:sz w:val="24"/>
          <w:szCs w:val="24"/>
        </w:rPr>
      </w:pPr>
      <w:r>
        <w:rPr>
          <w:rFonts w:ascii="Arial" w:hAnsi="Arial" w:eastAsia="宋体" w:cs="Arial"/>
          <w:b/>
          <w:sz w:val="24"/>
          <w:szCs w:val="24"/>
        </w:rPr>
        <w:t>用于罕见病的LDT</w:t>
      </w:r>
    </w:p>
    <w:p w14:paraId="41A7F347">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法案（21 U.S.C. 360j（m））和法规（21 CFR 814，E子部分）的人道主义用途器械（HUD）/人道主义器械豁免（HDE）条款提供了一种简化版的法规路径，以激励研发用于治疗罕见病或症状的器械。</w:t>
      </w:r>
    </w:p>
    <w:p w14:paraId="7AA885C7">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认为一些LDT具有HUD的资格。如果器械检测针对的人群少于每年4000人，则该IVD器械可以认定为HUD。FDA认为一例患者可能会使用该类器械检测多次；在这种情况下，在确定该器械是否为HUD时，该类的多次使用会计算为1次。</w:t>
      </w:r>
    </w:p>
    <w:p w14:paraId="6DA2E5A0">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如果IVD诊断或帮助诊断的疾病或症状的发生率少于4000人每年，但每年使用该器械进行检测的患者多于4000人，则该器械不能认定为HUD（21 CFR 814.102（a）（5））。</w:t>
      </w:r>
    </w:p>
    <w:p w14:paraId="50044FEC">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虽然FDA鼓励生产用于罕见病的LDT的实验室寻求HDE条款的批准，但针对上市前审查的要求，FDA计划对符合本指南的定义及21 CFR 814.102（a）（5）中HUD定义的LDT继续施行强制执行自由裁量。</w:t>
      </w:r>
    </w:p>
    <w:p w14:paraId="7CBFFA64">
      <w:pPr>
        <w:widowControl/>
        <w:jc w:val="left"/>
        <w:rPr>
          <w:rFonts w:ascii="Arial" w:hAnsi="Arial" w:eastAsia="宋体" w:cs="Arial"/>
          <w:b/>
          <w:sz w:val="24"/>
          <w:szCs w:val="24"/>
        </w:rPr>
      </w:pPr>
      <w:r>
        <w:rPr>
          <w:rFonts w:ascii="Arial" w:hAnsi="Arial" w:eastAsia="宋体" w:cs="Arial"/>
          <w:b/>
          <w:sz w:val="24"/>
          <w:szCs w:val="24"/>
        </w:rPr>
        <w:br w:type="page"/>
      </w:r>
    </w:p>
    <w:p w14:paraId="26EC2302">
      <w:pPr>
        <w:overflowPunct w:val="0"/>
        <w:snapToGrid w:val="0"/>
        <w:spacing w:line="300" w:lineRule="auto"/>
        <w:ind w:left="840" w:leftChars="400"/>
        <w:rPr>
          <w:rFonts w:ascii="Arial" w:hAnsi="Arial" w:eastAsia="宋体" w:cs="Arial"/>
          <w:b/>
          <w:sz w:val="24"/>
          <w:szCs w:val="24"/>
        </w:rPr>
      </w:pPr>
      <w:r>
        <w:rPr>
          <w:rFonts w:ascii="Arial" w:hAnsi="Arial" w:eastAsia="宋体" w:cs="Arial"/>
          <w:b/>
          <w:sz w:val="24"/>
          <w:szCs w:val="24"/>
        </w:rPr>
        <w:t>传统LDT</w:t>
      </w:r>
    </w:p>
    <w:p w14:paraId="5E5CBD50">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FDA希望对</w:t>
      </w:r>
      <w:r>
        <w:rPr>
          <w:rFonts w:ascii="宋体" w:hAnsi="宋体" w:eastAsia="宋体" w:cs="Arial"/>
          <w:sz w:val="24"/>
          <w:szCs w:val="24"/>
        </w:rPr>
        <w:t>“</w:t>
      </w:r>
      <w:r>
        <w:rPr>
          <w:rFonts w:ascii="Arial" w:hAnsi="Arial" w:eastAsia="宋体" w:cs="Arial"/>
          <w:sz w:val="24"/>
          <w:szCs w:val="24"/>
        </w:rPr>
        <w:t>传统LDT</w:t>
      </w:r>
      <w:r>
        <w:rPr>
          <w:rFonts w:ascii="宋体" w:hAnsi="宋体" w:eastAsia="宋体" w:cs="Arial"/>
          <w:sz w:val="24"/>
          <w:szCs w:val="24"/>
        </w:rPr>
        <w:t>”</w:t>
      </w:r>
      <w:r>
        <w:rPr>
          <w:rFonts w:ascii="Arial" w:hAnsi="Arial" w:eastAsia="宋体" w:cs="Arial"/>
          <w:sz w:val="24"/>
          <w:szCs w:val="24"/>
        </w:rPr>
        <w:t>的上市前审查的要求继续施行强制执行自由裁量，即对应1976年FDA开始施行针对LDT的强制执行自由裁量政策前已经存在的LDT的IVD器械。在考虑是否针对传统LDT施行强制执行自由裁量时，FDA会考虑以下因素：</w:t>
      </w:r>
    </w:p>
    <w:p w14:paraId="70F29906">
      <w:pPr>
        <w:pStyle w:val="14"/>
        <w:numPr>
          <w:ilvl w:val="0"/>
          <w:numId w:val="9"/>
        </w:numPr>
        <w:overflowPunct w:val="0"/>
        <w:snapToGrid w:val="0"/>
        <w:spacing w:after="156" w:afterLines="50" w:line="300" w:lineRule="auto"/>
        <w:ind w:left="840" w:leftChars="400" w:firstLineChars="0"/>
        <w:rPr>
          <w:rFonts w:ascii="Arial" w:hAnsi="Arial" w:eastAsia="宋体" w:cs="Arial"/>
          <w:sz w:val="24"/>
          <w:szCs w:val="24"/>
        </w:rPr>
      </w:pPr>
      <w:r>
        <w:rPr>
          <w:rFonts w:ascii="Arial" w:hAnsi="Arial" w:eastAsia="宋体" w:cs="Arial"/>
          <w:sz w:val="24"/>
          <w:szCs w:val="24"/>
        </w:rPr>
        <w:t>该器械是否符合本指南中LDT的定义（在一个单独的实验室内设计、生产和使用的器械）；和</w:t>
      </w:r>
    </w:p>
    <w:p w14:paraId="478FBEB3">
      <w:pPr>
        <w:pStyle w:val="14"/>
        <w:numPr>
          <w:ilvl w:val="0"/>
          <w:numId w:val="9"/>
        </w:numPr>
        <w:overflowPunct w:val="0"/>
        <w:snapToGrid w:val="0"/>
        <w:spacing w:after="156" w:afterLines="50" w:line="300" w:lineRule="auto"/>
        <w:ind w:left="840" w:leftChars="400" w:firstLineChars="0"/>
        <w:rPr>
          <w:rFonts w:ascii="Arial" w:hAnsi="Arial" w:eastAsia="宋体" w:cs="Arial"/>
          <w:sz w:val="24"/>
          <w:szCs w:val="24"/>
        </w:rPr>
      </w:pPr>
      <w:r>
        <w:rPr>
          <w:rFonts w:ascii="Arial" w:hAnsi="Arial" w:eastAsia="宋体" w:cs="Arial"/>
          <w:sz w:val="24"/>
          <w:szCs w:val="24"/>
        </w:rPr>
        <w:t>该LDT是否由某健康护理机构实验室（如位于医院或诊所的实验室）生产的同时用于该健康护理机构或机构的护理系统内患者的诊断和/或治疗</w:t>
      </w:r>
      <w:r>
        <w:rPr>
          <w:rStyle w:val="13"/>
          <w:rFonts w:ascii="Arial" w:hAnsi="Arial" w:eastAsia="宋体" w:cs="Arial"/>
          <w:sz w:val="24"/>
          <w:szCs w:val="24"/>
        </w:rPr>
        <w:footnoteReference w:id="32"/>
      </w:r>
      <w:r>
        <w:rPr>
          <w:rFonts w:ascii="Arial" w:hAnsi="Arial" w:eastAsia="宋体" w:cs="Arial"/>
          <w:sz w:val="24"/>
          <w:szCs w:val="24"/>
        </w:rPr>
        <w:t>；和</w:t>
      </w:r>
    </w:p>
    <w:p w14:paraId="64C616DF">
      <w:pPr>
        <w:pStyle w:val="14"/>
        <w:numPr>
          <w:ilvl w:val="0"/>
          <w:numId w:val="9"/>
        </w:numPr>
        <w:overflowPunct w:val="0"/>
        <w:snapToGrid w:val="0"/>
        <w:spacing w:after="156" w:afterLines="50" w:line="300" w:lineRule="auto"/>
        <w:ind w:left="840" w:leftChars="400" w:firstLineChars="0"/>
        <w:rPr>
          <w:rFonts w:ascii="Arial" w:hAnsi="Arial" w:eastAsia="宋体" w:cs="Arial"/>
          <w:sz w:val="24"/>
          <w:szCs w:val="24"/>
        </w:rPr>
      </w:pPr>
      <w:r>
        <w:rPr>
          <w:rFonts w:ascii="Arial" w:hAnsi="Arial" w:eastAsia="宋体" w:cs="Arial"/>
          <w:sz w:val="24"/>
          <w:szCs w:val="24"/>
        </w:rPr>
        <w:t>该LDT是否仅有已经合法上市用于临床用途的部件和器械（如分析用特定反应物（21 CFR 864.4020）、一般性反应物（21 CFR 864.4010）、多种类型的器械等）组成；和</w:t>
      </w:r>
    </w:p>
    <w:p w14:paraId="5E68F715">
      <w:pPr>
        <w:pStyle w:val="14"/>
        <w:numPr>
          <w:ilvl w:val="0"/>
          <w:numId w:val="9"/>
        </w:numPr>
        <w:overflowPunct w:val="0"/>
        <w:snapToGrid w:val="0"/>
        <w:spacing w:after="156" w:afterLines="50" w:line="300" w:lineRule="auto"/>
        <w:ind w:left="840" w:leftChars="400" w:firstLineChars="0"/>
        <w:rPr>
          <w:rFonts w:ascii="Arial" w:hAnsi="Arial" w:eastAsia="宋体" w:cs="Arial"/>
          <w:sz w:val="24"/>
          <w:szCs w:val="24"/>
        </w:rPr>
      </w:pPr>
      <w:r>
        <w:rPr>
          <w:rFonts w:ascii="Arial" w:hAnsi="Arial" w:eastAsia="宋体" w:cs="Arial"/>
          <w:sz w:val="24"/>
          <w:szCs w:val="24"/>
        </w:rPr>
        <w:t>该LDT是否由具有资质的实验室专家进行判断，而非使用自动化器械或软件解读。</w:t>
      </w:r>
    </w:p>
    <w:p w14:paraId="1A960354">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认为上文所述的因素可以通过若干种方式帮助消除与这些LDT相关的风险。首先，通过满足本指南中的LDT定义，生产和验证LDT的实验室位于相同的地点，且具备执行和解读检测结果所需要的人员和适当的专家。另外，在同一家机构的医疗护理系统内生产和使用LDT可以在该医疗护理系统内向患者提供实验室使用的LDT的同时，确保了基于器械结果信息的临床决策和患者治疗结果具有相同的责任。同时，传统LDT的因素通过使用合法上市用于临床使用的部件和器械，确保了特定水平的质量。当同时具备上述三种因素，并且CLIA监管确保了实验室人员具有合理的资质，且所执行的工作进行了适当的培训，则FDA认为上述情况可以进行适当的控制，对传统LDT操作技术和解读相关的特定风险进行管理。与此相反，自动化器械和使用软件需要对器械和软件进行适当的验证，而在CLIA法规中并没有要求该类评估。FDA认为，在LDT通过具有资质的实验室专家进行解读而非使用自动化仪器或软件进行解读的情况下，如果上述的其他因素也存在，则该LDT是合理的，且与1976年FDA在该类器械施行强制执行自由裁量政策开始时即存在的LDT相一致。FDA认为可以合理地消除传统LDT用于患者相关的风险，因此对上市前审查方面的要求继续施行强制执行自由裁量是合理的。</w:t>
      </w:r>
    </w:p>
    <w:p w14:paraId="5A1FDFA2">
      <w:pPr>
        <w:overflowPunct w:val="0"/>
        <w:snapToGrid w:val="0"/>
        <w:spacing w:after="156" w:afterLines="50" w:line="324" w:lineRule="auto"/>
        <w:ind w:left="420" w:leftChars="200"/>
        <w:rPr>
          <w:rFonts w:ascii="Arial" w:hAnsi="Arial" w:eastAsia="宋体" w:cs="Arial"/>
          <w:b/>
          <w:i/>
          <w:sz w:val="24"/>
          <w:szCs w:val="24"/>
        </w:rPr>
      </w:pPr>
      <w:r>
        <w:rPr>
          <w:rFonts w:ascii="Arial" w:hAnsi="Arial" w:eastAsia="宋体" w:cs="Arial"/>
          <w:b/>
          <w:i/>
          <w:sz w:val="24"/>
          <w:szCs w:val="24"/>
        </w:rPr>
        <w:t>（b）当没有其他可用的FDA批准或审批的等同器械时，对用于</w:t>
      </w:r>
      <w:r>
        <w:rPr>
          <w:rFonts w:ascii="宋体" w:hAnsi="宋体" w:eastAsia="宋体" w:cs="Arial"/>
          <w:b/>
          <w:i/>
          <w:sz w:val="24"/>
          <w:szCs w:val="24"/>
        </w:rPr>
        <w:t>“</w:t>
      </w:r>
      <w:r>
        <w:rPr>
          <w:rFonts w:ascii="Arial" w:hAnsi="Arial" w:eastAsia="宋体" w:cs="Arial"/>
          <w:b/>
          <w:i/>
          <w:sz w:val="24"/>
          <w:szCs w:val="24"/>
        </w:rPr>
        <w:t>未满足需要的LDT</w:t>
      </w:r>
      <w:r>
        <w:rPr>
          <w:rFonts w:ascii="宋体" w:hAnsi="宋体" w:eastAsia="宋体" w:cs="Arial"/>
          <w:b/>
          <w:i/>
          <w:sz w:val="24"/>
          <w:szCs w:val="24"/>
        </w:rPr>
        <w:t>”</w:t>
      </w:r>
      <w:r>
        <w:rPr>
          <w:rFonts w:ascii="Arial" w:hAnsi="Arial" w:eastAsia="宋体" w:cs="Arial"/>
          <w:b/>
          <w:i/>
          <w:sz w:val="24"/>
          <w:szCs w:val="24"/>
        </w:rPr>
        <w:t>的上市前审查要求继续施行强制执行自由裁量</w:t>
      </w:r>
    </w:p>
    <w:p w14:paraId="1C716827">
      <w:pPr>
        <w:overflowPunct w:val="0"/>
        <w:snapToGrid w:val="0"/>
        <w:spacing w:after="156" w:afterLines="50" w:line="324" w:lineRule="auto"/>
        <w:ind w:left="840" w:leftChars="400"/>
        <w:rPr>
          <w:rFonts w:ascii="Arial" w:hAnsi="Arial" w:eastAsia="宋体" w:cs="Arial"/>
          <w:sz w:val="24"/>
          <w:szCs w:val="24"/>
        </w:rPr>
      </w:pPr>
      <w:r>
        <w:rPr>
          <w:rFonts w:ascii="Arial" w:hAnsi="Arial" w:eastAsia="宋体" w:cs="Arial"/>
          <w:sz w:val="24"/>
          <w:szCs w:val="24"/>
        </w:rPr>
        <w:t>FDA认为LDT可以用于满足亟待解决的健康护理需要。FDA认为在有同类的FDA批准或审批的器械可以使用前，保证该LDT可以用于未满足的需要（但并非用于罕见病的LDT或</w:t>
      </w:r>
      <w:r>
        <w:rPr>
          <w:rFonts w:ascii="宋体" w:hAnsi="宋体" w:eastAsia="宋体" w:cs="Arial"/>
          <w:sz w:val="24"/>
          <w:szCs w:val="24"/>
        </w:rPr>
        <w:t>“</w:t>
      </w:r>
      <w:r>
        <w:rPr>
          <w:rFonts w:ascii="Arial" w:hAnsi="Arial" w:eastAsia="宋体" w:cs="Arial"/>
          <w:sz w:val="24"/>
          <w:szCs w:val="24"/>
        </w:rPr>
        <w:t>传统LDT</w:t>
      </w:r>
      <w:r>
        <w:rPr>
          <w:rFonts w:ascii="宋体" w:hAnsi="宋体" w:eastAsia="宋体" w:cs="Arial"/>
          <w:sz w:val="24"/>
          <w:szCs w:val="24"/>
        </w:rPr>
        <w:t>”</w:t>
      </w:r>
      <w:r>
        <w:rPr>
          <w:rFonts w:ascii="Arial" w:hAnsi="Arial" w:eastAsia="宋体" w:cs="Arial"/>
          <w:sz w:val="24"/>
          <w:szCs w:val="24"/>
        </w:rPr>
        <w:t>）是十分重要的。因此，FDA希望对用于</w:t>
      </w:r>
      <w:r>
        <w:rPr>
          <w:rFonts w:ascii="宋体" w:hAnsi="宋体" w:eastAsia="宋体" w:cs="Arial"/>
          <w:sz w:val="24"/>
          <w:szCs w:val="24"/>
        </w:rPr>
        <w:t>“</w:t>
      </w:r>
      <w:r>
        <w:rPr>
          <w:rFonts w:ascii="Arial" w:hAnsi="Arial" w:eastAsia="宋体" w:cs="Arial"/>
          <w:sz w:val="24"/>
          <w:szCs w:val="24"/>
        </w:rPr>
        <w:t>未满足需要的LDT</w:t>
      </w:r>
      <w:r>
        <w:rPr>
          <w:rFonts w:ascii="宋体" w:hAnsi="宋体" w:eastAsia="宋体" w:cs="Arial"/>
          <w:sz w:val="24"/>
          <w:szCs w:val="24"/>
        </w:rPr>
        <w:t>”</w:t>
      </w:r>
      <w:r>
        <w:rPr>
          <w:rFonts w:ascii="Arial" w:hAnsi="Arial" w:eastAsia="宋体" w:cs="Arial"/>
          <w:sz w:val="24"/>
          <w:szCs w:val="24"/>
        </w:rPr>
        <w:t>的上市前审查要求继续施行强制执行自由裁量。在确定LDT是否为用于</w:t>
      </w:r>
      <w:r>
        <w:rPr>
          <w:rFonts w:ascii="宋体" w:hAnsi="宋体" w:eastAsia="宋体" w:cs="Arial"/>
          <w:sz w:val="24"/>
          <w:szCs w:val="24"/>
        </w:rPr>
        <w:t>“</w:t>
      </w:r>
      <w:r>
        <w:rPr>
          <w:rFonts w:ascii="Arial" w:hAnsi="Arial" w:eastAsia="宋体" w:cs="Arial"/>
          <w:sz w:val="24"/>
          <w:szCs w:val="24"/>
        </w:rPr>
        <w:t>未满足需要的LDT</w:t>
      </w:r>
      <w:r>
        <w:rPr>
          <w:rFonts w:ascii="宋体" w:hAnsi="宋体" w:eastAsia="宋体" w:cs="Arial"/>
          <w:sz w:val="24"/>
          <w:szCs w:val="24"/>
        </w:rPr>
        <w:t>”</w:t>
      </w:r>
      <w:r>
        <w:rPr>
          <w:rFonts w:ascii="Arial" w:hAnsi="Arial" w:eastAsia="宋体" w:cs="Arial"/>
          <w:sz w:val="24"/>
          <w:szCs w:val="24"/>
        </w:rPr>
        <w:t>时，FDA会考虑以下因素：</w:t>
      </w:r>
    </w:p>
    <w:p w14:paraId="79D81DD6">
      <w:pPr>
        <w:pStyle w:val="14"/>
        <w:numPr>
          <w:ilvl w:val="0"/>
          <w:numId w:val="10"/>
        </w:numPr>
        <w:overflowPunct w:val="0"/>
        <w:snapToGrid w:val="0"/>
        <w:spacing w:after="156" w:afterLines="50" w:line="324" w:lineRule="auto"/>
        <w:ind w:left="840" w:leftChars="400" w:firstLineChars="0"/>
        <w:rPr>
          <w:rFonts w:ascii="Arial" w:hAnsi="Arial" w:eastAsia="宋体" w:cs="Arial"/>
          <w:sz w:val="24"/>
          <w:szCs w:val="24"/>
        </w:rPr>
      </w:pPr>
      <w:r>
        <w:rPr>
          <w:rFonts w:ascii="Arial" w:hAnsi="Arial" w:eastAsia="宋体" w:cs="Arial"/>
          <w:sz w:val="24"/>
          <w:szCs w:val="24"/>
        </w:rPr>
        <w:t>该器械是否符合本指南中LDT的定义（在一个单独的实验室内设计、生产和使用的器械）；和</w:t>
      </w:r>
    </w:p>
    <w:p w14:paraId="6BCB130A">
      <w:pPr>
        <w:pStyle w:val="14"/>
        <w:numPr>
          <w:ilvl w:val="0"/>
          <w:numId w:val="10"/>
        </w:numPr>
        <w:overflowPunct w:val="0"/>
        <w:snapToGrid w:val="0"/>
        <w:spacing w:after="156" w:afterLines="50" w:line="324" w:lineRule="auto"/>
        <w:ind w:left="840" w:leftChars="400" w:firstLineChars="0"/>
        <w:rPr>
          <w:rFonts w:ascii="Arial" w:hAnsi="Arial" w:eastAsia="宋体" w:cs="Arial"/>
          <w:sz w:val="24"/>
          <w:szCs w:val="24"/>
        </w:rPr>
      </w:pPr>
      <w:r>
        <w:rPr>
          <w:rFonts w:ascii="Arial" w:hAnsi="Arial" w:eastAsia="宋体" w:cs="Arial"/>
          <w:sz w:val="24"/>
          <w:szCs w:val="24"/>
        </w:rPr>
        <w:t>是否没有FDA批准或审批的IVD可用于该特定需求；和</w:t>
      </w:r>
    </w:p>
    <w:p w14:paraId="79657451">
      <w:pPr>
        <w:pStyle w:val="14"/>
        <w:numPr>
          <w:ilvl w:val="0"/>
          <w:numId w:val="10"/>
        </w:numPr>
        <w:overflowPunct w:val="0"/>
        <w:snapToGrid w:val="0"/>
        <w:spacing w:after="156" w:afterLines="50" w:line="324" w:lineRule="auto"/>
        <w:ind w:left="840" w:leftChars="400" w:firstLineChars="0"/>
        <w:rPr>
          <w:rFonts w:ascii="Arial" w:hAnsi="Arial" w:eastAsia="宋体" w:cs="Arial"/>
          <w:sz w:val="24"/>
          <w:szCs w:val="24"/>
        </w:rPr>
      </w:pPr>
      <w:r>
        <w:rPr>
          <w:rFonts w:ascii="Arial" w:hAnsi="Arial" w:eastAsia="宋体" w:cs="Arial"/>
          <w:sz w:val="24"/>
          <w:szCs w:val="24"/>
        </w:rPr>
        <w:t>该LDT是否由某健康护理机构实验室（如位于医院或诊所的实验室）生产的同时用于该健康护理机构或机构的护理系统内患者的诊断和/或治疗。</w:t>
      </w:r>
    </w:p>
    <w:p w14:paraId="588A0405">
      <w:pPr>
        <w:overflowPunct w:val="0"/>
        <w:snapToGrid w:val="0"/>
        <w:spacing w:after="156" w:afterLines="50" w:line="324" w:lineRule="auto"/>
        <w:ind w:left="840" w:leftChars="400"/>
        <w:rPr>
          <w:rFonts w:ascii="Arial" w:hAnsi="Arial" w:eastAsia="宋体" w:cs="Arial"/>
          <w:sz w:val="24"/>
          <w:szCs w:val="24"/>
        </w:rPr>
      </w:pPr>
      <w:r>
        <w:rPr>
          <w:rFonts w:ascii="Arial" w:hAnsi="Arial" w:eastAsia="宋体" w:cs="Arial"/>
          <w:sz w:val="24"/>
          <w:szCs w:val="24"/>
        </w:rPr>
        <w:t>对于用于未满足需要的LDT，FDA不会考虑如下因素，如该LDT是否仅有已经合法上市用于临床用途的部件和器械组成，或该LDT是否由具有资质的实验室专家进行判断，而非使用自动化器械或软件解读等。FDA认为，对于针对未满足需要的LDT，提供更大的自由度是合理的，因为在市场上没有该类器械的FDA批准或审批的替代品。</w:t>
      </w:r>
    </w:p>
    <w:p w14:paraId="0D6C6309">
      <w:pPr>
        <w:overflowPunct w:val="0"/>
        <w:snapToGrid w:val="0"/>
        <w:spacing w:after="156" w:afterLines="50" w:line="324" w:lineRule="auto"/>
        <w:ind w:left="840" w:leftChars="400"/>
        <w:rPr>
          <w:rFonts w:ascii="Arial" w:hAnsi="Arial" w:eastAsia="宋体" w:cs="Arial"/>
          <w:sz w:val="24"/>
          <w:szCs w:val="24"/>
        </w:rPr>
      </w:pPr>
      <w:r>
        <w:rPr>
          <w:rFonts w:ascii="Arial" w:hAnsi="Arial" w:eastAsia="宋体" w:cs="Arial"/>
          <w:sz w:val="24"/>
          <w:szCs w:val="24"/>
        </w:rPr>
        <w:t>与传统LDT一样，FDA认为，在同一家机构的医疗护理系统内生产和使用针对未满足需要的LDT可以帮助消除风险，因为生产和使用检测的护理系统同时也负责患者的治疗，因此可以对基于器械结果的临床决策的患者结局负责。</w:t>
      </w:r>
    </w:p>
    <w:p w14:paraId="3F8E62A6">
      <w:pPr>
        <w:overflowPunct w:val="0"/>
        <w:snapToGrid w:val="0"/>
        <w:spacing w:after="156" w:afterLines="50" w:line="324" w:lineRule="auto"/>
        <w:ind w:left="840" w:leftChars="400"/>
        <w:rPr>
          <w:rFonts w:ascii="Arial" w:hAnsi="Arial" w:eastAsia="宋体" w:cs="Arial"/>
          <w:sz w:val="24"/>
          <w:szCs w:val="24"/>
        </w:rPr>
      </w:pPr>
      <w:r>
        <w:rPr>
          <w:rFonts w:ascii="Arial" w:hAnsi="Arial" w:eastAsia="宋体" w:cs="Arial"/>
          <w:sz w:val="24"/>
          <w:szCs w:val="24"/>
        </w:rPr>
        <w:t>注意：但一旦FDA批准或审批了同种预期用途的IVD，FDA将不会</w:t>
      </w:r>
      <w:r>
        <w:rPr>
          <w:rFonts w:hint="eastAsia" w:ascii="Arial" w:hAnsi="Arial" w:eastAsia="宋体" w:cs="Arial"/>
          <w:sz w:val="24"/>
          <w:szCs w:val="24"/>
        </w:rPr>
        <w:t>将</w:t>
      </w:r>
      <w:r>
        <w:rPr>
          <w:rFonts w:ascii="Arial" w:hAnsi="Arial" w:eastAsia="宋体" w:cs="Arial"/>
          <w:sz w:val="24"/>
          <w:szCs w:val="24"/>
        </w:rPr>
        <w:t>该LDT认定为</w:t>
      </w:r>
      <w:r>
        <w:rPr>
          <w:rFonts w:ascii="宋体" w:hAnsi="宋体" w:eastAsia="宋体" w:cs="Arial"/>
          <w:sz w:val="24"/>
          <w:szCs w:val="24"/>
        </w:rPr>
        <w:t>“</w:t>
      </w:r>
      <w:r>
        <w:rPr>
          <w:rFonts w:ascii="Arial" w:hAnsi="Arial" w:eastAsia="宋体" w:cs="Arial"/>
          <w:sz w:val="24"/>
          <w:szCs w:val="24"/>
        </w:rPr>
        <w:t>用于未满足用途的LDT</w:t>
      </w:r>
      <w:r>
        <w:rPr>
          <w:rFonts w:ascii="宋体" w:hAnsi="宋体" w:eastAsia="宋体" w:cs="Arial"/>
          <w:sz w:val="24"/>
          <w:szCs w:val="24"/>
        </w:rPr>
        <w:t>”</w:t>
      </w:r>
      <w:r>
        <w:rPr>
          <w:rFonts w:ascii="Arial" w:hAnsi="Arial" w:eastAsia="宋体" w:cs="Arial"/>
          <w:sz w:val="24"/>
          <w:szCs w:val="24"/>
        </w:rPr>
        <w:t>。因此，在FDA批准或审批了某种与该用于未满足用途的LDT相同预期用途的器械后，如果该LDT在FDA执行的优先级内，则FDA会针对其执行上市前审查要求。例如，如果LDT是III类器械，则其会被纳入D.5.（c）部分所述的初步优先级范围内，这意味着如果FDA批准了一项III类检测，则提供相同预期用途的LDT的实验室应在12个月内提交上市前审查申请。</w:t>
      </w:r>
    </w:p>
    <w:p w14:paraId="026A30A6">
      <w:pPr>
        <w:overflowPunct w:val="0"/>
        <w:snapToGrid w:val="0"/>
        <w:spacing w:after="156" w:afterLines="50" w:line="324" w:lineRule="auto"/>
        <w:ind w:left="840" w:leftChars="400"/>
        <w:rPr>
          <w:rFonts w:ascii="Arial" w:hAnsi="Arial" w:eastAsia="宋体" w:cs="Arial"/>
          <w:sz w:val="24"/>
          <w:szCs w:val="24"/>
        </w:rPr>
      </w:pPr>
      <w:r>
        <w:rPr>
          <w:rFonts w:ascii="Arial" w:hAnsi="Arial" w:eastAsia="宋体" w:cs="Arial"/>
          <w:sz w:val="24"/>
          <w:szCs w:val="24"/>
        </w:rPr>
        <w:t>如果LDT为II类器械，且不在D.5.（c）部分所述的分类内，则FDA会根据D.5.（d）部分所述的II类LDT优先级判断流程应用该要求，即在FDA针对该类LDT开展审查且批准了该类器械时开始应用要求。FDA户通过D.5.（d）部分讨论的优先级列表提供充足的公开通知，并描述何时会针对新的LDT类别开展审查，如果FDA审批了该类别的检测，则在此之后实验室有12个月的时间提交该LDT的上市前审查申请。如果在12个月期间提交了适当的上市前审查申请，则在申请的机构审查器械FDA会继续施行强制执行自由裁量，确保该器械的可用性，指导FDA对申请做出最终决定。</w:t>
      </w:r>
    </w:p>
    <w:p w14:paraId="1EEF37C4">
      <w:pPr>
        <w:overflowPunct w:val="0"/>
        <w:snapToGrid w:val="0"/>
        <w:spacing w:after="156" w:afterLines="50" w:line="324" w:lineRule="auto"/>
        <w:ind w:left="840" w:leftChars="400"/>
        <w:rPr>
          <w:rFonts w:ascii="Arial" w:hAnsi="Arial" w:eastAsia="宋体" w:cs="Arial"/>
          <w:sz w:val="24"/>
          <w:szCs w:val="24"/>
        </w:rPr>
      </w:pPr>
      <w:r>
        <w:rPr>
          <w:rFonts w:ascii="Arial" w:hAnsi="Arial" w:eastAsia="宋体" w:cs="Arial"/>
          <w:sz w:val="24"/>
          <w:szCs w:val="24"/>
        </w:rPr>
        <w:t>考虑到实验室应该已经进行了适当的研究来证明分析和临床的有效性，或引用了参考文献来证明器械用于临床决策的合理性，因此FDA认为向FDA提交这些检测的上市前申请不会带来太大的负担。在相同预期用途的器械通过审批或批准前对针对未满足需要的LDT施行强制执行自由裁量可以鼓励LDT制造商收集适当的数据，同时在缺少已审批或批准的诊断性器械的情况下不耽误患者获取器械。通过这种方式也可以向患者和医生提供信心，即一旦某种检测通过了FDA的批准或审批，则搜有的此类器械，不论由谁生产，均为安全和有效的，因为所有此类器械均需要符合上市前审查要求。</w:t>
      </w:r>
    </w:p>
    <w:p w14:paraId="3D40DD2E">
      <w:pPr>
        <w:overflowPunct w:val="0"/>
        <w:snapToGrid w:val="0"/>
        <w:spacing w:after="156" w:afterLines="50" w:line="324" w:lineRule="auto"/>
        <w:ind w:left="840" w:leftChars="400"/>
        <w:rPr>
          <w:rFonts w:ascii="Arial" w:hAnsi="Arial" w:eastAsia="宋体" w:cs="Arial"/>
          <w:sz w:val="24"/>
          <w:szCs w:val="24"/>
        </w:rPr>
      </w:pPr>
      <w:r>
        <w:rPr>
          <w:rFonts w:ascii="Arial" w:hAnsi="Arial" w:eastAsia="宋体" w:cs="Arial"/>
          <w:sz w:val="24"/>
          <w:szCs w:val="24"/>
        </w:rPr>
        <w:t>生产一种或多种用于未满足需要的LDT的实验室应根据本指南D.3部分描述的方式通知FDA。如上文所述，如果选择不通知FDA，则FDA会对生产这些LDT的实验室实施注册和登记要求。另外，对于生产这些LDT的实验室，FDA希望施行MDR报告要求，包括21 CFR第803部分E子部分的要求，见本文件D.4部分的描述。</w:t>
      </w:r>
    </w:p>
    <w:p w14:paraId="06AAEF92">
      <w:pPr>
        <w:overflowPunct w:val="0"/>
        <w:snapToGrid w:val="0"/>
        <w:spacing w:after="156" w:afterLines="50" w:line="324" w:lineRule="auto"/>
        <w:ind w:left="420" w:leftChars="200"/>
        <w:rPr>
          <w:rFonts w:ascii="Arial" w:hAnsi="Arial" w:eastAsia="宋体" w:cs="Arial"/>
          <w:b/>
          <w:i/>
          <w:sz w:val="24"/>
          <w:szCs w:val="24"/>
        </w:rPr>
      </w:pPr>
      <w:r>
        <w:rPr>
          <w:rFonts w:ascii="Arial" w:hAnsi="Arial" w:eastAsia="宋体" w:cs="Arial"/>
          <w:b/>
          <w:i/>
          <w:sz w:val="24"/>
          <w:szCs w:val="24"/>
        </w:rPr>
        <w:t>（c）伴随式诊断和其他高风险诊断器械类LDT的上市前申请要求</w:t>
      </w:r>
    </w:p>
    <w:p w14:paraId="65F455BC">
      <w:pPr>
        <w:widowControl/>
        <w:jc w:val="left"/>
        <w:rPr>
          <w:rFonts w:ascii="Arial" w:hAnsi="Arial" w:eastAsia="宋体" w:cs="Arial"/>
          <w:sz w:val="24"/>
          <w:szCs w:val="24"/>
        </w:rPr>
      </w:pPr>
      <w:r>
        <w:rPr>
          <w:rFonts w:ascii="Arial" w:hAnsi="Arial" w:eastAsia="宋体" w:cs="Arial"/>
          <w:sz w:val="24"/>
          <w:szCs w:val="24"/>
        </w:rPr>
        <w:br w:type="page"/>
      </w:r>
    </w:p>
    <w:p w14:paraId="4D2DB299">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FDA希望在本指南完成后的12个月后，首先开始针对下列LDT的上市前审查要求：a）与已经批准或审批的伴随式诊断器械具有相同预期用途的LDT</w:t>
      </w:r>
      <w:r>
        <w:rPr>
          <w:rStyle w:val="13"/>
          <w:rFonts w:ascii="Arial" w:hAnsi="Arial" w:eastAsia="宋体" w:cs="Arial"/>
          <w:sz w:val="24"/>
          <w:szCs w:val="24"/>
        </w:rPr>
        <w:footnoteReference w:id="33"/>
      </w:r>
      <w:r>
        <w:rPr>
          <w:rFonts w:ascii="Arial" w:hAnsi="Arial" w:eastAsia="宋体" w:cs="Arial"/>
          <w:sz w:val="24"/>
          <w:szCs w:val="24"/>
        </w:rPr>
        <w:t>；b）与已经批准或审批的III类器械具有相同预期用途的LDT；和c）用于确定</w:t>
      </w:r>
      <w:r>
        <w:rPr>
          <w:rFonts w:hint="eastAsia" w:ascii="Arial" w:hAnsi="Arial" w:eastAsia="宋体" w:cs="Arial"/>
          <w:sz w:val="24"/>
          <w:szCs w:val="24"/>
        </w:rPr>
        <w:t>血液</w:t>
      </w:r>
      <w:r>
        <w:rPr>
          <w:rFonts w:ascii="Arial" w:hAnsi="Arial" w:eastAsia="宋体" w:cs="Arial"/>
          <w:sz w:val="24"/>
          <w:szCs w:val="24"/>
        </w:rPr>
        <w:t>或血液制品安全性或有效性的特定LDT。</w:t>
      </w:r>
    </w:p>
    <w:p w14:paraId="010C3A8D">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认为上述诊断性器械类别属于目前市场上的最高级别风险的LDT，因为这些器械或直接用于患者治疗（如与已经批准或审批的伴随式诊断器械具有相同预期用途的LDT），或与FDA已经确定属于最高风险分类（III类）的器械具有相同预期用途。</w:t>
      </w:r>
    </w:p>
    <w:p w14:paraId="06308221">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在本指导性文件的最终版发布后12个月，FDA会针对市场上的上述三种类别的LDT的上市前审查要求继续施行强制执行自由裁量。FDA会在12个月结束后开始对这些类别的目前市场中的LDT施行上市前审查要求。如果在12个月期间内提交了适当的上市前申请（一般为PMA），则FDA会在FDA审查上市前申请期间继续施行强制执行自由裁量，从而不影响患者使用。在本指导性文件最终版发布后，FDA会对该类别的新型LDT（即在本指导性文件最终发布后可用于患者检测的LDT）立即施行上市前审查要求。FDA会要求上述新型LDT的制造商提交适当的上市前申请，并在使用前获取该器械的批准或审批。</w:t>
      </w:r>
    </w:p>
    <w:p w14:paraId="39FEF9CE">
      <w:pPr>
        <w:overflowPunct w:val="0"/>
        <w:snapToGrid w:val="0"/>
        <w:spacing w:line="300" w:lineRule="auto"/>
        <w:ind w:left="840" w:leftChars="400"/>
        <w:rPr>
          <w:rFonts w:ascii="Arial" w:hAnsi="Arial" w:eastAsia="宋体" w:cs="Arial"/>
          <w:b/>
          <w:sz w:val="24"/>
          <w:szCs w:val="24"/>
        </w:rPr>
      </w:pPr>
      <w:r>
        <w:rPr>
          <w:rFonts w:ascii="Arial" w:hAnsi="Arial" w:eastAsia="宋体" w:cs="Arial"/>
          <w:b/>
          <w:sz w:val="24"/>
          <w:szCs w:val="24"/>
        </w:rPr>
        <w:t>血液供体、输血相容性、和HCT/P供体LDT</w:t>
      </w:r>
    </w:p>
    <w:p w14:paraId="1FAE8454">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用于血液供体筛查的器械由生物制剂评价和研究中心（CBER）的血液研究和审查办公室（OBRR）负责监管。FDA法规要求用于血液供体筛查和供体筛查的器械</w:t>
      </w:r>
      <w:r>
        <w:rPr>
          <w:rFonts w:ascii="宋体" w:hAnsi="宋体" w:eastAsia="宋体" w:cs="Arial"/>
          <w:sz w:val="24"/>
          <w:szCs w:val="24"/>
        </w:rPr>
        <w:t>“</w:t>
      </w:r>
      <w:r>
        <w:rPr>
          <w:rFonts w:ascii="Arial" w:hAnsi="Arial" w:eastAsia="宋体" w:cs="Arial"/>
          <w:sz w:val="24"/>
          <w:szCs w:val="24"/>
        </w:rPr>
        <w:t>用途经过批准</w:t>
      </w:r>
      <w:r>
        <w:rPr>
          <w:rFonts w:ascii="宋体" w:hAnsi="宋体" w:eastAsia="宋体" w:cs="Arial"/>
          <w:sz w:val="24"/>
          <w:szCs w:val="24"/>
        </w:rPr>
        <w:t>”</w:t>
      </w:r>
      <w:r>
        <w:rPr>
          <w:rFonts w:ascii="Arial" w:hAnsi="Arial" w:eastAsia="宋体" w:cs="Arial"/>
          <w:sz w:val="24"/>
          <w:szCs w:val="24"/>
        </w:rPr>
        <w:t>，且</w:t>
      </w:r>
      <w:r>
        <w:rPr>
          <w:rFonts w:ascii="宋体" w:hAnsi="宋体" w:eastAsia="宋体" w:cs="Arial"/>
          <w:sz w:val="24"/>
          <w:szCs w:val="24"/>
        </w:rPr>
        <w:t>“</w:t>
      </w:r>
      <w:r>
        <w:rPr>
          <w:rFonts w:ascii="Arial" w:hAnsi="Arial" w:eastAsia="宋体" w:cs="Arial"/>
          <w:sz w:val="24"/>
          <w:szCs w:val="24"/>
        </w:rPr>
        <w:t>根据制造商指南</w:t>
      </w:r>
      <w:r>
        <w:rPr>
          <w:rFonts w:ascii="宋体" w:hAnsi="宋体" w:eastAsia="宋体" w:cs="Arial"/>
          <w:sz w:val="24"/>
          <w:szCs w:val="24"/>
        </w:rPr>
        <w:t>”</w:t>
      </w:r>
      <w:r>
        <w:rPr>
          <w:rFonts w:ascii="Arial" w:hAnsi="Arial" w:eastAsia="宋体" w:cs="Arial"/>
          <w:sz w:val="24"/>
          <w:szCs w:val="24"/>
        </w:rPr>
        <w:t>进行操作（21 CFR 610.40（a），（b））。一段时间以来，FDA以供体筛查器械LDT的方式执行这些监管要求。</w:t>
      </w:r>
    </w:p>
    <w:p w14:paraId="038BAE65">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认为其他用于确定血液或血液制品安全性或有效性的器械属于高风险器械，包括用于输血相容性的HLA检测的器械，以及用于血液供体感染性疾病补充或确认检测或红细胞兼容性检测的器械（如供体和受体间或母亲与胎儿间表型和/或基因分型）。同样的，与上文提到的高风险LDT一致，FDA希望在本指导性文件完成后的12个月结束后开始针对此类器械的上市前审查要求。</w:t>
      </w:r>
    </w:p>
    <w:p w14:paraId="79A86D8E">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法规也要求使用经过许可、批准或审批的供体筛查器械对人体细胞、组织和基于细胞和组织的产品（HCT/P）的供体进行筛查（21 CFR 1271.80）。FDA继续对HCT/P供体筛查器械，包括用于此目的的LDT施行此要求。</w:t>
      </w:r>
    </w:p>
    <w:p w14:paraId="25BA177A">
      <w:pPr>
        <w:overflowPunct w:val="0"/>
        <w:snapToGrid w:val="0"/>
        <w:spacing w:after="156" w:afterLines="50" w:line="300" w:lineRule="auto"/>
        <w:ind w:left="420" w:leftChars="200"/>
        <w:rPr>
          <w:rFonts w:ascii="Arial" w:hAnsi="Arial" w:eastAsia="宋体" w:cs="Arial"/>
          <w:b/>
          <w:i/>
          <w:sz w:val="24"/>
          <w:szCs w:val="24"/>
        </w:rPr>
      </w:pPr>
      <w:r>
        <w:rPr>
          <w:rFonts w:ascii="Arial" w:hAnsi="Arial" w:eastAsia="宋体" w:cs="Arial"/>
          <w:b/>
          <w:i/>
          <w:sz w:val="24"/>
          <w:szCs w:val="24"/>
        </w:rPr>
        <w:t>（d）对其他LDT类别分阶段施行上市前审查要求</w:t>
      </w:r>
    </w:p>
    <w:p w14:paraId="4E046120">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在FDA收集和分析通知数据后，FDA会根据风险情况以公开的流程对剩余的器械类别的优先级进行排序。在合适的情况下，FDA会聘请专家顾问团队帮助对未经FDA分类的器械进行分类。FDA希望有充足的机会进行公众评论。</w:t>
      </w:r>
    </w:p>
    <w:p w14:paraId="259E54E9">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FDA希望通过提供关于LDT类别的基于风险的优先级的充足的通知来增加透明性，从而使得实验室可以提前准备。FDA预计上述分阶段施行LDT上市前审查要求的过程会持续数年。</w:t>
      </w:r>
    </w:p>
    <w:p w14:paraId="530392A4">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对于（c）部分确定的高风险器械，FDA希望在指南完成后的12个月内开始实施上市前评价要求。FDA在指南完成后的24个月内公布其他III类LDT的优先级列表。在优先级列表中，FDA计划描述机构希望施行要求的III类LDT顺序，以及机构会在何时开始在不同的类别中实行相关要求。FDA希望在优先级列表公布后的不超过12个月内开始针对最高优先级的III类LDT分类施行上市前审查要求。</w:t>
      </w:r>
      <w:r>
        <w:rPr>
          <w:rStyle w:val="13"/>
          <w:rFonts w:ascii="Arial" w:hAnsi="Arial" w:eastAsia="宋体" w:cs="Arial"/>
          <w:sz w:val="24"/>
          <w:szCs w:val="24"/>
        </w:rPr>
        <w:footnoteReference w:id="34"/>
      </w:r>
      <w:r>
        <w:rPr>
          <w:rFonts w:ascii="Arial" w:hAnsi="Arial" w:eastAsia="宋体" w:cs="Arial"/>
          <w:sz w:val="24"/>
          <w:szCs w:val="24"/>
        </w:rPr>
        <w:t>如果在12个月的期限内提交了上市前申请（如PMA（21 CFR第814部分）或生物制剂许可申请（BLA）（21 CFR第601部分））或适用的话，提交了研究性器械豁免（IDE）（21 CFR第812部分），则FDA会在FDA审查上市前申请期间继续施行强制执行自由裁量。在FDA开始在某个特定类别的LDT内施行上市前审查要求后，FDA会要求开发上述类别的新型LDT的实验室在LDT上市前遵守上市前审查的要求。</w:t>
      </w:r>
    </w:p>
    <w:p w14:paraId="1D23DC5D">
      <w:pPr>
        <w:widowControl/>
        <w:jc w:val="left"/>
        <w:rPr>
          <w:rFonts w:ascii="Arial" w:hAnsi="Arial" w:eastAsia="宋体" w:cs="Arial"/>
          <w:sz w:val="24"/>
          <w:szCs w:val="24"/>
        </w:rPr>
      </w:pPr>
      <w:r>
        <w:rPr>
          <w:rFonts w:ascii="Arial" w:hAnsi="Arial" w:eastAsia="宋体" w:cs="Arial"/>
          <w:sz w:val="24"/>
          <w:szCs w:val="24"/>
        </w:rPr>
        <w:br w:type="page"/>
      </w:r>
    </w:p>
    <w:p w14:paraId="2D143BF1">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希望首先完成III类器械的上市前审查要求的施行（在本指南完成后的5年内）。在FDA完成针对III类器械的分阶段审查前，FDA希望针对II类器械开展分阶段的上市前审查。FDA希望在本指南完成后的4年内公布II类器械的优先级排序，并在本指南完成后9年内完成对II类器械的上市前监管要求。</w:t>
      </w:r>
    </w:p>
    <w:p w14:paraId="520F9E5B">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应注意，机构会在实验室要求遵守法规的任何时间点接受上市前申请，即使早于FDA施行针对该实验室的LDT器械的上市前审查要求前也可以。</w:t>
      </w:r>
    </w:p>
    <w:p w14:paraId="75191C68">
      <w:pPr>
        <w:overflowPunct w:val="0"/>
        <w:snapToGrid w:val="0"/>
        <w:spacing w:line="300" w:lineRule="auto"/>
        <w:ind w:left="840" w:leftChars="400"/>
        <w:rPr>
          <w:rFonts w:ascii="Arial" w:hAnsi="Arial" w:eastAsia="宋体" w:cs="Arial"/>
          <w:b/>
          <w:sz w:val="24"/>
          <w:szCs w:val="24"/>
        </w:rPr>
      </w:pPr>
      <w:r>
        <w:rPr>
          <w:rFonts w:ascii="Arial" w:hAnsi="Arial" w:eastAsia="宋体" w:cs="Arial"/>
          <w:b/>
          <w:sz w:val="24"/>
          <w:szCs w:val="24"/>
        </w:rPr>
        <w:t>LDT的分类</w:t>
      </w:r>
    </w:p>
    <w:p w14:paraId="2FA2B43E">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为了提供进一步的说明，FDA希望在本指南完成后的24个月内发布描述机构认为属于I、II或III类器械的指南。</w:t>
      </w:r>
      <w:r>
        <w:rPr>
          <w:rStyle w:val="13"/>
          <w:rFonts w:ascii="Arial" w:hAnsi="Arial" w:eastAsia="宋体" w:cs="Arial"/>
          <w:sz w:val="24"/>
          <w:szCs w:val="24"/>
        </w:rPr>
        <w:footnoteReference w:id="35"/>
      </w:r>
    </w:p>
    <w:p w14:paraId="00734029">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希望首先在最高风险等级的LDT中开始施行上市前审查要求（即FDA希望在处理低风险的II类器械前先处理高风险III类器械）。FDA也会继续针对最低风险的I类器械LDT施行适用的上市前申请要求的强制执行自由裁量。在完成一类LDT的审查后，FDA会针对下一类LDT实施上市前申请要求（根据风险）。上市前申请的具体类型（如PMA、510（k）、再次申请等）取决于器械分类。</w:t>
      </w:r>
    </w:p>
    <w:p w14:paraId="5726FCA3">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出于法律目的，FDA将具有新的预期用途的LDT自动归为最高风险分类。FD&amp;C的513（f）（1）部分（21 U.S.C. 360c（f）（1））。在获取保证后，FDA计划通过其自身倡议或使用再次申请程序，同时在适用的情况下接受顾问委员会建议，将LDT归为较低风险分类。FD&amp;C法案513（b）（1）、513（f）（2）、513（f）（3）部分（21 U.S.C. 360c（b）、21 U.S.C. 360c（f）（2）、和21 U.S.C. 360c（f）（3））。</w:t>
      </w:r>
    </w:p>
    <w:p w14:paraId="5CC5F9AD">
      <w:pPr>
        <w:overflowPunct w:val="0"/>
        <w:snapToGrid w:val="0"/>
        <w:spacing w:line="300" w:lineRule="auto"/>
        <w:ind w:left="840" w:leftChars="400"/>
        <w:rPr>
          <w:rFonts w:ascii="Arial" w:hAnsi="Arial" w:eastAsia="宋体" w:cs="Arial"/>
          <w:b/>
          <w:sz w:val="24"/>
          <w:szCs w:val="24"/>
        </w:rPr>
      </w:pPr>
      <w:r>
        <w:rPr>
          <w:rFonts w:ascii="Arial" w:hAnsi="Arial" w:eastAsia="宋体" w:cs="Arial"/>
          <w:b/>
          <w:sz w:val="24"/>
          <w:szCs w:val="24"/>
        </w:rPr>
        <w:t>机构高度关注的LDT器械</w:t>
      </w:r>
    </w:p>
    <w:p w14:paraId="088F6CB5">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FDA确定了若干种类别的还未分类的LDT，机构认为相比于其它LDT而言，该类器械对患者的风险更高，施行上市前审查要求可能会较早开始（在上文所述的公开通知后），如下：</w:t>
      </w:r>
    </w:p>
    <w:p w14:paraId="5672D0F0">
      <w:pPr>
        <w:overflowPunct w:val="0"/>
        <w:snapToGrid w:val="0"/>
        <w:spacing w:after="156" w:afterLines="50" w:line="300" w:lineRule="auto"/>
        <w:ind w:left="840" w:leftChars="400"/>
        <w:rPr>
          <w:rFonts w:ascii="Arial" w:hAnsi="Arial" w:eastAsia="宋体" w:cs="Arial"/>
          <w:i/>
          <w:sz w:val="24"/>
          <w:szCs w:val="24"/>
        </w:rPr>
      </w:pPr>
      <w:r>
        <w:rPr>
          <w:rFonts w:ascii="Arial" w:hAnsi="Arial" w:eastAsia="宋体" w:cs="Arial"/>
          <w:i/>
          <w:sz w:val="24"/>
          <w:szCs w:val="24"/>
        </w:rPr>
        <w:t>（1）与伴随式诊断器械类似作用机制的器械。</w:t>
      </w:r>
    </w:p>
    <w:p w14:paraId="3BF3B7F0">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该类器械包括声称通过选择治疗方式、患者人群或剂量可以提高某种特定治疗性产品的使用，但未在治疗性产品标签中纳入的器械（如由实验室开发的某种器械，声称可以预测某种批准用于大范围人群的治疗方式对哪些患者有效果）。FDA认为，因为这些器械提供了某种特定治疗性产品使用的直接，通常是单独的建议，并且没有治疗性产品标签的支持，因此其对患者存在高风险。</w:t>
      </w:r>
    </w:p>
    <w:p w14:paraId="1FDFF6E7">
      <w:pPr>
        <w:overflowPunct w:val="0"/>
        <w:snapToGrid w:val="0"/>
        <w:spacing w:after="156" w:afterLines="50" w:line="300" w:lineRule="auto"/>
        <w:ind w:left="840" w:leftChars="400"/>
        <w:rPr>
          <w:rFonts w:ascii="Arial" w:hAnsi="Arial" w:eastAsia="宋体" w:cs="Arial"/>
          <w:i/>
          <w:sz w:val="24"/>
          <w:szCs w:val="24"/>
        </w:rPr>
      </w:pPr>
      <w:r>
        <w:rPr>
          <w:rFonts w:ascii="Arial" w:hAnsi="Arial" w:eastAsia="宋体" w:cs="Arial"/>
          <w:sz w:val="24"/>
          <w:szCs w:val="24"/>
        </w:rPr>
        <w:t>（</w:t>
      </w:r>
      <w:r>
        <w:rPr>
          <w:rFonts w:ascii="Arial" w:hAnsi="Arial" w:eastAsia="宋体" w:cs="Arial"/>
          <w:i/>
          <w:sz w:val="24"/>
          <w:szCs w:val="24"/>
        </w:rPr>
        <w:t>2）针对某种重大疾病和/或症状，预期用于无症状患者的筛查器械，且没有其他的验证性诊断产品或流程可用，例如用于恶性肿瘤的筛查器械。</w:t>
      </w:r>
    </w:p>
    <w:p w14:paraId="01F0E5D9">
      <w:pPr>
        <w:overflowPunct w:val="0"/>
        <w:snapToGrid w:val="0"/>
        <w:spacing w:after="156" w:afterLines="50" w:line="300" w:lineRule="auto"/>
        <w:ind w:left="840" w:leftChars="400"/>
        <w:rPr>
          <w:rFonts w:ascii="Arial" w:hAnsi="Arial" w:eastAsia="宋体" w:cs="Arial"/>
          <w:i/>
          <w:sz w:val="24"/>
          <w:szCs w:val="24"/>
        </w:rPr>
      </w:pPr>
      <w:r>
        <w:rPr>
          <w:rFonts w:ascii="Arial" w:hAnsi="Arial" w:eastAsia="宋体" w:cs="Arial"/>
          <w:i/>
          <w:sz w:val="24"/>
          <w:szCs w:val="24"/>
        </w:rPr>
        <w:t>（3）具有高风险预期用途的用于特定感染性疾病的诊断器械。</w:t>
      </w:r>
      <w:r>
        <w:rPr>
          <w:rStyle w:val="13"/>
          <w:rFonts w:ascii="Arial" w:hAnsi="Arial" w:eastAsia="宋体" w:cs="Arial"/>
          <w:i/>
          <w:sz w:val="24"/>
          <w:szCs w:val="24"/>
        </w:rPr>
        <w:footnoteReference w:id="36"/>
      </w:r>
    </w:p>
    <w:p w14:paraId="44389F0A">
      <w:pPr>
        <w:overflowPunct w:val="0"/>
        <w:snapToGrid w:val="0"/>
        <w:spacing w:after="156" w:afterLines="50" w:line="300" w:lineRule="auto"/>
        <w:ind w:left="420" w:leftChars="200"/>
        <w:rPr>
          <w:rFonts w:ascii="Arial" w:hAnsi="Arial" w:eastAsia="宋体" w:cs="Arial"/>
          <w:b/>
          <w:i/>
          <w:sz w:val="24"/>
          <w:szCs w:val="24"/>
        </w:rPr>
      </w:pPr>
      <w:r>
        <w:rPr>
          <w:rFonts w:ascii="Arial" w:hAnsi="Arial" w:eastAsia="宋体" w:cs="Arial"/>
          <w:b/>
          <w:i/>
          <w:sz w:val="24"/>
          <w:szCs w:val="24"/>
        </w:rPr>
        <w:t>（e）对FDA批准/审批的器械的修改</w:t>
      </w:r>
    </w:p>
    <w:p w14:paraId="1A0036AD">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如果某机构内的临床实验室对FDA批准/审批的器械进行了修改，且该修改方式会影响器械的性能或预期用途，则该种器械的机构会被认为是器械制造商（21 CFR 820.3（w））。上述修改可能包括标本类型或样本基质的改变（如唾液和全血），分析类型的改变（如定性和定量），阵列的目的改变（如筛查、诊断、预后、监测、监控和验证），目标人群的改变等。上述修改必须满足21 CFR 807.81（a）（3）和21 CFR第814部分对上市前申请的要求。在机构开始实施针对修改器械类别的LDT分类的上市前申请要求后，FDA希望开始实施针对这些修改的器械的上市前申请要求。</w:t>
      </w:r>
    </w:p>
    <w:p w14:paraId="3BAD2AFE">
      <w:pPr>
        <w:overflowPunct w:val="0"/>
        <w:snapToGrid w:val="0"/>
        <w:spacing w:after="156" w:afterLines="50" w:line="300" w:lineRule="auto"/>
        <w:ind w:left="420" w:leftChars="200"/>
        <w:rPr>
          <w:rFonts w:ascii="Arial" w:hAnsi="Arial" w:eastAsia="宋体" w:cs="Arial"/>
          <w:b/>
          <w:i/>
          <w:sz w:val="24"/>
          <w:szCs w:val="24"/>
        </w:rPr>
      </w:pPr>
      <w:r>
        <w:rPr>
          <w:rFonts w:ascii="Arial" w:hAnsi="Arial" w:eastAsia="宋体" w:cs="Arial"/>
          <w:b/>
          <w:i/>
          <w:sz w:val="24"/>
          <w:szCs w:val="24"/>
        </w:rPr>
        <w:t>（f）临床研究</w:t>
      </w:r>
    </w:p>
    <w:p w14:paraId="3C510D21">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FDA希望针对临床规范需要伦理委员会批准的所有LDT临床研究施行21 CFR第812部分所规定的研究性器械</w:t>
      </w:r>
      <w:r>
        <w:rPr>
          <w:rFonts w:hint="eastAsia" w:ascii="Arial" w:hAnsi="Arial" w:eastAsia="宋体" w:cs="Arial"/>
          <w:sz w:val="24"/>
          <w:szCs w:val="24"/>
        </w:rPr>
        <w:t>要求</w:t>
      </w:r>
      <w:r>
        <w:rPr>
          <w:rFonts w:ascii="Arial" w:hAnsi="Arial" w:eastAsia="宋体" w:cs="Arial"/>
          <w:sz w:val="24"/>
          <w:szCs w:val="24"/>
        </w:rPr>
        <w:t>。在开展研究前，临床实验室必须遵守21 CFE第56部分的要求进行伦理审查委员会（IRB）批准，并且需要在入组时获取21 CFR第50部分适用的要求所规定的研究对象的知情同意。见</w:t>
      </w:r>
      <w:r>
        <w:rPr>
          <w:rFonts w:ascii="宋体" w:hAnsi="宋体" w:eastAsia="宋体" w:cs="Arial"/>
          <w:sz w:val="24"/>
          <w:szCs w:val="24"/>
        </w:rPr>
        <w:t>“</w:t>
      </w:r>
      <w:r>
        <w:rPr>
          <w:rFonts w:ascii="Arial" w:hAnsi="Arial" w:eastAsia="宋体" w:cs="Arial"/>
          <w:sz w:val="24"/>
          <w:szCs w:val="24"/>
        </w:rPr>
        <w:t>体外诊断（IVD）器械研究——常见问题</w:t>
      </w:r>
      <w:r>
        <w:rPr>
          <w:rFonts w:ascii="宋体" w:hAnsi="宋体" w:eastAsia="宋体" w:cs="Arial"/>
          <w:sz w:val="24"/>
          <w:szCs w:val="24"/>
        </w:rPr>
        <w:t>”</w:t>
      </w:r>
      <w:r>
        <w:rPr>
          <w:rFonts w:ascii="Arial" w:hAnsi="Arial" w:eastAsia="宋体" w:cs="Arial"/>
          <w:sz w:val="24"/>
          <w:szCs w:val="24"/>
        </w:rPr>
        <w:t>，</w:t>
      </w:r>
      <w:r>
        <w:fldChar w:fldCharType="begin"/>
      </w:r>
      <w:r>
        <w:instrText xml:space="preserve"> HYPERLINK "http://www.fda.gov/downloads/MedicalDevices/DeviceRegulationandGuidance/GuidanceDocuments/UCM071230.pdf。根据21%20CFR%20812.2" </w:instrText>
      </w:r>
      <w:r>
        <w:fldChar w:fldCharType="separate"/>
      </w:r>
      <w:r>
        <w:rPr>
          <w:rStyle w:val="12"/>
          <w:rFonts w:ascii="Arial" w:hAnsi="Arial" w:eastAsia="宋体" w:cs="Arial"/>
          <w:color w:val="0000FF"/>
          <w:sz w:val="24"/>
          <w:szCs w:val="24"/>
        </w:rPr>
        <w:t>http://www.fda.gov/downloads/MedicalDevices/DeviceRegulationandGuidance/GuidanceDocuments/UCM071230.pdf</w:t>
      </w:r>
      <w:r>
        <w:rPr>
          <w:rStyle w:val="12"/>
          <w:rFonts w:ascii="Arial" w:hAnsi="Arial" w:eastAsia="宋体" w:cs="Arial"/>
          <w:color w:val="000000" w:themeColor="text1"/>
          <w:sz w:val="24"/>
          <w:szCs w:val="24"/>
          <w:u w:val="none"/>
          <w14:textFill>
            <w14:solidFill>
              <w14:schemeClr w14:val="tx1"/>
            </w14:solidFill>
          </w14:textFill>
        </w:rPr>
        <w:t>。根据21 CFR 812.2</w:t>
      </w:r>
      <w:r>
        <w:rPr>
          <w:rStyle w:val="12"/>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sz w:val="24"/>
          <w:szCs w:val="24"/>
        </w:rPr>
        <w:t>的规定，目前绝大多数涉及研究的IVD开发项目均被认定为</w:t>
      </w:r>
      <w:r>
        <w:rPr>
          <w:rFonts w:ascii="宋体" w:hAnsi="宋体" w:eastAsia="宋体" w:cs="Arial"/>
          <w:sz w:val="24"/>
          <w:szCs w:val="24"/>
        </w:rPr>
        <w:t>“</w:t>
      </w:r>
      <w:r>
        <w:rPr>
          <w:rFonts w:hint="eastAsia" w:ascii="Arial" w:hAnsi="Arial" w:eastAsia="宋体" w:cs="Arial"/>
          <w:sz w:val="24"/>
          <w:szCs w:val="24"/>
        </w:rPr>
        <w:t>豁免</w:t>
      </w:r>
      <w:r>
        <w:rPr>
          <w:rFonts w:ascii="Arial" w:hAnsi="Arial" w:eastAsia="宋体" w:cs="Arial"/>
          <w:sz w:val="24"/>
          <w:szCs w:val="24"/>
        </w:rPr>
        <w:t>研究</w:t>
      </w:r>
      <w:r>
        <w:rPr>
          <w:rFonts w:ascii="宋体" w:hAnsi="宋体" w:eastAsia="宋体" w:cs="Arial"/>
          <w:sz w:val="24"/>
          <w:szCs w:val="24"/>
        </w:rPr>
        <w:t>”</w:t>
      </w:r>
      <w:r>
        <w:rPr>
          <w:rFonts w:ascii="Arial" w:hAnsi="Arial" w:eastAsia="宋体" w:cs="Arial"/>
          <w:sz w:val="24"/>
          <w:szCs w:val="24"/>
        </w:rPr>
        <w:t>。但如果研究中的LDT符合21 CFR 812.3规定的</w:t>
      </w:r>
      <w:r>
        <w:rPr>
          <w:rFonts w:ascii="宋体" w:hAnsi="宋体" w:eastAsia="宋体" w:cs="Arial"/>
          <w:sz w:val="24"/>
          <w:szCs w:val="24"/>
        </w:rPr>
        <w:t>“</w:t>
      </w:r>
      <w:r>
        <w:rPr>
          <w:rFonts w:ascii="Arial" w:hAnsi="Arial" w:eastAsia="宋体" w:cs="Arial"/>
          <w:sz w:val="24"/>
          <w:szCs w:val="24"/>
        </w:rPr>
        <w:t>重大风险器械</w:t>
      </w:r>
      <w:r>
        <w:rPr>
          <w:rFonts w:ascii="宋体" w:hAnsi="宋体" w:eastAsia="宋体" w:cs="Arial"/>
          <w:sz w:val="24"/>
          <w:szCs w:val="24"/>
        </w:rPr>
        <w:t>”</w:t>
      </w:r>
      <w:r>
        <w:rPr>
          <w:rFonts w:ascii="Arial" w:hAnsi="Arial" w:eastAsia="宋体" w:cs="Arial"/>
          <w:sz w:val="24"/>
          <w:szCs w:val="24"/>
        </w:rPr>
        <w:t>，则研究只能在批准的研究性器械豁免（IDE）范围内开展。21 CFR 812.2。如果实验室希望通过开展研究来获取FDA批准或审批，则IDE的要求应包括21 CFR 809.10（c）或21 CFR 812.5部分规定的研究用LDT标签。</w:t>
      </w:r>
    </w:p>
    <w:p w14:paraId="3E6D5117">
      <w:pPr>
        <w:overflowPunct w:val="0"/>
        <w:snapToGrid w:val="0"/>
        <w:spacing w:after="156" w:afterLines="50" w:line="300" w:lineRule="auto"/>
        <w:ind w:left="840" w:leftChars="400"/>
        <w:jc w:val="left"/>
        <w:rPr>
          <w:rFonts w:ascii="Arial" w:hAnsi="Arial" w:eastAsia="宋体" w:cs="Arial"/>
          <w:sz w:val="24"/>
          <w:szCs w:val="24"/>
        </w:rPr>
      </w:pPr>
      <w:r>
        <w:rPr>
          <w:rFonts w:ascii="Arial" w:hAnsi="Arial" w:eastAsia="宋体" w:cs="Arial"/>
          <w:sz w:val="24"/>
          <w:szCs w:val="24"/>
        </w:rPr>
        <w:t>关于研究性器械要求的更多信息见于FDA网站：</w:t>
      </w:r>
      <w:r>
        <w:fldChar w:fldCharType="begin"/>
      </w:r>
      <w:r>
        <w:instrText xml:space="preserve"> HYPERLINK "http://www.fda.gov/MedicalDevices/DeviceRegulationandGuidance/HowtoMarketYourDevice/InvestigationalDeviceExemptionIDE/ucm046164.htm" </w:instrText>
      </w:r>
      <w:r>
        <w:fldChar w:fldCharType="separate"/>
      </w:r>
      <w:r>
        <w:rPr>
          <w:rStyle w:val="12"/>
          <w:rFonts w:ascii="Arial" w:hAnsi="Arial" w:eastAsia="宋体" w:cs="Arial"/>
          <w:color w:val="0000FF"/>
          <w:sz w:val="24"/>
          <w:szCs w:val="24"/>
        </w:rPr>
        <w:t>http://www.fda.gov/MedicalDevices/DeviceRegulationandGuidance/HowtoMarketYourDevice/InvestigationalDeviceExemptionIDE/ucm046164.htm</w:t>
      </w:r>
      <w:r>
        <w:rPr>
          <w:rStyle w:val="12"/>
          <w:rFonts w:ascii="Arial" w:hAnsi="Arial" w:eastAsia="宋体" w:cs="Arial"/>
          <w:color w:val="0000FF"/>
          <w:sz w:val="24"/>
          <w:szCs w:val="24"/>
        </w:rPr>
        <w:fldChar w:fldCharType="end"/>
      </w:r>
    </w:p>
    <w:p w14:paraId="2FBE74C6">
      <w:pPr>
        <w:overflowPunct w:val="0"/>
        <w:snapToGrid w:val="0"/>
        <w:spacing w:after="156" w:afterLines="50" w:line="300" w:lineRule="auto"/>
        <w:ind w:left="420" w:leftChars="200"/>
        <w:rPr>
          <w:rFonts w:ascii="Arial" w:hAnsi="Arial" w:eastAsia="宋体" w:cs="Arial"/>
          <w:b/>
          <w:i/>
          <w:sz w:val="24"/>
          <w:szCs w:val="24"/>
        </w:rPr>
      </w:pPr>
      <w:r>
        <w:rPr>
          <w:rFonts w:ascii="Arial" w:hAnsi="Arial" w:eastAsia="宋体" w:cs="Arial"/>
          <w:b/>
          <w:i/>
          <w:sz w:val="24"/>
          <w:szCs w:val="24"/>
        </w:rPr>
        <w:t>（g）LDT的临床有效性评价</w:t>
      </w:r>
    </w:p>
    <w:p w14:paraId="296A5764">
      <w:pPr>
        <w:overflowPunct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sz w:val="24"/>
          <w:szCs w:val="24"/>
        </w:rPr>
        <w:t>对于很多LDT，FDA认为其临床有效性已经在文献中得到了验证。FDA强调，应由机构来权衡文献信息是否可以取代额外开展实验来证明临床有效性。在某些情况下FDA可能仍然会要求通过研究来证明器械性能（如分析性评价），但在适用的情况下一般倾向于以科学文献来支持其临床有效性。FDA希望与实验室团体、医疗护理专家团体、以及其他相关责任方共同合作，确定</w:t>
      </w:r>
      <w:r>
        <w:rPr>
          <w:rFonts w:ascii="Arial" w:hAnsi="Arial" w:eastAsia="宋体" w:cs="Arial"/>
          <w:kern w:val="0"/>
          <w:sz w:val="24"/>
          <w:szCs w:val="24"/>
        </w:rPr>
        <w:t>分析物/标志物的临床有效性已经在文献中进行确认的LDT。</w:t>
      </w:r>
    </w:p>
    <w:p w14:paraId="3A87E048">
      <w:pPr>
        <w:overflowPunct w:val="0"/>
        <w:snapToGrid w:val="0"/>
        <w:spacing w:after="156" w:afterLines="50" w:line="300" w:lineRule="auto"/>
        <w:ind w:left="420" w:leftChars="200"/>
        <w:rPr>
          <w:rFonts w:ascii="Arial" w:hAnsi="Arial" w:eastAsia="宋体" w:cs="Arial"/>
          <w:b/>
          <w:i/>
          <w:sz w:val="24"/>
          <w:szCs w:val="24"/>
        </w:rPr>
      </w:pPr>
      <w:r>
        <w:rPr>
          <w:rFonts w:ascii="Arial" w:hAnsi="Arial" w:eastAsia="宋体" w:cs="Arial"/>
          <w:b/>
          <w:i/>
          <w:sz w:val="24"/>
          <w:szCs w:val="24"/>
        </w:rPr>
        <w:t>（h）第三方审查</w:t>
      </w:r>
    </w:p>
    <w:p w14:paraId="1C13573E">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FDA对适合的医疗器械建立了第三方审查项目</w:t>
      </w:r>
      <w:r>
        <w:rPr>
          <w:rStyle w:val="13"/>
          <w:rFonts w:ascii="Arial" w:hAnsi="Arial" w:eastAsia="宋体" w:cs="Arial"/>
          <w:sz w:val="24"/>
          <w:szCs w:val="24"/>
        </w:rPr>
        <w:footnoteReference w:id="37"/>
      </w:r>
      <w:r>
        <w:rPr>
          <w:rFonts w:ascii="Arial" w:hAnsi="Arial" w:eastAsia="宋体" w:cs="Arial"/>
          <w:sz w:val="24"/>
          <w:szCs w:val="24"/>
        </w:rPr>
        <w:t>。对于LDT，FDA预期机构一般会负责高风险（III类）LDT的PMA审查，而第三方机构一般会负责低风险（II类）LDT的510（k）审查。FDA希望与有实验室经验、可以达到FDA的第三方审查人员要求的有兴趣的团体合作。FDA认为通过纳入上述人群可以帮助提高LDT审查流程的效率。如果该方式是成功的，则大多数LDT的510（k）可以通过适当的第三方来审查。</w:t>
      </w:r>
    </w:p>
    <w:p w14:paraId="26C03D39">
      <w:pPr>
        <w:pStyle w:val="14"/>
        <w:numPr>
          <w:ilvl w:val="1"/>
          <w:numId w:val="1"/>
        </w:numPr>
        <w:overflowPunct w:val="0"/>
        <w:snapToGrid w:val="0"/>
        <w:spacing w:after="156" w:afterLines="50" w:line="300" w:lineRule="auto"/>
        <w:ind w:left="0" w:firstLine="0" w:firstLineChars="0"/>
        <w:outlineLvl w:val="1"/>
        <w:rPr>
          <w:rFonts w:ascii="Arial" w:hAnsi="Arial" w:eastAsia="宋体" w:cs="Arial"/>
          <w:b/>
          <w:sz w:val="28"/>
          <w:szCs w:val="28"/>
        </w:rPr>
      </w:pPr>
      <w:bookmarkStart w:id="28" w:name="_Toc498346751"/>
      <w:r>
        <w:rPr>
          <w:rFonts w:ascii="Arial" w:hAnsi="Arial" w:eastAsia="宋体" w:cs="Arial"/>
          <w:b/>
          <w:sz w:val="28"/>
          <w:szCs w:val="28"/>
        </w:rPr>
        <w:t>质量体系监管要求</w:t>
      </w:r>
      <w:bookmarkEnd w:id="28"/>
    </w:p>
    <w:p w14:paraId="0A409685">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建立质量器械监管（21 CFR第820部分）的目的是确定医疗器械制造商为了保证成品器械的安全性和有效性必须</w:t>
      </w:r>
      <w:r>
        <w:rPr>
          <w:rFonts w:hint="eastAsia" w:ascii="Arial" w:hAnsi="Arial" w:eastAsia="宋体" w:cs="Arial"/>
          <w:sz w:val="24"/>
          <w:szCs w:val="24"/>
        </w:rPr>
        <w:t>执行</w:t>
      </w:r>
      <w:r>
        <w:rPr>
          <w:rFonts w:ascii="Arial" w:hAnsi="Arial" w:eastAsia="宋体" w:cs="Arial"/>
          <w:sz w:val="24"/>
          <w:szCs w:val="24"/>
        </w:rPr>
        <w:t>的最低质量体系要求。在LDT的制造商提交PMA或FDA发布该LDT的510（k）批准前，FDA希望继续对31 CFR第82部分规定的QS规范要求施行强制执行自由裁量。在该执行政策下，生产和使用LDT的临床实验室应负责建立符合21 CFR第820部分最低要求的质量体系，根据适用情况，可以在PMA申请（出于法律目的，生产器械的机构必须通过PMA批准情况下的检查）时，也可以在批准的器械在市场发布前。在初始阶段继续针对QS规范要求施行强制执行自由裁量的目的是为实验室提供时间来学习法案的监管要求，以及建立项目来遵守要求。FDA希望在施行这些要求前帮助实验室理解这些要求及其他适用的要求。</w:t>
      </w:r>
    </w:p>
    <w:p w14:paraId="6314AB16">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FDA认为有一些目前属于低风险LDT，根据预期用途和技术情况，应分为不可豁免510（k）申请要求的I类诊断器械，或分为可豁免510（k）申请要求的I或II类诊断器械。</w:t>
      </w:r>
      <w:r>
        <w:rPr>
          <w:rStyle w:val="13"/>
          <w:rFonts w:ascii="Arial" w:hAnsi="Arial" w:eastAsia="宋体" w:cs="Arial"/>
          <w:sz w:val="24"/>
          <w:szCs w:val="24"/>
        </w:rPr>
        <w:footnoteReference w:id="38"/>
      </w:r>
      <w:r>
        <w:rPr>
          <w:rFonts w:hint="eastAsia" w:ascii="Arial" w:hAnsi="Arial" w:eastAsia="宋体" w:cs="Arial"/>
          <w:sz w:val="24"/>
          <w:szCs w:val="24"/>
        </w:rPr>
        <w:t>目前，</w:t>
      </w:r>
      <w:r>
        <w:rPr>
          <w:rFonts w:ascii="Arial" w:hAnsi="Arial" w:eastAsia="宋体" w:cs="Arial"/>
          <w:sz w:val="24"/>
          <w:szCs w:val="24"/>
        </w:rPr>
        <w:t>FDA希望继续针对上述LDT的QS规范要求施行强制执行自由裁量。如果机构决定在将来对上述检测施行QS规范要求，则机构希望在开始对这些LDT施行QS规范要求前提供适当的通知。</w:t>
      </w:r>
    </w:p>
    <w:p w14:paraId="7B355A3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因为这些要求适用于LDT的生产和制造，因此机构鼓励实验室致力于在其操作中建立QS规范要求的要素。具体来说，机构鼓励开发新的LDT的实验室实施设计控制（21 CFR 820.30（a）-（j））。在应用适当的情况下，QS规范描述的设计控制要素可以确保器械设计更为稳健，更少出现器械缺陷和召回。</w:t>
      </w:r>
    </w:p>
    <w:p w14:paraId="46E0F7C0">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FDA在监测检查方面扩展其第三方检查项目，并探索协调和权衡已有项目的机会，例如，通过实施本指南中描述的框架来减少或避免额外的检查。</w:t>
      </w:r>
    </w:p>
    <w:p w14:paraId="2DD33947">
      <w:pPr>
        <w:widowControl/>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br w:type="page"/>
      </w:r>
    </w:p>
    <w:p w14:paraId="37F98441">
      <w:pPr>
        <w:overflowPunct w:val="0"/>
        <w:snapToGrid w:val="0"/>
        <w:spacing w:after="156" w:afterLines="50" w:line="300" w:lineRule="auto"/>
        <w:jc w:val="left"/>
        <w:outlineLvl w:val="0"/>
        <w:rPr>
          <w:rFonts w:ascii="Arial" w:hAnsi="Arial" w:eastAsia="宋体" w:cs="Arial"/>
          <w:b/>
          <w:sz w:val="36"/>
          <w:szCs w:val="36"/>
        </w:rPr>
      </w:pPr>
      <w:bookmarkStart w:id="29" w:name="_Toc498346752"/>
      <w:r>
        <w:rPr>
          <w:rFonts w:ascii="Arial" w:hAnsi="Arial" w:eastAsia="宋体" w:cs="Arial"/>
          <w:b/>
          <w:sz w:val="36"/>
          <w:szCs w:val="36"/>
        </w:rPr>
        <w:t>附录A：LDT监管框架总结</w:t>
      </w:r>
      <w:bookmarkEnd w:id="29"/>
    </w:p>
    <w:p w14:paraId="4A4864C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下面提供了LDT监管框架草案的总结</w:t>
      </w:r>
    </w:p>
    <w:tbl>
      <w:tblPr>
        <w:tblStyle w:val="10"/>
        <w:tblW w:w="5503" w:type="pct"/>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1358"/>
        <w:gridCol w:w="159"/>
        <w:gridCol w:w="1478"/>
        <w:gridCol w:w="223"/>
        <w:gridCol w:w="1705"/>
        <w:gridCol w:w="311"/>
        <w:gridCol w:w="1821"/>
      </w:tblGrid>
      <w:tr w14:paraId="5EB3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vMerge w:val="restart"/>
            <w:vAlign w:val="center"/>
          </w:tcPr>
          <w:p w14:paraId="6DF4A14E">
            <w:pPr>
              <w:overflowPunct w:val="0"/>
              <w:snapToGrid w:val="0"/>
              <w:spacing w:line="264" w:lineRule="auto"/>
              <w:ind w:left="21" w:leftChars="10" w:right="21" w:rightChars="10"/>
              <w:rPr>
                <w:rFonts w:ascii="Arial" w:hAnsi="Arial" w:eastAsia="宋体" w:cs="Arial"/>
                <w:b/>
                <w:sz w:val="18"/>
                <w:szCs w:val="18"/>
              </w:rPr>
            </w:pPr>
            <w:r>
              <w:rPr>
                <w:rFonts w:ascii="Arial" w:hAnsi="Arial" w:eastAsia="宋体" w:cs="Arial"/>
                <w:b/>
                <w:sz w:val="18"/>
                <w:szCs w:val="18"/>
              </w:rPr>
              <w:t>分类</w:t>
            </w:r>
          </w:p>
        </w:tc>
        <w:tc>
          <w:tcPr>
            <w:tcW w:w="3761" w:type="pct"/>
            <w:gridSpan w:val="7"/>
            <w:vAlign w:val="center"/>
          </w:tcPr>
          <w:p w14:paraId="2891067F">
            <w:pPr>
              <w:overflowPunct w:val="0"/>
              <w:snapToGrid w:val="0"/>
              <w:spacing w:line="264" w:lineRule="auto"/>
              <w:ind w:left="21" w:leftChars="10" w:right="21" w:rightChars="10"/>
              <w:jc w:val="center"/>
              <w:rPr>
                <w:rFonts w:ascii="Arial" w:hAnsi="Arial" w:eastAsia="宋体" w:cs="Arial"/>
                <w:b/>
                <w:sz w:val="18"/>
                <w:szCs w:val="18"/>
              </w:rPr>
            </w:pPr>
            <w:r>
              <w:rPr>
                <w:rFonts w:ascii="Arial" w:hAnsi="Arial" w:eastAsia="宋体" w:cs="Arial"/>
                <w:b/>
                <w:sz w:val="18"/>
                <w:szCs w:val="18"/>
              </w:rPr>
              <w:t>FDA希望施行的要求</w:t>
            </w:r>
          </w:p>
        </w:tc>
      </w:tr>
      <w:tr w14:paraId="713B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vMerge w:val="continue"/>
            <w:vAlign w:val="center"/>
          </w:tcPr>
          <w:p w14:paraId="141FF686">
            <w:pPr>
              <w:overflowPunct w:val="0"/>
              <w:snapToGrid w:val="0"/>
              <w:spacing w:line="264" w:lineRule="auto"/>
              <w:ind w:left="21" w:leftChars="10" w:right="21" w:rightChars="10"/>
              <w:rPr>
                <w:rFonts w:ascii="Arial" w:hAnsi="Arial" w:eastAsia="宋体" w:cs="Arial"/>
                <w:b/>
                <w:sz w:val="18"/>
                <w:szCs w:val="18"/>
              </w:rPr>
            </w:pPr>
          </w:p>
        </w:tc>
        <w:tc>
          <w:tcPr>
            <w:tcW w:w="724" w:type="pct"/>
            <w:vAlign w:val="center"/>
          </w:tcPr>
          <w:p w14:paraId="29413704">
            <w:pPr>
              <w:overflowPunct w:val="0"/>
              <w:snapToGrid w:val="0"/>
              <w:spacing w:line="264" w:lineRule="auto"/>
              <w:ind w:left="21" w:leftChars="10" w:right="21" w:rightChars="10"/>
              <w:jc w:val="center"/>
              <w:rPr>
                <w:rFonts w:ascii="Arial" w:hAnsi="Arial" w:eastAsia="宋体" w:cs="Arial"/>
                <w:b/>
                <w:sz w:val="18"/>
                <w:szCs w:val="18"/>
              </w:rPr>
            </w:pPr>
            <w:r>
              <w:rPr>
                <w:rFonts w:ascii="Arial" w:hAnsi="Arial" w:eastAsia="宋体" w:cs="Arial"/>
                <w:b/>
                <w:sz w:val="18"/>
                <w:szCs w:val="18"/>
              </w:rPr>
              <w:t>当实验室未提供FDA通知时，FD&amp;C法案的注册和登记（510章节）；21 CFR第807部分）</w:t>
            </w:r>
          </w:p>
        </w:tc>
        <w:tc>
          <w:tcPr>
            <w:tcW w:w="873" w:type="pct"/>
            <w:gridSpan w:val="2"/>
            <w:vAlign w:val="center"/>
          </w:tcPr>
          <w:p w14:paraId="45E8611B">
            <w:pPr>
              <w:overflowPunct w:val="0"/>
              <w:snapToGrid w:val="0"/>
              <w:spacing w:line="264" w:lineRule="auto"/>
              <w:ind w:left="21" w:leftChars="10" w:right="21" w:rightChars="10"/>
              <w:jc w:val="center"/>
              <w:rPr>
                <w:rFonts w:ascii="Arial" w:hAnsi="Arial" w:eastAsia="宋体" w:cs="Arial"/>
                <w:b/>
                <w:sz w:val="18"/>
                <w:szCs w:val="18"/>
              </w:rPr>
            </w:pPr>
            <w:r>
              <w:rPr>
                <w:rFonts w:ascii="Arial" w:hAnsi="Arial" w:eastAsia="宋体" w:cs="Arial"/>
                <w:b/>
                <w:sz w:val="18"/>
                <w:szCs w:val="18"/>
              </w:rPr>
              <w:t>医疗器械报告的制造商报告要求（FD&amp;C法案第519（a）部分；21 CFR第803部分E子部分）</w:t>
            </w:r>
          </w:p>
        </w:tc>
        <w:tc>
          <w:tcPr>
            <w:tcW w:w="1194" w:type="pct"/>
            <w:gridSpan w:val="3"/>
            <w:vAlign w:val="center"/>
          </w:tcPr>
          <w:p w14:paraId="7EE21BAD">
            <w:pPr>
              <w:overflowPunct w:val="0"/>
              <w:snapToGrid w:val="0"/>
              <w:spacing w:line="264" w:lineRule="auto"/>
              <w:ind w:left="21" w:leftChars="10" w:right="21" w:rightChars="10"/>
              <w:jc w:val="center"/>
              <w:rPr>
                <w:rFonts w:ascii="Arial" w:hAnsi="Arial" w:eastAsia="宋体" w:cs="Arial"/>
                <w:b/>
                <w:sz w:val="18"/>
                <w:szCs w:val="18"/>
              </w:rPr>
            </w:pPr>
            <w:r>
              <w:rPr>
                <w:rFonts w:ascii="Arial" w:hAnsi="Arial" w:eastAsia="宋体" w:cs="Arial"/>
                <w:b/>
                <w:sz w:val="18"/>
                <w:szCs w:val="18"/>
              </w:rPr>
              <w:t>上市前审查要求（FD&amp;C法案的510（k）和515部分；21 CFR第807部分E子部分；21 CFR第 814部分）</w:t>
            </w:r>
          </w:p>
        </w:tc>
        <w:tc>
          <w:tcPr>
            <w:tcW w:w="970" w:type="pct"/>
            <w:vAlign w:val="center"/>
          </w:tcPr>
          <w:p w14:paraId="434CB801">
            <w:pPr>
              <w:overflowPunct w:val="0"/>
              <w:snapToGrid w:val="0"/>
              <w:spacing w:line="264" w:lineRule="auto"/>
              <w:ind w:left="21" w:leftChars="10" w:right="21" w:rightChars="10"/>
              <w:jc w:val="center"/>
              <w:rPr>
                <w:rFonts w:ascii="Arial" w:hAnsi="Arial" w:eastAsia="宋体" w:cs="Arial"/>
                <w:b/>
                <w:sz w:val="18"/>
                <w:szCs w:val="18"/>
              </w:rPr>
            </w:pPr>
            <w:r>
              <w:rPr>
                <w:rFonts w:ascii="Arial" w:hAnsi="Arial" w:eastAsia="宋体" w:cs="Arial"/>
                <w:b/>
                <w:sz w:val="18"/>
                <w:szCs w:val="18"/>
              </w:rPr>
              <w:t>质量器械监管要求（FD&amp;C法案的520（f）；21 CFR第820部分）</w:t>
            </w:r>
          </w:p>
        </w:tc>
      </w:tr>
      <w:tr w14:paraId="2B16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24795D74">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仅用于法医（执法）目的的LDT。</w:t>
            </w:r>
          </w:p>
          <w:p w14:paraId="101CB74B">
            <w:pPr>
              <w:overflowPunct w:val="0"/>
              <w:snapToGrid w:val="0"/>
              <w:spacing w:line="264" w:lineRule="auto"/>
              <w:ind w:left="21" w:leftChars="10" w:right="21" w:rightChars="10"/>
              <w:jc w:val="left"/>
              <w:rPr>
                <w:rFonts w:ascii="Arial" w:hAnsi="Arial" w:eastAsia="宋体" w:cs="Arial"/>
                <w:sz w:val="18"/>
                <w:szCs w:val="18"/>
              </w:rPr>
            </w:pPr>
          </w:p>
          <w:p w14:paraId="1FC555DC">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用于CLIA认证的高复杂度组织相容性实验室的特定移植用LDT</w:t>
            </w:r>
          </w:p>
        </w:tc>
        <w:tc>
          <w:tcPr>
            <w:tcW w:w="724" w:type="pct"/>
          </w:tcPr>
          <w:p w14:paraId="707B8ECB">
            <w:pPr>
              <w:overflowPunct w:val="0"/>
              <w:snapToGrid w:val="0"/>
              <w:spacing w:line="264" w:lineRule="auto"/>
              <w:ind w:left="21" w:leftChars="10" w:right="21" w:rightChars="10"/>
              <w:jc w:val="center"/>
              <w:rPr>
                <w:rFonts w:ascii="Arial" w:hAnsi="Arial" w:eastAsia="宋体" w:cs="Arial"/>
                <w:sz w:val="18"/>
                <w:szCs w:val="18"/>
              </w:rPr>
            </w:pPr>
          </w:p>
        </w:tc>
        <w:tc>
          <w:tcPr>
            <w:tcW w:w="873" w:type="pct"/>
            <w:gridSpan w:val="2"/>
          </w:tcPr>
          <w:p w14:paraId="4F21F296">
            <w:pPr>
              <w:overflowPunct w:val="0"/>
              <w:snapToGrid w:val="0"/>
              <w:spacing w:line="264" w:lineRule="auto"/>
              <w:ind w:left="21" w:leftChars="10" w:right="21" w:rightChars="10"/>
              <w:jc w:val="center"/>
              <w:rPr>
                <w:rFonts w:ascii="Arial" w:hAnsi="Arial" w:eastAsia="宋体" w:cs="Arial"/>
                <w:sz w:val="18"/>
                <w:szCs w:val="18"/>
              </w:rPr>
            </w:pPr>
          </w:p>
        </w:tc>
        <w:tc>
          <w:tcPr>
            <w:tcW w:w="1194" w:type="pct"/>
            <w:gridSpan w:val="3"/>
          </w:tcPr>
          <w:p w14:paraId="6464539C">
            <w:pPr>
              <w:overflowPunct w:val="0"/>
              <w:snapToGrid w:val="0"/>
              <w:spacing w:line="264" w:lineRule="auto"/>
              <w:ind w:left="21" w:leftChars="10" w:right="21" w:rightChars="10"/>
              <w:rPr>
                <w:rFonts w:ascii="Arial" w:hAnsi="Arial" w:eastAsia="宋体" w:cs="Arial"/>
                <w:sz w:val="18"/>
                <w:szCs w:val="18"/>
              </w:rPr>
            </w:pPr>
          </w:p>
        </w:tc>
        <w:tc>
          <w:tcPr>
            <w:tcW w:w="970" w:type="pct"/>
          </w:tcPr>
          <w:p w14:paraId="77E86FD2">
            <w:pPr>
              <w:overflowPunct w:val="0"/>
              <w:snapToGrid w:val="0"/>
              <w:spacing w:line="264" w:lineRule="auto"/>
              <w:ind w:left="21" w:leftChars="10" w:right="21" w:rightChars="10"/>
              <w:rPr>
                <w:rFonts w:ascii="Arial" w:hAnsi="Arial" w:eastAsia="宋体" w:cs="Arial"/>
                <w:sz w:val="18"/>
                <w:szCs w:val="18"/>
              </w:rPr>
            </w:pPr>
          </w:p>
        </w:tc>
      </w:tr>
      <w:tr w14:paraId="6BAF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218CD4EC">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用于罕见病的LDT</w:t>
            </w:r>
          </w:p>
        </w:tc>
        <w:tc>
          <w:tcPr>
            <w:tcW w:w="724" w:type="pct"/>
          </w:tcPr>
          <w:p w14:paraId="32D131C2">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873" w:type="pct"/>
            <w:gridSpan w:val="2"/>
          </w:tcPr>
          <w:p w14:paraId="1E6EB905">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1194" w:type="pct"/>
            <w:gridSpan w:val="3"/>
          </w:tcPr>
          <w:p w14:paraId="18BCAA9E">
            <w:pPr>
              <w:overflowPunct w:val="0"/>
              <w:snapToGrid w:val="0"/>
              <w:spacing w:line="264" w:lineRule="auto"/>
              <w:ind w:left="21" w:leftChars="10" w:right="21" w:rightChars="10"/>
              <w:rPr>
                <w:rFonts w:ascii="Arial" w:hAnsi="Arial" w:eastAsia="宋体" w:cs="Arial"/>
                <w:sz w:val="18"/>
                <w:szCs w:val="18"/>
              </w:rPr>
            </w:pPr>
          </w:p>
        </w:tc>
        <w:tc>
          <w:tcPr>
            <w:tcW w:w="970" w:type="pct"/>
          </w:tcPr>
          <w:p w14:paraId="18EA32E9">
            <w:pPr>
              <w:overflowPunct w:val="0"/>
              <w:snapToGrid w:val="0"/>
              <w:spacing w:line="264" w:lineRule="auto"/>
              <w:ind w:left="21" w:leftChars="10" w:right="21" w:rightChars="10"/>
              <w:rPr>
                <w:rFonts w:ascii="Arial" w:hAnsi="Arial" w:eastAsia="宋体" w:cs="Arial"/>
                <w:sz w:val="18"/>
                <w:szCs w:val="18"/>
              </w:rPr>
            </w:pPr>
          </w:p>
        </w:tc>
      </w:tr>
      <w:tr w14:paraId="3BA3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5565D35A">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传统LDT</w:t>
            </w:r>
          </w:p>
        </w:tc>
        <w:tc>
          <w:tcPr>
            <w:tcW w:w="724" w:type="pct"/>
          </w:tcPr>
          <w:p w14:paraId="3E69F571">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873" w:type="pct"/>
            <w:gridSpan w:val="2"/>
          </w:tcPr>
          <w:p w14:paraId="01F9D06A">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1194" w:type="pct"/>
            <w:gridSpan w:val="3"/>
          </w:tcPr>
          <w:p w14:paraId="67BD163F">
            <w:pPr>
              <w:overflowPunct w:val="0"/>
              <w:snapToGrid w:val="0"/>
              <w:spacing w:line="264" w:lineRule="auto"/>
              <w:ind w:left="21" w:leftChars="10" w:right="21" w:rightChars="10"/>
              <w:rPr>
                <w:rFonts w:ascii="Arial" w:hAnsi="Arial" w:eastAsia="宋体" w:cs="Arial"/>
                <w:sz w:val="18"/>
                <w:szCs w:val="18"/>
              </w:rPr>
            </w:pPr>
          </w:p>
        </w:tc>
        <w:tc>
          <w:tcPr>
            <w:tcW w:w="970" w:type="pct"/>
          </w:tcPr>
          <w:p w14:paraId="5C0B6161">
            <w:pPr>
              <w:overflowPunct w:val="0"/>
              <w:snapToGrid w:val="0"/>
              <w:spacing w:line="264" w:lineRule="auto"/>
              <w:ind w:left="21" w:leftChars="10" w:right="21" w:rightChars="10"/>
              <w:rPr>
                <w:rFonts w:ascii="Arial" w:hAnsi="Arial" w:eastAsia="宋体" w:cs="Arial"/>
                <w:sz w:val="18"/>
                <w:szCs w:val="18"/>
              </w:rPr>
            </w:pPr>
          </w:p>
        </w:tc>
      </w:tr>
      <w:tr w14:paraId="1A56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1018873E">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用于未满足用途的LDT</w:t>
            </w:r>
          </w:p>
        </w:tc>
        <w:tc>
          <w:tcPr>
            <w:tcW w:w="724" w:type="pct"/>
          </w:tcPr>
          <w:p w14:paraId="18090661">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873" w:type="pct"/>
            <w:gridSpan w:val="2"/>
          </w:tcPr>
          <w:p w14:paraId="2D467B33">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1194" w:type="pct"/>
            <w:gridSpan w:val="3"/>
          </w:tcPr>
          <w:p w14:paraId="03F123B4">
            <w:pPr>
              <w:overflowPunct w:val="0"/>
              <w:snapToGrid w:val="0"/>
              <w:spacing w:line="264" w:lineRule="auto"/>
              <w:ind w:left="21" w:leftChars="10" w:right="21" w:rightChars="10"/>
              <w:rPr>
                <w:rFonts w:ascii="Arial" w:hAnsi="Arial" w:eastAsia="宋体" w:cs="Arial"/>
                <w:sz w:val="18"/>
                <w:szCs w:val="18"/>
              </w:rPr>
            </w:pPr>
          </w:p>
        </w:tc>
        <w:tc>
          <w:tcPr>
            <w:tcW w:w="970" w:type="pct"/>
          </w:tcPr>
          <w:p w14:paraId="54F37181">
            <w:pPr>
              <w:overflowPunct w:val="0"/>
              <w:snapToGrid w:val="0"/>
              <w:spacing w:line="264" w:lineRule="auto"/>
              <w:ind w:left="21" w:leftChars="10" w:right="21" w:rightChars="10"/>
              <w:rPr>
                <w:rFonts w:ascii="Arial" w:hAnsi="Arial" w:eastAsia="宋体" w:cs="Arial"/>
                <w:sz w:val="18"/>
                <w:szCs w:val="18"/>
              </w:rPr>
            </w:pPr>
          </w:p>
        </w:tc>
      </w:tr>
      <w:tr w14:paraId="4E76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6309B8C5">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与已经批准或审批的伴随式诊断器械具有相同预期用途的LDT</w:t>
            </w:r>
          </w:p>
          <w:p w14:paraId="02EEB93B">
            <w:pPr>
              <w:overflowPunct w:val="0"/>
              <w:snapToGrid w:val="0"/>
              <w:spacing w:line="264" w:lineRule="auto"/>
              <w:ind w:left="21" w:leftChars="10" w:right="21" w:rightChars="10"/>
              <w:jc w:val="left"/>
              <w:rPr>
                <w:rFonts w:ascii="Arial" w:hAnsi="Arial" w:eastAsia="宋体" w:cs="Arial"/>
                <w:sz w:val="18"/>
                <w:szCs w:val="18"/>
              </w:rPr>
            </w:pPr>
          </w:p>
          <w:p w14:paraId="1AEC2BA1">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与已经批准或审批的III类器械具有相同预期用途的LDT</w:t>
            </w:r>
          </w:p>
          <w:p w14:paraId="4AC989B0">
            <w:pPr>
              <w:overflowPunct w:val="0"/>
              <w:snapToGrid w:val="0"/>
              <w:spacing w:line="264" w:lineRule="auto"/>
              <w:ind w:left="21" w:leftChars="10" w:right="21" w:rightChars="10"/>
              <w:jc w:val="left"/>
              <w:rPr>
                <w:rFonts w:ascii="Arial" w:hAnsi="Arial" w:eastAsia="宋体" w:cs="Arial"/>
                <w:sz w:val="18"/>
                <w:szCs w:val="18"/>
              </w:rPr>
            </w:pPr>
          </w:p>
          <w:p w14:paraId="785A2447">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用于确定血液或血液制品安全性或有效性的特定LDT</w:t>
            </w:r>
          </w:p>
        </w:tc>
        <w:tc>
          <w:tcPr>
            <w:tcW w:w="724" w:type="pct"/>
          </w:tcPr>
          <w:p w14:paraId="352EA3D7">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873" w:type="pct"/>
            <w:gridSpan w:val="2"/>
          </w:tcPr>
          <w:p w14:paraId="5950463F">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1194" w:type="pct"/>
            <w:gridSpan w:val="3"/>
          </w:tcPr>
          <w:p w14:paraId="6DCE278D">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对当前已上市，且未在本指导性文件完成12个月内提交上市前申请的LDT施行规定</w:t>
            </w:r>
          </w:p>
          <w:p w14:paraId="77A3C23D">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对本指导性文件完成后开始进入市场的新LDT施行规定</w:t>
            </w:r>
          </w:p>
        </w:tc>
        <w:tc>
          <w:tcPr>
            <w:tcW w:w="970" w:type="pct"/>
          </w:tcPr>
          <w:p w14:paraId="605F98D1">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在提交PMA或FDA发布批准文件后开始施行</w:t>
            </w:r>
          </w:p>
        </w:tc>
      </w:tr>
      <w:tr w14:paraId="1FB3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30DDD0DB">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用于血液和血液成分和HCT/P感染性成分的LDT（供体筛查检测）</w:t>
            </w:r>
          </w:p>
        </w:tc>
        <w:tc>
          <w:tcPr>
            <w:tcW w:w="3761" w:type="pct"/>
            <w:gridSpan w:val="7"/>
            <w:vAlign w:val="center"/>
          </w:tcPr>
          <w:p w14:paraId="5C8CC6CE">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hint="eastAsia" w:ascii="Arial" w:hAnsi="Arial" w:eastAsia="宋体" w:cs="Arial"/>
                <w:sz w:val="18"/>
                <w:szCs w:val="18"/>
              </w:rPr>
              <w:t>目前所有要求已实施</w:t>
            </w:r>
          </w:p>
        </w:tc>
      </w:tr>
      <w:tr w14:paraId="61B6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53F3B3CE">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III类（高风险）LDT</w:t>
            </w:r>
          </w:p>
        </w:tc>
        <w:tc>
          <w:tcPr>
            <w:tcW w:w="809" w:type="pct"/>
            <w:gridSpan w:val="2"/>
          </w:tcPr>
          <w:p w14:paraId="4745CF8F">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907" w:type="pct"/>
            <w:gridSpan w:val="2"/>
          </w:tcPr>
          <w:p w14:paraId="5C38861A">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909" w:type="pct"/>
          </w:tcPr>
          <w:p w14:paraId="31A9D01C">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基于风险分步实施</w:t>
            </w:r>
          </w:p>
          <w:p w14:paraId="7F7D7586">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FDA计划在本指导性文件完成后24个月内公布优先级排序</w:t>
            </w:r>
          </w:p>
        </w:tc>
        <w:tc>
          <w:tcPr>
            <w:tcW w:w="1136" w:type="pct"/>
            <w:gridSpan w:val="2"/>
          </w:tcPr>
          <w:p w14:paraId="0B128CF8">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在LDT提交PMA前基于风险分步实施</w:t>
            </w:r>
          </w:p>
        </w:tc>
      </w:tr>
      <w:tr w14:paraId="1453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3D0883A4">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II类（中等风险）LDT</w:t>
            </w:r>
          </w:p>
        </w:tc>
        <w:tc>
          <w:tcPr>
            <w:tcW w:w="809" w:type="pct"/>
            <w:gridSpan w:val="2"/>
          </w:tcPr>
          <w:p w14:paraId="0AAF0E9C">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907" w:type="pct"/>
            <w:gridSpan w:val="2"/>
          </w:tcPr>
          <w:p w14:paraId="78D03CF4">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909" w:type="pct"/>
          </w:tcPr>
          <w:p w14:paraId="18F568A7">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基于风险分步实施</w:t>
            </w:r>
          </w:p>
          <w:p w14:paraId="19BC800C">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在FDA完成所有III类器械的分步实施后</w:t>
            </w:r>
          </w:p>
          <w:p w14:paraId="67BF4503">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FDA计划在本指导性文件完成后24个月内公布优先级排序</w:t>
            </w:r>
          </w:p>
        </w:tc>
        <w:tc>
          <w:tcPr>
            <w:tcW w:w="1136" w:type="pct"/>
            <w:gridSpan w:val="2"/>
          </w:tcPr>
          <w:p w14:paraId="2FC78558">
            <w:pPr>
              <w:pStyle w:val="14"/>
              <w:numPr>
                <w:ilvl w:val="0"/>
                <w:numId w:val="11"/>
              </w:numPr>
              <w:overflowPunct w:val="0"/>
              <w:snapToGrid w:val="0"/>
              <w:spacing w:line="264" w:lineRule="auto"/>
              <w:ind w:left="207" w:leftChars="10" w:right="21" w:rightChars="10" w:hanging="186" w:firstLineChars="0"/>
              <w:rPr>
                <w:rFonts w:ascii="Arial" w:hAnsi="Arial" w:eastAsia="宋体" w:cs="Arial"/>
                <w:sz w:val="18"/>
                <w:szCs w:val="18"/>
              </w:rPr>
            </w:pPr>
            <w:r>
              <w:rPr>
                <w:rFonts w:ascii="Arial" w:hAnsi="Arial" w:eastAsia="宋体" w:cs="Arial"/>
                <w:sz w:val="18"/>
                <w:szCs w:val="18"/>
              </w:rPr>
              <w:t>在FDA发布LDT的510（k）批准前基于风险分步实施</w:t>
            </w:r>
          </w:p>
        </w:tc>
      </w:tr>
      <w:tr w14:paraId="1E61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7A7330A3">
            <w:pPr>
              <w:overflowPunct w:val="0"/>
              <w:snapToGrid w:val="0"/>
              <w:spacing w:line="264" w:lineRule="auto"/>
              <w:ind w:left="21" w:leftChars="10" w:right="21" w:rightChars="10"/>
              <w:jc w:val="left"/>
              <w:rPr>
                <w:rFonts w:ascii="Arial" w:hAnsi="Arial" w:eastAsia="宋体" w:cs="Arial"/>
                <w:sz w:val="18"/>
                <w:szCs w:val="18"/>
              </w:rPr>
            </w:pPr>
            <w:r>
              <w:rPr>
                <w:rFonts w:ascii="Arial" w:hAnsi="Arial" w:eastAsia="宋体" w:cs="Arial"/>
                <w:sz w:val="18"/>
                <w:szCs w:val="18"/>
              </w:rPr>
              <w:t>I类（低风险）LDT</w:t>
            </w:r>
          </w:p>
        </w:tc>
        <w:tc>
          <w:tcPr>
            <w:tcW w:w="809" w:type="pct"/>
            <w:gridSpan w:val="2"/>
          </w:tcPr>
          <w:p w14:paraId="301DC883">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907" w:type="pct"/>
            <w:gridSpan w:val="2"/>
          </w:tcPr>
          <w:p w14:paraId="01A227A1">
            <w:pPr>
              <w:overflowPunct w:val="0"/>
              <w:snapToGrid w:val="0"/>
              <w:spacing w:line="264" w:lineRule="auto"/>
              <w:ind w:left="21" w:leftChars="10" w:right="21" w:rightChars="10"/>
              <w:jc w:val="center"/>
              <w:rPr>
                <w:rFonts w:ascii="Arial" w:hAnsi="Arial" w:eastAsia="宋体" w:cs="Arial"/>
                <w:sz w:val="18"/>
                <w:szCs w:val="18"/>
              </w:rPr>
            </w:pPr>
            <w:r>
              <w:rPr>
                <w:rFonts w:ascii="Arial" w:hAnsi="Arial" w:eastAsia="宋体" w:cs="Arial"/>
                <w:sz w:val="18"/>
                <w:szCs w:val="18"/>
              </w:rPr>
              <w:t>X</w:t>
            </w:r>
          </w:p>
        </w:tc>
        <w:tc>
          <w:tcPr>
            <w:tcW w:w="909" w:type="pct"/>
          </w:tcPr>
          <w:p w14:paraId="44D6FD64">
            <w:pPr>
              <w:overflowPunct w:val="0"/>
              <w:snapToGrid w:val="0"/>
              <w:spacing w:line="264" w:lineRule="auto"/>
              <w:ind w:left="21" w:leftChars="10" w:right="21" w:rightChars="10"/>
              <w:rPr>
                <w:rFonts w:ascii="Arial" w:hAnsi="Arial" w:eastAsia="宋体" w:cs="Arial"/>
                <w:sz w:val="18"/>
                <w:szCs w:val="18"/>
              </w:rPr>
            </w:pPr>
          </w:p>
        </w:tc>
        <w:tc>
          <w:tcPr>
            <w:tcW w:w="1136" w:type="pct"/>
            <w:gridSpan w:val="2"/>
          </w:tcPr>
          <w:p w14:paraId="06C3BE20">
            <w:pPr>
              <w:overflowPunct w:val="0"/>
              <w:snapToGrid w:val="0"/>
              <w:spacing w:line="264" w:lineRule="auto"/>
              <w:ind w:left="21" w:leftChars="10" w:right="21" w:rightChars="10"/>
              <w:rPr>
                <w:rFonts w:ascii="Arial" w:hAnsi="Arial" w:eastAsia="宋体" w:cs="Arial"/>
                <w:sz w:val="18"/>
                <w:szCs w:val="18"/>
              </w:rPr>
            </w:pPr>
          </w:p>
        </w:tc>
      </w:tr>
    </w:tbl>
    <w:p w14:paraId="7A539590">
      <w:pPr>
        <w:overflowPunct w:val="0"/>
        <w:snapToGrid w:val="0"/>
        <w:spacing w:after="156" w:afterLines="50" w:line="300" w:lineRule="auto"/>
        <w:jc w:val="left"/>
        <w:outlineLvl w:val="0"/>
        <w:rPr>
          <w:rFonts w:ascii="Arial" w:hAnsi="Arial" w:eastAsia="宋体" w:cs="Arial"/>
          <w:b/>
          <w:sz w:val="36"/>
          <w:szCs w:val="36"/>
        </w:rPr>
      </w:pPr>
      <w:bookmarkStart w:id="30" w:name="_Toc498346753"/>
      <w:r>
        <w:rPr>
          <w:rFonts w:ascii="Arial" w:hAnsi="Arial" w:eastAsia="宋体" w:cs="Arial"/>
          <w:b/>
          <w:sz w:val="36"/>
          <w:szCs w:val="36"/>
        </w:rPr>
        <w:t>附录B：LDT监管框架；问题和答案</w:t>
      </w:r>
      <w:bookmarkEnd w:id="30"/>
    </w:p>
    <w:p w14:paraId="4CD27ECD">
      <w:pPr>
        <w:overflowPunct w:val="0"/>
        <w:snapToGrid w:val="0"/>
        <w:spacing w:after="156" w:afterLines="50" w:line="300" w:lineRule="auto"/>
        <w:rPr>
          <w:rFonts w:ascii="Arial" w:hAnsi="Arial" w:eastAsia="宋体" w:cs="Arial"/>
          <w:b/>
          <w:sz w:val="28"/>
          <w:szCs w:val="28"/>
        </w:rPr>
      </w:pPr>
      <w:r>
        <w:rPr>
          <w:rFonts w:ascii="Arial" w:hAnsi="Arial" w:eastAsia="宋体" w:cs="Arial"/>
          <w:b/>
          <w:i/>
          <w:sz w:val="28"/>
          <w:szCs w:val="28"/>
        </w:rPr>
        <w:t>问题1：</w:t>
      </w:r>
      <w:r>
        <w:rPr>
          <w:rFonts w:ascii="Arial" w:hAnsi="Arial" w:eastAsia="宋体" w:cs="Arial"/>
          <w:b/>
          <w:sz w:val="28"/>
          <w:szCs w:val="28"/>
        </w:rPr>
        <w:t>我实验室生产用于罕见病检测的LDT，该检测符合本文件D.5.（a）部分人道主义用途器械的定义。在LDT监管的框架内有哪些相关的实施政策？</w:t>
      </w:r>
    </w:p>
    <w:p w14:paraId="37C2F070">
      <w:pPr>
        <w:overflowPunct w:val="0"/>
        <w:snapToGrid w:val="0"/>
        <w:spacing w:line="300" w:lineRule="auto"/>
        <w:rPr>
          <w:rFonts w:ascii="Arial" w:hAnsi="Arial" w:eastAsia="宋体" w:cs="Arial"/>
          <w:b/>
          <w:sz w:val="24"/>
          <w:szCs w:val="24"/>
        </w:rPr>
      </w:pPr>
      <w:r>
        <w:rPr>
          <w:rFonts w:ascii="Arial" w:hAnsi="Arial" w:eastAsia="宋体" w:cs="Arial"/>
          <w:b/>
          <w:sz w:val="24"/>
          <w:szCs w:val="24"/>
        </w:rPr>
        <w:t>回答：</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0AB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8807AEF">
            <w:pPr>
              <w:overflowPunct w:val="0"/>
              <w:snapToGrid w:val="0"/>
              <w:spacing w:line="300" w:lineRule="auto"/>
              <w:rPr>
                <w:rFonts w:ascii="Arial" w:hAnsi="Arial" w:eastAsia="宋体" w:cs="Arial"/>
                <w:b/>
                <w:sz w:val="24"/>
                <w:szCs w:val="24"/>
              </w:rPr>
            </w:pPr>
            <w:r>
              <w:rPr>
                <w:rFonts w:ascii="Arial" w:hAnsi="Arial" w:eastAsia="宋体" w:cs="Arial"/>
                <w:b/>
                <w:sz w:val="24"/>
                <w:szCs w:val="24"/>
              </w:rPr>
              <w:t>FDA通知：</w:t>
            </w:r>
          </w:p>
        </w:tc>
        <w:tc>
          <w:tcPr>
            <w:tcW w:w="4261" w:type="dxa"/>
          </w:tcPr>
          <w:p w14:paraId="1EFE4D68">
            <w:pPr>
              <w:overflowPunct w:val="0"/>
              <w:snapToGrid w:val="0"/>
              <w:spacing w:line="300" w:lineRule="auto"/>
              <w:rPr>
                <w:rFonts w:ascii="Arial" w:hAnsi="Arial" w:eastAsia="宋体" w:cs="Arial"/>
                <w:sz w:val="24"/>
                <w:szCs w:val="24"/>
              </w:rPr>
            </w:pPr>
            <w:r>
              <w:rPr>
                <w:rFonts w:ascii="Arial" w:hAnsi="Arial" w:eastAsia="宋体" w:cs="Arial"/>
                <w:sz w:val="24"/>
                <w:szCs w:val="24"/>
              </w:rPr>
              <w:t>只要您在本指导性文件完成后的6个月内，或在新的论坛用于临床前通知FDA您生产的LDT，并提供每种LDT的基本信息，则FDA会继续实施针对注册和登记要求（21 CFR 807部分）的强制执行自由裁量。</w:t>
            </w:r>
          </w:p>
          <w:p w14:paraId="1CEC4C00">
            <w:pPr>
              <w:overflowPunct w:val="0"/>
              <w:snapToGrid w:val="0"/>
              <w:spacing w:line="300" w:lineRule="auto"/>
              <w:rPr>
                <w:rFonts w:ascii="Arial" w:hAnsi="Arial" w:eastAsia="宋体" w:cs="Arial"/>
                <w:sz w:val="24"/>
                <w:szCs w:val="24"/>
              </w:rPr>
            </w:pPr>
          </w:p>
          <w:p w14:paraId="33F8F3C0">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您应如何适当地向FDA通知您生产的LDT，以及提供LDT基本信息相关的具体指导见指导性文件草案</w:t>
            </w:r>
            <w:r>
              <w:rPr>
                <w:rFonts w:ascii="宋体" w:hAnsi="宋体" w:eastAsia="宋体" w:cs="Arial"/>
                <w:sz w:val="24"/>
                <w:szCs w:val="24"/>
              </w:rPr>
              <w:t>“</w:t>
            </w:r>
            <w:r>
              <w:rPr>
                <w:rFonts w:ascii="Arial" w:hAnsi="Arial" w:eastAsia="宋体" w:cs="Arial"/>
                <w:sz w:val="24"/>
                <w:szCs w:val="24"/>
              </w:rPr>
              <w:t>实验室开发检测（LDT）FDA通知和医疗器械报告</w:t>
            </w:r>
            <w:r>
              <w:rPr>
                <w:rFonts w:ascii="宋体" w:hAnsi="宋体" w:eastAsia="宋体" w:cs="Arial"/>
                <w:sz w:val="24"/>
                <w:szCs w:val="24"/>
              </w:rPr>
              <w:t>”</w:t>
            </w:r>
            <w:r>
              <w:rPr>
                <w:rFonts w:ascii="Arial" w:hAnsi="Arial" w:eastAsia="宋体" w:cs="Arial"/>
                <w:sz w:val="24"/>
                <w:szCs w:val="24"/>
              </w:rPr>
              <w:t>。</w:t>
            </w:r>
          </w:p>
        </w:tc>
      </w:tr>
      <w:tr w14:paraId="7AFB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B1F1E89">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医疗器械报告：</w:t>
            </w:r>
          </w:p>
        </w:tc>
        <w:tc>
          <w:tcPr>
            <w:tcW w:w="4261" w:type="dxa"/>
          </w:tcPr>
          <w:p w14:paraId="06C5B4C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FDA希望对您机构内所有使用的诊断性检测施行针对医疗器械使用机构的医疗器械报告要求（21 CFR第803部分，C子部分）。</w:t>
            </w:r>
          </w:p>
          <w:p w14:paraId="69B53093">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如果您的实验室生产LDT（除本指导性文件D.2部分规定的类别外），FDA希望在本指南完成后的6个月开始对您实验室生产的LDT施行针对医疗器械制造商的医疗器械报告要求（21 CFR第803部分，E子部分）。</w:t>
            </w:r>
          </w:p>
          <w:p w14:paraId="43E31DCC">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您应如何同时以医疗器械使用机构和医疗器械制造商的身份满足MDR报告义务的进一步指导见文件</w:t>
            </w:r>
            <w:r>
              <w:rPr>
                <w:rFonts w:ascii="宋体" w:hAnsi="宋体" w:eastAsia="宋体" w:cs="Arial"/>
                <w:sz w:val="24"/>
                <w:szCs w:val="24"/>
              </w:rPr>
              <w:t>“</w:t>
            </w:r>
            <w:r>
              <w:rPr>
                <w:rFonts w:ascii="Arial" w:hAnsi="Arial" w:eastAsia="宋体" w:cs="Arial"/>
                <w:sz w:val="24"/>
                <w:szCs w:val="24"/>
              </w:rPr>
              <w:t>实验室开发检测的FDA通知和医疗器械报告</w:t>
            </w:r>
            <w:r>
              <w:rPr>
                <w:rFonts w:ascii="宋体" w:hAnsi="宋体" w:eastAsia="宋体" w:cs="Arial"/>
                <w:sz w:val="24"/>
                <w:szCs w:val="24"/>
              </w:rPr>
              <w:t>”</w:t>
            </w:r>
            <w:r>
              <w:rPr>
                <w:rFonts w:ascii="Arial" w:hAnsi="Arial" w:eastAsia="宋体" w:cs="Arial"/>
                <w:sz w:val="24"/>
                <w:szCs w:val="24"/>
              </w:rPr>
              <w:t>。</w:t>
            </w:r>
          </w:p>
        </w:tc>
      </w:tr>
    </w:tbl>
    <w:p w14:paraId="6CD9DDDF">
      <w:pPr>
        <w:overflowPunct w:val="0"/>
        <w:snapToGrid w:val="0"/>
        <w:spacing w:after="156" w:afterLines="50" w:line="300" w:lineRule="auto"/>
        <w:rPr>
          <w:rFonts w:ascii="Arial" w:hAnsi="Arial" w:eastAsia="宋体" w:cs="Arial"/>
          <w:b/>
          <w:sz w:val="28"/>
          <w:szCs w:val="28"/>
        </w:rPr>
      </w:pPr>
      <w:r>
        <w:rPr>
          <w:rFonts w:ascii="Arial" w:hAnsi="Arial" w:eastAsia="宋体" w:cs="Arial"/>
          <w:b/>
          <w:i/>
          <w:sz w:val="28"/>
          <w:szCs w:val="28"/>
        </w:rPr>
        <w:t>问题2：</w:t>
      </w:r>
      <w:r>
        <w:rPr>
          <w:rFonts w:ascii="Arial" w:hAnsi="Arial" w:eastAsia="宋体" w:cs="Arial"/>
          <w:b/>
          <w:sz w:val="28"/>
          <w:szCs w:val="28"/>
        </w:rPr>
        <w:t>我实验室生产本文件D.5.（a）部分描述的</w:t>
      </w:r>
      <w:r>
        <w:rPr>
          <w:rFonts w:ascii="宋体" w:hAnsi="宋体" w:eastAsia="宋体" w:cs="Arial"/>
          <w:b/>
          <w:sz w:val="28"/>
          <w:szCs w:val="28"/>
        </w:rPr>
        <w:t>“</w:t>
      </w:r>
      <w:r>
        <w:rPr>
          <w:rFonts w:ascii="Arial" w:hAnsi="Arial" w:eastAsia="宋体" w:cs="Arial"/>
          <w:b/>
          <w:sz w:val="28"/>
          <w:szCs w:val="28"/>
        </w:rPr>
        <w:t>传统LDT</w:t>
      </w:r>
      <w:r>
        <w:rPr>
          <w:rFonts w:ascii="宋体" w:hAnsi="宋体" w:eastAsia="宋体" w:cs="Arial"/>
          <w:b/>
          <w:sz w:val="28"/>
          <w:szCs w:val="28"/>
        </w:rPr>
        <w:t>”</w:t>
      </w:r>
      <w:r>
        <w:rPr>
          <w:rFonts w:ascii="Arial" w:hAnsi="Arial" w:eastAsia="宋体" w:cs="Arial"/>
          <w:b/>
          <w:sz w:val="28"/>
          <w:szCs w:val="28"/>
        </w:rPr>
        <w:t>。在市场上有与我的LDT具有相同预期用途的FDA批准/审批的器械。在LDT监管的框架内有哪些相关的实施政策？</w:t>
      </w:r>
    </w:p>
    <w:p w14:paraId="7D21A97F">
      <w:pPr>
        <w:overflowPunct w:val="0"/>
        <w:snapToGrid w:val="0"/>
        <w:spacing w:line="300" w:lineRule="auto"/>
        <w:rPr>
          <w:rFonts w:ascii="Arial" w:hAnsi="Arial" w:eastAsia="宋体" w:cs="Arial"/>
          <w:b/>
          <w:i/>
          <w:sz w:val="24"/>
          <w:szCs w:val="24"/>
        </w:rPr>
      </w:pPr>
      <w:r>
        <w:rPr>
          <w:rFonts w:ascii="Arial" w:hAnsi="Arial" w:eastAsia="宋体" w:cs="Arial"/>
          <w:b/>
          <w:i/>
          <w:sz w:val="24"/>
          <w:szCs w:val="24"/>
        </w:rPr>
        <w:t>回答：</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95C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87E7262">
            <w:pPr>
              <w:overflowPunct w:val="0"/>
              <w:snapToGrid w:val="0"/>
              <w:spacing w:line="300" w:lineRule="auto"/>
              <w:rPr>
                <w:rFonts w:ascii="Arial" w:hAnsi="Arial" w:eastAsia="宋体" w:cs="Arial"/>
                <w:b/>
                <w:sz w:val="24"/>
                <w:szCs w:val="24"/>
              </w:rPr>
            </w:pPr>
            <w:r>
              <w:rPr>
                <w:rFonts w:ascii="Arial" w:hAnsi="Arial" w:eastAsia="宋体" w:cs="Arial"/>
                <w:b/>
                <w:sz w:val="24"/>
                <w:szCs w:val="24"/>
              </w:rPr>
              <w:t>FDA通知：</w:t>
            </w:r>
          </w:p>
        </w:tc>
        <w:tc>
          <w:tcPr>
            <w:tcW w:w="4261" w:type="dxa"/>
          </w:tcPr>
          <w:p w14:paraId="3627B6E6">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只要您在本指导性文件完成后的6个月内，或在新的论坛用于临床前通知FDA您生产的LDT，并提供每种LDT的基本信息，则FDA会继续实施针对注册和登记要求（21 CFR 807部分）的强制执行自由裁量。</w:t>
            </w:r>
          </w:p>
          <w:p w14:paraId="45F6D52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您应如何适当地向FDA通知您生产的LDT，以及提供LDT基本信息相关的具体指导见于指导性文件草案</w:t>
            </w:r>
            <w:r>
              <w:rPr>
                <w:rFonts w:ascii="宋体" w:hAnsi="宋体" w:eastAsia="宋体" w:cs="Arial"/>
                <w:sz w:val="24"/>
                <w:szCs w:val="24"/>
              </w:rPr>
              <w:t>“</w:t>
            </w:r>
            <w:r>
              <w:rPr>
                <w:rFonts w:ascii="Arial" w:hAnsi="Arial" w:eastAsia="宋体" w:cs="Arial"/>
                <w:sz w:val="24"/>
                <w:szCs w:val="24"/>
              </w:rPr>
              <w:t>实验室开发检测（LDT）FDA通知和医疗器械报告</w:t>
            </w:r>
            <w:r>
              <w:rPr>
                <w:rFonts w:ascii="宋体" w:hAnsi="宋体" w:eastAsia="宋体" w:cs="Arial"/>
                <w:sz w:val="24"/>
                <w:szCs w:val="24"/>
              </w:rPr>
              <w:t>”</w:t>
            </w:r>
            <w:r>
              <w:rPr>
                <w:rFonts w:ascii="Arial" w:hAnsi="Arial" w:eastAsia="宋体" w:cs="Arial"/>
                <w:sz w:val="24"/>
                <w:szCs w:val="24"/>
              </w:rPr>
              <w:t>。</w:t>
            </w:r>
          </w:p>
        </w:tc>
      </w:tr>
      <w:tr w14:paraId="63AF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5A401C4">
            <w:pPr>
              <w:overflowPunct w:val="0"/>
              <w:snapToGrid w:val="0"/>
              <w:spacing w:line="300" w:lineRule="auto"/>
              <w:rPr>
                <w:rFonts w:ascii="Arial" w:hAnsi="Arial" w:eastAsia="宋体" w:cs="Arial"/>
                <w:b/>
                <w:sz w:val="24"/>
                <w:szCs w:val="24"/>
              </w:rPr>
            </w:pPr>
            <w:r>
              <w:rPr>
                <w:rFonts w:ascii="Arial" w:hAnsi="Arial" w:eastAsia="宋体" w:cs="Arial"/>
                <w:b/>
                <w:sz w:val="24"/>
                <w:szCs w:val="24"/>
              </w:rPr>
              <w:t>医疗器械报告：</w:t>
            </w:r>
          </w:p>
        </w:tc>
        <w:tc>
          <w:tcPr>
            <w:tcW w:w="4261" w:type="dxa"/>
          </w:tcPr>
          <w:p w14:paraId="42A5409E">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FDA希望对您机构内所有使用的诊断性检测施行针对医疗器械使用机构的医疗器械报告要求（21 CFR第803部分，C子部分）。</w:t>
            </w:r>
          </w:p>
          <w:p w14:paraId="58ACB27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如果您的实验室生产LDT（除本指导性文件D.2部分规定的类别外），FDA希望在本指南完成后的6个月开始对您实验室生产的LDT施行针对医疗器械制造商的医疗器械报告要求（21 CFR第803部分，E子部分）。</w:t>
            </w:r>
          </w:p>
          <w:p w14:paraId="5FE4B2E3">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您应如何同时以医疗器械使用机构和医疗器械制造商的身份满足MDR报告义务的进一步指导见文件</w:t>
            </w:r>
            <w:r>
              <w:rPr>
                <w:rFonts w:ascii="宋体" w:hAnsi="宋体" w:eastAsia="宋体" w:cs="Arial"/>
                <w:sz w:val="24"/>
                <w:szCs w:val="24"/>
              </w:rPr>
              <w:t>“</w:t>
            </w:r>
            <w:r>
              <w:rPr>
                <w:rFonts w:ascii="Arial" w:hAnsi="Arial" w:eastAsia="宋体" w:cs="Arial"/>
                <w:sz w:val="24"/>
                <w:szCs w:val="24"/>
              </w:rPr>
              <w:t>实验室开发检测的FDA通知和医疗器械报告</w:t>
            </w:r>
            <w:r>
              <w:rPr>
                <w:rFonts w:ascii="宋体" w:hAnsi="宋体" w:eastAsia="宋体" w:cs="Arial"/>
                <w:sz w:val="24"/>
                <w:szCs w:val="24"/>
              </w:rPr>
              <w:t>”</w:t>
            </w:r>
            <w:r>
              <w:rPr>
                <w:rFonts w:ascii="Arial" w:hAnsi="Arial" w:eastAsia="宋体" w:cs="Arial"/>
                <w:sz w:val="24"/>
                <w:szCs w:val="24"/>
              </w:rPr>
              <w:t>。</w:t>
            </w:r>
          </w:p>
        </w:tc>
      </w:tr>
    </w:tbl>
    <w:p w14:paraId="78AB43AF">
      <w:r>
        <w:br w:type="page"/>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D22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970CF64">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上市前审查要求：</w:t>
            </w:r>
          </w:p>
        </w:tc>
        <w:tc>
          <w:tcPr>
            <w:tcW w:w="4261" w:type="dxa"/>
          </w:tcPr>
          <w:p w14:paraId="27D1226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虽然FDA已经指出其希望对具有与FDA已经批准/审批的器械具有相同预期用途的LDT施行上市前审查要求，但考虑到本文件D.5.（a）部分的因素，FDA希望针对您的</w:t>
            </w:r>
            <w:r>
              <w:rPr>
                <w:rFonts w:ascii="宋体" w:hAnsi="宋体" w:eastAsia="宋体" w:cs="Arial"/>
                <w:sz w:val="24"/>
                <w:szCs w:val="24"/>
              </w:rPr>
              <w:t>“</w:t>
            </w:r>
            <w:r>
              <w:rPr>
                <w:rFonts w:ascii="Arial" w:hAnsi="Arial" w:eastAsia="宋体" w:cs="Arial"/>
                <w:sz w:val="24"/>
                <w:szCs w:val="24"/>
              </w:rPr>
              <w:t>传统LDT</w:t>
            </w:r>
            <w:r>
              <w:rPr>
                <w:rFonts w:ascii="宋体" w:hAnsi="宋体" w:eastAsia="宋体" w:cs="Arial"/>
                <w:sz w:val="24"/>
                <w:szCs w:val="24"/>
              </w:rPr>
              <w:t>”</w:t>
            </w:r>
            <w:r>
              <w:rPr>
                <w:rFonts w:ascii="Arial" w:hAnsi="Arial" w:eastAsia="宋体" w:cs="Arial"/>
                <w:sz w:val="24"/>
                <w:szCs w:val="24"/>
              </w:rPr>
              <w:t>的医疗器械上市前要求继续施行强制执行自由裁量。</w:t>
            </w:r>
          </w:p>
        </w:tc>
      </w:tr>
    </w:tbl>
    <w:p w14:paraId="3C3D58A4">
      <w:pPr>
        <w:overflowPunct w:val="0"/>
        <w:snapToGrid w:val="0"/>
        <w:spacing w:after="156" w:afterLines="50" w:line="300" w:lineRule="auto"/>
        <w:rPr>
          <w:rFonts w:ascii="Arial" w:hAnsi="Arial" w:eastAsia="宋体" w:cs="Arial"/>
          <w:b/>
          <w:sz w:val="28"/>
          <w:szCs w:val="28"/>
        </w:rPr>
      </w:pPr>
      <w:r>
        <w:rPr>
          <w:rFonts w:ascii="Arial" w:hAnsi="Arial" w:eastAsia="宋体" w:cs="Arial"/>
          <w:b/>
          <w:i/>
          <w:sz w:val="28"/>
          <w:szCs w:val="28"/>
        </w:rPr>
        <w:t>问题3：</w:t>
      </w:r>
      <w:r>
        <w:rPr>
          <w:rFonts w:ascii="Arial" w:hAnsi="Arial" w:eastAsia="宋体" w:cs="Arial"/>
          <w:b/>
          <w:sz w:val="28"/>
          <w:szCs w:val="28"/>
        </w:rPr>
        <w:t>我实验室生产的LDT在市场上有具有相同预期用途的FDA批准/审批的伴随式诊断器械和/或III类医疗器械。在LDT监管的框架内有哪些相关的实施政策？</w:t>
      </w:r>
    </w:p>
    <w:p w14:paraId="71F10A87">
      <w:pPr>
        <w:overflowPunct w:val="0"/>
        <w:snapToGrid w:val="0"/>
        <w:spacing w:line="300" w:lineRule="auto"/>
        <w:rPr>
          <w:rFonts w:ascii="Arial" w:hAnsi="Arial" w:eastAsia="宋体" w:cs="Arial"/>
          <w:b/>
          <w:i/>
          <w:sz w:val="24"/>
          <w:szCs w:val="24"/>
        </w:rPr>
      </w:pPr>
      <w:r>
        <w:rPr>
          <w:rFonts w:ascii="Arial" w:hAnsi="Arial" w:eastAsia="宋体" w:cs="Arial"/>
          <w:b/>
          <w:i/>
          <w:sz w:val="24"/>
          <w:szCs w:val="24"/>
        </w:rPr>
        <w:t>回答：</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D59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B5A75A2">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FDA通知：</w:t>
            </w:r>
          </w:p>
        </w:tc>
        <w:tc>
          <w:tcPr>
            <w:tcW w:w="4261" w:type="dxa"/>
          </w:tcPr>
          <w:p w14:paraId="01B637D2">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只要您在本指导性文件完成后的6个月内，或在新的论坛用于临床前通知FDA您生产的LDT，并提供每种LDT的基本信息，则FDA会继续实施针对注册和登记要求（21 CFR 807部分）的强制执行自由裁量。</w:t>
            </w:r>
          </w:p>
          <w:p w14:paraId="085FC6C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您应如何适当地向FDA通知您生产的LDT，以及提供LDT基本信息相关的具体指导见于指导性文件草案</w:t>
            </w:r>
            <w:r>
              <w:rPr>
                <w:rFonts w:ascii="宋体" w:hAnsi="宋体" w:eastAsia="宋体" w:cs="Arial"/>
                <w:sz w:val="24"/>
                <w:szCs w:val="24"/>
              </w:rPr>
              <w:t>“</w:t>
            </w:r>
            <w:r>
              <w:rPr>
                <w:rFonts w:ascii="Arial" w:hAnsi="Arial" w:eastAsia="宋体" w:cs="Arial"/>
                <w:sz w:val="24"/>
                <w:szCs w:val="24"/>
              </w:rPr>
              <w:t>实验室开发检测（LDT）FDA通知和医疗器械报告</w:t>
            </w:r>
            <w:r>
              <w:rPr>
                <w:rFonts w:ascii="宋体" w:hAnsi="宋体" w:eastAsia="宋体" w:cs="Arial"/>
                <w:sz w:val="24"/>
                <w:szCs w:val="24"/>
              </w:rPr>
              <w:t>”</w:t>
            </w:r>
            <w:r>
              <w:rPr>
                <w:rFonts w:ascii="Arial" w:hAnsi="Arial" w:eastAsia="宋体" w:cs="Arial"/>
                <w:sz w:val="24"/>
                <w:szCs w:val="24"/>
              </w:rPr>
              <w:t>。</w:t>
            </w:r>
          </w:p>
        </w:tc>
      </w:tr>
      <w:tr w14:paraId="57BA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893B4D3">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注册和登记：</w:t>
            </w:r>
          </w:p>
        </w:tc>
        <w:tc>
          <w:tcPr>
            <w:tcW w:w="4261" w:type="dxa"/>
          </w:tcPr>
          <w:p w14:paraId="158CDAFF">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如果您所在的实验室涉及生产、制备、传播、复合、组装或处理用于人类的LDT，则FDA希望在FDA收到针对该LDT的上市前申请后施行所有适用的注册和登记要求（21 CFR第807部分）。</w:t>
            </w:r>
          </w:p>
        </w:tc>
      </w:tr>
      <w:tr w14:paraId="6FCE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C59A897">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医疗器械报告：</w:t>
            </w:r>
          </w:p>
        </w:tc>
        <w:tc>
          <w:tcPr>
            <w:tcW w:w="4261" w:type="dxa"/>
          </w:tcPr>
          <w:p w14:paraId="3D78DE48">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FDA希望对您机构内所有使用的诊断性检测施行针对医疗器械使用机构的医疗器械报告要求（21 CFR第803部分，C子部分）。</w:t>
            </w:r>
          </w:p>
          <w:p w14:paraId="60F43E61">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如果您的实验室生产LDT（除本指导性文件D.2部分规定的类别外），FDA希望在本指南完成后的6个月开始对您实验室生产的LDT施行针对医疗器械制造商的医疗器械报告要求（21 CFR第803部分，E子部分）。</w:t>
            </w:r>
          </w:p>
          <w:p w14:paraId="66A55583">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您应如何同时以医疗器械使用机构和医疗器械制造商的身份满足MDR报告义务的进一步指导见文件</w:t>
            </w:r>
            <w:r>
              <w:rPr>
                <w:rFonts w:ascii="宋体" w:hAnsi="宋体" w:eastAsia="宋体" w:cs="Arial"/>
                <w:sz w:val="24"/>
                <w:szCs w:val="24"/>
              </w:rPr>
              <w:t>“</w:t>
            </w:r>
            <w:r>
              <w:rPr>
                <w:rFonts w:ascii="Arial" w:hAnsi="Arial" w:eastAsia="宋体" w:cs="Arial"/>
                <w:sz w:val="24"/>
                <w:szCs w:val="24"/>
              </w:rPr>
              <w:t>实验室开发检测的FDA通知和医疗器械报告</w:t>
            </w:r>
            <w:r>
              <w:rPr>
                <w:rFonts w:ascii="宋体" w:hAnsi="宋体" w:eastAsia="宋体" w:cs="Arial"/>
                <w:sz w:val="24"/>
                <w:szCs w:val="24"/>
              </w:rPr>
              <w:t>”</w:t>
            </w:r>
            <w:r>
              <w:rPr>
                <w:rFonts w:ascii="Arial" w:hAnsi="Arial" w:eastAsia="宋体" w:cs="Arial"/>
                <w:sz w:val="24"/>
                <w:szCs w:val="24"/>
              </w:rPr>
              <w:t>。</w:t>
            </w:r>
          </w:p>
        </w:tc>
      </w:tr>
      <w:tr w14:paraId="14D2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A433795">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上市前审查要求：</w:t>
            </w:r>
          </w:p>
        </w:tc>
        <w:tc>
          <w:tcPr>
            <w:tcW w:w="4261" w:type="dxa"/>
          </w:tcPr>
          <w:p w14:paraId="11E07B3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如果您的实验室生产本问题中所描述的LDT类型，则FDA希望在本指导性文件完成后的12个月内对上市前申请要求施行强制执行自由裁量。</w:t>
            </w:r>
          </w:p>
          <w:p w14:paraId="3FB81A35">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所在的实验室要生产在市场上有具有相同预期用途的FDA批准/审批的伴随式诊断器械和/或III类医疗器械的新型LDT（即在本指南完成日期后开始上市的LDT），则在您在FDA批准/审批前将该器械推入市场，则将对您采取强制实行措施。FDA希望对这些新LDT施行上市前要求（21 CFR第807部分E子部分，和21 CFR第814部分）。</w:t>
            </w:r>
          </w:p>
        </w:tc>
      </w:tr>
      <w:tr w14:paraId="37F8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F63CD79">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质量体系要求：</w:t>
            </w:r>
          </w:p>
        </w:tc>
        <w:tc>
          <w:tcPr>
            <w:tcW w:w="4261" w:type="dxa"/>
          </w:tcPr>
          <w:p w14:paraId="32CE8608">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在接受PMA申请或FDA批准510（k）后，FDA希望施行21 CFR第820部分规定的QS规范要求。</w:t>
            </w:r>
          </w:p>
        </w:tc>
      </w:tr>
    </w:tbl>
    <w:p w14:paraId="66C3ECFC"/>
    <w:p w14:paraId="20FDAB75">
      <w:pPr>
        <w:overflowPunct w:val="0"/>
        <w:snapToGrid w:val="0"/>
        <w:spacing w:after="156" w:afterLines="50" w:line="300" w:lineRule="auto"/>
        <w:rPr>
          <w:rFonts w:ascii="Arial" w:hAnsi="Arial" w:eastAsia="宋体" w:cs="Arial"/>
          <w:b/>
          <w:sz w:val="28"/>
          <w:szCs w:val="28"/>
        </w:rPr>
      </w:pPr>
      <w:r>
        <w:rPr>
          <w:rFonts w:ascii="Arial" w:hAnsi="Arial" w:eastAsia="宋体" w:cs="Arial"/>
          <w:b/>
          <w:i/>
          <w:sz w:val="28"/>
          <w:szCs w:val="28"/>
        </w:rPr>
        <w:t>问题4：</w:t>
      </w:r>
      <w:r>
        <w:rPr>
          <w:rFonts w:ascii="Arial" w:hAnsi="Arial" w:eastAsia="宋体" w:cs="Arial"/>
          <w:b/>
          <w:sz w:val="28"/>
          <w:szCs w:val="28"/>
        </w:rPr>
        <w:t>我实验室生产用于血液和血液成分感染性介质检测用LDT（供体筛查检测）。在LDT监管的框架内有哪些相关的实施政策？</w:t>
      </w:r>
    </w:p>
    <w:p w14:paraId="5E902330">
      <w:pPr>
        <w:widowControl/>
        <w:jc w:val="left"/>
        <w:rPr>
          <w:rFonts w:ascii="Arial" w:hAnsi="Arial" w:eastAsia="宋体" w:cs="Arial"/>
          <w:b/>
          <w:i/>
          <w:sz w:val="24"/>
          <w:szCs w:val="24"/>
        </w:rPr>
      </w:pPr>
      <w:r>
        <w:rPr>
          <w:rFonts w:ascii="Arial" w:hAnsi="Arial" w:eastAsia="宋体" w:cs="Arial"/>
          <w:b/>
          <w:i/>
          <w:sz w:val="24"/>
          <w:szCs w:val="24"/>
        </w:rPr>
        <w:br w:type="page"/>
      </w:r>
    </w:p>
    <w:p w14:paraId="10497ACB">
      <w:pPr>
        <w:overflowPunct w:val="0"/>
        <w:snapToGrid w:val="0"/>
        <w:spacing w:line="300" w:lineRule="auto"/>
        <w:rPr>
          <w:rFonts w:ascii="Arial" w:hAnsi="Arial" w:eastAsia="宋体" w:cs="Arial"/>
          <w:b/>
          <w:i/>
          <w:sz w:val="24"/>
          <w:szCs w:val="24"/>
        </w:rPr>
      </w:pPr>
      <w:r>
        <w:rPr>
          <w:rFonts w:ascii="Arial" w:hAnsi="Arial" w:eastAsia="宋体" w:cs="Arial"/>
          <w:b/>
          <w:i/>
          <w:sz w:val="24"/>
          <w:szCs w:val="24"/>
        </w:rPr>
        <w:t>回答：</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3D9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8201E82">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FDA要求：</w:t>
            </w:r>
          </w:p>
        </w:tc>
        <w:tc>
          <w:tcPr>
            <w:tcW w:w="4261" w:type="dxa"/>
          </w:tcPr>
          <w:p w14:paraId="533F0617">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FDA希望对该类LDT继续施行全部FDA要求。</w:t>
            </w:r>
          </w:p>
        </w:tc>
      </w:tr>
    </w:tbl>
    <w:p w14:paraId="60093972">
      <w:pPr>
        <w:overflowPunct w:val="0"/>
        <w:snapToGrid w:val="0"/>
        <w:spacing w:after="156" w:afterLines="50" w:line="300" w:lineRule="auto"/>
        <w:rPr>
          <w:rFonts w:ascii="Arial" w:hAnsi="Arial" w:eastAsia="宋体" w:cs="Arial"/>
          <w:b/>
          <w:sz w:val="28"/>
          <w:szCs w:val="24"/>
        </w:rPr>
      </w:pPr>
      <w:r>
        <w:rPr>
          <w:rFonts w:ascii="Arial" w:hAnsi="Arial" w:eastAsia="宋体" w:cs="Arial"/>
          <w:b/>
          <w:i/>
          <w:sz w:val="28"/>
          <w:szCs w:val="24"/>
        </w:rPr>
        <w:t>问题5：</w:t>
      </w:r>
      <w:r>
        <w:rPr>
          <w:rFonts w:ascii="Arial" w:hAnsi="Arial" w:eastAsia="宋体" w:cs="Arial"/>
          <w:b/>
          <w:sz w:val="28"/>
          <w:szCs w:val="24"/>
        </w:rPr>
        <w:t>我实验室生产的LDT不符合本文中所描述的所有类别。在LDT监管的框架内有哪些相关的实施政策？</w:t>
      </w:r>
    </w:p>
    <w:p w14:paraId="6FAED116">
      <w:pPr>
        <w:overflowPunct w:val="0"/>
        <w:snapToGrid w:val="0"/>
        <w:spacing w:line="300" w:lineRule="auto"/>
        <w:rPr>
          <w:rFonts w:ascii="Arial" w:hAnsi="Arial" w:eastAsia="宋体" w:cs="Arial"/>
          <w:b/>
          <w:i/>
          <w:sz w:val="24"/>
          <w:szCs w:val="24"/>
        </w:rPr>
      </w:pPr>
      <w:r>
        <w:rPr>
          <w:rFonts w:ascii="Arial" w:hAnsi="Arial" w:eastAsia="宋体" w:cs="Arial"/>
          <w:b/>
          <w:i/>
          <w:sz w:val="24"/>
          <w:szCs w:val="24"/>
        </w:rPr>
        <w:t>回答：</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356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E89E5F9">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FDA通知：</w:t>
            </w:r>
          </w:p>
        </w:tc>
        <w:tc>
          <w:tcPr>
            <w:tcW w:w="4261" w:type="dxa"/>
          </w:tcPr>
          <w:p w14:paraId="407FE39E">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只要您在本指导性文件完成后的6个月内，或在新的论坛用于临床前通知FDA您生产的LDT，并提供每种LDT的基本信息，则FDA会继续实施针对注册和登记要求（21 CFR 807部分）的强制执行自由裁量。</w:t>
            </w:r>
          </w:p>
          <w:p w14:paraId="4B4864F6">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您应如何适当地向FDA通知您生产的LDT，以及提供LDT基本信息相关的具体指导见于指导性文件草案</w:t>
            </w:r>
            <w:r>
              <w:rPr>
                <w:rFonts w:ascii="宋体" w:hAnsi="宋体" w:eastAsia="宋体" w:cs="Arial"/>
                <w:sz w:val="24"/>
                <w:szCs w:val="24"/>
              </w:rPr>
              <w:t>“</w:t>
            </w:r>
            <w:r>
              <w:rPr>
                <w:rFonts w:ascii="Arial" w:hAnsi="Arial" w:eastAsia="宋体" w:cs="Arial"/>
                <w:sz w:val="24"/>
                <w:szCs w:val="24"/>
              </w:rPr>
              <w:t>实验室开发检测（LDT）FDA通知和医疗器械报告</w:t>
            </w:r>
            <w:r>
              <w:rPr>
                <w:rFonts w:ascii="宋体" w:hAnsi="宋体" w:eastAsia="宋体" w:cs="Arial"/>
                <w:sz w:val="24"/>
                <w:szCs w:val="24"/>
              </w:rPr>
              <w:t>”</w:t>
            </w:r>
            <w:r>
              <w:rPr>
                <w:rFonts w:ascii="Arial" w:hAnsi="Arial" w:eastAsia="宋体" w:cs="Arial"/>
                <w:sz w:val="24"/>
                <w:szCs w:val="24"/>
              </w:rPr>
              <w:t>。</w:t>
            </w:r>
          </w:p>
        </w:tc>
      </w:tr>
      <w:tr w14:paraId="76D5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5F9BACD">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注册和登记：</w:t>
            </w:r>
          </w:p>
        </w:tc>
        <w:tc>
          <w:tcPr>
            <w:tcW w:w="4261" w:type="dxa"/>
          </w:tcPr>
          <w:p w14:paraId="48802343">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以基于风险的、分阶段的方式施行登记和注册的要求。如果您所在的实验室涉及生产、制备、传播、复合、组装或处理用于人类的LDT，则FDA希望在FDA收到针对该LDT的上市前申请后施行所有适用的注册和登记要求（21 CFR第807部分）。</w:t>
            </w:r>
          </w:p>
        </w:tc>
      </w:tr>
      <w:tr w14:paraId="26A8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A701F0E">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医疗器械报告：</w:t>
            </w:r>
          </w:p>
        </w:tc>
        <w:tc>
          <w:tcPr>
            <w:tcW w:w="4261" w:type="dxa"/>
          </w:tcPr>
          <w:p w14:paraId="29E25781">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FDA希望对您机构内所有使用的诊断性检测施行针对医疗器械使用机构的医疗器械报告要求（21 CFR第803部分，C子部分）。</w:t>
            </w:r>
          </w:p>
          <w:p w14:paraId="6A64589D">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如果您的实验室生产LDT（除本指导性文件D.2部分规定的类别外），FDA希望在本指南完成后的6个月开始对您实验室生产的LDT施行针对医疗器械制造商的医疗器械报告要求（21 CFR第803部分，E子部分）。</w:t>
            </w:r>
          </w:p>
        </w:tc>
      </w:tr>
      <w:tr w14:paraId="7615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6DC3408">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上市前审查要求：</w:t>
            </w:r>
          </w:p>
        </w:tc>
        <w:tc>
          <w:tcPr>
            <w:tcW w:w="4261" w:type="dxa"/>
          </w:tcPr>
          <w:p w14:paraId="7324AB3E">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DA希望以基于风险的、分阶段的方式施行上市前审查要求。机构计划在实施前公布其希望针对某一类别的LDT施行上市前审查要求。FDA希望在本指南完成后的12个月开始针对本指南D.5.（c）部分描述的LDT类别施行上市前审查要求；并根据本指南完成后24个月公布的III类LDT优先级列表和本指南完成后4年公布的II类LDT优先级列表的顺序对其他III类和II类LDT施行要求。</w:t>
            </w:r>
          </w:p>
          <w:p w14:paraId="38C4EF1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如果您所在的实验室要生产某种新的LDT，且机构已经开始根据31 CFR第807部分E子部分和21 CFR第814部分的规定施行上市前审查，则您在FDA批准/审批前将该器械推入市场时，将对您采取强制实行措施。</w:t>
            </w:r>
          </w:p>
        </w:tc>
      </w:tr>
      <w:tr w14:paraId="5E5A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9E2FF64">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质量体系要求：</w:t>
            </w:r>
          </w:p>
        </w:tc>
        <w:tc>
          <w:tcPr>
            <w:tcW w:w="4261" w:type="dxa"/>
          </w:tcPr>
          <w:p w14:paraId="546C6B3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根据适用的情况，在接受PMA申请或FDA批准510（k）后，FDA希望施行21 CFR第820部分规定的QS规范要求。</w:t>
            </w:r>
          </w:p>
        </w:tc>
      </w:tr>
    </w:tbl>
    <w:p w14:paraId="7C5E82B8">
      <w:pPr>
        <w:overflowPunct w:val="0"/>
        <w:snapToGrid w:val="0"/>
        <w:spacing w:after="156" w:afterLines="50" w:line="300" w:lineRule="auto"/>
        <w:rPr>
          <w:rFonts w:ascii="Arial" w:hAnsi="Arial" w:eastAsia="宋体" w:cs="Arial"/>
          <w:b/>
          <w:sz w:val="28"/>
          <w:szCs w:val="28"/>
        </w:rPr>
      </w:pPr>
      <w:r>
        <w:rPr>
          <w:rFonts w:ascii="Arial" w:hAnsi="Arial" w:eastAsia="宋体" w:cs="Arial"/>
          <w:b/>
          <w:i/>
          <w:sz w:val="28"/>
          <w:szCs w:val="28"/>
        </w:rPr>
        <w:t>问题6：</w:t>
      </w:r>
      <w:r>
        <w:rPr>
          <w:rFonts w:ascii="Arial" w:hAnsi="Arial" w:eastAsia="宋体" w:cs="Arial"/>
          <w:b/>
          <w:sz w:val="28"/>
          <w:szCs w:val="28"/>
        </w:rPr>
        <w:t>我是某学术性医学中心内某实验室开发新型LDT的主要研究者。FDA研究性医疗器械豁免规定的相关要求是什么，在LDT监管的框架内有哪些相关的实施政策？</w:t>
      </w:r>
    </w:p>
    <w:p w14:paraId="7059ADD6">
      <w:pPr>
        <w:overflowPunct w:val="0"/>
        <w:snapToGrid w:val="0"/>
        <w:spacing w:line="300" w:lineRule="auto"/>
        <w:rPr>
          <w:rFonts w:ascii="Arial" w:hAnsi="Arial" w:eastAsia="宋体" w:cs="Arial"/>
          <w:b/>
          <w:i/>
          <w:sz w:val="24"/>
          <w:szCs w:val="24"/>
        </w:rPr>
      </w:pPr>
      <w:r>
        <w:rPr>
          <w:rFonts w:ascii="Arial" w:hAnsi="Arial" w:eastAsia="宋体" w:cs="Arial"/>
          <w:b/>
          <w:i/>
          <w:sz w:val="24"/>
          <w:szCs w:val="24"/>
        </w:rPr>
        <w:t>回答：</w:t>
      </w:r>
    </w:p>
    <w:p w14:paraId="785550FF">
      <w:pPr>
        <w:overflowPunct w:val="0"/>
        <w:snapToGrid w:val="0"/>
        <w:spacing w:after="156" w:afterLines="50" w:line="300" w:lineRule="auto"/>
        <w:jc w:val="left"/>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研究性器械的监管要求对于学术性医学中心和其他研究机构的要求相同。研究性IVD，包括LDT，是用于</w:t>
      </w:r>
      <w:r>
        <w:rPr>
          <w:rFonts w:hint="eastAsia" w:ascii="Arial" w:hAnsi="Arial" w:eastAsia="宋体" w:cs="Arial"/>
          <w:color w:val="000000" w:themeColor="text1"/>
          <w:sz w:val="24"/>
          <w:szCs w:val="24"/>
          <w14:textFill>
            <w14:solidFill>
              <w14:schemeClr w14:val="tx1"/>
            </w14:solidFill>
          </w14:textFill>
        </w:rPr>
        <w:t>疾病</w:t>
      </w:r>
      <w:r>
        <w:rPr>
          <w:rFonts w:ascii="Arial" w:hAnsi="Arial" w:eastAsia="宋体" w:cs="Arial"/>
          <w:color w:val="000000" w:themeColor="text1"/>
          <w:sz w:val="24"/>
          <w:szCs w:val="24"/>
          <w14:textFill>
            <w14:solidFill>
              <w14:schemeClr w14:val="tx1"/>
            </w14:solidFill>
          </w14:textFill>
        </w:rPr>
        <w:t>或其他病症的诊断，且作为研究对象，并在研究性器械豁免（IDE）法规（21 CFR 812部分）范围内的反应物、器械和系统，该法规的主要目的是保护研究被试的安全。除非获得21 CFR 812.2所规定的豁免，否则批准的IDE要求该研究性IVD可以进行运输和在研究中使用。</w:t>
      </w:r>
      <w:r>
        <w:rPr>
          <w:rStyle w:val="13"/>
          <w:rFonts w:ascii="Arial" w:hAnsi="Arial" w:eastAsia="宋体" w:cs="Arial"/>
          <w:color w:val="000000" w:themeColor="text1"/>
          <w:sz w:val="24"/>
          <w:szCs w:val="24"/>
          <w14:textFill>
            <w14:solidFill>
              <w14:schemeClr w14:val="tx1"/>
            </w14:solidFill>
          </w14:textFill>
        </w:rPr>
        <w:footnoteReference w:id="39"/>
      </w:r>
      <w:r>
        <w:rPr>
          <w:rFonts w:ascii="Arial" w:hAnsi="Arial" w:eastAsia="宋体" w:cs="Arial"/>
          <w:color w:val="000000" w:themeColor="text1"/>
          <w:sz w:val="24"/>
          <w:szCs w:val="24"/>
          <w14:textFill>
            <w14:solidFill>
              <w14:schemeClr w14:val="tx1"/>
            </w14:solidFill>
          </w14:textFill>
        </w:rPr>
        <w:t>根据21 CFR 812.2的规定，多数涉及IVD研究的IVD研发均被认定为</w:t>
      </w:r>
      <w:r>
        <w:rPr>
          <w:rFonts w:ascii="宋体" w:hAnsi="宋体"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t>豁免的研究</w:t>
      </w:r>
      <w:r>
        <w:rPr>
          <w:rFonts w:ascii="宋体" w:hAnsi="宋体"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t>。但如果器械未经豁免（如采用可能给患者带来重大风险的有创取样方式获取样本，或检测结果未经医学上可接受的诊断性产品或流程确认即返回给患者），IDE法规仍然适用。关于IDE的一般性信息，请参考IDE政策和流程指南</w:t>
      </w:r>
      <w:r>
        <w:fldChar w:fldCharType="begin"/>
      </w:r>
      <w:r>
        <w:instrText xml:space="preserve"> HYPERLINK "http://www.fda.gov/MedicalDevices/DeviceRegulationandGuidance/GuidanceDocuments/ucm080202.htm" </w:instrText>
      </w:r>
      <w:r>
        <w:fldChar w:fldCharType="separate"/>
      </w:r>
      <w:r>
        <w:rPr>
          <w:rStyle w:val="12"/>
          <w:rFonts w:ascii="Arial" w:hAnsi="Arial" w:eastAsia="宋体" w:cs="Arial"/>
          <w:color w:val="000000" w:themeColor="text1"/>
          <w:sz w:val="24"/>
          <w:szCs w:val="24"/>
          <w:u w:val="none"/>
          <w14:textFill>
            <w14:solidFill>
              <w14:schemeClr w14:val="tx1"/>
            </w14:solidFill>
          </w14:textFill>
        </w:rPr>
        <w:t>http://www.fda.gov/MedicalDevices/DeviceRegulationandGuidance/GuidanceDocuments/ucm080202.htm</w:t>
      </w:r>
      <w:r>
        <w:rPr>
          <w:rStyle w:val="12"/>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，如果您希望通过申请前流程与FDA讨论IVD开发或申请准备相关的特定问题，请参考FDA指南</w:t>
      </w:r>
      <w:r>
        <w:rPr>
          <w:rFonts w:ascii="宋体" w:hAnsi="宋体"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t>申请前流程和与FDA工作人员会谈</w:t>
      </w:r>
      <w:r>
        <w:rPr>
          <w:rFonts w:ascii="宋体" w:hAnsi="宋体"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t>，见于</w:t>
      </w:r>
      <w:r>
        <w:fldChar w:fldCharType="begin"/>
      </w:r>
      <w:r>
        <w:instrText xml:space="preserve"> HYPERLINK "http://www.fda.gov/downloads/MedicalDevices/DeviceRegulationandGuidance/GuidanceDocuments/UCM311176.pdf" </w:instrText>
      </w:r>
      <w:r>
        <w:fldChar w:fldCharType="separate"/>
      </w:r>
      <w:r>
        <w:rPr>
          <w:rStyle w:val="12"/>
          <w:rFonts w:ascii="Arial" w:hAnsi="Arial" w:eastAsia="宋体" w:cs="Arial"/>
          <w:color w:val="000000" w:themeColor="text1"/>
          <w:sz w:val="24"/>
          <w:szCs w:val="24"/>
          <w:u w:val="none"/>
          <w14:textFill>
            <w14:solidFill>
              <w14:schemeClr w14:val="tx1"/>
            </w14:solidFill>
          </w14:textFill>
        </w:rPr>
        <w:t>http://www.fda.gov/downloads/MedicalDevices/DeviceRegulationandGuidance/GuidanceDocuments/UCM311176.pdf</w:t>
      </w:r>
      <w:r>
        <w:rPr>
          <w:rStyle w:val="12"/>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p>
    <w:p w14:paraId="1CE11562">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与其他LDT制造商一致，如果学术性临床中心提供了临床用LDT，则下列相关政策适用于该中心：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8C1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DACC093">
            <w:pPr>
              <w:overflowPunct w:val="0"/>
              <w:snapToGrid w:val="0"/>
              <w:spacing w:line="300" w:lineRule="auto"/>
              <w:rPr>
                <w:rFonts w:ascii="Arial" w:hAnsi="Arial" w:eastAsia="宋体" w:cs="Arial"/>
                <w:b/>
                <w:sz w:val="24"/>
                <w:szCs w:val="24"/>
              </w:rPr>
            </w:pPr>
            <w:r>
              <w:rPr>
                <w:rFonts w:ascii="Arial" w:hAnsi="Arial" w:eastAsia="宋体" w:cs="Arial"/>
                <w:b/>
                <w:sz w:val="24"/>
                <w:szCs w:val="24"/>
              </w:rPr>
              <w:t>FDA通知：</w:t>
            </w:r>
          </w:p>
        </w:tc>
        <w:tc>
          <w:tcPr>
            <w:tcW w:w="4261" w:type="dxa"/>
          </w:tcPr>
          <w:p w14:paraId="063D0AF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只要您在本指导性文件完成后的6个月内，或在新的LDT用于临床前通知FDA您生产的LDT，并提供每种LDT的基本信息，则FDA会继续实施针对注册和登记要求（21 CFR 807部分）的强制执行自由裁量。</w:t>
            </w:r>
          </w:p>
          <w:p w14:paraId="77649553">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您应如何适当地向FDA通知您生产的LDT，以及提供LDT基本信息相关的具体指导见指导性文件草案</w:t>
            </w:r>
            <w:r>
              <w:rPr>
                <w:rFonts w:ascii="宋体" w:hAnsi="宋体" w:eastAsia="宋体" w:cs="Arial"/>
                <w:sz w:val="24"/>
                <w:szCs w:val="24"/>
              </w:rPr>
              <w:t>“</w:t>
            </w:r>
            <w:r>
              <w:rPr>
                <w:rFonts w:ascii="Arial" w:hAnsi="Arial" w:eastAsia="宋体" w:cs="Arial"/>
                <w:sz w:val="24"/>
                <w:szCs w:val="24"/>
              </w:rPr>
              <w:t>实验室开发检测（LDT）FDA通知和医疗器械报告</w:t>
            </w:r>
            <w:r>
              <w:rPr>
                <w:rFonts w:ascii="宋体" w:hAnsi="宋体" w:eastAsia="宋体" w:cs="Arial"/>
                <w:sz w:val="24"/>
                <w:szCs w:val="24"/>
              </w:rPr>
              <w:t>”</w:t>
            </w:r>
            <w:r>
              <w:rPr>
                <w:rFonts w:ascii="Arial" w:hAnsi="Arial" w:eastAsia="宋体" w:cs="Arial"/>
                <w:sz w:val="24"/>
                <w:szCs w:val="24"/>
              </w:rPr>
              <w:t>。</w:t>
            </w:r>
          </w:p>
        </w:tc>
      </w:tr>
      <w:tr w14:paraId="7D7C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4682803">
            <w:pPr>
              <w:overflowPunct w:val="0"/>
              <w:snapToGrid w:val="0"/>
              <w:spacing w:line="300" w:lineRule="auto"/>
              <w:rPr>
                <w:rFonts w:ascii="Arial" w:hAnsi="Arial" w:eastAsia="宋体" w:cs="Arial"/>
                <w:b/>
                <w:sz w:val="24"/>
                <w:szCs w:val="24"/>
              </w:rPr>
            </w:pPr>
            <w:r>
              <w:rPr>
                <w:rFonts w:ascii="Arial" w:hAnsi="Arial" w:eastAsia="宋体" w:cs="Arial"/>
                <w:b/>
                <w:sz w:val="24"/>
                <w:szCs w:val="24"/>
              </w:rPr>
              <w:t>注册和登记：</w:t>
            </w:r>
          </w:p>
        </w:tc>
        <w:tc>
          <w:tcPr>
            <w:tcW w:w="4261" w:type="dxa"/>
          </w:tcPr>
          <w:p w14:paraId="0AD3E172">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以基于风险的、分阶段的方式施行登记和注册的要求。如果您所在的实验室涉及生产、制备、传播、复合、组装或处理用于人类的LDT，则FDA希望在FDA收到针对该LDT的上市前申请后施行所有适用的注册和登记要求（21 CFR第807部分）。</w:t>
            </w:r>
          </w:p>
        </w:tc>
      </w:tr>
      <w:tr w14:paraId="2108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22A1239">
            <w:pPr>
              <w:overflowPunct w:val="0"/>
              <w:snapToGrid w:val="0"/>
              <w:spacing w:line="300" w:lineRule="auto"/>
              <w:rPr>
                <w:rFonts w:ascii="Arial" w:hAnsi="Arial" w:eastAsia="宋体" w:cs="Arial"/>
                <w:b/>
                <w:sz w:val="24"/>
                <w:szCs w:val="24"/>
              </w:rPr>
            </w:pPr>
            <w:r>
              <w:rPr>
                <w:rFonts w:ascii="Arial" w:hAnsi="Arial" w:eastAsia="宋体" w:cs="Arial"/>
                <w:b/>
                <w:sz w:val="24"/>
                <w:szCs w:val="24"/>
              </w:rPr>
              <w:t>医疗器械报告：</w:t>
            </w:r>
          </w:p>
        </w:tc>
        <w:tc>
          <w:tcPr>
            <w:tcW w:w="4261" w:type="dxa"/>
          </w:tcPr>
          <w:p w14:paraId="57DFB63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FDA希望对您机构内所有使用的诊断性检测施行针对医疗器械使用机构的医疗器械报告要求（21 CFR第803部分，C子部分）。</w:t>
            </w:r>
          </w:p>
          <w:p w14:paraId="3309FBA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如果您的实验室生产LDT（除本指导性文件D.2部分规定的类别外），FDA希望在本指南完成后的6个月开始对您实验室生产的LDT施行针对医疗器械制造商的医疗器械报告要求（21 CFR第803部分，E子部分）。</w:t>
            </w:r>
          </w:p>
        </w:tc>
      </w:tr>
      <w:tr w14:paraId="2F3B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5CAA162">
            <w:pPr>
              <w:overflowPunct w:val="0"/>
              <w:snapToGrid w:val="0"/>
              <w:spacing w:line="300" w:lineRule="auto"/>
              <w:rPr>
                <w:rFonts w:ascii="Arial" w:hAnsi="Arial" w:eastAsia="宋体" w:cs="Arial"/>
                <w:b/>
                <w:sz w:val="24"/>
                <w:szCs w:val="24"/>
              </w:rPr>
            </w:pPr>
            <w:r>
              <w:rPr>
                <w:rFonts w:ascii="Arial" w:hAnsi="Arial" w:eastAsia="宋体" w:cs="Arial"/>
                <w:b/>
                <w:sz w:val="24"/>
                <w:szCs w:val="24"/>
              </w:rPr>
              <w:t>上市前审查要求：</w:t>
            </w:r>
          </w:p>
        </w:tc>
        <w:tc>
          <w:tcPr>
            <w:tcW w:w="4261" w:type="dxa"/>
          </w:tcPr>
          <w:p w14:paraId="5D150C00">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DA希望以基于风险的、分阶段的方式施行上市前审查要求。机构计划在实施前公布其希望针对某一类别的LDT施行上市前审查要求。FDA希望在本指南完成后的12个月开始针对本指南D.5.（c）部分描述的LDT类别施行上市前审查要求；并根据本指南完成后24个月公布的III类LDT优先级列表和本指南完成后4年公布的II类LDT优先级列表的顺序对其他III类和II类LDT施行要求。</w:t>
            </w:r>
          </w:p>
          <w:p w14:paraId="299E0BE9">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如果您所在的实验室要生产某种新的LDT，且机构已经开始根据31 CFR第807部分E子部分和21 CFR第814部分的规定施行上市前审查，则您在FDA批准/审批前将该器械推入市场时，将对您采取强制实行措施。</w:t>
            </w:r>
          </w:p>
        </w:tc>
      </w:tr>
      <w:tr w14:paraId="2DBD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C1042D9">
            <w:pPr>
              <w:overflowPunct w:val="0"/>
              <w:snapToGrid w:val="0"/>
              <w:spacing w:after="156" w:afterLines="50" w:line="300" w:lineRule="auto"/>
              <w:rPr>
                <w:rFonts w:ascii="Arial" w:hAnsi="Arial" w:eastAsia="宋体" w:cs="Arial"/>
                <w:b/>
                <w:sz w:val="24"/>
                <w:szCs w:val="24"/>
              </w:rPr>
            </w:pPr>
            <w:r>
              <w:rPr>
                <w:rFonts w:ascii="Arial" w:hAnsi="Arial" w:eastAsia="宋体" w:cs="Arial"/>
                <w:b/>
                <w:sz w:val="24"/>
                <w:szCs w:val="24"/>
              </w:rPr>
              <w:t>质量体系要求：</w:t>
            </w:r>
          </w:p>
        </w:tc>
        <w:tc>
          <w:tcPr>
            <w:tcW w:w="4261" w:type="dxa"/>
          </w:tcPr>
          <w:p w14:paraId="26E1566D">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根据适用的情况，在接受PMA申请或FDA批准510（k）后，FDA希望施行21 CFR第820部分规定的QS规范要求。</w:t>
            </w:r>
          </w:p>
        </w:tc>
      </w:tr>
    </w:tbl>
    <w:p w14:paraId="0FB7A0B2">
      <w:pPr>
        <w:widowControl/>
        <w:jc w:val="left"/>
        <w:rPr>
          <w:rFonts w:ascii="Arial" w:hAnsi="Arial" w:eastAsia="宋体" w:cs="Arial"/>
          <w:sz w:val="24"/>
          <w:szCs w:val="24"/>
        </w:rPr>
      </w:pPr>
      <w:r>
        <w:rPr>
          <w:rFonts w:ascii="Arial" w:hAnsi="Arial" w:eastAsia="宋体" w:cs="Arial"/>
          <w:sz w:val="24"/>
          <w:szCs w:val="24"/>
        </w:rPr>
        <w:br w:type="page"/>
      </w:r>
    </w:p>
    <w:p w14:paraId="739DC15A">
      <w:pPr>
        <w:overflowPunct w:val="0"/>
        <w:snapToGrid w:val="0"/>
        <w:spacing w:after="156" w:afterLines="50" w:line="300" w:lineRule="auto"/>
        <w:outlineLvl w:val="0"/>
        <w:rPr>
          <w:rFonts w:ascii="Arial" w:hAnsi="Arial" w:eastAsia="宋体" w:cs="Arial"/>
          <w:b/>
          <w:sz w:val="36"/>
          <w:szCs w:val="36"/>
        </w:rPr>
      </w:pPr>
      <w:bookmarkStart w:id="31" w:name="_Toc498346754"/>
      <w:r>
        <w:rPr>
          <w:rFonts w:ascii="Arial" w:hAnsi="Arial" w:eastAsia="宋体" w:cs="Arial"/>
          <w:b/>
          <w:sz w:val="36"/>
          <w:szCs w:val="36"/>
        </w:rPr>
        <w:t>附录C：LDT法规资源</w:t>
      </w:r>
      <w:bookmarkEnd w:id="31"/>
    </w:p>
    <w:p w14:paraId="3597DBB1">
      <w:pPr>
        <w:pStyle w:val="14"/>
        <w:numPr>
          <w:ilvl w:val="0"/>
          <w:numId w:val="12"/>
        </w:numPr>
        <w:overflowPunct w:val="0"/>
        <w:snapToGrid w:val="0"/>
        <w:spacing w:line="300" w:lineRule="auto"/>
        <w:ind w:left="357" w:hanging="357" w:firstLineChars="0"/>
        <w:rPr>
          <w:rFonts w:ascii="Arial" w:hAnsi="Arial" w:eastAsia="宋体" w:cs="Arial"/>
          <w:b/>
          <w:sz w:val="28"/>
          <w:szCs w:val="28"/>
        </w:rPr>
      </w:pPr>
      <w:r>
        <w:rPr>
          <w:rFonts w:ascii="Arial" w:hAnsi="Arial" w:eastAsia="宋体" w:cs="Arial"/>
          <w:b/>
          <w:sz w:val="28"/>
          <w:szCs w:val="28"/>
        </w:rPr>
        <w:t>注册和登记</w:t>
      </w:r>
    </w:p>
    <w:p w14:paraId="52CCADF4">
      <w:pPr>
        <w:overflowPunct w:val="0"/>
        <w:snapToGrid w:val="0"/>
        <w:spacing w:after="156" w:afterLines="50" w:line="300" w:lineRule="auto"/>
        <w:ind w:left="420" w:leftChars="200"/>
        <w:rPr>
          <w:rFonts w:ascii="Arial" w:hAnsi="Arial" w:eastAsia="宋体" w:cs="Arial"/>
          <w:sz w:val="24"/>
          <w:szCs w:val="24"/>
        </w:rPr>
      </w:pPr>
      <w:bookmarkStart w:id="32" w:name="OLE_LINK2"/>
      <w:bookmarkStart w:id="33" w:name="OLE_LINK3"/>
      <w:r>
        <w:rPr>
          <w:rFonts w:ascii="Arial" w:hAnsi="Arial" w:eastAsia="宋体" w:cs="Arial"/>
          <w:i/>
          <w:sz w:val="24"/>
          <w:szCs w:val="24"/>
        </w:rPr>
        <w:t>适用的法律和法规：</w:t>
      </w:r>
      <w:r>
        <w:rPr>
          <w:rFonts w:ascii="Arial" w:hAnsi="Arial" w:eastAsia="宋体" w:cs="Arial"/>
          <w:sz w:val="24"/>
          <w:szCs w:val="24"/>
        </w:rPr>
        <w:t>FD&amp;C法案第510部分（21 U.S.C. 360）；21 CFR第807部分</w:t>
      </w:r>
    </w:p>
    <w:p w14:paraId="4C7AD595">
      <w:pPr>
        <w:overflowPunct w:val="0"/>
        <w:snapToGrid w:val="0"/>
        <w:spacing w:line="300" w:lineRule="auto"/>
        <w:ind w:left="420" w:leftChars="200"/>
        <w:rPr>
          <w:rFonts w:ascii="Arial" w:hAnsi="Arial" w:eastAsia="宋体" w:cs="Arial"/>
          <w:i/>
          <w:sz w:val="24"/>
          <w:szCs w:val="24"/>
        </w:rPr>
      </w:pPr>
      <w:r>
        <w:rPr>
          <w:rFonts w:ascii="Arial" w:hAnsi="Arial" w:eastAsia="宋体" w:cs="Arial"/>
          <w:i/>
          <w:sz w:val="24"/>
          <w:szCs w:val="24"/>
        </w:rPr>
        <w:t>适用的资源：</w:t>
      </w:r>
    </w:p>
    <w:bookmarkEnd w:id="32"/>
    <w:bookmarkEnd w:id="33"/>
    <w:p w14:paraId="2BFBA196">
      <w:pPr>
        <w:pStyle w:val="14"/>
        <w:numPr>
          <w:ilvl w:val="0"/>
          <w:numId w:val="13"/>
        </w:numPr>
        <w:overflowPunct w:val="0"/>
        <w:snapToGrid w:val="0"/>
        <w:spacing w:line="300" w:lineRule="auto"/>
        <w:ind w:left="840" w:leftChars="400" w:firstLineChars="0"/>
        <w:jc w:val="left"/>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落实2007 FDA修正案的医疗器械机构注册和器械登记要求</w:t>
      </w:r>
      <w:r>
        <w:rPr>
          <w:rFonts w:ascii="宋体" w:hAnsi="宋体" w:eastAsia="宋体" w:cs="Arial"/>
          <w:sz w:val="24"/>
          <w:szCs w:val="24"/>
        </w:rPr>
        <w:t>”</w:t>
      </w:r>
      <w:r>
        <w:rPr>
          <w:rFonts w:ascii="Arial" w:hAnsi="Arial" w:eastAsia="宋体" w:cs="Arial"/>
          <w:sz w:val="24"/>
          <w:szCs w:val="24"/>
        </w:rPr>
        <w:t>（</w:t>
      </w:r>
      <w:r>
        <w:fldChar w:fldCharType="begin"/>
      </w:r>
      <w:r>
        <w:instrText xml:space="preserve"> HYPERLINK "http://www.fda.gov/MedicalDevices/DeviceRegulationandGuidance/GuidanceDocuments/ucm185871.htm" </w:instrText>
      </w:r>
      <w:r>
        <w:fldChar w:fldCharType="separate"/>
      </w:r>
      <w:r>
        <w:rPr>
          <w:rStyle w:val="12"/>
          <w:rFonts w:ascii="Arial" w:hAnsi="Arial" w:eastAsia="宋体" w:cs="Arial"/>
          <w:color w:val="0000FF"/>
          <w:sz w:val="24"/>
          <w:szCs w:val="24"/>
        </w:rPr>
        <w:t>http://www.fda.gov/MedicalDevices/DeviceRegulationandGuidance/GuidanceDocuments/ucm185871.htm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433188FA">
      <w:pPr>
        <w:pStyle w:val="14"/>
        <w:numPr>
          <w:ilvl w:val="0"/>
          <w:numId w:val="13"/>
        </w:numPr>
        <w:overflowPunct w:val="0"/>
        <w:snapToGrid w:val="0"/>
        <w:spacing w:after="156" w:afterLines="50" w:line="300" w:lineRule="auto"/>
        <w:ind w:left="840" w:leftChars="400" w:firstLineChars="0"/>
        <w:jc w:val="left"/>
        <w:rPr>
          <w:rFonts w:ascii="Arial" w:hAnsi="Arial" w:eastAsia="宋体" w:cs="Arial"/>
          <w:sz w:val="24"/>
          <w:szCs w:val="24"/>
        </w:rPr>
      </w:pPr>
      <w:bookmarkStart w:id="34" w:name="OLE_LINK4"/>
      <w:bookmarkStart w:id="35" w:name="OLE_LINK5"/>
      <w:r>
        <w:rPr>
          <w:rFonts w:ascii="宋体" w:hAnsi="宋体" w:eastAsia="宋体" w:cs="Arial"/>
          <w:sz w:val="24"/>
          <w:szCs w:val="24"/>
        </w:rPr>
        <w:t>“</w:t>
      </w:r>
      <w:r>
        <w:rPr>
          <w:rFonts w:ascii="Arial" w:hAnsi="Arial" w:eastAsia="宋体" w:cs="Arial"/>
          <w:sz w:val="24"/>
          <w:szCs w:val="24"/>
        </w:rPr>
        <w:t>医疗器械建议：注册和登记</w:t>
      </w:r>
      <w:r>
        <w:rPr>
          <w:rFonts w:ascii="宋体" w:hAnsi="宋体" w:eastAsia="宋体" w:cs="Arial"/>
          <w:sz w:val="24"/>
          <w:szCs w:val="24"/>
        </w:rPr>
        <w:t>”</w:t>
      </w:r>
      <w:bookmarkEnd w:id="34"/>
      <w:bookmarkEnd w:id="35"/>
      <w:r>
        <w:rPr>
          <w:rFonts w:ascii="Arial" w:hAnsi="Arial" w:eastAsia="宋体" w:cs="Arial"/>
          <w:sz w:val="24"/>
          <w:szCs w:val="24"/>
        </w:rPr>
        <w:t>（</w:t>
      </w:r>
      <w:r>
        <w:fldChar w:fldCharType="begin"/>
      </w:r>
      <w:r>
        <w:instrText xml:space="preserve"> HYPERLINK "http://www.fda.gov/medicaldevices/deviceregulationandguidance/howtomarketyourdevice/registrationandlisting/default.htm" </w:instrText>
      </w:r>
      <w:r>
        <w:fldChar w:fldCharType="separate"/>
      </w:r>
      <w:r>
        <w:rPr>
          <w:rStyle w:val="12"/>
          <w:rFonts w:ascii="Arial" w:hAnsi="Arial" w:eastAsia="宋体" w:cs="Arial"/>
          <w:color w:val="0000FF"/>
          <w:sz w:val="24"/>
          <w:szCs w:val="24"/>
        </w:rPr>
        <w:t>http://www.fda.gov/medicaldevices/deviceregulationandguidance/howtomarketyourdevice/registrationandlisting/default.htm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65058188">
      <w:pPr>
        <w:pStyle w:val="14"/>
        <w:numPr>
          <w:ilvl w:val="0"/>
          <w:numId w:val="12"/>
        </w:numPr>
        <w:overflowPunct w:val="0"/>
        <w:snapToGrid w:val="0"/>
        <w:spacing w:line="300" w:lineRule="auto"/>
        <w:ind w:left="357" w:hanging="357" w:firstLineChars="0"/>
        <w:rPr>
          <w:rFonts w:ascii="Arial" w:hAnsi="Arial" w:eastAsia="宋体" w:cs="Arial"/>
          <w:b/>
          <w:sz w:val="28"/>
          <w:szCs w:val="28"/>
        </w:rPr>
      </w:pPr>
      <w:r>
        <w:rPr>
          <w:rFonts w:ascii="Arial" w:hAnsi="Arial" w:eastAsia="宋体" w:cs="Arial"/>
          <w:b/>
          <w:sz w:val="28"/>
          <w:szCs w:val="28"/>
        </w:rPr>
        <w:t>医疗器械报告</w:t>
      </w:r>
    </w:p>
    <w:p w14:paraId="3859675F">
      <w:pPr>
        <w:overflowPunct w:val="0"/>
        <w:snapToGrid w:val="0"/>
        <w:spacing w:after="156" w:afterLines="50" w:line="300" w:lineRule="auto"/>
        <w:ind w:left="420" w:leftChars="200"/>
        <w:rPr>
          <w:rFonts w:ascii="Arial" w:hAnsi="Arial" w:eastAsia="宋体" w:cs="Arial"/>
          <w:sz w:val="24"/>
          <w:szCs w:val="24"/>
        </w:rPr>
      </w:pPr>
      <w:r>
        <w:rPr>
          <w:rFonts w:ascii="Arial" w:hAnsi="Arial" w:eastAsia="宋体" w:cs="Arial"/>
          <w:i/>
          <w:sz w:val="24"/>
          <w:szCs w:val="24"/>
        </w:rPr>
        <w:t>适用的法律和法规：</w:t>
      </w:r>
      <w:r>
        <w:rPr>
          <w:rFonts w:ascii="Arial" w:hAnsi="Arial" w:eastAsia="宋体" w:cs="Arial"/>
          <w:sz w:val="24"/>
          <w:szCs w:val="24"/>
        </w:rPr>
        <w:t>FD&amp;C法案第519（a）、（b）和（c）部分（21 U.S.C. 360i）；21 CFR第803部分</w:t>
      </w:r>
    </w:p>
    <w:p w14:paraId="58DF77FC">
      <w:pPr>
        <w:overflowPunct w:val="0"/>
        <w:snapToGrid w:val="0"/>
        <w:spacing w:line="300" w:lineRule="auto"/>
        <w:ind w:left="420" w:leftChars="200"/>
        <w:rPr>
          <w:rFonts w:ascii="Arial" w:hAnsi="Arial" w:eastAsia="宋体" w:cs="Arial"/>
          <w:i/>
          <w:sz w:val="24"/>
          <w:szCs w:val="24"/>
        </w:rPr>
      </w:pPr>
      <w:r>
        <w:rPr>
          <w:rFonts w:ascii="Arial" w:hAnsi="Arial" w:eastAsia="宋体" w:cs="Arial"/>
          <w:i/>
          <w:sz w:val="24"/>
          <w:szCs w:val="24"/>
        </w:rPr>
        <w:t>适用的资源：</w:t>
      </w:r>
    </w:p>
    <w:p w14:paraId="041D676F">
      <w:pPr>
        <w:pStyle w:val="14"/>
        <w:numPr>
          <w:ilvl w:val="0"/>
          <w:numId w:val="13"/>
        </w:numPr>
        <w:overflowPunct w:val="0"/>
        <w:snapToGrid w:val="0"/>
        <w:spacing w:after="156" w:afterLines="50" w:line="300" w:lineRule="auto"/>
        <w:ind w:left="840" w:leftChars="400" w:firstLineChars="0"/>
        <w:jc w:val="left"/>
        <w:rPr>
          <w:rFonts w:ascii="Arial" w:hAnsi="Arial" w:eastAsia="宋体" w:cs="Arial"/>
          <w:sz w:val="24"/>
          <w:szCs w:val="24"/>
        </w:rPr>
      </w:pPr>
      <w:bookmarkStart w:id="36" w:name="OLE_LINK8"/>
      <w:bookmarkStart w:id="37" w:name="OLE_LINK9"/>
      <w:r>
        <w:rPr>
          <w:rFonts w:ascii="宋体" w:hAnsi="宋体" w:eastAsia="宋体" w:cs="Arial"/>
          <w:sz w:val="24"/>
          <w:szCs w:val="24"/>
        </w:rPr>
        <w:t>“</w:t>
      </w:r>
      <w:r>
        <w:rPr>
          <w:rFonts w:ascii="Arial" w:hAnsi="Arial" w:eastAsia="宋体" w:cs="Arial"/>
          <w:sz w:val="24"/>
          <w:szCs w:val="24"/>
        </w:rPr>
        <w:t>医疗器械建议：不良事件报告（医疗器械）</w:t>
      </w:r>
      <w:r>
        <w:rPr>
          <w:rFonts w:ascii="宋体" w:hAnsi="宋体" w:eastAsia="宋体" w:cs="Arial"/>
          <w:sz w:val="24"/>
          <w:szCs w:val="24"/>
        </w:rPr>
        <w:t>”</w:t>
      </w:r>
      <w:bookmarkEnd w:id="36"/>
      <w:bookmarkEnd w:id="37"/>
      <w:r>
        <w:rPr>
          <w:rFonts w:ascii="Arial" w:hAnsi="Arial" w:eastAsia="宋体" w:cs="Arial"/>
          <w:sz w:val="24"/>
          <w:szCs w:val="24"/>
        </w:rPr>
        <w:t>（</w:t>
      </w:r>
      <w:r>
        <w:fldChar w:fldCharType="begin"/>
      </w:r>
      <w:r>
        <w:instrText xml:space="preserve"> HYPERLINK "http://www.fda.gov/MedicalDevices/DeviceRegulationandGuidance/PostmarketRequirements/ReportingAdverseEvents/default.htm" </w:instrText>
      </w:r>
      <w:r>
        <w:fldChar w:fldCharType="separate"/>
      </w:r>
      <w:r>
        <w:rPr>
          <w:rStyle w:val="12"/>
          <w:rFonts w:ascii="Arial" w:hAnsi="Arial" w:eastAsia="宋体" w:cs="Arial"/>
          <w:color w:val="0000FF"/>
          <w:sz w:val="24"/>
          <w:szCs w:val="24"/>
        </w:rPr>
        <w:t>http://www.fda.gov/MedicalDevices/DeviceRegulationandGuidance/PostmarketRequirements/ReportingAdverseEvents/default.htm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2FDB79A8">
      <w:pPr>
        <w:pStyle w:val="14"/>
        <w:numPr>
          <w:ilvl w:val="0"/>
          <w:numId w:val="12"/>
        </w:numPr>
        <w:overflowPunct w:val="0"/>
        <w:snapToGrid w:val="0"/>
        <w:spacing w:line="300" w:lineRule="auto"/>
        <w:ind w:left="357" w:hanging="357" w:firstLineChars="0"/>
        <w:rPr>
          <w:rFonts w:ascii="Arial" w:hAnsi="Arial" w:eastAsia="宋体" w:cs="Arial"/>
          <w:b/>
          <w:sz w:val="28"/>
          <w:szCs w:val="28"/>
        </w:rPr>
      </w:pPr>
      <w:r>
        <w:rPr>
          <w:rFonts w:ascii="Arial" w:hAnsi="Arial" w:eastAsia="宋体" w:cs="Arial"/>
          <w:b/>
          <w:sz w:val="28"/>
          <w:szCs w:val="28"/>
        </w:rPr>
        <w:t>医疗器械纠正和撤销</w:t>
      </w:r>
    </w:p>
    <w:p w14:paraId="13611E4A">
      <w:pPr>
        <w:overflowPunct w:val="0"/>
        <w:snapToGrid w:val="0"/>
        <w:spacing w:after="156" w:afterLines="50" w:line="300" w:lineRule="auto"/>
        <w:ind w:left="420" w:leftChars="200"/>
        <w:rPr>
          <w:rFonts w:ascii="Arial" w:hAnsi="Arial" w:eastAsia="宋体" w:cs="Arial"/>
          <w:sz w:val="24"/>
          <w:szCs w:val="24"/>
        </w:rPr>
      </w:pPr>
      <w:r>
        <w:rPr>
          <w:rFonts w:ascii="Arial" w:hAnsi="Arial" w:eastAsia="宋体" w:cs="Arial"/>
          <w:i/>
          <w:sz w:val="24"/>
          <w:szCs w:val="24"/>
        </w:rPr>
        <w:t>适用的法律和法规：</w:t>
      </w:r>
      <w:r>
        <w:rPr>
          <w:rFonts w:ascii="Arial" w:hAnsi="Arial" w:eastAsia="宋体" w:cs="Arial"/>
          <w:sz w:val="24"/>
          <w:szCs w:val="24"/>
        </w:rPr>
        <w:t>FD&amp;C法案第519部分（21 U.S.C. 360i）；21 CFR第806部分</w:t>
      </w:r>
    </w:p>
    <w:p w14:paraId="0FD3B4DC">
      <w:pPr>
        <w:overflowPunct w:val="0"/>
        <w:snapToGrid w:val="0"/>
        <w:spacing w:line="300" w:lineRule="auto"/>
        <w:ind w:left="420" w:leftChars="200"/>
        <w:rPr>
          <w:rFonts w:ascii="Arial" w:hAnsi="Arial" w:eastAsia="宋体" w:cs="Arial"/>
          <w:i/>
          <w:sz w:val="24"/>
          <w:szCs w:val="24"/>
        </w:rPr>
      </w:pPr>
      <w:r>
        <w:rPr>
          <w:rFonts w:ascii="Arial" w:hAnsi="Arial" w:eastAsia="宋体" w:cs="Arial"/>
          <w:i/>
          <w:sz w:val="24"/>
          <w:szCs w:val="24"/>
        </w:rPr>
        <w:t>适用的资源：</w:t>
      </w:r>
    </w:p>
    <w:p w14:paraId="6BE73C38">
      <w:pPr>
        <w:pStyle w:val="14"/>
        <w:numPr>
          <w:ilvl w:val="0"/>
          <w:numId w:val="13"/>
        </w:numPr>
        <w:overflowPunct w:val="0"/>
        <w:snapToGrid w:val="0"/>
        <w:spacing w:after="156" w:afterLines="50" w:line="300" w:lineRule="auto"/>
        <w:ind w:left="840" w:leftChars="400" w:firstLineChars="0"/>
        <w:jc w:val="left"/>
        <w:rPr>
          <w:rFonts w:ascii="Arial" w:hAnsi="Arial" w:eastAsia="宋体" w:cs="Arial"/>
          <w:sz w:val="24"/>
          <w:szCs w:val="24"/>
        </w:rPr>
      </w:pPr>
      <w:bookmarkStart w:id="38" w:name="OLE_LINK11"/>
      <w:bookmarkStart w:id="39" w:name="OLE_LINK10"/>
      <w:r>
        <w:rPr>
          <w:rFonts w:ascii="宋体" w:hAnsi="宋体" w:eastAsia="宋体" w:cs="Arial"/>
          <w:sz w:val="24"/>
          <w:szCs w:val="24"/>
        </w:rPr>
        <w:t>“</w:t>
      </w:r>
      <w:r>
        <w:rPr>
          <w:rFonts w:ascii="Arial" w:hAnsi="Arial" w:eastAsia="宋体" w:cs="Arial"/>
          <w:sz w:val="24"/>
          <w:szCs w:val="24"/>
        </w:rPr>
        <w:t>医疗器械建议：召回纠正和撤销（医疗器械）</w:t>
      </w:r>
      <w:r>
        <w:rPr>
          <w:rFonts w:ascii="宋体" w:hAnsi="宋体" w:eastAsia="宋体" w:cs="Arial"/>
          <w:sz w:val="24"/>
          <w:szCs w:val="24"/>
        </w:rPr>
        <w:t>”</w:t>
      </w:r>
      <w:bookmarkEnd w:id="38"/>
      <w:bookmarkEnd w:id="39"/>
      <w:r>
        <w:rPr>
          <w:rFonts w:ascii="Arial" w:hAnsi="Arial" w:eastAsia="宋体" w:cs="Arial"/>
          <w:sz w:val="24"/>
          <w:szCs w:val="24"/>
        </w:rPr>
        <w:t>（</w:t>
      </w:r>
      <w:r>
        <w:fldChar w:fldCharType="begin"/>
      </w:r>
      <w:r>
        <w:instrText xml:space="preserve"> HYPERLINK "http://www.fda.gov/MedicalDevices/DeviceRegulationandGuidance/PostmarketRequirements/RecallsCorrectionsAndRemovals/default.htm" </w:instrText>
      </w:r>
      <w:r>
        <w:fldChar w:fldCharType="separate"/>
      </w:r>
      <w:r>
        <w:rPr>
          <w:rStyle w:val="12"/>
          <w:rFonts w:ascii="Arial" w:hAnsi="Arial" w:eastAsia="宋体" w:cs="Arial"/>
          <w:color w:val="0000FF"/>
          <w:sz w:val="24"/>
          <w:szCs w:val="24"/>
        </w:rPr>
        <w:t>http://www.fda.gov/MedicalDevices/DeviceRegulationandGuidance/PostmarketRequirements/RecallsCorrectionsAndRemovals/default.htm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5A9E4621">
      <w:pPr>
        <w:pStyle w:val="14"/>
        <w:numPr>
          <w:ilvl w:val="0"/>
          <w:numId w:val="12"/>
        </w:numPr>
        <w:overflowPunct w:val="0"/>
        <w:snapToGrid w:val="0"/>
        <w:spacing w:line="300" w:lineRule="auto"/>
        <w:ind w:left="357" w:hanging="357" w:firstLineChars="0"/>
        <w:rPr>
          <w:rFonts w:ascii="Arial" w:hAnsi="Arial" w:eastAsia="宋体" w:cs="Arial"/>
          <w:b/>
          <w:sz w:val="28"/>
          <w:szCs w:val="28"/>
        </w:rPr>
      </w:pPr>
      <w:r>
        <w:rPr>
          <w:rFonts w:ascii="Arial" w:hAnsi="Arial" w:eastAsia="宋体" w:cs="Arial"/>
          <w:b/>
          <w:sz w:val="28"/>
          <w:szCs w:val="28"/>
        </w:rPr>
        <w:t>质量体系法规</w:t>
      </w:r>
    </w:p>
    <w:p w14:paraId="5CF1AD01">
      <w:pPr>
        <w:overflowPunct w:val="0"/>
        <w:snapToGrid w:val="0"/>
        <w:spacing w:after="156" w:afterLines="50" w:line="300" w:lineRule="auto"/>
        <w:ind w:left="420" w:leftChars="200"/>
        <w:rPr>
          <w:rFonts w:ascii="Arial" w:hAnsi="Arial" w:eastAsia="宋体" w:cs="Arial"/>
          <w:sz w:val="24"/>
          <w:szCs w:val="24"/>
        </w:rPr>
      </w:pPr>
      <w:r>
        <w:rPr>
          <w:rFonts w:ascii="Arial" w:hAnsi="Arial" w:eastAsia="宋体" w:cs="Arial"/>
          <w:i/>
          <w:sz w:val="24"/>
          <w:szCs w:val="24"/>
        </w:rPr>
        <w:t>适用的法律和法规：</w:t>
      </w:r>
      <w:r>
        <w:rPr>
          <w:rFonts w:ascii="Arial" w:hAnsi="Arial" w:eastAsia="宋体" w:cs="Arial"/>
          <w:sz w:val="24"/>
          <w:szCs w:val="24"/>
        </w:rPr>
        <w:t>FD&amp;C法案第520（f）部分（21 U.S.C. 360j）；21 CFR第820部分</w:t>
      </w:r>
    </w:p>
    <w:p w14:paraId="7A498CCE">
      <w:pPr>
        <w:pStyle w:val="14"/>
        <w:numPr>
          <w:ilvl w:val="0"/>
          <w:numId w:val="12"/>
        </w:numPr>
        <w:overflowPunct w:val="0"/>
        <w:snapToGrid w:val="0"/>
        <w:spacing w:line="300" w:lineRule="auto"/>
        <w:ind w:left="357" w:hanging="357" w:firstLineChars="0"/>
        <w:rPr>
          <w:rFonts w:ascii="Arial" w:hAnsi="Arial" w:eastAsia="宋体" w:cs="Arial"/>
          <w:b/>
          <w:sz w:val="28"/>
          <w:szCs w:val="28"/>
        </w:rPr>
      </w:pPr>
      <w:r>
        <w:rPr>
          <w:rFonts w:ascii="Arial" w:hAnsi="Arial" w:eastAsia="宋体" w:cs="Arial"/>
          <w:b/>
          <w:sz w:val="28"/>
          <w:szCs w:val="28"/>
        </w:rPr>
        <w:t>标签</w:t>
      </w:r>
    </w:p>
    <w:p w14:paraId="2FE2F35E">
      <w:pPr>
        <w:overflowPunct w:val="0"/>
        <w:snapToGrid w:val="0"/>
        <w:spacing w:after="156" w:afterLines="50" w:line="300" w:lineRule="auto"/>
        <w:ind w:left="420" w:leftChars="200"/>
        <w:rPr>
          <w:rFonts w:ascii="Arial" w:hAnsi="Arial" w:eastAsia="宋体" w:cs="Arial"/>
          <w:sz w:val="24"/>
          <w:szCs w:val="24"/>
        </w:rPr>
      </w:pPr>
      <w:bookmarkStart w:id="40" w:name="OLE_LINK13"/>
      <w:bookmarkStart w:id="41" w:name="OLE_LINK12"/>
      <w:r>
        <w:rPr>
          <w:rFonts w:ascii="Arial" w:hAnsi="Arial" w:eastAsia="宋体" w:cs="Arial"/>
          <w:i/>
          <w:sz w:val="24"/>
          <w:szCs w:val="24"/>
        </w:rPr>
        <w:t>适用的法律和法规：</w:t>
      </w:r>
      <w:r>
        <w:rPr>
          <w:rFonts w:ascii="Arial" w:hAnsi="Arial" w:eastAsia="宋体" w:cs="Arial"/>
          <w:sz w:val="24"/>
          <w:szCs w:val="24"/>
        </w:rPr>
        <w:t>FD&amp;C法案第502部分（21 U.S.C. 352）；21 CFR第809部分</w:t>
      </w:r>
    </w:p>
    <w:p w14:paraId="31FC6F29">
      <w:pPr>
        <w:overflowPunct w:val="0"/>
        <w:snapToGrid w:val="0"/>
        <w:spacing w:line="300" w:lineRule="auto"/>
        <w:ind w:left="420" w:leftChars="200"/>
        <w:rPr>
          <w:rFonts w:ascii="Arial" w:hAnsi="Arial" w:eastAsia="宋体" w:cs="Arial"/>
          <w:i/>
          <w:sz w:val="24"/>
          <w:szCs w:val="24"/>
        </w:rPr>
      </w:pPr>
      <w:r>
        <w:rPr>
          <w:rFonts w:ascii="Arial" w:hAnsi="Arial" w:eastAsia="宋体" w:cs="Arial"/>
          <w:i/>
          <w:sz w:val="24"/>
          <w:szCs w:val="24"/>
        </w:rPr>
        <w:t>适用的资源：</w:t>
      </w:r>
      <w:bookmarkEnd w:id="40"/>
      <w:bookmarkEnd w:id="41"/>
    </w:p>
    <w:p w14:paraId="5449686D">
      <w:pPr>
        <w:pStyle w:val="14"/>
        <w:numPr>
          <w:ilvl w:val="0"/>
          <w:numId w:val="13"/>
        </w:numPr>
        <w:overflowPunct w:val="0"/>
        <w:snapToGrid w:val="0"/>
        <w:spacing w:after="156" w:afterLines="50" w:line="300" w:lineRule="auto"/>
        <w:ind w:left="840" w:leftChars="400" w:firstLineChars="0"/>
        <w:jc w:val="left"/>
        <w:rPr>
          <w:rFonts w:ascii="Arial" w:hAnsi="Arial" w:eastAsia="宋体" w:cs="Arial"/>
          <w:sz w:val="24"/>
          <w:szCs w:val="24"/>
        </w:rPr>
      </w:pPr>
      <w:bookmarkStart w:id="42" w:name="OLE_LINK15"/>
      <w:bookmarkStart w:id="43" w:name="OLE_LINK14"/>
      <w:r>
        <w:rPr>
          <w:rFonts w:ascii="宋体" w:hAnsi="宋体" w:eastAsia="宋体" w:cs="Arial"/>
          <w:sz w:val="24"/>
          <w:szCs w:val="24"/>
        </w:rPr>
        <w:t>“</w:t>
      </w:r>
      <w:r>
        <w:rPr>
          <w:rFonts w:ascii="Arial" w:hAnsi="Arial" w:eastAsia="宋体" w:cs="Arial"/>
          <w:sz w:val="24"/>
          <w:szCs w:val="24"/>
        </w:rPr>
        <w:t>医疗器械建议：体外诊断器械标签要求</w:t>
      </w:r>
      <w:r>
        <w:rPr>
          <w:rFonts w:ascii="宋体" w:hAnsi="宋体" w:eastAsia="宋体" w:cs="Arial"/>
          <w:sz w:val="24"/>
          <w:szCs w:val="24"/>
        </w:rPr>
        <w:t>”</w:t>
      </w:r>
      <w:bookmarkEnd w:id="42"/>
      <w:bookmarkEnd w:id="43"/>
      <w:r>
        <w:rPr>
          <w:rFonts w:ascii="Arial" w:hAnsi="Arial" w:eastAsia="宋体" w:cs="Arial"/>
          <w:sz w:val="24"/>
          <w:szCs w:val="24"/>
        </w:rPr>
        <w:t>（</w:t>
      </w:r>
      <w:r>
        <w:fldChar w:fldCharType="begin"/>
      </w:r>
      <w:r>
        <w:instrText xml:space="preserve"> HYPERLINK "http://www.fda.gov/MedicalDevices/DeviceRegulationandGuidance/Overview/DeviceLabeling/InVitroDiagnosticDeviceLabelingRequirements/default.htm" </w:instrText>
      </w:r>
      <w:r>
        <w:fldChar w:fldCharType="separate"/>
      </w:r>
      <w:r>
        <w:rPr>
          <w:rStyle w:val="12"/>
          <w:rFonts w:ascii="Arial" w:hAnsi="Arial" w:eastAsia="宋体" w:cs="Arial"/>
          <w:color w:val="0000FF"/>
          <w:sz w:val="24"/>
          <w:szCs w:val="24"/>
        </w:rPr>
        <w:t>http://www.fda.gov/MedicalDevices/DeviceRegulationandGuidance/Overview/DeviceLabeling/InVitroDiagnosticDeviceLabelingRequirements/default.htm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69816119">
      <w:pPr>
        <w:pStyle w:val="14"/>
        <w:numPr>
          <w:ilvl w:val="0"/>
          <w:numId w:val="12"/>
        </w:numPr>
        <w:overflowPunct w:val="0"/>
        <w:snapToGrid w:val="0"/>
        <w:spacing w:line="300" w:lineRule="auto"/>
        <w:ind w:left="357" w:hanging="357" w:firstLineChars="0"/>
        <w:rPr>
          <w:rFonts w:ascii="Arial" w:hAnsi="Arial" w:eastAsia="宋体" w:cs="Arial"/>
          <w:b/>
          <w:sz w:val="28"/>
          <w:szCs w:val="28"/>
        </w:rPr>
      </w:pPr>
      <w:r>
        <w:rPr>
          <w:rFonts w:ascii="Arial" w:hAnsi="Arial" w:eastAsia="宋体" w:cs="Arial"/>
          <w:b/>
          <w:sz w:val="28"/>
          <w:szCs w:val="28"/>
        </w:rPr>
        <w:t>上市前要求</w:t>
      </w:r>
    </w:p>
    <w:p w14:paraId="6E36418A">
      <w:pPr>
        <w:overflowPunct w:val="0"/>
        <w:snapToGrid w:val="0"/>
        <w:spacing w:after="156" w:afterLines="50" w:line="300" w:lineRule="auto"/>
        <w:ind w:left="420" w:leftChars="200"/>
        <w:rPr>
          <w:rFonts w:ascii="Arial" w:hAnsi="Arial" w:eastAsia="宋体" w:cs="Arial"/>
          <w:sz w:val="24"/>
          <w:szCs w:val="24"/>
        </w:rPr>
      </w:pPr>
      <w:r>
        <w:rPr>
          <w:rFonts w:ascii="Arial" w:hAnsi="Arial" w:eastAsia="宋体" w:cs="Arial"/>
          <w:i/>
          <w:sz w:val="24"/>
          <w:szCs w:val="24"/>
        </w:rPr>
        <w:t>适用的法律和法规：</w:t>
      </w:r>
      <w:r>
        <w:rPr>
          <w:rFonts w:ascii="Arial" w:hAnsi="Arial" w:eastAsia="宋体" w:cs="Arial"/>
          <w:sz w:val="24"/>
          <w:szCs w:val="24"/>
        </w:rPr>
        <w:t>FD&amp;C法案第510、513、515部分（21 U.S.C. 360、360c、360e）；21 CFR第807部分E子部分，和21 CFR第814部分；公共健康服务法案第351部分；21 CFR第600-800部分</w:t>
      </w:r>
    </w:p>
    <w:p w14:paraId="7CC03CB2">
      <w:pPr>
        <w:overflowPunct w:val="0"/>
        <w:snapToGrid w:val="0"/>
        <w:spacing w:after="156" w:afterLines="50" w:line="300" w:lineRule="auto"/>
        <w:ind w:left="420" w:leftChars="200"/>
        <w:rPr>
          <w:rFonts w:ascii="Arial" w:hAnsi="Arial" w:eastAsia="宋体" w:cs="Arial"/>
          <w:i/>
          <w:sz w:val="24"/>
          <w:szCs w:val="24"/>
        </w:rPr>
      </w:pPr>
      <w:r>
        <w:rPr>
          <w:rFonts w:ascii="Arial" w:hAnsi="Arial" w:eastAsia="宋体" w:cs="Arial"/>
          <w:i/>
          <w:sz w:val="24"/>
          <w:szCs w:val="24"/>
        </w:rPr>
        <w:t>适用的资源：</w:t>
      </w:r>
    </w:p>
    <w:p w14:paraId="00C42CF7">
      <w:pPr>
        <w:overflowPunct w:val="0"/>
        <w:snapToGrid w:val="0"/>
        <w:spacing w:after="156" w:afterLines="50" w:line="300" w:lineRule="auto"/>
        <w:ind w:left="840" w:leftChars="400"/>
        <w:rPr>
          <w:rFonts w:ascii="Arial" w:hAnsi="Arial" w:eastAsia="宋体" w:cs="Arial"/>
          <w:i/>
          <w:sz w:val="24"/>
          <w:szCs w:val="24"/>
        </w:rPr>
      </w:pPr>
      <w:r>
        <w:rPr>
          <w:rFonts w:ascii="Arial" w:hAnsi="Arial" w:eastAsia="宋体" w:cs="Arial"/>
          <w:i/>
          <w:sz w:val="24"/>
          <w:szCs w:val="24"/>
        </w:rPr>
        <w:t>一般性器械要求资源</w:t>
      </w:r>
    </w:p>
    <w:p w14:paraId="1FB1595A">
      <w:pPr>
        <w:pStyle w:val="14"/>
        <w:numPr>
          <w:ilvl w:val="0"/>
          <w:numId w:val="13"/>
        </w:numPr>
        <w:overflowPunct w:val="0"/>
        <w:snapToGrid w:val="0"/>
        <w:spacing w:line="300" w:lineRule="auto"/>
        <w:ind w:left="840" w:leftChars="400" w:firstLineChars="0"/>
        <w:jc w:val="left"/>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医疗器械建议：器械如何上市</w:t>
      </w:r>
      <w:r>
        <w:rPr>
          <w:rFonts w:ascii="宋体" w:hAnsi="宋体" w:eastAsia="宋体" w:cs="Arial"/>
          <w:sz w:val="24"/>
          <w:szCs w:val="24"/>
        </w:rPr>
        <w:t>”</w:t>
      </w:r>
      <w:r>
        <w:rPr>
          <w:rFonts w:ascii="Arial" w:hAnsi="Arial" w:eastAsia="宋体" w:cs="Arial"/>
          <w:sz w:val="24"/>
          <w:szCs w:val="24"/>
        </w:rPr>
        <w:t>（</w:t>
      </w:r>
      <w:r>
        <w:fldChar w:fldCharType="begin"/>
      </w:r>
      <w:r>
        <w:instrText xml:space="preserve"> HYPERLINK "http://www.fda.gov/MedicalDevices/DeviceRegulationandGuidance/HowtoMarketYourDevice/default.htm" </w:instrText>
      </w:r>
      <w:r>
        <w:fldChar w:fldCharType="separate"/>
      </w:r>
      <w:r>
        <w:rPr>
          <w:rStyle w:val="12"/>
          <w:rFonts w:ascii="Arial" w:hAnsi="Arial" w:eastAsia="宋体" w:cs="Arial"/>
          <w:color w:val="0000FF"/>
          <w:sz w:val="24"/>
          <w:szCs w:val="24"/>
        </w:rPr>
        <w:t>http://www.fda.gov/MedicalDevices/DeviceRegulationandGuidance/HowtoMarketYourDevice/default.htm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10D061CB">
      <w:pPr>
        <w:pStyle w:val="14"/>
        <w:numPr>
          <w:ilvl w:val="0"/>
          <w:numId w:val="13"/>
        </w:numPr>
        <w:overflowPunct w:val="0"/>
        <w:snapToGrid w:val="0"/>
        <w:spacing w:line="300" w:lineRule="auto"/>
        <w:ind w:left="840" w:leftChars="400" w:firstLineChars="0"/>
        <w:jc w:val="left"/>
        <w:rPr>
          <w:rFonts w:ascii="Arial" w:hAnsi="Arial" w:eastAsia="宋体" w:cs="Arial"/>
          <w:sz w:val="24"/>
          <w:szCs w:val="24"/>
        </w:rPr>
      </w:pPr>
      <w:r>
        <w:rPr>
          <w:rFonts w:ascii="Arial" w:hAnsi="Arial" w:eastAsia="宋体" w:cs="Arial"/>
          <w:sz w:val="24"/>
          <w:szCs w:val="24"/>
        </w:rPr>
        <w:t>CDRH培训（</w:t>
      </w:r>
      <w:r>
        <w:fldChar w:fldCharType="begin"/>
      </w:r>
      <w:r>
        <w:instrText xml:space="preserve"> HYPERLINK "http://www.fda.gov/Training/CDRHLearn/default.htm" </w:instrText>
      </w:r>
      <w:r>
        <w:fldChar w:fldCharType="separate"/>
      </w:r>
      <w:r>
        <w:rPr>
          <w:rStyle w:val="12"/>
          <w:rFonts w:ascii="Arial" w:hAnsi="Arial" w:eastAsia="宋体" w:cs="Arial"/>
          <w:color w:val="0000FF"/>
          <w:sz w:val="24"/>
          <w:szCs w:val="24"/>
        </w:rPr>
        <w:t>http://www.fda.gov/Training/CDRHLearn/default.htm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78686628">
      <w:pPr>
        <w:pStyle w:val="14"/>
        <w:numPr>
          <w:ilvl w:val="0"/>
          <w:numId w:val="13"/>
        </w:numPr>
        <w:overflowPunct w:val="0"/>
        <w:snapToGrid w:val="0"/>
        <w:spacing w:after="156" w:afterLines="50" w:line="300" w:lineRule="auto"/>
        <w:ind w:left="840" w:leftChars="400" w:firstLineChars="0"/>
        <w:jc w:val="left"/>
        <w:rPr>
          <w:rFonts w:ascii="Arial" w:hAnsi="Arial" w:eastAsia="宋体" w:cs="Arial"/>
          <w:sz w:val="24"/>
          <w:szCs w:val="24"/>
        </w:rPr>
      </w:pPr>
      <w:r>
        <w:rPr>
          <w:rFonts w:ascii="Arial" w:hAnsi="Arial" w:eastAsia="宋体" w:cs="Arial"/>
          <w:sz w:val="24"/>
          <w:szCs w:val="24"/>
        </w:rPr>
        <w:t>CDRH赞助的工作坊、培训会议和其他会议（</w:t>
      </w:r>
      <w:r>
        <w:fldChar w:fldCharType="begin"/>
      </w:r>
      <w:r>
        <w:instrText xml:space="preserve"> HYPERLINK "http://www.fda.gov/http://www.fda.gov/MedicalDevices/NewsEvents/WorkshopsConferences/default.htmMedicalDevices/NewsEvents/WorkshopsConferences/default.htm" </w:instrText>
      </w:r>
      <w:r>
        <w:fldChar w:fldCharType="separate"/>
      </w:r>
      <w:r>
        <w:rPr>
          <w:rStyle w:val="12"/>
          <w:rFonts w:ascii="Arial" w:hAnsi="Arial" w:eastAsia="宋体" w:cs="Arial"/>
          <w:color w:val="0000FF"/>
          <w:sz w:val="24"/>
          <w:szCs w:val="24"/>
        </w:rPr>
        <w:t>http://www.fda.gov/http://www.fda.gov/MedicalDevices/NewsEvents/WorkshopsConferences/default.htmMedicalDevices/NewsEvents/WorkshopsConferences/default.htm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507CC83D">
      <w:pPr>
        <w:overflowPunct w:val="0"/>
        <w:snapToGrid w:val="0"/>
        <w:spacing w:after="156" w:afterLines="50" w:line="300" w:lineRule="auto"/>
        <w:ind w:left="840" w:leftChars="400"/>
        <w:rPr>
          <w:rFonts w:ascii="Arial" w:hAnsi="Arial" w:eastAsia="宋体" w:cs="Arial"/>
          <w:i/>
          <w:sz w:val="24"/>
          <w:szCs w:val="24"/>
        </w:rPr>
      </w:pPr>
      <w:r>
        <w:rPr>
          <w:rFonts w:ascii="Arial" w:hAnsi="Arial" w:eastAsia="宋体" w:cs="Arial"/>
          <w:i/>
          <w:sz w:val="24"/>
          <w:szCs w:val="24"/>
        </w:rPr>
        <w:t>与器械修改相关的资源</w:t>
      </w:r>
    </w:p>
    <w:p w14:paraId="49FB64BE">
      <w:pPr>
        <w:pStyle w:val="14"/>
        <w:numPr>
          <w:ilvl w:val="0"/>
          <w:numId w:val="13"/>
        </w:numPr>
        <w:overflowPunct w:val="0"/>
        <w:snapToGrid w:val="0"/>
        <w:spacing w:line="300" w:lineRule="auto"/>
        <w:ind w:left="840" w:leftChars="400" w:firstLineChars="0"/>
        <w:jc w:val="left"/>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提交上市前申请（PMA）的器械的修改——PMA补充决策流程</w:t>
      </w:r>
      <w:r>
        <w:rPr>
          <w:rFonts w:ascii="宋体" w:hAnsi="宋体" w:eastAsia="宋体" w:cs="Arial"/>
          <w:sz w:val="24"/>
          <w:szCs w:val="24"/>
        </w:rPr>
        <w:t>”</w:t>
      </w:r>
      <w:r>
        <w:rPr>
          <w:rFonts w:ascii="Arial" w:hAnsi="Arial" w:eastAsia="宋体" w:cs="Arial"/>
          <w:sz w:val="24"/>
          <w:szCs w:val="24"/>
        </w:rPr>
        <w:t>（</w:t>
      </w:r>
      <w:r>
        <w:fldChar w:fldCharType="begin"/>
      </w:r>
      <w:r>
        <w:instrText xml:space="preserve"> HYPERLINK "http://www.fda.gov/MedicalDevices/DeviceRegulationandGuidance/GuidanceDocuments/ucm089274.htm" </w:instrText>
      </w:r>
      <w:r>
        <w:fldChar w:fldCharType="separate"/>
      </w:r>
      <w:r>
        <w:rPr>
          <w:rStyle w:val="12"/>
          <w:rFonts w:ascii="Arial" w:hAnsi="Arial" w:eastAsia="宋体" w:cs="Arial"/>
          <w:color w:val="0000FF"/>
          <w:sz w:val="24"/>
          <w:szCs w:val="24"/>
        </w:rPr>
        <w:t>http://www.fda.gov/MedicalDevices/DeviceRegulationandGuidance/GuidanceDocuments/ucm089274.htm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75CFFBB6">
      <w:pPr>
        <w:pStyle w:val="14"/>
        <w:numPr>
          <w:ilvl w:val="0"/>
          <w:numId w:val="13"/>
        </w:numPr>
        <w:overflowPunct w:val="0"/>
        <w:snapToGrid w:val="0"/>
        <w:spacing w:line="300" w:lineRule="auto"/>
        <w:ind w:left="840" w:leftChars="400" w:firstLineChars="0"/>
        <w:jc w:val="left"/>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决定何时对已有器械更改提交510（k）</w:t>
      </w:r>
      <w:r>
        <w:rPr>
          <w:rFonts w:ascii="宋体" w:hAnsi="宋体" w:eastAsia="宋体" w:cs="Arial"/>
          <w:sz w:val="24"/>
          <w:szCs w:val="24"/>
        </w:rPr>
        <w:t>”</w:t>
      </w:r>
      <w:r>
        <w:rPr>
          <w:rFonts w:ascii="Arial" w:hAnsi="Arial" w:eastAsia="宋体" w:cs="Arial"/>
          <w:sz w:val="24"/>
          <w:szCs w:val="24"/>
        </w:rPr>
        <w:t>（</w:t>
      </w:r>
      <w:r>
        <w:fldChar w:fldCharType="begin"/>
      </w:r>
      <w:r>
        <w:instrText xml:space="preserve"> HYPERLINK "http://www.fda.gov/MedicalDevices/DeviceRegulationandGuidance/GuidanceDocuments/ucm080235.htm" </w:instrText>
      </w:r>
      <w:r>
        <w:fldChar w:fldCharType="separate"/>
      </w:r>
      <w:r>
        <w:rPr>
          <w:rStyle w:val="12"/>
          <w:rFonts w:ascii="Arial" w:hAnsi="Arial" w:eastAsia="宋体" w:cs="Arial"/>
          <w:color w:val="0000FF"/>
          <w:sz w:val="24"/>
          <w:szCs w:val="24"/>
        </w:rPr>
        <w:t>http://www.fda.gov/MedicalDevices/DeviceRegulationandGuidance/GuidanceDocuments/ucm080235.htm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34B70DA0">
      <w:pPr>
        <w:pStyle w:val="14"/>
        <w:numPr>
          <w:ilvl w:val="0"/>
          <w:numId w:val="13"/>
        </w:numPr>
        <w:overflowPunct w:val="0"/>
        <w:snapToGrid w:val="0"/>
        <w:spacing w:after="156" w:afterLines="50" w:line="300" w:lineRule="auto"/>
        <w:ind w:left="840" w:leftChars="400" w:firstLineChars="0"/>
        <w:jc w:val="left"/>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生产方法或流程变化的30天通知和135天补充通知，行业和CDRH指南</w:t>
      </w:r>
      <w:r>
        <w:rPr>
          <w:rFonts w:ascii="宋体" w:hAnsi="宋体" w:eastAsia="宋体" w:cs="Arial"/>
          <w:sz w:val="24"/>
          <w:szCs w:val="24"/>
        </w:rPr>
        <w:t>”</w:t>
      </w:r>
      <w:r>
        <w:rPr>
          <w:rFonts w:ascii="Arial" w:hAnsi="Arial" w:eastAsia="宋体" w:cs="Arial"/>
          <w:sz w:val="24"/>
          <w:szCs w:val="24"/>
        </w:rPr>
        <w:t>（</w:t>
      </w:r>
      <w:r>
        <w:fldChar w:fldCharType="begin"/>
      </w:r>
      <w:r>
        <w:instrText xml:space="preserve"> HYPERLINK "http://www.fda.gov/MedicalDevices/DeviceRegulationandGuidance/GuidanceDocuments/ucm080192.htm" </w:instrText>
      </w:r>
      <w:r>
        <w:fldChar w:fldCharType="separate"/>
      </w:r>
      <w:r>
        <w:rPr>
          <w:rStyle w:val="12"/>
          <w:rFonts w:ascii="Arial" w:hAnsi="Arial" w:eastAsia="宋体" w:cs="Arial"/>
          <w:color w:val="0000FF"/>
          <w:sz w:val="24"/>
          <w:szCs w:val="24"/>
        </w:rPr>
        <w:t>http://www.fda.gov/MedicalDevices/DeviceRegulationandGuidance/GuidanceDocuments/ucm080192.htm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2A3FC578">
      <w:pPr>
        <w:overflowPunct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IVD的IDE和研究性调查资源：</w:t>
      </w:r>
    </w:p>
    <w:p w14:paraId="14C2248F">
      <w:pPr>
        <w:pStyle w:val="14"/>
        <w:numPr>
          <w:ilvl w:val="0"/>
          <w:numId w:val="13"/>
        </w:numPr>
        <w:overflowPunct w:val="0"/>
        <w:snapToGrid w:val="0"/>
        <w:spacing w:line="300" w:lineRule="auto"/>
        <w:ind w:left="840" w:leftChars="400" w:firstLineChars="0"/>
        <w:jc w:val="left"/>
        <w:rPr>
          <w:rFonts w:ascii="Arial" w:hAnsi="Arial" w:eastAsia="宋体" w:cs="Arial"/>
          <w:sz w:val="24"/>
          <w:szCs w:val="24"/>
        </w:rPr>
      </w:pPr>
      <w:r>
        <w:rPr>
          <w:rFonts w:ascii="Arial" w:hAnsi="Arial" w:eastAsia="宋体" w:cs="Arial"/>
          <w:sz w:val="24"/>
          <w:szCs w:val="24"/>
        </w:rPr>
        <w:t>使用不可识别个体的人体标本的体外诊断器械研究知情同意指南（</w:t>
      </w:r>
      <w:r>
        <w:rPr>
          <w:rFonts w:ascii="Arial" w:hAnsi="Arial" w:eastAsia="宋体" w:cs="Arial"/>
          <w:color w:val="0000FF"/>
          <w:sz w:val="24"/>
          <w:szCs w:val="24"/>
          <w:u w:val="single"/>
        </w:rPr>
        <w:t>http://www.fdahttp://www.fda.gov/MedicalDevices/DeviceRegulationandGuiContains NonbindingRecommendationsdance/GuidanceDocuments/ucm078384.htm.gov/MedicalDevices/DeviceRegulationandGuidance/GuidanceDocuments/ucm078384.htm</w:t>
      </w:r>
      <w:r>
        <w:rPr>
          <w:rFonts w:ascii="Arial" w:hAnsi="Arial" w:eastAsia="宋体" w:cs="Arial"/>
          <w:sz w:val="24"/>
          <w:szCs w:val="24"/>
        </w:rPr>
        <w:t>）</w:t>
      </w:r>
    </w:p>
    <w:p w14:paraId="7FA2FD35">
      <w:pPr>
        <w:pStyle w:val="14"/>
        <w:numPr>
          <w:ilvl w:val="0"/>
          <w:numId w:val="13"/>
        </w:numPr>
        <w:overflowPunct w:val="0"/>
        <w:snapToGrid w:val="0"/>
        <w:spacing w:line="300" w:lineRule="auto"/>
        <w:ind w:left="840" w:leftChars="400" w:firstLineChars="0"/>
        <w:jc w:val="left"/>
        <w:rPr>
          <w:rFonts w:ascii="Arial" w:hAnsi="Arial" w:eastAsia="宋体" w:cs="Arial"/>
          <w:sz w:val="24"/>
          <w:szCs w:val="24"/>
        </w:rPr>
      </w:pPr>
      <w:r>
        <w:rPr>
          <w:rFonts w:ascii="Arial" w:hAnsi="Arial" w:eastAsia="宋体" w:cs="Arial"/>
          <w:sz w:val="24"/>
          <w:szCs w:val="24"/>
        </w:rPr>
        <w:t>体外诊断器械（IVD）研究——常见问题（</w:t>
      </w:r>
      <w:r>
        <w:rPr>
          <w:rFonts w:ascii="Arial" w:hAnsi="Arial" w:eastAsia="宋体" w:cs="Arial"/>
          <w:color w:val="0000FF"/>
          <w:sz w:val="24"/>
          <w:szCs w:val="24"/>
          <w:u w:val="single"/>
        </w:rPr>
        <w:t>http://www.fda.gov/downloads/MedicalDevices/DeviceRegulationandGuidance/GuidanceDocuments/UCM071230.pdf</w:t>
      </w:r>
      <w:r>
        <w:rPr>
          <w:rFonts w:ascii="Arial" w:hAnsi="Arial" w:eastAsia="宋体" w:cs="Arial"/>
          <w:sz w:val="24"/>
          <w:szCs w:val="24"/>
        </w:rPr>
        <w:t>）</w:t>
      </w:r>
    </w:p>
    <w:p w14:paraId="556B178B">
      <w:pPr>
        <w:pBdr>
          <w:bottom w:val="single" w:color="auto" w:sz="4" w:space="1"/>
        </w:pBdr>
        <w:snapToGrid w:val="0"/>
        <w:spacing w:after="156" w:afterLines="50" w:line="300" w:lineRule="auto"/>
        <w:jc w:val="center"/>
        <w:rPr>
          <w:rFonts w:hint="eastAsia" w:eastAsia="等线"/>
          <w:lang w:eastAsia="zh-CN"/>
        </w:rPr>
      </w:pPr>
    </w:p>
    <w:p w14:paraId="6F285F93">
      <w:pPr>
        <w:pBdr>
          <w:bottom w:val="single" w:color="auto" w:sz="4" w:space="1"/>
        </w:pBdr>
        <w:snapToGrid w:val="0"/>
        <w:spacing w:after="156" w:afterLines="50" w:line="300" w:lineRule="auto"/>
        <w:jc w:val="center"/>
        <w:rPr>
          <w:rFonts w:hint="eastAsia" w:eastAsia="等线"/>
          <w:lang w:eastAsia="zh-CN"/>
        </w:rPr>
      </w:pPr>
    </w:p>
    <w:p w14:paraId="3D3D6B46">
      <w:pPr>
        <w:pBdr>
          <w:bottom w:val="single" w:color="auto" w:sz="4" w:space="1"/>
        </w:pBdr>
        <w:snapToGrid w:val="0"/>
        <w:spacing w:after="156" w:after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202677841"/>
      <w:docPartObj>
        <w:docPartGallery w:val="AutoText"/>
      </w:docPartObj>
    </w:sdtPr>
    <w:sdtEndPr>
      <w:rPr>
        <w:rFonts w:ascii="Arial" w:hAnsi="Arial" w:cs="Arial"/>
        <w:sz w:val="21"/>
        <w:szCs w:val="21"/>
      </w:rPr>
    </w:sdtEndPr>
    <w:sdtContent>
      <w:p w14:paraId="1D8B4231">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39</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0">
    <w:p>
      <w:r>
        <w:separator/>
      </w:r>
    </w:p>
  </w:footnote>
  <w:footnote w:type="continuationSeparator" w:id="81">
    <w:p>
      <w:r>
        <w:continuationSeparator/>
      </w:r>
    </w:p>
  </w:footnote>
  <w:footnote w:id="0">
    <w:p w14:paraId="6ED78908">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根据21 CFR809.3（a），体外诊断器械是</w:t>
      </w:r>
      <w:r>
        <w:rPr>
          <w:rFonts w:ascii="宋体" w:hAnsi="宋体" w:eastAsia="宋体" w:cs="Arial"/>
          <w:sz w:val="21"/>
          <w:szCs w:val="21"/>
        </w:rPr>
        <w:t>“</w:t>
      </w:r>
      <w:r>
        <w:rPr>
          <w:rFonts w:ascii="Arial" w:hAnsi="Arial" w:eastAsia="宋体" w:cs="Arial"/>
          <w:sz w:val="21"/>
          <w:szCs w:val="21"/>
        </w:rPr>
        <w:t>用于疾病和其他症状的诊断，包括确定健康状态的反应物、器械和系统，其目的是治疗、缓解、处理、或预防疾病和后遗症。上述产品会预期用于收集、制备、或检查人体标本。此类产品符合联邦食品药品与化妆品法案（法案）第201（h）部分的定义，也可能属于公众卫生服务法案第351部分定义的生物制剂。</w:t>
      </w:r>
      <w:r>
        <w:rPr>
          <w:rFonts w:ascii="宋体" w:hAnsi="宋体" w:eastAsia="宋体" w:cs="Arial"/>
          <w:sz w:val="21"/>
          <w:szCs w:val="21"/>
        </w:rPr>
        <w:t>”</w:t>
      </w:r>
    </w:p>
  </w:footnote>
  <w:footnote w:id="1">
    <w:p w14:paraId="5DB0F7F5">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在过去，LDT指的是</w:t>
      </w:r>
      <w:r>
        <w:rPr>
          <w:rFonts w:ascii="宋体" w:hAnsi="宋体" w:eastAsia="宋体" w:cs="Arial"/>
          <w:sz w:val="21"/>
          <w:szCs w:val="21"/>
        </w:rPr>
        <w:t>“</w:t>
      </w:r>
      <w:r>
        <w:rPr>
          <w:rFonts w:ascii="Arial" w:hAnsi="Arial" w:eastAsia="宋体" w:cs="Arial"/>
          <w:sz w:val="21"/>
          <w:szCs w:val="21"/>
        </w:rPr>
        <w:t>自制</w:t>
      </w:r>
      <w:r>
        <w:rPr>
          <w:rFonts w:ascii="宋体" w:hAnsi="宋体" w:eastAsia="宋体" w:cs="Arial"/>
          <w:sz w:val="21"/>
          <w:szCs w:val="21"/>
        </w:rPr>
        <w:t>”</w:t>
      </w:r>
      <w:r>
        <w:rPr>
          <w:rFonts w:ascii="Arial" w:hAnsi="Arial" w:eastAsia="宋体" w:cs="Arial"/>
          <w:sz w:val="21"/>
          <w:szCs w:val="21"/>
        </w:rPr>
        <w:t>或</w:t>
      </w:r>
      <w:r>
        <w:rPr>
          <w:rFonts w:ascii="宋体" w:hAnsi="宋体" w:eastAsia="宋体" w:cs="Arial"/>
          <w:sz w:val="21"/>
          <w:szCs w:val="21"/>
        </w:rPr>
        <w:t>“</w:t>
      </w:r>
      <w:r>
        <w:rPr>
          <w:rFonts w:ascii="Arial" w:hAnsi="Arial" w:eastAsia="宋体" w:cs="Arial"/>
          <w:sz w:val="21"/>
          <w:szCs w:val="21"/>
        </w:rPr>
        <w:t>内部使用</w:t>
      </w:r>
      <w:r>
        <w:rPr>
          <w:rFonts w:ascii="宋体" w:hAnsi="宋体" w:eastAsia="宋体" w:cs="Arial"/>
          <w:sz w:val="21"/>
          <w:szCs w:val="21"/>
        </w:rPr>
        <w:t>”</w:t>
      </w:r>
      <w:r>
        <w:rPr>
          <w:rFonts w:ascii="Arial" w:hAnsi="Arial" w:eastAsia="宋体" w:cs="Arial"/>
          <w:sz w:val="21"/>
          <w:szCs w:val="21"/>
        </w:rPr>
        <w:t>的器械。后来</w:t>
      </w:r>
      <w:r>
        <w:rPr>
          <w:rFonts w:ascii="宋体" w:hAnsi="宋体" w:eastAsia="宋体" w:cs="Arial"/>
          <w:sz w:val="21"/>
          <w:szCs w:val="21"/>
        </w:rPr>
        <w:t>“</w:t>
      </w:r>
      <w:r>
        <w:rPr>
          <w:rFonts w:ascii="Arial" w:hAnsi="Arial" w:eastAsia="宋体" w:cs="Arial"/>
          <w:sz w:val="21"/>
          <w:szCs w:val="21"/>
        </w:rPr>
        <w:t>实验室开发检测</w:t>
      </w:r>
      <w:r>
        <w:rPr>
          <w:rFonts w:ascii="宋体" w:hAnsi="宋体" w:eastAsia="宋体" w:cs="Arial"/>
          <w:sz w:val="21"/>
          <w:szCs w:val="21"/>
        </w:rPr>
        <w:t>”</w:t>
      </w:r>
      <w:r>
        <w:rPr>
          <w:rFonts w:ascii="Arial" w:hAnsi="Arial" w:eastAsia="宋体" w:cs="Arial"/>
          <w:sz w:val="21"/>
          <w:szCs w:val="21"/>
        </w:rPr>
        <w:t>及其缩写</w:t>
      </w:r>
      <w:r>
        <w:rPr>
          <w:rFonts w:ascii="宋体" w:hAnsi="宋体" w:eastAsia="宋体" w:cs="Arial"/>
          <w:sz w:val="21"/>
          <w:szCs w:val="21"/>
        </w:rPr>
        <w:t>“</w:t>
      </w:r>
      <w:r>
        <w:rPr>
          <w:rFonts w:ascii="Arial" w:hAnsi="Arial" w:eastAsia="宋体" w:cs="Arial"/>
          <w:sz w:val="21"/>
          <w:szCs w:val="21"/>
        </w:rPr>
        <w:t>LDT</w:t>
      </w:r>
      <w:r>
        <w:rPr>
          <w:rFonts w:ascii="宋体" w:hAnsi="宋体" w:eastAsia="宋体" w:cs="Arial"/>
          <w:sz w:val="21"/>
          <w:szCs w:val="21"/>
        </w:rPr>
        <w:t>”</w:t>
      </w:r>
      <w:r>
        <w:rPr>
          <w:rFonts w:ascii="Arial" w:hAnsi="Arial" w:eastAsia="宋体" w:cs="Arial"/>
          <w:sz w:val="21"/>
          <w:szCs w:val="21"/>
        </w:rPr>
        <w:t>取代了</w:t>
      </w:r>
      <w:r>
        <w:rPr>
          <w:rFonts w:ascii="宋体" w:hAnsi="宋体" w:eastAsia="宋体" w:cs="Arial"/>
          <w:sz w:val="21"/>
          <w:szCs w:val="21"/>
        </w:rPr>
        <w:t>“</w:t>
      </w:r>
      <w:r>
        <w:rPr>
          <w:rFonts w:ascii="Arial" w:hAnsi="Arial" w:eastAsia="宋体" w:cs="Arial"/>
          <w:sz w:val="21"/>
          <w:szCs w:val="21"/>
        </w:rPr>
        <w:t>自制</w:t>
      </w:r>
      <w:r>
        <w:rPr>
          <w:rFonts w:ascii="宋体" w:hAnsi="宋体" w:eastAsia="宋体" w:cs="Arial"/>
          <w:sz w:val="21"/>
          <w:szCs w:val="21"/>
        </w:rPr>
        <w:t>”</w:t>
      </w:r>
      <w:r>
        <w:rPr>
          <w:rFonts w:ascii="Arial" w:hAnsi="Arial" w:eastAsia="宋体" w:cs="Arial"/>
          <w:sz w:val="21"/>
          <w:szCs w:val="21"/>
        </w:rPr>
        <w:t>，但监管方面的考虑</w:t>
      </w:r>
      <w:r>
        <w:rPr>
          <w:rFonts w:hint="eastAsia" w:ascii="Arial" w:hAnsi="Arial" w:eastAsia="宋体" w:cs="Arial"/>
          <w:sz w:val="21"/>
          <w:szCs w:val="21"/>
        </w:rPr>
        <w:t>不受</w:t>
      </w:r>
      <w:r>
        <w:rPr>
          <w:rFonts w:ascii="Arial" w:hAnsi="Arial" w:eastAsia="宋体" w:cs="Arial"/>
          <w:sz w:val="21"/>
          <w:szCs w:val="21"/>
        </w:rPr>
        <w:t>名称变化的影响。</w:t>
      </w:r>
    </w:p>
  </w:footnote>
  <w:footnote w:id="2">
    <w:p w14:paraId="69255C2D">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制造商指的是任何参与</w:t>
      </w:r>
      <w:r>
        <w:rPr>
          <w:rFonts w:ascii="宋体" w:hAnsi="宋体" w:eastAsia="宋体" w:cs="Arial"/>
          <w:sz w:val="21"/>
          <w:szCs w:val="21"/>
        </w:rPr>
        <w:t>“</w:t>
      </w:r>
      <w:r>
        <w:rPr>
          <w:rFonts w:ascii="Arial" w:hAnsi="Arial" w:eastAsia="宋体" w:cs="Arial"/>
          <w:sz w:val="21"/>
          <w:szCs w:val="21"/>
        </w:rPr>
        <w:t>器械的生产、制备、传播、复合、组装或处理</w:t>
      </w:r>
      <w:r>
        <w:rPr>
          <w:rFonts w:ascii="宋体" w:hAnsi="宋体" w:eastAsia="宋体" w:cs="Arial"/>
          <w:sz w:val="21"/>
          <w:szCs w:val="21"/>
        </w:rPr>
        <w:t>”</w:t>
      </w:r>
      <w:r>
        <w:rPr>
          <w:rFonts w:ascii="Arial" w:hAnsi="Arial" w:eastAsia="宋体" w:cs="Arial"/>
          <w:sz w:val="21"/>
          <w:szCs w:val="21"/>
        </w:rPr>
        <w:t>的个人，定义为</w:t>
      </w:r>
      <w:r>
        <w:rPr>
          <w:rFonts w:ascii="宋体" w:hAnsi="宋体" w:eastAsia="宋体" w:cs="Arial"/>
          <w:sz w:val="21"/>
          <w:szCs w:val="21"/>
        </w:rPr>
        <w:t>“</w:t>
      </w:r>
      <w:r>
        <w:rPr>
          <w:rFonts w:ascii="Arial" w:hAnsi="Arial" w:eastAsia="宋体" w:cs="Arial"/>
          <w:sz w:val="21"/>
          <w:szCs w:val="21"/>
        </w:rPr>
        <w:t>通过任何制品的化学、物理、生物或其他流程制作符合法案201（h）定义的器械</w:t>
      </w:r>
      <w:r>
        <w:rPr>
          <w:rFonts w:ascii="宋体" w:hAnsi="宋体" w:eastAsia="宋体" w:cs="Arial"/>
          <w:sz w:val="21"/>
          <w:szCs w:val="21"/>
        </w:rPr>
        <w:t>”</w:t>
      </w:r>
      <w:r>
        <w:rPr>
          <w:rFonts w:ascii="Arial" w:hAnsi="Arial" w:eastAsia="宋体" w:cs="Arial"/>
          <w:sz w:val="21"/>
          <w:szCs w:val="21"/>
        </w:rPr>
        <w:t>。21 CFR 807.3（d）；也见于21 CFR 803.3（制造商是</w:t>
      </w:r>
      <w:r>
        <w:rPr>
          <w:rFonts w:ascii="宋体" w:hAnsi="宋体" w:eastAsia="宋体" w:cs="Arial"/>
          <w:sz w:val="21"/>
          <w:szCs w:val="21"/>
        </w:rPr>
        <w:t>“</w:t>
      </w:r>
      <w:r>
        <w:rPr>
          <w:rFonts w:ascii="Arial" w:hAnsi="Arial" w:eastAsia="宋体" w:cs="Arial"/>
          <w:sz w:val="21"/>
          <w:szCs w:val="21"/>
        </w:rPr>
        <w:t>通过任何制品的化学、物理、生物或其他流程生产、制备、传播、复合、组装或处理器械的个人。</w:t>
      </w:r>
      <w:r>
        <w:rPr>
          <w:rFonts w:ascii="宋体" w:hAnsi="宋体" w:eastAsia="宋体" w:cs="Arial"/>
          <w:sz w:val="21"/>
          <w:szCs w:val="21"/>
        </w:rPr>
        <w:t>”</w:t>
      </w:r>
      <w:r>
        <w:rPr>
          <w:rFonts w:ascii="Arial" w:hAnsi="Arial" w:eastAsia="宋体" w:cs="Arial"/>
          <w:sz w:val="21"/>
          <w:szCs w:val="21"/>
        </w:rPr>
        <w:t>）。</w:t>
      </w:r>
    </w:p>
  </w:footnote>
  <w:footnote w:id="3">
    <w:p w14:paraId="594E12F2">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对于直接面向用户（DTC）的检测，不论其符合本指南中哪一类LDT的定义，FDA一般都不会对其施行强制执行自由裁量。因此，本指南中的施行政策也不适用于DTC检测，而FDA的常规施行政策适用于DTC检测。</w:t>
      </w:r>
    </w:p>
  </w:footnote>
  <w:footnote w:id="4">
    <w:p w14:paraId="2339BDA2">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独立实验室指的是具有42 CFR 493.43(a)-(b)描述的独立的CLIA许可的机构。（也可参见42 CFR 493.55）。根据42 CFR 493.17(c)(4) 和493.25的规定，实验室不得设计、生产和使用符合CLIA高复杂度检测要求的LDT。</w:t>
      </w:r>
    </w:p>
  </w:footnote>
  <w:footnote w:id="5">
    <w:p w14:paraId="792CC305">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与LDT相同，上述器械符合FD&amp;C法案对器械的定义，并应遵守FDA法规。</w:t>
      </w:r>
    </w:p>
  </w:footnote>
  <w:footnote w:id="6">
    <w:p w14:paraId="653F411C">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FD&amp;C法案201(h)章节规定：</w:t>
      </w:r>
    </w:p>
    <w:p w14:paraId="46B1AAF5">
      <w:pPr>
        <w:pStyle w:val="7"/>
        <w:spacing w:line="300" w:lineRule="auto"/>
        <w:rPr>
          <w:rFonts w:ascii="Arial" w:hAnsi="Arial" w:eastAsia="宋体" w:cs="Arial"/>
          <w:sz w:val="21"/>
          <w:szCs w:val="21"/>
        </w:rPr>
      </w:pPr>
      <w:r>
        <w:rPr>
          <w:rFonts w:ascii="Arial" w:hAnsi="Arial" w:eastAsia="宋体" w:cs="Arial"/>
          <w:sz w:val="21"/>
          <w:szCs w:val="21"/>
        </w:rPr>
        <w:t>（h）术语</w:t>
      </w:r>
      <w:r>
        <w:rPr>
          <w:rFonts w:ascii="宋体" w:hAnsi="宋体" w:eastAsia="宋体" w:cs="Arial"/>
          <w:sz w:val="21"/>
          <w:szCs w:val="21"/>
        </w:rPr>
        <w:t>“</w:t>
      </w:r>
      <w:r>
        <w:rPr>
          <w:rFonts w:ascii="Arial" w:hAnsi="Arial" w:eastAsia="宋体" w:cs="Arial"/>
          <w:sz w:val="21"/>
          <w:szCs w:val="21"/>
        </w:rPr>
        <w:t>器械</w:t>
      </w:r>
      <w:r>
        <w:rPr>
          <w:rFonts w:ascii="宋体" w:hAnsi="宋体" w:eastAsia="宋体" w:cs="Arial"/>
          <w:sz w:val="21"/>
          <w:szCs w:val="21"/>
        </w:rPr>
        <w:t>”</w:t>
      </w:r>
      <w:r>
        <w:rPr>
          <w:rFonts w:ascii="Arial" w:hAnsi="Arial" w:eastAsia="宋体" w:cs="Arial"/>
          <w:sz w:val="21"/>
          <w:szCs w:val="21"/>
        </w:rPr>
        <w:t>（除用于本章及301(i)、403(f)、502(c)、和602(c)章节外）指的是用于以下目的的器械、装置、工具、机械、人工制品、植入物、体外试剂、或其他相似或相关的制品，包括任何组件。部分或附件：</w:t>
      </w:r>
    </w:p>
    <w:p w14:paraId="28F86667">
      <w:pPr>
        <w:pStyle w:val="7"/>
        <w:spacing w:line="300" w:lineRule="auto"/>
        <w:rPr>
          <w:rFonts w:ascii="Arial" w:hAnsi="Arial" w:eastAsia="宋体" w:cs="Arial"/>
          <w:sz w:val="21"/>
          <w:szCs w:val="21"/>
        </w:rPr>
      </w:pPr>
      <w:r>
        <w:rPr>
          <w:rFonts w:ascii="Arial" w:hAnsi="Arial" w:eastAsia="宋体" w:cs="Arial"/>
          <w:sz w:val="21"/>
          <w:szCs w:val="21"/>
        </w:rPr>
        <w:t>（1）美国国家处方集、官方版本的美国药典及上述文件的补充文件所认可的制品；</w:t>
      </w:r>
    </w:p>
    <w:p w14:paraId="5C7D3863">
      <w:pPr>
        <w:pStyle w:val="7"/>
        <w:spacing w:line="300" w:lineRule="auto"/>
        <w:rPr>
          <w:rFonts w:ascii="Arial" w:hAnsi="Arial" w:eastAsia="宋体" w:cs="Arial"/>
          <w:sz w:val="21"/>
          <w:szCs w:val="21"/>
        </w:rPr>
      </w:pPr>
      <w:r>
        <w:rPr>
          <w:rFonts w:ascii="Arial" w:hAnsi="Arial" w:eastAsia="宋体" w:cs="Arial"/>
          <w:sz w:val="21"/>
          <w:szCs w:val="21"/>
        </w:rPr>
        <w:t>（2）用于人类或动物疾病或其他症状的诊断，或用于治疗、缓解、处理或预防疾病；</w:t>
      </w:r>
    </w:p>
    <w:p w14:paraId="7A32D62C">
      <w:pPr>
        <w:pStyle w:val="7"/>
        <w:spacing w:line="300" w:lineRule="auto"/>
        <w:rPr>
          <w:rFonts w:ascii="Arial" w:hAnsi="Arial" w:eastAsia="宋体" w:cs="Arial"/>
          <w:sz w:val="21"/>
          <w:szCs w:val="21"/>
        </w:rPr>
      </w:pPr>
      <w:r>
        <w:rPr>
          <w:rFonts w:ascii="Arial" w:hAnsi="Arial" w:eastAsia="宋体" w:cs="Arial"/>
          <w:sz w:val="21"/>
          <w:szCs w:val="21"/>
        </w:rPr>
        <w:t>（3）用于影响人类或动物身体结构或功能，且不以人体或其他动物体内产生化学作用的方式大乘期预期目的，且其重要功能并非依赖代谢的方式实现。</w:t>
      </w:r>
    </w:p>
  </w:footnote>
  <w:footnote w:id="7">
    <w:p w14:paraId="66F8C965">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在本指南中，合法上市的成分指的是作为一般用途的反应物、免疫组化染色剂、以及其他符合适用的FDA法规要求上市的成分，这些要求如体外诊断用途的标签合理（21 CFR 809.10(a)(4)），以及生产遵守质量体系要求（21 CFR第820部分）。</w:t>
      </w:r>
    </w:p>
  </w:footnote>
  <w:footnote w:id="8">
    <w:p w14:paraId="67645079">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更多信息请参见，如，</w:t>
      </w:r>
      <w:bookmarkStart w:id="44" w:name="OLE_LINK65"/>
      <w:bookmarkStart w:id="45" w:name="OLE_LINK66"/>
      <w:r>
        <w:rPr>
          <w:rFonts w:ascii="Arial" w:hAnsi="Arial" w:eastAsia="宋体" w:cs="Arial"/>
          <w:sz w:val="21"/>
          <w:szCs w:val="21"/>
        </w:rPr>
        <w:t>部长顾问委员会关于遗传、健康和社会的报告，</w:t>
      </w:r>
      <w:r>
        <w:rPr>
          <w:rFonts w:ascii="宋体" w:hAnsi="宋体" w:eastAsia="宋体" w:cs="Arial"/>
          <w:sz w:val="21"/>
          <w:szCs w:val="21"/>
        </w:rPr>
        <w:t>“</w:t>
      </w:r>
      <w:r>
        <w:rPr>
          <w:rFonts w:ascii="Arial" w:hAnsi="Arial" w:eastAsia="宋体" w:cs="Arial"/>
          <w:sz w:val="21"/>
          <w:szCs w:val="21"/>
        </w:rPr>
        <w:t>美国基因检测监管系统：卫生和人类服务署要求回应</w:t>
      </w:r>
      <w:r>
        <w:rPr>
          <w:rFonts w:ascii="宋体" w:hAnsi="宋体" w:eastAsia="宋体" w:cs="Arial"/>
          <w:sz w:val="21"/>
          <w:szCs w:val="21"/>
        </w:rPr>
        <w:t>”</w:t>
      </w:r>
      <w:r>
        <w:rPr>
          <w:rFonts w:ascii="Arial" w:hAnsi="Arial" w:eastAsia="宋体" w:cs="Arial"/>
          <w:sz w:val="21"/>
          <w:szCs w:val="21"/>
        </w:rPr>
        <w:t>（2008年4月），见于</w:t>
      </w:r>
      <w:r>
        <w:fldChar w:fldCharType="begin"/>
      </w:r>
      <w:r>
        <w:instrText xml:space="preserve"> HYPERLINK "http://oba.od.nih.gov/oba/sacghs/reports/sacghs_oversight_report.pdf；以及2010" </w:instrText>
      </w:r>
      <w:r>
        <w:fldChar w:fldCharType="separate"/>
      </w:r>
      <w:r>
        <w:rPr>
          <w:rStyle w:val="12"/>
          <w:rFonts w:ascii="Arial" w:hAnsi="Arial" w:eastAsia="宋体" w:cs="Arial"/>
          <w:color w:val="0000FF"/>
          <w:sz w:val="21"/>
          <w:szCs w:val="21"/>
        </w:rPr>
        <w:t>http://oba.od.nih.gov/oba/sacghs/reports/sacghs_oversight_report.pdf</w:t>
      </w:r>
      <w:r>
        <w:rPr>
          <w:rStyle w:val="12"/>
          <w:rFonts w:ascii="Arial" w:hAnsi="Arial" w:eastAsia="宋体" w:cs="Arial"/>
          <w:color w:val="000000" w:themeColor="text1"/>
          <w:sz w:val="21"/>
          <w:szCs w:val="21"/>
          <w:u w:val="none"/>
          <w14:textFill>
            <w14:solidFill>
              <w14:schemeClr w14:val="tx1"/>
            </w14:solidFill>
          </w14:textFill>
        </w:rPr>
        <w:t>；以及2010</w:t>
      </w:r>
      <w:r>
        <w:rPr>
          <w:rStyle w:val="12"/>
          <w:rFonts w:ascii="Arial" w:hAnsi="Arial" w:eastAsia="宋体" w:cs="Arial"/>
          <w:color w:val="000000" w:themeColor="text1"/>
          <w:sz w:val="21"/>
          <w:szCs w:val="21"/>
          <w:u w:val="none"/>
          <w14:textFill>
            <w14:solidFill>
              <w14:schemeClr w14:val="tx1"/>
            </w14:solidFill>
          </w14:textFill>
        </w:rPr>
        <w:fldChar w:fldCharType="end"/>
      </w:r>
      <w:bookmarkEnd w:id="44"/>
      <w:bookmarkEnd w:id="45"/>
      <w:r>
        <w:rPr>
          <w:rFonts w:ascii="Arial" w:hAnsi="Arial" w:eastAsia="宋体" w:cs="Arial"/>
          <w:sz w:val="21"/>
          <w:szCs w:val="21"/>
        </w:rPr>
        <w:t xml:space="preserve"> FDA公共会议对于</w:t>
      </w:r>
      <w:r>
        <w:rPr>
          <w:rFonts w:ascii="宋体" w:hAnsi="宋体" w:eastAsia="宋体" w:cs="Arial"/>
          <w:sz w:val="21"/>
          <w:szCs w:val="21"/>
        </w:rPr>
        <w:t>“</w:t>
      </w:r>
      <w:r>
        <w:rPr>
          <w:rFonts w:ascii="Arial" w:hAnsi="Arial" w:eastAsia="宋体" w:cs="Arial"/>
          <w:sz w:val="21"/>
          <w:szCs w:val="21"/>
        </w:rPr>
        <w:t>实验室开发检测监管</w:t>
      </w:r>
      <w:r>
        <w:rPr>
          <w:rFonts w:ascii="宋体" w:hAnsi="宋体" w:eastAsia="宋体" w:cs="Arial"/>
          <w:sz w:val="21"/>
          <w:szCs w:val="21"/>
        </w:rPr>
        <w:t>”</w:t>
      </w:r>
      <w:r>
        <w:rPr>
          <w:rFonts w:ascii="Arial" w:hAnsi="Arial" w:eastAsia="宋体" w:cs="Arial"/>
          <w:sz w:val="21"/>
          <w:szCs w:val="21"/>
        </w:rPr>
        <w:t>的支持材料，见于</w:t>
      </w:r>
      <w:r>
        <w:fldChar w:fldCharType="begin"/>
      </w:r>
      <w:r>
        <w:instrText xml:space="preserve"> HYPERLINK "http://www.fda.gov/MedicalDevices/NewsEvents/WorkshopsConferences/ucm212830.htm" </w:instrText>
      </w:r>
      <w:r>
        <w:fldChar w:fldCharType="separate"/>
      </w:r>
      <w:r>
        <w:rPr>
          <w:rStyle w:val="12"/>
          <w:rFonts w:ascii="Arial" w:hAnsi="Arial" w:eastAsia="宋体" w:cs="Arial"/>
          <w:color w:val="000000" w:themeColor="text1"/>
          <w:sz w:val="21"/>
          <w:szCs w:val="21"/>
          <w:u w:val="none"/>
          <w14:textFill>
            <w14:solidFill>
              <w14:schemeClr w14:val="tx1"/>
            </w14:solidFill>
          </w14:textFill>
        </w:rPr>
        <w:t>http://www.fda.gov/MedicalDevices/NewsEvents/WorkshopsConferences/ucm212830.htm</w:t>
      </w:r>
      <w:r>
        <w:rPr>
          <w:rStyle w:val="12"/>
          <w:rFonts w:ascii="Arial" w:hAnsi="Arial" w:eastAsia="宋体" w:cs="Arial"/>
          <w:color w:val="000000" w:themeColor="text1"/>
          <w:sz w:val="21"/>
          <w:szCs w:val="21"/>
          <w:u w:val="none"/>
          <w14:textFill>
            <w14:solidFill>
              <w14:schemeClr w14:val="tx1"/>
            </w14:solidFill>
          </w14:textFill>
        </w:rPr>
        <w:fldChar w:fldCharType="end"/>
      </w:r>
      <w:r>
        <w:rPr>
          <w:rFonts w:ascii="Arial" w:hAnsi="Arial" w:eastAsia="宋体" w:cs="Arial"/>
          <w:sz w:val="21"/>
          <w:szCs w:val="21"/>
        </w:rPr>
        <w:t>。</w:t>
      </w:r>
    </w:p>
  </w:footnote>
  <w:footnote w:id="9">
    <w:p w14:paraId="3214FF26">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根据21 CFR 801.4，</w:t>
      </w:r>
      <w:r>
        <w:rPr>
          <w:rFonts w:ascii="宋体" w:hAnsi="宋体" w:eastAsia="宋体" w:cs="Arial"/>
          <w:sz w:val="21"/>
          <w:szCs w:val="21"/>
        </w:rPr>
        <w:t>“</w:t>
      </w:r>
      <w:r>
        <w:rPr>
          <w:rFonts w:ascii="Arial" w:hAnsi="Arial" w:eastAsia="宋体" w:cs="Arial"/>
          <w:sz w:val="21"/>
          <w:szCs w:val="21"/>
        </w:rPr>
        <w:t>预期用途</w:t>
      </w:r>
      <w:r>
        <w:rPr>
          <w:rFonts w:ascii="宋体" w:hAnsi="宋体" w:eastAsia="宋体" w:cs="Arial"/>
          <w:sz w:val="21"/>
          <w:szCs w:val="21"/>
        </w:rPr>
        <w:t>”</w:t>
      </w:r>
      <w:r>
        <w:rPr>
          <w:rFonts w:ascii="Arial" w:hAnsi="Arial" w:eastAsia="宋体" w:cs="Arial"/>
          <w:sz w:val="21"/>
          <w:szCs w:val="21"/>
        </w:rPr>
        <w:t>指的是器械标签应负法律责任的目标人群。应根据其表述或器械销售环境来确定预期。</w:t>
      </w:r>
    </w:p>
  </w:footnote>
  <w:footnote w:id="10">
    <w:p w14:paraId="4CAD5B36">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关于21 CFR第803部分规定的医疗器械不良事件报告要求的进一步讨论见本文件D.4部分。</w:t>
      </w:r>
    </w:p>
  </w:footnote>
  <w:footnote w:id="11">
    <w:p w14:paraId="59090797">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举例来说，见Buchen, L.</w:t>
      </w:r>
      <w:r>
        <w:rPr>
          <w:rFonts w:ascii="宋体" w:hAnsi="宋体" w:eastAsia="宋体" w:cs="Arial"/>
          <w:sz w:val="21"/>
          <w:szCs w:val="21"/>
        </w:rPr>
        <w:t>“</w:t>
      </w:r>
      <w:r>
        <w:rPr>
          <w:rFonts w:ascii="Arial" w:hAnsi="Arial" w:eastAsia="宋体" w:cs="Arial"/>
          <w:sz w:val="21"/>
          <w:szCs w:val="21"/>
        </w:rPr>
        <w:t>Missing the mark. Why is it so hard to find a test to predict cancer?</w:t>
      </w:r>
      <w:r>
        <w:rPr>
          <w:rFonts w:ascii="宋体" w:hAnsi="宋体" w:eastAsia="宋体" w:cs="Arial"/>
          <w:sz w:val="21"/>
          <w:szCs w:val="21"/>
        </w:rPr>
        <w:t>”</w:t>
      </w:r>
      <w:r>
        <w:rPr>
          <w:rFonts w:ascii="Arial" w:hAnsi="Arial" w:eastAsia="宋体" w:cs="Arial"/>
          <w:sz w:val="21"/>
          <w:szCs w:val="21"/>
        </w:rPr>
        <w:t>Nature 471, 428-432 (2011)，见于</w:t>
      </w:r>
      <w:r>
        <w:fldChar w:fldCharType="begin"/>
      </w:r>
      <w:r>
        <w:instrText xml:space="preserve"> HYPERLINK "http://www.nature.com/news/2011/110323/full/471428a.html?s=news_rss" </w:instrText>
      </w:r>
      <w:r>
        <w:fldChar w:fldCharType="separate"/>
      </w:r>
      <w:r>
        <w:rPr>
          <w:rStyle w:val="12"/>
          <w:rFonts w:ascii="Arial" w:hAnsi="Arial" w:eastAsia="宋体" w:cs="Arial"/>
          <w:color w:val="0000FF"/>
          <w:sz w:val="21"/>
          <w:szCs w:val="21"/>
        </w:rPr>
        <w:t>www.nature.com/news/2011/110323/full/471428a.html?s=news_rss</w:t>
      </w:r>
      <w:r>
        <w:rPr>
          <w:rStyle w:val="12"/>
          <w:rFonts w:ascii="Arial" w:hAnsi="Arial" w:eastAsia="宋体" w:cs="Arial"/>
          <w:color w:val="0000FF"/>
          <w:sz w:val="21"/>
          <w:szCs w:val="21"/>
        </w:rPr>
        <w:fldChar w:fldCharType="end"/>
      </w:r>
      <w:r>
        <w:rPr>
          <w:rFonts w:ascii="Arial" w:hAnsi="Arial" w:eastAsia="宋体" w:cs="Arial"/>
          <w:sz w:val="21"/>
          <w:szCs w:val="21"/>
        </w:rPr>
        <w:t>；或部长顾问委员会关于遗传、健康和社会的报告，</w:t>
      </w:r>
      <w:r>
        <w:rPr>
          <w:rFonts w:ascii="宋体" w:hAnsi="宋体" w:eastAsia="宋体" w:cs="Arial"/>
          <w:sz w:val="21"/>
          <w:szCs w:val="21"/>
        </w:rPr>
        <w:t>“</w:t>
      </w:r>
      <w:r>
        <w:rPr>
          <w:rFonts w:ascii="Arial" w:hAnsi="Arial" w:eastAsia="宋体" w:cs="Arial"/>
          <w:sz w:val="21"/>
          <w:szCs w:val="21"/>
        </w:rPr>
        <w:t>美国基因检测监管系统：卫生和人类服务署要求回应</w:t>
      </w:r>
      <w:r>
        <w:rPr>
          <w:rFonts w:ascii="宋体" w:hAnsi="宋体" w:eastAsia="宋体" w:cs="Arial"/>
          <w:sz w:val="21"/>
          <w:szCs w:val="21"/>
        </w:rPr>
        <w:t>”</w:t>
      </w:r>
      <w:r>
        <w:rPr>
          <w:rFonts w:ascii="Arial" w:hAnsi="Arial" w:eastAsia="宋体" w:cs="Arial"/>
          <w:sz w:val="21"/>
          <w:szCs w:val="21"/>
        </w:rPr>
        <w:t>（2008年4月），见于</w:t>
      </w:r>
      <w:r>
        <w:fldChar w:fldCharType="begin"/>
      </w:r>
      <w:r>
        <w:instrText xml:space="preserve"> HYPERLINK "http://oba.od.nih.gov/oba/sacghs/reports/sacghs_oversight_report.pdf" </w:instrText>
      </w:r>
      <w:r>
        <w:fldChar w:fldCharType="separate"/>
      </w:r>
      <w:r>
        <w:rPr>
          <w:rStyle w:val="12"/>
          <w:rFonts w:ascii="Arial" w:hAnsi="Arial" w:eastAsia="宋体" w:cs="Arial"/>
          <w:color w:val="0000FF"/>
          <w:sz w:val="21"/>
          <w:szCs w:val="21"/>
        </w:rPr>
        <w:t>http://oba.od.nih.gov/oba/sacghs/reports/sacghs_oversight_report.pdf</w:t>
      </w:r>
      <w:r>
        <w:rPr>
          <w:rStyle w:val="12"/>
          <w:rFonts w:ascii="Arial" w:hAnsi="Arial" w:eastAsia="宋体" w:cs="Arial"/>
          <w:color w:val="0000FF"/>
          <w:sz w:val="21"/>
          <w:szCs w:val="21"/>
        </w:rPr>
        <w:fldChar w:fldCharType="end"/>
      </w:r>
      <w:r>
        <w:rPr>
          <w:rFonts w:ascii="Arial" w:hAnsi="Arial" w:eastAsia="宋体" w:cs="Arial"/>
          <w:sz w:val="21"/>
          <w:szCs w:val="21"/>
        </w:rPr>
        <w:t>。</w:t>
      </w:r>
    </w:p>
  </w:footnote>
  <w:footnote w:id="12">
    <w:p w14:paraId="4DF2D725">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这些分类见下文D.2部分</w:t>
      </w:r>
    </w:p>
  </w:footnote>
  <w:footnote w:id="13">
    <w:p w14:paraId="5C029DEF">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除非特别豁免，否则任何分类的医疗器械都适用一般性控制规定。一般性控制包括但不限于：FD&amp;C法案关于禁止伪造和假冒的相关条款，机构注册和器械等级，上市前通知，禁售器械，符合FD&amp;C法案第518章要求的特定补救措施（如通知、修复、替换和退款），记录和报告，限制器械和良好生产规范。FD&amp;C法案(a)(1)(A)部分（21 U.S.C. § 360c(a)(1)(A)）。</w:t>
      </w:r>
    </w:p>
  </w:footnote>
  <w:footnote w:id="14">
    <w:p w14:paraId="79F6BE89">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通知的描述见D.3部分。</w:t>
      </w:r>
    </w:p>
  </w:footnote>
  <w:footnote w:id="15">
    <w:p w14:paraId="3FDB970D">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针对罕见病的LDT和</w:t>
      </w:r>
      <w:r>
        <w:rPr>
          <w:rFonts w:ascii="宋体" w:hAnsi="宋体" w:eastAsia="宋体" w:cs="Arial"/>
          <w:sz w:val="21"/>
          <w:szCs w:val="21"/>
        </w:rPr>
        <w:t>“</w:t>
      </w:r>
      <w:r>
        <w:rPr>
          <w:rFonts w:ascii="Arial" w:hAnsi="Arial" w:eastAsia="宋体" w:cs="Arial"/>
          <w:sz w:val="21"/>
          <w:szCs w:val="21"/>
        </w:rPr>
        <w:t>传统LDT</w:t>
      </w:r>
      <w:r>
        <w:rPr>
          <w:rFonts w:ascii="宋体" w:hAnsi="宋体" w:eastAsia="宋体" w:cs="Arial"/>
          <w:sz w:val="21"/>
          <w:szCs w:val="21"/>
        </w:rPr>
        <w:t>”</w:t>
      </w:r>
      <w:r>
        <w:rPr>
          <w:rFonts w:ascii="Arial" w:hAnsi="Arial" w:eastAsia="宋体" w:cs="Arial"/>
          <w:sz w:val="21"/>
          <w:szCs w:val="21"/>
        </w:rPr>
        <w:t>的讨论见下文D.5.(a)部分。</w:t>
      </w:r>
    </w:p>
  </w:footnote>
  <w:footnote w:id="16">
    <w:p w14:paraId="40C5D2E7">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w:t>
      </w:r>
      <w:r>
        <w:rPr>
          <w:rFonts w:ascii="宋体" w:hAnsi="宋体" w:eastAsia="宋体" w:cs="Arial"/>
          <w:sz w:val="21"/>
          <w:szCs w:val="21"/>
        </w:rPr>
        <w:t>“</w:t>
      </w:r>
      <w:r>
        <w:rPr>
          <w:rFonts w:ascii="Arial" w:hAnsi="Arial" w:eastAsia="宋体" w:cs="Arial"/>
          <w:sz w:val="21"/>
          <w:szCs w:val="21"/>
        </w:rPr>
        <w:t>针对未满足需要的LDT</w:t>
      </w:r>
      <w:r>
        <w:rPr>
          <w:rFonts w:ascii="宋体" w:hAnsi="宋体" w:eastAsia="宋体" w:cs="Arial"/>
          <w:sz w:val="21"/>
          <w:szCs w:val="21"/>
        </w:rPr>
        <w:t>”</w:t>
      </w:r>
      <w:r>
        <w:rPr>
          <w:rFonts w:ascii="Arial" w:hAnsi="Arial" w:eastAsia="宋体" w:cs="Arial"/>
          <w:sz w:val="21"/>
          <w:szCs w:val="21"/>
        </w:rPr>
        <w:t>的讨论见D.5.(b)部分。</w:t>
      </w:r>
    </w:p>
  </w:footnote>
  <w:footnote w:id="17">
    <w:p w14:paraId="37C4E894">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通知见D.3部分。</w:t>
      </w:r>
    </w:p>
  </w:footnote>
  <w:footnote w:id="18">
    <w:p w14:paraId="5284E92E">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高风险LDT见D.5.(c)部分。</w:t>
      </w:r>
    </w:p>
  </w:footnote>
  <w:footnote w:id="19">
    <w:p w14:paraId="64B001B8">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根据行业的反馈，FDA希望根据风险优先级排序对其他的高风险LDT和中等风险LDT逐步开展审查，优先级通过透明流程来确定，包括适用的专家顾问团队及提供公开评论机会。FDA希望在本指南文件完成后24个月内公布高风险LDT的优先级列表，在4年内公布中等风险LDT的优先级列表。</w:t>
      </w:r>
    </w:p>
  </w:footnote>
  <w:footnote w:id="20">
    <w:p w14:paraId="278E8B3E">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见脚注19。</w:t>
      </w:r>
    </w:p>
  </w:footnote>
  <w:footnote w:id="21">
    <w:p w14:paraId="6744CD07">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通知流程见下文的D.3部分。</w:t>
      </w:r>
    </w:p>
  </w:footnote>
  <w:footnote w:id="22">
    <w:p w14:paraId="5591D836">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不良事件报告要求见下文D.4部分。</w:t>
      </w:r>
    </w:p>
  </w:footnote>
  <w:footnote w:id="23">
    <w:p w14:paraId="28F725BA">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注意，可能列入实施上市前审查要求优先级列表的高风险LDT类别的详细信息见D.5.(d)部分。</w:t>
      </w:r>
    </w:p>
  </w:footnote>
  <w:footnote w:id="24">
    <w:p w14:paraId="22B18B13">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例如，见65 CFR 18230（2000年4月7日）（滥用检测药物OTC检测样本收集系统最终规则）（</w:t>
      </w:r>
      <w:r>
        <w:rPr>
          <w:rFonts w:ascii="宋体" w:hAnsi="宋体" w:eastAsia="宋体" w:cs="Arial"/>
          <w:sz w:val="21"/>
          <w:szCs w:val="21"/>
        </w:rPr>
        <w:t>“</w:t>
      </w:r>
      <w:r>
        <w:rPr>
          <w:rFonts w:ascii="Arial" w:hAnsi="Arial" w:eastAsia="宋体" w:cs="Arial"/>
          <w:sz w:val="21"/>
          <w:szCs w:val="21"/>
        </w:rPr>
        <w:t>但在法律施行的过程中，由于有相应的保护措施确保样本的完整性和检测的准确性，且该保证在家庭、工作、保险和运动环境下是不可用的，因此FDA将继续对上述产品的使用施行强制执行自由裁量。额外的保护包括</w:t>
      </w:r>
      <w:bookmarkStart w:id="46" w:name="OLE_LINK67"/>
      <w:bookmarkStart w:id="47" w:name="OLE_LINK68"/>
      <w:r>
        <w:rPr>
          <w:rFonts w:ascii="Arial" w:hAnsi="Arial" w:eastAsia="宋体" w:cs="Arial"/>
          <w:sz w:val="21"/>
          <w:szCs w:val="21"/>
        </w:rPr>
        <w:t>在法律诉讼中使用证据规则</w:t>
      </w:r>
      <w:bookmarkEnd w:id="46"/>
      <w:bookmarkEnd w:id="47"/>
      <w:r>
        <w:rPr>
          <w:rFonts w:ascii="Arial" w:hAnsi="Arial" w:eastAsia="宋体" w:cs="Arial"/>
          <w:sz w:val="21"/>
          <w:szCs w:val="21"/>
        </w:rPr>
        <w:t>，以及在诉讼程序中代表被告（被质询的对象）。</w:t>
      </w:r>
      <w:r>
        <w:rPr>
          <w:rFonts w:ascii="宋体" w:hAnsi="宋体" w:eastAsia="宋体" w:cs="Arial"/>
          <w:sz w:val="21"/>
          <w:szCs w:val="21"/>
        </w:rPr>
        <w:t>”</w:t>
      </w:r>
      <w:r>
        <w:rPr>
          <w:rFonts w:ascii="Arial" w:hAnsi="Arial" w:eastAsia="宋体" w:cs="Arial"/>
          <w:sz w:val="21"/>
          <w:szCs w:val="21"/>
        </w:rPr>
        <w:t>）；FDA指南草案，滥用筛查检测药物的上市前申请和标签建议（2003年12月），见于</w:t>
      </w:r>
      <w:r>
        <w:fldChar w:fldCharType="begin"/>
      </w:r>
      <w:r>
        <w:instrText xml:space="preserve"> HYPERLINK "http://www.fda.gov/MedicalDevices/DeviceRegulationandGuidance/GuidanceDocuments/ucm070612.htm" </w:instrText>
      </w:r>
      <w:r>
        <w:fldChar w:fldCharType="separate"/>
      </w:r>
      <w:r>
        <w:rPr>
          <w:rStyle w:val="12"/>
          <w:rFonts w:ascii="Arial" w:hAnsi="Arial" w:eastAsia="宋体" w:cs="Arial"/>
          <w:color w:val="0000FF"/>
          <w:sz w:val="21"/>
          <w:szCs w:val="21"/>
        </w:rPr>
        <w:t>http://www.fda.gov/MedicalDevices/DeviceRegulationandGuidance/GuidanceDocuments/ucm070612.htm</w:t>
      </w:r>
      <w:r>
        <w:rPr>
          <w:rStyle w:val="12"/>
          <w:rFonts w:ascii="Arial" w:hAnsi="Arial" w:eastAsia="宋体" w:cs="Arial"/>
          <w:color w:val="0000FF"/>
          <w:sz w:val="21"/>
          <w:szCs w:val="21"/>
        </w:rPr>
        <w:fldChar w:fldCharType="end"/>
      </w:r>
      <w:r>
        <w:rPr>
          <w:rFonts w:ascii="Arial" w:hAnsi="Arial" w:eastAsia="宋体" w:cs="Arial"/>
          <w:sz w:val="21"/>
          <w:szCs w:val="21"/>
        </w:rPr>
        <w:t>（</w:t>
      </w:r>
      <w:r>
        <w:rPr>
          <w:rFonts w:ascii="宋体" w:hAnsi="宋体" w:eastAsia="宋体" w:cs="Arial"/>
          <w:sz w:val="21"/>
          <w:szCs w:val="21"/>
        </w:rPr>
        <w:t>“</w:t>
      </w:r>
      <w:r>
        <w:rPr>
          <w:rFonts w:ascii="Arial" w:hAnsi="Arial" w:eastAsia="宋体" w:cs="Arial"/>
          <w:sz w:val="21"/>
          <w:szCs w:val="21"/>
        </w:rPr>
        <w:t>当前，FDA会对现有的法律控制系统中法医（执法）用检测的使用进行监管，例如在法律诉讼中使用证据规则，以及其他在法律诉讼流程中提供的保护。</w:t>
      </w:r>
      <w:r>
        <w:rPr>
          <w:rFonts w:ascii="宋体" w:hAnsi="宋体" w:eastAsia="宋体" w:cs="Arial"/>
          <w:sz w:val="21"/>
          <w:szCs w:val="21"/>
        </w:rPr>
        <w:t>”</w:t>
      </w:r>
      <w:r>
        <w:rPr>
          <w:rFonts w:ascii="Arial" w:hAnsi="Arial" w:eastAsia="宋体" w:cs="Arial"/>
          <w:sz w:val="21"/>
          <w:szCs w:val="21"/>
        </w:rPr>
        <w:t>）</w:t>
      </w:r>
    </w:p>
  </w:footnote>
  <w:footnote w:id="25">
    <w:p w14:paraId="6D278090">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这些术语的定义见21 CFR 807.3(d)。本指南使用</w:t>
      </w:r>
      <w:r>
        <w:rPr>
          <w:rFonts w:ascii="宋体" w:hAnsi="宋体" w:eastAsia="宋体" w:cs="Arial"/>
          <w:sz w:val="21"/>
          <w:szCs w:val="21"/>
        </w:rPr>
        <w:t>“</w:t>
      </w:r>
      <w:r>
        <w:rPr>
          <w:rFonts w:ascii="Arial" w:hAnsi="Arial" w:eastAsia="宋体" w:cs="Arial"/>
          <w:sz w:val="21"/>
          <w:szCs w:val="21"/>
        </w:rPr>
        <w:t>制造商</w:t>
      </w:r>
      <w:r>
        <w:rPr>
          <w:rFonts w:ascii="宋体" w:hAnsi="宋体" w:eastAsia="宋体" w:cs="Arial"/>
          <w:sz w:val="21"/>
          <w:szCs w:val="21"/>
        </w:rPr>
        <w:t>”</w:t>
      </w:r>
      <w:r>
        <w:rPr>
          <w:rFonts w:hint="eastAsia" w:ascii="Arial" w:hAnsi="Arial" w:eastAsia="宋体" w:cs="Arial"/>
          <w:sz w:val="21"/>
          <w:szCs w:val="21"/>
        </w:rPr>
        <w:t>涵盖</w:t>
      </w:r>
      <w:r>
        <w:rPr>
          <w:rFonts w:ascii="Arial" w:hAnsi="Arial" w:eastAsia="宋体" w:cs="Arial"/>
          <w:sz w:val="21"/>
          <w:szCs w:val="21"/>
        </w:rPr>
        <w:t>所有。</w:t>
      </w:r>
    </w:p>
  </w:footnote>
  <w:footnote w:id="26">
    <w:p w14:paraId="4CCF692A">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在本指南中，FDA使用术语</w:t>
      </w:r>
      <w:r>
        <w:rPr>
          <w:rFonts w:ascii="宋体" w:hAnsi="宋体" w:eastAsia="宋体" w:cs="Arial"/>
          <w:sz w:val="21"/>
          <w:szCs w:val="21"/>
        </w:rPr>
        <w:t>“</w:t>
      </w:r>
      <w:r>
        <w:rPr>
          <w:rFonts w:ascii="Arial" w:hAnsi="Arial" w:eastAsia="宋体" w:cs="Arial"/>
          <w:sz w:val="21"/>
          <w:szCs w:val="21"/>
        </w:rPr>
        <w:t>上市的预期用途</w:t>
      </w:r>
      <w:r>
        <w:rPr>
          <w:rFonts w:ascii="宋体" w:hAnsi="宋体" w:eastAsia="宋体" w:cs="Arial"/>
          <w:sz w:val="21"/>
          <w:szCs w:val="21"/>
        </w:rPr>
        <w:t>”</w:t>
      </w:r>
      <w:r>
        <w:rPr>
          <w:rFonts w:ascii="Arial" w:hAnsi="Arial" w:eastAsia="宋体" w:cs="Arial"/>
          <w:sz w:val="21"/>
          <w:szCs w:val="21"/>
        </w:rPr>
        <w:t>来指代实验室推广或在任何适用的标签中涵盖的检测的使用场景。虽然FDA一般会认为新型医疗器械包括对已有器械的其他类型的修改（例如技术性改变），但仅在本分章节中，新型LDT并不包括对已有LDT的其他类型的修改。</w:t>
      </w:r>
    </w:p>
  </w:footnote>
  <w:footnote w:id="27">
    <w:p w14:paraId="1E7238A3">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对</w:t>
      </w:r>
      <w:r>
        <w:rPr>
          <w:rFonts w:ascii="宋体" w:hAnsi="宋体" w:eastAsia="宋体" w:cs="Arial"/>
          <w:sz w:val="21"/>
          <w:szCs w:val="21"/>
        </w:rPr>
        <w:t>“</w:t>
      </w:r>
      <w:r>
        <w:rPr>
          <w:rFonts w:ascii="Arial" w:hAnsi="Arial" w:eastAsia="宋体" w:cs="Arial"/>
          <w:sz w:val="21"/>
          <w:szCs w:val="21"/>
        </w:rPr>
        <w:t>机构</w:t>
      </w:r>
      <w:r>
        <w:rPr>
          <w:rFonts w:ascii="宋体" w:hAnsi="宋体" w:eastAsia="宋体" w:cs="Arial"/>
          <w:sz w:val="21"/>
          <w:szCs w:val="21"/>
        </w:rPr>
        <w:t>”</w:t>
      </w:r>
      <w:r>
        <w:rPr>
          <w:rFonts w:ascii="Arial" w:hAnsi="Arial" w:eastAsia="宋体" w:cs="Arial"/>
          <w:sz w:val="21"/>
          <w:szCs w:val="21"/>
        </w:rPr>
        <w:t>的定义见21 CFR 807.3(c)。</w:t>
      </w:r>
    </w:p>
  </w:footnote>
  <w:footnote w:id="28">
    <w:p w14:paraId="162071D6">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针对临床实验室，FDA已经施行了适用于医疗器械使用机构的MDR法规条款（21 CFR 803.3和C子部分）。医疗器械使用机构应在</w:t>
      </w:r>
      <w:bookmarkStart w:id="48" w:name="OLE_LINK70"/>
      <w:bookmarkStart w:id="49" w:name="OLE_LINK71"/>
      <w:r>
        <w:rPr>
          <w:rFonts w:ascii="Arial" w:hAnsi="Arial" w:eastAsia="宋体" w:cs="Arial"/>
          <w:sz w:val="21"/>
          <w:szCs w:val="21"/>
        </w:rPr>
        <w:t>有合理的信息发现器械导致死亡时向</w:t>
      </w:r>
      <w:bookmarkEnd w:id="48"/>
      <w:bookmarkEnd w:id="49"/>
      <w:r>
        <w:rPr>
          <w:rFonts w:ascii="Arial" w:hAnsi="Arial" w:eastAsia="宋体" w:cs="Arial"/>
          <w:sz w:val="21"/>
          <w:szCs w:val="21"/>
        </w:rPr>
        <w:t>FDA报告，以及当有合理的信息发现器械导致或增加死亡或严重损伤时向制造商报告（21 CFR 803.30）。</w:t>
      </w:r>
    </w:p>
  </w:footnote>
  <w:footnote w:id="29">
    <w:p w14:paraId="27612D85">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当机构的工作人员接受的报告合理地表明发生了可报告事件时，该制造商即</w:t>
      </w:r>
      <w:r>
        <w:rPr>
          <w:rFonts w:ascii="宋体" w:hAnsi="宋体" w:eastAsia="宋体" w:cs="Arial"/>
          <w:sz w:val="21"/>
          <w:szCs w:val="21"/>
        </w:rPr>
        <w:t>“</w:t>
      </w:r>
      <w:r>
        <w:rPr>
          <w:rFonts w:ascii="Arial" w:hAnsi="Arial" w:eastAsia="宋体" w:cs="Arial"/>
          <w:sz w:val="21"/>
          <w:szCs w:val="21"/>
        </w:rPr>
        <w:t>知晓</w:t>
      </w:r>
      <w:r>
        <w:rPr>
          <w:rFonts w:ascii="宋体" w:hAnsi="宋体" w:eastAsia="宋体" w:cs="Arial"/>
          <w:sz w:val="21"/>
          <w:szCs w:val="21"/>
        </w:rPr>
        <w:t>”</w:t>
      </w:r>
      <w:r>
        <w:rPr>
          <w:rFonts w:ascii="Arial" w:hAnsi="Arial" w:eastAsia="宋体" w:cs="Arial"/>
          <w:sz w:val="21"/>
          <w:szCs w:val="21"/>
        </w:rPr>
        <w:t>该事件。（21 CFR 803.3）。</w:t>
      </w:r>
    </w:p>
  </w:footnote>
  <w:footnote w:id="30">
    <w:p w14:paraId="2BF2748E">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表述</w:t>
      </w:r>
      <w:r>
        <w:rPr>
          <w:rFonts w:ascii="宋体" w:hAnsi="宋体" w:eastAsia="宋体" w:cs="Arial"/>
          <w:sz w:val="21"/>
          <w:szCs w:val="21"/>
        </w:rPr>
        <w:t>“</w:t>
      </w:r>
      <w:r>
        <w:rPr>
          <w:rFonts w:ascii="Arial" w:hAnsi="Arial" w:eastAsia="宋体" w:cs="Arial"/>
          <w:sz w:val="21"/>
          <w:szCs w:val="21"/>
        </w:rPr>
        <w:t>导致或增加风险</w:t>
      </w:r>
      <w:r>
        <w:rPr>
          <w:rFonts w:ascii="宋体" w:hAnsi="宋体" w:eastAsia="宋体" w:cs="Arial"/>
          <w:sz w:val="21"/>
          <w:szCs w:val="21"/>
        </w:rPr>
        <w:t>”</w:t>
      </w:r>
      <w:r>
        <w:rPr>
          <w:rFonts w:ascii="Arial" w:hAnsi="Arial" w:eastAsia="宋体" w:cs="Arial"/>
          <w:sz w:val="21"/>
          <w:szCs w:val="21"/>
        </w:rPr>
        <w:t>指的是死亡或严重损伤是由医疗器械引起或导致，或某种医疗器械是死亡或严重损伤的因素，包括由于故障、功能异常、设计不当或不足、生产、标签或用户使用不当引起的事件。（21 CFR 803.3）</w:t>
      </w:r>
    </w:p>
  </w:footnote>
  <w:footnote w:id="31">
    <w:p w14:paraId="2C000234">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w:t>
      </w:r>
      <w:r>
        <w:rPr>
          <w:rFonts w:ascii="宋体" w:hAnsi="宋体" w:eastAsia="宋体" w:cs="Arial"/>
          <w:sz w:val="21"/>
          <w:szCs w:val="21"/>
        </w:rPr>
        <w:t>“</w:t>
      </w:r>
      <w:r>
        <w:rPr>
          <w:rFonts w:ascii="Arial" w:hAnsi="Arial" w:eastAsia="宋体" w:cs="Arial"/>
          <w:sz w:val="21"/>
          <w:szCs w:val="21"/>
        </w:rPr>
        <w:t>严重损伤</w:t>
      </w:r>
      <w:r>
        <w:rPr>
          <w:rFonts w:ascii="宋体" w:hAnsi="宋体" w:eastAsia="宋体" w:cs="Arial"/>
          <w:sz w:val="21"/>
          <w:szCs w:val="21"/>
        </w:rPr>
        <w:t>”</w:t>
      </w:r>
      <w:r>
        <w:rPr>
          <w:rFonts w:ascii="Arial" w:hAnsi="Arial" w:eastAsia="宋体" w:cs="Arial"/>
          <w:sz w:val="21"/>
          <w:szCs w:val="21"/>
        </w:rPr>
        <w:t>指的是危及生命、造成身体功能的永久性损害，或对身体结构造成永久性损害、或需要采取医疗或手术措施来防止造成身体功能的永久性损害，或对身体结构造成永久性损害的损伤或疾病。（21 CFR 803.3）。</w:t>
      </w:r>
    </w:p>
  </w:footnote>
  <w:footnote w:id="32">
    <w:p w14:paraId="7F663B88">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w:t>
      </w:r>
      <w:r>
        <w:rPr>
          <w:rFonts w:ascii="宋体" w:hAnsi="宋体" w:eastAsia="宋体" w:cs="Arial"/>
          <w:sz w:val="21"/>
          <w:szCs w:val="21"/>
        </w:rPr>
        <w:t>“</w:t>
      </w:r>
      <w:r>
        <w:rPr>
          <w:rFonts w:ascii="Arial" w:hAnsi="Arial" w:eastAsia="宋体" w:cs="Arial"/>
          <w:sz w:val="21"/>
          <w:szCs w:val="21"/>
        </w:rPr>
        <w:t>医疗护理系统</w:t>
      </w:r>
      <w:r>
        <w:rPr>
          <w:rFonts w:ascii="宋体" w:hAnsi="宋体" w:eastAsia="宋体" w:cs="Arial"/>
          <w:sz w:val="21"/>
          <w:szCs w:val="21"/>
        </w:rPr>
        <w:t>”</w:t>
      </w:r>
      <w:r>
        <w:rPr>
          <w:rFonts w:ascii="Arial" w:hAnsi="Arial" w:eastAsia="宋体" w:cs="Arial"/>
          <w:sz w:val="21"/>
          <w:szCs w:val="21"/>
        </w:rPr>
        <w:t>指的是由相同机构拥有和运营的一系列医院，且共享患者的护理信息，例如（但不限于）药品订单信息、治疗和诊断信息、患者结局等。请注意，在这种情况下，FDA不认为该机构的医疗护理系统内含有签订合同的诊断性实验室。FDA会认为该机构的医疗护理系统拥有且运营诊断性实验室。也请注意</w:t>
      </w:r>
      <w:r>
        <w:rPr>
          <w:rFonts w:ascii="宋体" w:hAnsi="宋体" w:eastAsia="宋体" w:cs="Arial"/>
          <w:sz w:val="21"/>
          <w:szCs w:val="21"/>
        </w:rPr>
        <w:t>“</w:t>
      </w:r>
      <w:r>
        <w:rPr>
          <w:rFonts w:ascii="Arial" w:hAnsi="Arial" w:eastAsia="宋体" w:cs="Arial"/>
          <w:sz w:val="21"/>
          <w:szCs w:val="21"/>
        </w:rPr>
        <w:t>医院</w:t>
      </w:r>
      <w:r>
        <w:rPr>
          <w:rFonts w:ascii="宋体" w:hAnsi="宋体" w:eastAsia="宋体" w:cs="Arial"/>
          <w:sz w:val="21"/>
          <w:szCs w:val="21"/>
        </w:rPr>
        <w:t>”</w:t>
      </w:r>
      <w:r>
        <w:rPr>
          <w:rFonts w:ascii="Arial" w:hAnsi="Arial" w:eastAsia="宋体" w:cs="Arial"/>
          <w:sz w:val="21"/>
          <w:szCs w:val="21"/>
        </w:rPr>
        <w:t>的定义为：</w:t>
      </w:r>
      <w:r>
        <w:rPr>
          <w:rFonts w:ascii="宋体" w:hAnsi="宋体" w:eastAsia="宋体" w:cs="Arial"/>
          <w:sz w:val="21"/>
          <w:szCs w:val="21"/>
        </w:rPr>
        <w:t>“</w:t>
      </w:r>
      <w:r>
        <w:rPr>
          <w:rFonts w:ascii="Arial" w:hAnsi="Arial" w:eastAsia="宋体" w:cs="Arial"/>
          <w:sz w:val="21"/>
          <w:szCs w:val="21"/>
        </w:rPr>
        <w:t>一个独立的机构，其主要运营目的是提供针对特定或一般性医疗疾病的诊断、治疗（如医疗、职业、语言、物理）、手术和其他患者服务。医院包括一般性、慢性疾病、康复、精神疾病、和其他特殊目的的机构。</w:t>
      </w:r>
      <w:r>
        <w:rPr>
          <w:rFonts w:ascii="宋体" w:hAnsi="宋体" w:eastAsia="宋体" w:cs="Arial"/>
          <w:sz w:val="21"/>
          <w:szCs w:val="21"/>
        </w:rPr>
        <w:t>”</w:t>
      </w:r>
      <w:r>
        <w:rPr>
          <w:rFonts w:ascii="Arial" w:hAnsi="Arial" w:eastAsia="宋体" w:cs="Arial"/>
          <w:sz w:val="21"/>
          <w:szCs w:val="21"/>
        </w:rPr>
        <w:t>21 CFR 803.3。</w:t>
      </w:r>
    </w:p>
  </w:footnote>
  <w:footnote w:id="33">
    <w:p w14:paraId="57249887">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伴随式诊断器械（也称为体外伴随式诊断器械或IVD伴随式诊断器械）是一种提供体外诊断信息的器械，该信息对于某种治疗性产品的安全和有效使用十分关键。关于伴随式诊断器械的其他信息见于指南文件</w:t>
      </w:r>
      <w:r>
        <w:rPr>
          <w:rFonts w:ascii="宋体" w:hAnsi="宋体" w:eastAsia="宋体" w:cs="Arial"/>
          <w:sz w:val="21"/>
          <w:szCs w:val="21"/>
        </w:rPr>
        <w:t>“</w:t>
      </w:r>
      <w:r>
        <w:rPr>
          <w:rFonts w:ascii="Arial" w:hAnsi="Arial" w:eastAsia="宋体" w:cs="Arial"/>
          <w:sz w:val="21"/>
          <w:szCs w:val="21"/>
        </w:rPr>
        <w:t>体外伴随式诊断器械。</w:t>
      </w:r>
      <w:r>
        <w:rPr>
          <w:rFonts w:ascii="宋体" w:hAnsi="宋体" w:eastAsia="宋体" w:cs="Arial"/>
          <w:sz w:val="21"/>
          <w:szCs w:val="21"/>
        </w:rPr>
        <w:t>”</w:t>
      </w:r>
      <w:r>
        <w:rPr>
          <w:rFonts w:ascii="Arial" w:hAnsi="Arial" w:cs="Arial"/>
          <w:sz w:val="21"/>
          <w:szCs w:val="21"/>
        </w:rPr>
        <w:t xml:space="preserve"> </w:t>
      </w:r>
      <w:r>
        <w:fldChar w:fldCharType="begin"/>
      </w:r>
      <w:r>
        <w:instrText xml:space="preserve"> HYPERLINK "http://www.fda.gov/downloads/MedicalDevices/DeviceRegulationandGuidance/GuidanceDocuments/UCM262327.pdf" </w:instrText>
      </w:r>
      <w:r>
        <w:fldChar w:fldCharType="separate"/>
      </w:r>
      <w:r>
        <w:rPr>
          <w:rStyle w:val="12"/>
          <w:rFonts w:ascii="Arial" w:hAnsi="Arial" w:eastAsia="宋体" w:cs="Arial"/>
          <w:color w:val="auto"/>
          <w:sz w:val="21"/>
          <w:szCs w:val="21"/>
        </w:rPr>
        <w:t>http://www.fda.gov/downloads/MedicalDevices/DeviceRegulationandGuidance/GuidanceDocuments/UCM262327.pdf</w:t>
      </w:r>
      <w:r>
        <w:rPr>
          <w:rStyle w:val="12"/>
          <w:rFonts w:ascii="Arial" w:hAnsi="Arial" w:eastAsia="宋体" w:cs="Arial"/>
          <w:color w:val="auto"/>
          <w:sz w:val="21"/>
          <w:szCs w:val="21"/>
        </w:rPr>
        <w:fldChar w:fldCharType="end"/>
      </w:r>
      <w:r>
        <w:rPr>
          <w:rFonts w:ascii="Arial" w:hAnsi="Arial" w:eastAsia="宋体" w:cs="Arial"/>
          <w:sz w:val="21"/>
          <w:szCs w:val="21"/>
        </w:rPr>
        <w:t>。</w:t>
      </w:r>
    </w:p>
  </w:footnote>
  <w:footnote w:id="34">
    <w:p w14:paraId="1DB7C50B">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注意，应最优先施行上市前审查要求的高风险类别的LDT的详细信息见于</w:t>
      </w:r>
      <w:r>
        <w:rPr>
          <w:rFonts w:ascii="宋体" w:hAnsi="宋体" w:eastAsia="宋体" w:cs="Arial"/>
          <w:sz w:val="21"/>
          <w:szCs w:val="21"/>
        </w:rPr>
        <w:t>“</w:t>
      </w:r>
      <w:r>
        <w:rPr>
          <w:rFonts w:ascii="Arial" w:hAnsi="Arial" w:eastAsia="宋体" w:cs="Arial"/>
          <w:sz w:val="21"/>
          <w:szCs w:val="21"/>
        </w:rPr>
        <w:t>机构高度关注的LDT</w:t>
      </w:r>
      <w:r>
        <w:rPr>
          <w:rFonts w:ascii="宋体" w:hAnsi="宋体" w:eastAsia="宋体" w:cs="Arial"/>
          <w:sz w:val="21"/>
          <w:szCs w:val="21"/>
        </w:rPr>
        <w:t>”</w:t>
      </w:r>
      <w:r>
        <w:rPr>
          <w:rFonts w:ascii="Arial" w:hAnsi="Arial" w:eastAsia="宋体" w:cs="Arial"/>
          <w:sz w:val="21"/>
          <w:szCs w:val="21"/>
        </w:rPr>
        <w:t>部分。</w:t>
      </w:r>
    </w:p>
  </w:footnote>
  <w:footnote w:id="35">
    <w:p w14:paraId="787863D5">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FDA希望在顾问委员会召开针对LDT风险和实施优先级顺序的会议前发布本指南的草案用于收集评论。</w:t>
      </w:r>
    </w:p>
  </w:footnote>
  <w:footnote w:id="36">
    <w:p w14:paraId="6BDF7BB5">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机构将用于特定感染性疾病，预期用途风险较高的诊断性器械认定为高度关注的器械。例如，当前可用的旨在检测和区分病毒抗体抗原是否存在，从而诊断病毒感染的巨细胞病毒和/或EB病毒血清学器械一般认为是低风险器械。但用于监测感染、免疫缺陷或移植患者的巨细胞病毒或EB病毒水平的新型分子器械则属于高风险器械分类，因为该类患者有较高风险死于感染，尤其是在治疗开始时该检测记录出现假阴性或低病毒量时。</w:t>
      </w:r>
    </w:p>
  </w:footnote>
  <w:footnote w:id="37">
    <w:p w14:paraId="3084526A">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关于FDA现行的第三方审查项目的更多信息见于</w:t>
      </w:r>
      <w:r>
        <w:fldChar w:fldCharType="begin"/>
      </w:r>
      <w:r>
        <w:instrText xml:space="preserve"> HYPERLINK "http://www.fda.gov/medicaldevices/deviceregulationandguidance/howtomarketyourdevice/premarketsubmissions/thirdparyreview/default.htm" </w:instrText>
      </w:r>
      <w:r>
        <w:fldChar w:fldCharType="separate"/>
      </w:r>
      <w:r>
        <w:rPr>
          <w:rStyle w:val="12"/>
          <w:rFonts w:ascii="Arial" w:hAnsi="Arial" w:eastAsia="宋体" w:cs="Arial"/>
          <w:color w:val="0000FF"/>
          <w:sz w:val="21"/>
          <w:szCs w:val="21"/>
        </w:rPr>
        <w:t>http://www.fda.gov/medicaldevices/deviceregulationandguidance/howtomarketyourdevice/premarketsubmissions/thirdparyreview/default.htm</w:t>
      </w:r>
      <w:r>
        <w:rPr>
          <w:rStyle w:val="12"/>
          <w:rFonts w:ascii="Arial" w:hAnsi="Arial" w:eastAsia="宋体" w:cs="Arial"/>
          <w:color w:val="0000FF"/>
          <w:sz w:val="21"/>
          <w:szCs w:val="21"/>
        </w:rPr>
        <w:fldChar w:fldCharType="end"/>
      </w:r>
      <w:r>
        <w:rPr>
          <w:rFonts w:ascii="Arial" w:hAnsi="Arial" w:eastAsia="宋体" w:cs="Arial"/>
          <w:sz w:val="21"/>
          <w:szCs w:val="21"/>
        </w:rPr>
        <w:t>。</w:t>
      </w:r>
    </w:p>
  </w:footnote>
  <w:footnote w:id="38">
    <w:p w14:paraId="3AE283D8">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根据现行法规，多数I类器械可以免除510（k）上市前通知要求；但一小部分I类器械不能豁免，因此</w:t>
      </w:r>
      <w:bookmarkStart w:id="50" w:name="OLE_LINK16"/>
      <w:bookmarkStart w:id="51" w:name="OLE_LINK17"/>
      <w:r>
        <w:rPr>
          <w:rFonts w:ascii="Arial" w:hAnsi="Arial" w:eastAsia="宋体" w:cs="Arial"/>
          <w:sz w:val="21"/>
          <w:szCs w:val="21"/>
        </w:rPr>
        <w:t>应遵守510（k）上市前通知要求。</w:t>
      </w:r>
      <w:bookmarkEnd w:id="50"/>
      <w:bookmarkEnd w:id="51"/>
      <w:r>
        <w:rPr>
          <w:rFonts w:ascii="Arial" w:hAnsi="Arial" w:eastAsia="宋体" w:cs="Arial"/>
          <w:sz w:val="21"/>
          <w:szCs w:val="21"/>
        </w:rPr>
        <w:t>与此相反，根据现行法规，只有一小部分II类器械可以免除510（k）上市前通知要求，因此，多数II类器械应遵守510（k）上市前通知要求。</w:t>
      </w:r>
    </w:p>
  </w:footnote>
  <w:footnote w:id="39">
    <w:p w14:paraId="522C88EA">
      <w:pPr>
        <w:pStyle w:val="7"/>
        <w:spacing w:line="300" w:lineRule="auto"/>
        <w:rPr>
          <w:rFonts w:ascii="Arial" w:hAnsi="Arial" w:eastAsia="宋体" w:cs="Arial"/>
          <w:sz w:val="21"/>
          <w:szCs w:val="21"/>
        </w:rPr>
      </w:pPr>
      <w:r>
        <w:rPr>
          <w:rStyle w:val="13"/>
          <w:rFonts w:ascii="Arial" w:hAnsi="Arial" w:eastAsia="宋体" w:cs="Arial"/>
          <w:sz w:val="21"/>
          <w:szCs w:val="21"/>
        </w:rPr>
        <w:footnoteRef/>
      </w:r>
      <w:r>
        <w:rPr>
          <w:rFonts w:ascii="Arial" w:hAnsi="Arial" w:eastAsia="宋体" w:cs="Arial"/>
          <w:sz w:val="21"/>
          <w:szCs w:val="21"/>
        </w:rPr>
        <w:t xml:space="preserve"> 根据21 CFR 812.3(m)的规定，重大风险器械的研究需要FDA对IDE申请进行审批。符合21 CFR 812.3(b)所述的非重大风险器械的研究可以认为拥有已批准的IDE，而无需FDA审查和批准申请。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9943">
    <w:pPr>
      <w:pStyle w:val="5"/>
      <w:pBdr>
        <w:bottom w:val="none" w:color="auto" w:sz="0" w:space="0"/>
      </w:pBdr>
      <w:spacing w:line="300" w:lineRule="auto"/>
      <w:rPr>
        <w:rFonts w:ascii="宋体" w:hAnsi="宋体" w:eastAsia="宋体" w:cs="Arial"/>
        <w:b/>
        <w:bCs/>
        <w:i/>
        <w:iCs/>
        <w:sz w:val="21"/>
        <w:szCs w:val="21"/>
      </w:rPr>
    </w:pPr>
    <w:r>
      <w:rPr>
        <w:rFonts w:hint="eastAsia" w:ascii="宋体" w:hAnsi="宋体" w:eastAsia="宋体" w:cs="Arial"/>
        <w:b/>
        <w:bCs/>
        <w:i/>
        <w:iCs/>
        <w:sz w:val="21"/>
        <w:szCs w:val="21"/>
      </w:rPr>
      <w:t>所含建议不具约束力</w:t>
    </w:r>
  </w:p>
  <w:p w14:paraId="7EE105AE">
    <w:pPr>
      <w:pStyle w:val="5"/>
      <w:pBdr>
        <w:bottom w:val="none" w:color="auto" w:sz="0" w:space="0"/>
      </w:pBdr>
      <w:spacing w:line="300" w:lineRule="auto"/>
      <w:rPr>
        <w:rFonts w:ascii="宋体" w:hAnsi="宋体" w:eastAsia="宋体" w:cs="Arial"/>
        <w:sz w:val="21"/>
        <w:szCs w:val="21"/>
      </w:rPr>
    </w:pPr>
    <w:r>
      <w:rPr>
        <w:rFonts w:hint="eastAsia" w:ascii="宋体" w:hAnsi="宋体" w:eastAsia="宋体" w:cs="Arial"/>
        <w:bCs/>
        <w:i/>
        <w:iCs/>
        <w:szCs w:val="21"/>
      </w:rPr>
      <w:t>草案</w:t>
    </w:r>
    <w:r>
      <w:rPr>
        <w:rFonts w:ascii="宋体" w:hAnsi="宋体" w:eastAsia="宋体" w:cs="Arial"/>
        <w:bCs/>
        <w:i/>
        <w:iCs/>
        <w:szCs w:val="21"/>
      </w:rPr>
      <w:t>-</w:t>
    </w:r>
    <w:r>
      <w:rPr>
        <w:rFonts w:hint="eastAsia" w:ascii="宋体" w:hAnsi="宋体" w:eastAsia="宋体" w:cs="Arial"/>
        <w:bCs/>
        <w:i/>
        <w:iCs/>
        <w:szCs w:val="21"/>
      </w:rPr>
      <w:t>不用于实施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903B1"/>
    <w:multiLevelType w:val="multilevel"/>
    <w:tmpl w:val="0A2903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6497AE3"/>
    <w:multiLevelType w:val="multilevel"/>
    <w:tmpl w:val="26497AE3"/>
    <w:lvl w:ilvl="0" w:tentative="0">
      <w:start w:val="1"/>
      <w:numFmt w:val="bullet"/>
      <w:lvlText w:val="●"/>
      <w:lvlJc w:val="left"/>
      <w:pPr>
        <w:ind w:left="840" w:hanging="420"/>
      </w:pPr>
      <w:rPr>
        <w:rFonts w:hint="default" w:ascii="Arial" w:hAnsi="Arial"/>
        <w:w w:val="10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9CF67F2"/>
    <w:multiLevelType w:val="multilevel"/>
    <w:tmpl w:val="39CF67F2"/>
    <w:lvl w:ilvl="0" w:tentative="0">
      <w:start w:val="1"/>
      <w:numFmt w:val="bullet"/>
      <w:lvlText w:val="●"/>
      <w:lvlJc w:val="left"/>
      <w:pPr>
        <w:ind w:left="1260" w:hanging="420"/>
      </w:pPr>
      <w:rPr>
        <w:rFonts w:hint="default" w:ascii="Arial" w:hAnsi="Arial"/>
        <w:w w:val="100"/>
        <w:sz w:val="24"/>
        <w:szCs w:val="24"/>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3DF65774"/>
    <w:multiLevelType w:val="multilevel"/>
    <w:tmpl w:val="3DF65774"/>
    <w:lvl w:ilvl="0" w:tentative="0">
      <w:start w:val="1"/>
      <w:numFmt w:val="bullet"/>
      <w:lvlText w:val="●"/>
      <w:lvlJc w:val="left"/>
      <w:pPr>
        <w:ind w:left="840" w:hanging="420"/>
      </w:pPr>
      <w:rPr>
        <w:rFonts w:hint="default" w:ascii="Arial" w:hAnsi="Arial"/>
        <w:w w:val="100"/>
        <w:sz w:val="24"/>
        <w:szCs w:val="24"/>
      </w:rPr>
    </w:lvl>
    <w:lvl w:ilvl="1" w:tentative="0">
      <w:start w:val="1"/>
      <w:numFmt w:val="bullet"/>
      <w:lvlText w:val="o"/>
      <w:lvlJc w:val="left"/>
      <w:pPr>
        <w:ind w:left="1260" w:hanging="420"/>
      </w:pPr>
      <w:rPr>
        <w:rFonts w:hint="default" w:ascii="Times New Roman" w:hAnsi="Times New Roman" w:eastAsia="宋体"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40926B89"/>
    <w:multiLevelType w:val="multilevel"/>
    <w:tmpl w:val="40926B8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Calibri" w:hAnsi="Calibri"/>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43D574C2"/>
    <w:multiLevelType w:val="multilevel"/>
    <w:tmpl w:val="43D574C2"/>
    <w:lvl w:ilvl="0" w:tentative="0">
      <w:start w:val="1"/>
      <w:numFmt w:val="bullet"/>
      <w:lvlText w:val="●"/>
      <w:lvlJc w:val="left"/>
      <w:pPr>
        <w:ind w:left="1260" w:hanging="420"/>
      </w:pPr>
      <w:rPr>
        <w:rFonts w:hint="default" w:ascii="Arial" w:hAnsi="Arial"/>
        <w:w w:val="100"/>
        <w:sz w:val="24"/>
        <w:szCs w:val="24"/>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46AC673A"/>
    <w:multiLevelType w:val="multilevel"/>
    <w:tmpl w:val="46AC67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426E78"/>
    <w:multiLevelType w:val="multilevel"/>
    <w:tmpl w:val="47426E7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C36228"/>
    <w:multiLevelType w:val="multilevel"/>
    <w:tmpl w:val="59C36228"/>
    <w:lvl w:ilvl="0" w:tentative="0">
      <w:start w:val="1"/>
      <w:numFmt w:val="bullet"/>
      <w:lvlText w:val="●"/>
      <w:lvlJc w:val="left"/>
      <w:pPr>
        <w:ind w:left="840" w:hanging="420"/>
      </w:pPr>
      <w:rPr>
        <w:rFonts w:hint="default" w:ascii="Arial" w:hAnsi="Arial"/>
        <w:w w:val="10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66DA7450"/>
    <w:multiLevelType w:val="multilevel"/>
    <w:tmpl w:val="66DA7450"/>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ED6459E"/>
    <w:multiLevelType w:val="multilevel"/>
    <w:tmpl w:val="6ED6459E"/>
    <w:lvl w:ilvl="0" w:tentative="0">
      <w:start w:val="1"/>
      <w:numFmt w:val="upperLetter"/>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1620D63"/>
    <w:multiLevelType w:val="multilevel"/>
    <w:tmpl w:val="71620D63"/>
    <w:lvl w:ilvl="0" w:tentative="0">
      <w:start w:val="1"/>
      <w:numFmt w:val="bullet"/>
      <w:lvlText w:val=""/>
      <w:lvlJc w:val="left"/>
      <w:pPr>
        <w:ind w:left="462" w:hanging="420"/>
      </w:pPr>
      <w:rPr>
        <w:rFonts w:hint="default" w:ascii="Wingdings" w:hAnsi="Wingdings"/>
        <w:w w:val="100"/>
        <w:sz w:val="24"/>
        <w:szCs w:val="24"/>
      </w:rPr>
    </w:lvl>
    <w:lvl w:ilvl="1" w:tentative="0">
      <w:start w:val="1"/>
      <w:numFmt w:val="bullet"/>
      <w:lvlText w:val=""/>
      <w:lvlJc w:val="left"/>
      <w:pPr>
        <w:ind w:left="882" w:hanging="420"/>
      </w:pPr>
      <w:rPr>
        <w:rFonts w:hint="default" w:ascii="Wingdings" w:hAnsi="Wingdings"/>
      </w:rPr>
    </w:lvl>
    <w:lvl w:ilvl="2" w:tentative="0">
      <w:start w:val="1"/>
      <w:numFmt w:val="bullet"/>
      <w:lvlText w:val=""/>
      <w:lvlJc w:val="left"/>
      <w:pPr>
        <w:ind w:left="1302" w:hanging="420"/>
      </w:pPr>
      <w:rPr>
        <w:rFonts w:hint="default" w:ascii="Wingdings" w:hAnsi="Wingdings"/>
      </w:rPr>
    </w:lvl>
    <w:lvl w:ilvl="3" w:tentative="0">
      <w:start w:val="1"/>
      <w:numFmt w:val="bullet"/>
      <w:lvlText w:val=""/>
      <w:lvlJc w:val="left"/>
      <w:pPr>
        <w:ind w:left="1722" w:hanging="420"/>
      </w:pPr>
      <w:rPr>
        <w:rFonts w:hint="default" w:ascii="Wingdings" w:hAnsi="Wingdings"/>
      </w:rPr>
    </w:lvl>
    <w:lvl w:ilvl="4" w:tentative="0">
      <w:start w:val="1"/>
      <w:numFmt w:val="bullet"/>
      <w:lvlText w:val=""/>
      <w:lvlJc w:val="left"/>
      <w:pPr>
        <w:ind w:left="2142" w:hanging="420"/>
      </w:pPr>
      <w:rPr>
        <w:rFonts w:hint="default" w:ascii="Wingdings" w:hAnsi="Wingdings"/>
      </w:rPr>
    </w:lvl>
    <w:lvl w:ilvl="5" w:tentative="0">
      <w:start w:val="1"/>
      <w:numFmt w:val="bullet"/>
      <w:lvlText w:val=""/>
      <w:lvlJc w:val="left"/>
      <w:pPr>
        <w:ind w:left="2562" w:hanging="420"/>
      </w:pPr>
      <w:rPr>
        <w:rFonts w:hint="default" w:ascii="Wingdings" w:hAnsi="Wingdings"/>
      </w:rPr>
    </w:lvl>
    <w:lvl w:ilvl="6" w:tentative="0">
      <w:start w:val="1"/>
      <w:numFmt w:val="bullet"/>
      <w:lvlText w:val=""/>
      <w:lvlJc w:val="left"/>
      <w:pPr>
        <w:ind w:left="2982" w:hanging="420"/>
      </w:pPr>
      <w:rPr>
        <w:rFonts w:hint="default" w:ascii="Wingdings" w:hAnsi="Wingdings"/>
      </w:rPr>
    </w:lvl>
    <w:lvl w:ilvl="7" w:tentative="0">
      <w:start w:val="1"/>
      <w:numFmt w:val="bullet"/>
      <w:lvlText w:val=""/>
      <w:lvlJc w:val="left"/>
      <w:pPr>
        <w:ind w:left="3402" w:hanging="420"/>
      </w:pPr>
      <w:rPr>
        <w:rFonts w:hint="default" w:ascii="Wingdings" w:hAnsi="Wingdings"/>
      </w:rPr>
    </w:lvl>
    <w:lvl w:ilvl="8" w:tentative="0">
      <w:start w:val="1"/>
      <w:numFmt w:val="bullet"/>
      <w:lvlText w:val=""/>
      <w:lvlJc w:val="left"/>
      <w:pPr>
        <w:ind w:left="3822" w:hanging="420"/>
      </w:pPr>
      <w:rPr>
        <w:rFonts w:hint="default" w:ascii="Wingdings" w:hAnsi="Wingdings"/>
      </w:rPr>
    </w:lvl>
  </w:abstractNum>
  <w:abstractNum w:abstractNumId="12">
    <w:nsid w:val="7B635CE6"/>
    <w:multiLevelType w:val="multilevel"/>
    <w:tmpl w:val="7B635CE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8"/>
  </w:num>
  <w:num w:numId="3">
    <w:abstractNumId w:val="1"/>
  </w:num>
  <w:num w:numId="4">
    <w:abstractNumId w:val="3"/>
  </w:num>
  <w:num w:numId="5">
    <w:abstractNumId w:val="4"/>
  </w:num>
  <w:num w:numId="6">
    <w:abstractNumId w:val="5"/>
  </w:num>
  <w:num w:numId="7">
    <w:abstractNumId w:val="2"/>
  </w:num>
  <w:num w:numId="8">
    <w:abstractNumId w:val="9"/>
  </w:num>
  <w:num w:numId="9">
    <w:abstractNumId w:val="7"/>
  </w:num>
  <w:num w:numId="10">
    <w:abstractNumId w:val="12"/>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0"/>
    <w:footnote w:id="8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D6"/>
    <w:rsid w:val="000103B4"/>
    <w:rsid w:val="00011BDD"/>
    <w:rsid w:val="000122D4"/>
    <w:rsid w:val="00023BE2"/>
    <w:rsid w:val="00043CE2"/>
    <w:rsid w:val="000522F8"/>
    <w:rsid w:val="00066B12"/>
    <w:rsid w:val="000672D3"/>
    <w:rsid w:val="000672DD"/>
    <w:rsid w:val="00074381"/>
    <w:rsid w:val="00085A6E"/>
    <w:rsid w:val="000A4329"/>
    <w:rsid w:val="000B04BD"/>
    <w:rsid w:val="000B07EE"/>
    <w:rsid w:val="000B09C0"/>
    <w:rsid w:val="000C36BC"/>
    <w:rsid w:val="000C7E98"/>
    <w:rsid w:val="000D14AA"/>
    <w:rsid w:val="000E4422"/>
    <w:rsid w:val="000E721F"/>
    <w:rsid w:val="000E7F9E"/>
    <w:rsid w:val="000F36FF"/>
    <w:rsid w:val="00104575"/>
    <w:rsid w:val="00106538"/>
    <w:rsid w:val="00107054"/>
    <w:rsid w:val="00110064"/>
    <w:rsid w:val="00133353"/>
    <w:rsid w:val="001361D4"/>
    <w:rsid w:val="001759AA"/>
    <w:rsid w:val="0017607F"/>
    <w:rsid w:val="001807F3"/>
    <w:rsid w:val="001843C1"/>
    <w:rsid w:val="001879E9"/>
    <w:rsid w:val="001947E7"/>
    <w:rsid w:val="00196C7A"/>
    <w:rsid w:val="001973DB"/>
    <w:rsid w:val="00197949"/>
    <w:rsid w:val="001A1720"/>
    <w:rsid w:val="001C0A63"/>
    <w:rsid w:val="001C1F7D"/>
    <w:rsid w:val="001D40D5"/>
    <w:rsid w:val="001D4348"/>
    <w:rsid w:val="001E46FE"/>
    <w:rsid w:val="001E47E7"/>
    <w:rsid w:val="00205A11"/>
    <w:rsid w:val="00212111"/>
    <w:rsid w:val="00213BB0"/>
    <w:rsid w:val="00223D62"/>
    <w:rsid w:val="00234978"/>
    <w:rsid w:val="00246237"/>
    <w:rsid w:val="00250E25"/>
    <w:rsid w:val="00254D0F"/>
    <w:rsid w:val="00282F78"/>
    <w:rsid w:val="00286531"/>
    <w:rsid w:val="002A4793"/>
    <w:rsid w:val="002B3C4E"/>
    <w:rsid w:val="002C127E"/>
    <w:rsid w:val="002C6A3C"/>
    <w:rsid w:val="002D4AC1"/>
    <w:rsid w:val="002D674C"/>
    <w:rsid w:val="0030059C"/>
    <w:rsid w:val="00310B6A"/>
    <w:rsid w:val="0031226D"/>
    <w:rsid w:val="00312DD2"/>
    <w:rsid w:val="0032324A"/>
    <w:rsid w:val="00324309"/>
    <w:rsid w:val="003276F5"/>
    <w:rsid w:val="00334A43"/>
    <w:rsid w:val="00335BB3"/>
    <w:rsid w:val="003473FE"/>
    <w:rsid w:val="00352653"/>
    <w:rsid w:val="00365919"/>
    <w:rsid w:val="0037405D"/>
    <w:rsid w:val="00376A58"/>
    <w:rsid w:val="003952B8"/>
    <w:rsid w:val="003968AD"/>
    <w:rsid w:val="003A1CA0"/>
    <w:rsid w:val="003A6483"/>
    <w:rsid w:val="003B54F3"/>
    <w:rsid w:val="003C3BC1"/>
    <w:rsid w:val="003D7998"/>
    <w:rsid w:val="003E0F21"/>
    <w:rsid w:val="004008F7"/>
    <w:rsid w:val="00400FD6"/>
    <w:rsid w:val="00402734"/>
    <w:rsid w:val="0041127E"/>
    <w:rsid w:val="00440610"/>
    <w:rsid w:val="00444593"/>
    <w:rsid w:val="00457D78"/>
    <w:rsid w:val="00464D8F"/>
    <w:rsid w:val="00470717"/>
    <w:rsid w:val="0047206D"/>
    <w:rsid w:val="00473345"/>
    <w:rsid w:val="00476581"/>
    <w:rsid w:val="00485A40"/>
    <w:rsid w:val="00485E1E"/>
    <w:rsid w:val="00491AD3"/>
    <w:rsid w:val="00491AEC"/>
    <w:rsid w:val="004979AA"/>
    <w:rsid w:val="004A4BDE"/>
    <w:rsid w:val="004C339D"/>
    <w:rsid w:val="004D060D"/>
    <w:rsid w:val="004D31E2"/>
    <w:rsid w:val="004D656F"/>
    <w:rsid w:val="004E4002"/>
    <w:rsid w:val="004E5291"/>
    <w:rsid w:val="004F182C"/>
    <w:rsid w:val="004F6FE1"/>
    <w:rsid w:val="004F7F21"/>
    <w:rsid w:val="0050541B"/>
    <w:rsid w:val="00505EF7"/>
    <w:rsid w:val="0051289B"/>
    <w:rsid w:val="00513ABD"/>
    <w:rsid w:val="00556888"/>
    <w:rsid w:val="0056056A"/>
    <w:rsid w:val="00561868"/>
    <w:rsid w:val="00571CB8"/>
    <w:rsid w:val="005978C8"/>
    <w:rsid w:val="005B0415"/>
    <w:rsid w:val="005B0A69"/>
    <w:rsid w:val="005C44BA"/>
    <w:rsid w:val="005C702C"/>
    <w:rsid w:val="005C7847"/>
    <w:rsid w:val="005D505F"/>
    <w:rsid w:val="005D7FB9"/>
    <w:rsid w:val="005E25BA"/>
    <w:rsid w:val="006062C6"/>
    <w:rsid w:val="0061388E"/>
    <w:rsid w:val="00614B3D"/>
    <w:rsid w:val="0062639E"/>
    <w:rsid w:val="00643F68"/>
    <w:rsid w:val="006759AC"/>
    <w:rsid w:val="00675A3A"/>
    <w:rsid w:val="00676BBA"/>
    <w:rsid w:val="00694957"/>
    <w:rsid w:val="006E3041"/>
    <w:rsid w:val="006E6291"/>
    <w:rsid w:val="00707E4C"/>
    <w:rsid w:val="0071262D"/>
    <w:rsid w:val="00722BD6"/>
    <w:rsid w:val="00723061"/>
    <w:rsid w:val="00726105"/>
    <w:rsid w:val="00726A69"/>
    <w:rsid w:val="007357A1"/>
    <w:rsid w:val="00737B22"/>
    <w:rsid w:val="00743698"/>
    <w:rsid w:val="00754F12"/>
    <w:rsid w:val="007634D3"/>
    <w:rsid w:val="00780846"/>
    <w:rsid w:val="00781F85"/>
    <w:rsid w:val="0079060E"/>
    <w:rsid w:val="007A4223"/>
    <w:rsid w:val="007B1314"/>
    <w:rsid w:val="007C32CC"/>
    <w:rsid w:val="007C369E"/>
    <w:rsid w:val="007D2DD8"/>
    <w:rsid w:val="007D422F"/>
    <w:rsid w:val="007E130A"/>
    <w:rsid w:val="007E5A73"/>
    <w:rsid w:val="007F0099"/>
    <w:rsid w:val="007F23D8"/>
    <w:rsid w:val="007F5D54"/>
    <w:rsid w:val="007F68EB"/>
    <w:rsid w:val="0082055A"/>
    <w:rsid w:val="0082531D"/>
    <w:rsid w:val="00825C85"/>
    <w:rsid w:val="00826193"/>
    <w:rsid w:val="00827A9F"/>
    <w:rsid w:val="008320E9"/>
    <w:rsid w:val="00837A28"/>
    <w:rsid w:val="00845CC0"/>
    <w:rsid w:val="00847B7C"/>
    <w:rsid w:val="00850220"/>
    <w:rsid w:val="00850C2F"/>
    <w:rsid w:val="00852EC2"/>
    <w:rsid w:val="0086594B"/>
    <w:rsid w:val="008B49BE"/>
    <w:rsid w:val="008B6F72"/>
    <w:rsid w:val="008D68BB"/>
    <w:rsid w:val="008E5335"/>
    <w:rsid w:val="009125DD"/>
    <w:rsid w:val="0091309B"/>
    <w:rsid w:val="0091449D"/>
    <w:rsid w:val="009153D7"/>
    <w:rsid w:val="00916823"/>
    <w:rsid w:val="00923142"/>
    <w:rsid w:val="009412F4"/>
    <w:rsid w:val="00966EB9"/>
    <w:rsid w:val="00985B18"/>
    <w:rsid w:val="00987E85"/>
    <w:rsid w:val="009B18D1"/>
    <w:rsid w:val="009C2DF5"/>
    <w:rsid w:val="009D1790"/>
    <w:rsid w:val="009D2FC6"/>
    <w:rsid w:val="009D6DDB"/>
    <w:rsid w:val="009F59F9"/>
    <w:rsid w:val="00A100AE"/>
    <w:rsid w:val="00A26134"/>
    <w:rsid w:val="00A326CF"/>
    <w:rsid w:val="00A5460B"/>
    <w:rsid w:val="00A613BA"/>
    <w:rsid w:val="00A613E9"/>
    <w:rsid w:val="00A82EF3"/>
    <w:rsid w:val="00A87B0C"/>
    <w:rsid w:val="00A87B10"/>
    <w:rsid w:val="00A92F42"/>
    <w:rsid w:val="00A979B9"/>
    <w:rsid w:val="00A97FE9"/>
    <w:rsid w:val="00AA3D4F"/>
    <w:rsid w:val="00AA442D"/>
    <w:rsid w:val="00AC5065"/>
    <w:rsid w:val="00AC7862"/>
    <w:rsid w:val="00AD5FB2"/>
    <w:rsid w:val="00AD701C"/>
    <w:rsid w:val="00AF33D7"/>
    <w:rsid w:val="00AF7349"/>
    <w:rsid w:val="00B0267E"/>
    <w:rsid w:val="00B06FF7"/>
    <w:rsid w:val="00B202B4"/>
    <w:rsid w:val="00B250DC"/>
    <w:rsid w:val="00B364EC"/>
    <w:rsid w:val="00B4698D"/>
    <w:rsid w:val="00B5175E"/>
    <w:rsid w:val="00B56E49"/>
    <w:rsid w:val="00B57401"/>
    <w:rsid w:val="00B62B51"/>
    <w:rsid w:val="00BA3D86"/>
    <w:rsid w:val="00BB061F"/>
    <w:rsid w:val="00BB6A23"/>
    <w:rsid w:val="00BC0BFD"/>
    <w:rsid w:val="00BC7A46"/>
    <w:rsid w:val="00BF3242"/>
    <w:rsid w:val="00BF3B18"/>
    <w:rsid w:val="00BF5D2F"/>
    <w:rsid w:val="00C06CFF"/>
    <w:rsid w:val="00C26933"/>
    <w:rsid w:val="00C27B22"/>
    <w:rsid w:val="00C34840"/>
    <w:rsid w:val="00C35D3A"/>
    <w:rsid w:val="00C362AE"/>
    <w:rsid w:val="00C37ACE"/>
    <w:rsid w:val="00C37C7E"/>
    <w:rsid w:val="00C459F9"/>
    <w:rsid w:val="00C554BF"/>
    <w:rsid w:val="00C71178"/>
    <w:rsid w:val="00C84682"/>
    <w:rsid w:val="00C90D6D"/>
    <w:rsid w:val="00C93A1D"/>
    <w:rsid w:val="00CA0354"/>
    <w:rsid w:val="00CA3F12"/>
    <w:rsid w:val="00CA564E"/>
    <w:rsid w:val="00CA5842"/>
    <w:rsid w:val="00CB407E"/>
    <w:rsid w:val="00CB540E"/>
    <w:rsid w:val="00CB76C7"/>
    <w:rsid w:val="00CC4683"/>
    <w:rsid w:val="00CD3330"/>
    <w:rsid w:val="00CE1281"/>
    <w:rsid w:val="00CE3AAD"/>
    <w:rsid w:val="00CF1C0F"/>
    <w:rsid w:val="00D21F83"/>
    <w:rsid w:val="00D22445"/>
    <w:rsid w:val="00D27E0D"/>
    <w:rsid w:val="00D30D1A"/>
    <w:rsid w:val="00D43EB2"/>
    <w:rsid w:val="00D51ED6"/>
    <w:rsid w:val="00D554C9"/>
    <w:rsid w:val="00D56319"/>
    <w:rsid w:val="00D82C20"/>
    <w:rsid w:val="00D8651B"/>
    <w:rsid w:val="00D92AE0"/>
    <w:rsid w:val="00DA6C14"/>
    <w:rsid w:val="00DB7AA9"/>
    <w:rsid w:val="00DF2336"/>
    <w:rsid w:val="00E002CC"/>
    <w:rsid w:val="00E06222"/>
    <w:rsid w:val="00E10C5A"/>
    <w:rsid w:val="00E34AF0"/>
    <w:rsid w:val="00E371A2"/>
    <w:rsid w:val="00E4210B"/>
    <w:rsid w:val="00E434F4"/>
    <w:rsid w:val="00E539C5"/>
    <w:rsid w:val="00E70B2F"/>
    <w:rsid w:val="00E77D51"/>
    <w:rsid w:val="00E80614"/>
    <w:rsid w:val="00E81C6C"/>
    <w:rsid w:val="00E83562"/>
    <w:rsid w:val="00E83A81"/>
    <w:rsid w:val="00E9340E"/>
    <w:rsid w:val="00E95A8F"/>
    <w:rsid w:val="00EA5BE0"/>
    <w:rsid w:val="00ED7B6B"/>
    <w:rsid w:val="00EE00C0"/>
    <w:rsid w:val="00EE456B"/>
    <w:rsid w:val="00EF14FD"/>
    <w:rsid w:val="00EF6017"/>
    <w:rsid w:val="00F053D1"/>
    <w:rsid w:val="00F22644"/>
    <w:rsid w:val="00F300F7"/>
    <w:rsid w:val="00F30FCC"/>
    <w:rsid w:val="00F32BA8"/>
    <w:rsid w:val="00F359EE"/>
    <w:rsid w:val="00F4353C"/>
    <w:rsid w:val="00F43CA8"/>
    <w:rsid w:val="00F61EC7"/>
    <w:rsid w:val="00F66CD6"/>
    <w:rsid w:val="00F90D3D"/>
    <w:rsid w:val="00F92B31"/>
    <w:rsid w:val="00FB3B92"/>
    <w:rsid w:val="00FB4FF4"/>
    <w:rsid w:val="00FD0AF8"/>
    <w:rsid w:val="00FD0C35"/>
    <w:rsid w:val="00FE0C59"/>
    <w:rsid w:val="4F442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snapToGrid w:val="0"/>
      <w:spacing w:line="300" w:lineRule="auto"/>
    </w:pPr>
    <w:rPr>
      <w:rFonts w:eastAsia="宋体"/>
      <w:sz w:val="24"/>
    </w:rPr>
  </w:style>
  <w:style w:type="paragraph" w:styleId="7">
    <w:name w:val="footnote text"/>
    <w:basedOn w:val="1"/>
    <w:link w:val="15"/>
    <w:semiHidden/>
    <w:unhideWhenUsed/>
    <w:qFormat/>
    <w:uiPriority w:val="99"/>
    <w:pPr>
      <w:snapToGrid w:val="0"/>
      <w:jc w:val="left"/>
    </w:pPr>
    <w:rPr>
      <w:sz w:val="18"/>
      <w:szCs w:val="18"/>
    </w:rPr>
  </w:style>
  <w:style w:type="paragraph" w:styleId="8">
    <w:name w:val="toc 2"/>
    <w:basedOn w:val="1"/>
    <w:next w:val="1"/>
    <w:autoRedefine/>
    <w:unhideWhenUsed/>
    <w:qFormat/>
    <w:uiPriority w:val="39"/>
    <w:pPr>
      <w:snapToGrid w:val="0"/>
      <w:spacing w:line="300" w:lineRule="auto"/>
      <w:ind w:left="200" w:leftChars="2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footnote reference"/>
    <w:basedOn w:val="11"/>
    <w:semiHidden/>
    <w:unhideWhenUsed/>
    <w:qFormat/>
    <w:uiPriority w:val="99"/>
    <w:rPr>
      <w:vertAlign w:val="superscript"/>
    </w:rPr>
  </w:style>
  <w:style w:type="paragraph" w:styleId="14">
    <w:name w:val="List Paragraph"/>
    <w:basedOn w:val="1"/>
    <w:qFormat/>
    <w:uiPriority w:val="34"/>
    <w:pPr>
      <w:ind w:firstLine="420" w:firstLineChars="200"/>
    </w:pPr>
  </w:style>
  <w:style w:type="character" w:customStyle="1" w:styleId="15">
    <w:name w:val="脚注文本 Char"/>
    <w:basedOn w:val="11"/>
    <w:link w:val="7"/>
    <w:semiHidden/>
    <w:qFormat/>
    <w:uiPriority w:val="99"/>
    <w:rPr>
      <w:sz w:val="18"/>
      <w:szCs w:val="18"/>
    </w:rPr>
  </w:style>
  <w:style w:type="character" w:customStyle="1" w:styleId="16">
    <w:name w:val="页眉 Char"/>
    <w:basedOn w:val="11"/>
    <w:link w:val="5"/>
    <w:qFormat/>
    <w:uiPriority w:val="99"/>
    <w:rPr>
      <w:sz w:val="18"/>
      <w:szCs w:val="18"/>
    </w:rPr>
  </w:style>
  <w:style w:type="character" w:customStyle="1" w:styleId="17">
    <w:name w:val="页脚 Char"/>
    <w:basedOn w:val="11"/>
    <w:link w:val="4"/>
    <w:qFormat/>
    <w:uiPriority w:val="99"/>
    <w:rPr>
      <w:sz w:val="18"/>
      <w:szCs w:val="18"/>
    </w:r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批注框文本 Char"/>
    <w:basedOn w:val="11"/>
    <w:link w:val="3"/>
    <w:semiHidden/>
    <w:qFormat/>
    <w:uiPriority w:val="99"/>
    <w:rPr>
      <w:sz w:val="18"/>
      <w:szCs w:val="18"/>
    </w:rPr>
  </w:style>
  <w:style w:type="character" w:customStyle="1" w:styleId="20">
    <w:name w:val="标题 1 Char"/>
    <w:basedOn w:val="11"/>
    <w:link w:val="2"/>
    <w:qFormat/>
    <w:uiPriority w:val="9"/>
    <w:rPr>
      <w:b/>
      <w:bCs/>
      <w:kern w:val="44"/>
      <w:sz w:val="44"/>
      <w:szCs w:val="44"/>
    </w:rPr>
  </w:style>
  <w:style w:type="paragraph" w:customStyle="1" w:styleId="2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D44F5-BF83-4B92-9C68-147887CC5B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18351</Words>
  <Characters>21110</Characters>
  <Lines>223</Lines>
  <Paragraphs>63</Paragraphs>
  <TotalTime>1</TotalTime>
  <ScaleCrop>false</ScaleCrop>
  <LinksUpToDate>false</LinksUpToDate>
  <CharactersWithSpaces>21316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2017-11-17T07:09:00Z</dcterms:created>
  <dc:creator>Guozhen Liu</dc:creator>
  <cp:lastModifiedBy>太极箫客</cp:lastModifiedBy>
  <dcterms:modified xsi:type="dcterms:W3CDTF">2025-08-14T06:49:58Z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DF1AD072C7B441A2B2DF8C084E36F803_12</vt:lpwstr>
  </property>
</Properties>
</file>