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4D75">
      <w:pPr>
        <w:pBdr>
          <w:bottom w:val="single" w:color="auto" w:sz="2" w:space="1"/>
        </w:pBdr>
        <w:spacing w:before="156" w:beforeLines="50" w:after="156" w:afterLines="50"/>
        <w:jc w:val="center"/>
        <w:rPr>
          <w:rFonts w:ascii="Times New Roman" w:hAnsi="Times New Roman" w:cs="Times New Roman"/>
          <w:b/>
          <w:sz w:val="52"/>
          <w:szCs w:val="52"/>
        </w:rPr>
      </w:pPr>
      <w:bookmarkStart w:id="28" w:name="_GoBack"/>
      <w:bookmarkEnd w:id="28"/>
      <w:r>
        <w:rPr>
          <w:rFonts w:ascii="Times New Roman" w:hAnsi="Times New Roman" w:cs="Times New Roman"/>
          <w:b/>
          <w:bCs/>
          <w:sz w:val="52"/>
          <w:szCs w:val="52"/>
        </w:rPr>
        <w:t>如何编制预先名称申请（Pre-RFD）</w:t>
      </w:r>
    </w:p>
    <w:p w14:paraId="601B68C1">
      <w:pPr>
        <w:spacing w:before="156" w:beforeLines="50" w:after="1560" w:afterLines="500"/>
        <w:jc w:val="center"/>
        <w:rPr>
          <w:rFonts w:ascii="Times New Roman" w:hAnsi="Times New Roman" w:cs="Times New Roman"/>
          <w:b/>
          <w:sz w:val="52"/>
          <w:szCs w:val="52"/>
        </w:rPr>
      </w:pPr>
      <w:r>
        <w:rPr>
          <w:rFonts w:ascii="Times New Roman" w:hAnsi="Times New Roman" w:cs="Times New Roman"/>
          <w:b/>
          <w:bCs/>
          <w:sz w:val="52"/>
          <w:szCs w:val="52"/>
        </w:rPr>
        <w:t>行业指南</w:t>
      </w:r>
    </w:p>
    <w:p w14:paraId="168E997E">
      <w:pPr>
        <w:spacing w:before="156" w:beforeLines="50" w:after="156" w:afterLines="50"/>
        <w:rPr>
          <w:rFonts w:ascii="Times New Roman" w:hAnsi="Times New Roman" w:cs="Times New Roman"/>
          <w:sz w:val="24"/>
          <w:szCs w:val="24"/>
        </w:rPr>
      </w:pPr>
      <w:r>
        <w:rPr>
          <w:sz w:val="24"/>
          <w:szCs w:val="24"/>
        </w:rPr>
        <w:t>电子版意见和建议可随时提交至</w:t>
      </w:r>
      <w:r>
        <w:fldChar w:fldCharType="begin"/>
      </w:r>
      <w:r>
        <w:instrText xml:space="preserve"> HYPERLINK "http://www.regulations.gov/" </w:instrText>
      </w:r>
      <w:r>
        <w:fldChar w:fldCharType="separate"/>
      </w:r>
      <w:r>
        <w:rPr>
          <w:rStyle w:val="13"/>
          <w:sz w:val="24"/>
          <w:szCs w:val="24"/>
        </w:rPr>
        <w:t>http://www.regulations.gov</w:t>
      </w:r>
      <w:r>
        <w:rPr>
          <w:rStyle w:val="13"/>
          <w:sz w:val="24"/>
          <w:szCs w:val="24"/>
        </w:rPr>
        <w:fldChar w:fldCharType="end"/>
      </w:r>
      <w:r>
        <w:rPr>
          <w:sz w:val="24"/>
          <w:szCs w:val="24"/>
        </w:rPr>
        <w:t>，供</w:t>
      </w:r>
      <w:r>
        <w:rPr>
          <w:szCs w:val="24"/>
        </w:rPr>
        <w:t>FDA审议</w:t>
      </w:r>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 xml:space="preserve"> Rockville，MD 20852）。所有意见均应注明</w:t>
      </w:r>
      <w:r>
        <w:rPr>
          <w:rFonts w:ascii="Times New Roman" w:hAnsi="Times New Roman" w:cs="Times New Roman"/>
          <w:sz w:val="24"/>
          <w:szCs w:val="24"/>
        </w:rPr>
        <w:t>《联邦公报》</w:t>
      </w:r>
      <w:r>
        <w:rPr>
          <w:rFonts w:ascii="Times New Roman" w:hAnsi="Times New Roman"/>
          <w:kern w:val="0"/>
          <w:sz w:val="24"/>
          <w:szCs w:val="24"/>
        </w:rPr>
        <w:t>发布的</w:t>
      </w:r>
      <w:r>
        <w:rPr>
          <w:rFonts w:hint="eastAsia" w:ascii="Times New Roman" w:hAnsi="Times New Roman"/>
          <w:kern w:val="0"/>
          <w:sz w:val="24"/>
          <w:szCs w:val="24"/>
        </w:rPr>
        <w:t>可及性</w:t>
      </w:r>
      <w:r>
        <w:rPr>
          <w:rFonts w:ascii="Times New Roman" w:hAnsi="Times New Roman"/>
          <w:kern w:val="0"/>
          <w:sz w:val="24"/>
          <w:szCs w:val="24"/>
        </w:rPr>
        <w:t>通知中列出的备案文件编号</w:t>
      </w:r>
      <w:r>
        <w:rPr>
          <w:rFonts w:ascii="Times New Roman" w:hAnsi="Times New Roman" w:cs="Times New Roman"/>
          <w:sz w:val="24"/>
          <w:szCs w:val="24"/>
        </w:rPr>
        <w:t>。</w:t>
      </w:r>
    </w:p>
    <w:p w14:paraId="4DF6D89D">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本指南的</w:t>
      </w:r>
      <w:r>
        <w:rPr>
          <w:rFonts w:hint="eastAsia" w:ascii="Times New Roman" w:hAnsi="Times New Roman" w:cs="Times New Roman"/>
          <w:sz w:val="24"/>
          <w:szCs w:val="24"/>
        </w:rPr>
        <w:t>更多</w:t>
      </w:r>
      <w:r>
        <w:rPr>
          <w:rFonts w:ascii="Times New Roman" w:hAnsi="Times New Roman" w:cs="Times New Roman"/>
          <w:sz w:val="24"/>
          <w:szCs w:val="24"/>
        </w:rPr>
        <w:t>副本可从组合产品办公室获取，具体请访问网站</w:t>
      </w:r>
      <w:r>
        <w:fldChar w:fldCharType="begin"/>
      </w:r>
      <w:r>
        <w:instrText xml:space="preserve"> HYPERLINK "https://www.fda.gov/CombinationProducts/default.htm" </w:instrText>
      </w:r>
      <w:r>
        <w:fldChar w:fldCharType="separate"/>
      </w:r>
      <w:r>
        <w:rPr>
          <w:rStyle w:val="13"/>
          <w:rFonts w:ascii="Times New Roman" w:hAnsi="Times New Roman" w:cs="Times New Roman"/>
          <w:sz w:val="24"/>
          <w:szCs w:val="24"/>
        </w:rPr>
        <w:t>https://www.fda.gov/CombinationProducts/default.htm</w:t>
      </w:r>
      <w:r>
        <w:rPr>
          <w:rStyle w:val="13"/>
          <w:rFonts w:ascii="Times New Roman" w:hAnsi="Times New Roman" w:cs="Times New Roman"/>
          <w:sz w:val="24"/>
          <w:szCs w:val="24"/>
        </w:rPr>
        <w:fldChar w:fldCharType="end"/>
      </w:r>
      <w:r>
        <w:rPr>
          <w:rFonts w:ascii="Times New Roman" w:hAnsi="Times New Roman" w:cs="Times New Roman"/>
          <w:sz w:val="24"/>
          <w:szCs w:val="24"/>
        </w:rPr>
        <w:t>。</w:t>
      </w:r>
    </w:p>
    <w:p w14:paraId="11E0E0AB">
      <w:pPr>
        <w:spacing w:before="156" w:beforeLines="50" w:after="156" w:afterLines="50"/>
        <w:jc w:val="left"/>
        <w:rPr>
          <w:rFonts w:ascii="Times New Roman" w:hAnsi="Times New Roman" w:cs="Times New Roman"/>
          <w:sz w:val="24"/>
          <w:szCs w:val="24"/>
        </w:rPr>
      </w:pPr>
      <w:r>
        <w:rPr>
          <w:sz w:val="24"/>
          <w:szCs w:val="24"/>
        </w:rPr>
        <w:t>如对本文件有任何疑问，</w:t>
      </w:r>
      <w:r>
        <w:rPr>
          <w:rFonts w:ascii="Times New Roman" w:hAnsi="Times New Roman" w:cs="Times New Roman"/>
          <w:sz w:val="24"/>
          <w:szCs w:val="24"/>
          <w:u w:val="single"/>
        </w:rPr>
        <w:t>请联系组合产品办公室</w:t>
      </w:r>
      <w:r>
        <w:fldChar w:fldCharType="begin"/>
      </w:r>
      <w:r>
        <w:instrText xml:space="preserve"> HYPERLINK "mailto:combination@fda.gov" </w:instrText>
      </w:r>
      <w:r>
        <w:fldChar w:fldCharType="separate"/>
      </w:r>
      <w:r>
        <w:rPr>
          <w:rStyle w:val="13"/>
          <w:rFonts w:ascii="Times New Roman" w:hAnsi="Times New Roman" w:cs="Times New Roman"/>
          <w:sz w:val="24"/>
          <w:szCs w:val="24"/>
          <w:u w:val="none"/>
        </w:rPr>
        <w:t>combination@fda.gov</w:t>
      </w:r>
      <w:r>
        <w:rPr>
          <w:rStyle w:val="13"/>
          <w:rFonts w:ascii="Times New Roman" w:hAnsi="Times New Roman" w:cs="Times New Roman"/>
          <w:sz w:val="24"/>
          <w:szCs w:val="24"/>
          <w:u w:val="none"/>
        </w:rPr>
        <w:fldChar w:fldCharType="end"/>
      </w:r>
    </w:p>
    <w:tbl>
      <w:tblPr>
        <w:tblStyle w:val="11"/>
        <w:tblW w:w="0" w:type="auto"/>
        <w:tblInd w:w="53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320"/>
      </w:tblGrid>
      <w:tr w14:paraId="5B3739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20" w:type="dxa"/>
          </w:tcPr>
          <w:p w14:paraId="7B17CD9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除非显示当前有效的OMB控制编号，否则机构不得进行或发起信息收集，并且个人无需回应。本信息收集的OMB控制编号为0910-0845（有效期至2020年10月31日）。</w:t>
            </w:r>
          </w:p>
        </w:tc>
      </w:tr>
    </w:tbl>
    <w:p w14:paraId="70A10D23">
      <w:pPr>
        <w:spacing w:before="156" w:beforeLines="50" w:after="936" w:afterLines="300"/>
        <w:ind w:left="567" w:leftChars="270"/>
        <w:rPr>
          <w:rFonts w:ascii="Times New Roman" w:hAnsi="Times New Roman" w:cs="Times New Roman"/>
          <w:b/>
          <w:bCs/>
          <w:sz w:val="24"/>
          <w:szCs w:val="24"/>
        </w:rPr>
      </w:pPr>
      <w:r>
        <w:rPr>
          <w:rFonts w:ascii="Times New Roman" w:hAnsi="Times New Roman" w:cs="Times New Roman"/>
          <w:b/>
          <w:bCs/>
          <w:sz w:val="24"/>
          <w:szCs w:val="24"/>
        </w:rPr>
        <w:t>参见本指南第六条中的其他PRA声明。</w:t>
      </w:r>
    </w:p>
    <w:p w14:paraId="6D81DBD1">
      <w:pPr>
        <w:spacing w:before="156" w:beforeLines="50" w:after="936" w:afterLines="300"/>
        <w:ind w:left="567" w:leftChars="270"/>
        <w:rPr>
          <w:rFonts w:ascii="Times New Roman" w:hAnsi="Times New Roman" w:cs="Times New Roman"/>
          <w:b/>
          <w:bCs/>
          <w:sz w:val="24"/>
          <w:szCs w:val="24"/>
        </w:rPr>
      </w:pPr>
    </w:p>
    <w:p w14:paraId="29DAD48B">
      <w:pPr>
        <w:spacing w:before="156" w:beforeLines="50" w:after="936" w:afterLines="300"/>
        <w:ind w:left="567" w:leftChars="270"/>
        <w:rPr>
          <w:rFonts w:ascii="Times New Roman" w:hAnsi="Times New Roman" w:cs="Times New Roman"/>
          <w:b/>
          <w:bCs/>
          <w:sz w:val="24"/>
          <w:szCs w:val="24"/>
        </w:rPr>
      </w:pPr>
    </w:p>
    <w:p w14:paraId="4B189676">
      <w:pPr>
        <w:spacing w:before="156" w:beforeLines="50" w:after="936" w:afterLines="300"/>
        <w:ind w:left="567" w:leftChars="270"/>
        <w:rPr>
          <w:rFonts w:ascii="Times New Roman" w:hAnsi="Times New Roman" w:cs="Times New Roman"/>
          <w:b/>
          <w:sz w:val="24"/>
          <w:szCs w:val="24"/>
        </w:rPr>
      </w:pPr>
    </w:p>
    <w:p w14:paraId="09510F07">
      <w:pPr>
        <w:jc w:val="center"/>
        <w:rPr>
          <w:rFonts w:ascii="Times New Roman" w:hAnsi="Times New Roman" w:cs="Times New Roman"/>
          <w:b/>
          <w:sz w:val="24"/>
          <w:szCs w:val="24"/>
        </w:rPr>
      </w:pPr>
      <w:r>
        <w:rPr>
          <w:rFonts w:ascii="Times New Roman" w:hAnsi="Times New Roman" w:cs="Times New Roman"/>
          <w:b/>
          <w:bCs/>
          <w:sz w:val="24"/>
          <w:szCs w:val="24"/>
        </w:rPr>
        <w:t>美国卫生与公众服务部</w:t>
      </w:r>
    </w:p>
    <w:p w14:paraId="05BA3113">
      <w:pPr>
        <w:jc w:val="center"/>
        <w:rPr>
          <w:rFonts w:ascii="Times New Roman" w:hAnsi="Times New Roman" w:cs="Times New Roman"/>
          <w:b/>
          <w:sz w:val="24"/>
          <w:szCs w:val="24"/>
        </w:rPr>
      </w:pPr>
      <w:r>
        <w:rPr>
          <w:rFonts w:ascii="Times New Roman" w:hAnsi="Times New Roman" w:cs="Times New Roman"/>
          <w:b/>
          <w:bCs/>
          <w:sz w:val="24"/>
          <w:szCs w:val="24"/>
        </w:rPr>
        <w:t>美国食品药品监督管理局</w:t>
      </w:r>
    </w:p>
    <w:p w14:paraId="52F95BDA">
      <w:pPr>
        <w:spacing w:after="156" w:afterLines="50"/>
        <w:jc w:val="center"/>
        <w:rPr>
          <w:rFonts w:ascii="Times New Roman" w:hAnsi="Times New Roman" w:cs="Times New Roman"/>
          <w:b/>
          <w:sz w:val="24"/>
          <w:szCs w:val="24"/>
        </w:rPr>
      </w:pPr>
      <w:r>
        <w:rPr>
          <w:rFonts w:ascii="Times New Roman" w:hAnsi="Times New Roman" w:cs="Times New Roman"/>
          <w:b/>
          <w:bCs/>
          <w:sz w:val="24"/>
          <w:szCs w:val="24"/>
        </w:rPr>
        <w:t>专员办公室的组合产品办公室</w:t>
      </w:r>
    </w:p>
    <w:p w14:paraId="43458BA4">
      <w:pPr>
        <w:jc w:val="center"/>
        <w:rPr>
          <w:rFonts w:ascii="Times New Roman" w:hAnsi="Times New Roman" w:cs="Times New Roman"/>
          <w:b/>
          <w:sz w:val="24"/>
          <w:szCs w:val="24"/>
        </w:rPr>
      </w:pPr>
      <w:r>
        <w:rPr>
          <w:rFonts w:ascii="Times New Roman" w:hAnsi="Times New Roman" w:cs="Times New Roman"/>
          <w:b/>
          <w:bCs/>
          <w:sz w:val="24"/>
          <w:szCs w:val="24"/>
        </w:rPr>
        <w:t>2018年2月</w:t>
      </w:r>
    </w:p>
    <w:p w14:paraId="5E0AFD6D">
      <w:pPr>
        <w:spacing w:before="156" w:beforeLines="50" w:after="156" w:afterLines="50"/>
        <w:jc w:val="left"/>
        <w:rPr>
          <w:rFonts w:ascii="Times New Roman" w:hAnsi="Times New Roman" w:cs="Times New Roman"/>
          <w:b/>
          <w:szCs w:val="15"/>
        </w:rPr>
      </w:pPr>
    </w:p>
    <w:p w14:paraId="66A9192F">
      <w:pPr>
        <w:spacing w:before="156" w:beforeLines="50" w:after="156" w:afterLines="50"/>
        <w:jc w:val="left"/>
        <w:rPr>
          <w:rFonts w:ascii="Times New Roman" w:hAnsi="Times New Roman" w:cs="Times New Roman"/>
          <w:b/>
          <w:sz w:val="44"/>
          <w:szCs w:val="44"/>
        </w:rPr>
        <w:sectPr>
          <w:headerReference r:id="rId6" w:type="default"/>
          <w:pgSz w:w="11906" w:h="16838"/>
          <w:pgMar w:top="1134" w:right="1134" w:bottom="1134" w:left="1134" w:header="851" w:footer="992" w:gutter="0"/>
          <w:cols w:space="425" w:num="1"/>
          <w:docGrid w:type="lines" w:linePitch="312" w:charSpace="0"/>
        </w:sectPr>
      </w:pPr>
    </w:p>
    <w:p w14:paraId="00381112">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01F38FB9">
      <w:pPr>
        <w:pStyle w:val="6"/>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"_Toc97322939" </w:instrText>
      </w:r>
      <w:r>
        <w:fldChar w:fldCharType="separate"/>
      </w:r>
      <w:r>
        <w:rPr>
          <w:rStyle w:val="13"/>
          <w:rFonts w:ascii="Times New Roman" w:hAnsi="Times New Roman" w:cs="Times New Roman"/>
          <w:sz w:val="24"/>
          <w:szCs w:val="24"/>
        </w:rPr>
        <w:t>1.</w:t>
      </w:r>
      <w:r>
        <w:rPr>
          <w:rFonts w:ascii="Times New Roman" w:hAnsi="Times New Roman" w:cs="Times New Roman"/>
          <w:sz w:val="24"/>
          <w:szCs w:val="24"/>
        </w:rPr>
        <w:tab/>
      </w:r>
      <w:r>
        <w:rPr>
          <w:rStyle w:val="13"/>
          <w:rFonts w:ascii="Times New Roman" w:hAnsi="Times New Roman" w:cs="Times New Roman"/>
          <w:sz w:val="24"/>
          <w:szCs w:val="24"/>
        </w:rPr>
        <w:t>目的</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_Toc97322939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7DD57D0">
      <w:pPr>
        <w:pStyle w:val="6"/>
        <w:rPr>
          <w:rFonts w:ascii="Times New Roman" w:hAnsi="Times New Roman" w:cs="Times New Roman"/>
          <w:sz w:val="24"/>
          <w:szCs w:val="24"/>
        </w:rPr>
      </w:pPr>
      <w:r>
        <w:fldChar w:fldCharType="begin"/>
      </w:r>
      <w:r>
        <w:instrText xml:space="preserve"> HYPERLINK \l "_Toc97322940" </w:instrText>
      </w:r>
      <w:r>
        <w:fldChar w:fldCharType="separate"/>
      </w:r>
      <w:r>
        <w:rPr>
          <w:rStyle w:val="13"/>
          <w:rFonts w:ascii="Times New Roman" w:hAnsi="Times New Roman" w:cs="Times New Roman"/>
          <w:sz w:val="24"/>
          <w:szCs w:val="24"/>
        </w:rPr>
        <w:t>II.</w:t>
      </w:r>
      <w:r>
        <w:rPr>
          <w:rFonts w:ascii="Times New Roman" w:hAnsi="Times New Roman" w:cs="Times New Roman"/>
          <w:sz w:val="24"/>
          <w:szCs w:val="24"/>
        </w:rPr>
        <w:tab/>
      </w:r>
      <w:r>
        <w:rPr>
          <w:rStyle w:val="13"/>
          <w:rFonts w:ascii="Times New Roman" w:hAnsi="Times New Roman" w:cs="Times New Roman"/>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_Toc97322940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17ECA34">
      <w:pPr>
        <w:pStyle w:val="6"/>
        <w:rPr>
          <w:rFonts w:ascii="Times New Roman" w:hAnsi="Times New Roman" w:cs="Times New Roman"/>
          <w:sz w:val="24"/>
          <w:szCs w:val="24"/>
        </w:rPr>
      </w:pPr>
      <w:r>
        <w:fldChar w:fldCharType="begin"/>
      </w:r>
      <w:r>
        <w:instrText xml:space="preserve"> HYPERLINK \l "_Toc97322941" </w:instrText>
      </w:r>
      <w:r>
        <w:fldChar w:fldCharType="separate"/>
      </w:r>
      <w:r>
        <w:rPr>
          <w:rStyle w:val="13"/>
          <w:rFonts w:ascii="Times New Roman" w:hAnsi="Times New Roman" w:cs="Times New Roman"/>
          <w:sz w:val="24"/>
          <w:szCs w:val="24"/>
        </w:rPr>
        <w:t>III．</w:t>
      </w:r>
      <w:r>
        <w:rPr>
          <w:rFonts w:ascii="Times New Roman" w:hAnsi="Times New Roman" w:cs="Times New Roman"/>
          <w:sz w:val="24"/>
          <w:szCs w:val="24"/>
        </w:rPr>
        <w:tab/>
      </w:r>
      <w:r>
        <w:rPr>
          <w:rStyle w:val="13"/>
          <w:rFonts w:ascii="Times New Roman" w:hAnsi="Times New Roman" w:cs="Times New Roman"/>
          <w:sz w:val="24"/>
          <w:szCs w:val="24"/>
        </w:rPr>
        <w:t>关于非组合和组合产品的Pre-RFD流程的一般信息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_Toc97322941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1FE60F">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"_Toc97322942" </w:instrText>
      </w:r>
      <w:r>
        <w:fldChar w:fldCharType="separate"/>
      </w:r>
      <w:r>
        <w:rPr>
          <w:rStyle w:val="13"/>
          <w:rFonts w:ascii="Times New Roman" w:hAnsi="Times New Roman" w:cs="Times New Roman"/>
          <w:sz w:val="24"/>
          <w:szCs w:val="24"/>
        </w:rPr>
        <w:t>A．</w:t>
      </w:r>
      <w:r>
        <w:rPr>
          <w:rFonts w:ascii="Times New Roman" w:hAnsi="Times New Roman" w:cs="Times New Roman"/>
          <w:sz w:val="24"/>
          <w:szCs w:val="24"/>
        </w:rPr>
        <w:tab/>
      </w:r>
      <w:r>
        <w:rPr>
          <w:rStyle w:val="13"/>
          <w:rFonts w:ascii="Times New Roman" w:hAnsi="Times New Roman" w:cs="Times New Roman"/>
          <w:sz w:val="24"/>
          <w:szCs w:val="24"/>
        </w:rPr>
        <w:t>什么是Pre-RFD？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_Toc97322942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C9BDFD">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"_Toc97322943" </w:instrText>
      </w:r>
      <w:r>
        <w:fldChar w:fldCharType="separate"/>
      </w:r>
      <w:r>
        <w:rPr>
          <w:rStyle w:val="13"/>
          <w:rFonts w:ascii="Times New Roman" w:hAnsi="Times New Roman" w:cs="Times New Roman"/>
          <w:sz w:val="24"/>
          <w:szCs w:val="24"/>
        </w:rPr>
        <w:t>B．</w:t>
      </w:r>
      <w:r>
        <w:rPr>
          <w:rFonts w:ascii="Times New Roman" w:hAnsi="Times New Roman" w:cs="Times New Roman"/>
          <w:sz w:val="24"/>
          <w:szCs w:val="24"/>
        </w:rPr>
        <w:tab/>
      </w:r>
      <w:r>
        <w:rPr>
          <w:rStyle w:val="13"/>
          <w:rFonts w:ascii="Times New Roman" w:hAnsi="Times New Roman" w:cs="Times New Roman"/>
          <w:sz w:val="24"/>
          <w:szCs w:val="24"/>
        </w:rPr>
        <w:t>我应该什么时候提交Pre-RFD？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_Toc97322943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88A97E9">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"_Toc97322944" </w:instrText>
      </w:r>
      <w:r>
        <w:fldChar w:fldCharType="separate"/>
      </w:r>
      <w:r>
        <w:rPr>
          <w:rStyle w:val="13"/>
          <w:rFonts w:ascii="Times New Roman" w:hAnsi="Times New Roman" w:cs="Times New Roman"/>
          <w:sz w:val="24"/>
          <w:szCs w:val="24"/>
        </w:rPr>
        <w:t>C．</w:t>
      </w:r>
      <w:r>
        <w:rPr>
          <w:rFonts w:ascii="Times New Roman" w:hAnsi="Times New Roman" w:cs="Times New Roman"/>
          <w:sz w:val="24"/>
          <w:szCs w:val="24"/>
        </w:rPr>
        <w:tab/>
      </w:r>
      <w:r>
        <w:rPr>
          <w:rStyle w:val="13"/>
          <w:rFonts w:ascii="Times New Roman" w:hAnsi="Times New Roman" w:cs="Times New Roman"/>
          <w:sz w:val="24"/>
          <w:szCs w:val="24"/>
        </w:rPr>
        <w:t>我可以请求与OCP召开会议以解释我的产品吗？</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_Toc97322944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F28901">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"_Toc97322945" </w:instrText>
      </w:r>
      <w:r>
        <w:fldChar w:fldCharType="separate"/>
      </w:r>
      <w:r>
        <w:rPr>
          <w:rStyle w:val="13"/>
          <w:rFonts w:ascii="Times New Roman" w:hAnsi="Times New Roman" w:cs="Times New Roman"/>
          <w:sz w:val="24"/>
          <w:szCs w:val="24"/>
        </w:rPr>
        <w:t>D．</w:t>
      </w:r>
      <w:r>
        <w:rPr>
          <w:rFonts w:ascii="Times New Roman" w:hAnsi="Times New Roman" w:cs="Times New Roman"/>
          <w:sz w:val="24"/>
          <w:szCs w:val="24"/>
        </w:rPr>
        <w:tab/>
      </w:r>
      <w:r>
        <w:rPr>
          <w:rStyle w:val="13"/>
          <w:rFonts w:ascii="Times New Roman" w:hAnsi="Times New Roman" w:cs="Times New Roman"/>
          <w:sz w:val="24"/>
          <w:szCs w:val="24"/>
        </w:rPr>
        <w:t>如何为我的产品提交Pre-RFD？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_Toc97322945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7ED084">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"_Toc97322946" </w:instrText>
      </w:r>
      <w:r>
        <w:fldChar w:fldCharType="separate"/>
      </w:r>
      <w:r>
        <w:rPr>
          <w:rStyle w:val="13"/>
          <w:rFonts w:ascii="Times New Roman" w:hAnsi="Times New Roman" w:cs="Times New Roman"/>
          <w:sz w:val="24"/>
          <w:szCs w:val="24"/>
        </w:rPr>
        <w:t>E．</w:t>
      </w:r>
      <w:r>
        <w:rPr>
          <w:rFonts w:ascii="Times New Roman" w:hAnsi="Times New Roman" w:cs="Times New Roman"/>
          <w:sz w:val="24"/>
          <w:szCs w:val="24"/>
        </w:rPr>
        <w:tab/>
      </w:r>
      <w:r>
        <w:rPr>
          <w:rStyle w:val="13"/>
          <w:rFonts w:ascii="Times New Roman" w:hAnsi="Times New Roman" w:cs="Times New Roman"/>
          <w:sz w:val="24"/>
          <w:szCs w:val="24"/>
        </w:rPr>
        <w:t>FDA会如何迅速地审评我的Pre-RFD？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_Toc97322946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2123A09">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"_Toc97322947" </w:instrText>
      </w:r>
      <w:r>
        <w:fldChar w:fldCharType="separate"/>
      </w:r>
      <w:r>
        <w:rPr>
          <w:rStyle w:val="13"/>
          <w:rFonts w:ascii="Times New Roman" w:hAnsi="Times New Roman" w:cs="Times New Roman"/>
          <w:sz w:val="24"/>
          <w:szCs w:val="24"/>
        </w:rPr>
        <w:t>F．</w:t>
      </w:r>
      <w:r>
        <w:rPr>
          <w:rFonts w:ascii="Times New Roman" w:hAnsi="Times New Roman" w:cs="Times New Roman"/>
          <w:sz w:val="24"/>
          <w:szCs w:val="24"/>
        </w:rPr>
        <w:tab/>
      </w:r>
      <w:r>
        <w:rPr>
          <w:rStyle w:val="13"/>
          <w:rFonts w:ascii="Times New Roman" w:hAnsi="Times New Roman" w:cs="Times New Roman"/>
          <w:sz w:val="24"/>
          <w:szCs w:val="24"/>
        </w:rPr>
        <w:t>提交后我可以撤回我的Pre-RFD吗？</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_Toc97322947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0493C31">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"_Toc97322948" </w:instrText>
      </w:r>
      <w:r>
        <w:fldChar w:fldCharType="separate"/>
      </w:r>
      <w:r>
        <w:rPr>
          <w:rStyle w:val="13"/>
          <w:rFonts w:ascii="Times New Roman" w:hAnsi="Times New Roman" w:cs="Times New Roman"/>
          <w:sz w:val="24"/>
          <w:szCs w:val="24"/>
        </w:rPr>
        <w:t>G．</w:t>
      </w:r>
      <w:r>
        <w:rPr>
          <w:rFonts w:ascii="Times New Roman" w:hAnsi="Times New Roman" w:cs="Times New Roman"/>
          <w:sz w:val="24"/>
          <w:szCs w:val="24"/>
        </w:rPr>
        <w:tab/>
      </w:r>
      <w:r>
        <w:rPr>
          <w:rStyle w:val="13"/>
          <w:rFonts w:ascii="Times New Roman" w:hAnsi="Times New Roman" w:cs="Times New Roman"/>
          <w:sz w:val="24"/>
          <w:szCs w:val="24"/>
        </w:rPr>
        <w:t>如果我不同意OCP的初步评估怎么办？</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_Toc97322948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497043C">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"_Toc97322949" </w:instrText>
      </w:r>
      <w:r>
        <w:fldChar w:fldCharType="separate"/>
      </w:r>
      <w:r>
        <w:rPr>
          <w:rStyle w:val="13"/>
          <w:rFonts w:ascii="Times New Roman" w:hAnsi="Times New Roman" w:cs="Times New Roman"/>
          <w:sz w:val="24"/>
          <w:szCs w:val="24"/>
        </w:rPr>
        <w:t>H.</w:t>
      </w:r>
      <w:r>
        <w:rPr>
          <w:rFonts w:ascii="Times New Roman" w:hAnsi="Times New Roman" w:cs="Times New Roman"/>
          <w:sz w:val="24"/>
          <w:szCs w:val="24"/>
        </w:rPr>
        <w:tab/>
      </w:r>
      <w:r>
        <w:rPr>
          <w:rStyle w:val="13"/>
          <w:rFonts w:ascii="Times New Roman" w:hAnsi="Times New Roman" w:cs="Times New Roman"/>
          <w:sz w:val="24"/>
          <w:szCs w:val="24"/>
        </w:rPr>
        <w:t>我如何联系OCP？</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_Toc97322949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08A42DE">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"_Toc97322950" </w:instrText>
      </w:r>
      <w:r>
        <w:fldChar w:fldCharType="separate"/>
      </w:r>
      <w:r>
        <w:rPr>
          <w:rStyle w:val="13"/>
          <w:rFonts w:ascii="Times New Roman" w:hAnsi="Times New Roman" w:cs="Times New Roman"/>
          <w:sz w:val="24"/>
          <w:szCs w:val="24"/>
        </w:rPr>
        <w:t>I．</w:t>
      </w:r>
      <w:r>
        <w:rPr>
          <w:rFonts w:ascii="Times New Roman" w:hAnsi="Times New Roman" w:cs="Times New Roman"/>
          <w:sz w:val="24"/>
          <w:szCs w:val="24"/>
        </w:rPr>
        <w:tab/>
      </w:r>
      <w:r>
        <w:rPr>
          <w:rStyle w:val="13"/>
          <w:rFonts w:ascii="Times New Roman" w:hAnsi="Times New Roman" w:cs="Times New Roman"/>
          <w:sz w:val="24"/>
          <w:szCs w:val="24"/>
        </w:rPr>
        <w:t>我在哪里可以找到更多信息？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_Toc97322950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3342D04">
      <w:pPr>
        <w:pStyle w:val="6"/>
        <w:rPr>
          <w:rFonts w:ascii="Times New Roman" w:hAnsi="Times New Roman" w:cs="Times New Roman"/>
          <w:sz w:val="24"/>
          <w:szCs w:val="24"/>
        </w:rPr>
      </w:pPr>
      <w:r>
        <w:fldChar w:fldCharType="begin"/>
      </w:r>
      <w:r>
        <w:instrText xml:space="preserve"> HYPERLINK \l "_Toc97322951" </w:instrText>
      </w:r>
      <w:r>
        <w:fldChar w:fldCharType="separate"/>
      </w:r>
      <w:r>
        <w:rPr>
          <w:rStyle w:val="13"/>
          <w:rFonts w:ascii="Times New Roman" w:hAnsi="Times New Roman" w:cs="Times New Roman"/>
          <w:sz w:val="24"/>
          <w:szCs w:val="24"/>
        </w:rPr>
        <w:t>IV．</w:t>
      </w:r>
      <w:r>
        <w:rPr>
          <w:rFonts w:ascii="Times New Roman" w:hAnsi="Times New Roman" w:cs="Times New Roman"/>
          <w:sz w:val="24"/>
          <w:szCs w:val="24"/>
        </w:rPr>
        <w:tab/>
      </w:r>
      <w:r>
        <w:rPr>
          <w:rStyle w:val="13"/>
          <w:rFonts w:ascii="Times New Roman" w:hAnsi="Times New Roman" w:cs="Times New Roman"/>
          <w:sz w:val="24"/>
          <w:szCs w:val="24"/>
        </w:rPr>
        <w:t>PRE-RFD中应包含哪些信息？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3AFE1A5">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"_Toc97322952" </w:instrText>
      </w:r>
      <w:r>
        <w:fldChar w:fldCharType="separate"/>
      </w:r>
      <w:r>
        <w:rPr>
          <w:rStyle w:val="13"/>
          <w:rFonts w:ascii="Times New Roman" w:hAnsi="Times New Roman" w:cs="Times New Roman"/>
          <w:sz w:val="24"/>
          <w:szCs w:val="24"/>
        </w:rPr>
        <w:t>A．</w:t>
      </w:r>
      <w:r>
        <w:rPr>
          <w:rFonts w:ascii="Times New Roman" w:hAnsi="Times New Roman" w:cs="Times New Roman"/>
          <w:sz w:val="24"/>
          <w:szCs w:val="24"/>
        </w:rPr>
        <w:tab/>
      </w:r>
      <w:r>
        <w:rPr>
          <w:rStyle w:val="13"/>
          <w:rFonts w:ascii="Times New Roman" w:hAnsi="Times New Roman" w:cs="Times New Roman"/>
          <w:sz w:val="24"/>
          <w:szCs w:val="24"/>
        </w:rPr>
        <w:t>PRE-RFD中应包哪些基本信息？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_Toc97322952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D70660F">
      <w:pPr>
        <w:pStyle w:val="8"/>
        <w:tabs>
          <w:tab w:val="left" w:pos="1050"/>
          <w:tab w:val="right" w:leader="dot" w:pos="9628"/>
        </w:tabs>
        <w:rPr>
          <w:rFonts w:ascii="Times New Roman" w:hAnsi="Times New Roman" w:cs="Times New Roman"/>
          <w:sz w:val="24"/>
          <w:szCs w:val="24"/>
        </w:rPr>
      </w:pPr>
      <w:r>
        <w:fldChar w:fldCharType="begin"/>
      </w:r>
      <w:r>
        <w:instrText xml:space="preserve"> HYPERLINK \l "_Toc97322953" </w:instrText>
      </w:r>
      <w:r>
        <w:fldChar w:fldCharType="separate"/>
      </w:r>
      <w:r>
        <w:rPr>
          <w:rStyle w:val="13"/>
          <w:rFonts w:ascii="Times New Roman" w:hAnsi="Times New Roman" w:cs="Times New Roman"/>
          <w:sz w:val="24"/>
          <w:szCs w:val="24"/>
        </w:rPr>
        <w:t>B．</w:t>
      </w:r>
      <w:r>
        <w:rPr>
          <w:rFonts w:ascii="Times New Roman" w:hAnsi="Times New Roman" w:cs="Times New Roman"/>
          <w:sz w:val="24"/>
          <w:szCs w:val="24"/>
        </w:rPr>
        <w:tab/>
      </w:r>
      <w:r>
        <w:rPr>
          <w:rStyle w:val="13"/>
          <w:rFonts w:ascii="Times New Roman" w:hAnsi="Times New Roman" w:cs="Times New Roman"/>
          <w:sz w:val="24"/>
          <w:szCs w:val="24"/>
        </w:rPr>
        <w:t>如果我想在我的Pre-RFD中与FDA分享有关我的产品的</w:t>
      </w:r>
      <w:r>
        <w:rPr>
          <w:rStyle w:val="13"/>
          <w:rFonts w:hint="eastAsia" w:ascii="Times New Roman" w:hAnsi="Times New Roman" w:cs="Times New Roman"/>
          <w:sz w:val="24"/>
          <w:szCs w:val="24"/>
        </w:rPr>
        <w:t>补充</w:t>
      </w:r>
      <w:r>
        <w:rPr>
          <w:rStyle w:val="13"/>
          <w:rFonts w:ascii="Times New Roman" w:hAnsi="Times New Roman" w:cs="Times New Roman"/>
          <w:sz w:val="24"/>
          <w:szCs w:val="24"/>
        </w:rPr>
        <w:t>信息怎么办？</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_Toc97322953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C08359A">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"_Toc97322954" </w:instrText>
      </w:r>
      <w:r>
        <w:fldChar w:fldCharType="separate"/>
      </w:r>
      <w:r>
        <w:rPr>
          <w:rStyle w:val="13"/>
          <w:rFonts w:ascii="Times New Roman" w:hAnsi="Times New Roman" w:cs="Times New Roman"/>
          <w:sz w:val="24"/>
          <w:szCs w:val="24"/>
        </w:rPr>
        <w:t>C.</w:t>
      </w:r>
      <w:r>
        <w:rPr>
          <w:rFonts w:ascii="Times New Roman" w:hAnsi="Times New Roman" w:cs="Times New Roman"/>
          <w:sz w:val="24"/>
          <w:szCs w:val="24"/>
        </w:rPr>
        <w:tab/>
      </w:r>
      <w:r>
        <w:rPr>
          <w:rStyle w:val="13"/>
          <w:rFonts w:ascii="Times New Roman" w:hAnsi="Times New Roman" w:cs="Times New Roman"/>
          <w:sz w:val="24"/>
          <w:szCs w:val="24"/>
        </w:rPr>
        <w:t>我的Pre-RFD应遵循什么格式？</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_Toc97322954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1FD1B01">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"_Toc97322955" </w:instrText>
      </w:r>
      <w:r>
        <w:fldChar w:fldCharType="separate"/>
      </w:r>
      <w:r>
        <w:rPr>
          <w:rStyle w:val="13"/>
          <w:rFonts w:ascii="Times New Roman" w:hAnsi="Times New Roman" w:cs="Times New Roman"/>
          <w:sz w:val="24"/>
          <w:szCs w:val="24"/>
        </w:rPr>
        <w:t>D.</w:t>
      </w:r>
      <w:r>
        <w:rPr>
          <w:rFonts w:ascii="Times New Roman" w:hAnsi="Times New Roman" w:cs="Times New Roman"/>
          <w:sz w:val="24"/>
          <w:szCs w:val="24"/>
        </w:rPr>
        <w:tab/>
      </w:r>
      <w:r>
        <w:rPr>
          <w:rStyle w:val="13"/>
          <w:rFonts w:ascii="Times New Roman" w:hAnsi="Times New Roman" w:cs="Times New Roman"/>
          <w:sz w:val="24"/>
          <w:szCs w:val="24"/>
        </w:rPr>
        <w:t>FDA是否接受Pre-RFD的电子提交资料？</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_Toc97322955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01C8D5">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"_Toc97322956" </w:instrText>
      </w:r>
      <w:r>
        <w:fldChar w:fldCharType="separate"/>
      </w:r>
      <w:r>
        <w:rPr>
          <w:rStyle w:val="13"/>
          <w:rFonts w:ascii="Times New Roman" w:hAnsi="Times New Roman" w:cs="Times New Roman"/>
          <w:sz w:val="24"/>
          <w:szCs w:val="24"/>
        </w:rPr>
        <w:t>E.</w:t>
      </w:r>
      <w:r>
        <w:rPr>
          <w:rFonts w:ascii="Times New Roman" w:hAnsi="Times New Roman" w:cs="Times New Roman"/>
          <w:sz w:val="24"/>
          <w:szCs w:val="24"/>
        </w:rPr>
        <w:tab/>
      </w:r>
      <w:r>
        <w:rPr>
          <w:rStyle w:val="13"/>
          <w:rFonts w:ascii="Times New Roman" w:hAnsi="Times New Roman" w:cs="Times New Roman"/>
          <w:sz w:val="24"/>
          <w:szCs w:val="24"/>
        </w:rPr>
        <w:t>如果我以标准邮寄方式递交，我的Pre-RFD</w:t>
      </w:r>
      <w:r>
        <w:rPr>
          <w:rStyle w:val="13"/>
          <w:rFonts w:hint="eastAsia" w:ascii="Times New Roman" w:hAnsi="Times New Roman" w:cs="Times New Roman"/>
          <w:sz w:val="24"/>
          <w:szCs w:val="24"/>
        </w:rPr>
        <w:t>地址</w:t>
      </w:r>
      <w:r>
        <w:rPr>
          <w:rStyle w:val="13"/>
          <w:rFonts w:ascii="Times New Roman" w:hAnsi="Times New Roman" w:cs="Times New Roman"/>
          <w:sz w:val="24"/>
          <w:szCs w:val="24"/>
        </w:rPr>
        <w:t>应如何填写?</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_Toc97322956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D827A8F">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"_Toc97322957" </w:instrText>
      </w:r>
      <w:r>
        <w:fldChar w:fldCharType="separate"/>
      </w:r>
      <w:r>
        <w:rPr>
          <w:rStyle w:val="13"/>
          <w:rFonts w:ascii="Times New Roman" w:hAnsi="Times New Roman" w:cs="Times New Roman"/>
          <w:sz w:val="24"/>
          <w:szCs w:val="24"/>
        </w:rPr>
        <w:t>F.</w:t>
      </w:r>
      <w:r>
        <w:rPr>
          <w:rFonts w:ascii="Times New Roman" w:hAnsi="Times New Roman" w:cs="Times New Roman"/>
          <w:sz w:val="24"/>
          <w:szCs w:val="24"/>
        </w:rPr>
        <w:tab/>
      </w:r>
      <w:r>
        <w:rPr>
          <w:rStyle w:val="13"/>
          <w:rFonts w:ascii="Times New Roman" w:hAnsi="Times New Roman" w:cs="Times New Roman"/>
          <w:sz w:val="24"/>
          <w:szCs w:val="24"/>
        </w:rPr>
        <w:t>Pre-RFD是否有页面限制？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_Toc97322957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1A477FF">
      <w:pPr>
        <w:pStyle w:val="6"/>
        <w:rPr>
          <w:rFonts w:ascii="Times New Roman" w:hAnsi="Times New Roman" w:cs="Times New Roman"/>
          <w:sz w:val="24"/>
          <w:szCs w:val="24"/>
        </w:rPr>
      </w:pPr>
      <w:r>
        <w:fldChar w:fldCharType="begin"/>
      </w:r>
      <w:r>
        <w:instrText xml:space="preserve"> HYPERLINK \l "_Toc97322958" </w:instrText>
      </w:r>
      <w:r>
        <w:fldChar w:fldCharType="separate"/>
      </w:r>
      <w:r>
        <w:rPr>
          <w:rStyle w:val="13"/>
          <w:rFonts w:ascii="Times New Roman" w:hAnsi="Times New Roman" w:cs="Times New Roman"/>
          <w:sz w:val="24"/>
          <w:szCs w:val="24"/>
        </w:rPr>
        <w:t>V.</w:t>
      </w:r>
      <w:r>
        <w:rPr>
          <w:rFonts w:ascii="Times New Roman" w:hAnsi="Times New Roman" w:cs="Times New Roman"/>
          <w:sz w:val="24"/>
          <w:szCs w:val="24"/>
        </w:rPr>
        <w:tab/>
      </w:r>
      <w:r>
        <w:rPr>
          <w:rStyle w:val="13"/>
          <w:rFonts w:ascii="Times New Roman" w:hAnsi="Times New Roman" w:cs="Times New Roman"/>
          <w:sz w:val="24"/>
          <w:szCs w:val="24"/>
        </w:rPr>
        <w:t>结论</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_Toc97322958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D9C4662">
      <w:pPr>
        <w:pStyle w:val="6"/>
        <w:rPr>
          <w:rFonts w:ascii="Times New Roman" w:hAnsi="Times New Roman" w:cs="Times New Roman"/>
          <w:sz w:val="24"/>
          <w:szCs w:val="24"/>
        </w:rPr>
      </w:pPr>
      <w:r>
        <w:fldChar w:fldCharType="begin"/>
      </w:r>
      <w:r>
        <w:instrText xml:space="preserve"> HYPERLINK \l "_Toc97322959" </w:instrText>
      </w:r>
      <w:r>
        <w:fldChar w:fldCharType="separate"/>
      </w:r>
      <w:r>
        <w:rPr>
          <w:rStyle w:val="13"/>
          <w:rFonts w:ascii="Times New Roman" w:hAnsi="Times New Roman" w:cs="Times New Roman"/>
          <w:sz w:val="24"/>
          <w:szCs w:val="24"/>
        </w:rPr>
        <w:t>VI.</w:t>
      </w:r>
      <w:r>
        <w:rPr>
          <w:rFonts w:ascii="Times New Roman" w:hAnsi="Times New Roman" w:cs="Times New Roman"/>
          <w:sz w:val="24"/>
          <w:szCs w:val="24"/>
        </w:rPr>
        <w:tab/>
      </w:r>
      <w:r>
        <w:rPr>
          <w:rStyle w:val="13"/>
          <w:rFonts w:ascii="Times New Roman" w:hAnsi="Times New Roman" w:cs="Times New Roman"/>
          <w:sz w:val="24"/>
          <w:szCs w:val="24"/>
        </w:rPr>
        <w:t>1995年《文书削减法》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_Toc97322959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F44E1C9">
      <w:pPr>
        <w:pStyle w:val="6"/>
        <w:rPr>
          <w:rFonts w:ascii="Times New Roman" w:hAnsi="Times New Roman" w:cs="Times New Roman"/>
          <w:sz w:val="24"/>
          <w:szCs w:val="24"/>
        </w:rPr>
      </w:pPr>
      <w:r>
        <w:fldChar w:fldCharType="begin"/>
      </w:r>
      <w:r>
        <w:instrText xml:space="preserve"> HYPERLINK \l "_Toc97322960" </w:instrText>
      </w:r>
      <w:r>
        <w:fldChar w:fldCharType="separate"/>
      </w:r>
      <w:r>
        <w:rPr>
          <w:rStyle w:val="13"/>
          <w:rFonts w:ascii="Times New Roman" w:hAnsi="Times New Roman" w:cs="Times New Roman"/>
          <w:sz w:val="24"/>
          <w:szCs w:val="24"/>
        </w:rPr>
        <w:t>VII.</w:t>
      </w:r>
      <w:r>
        <w:rPr>
          <w:rFonts w:ascii="Times New Roman" w:hAnsi="Times New Roman" w:cs="Times New Roman"/>
          <w:sz w:val="24"/>
          <w:szCs w:val="24"/>
        </w:rPr>
        <w:tab/>
      </w:r>
      <w:r>
        <w:rPr>
          <w:rStyle w:val="13"/>
          <w:rFonts w:ascii="Times New Roman" w:hAnsi="Times New Roman" w:cs="Times New Roman"/>
          <w:sz w:val="24"/>
          <w:szCs w:val="24"/>
        </w:rPr>
        <w:t>附录：</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_Toc97322960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096C119">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"_Toc97322961" </w:instrText>
      </w:r>
      <w:r>
        <w:fldChar w:fldCharType="separate"/>
      </w:r>
      <w:r>
        <w:rPr>
          <w:rStyle w:val="13"/>
          <w:rFonts w:ascii="Times New Roman" w:hAnsi="Times New Roman" w:cs="Times New Roman"/>
          <w:sz w:val="24"/>
          <w:szCs w:val="24"/>
        </w:rPr>
        <w:t>A.</w:t>
      </w:r>
      <w:r>
        <w:rPr>
          <w:rFonts w:ascii="Times New Roman" w:hAnsi="Times New Roman" w:cs="Times New Roman"/>
          <w:sz w:val="24"/>
          <w:szCs w:val="24"/>
        </w:rPr>
        <w:tab/>
      </w:r>
      <w:r>
        <w:rPr>
          <w:rStyle w:val="13"/>
          <w:rFonts w:ascii="Times New Roman" w:hAnsi="Times New Roman" w:cs="Times New Roman"/>
          <w:sz w:val="24"/>
          <w:szCs w:val="24"/>
        </w:rPr>
        <w:t>Pre-RFD筛选列表：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_Toc97322961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27AB732">
      <w:pPr>
        <w:pStyle w:val="8"/>
        <w:tabs>
          <w:tab w:val="left" w:pos="840"/>
          <w:tab w:val="right" w:leader="dot" w:pos="9628"/>
        </w:tabs>
        <w:rPr>
          <w:rFonts w:ascii="Times New Roman" w:hAnsi="Times New Roman" w:cs="Times New Roman"/>
          <w:sz w:val="24"/>
          <w:szCs w:val="24"/>
        </w:rPr>
      </w:pPr>
      <w:r>
        <w:fldChar w:fldCharType="begin"/>
      </w:r>
      <w:r>
        <w:instrText xml:space="preserve"> HYPERLINK \l "_Toc97322962" </w:instrText>
      </w:r>
      <w:r>
        <w:fldChar w:fldCharType="separate"/>
      </w:r>
      <w:r>
        <w:rPr>
          <w:rStyle w:val="13"/>
          <w:rFonts w:ascii="Times New Roman" w:hAnsi="Times New Roman" w:cs="Times New Roman"/>
          <w:sz w:val="24"/>
          <w:szCs w:val="24"/>
        </w:rPr>
        <w:t>B.</w:t>
      </w:r>
      <w:r>
        <w:rPr>
          <w:rFonts w:ascii="Times New Roman" w:hAnsi="Times New Roman" w:cs="Times New Roman"/>
          <w:sz w:val="24"/>
          <w:szCs w:val="24"/>
        </w:rPr>
        <w:tab/>
      </w:r>
      <w:r>
        <w:rPr>
          <w:rStyle w:val="13"/>
          <w:rFonts w:ascii="Times New Roman" w:hAnsi="Times New Roman" w:cs="Times New Roman"/>
          <w:sz w:val="24"/>
          <w:szCs w:val="24"/>
        </w:rPr>
        <w:t>Pre-RFD流程</w:t>
      </w:r>
      <w:r>
        <w:rPr>
          <w:rStyle w:val="13"/>
          <w:rFonts w:hint="eastAsia" w:ascii="Times New Roman" w:hAnsi="Times New Roman" w:cs="Times New Roman"/>
          <w:sz w:val="24"/>
          <w:szCs w:val="24"/>
        </w:rPr>
        <w:t>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_Toc97322962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8D2CE34">
      <w:pPr>
        <w:spacing w:before="156" w:beforeLines="50" w:after="156" w:afterLines="50"/>
        <w:jc w:val="cente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4A3DA750">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如何编制预先名称申请（Pre-RFD）</w:t>
      </w:r>
    </w:p>
    <w:p w14:paraId="3A487CCF">
      <w:pPr>
        <w:spacing w:before="156" w:beforeLines="50" w:after="156" w:afterLines="50"/>
        <w:jc w:val="center"/>
        <w:rPr>
          <w:rFonts w:ascii="Times New Roman" w:hAnsi="Times New Roman" w:cs="Times New Roman"/>
          <w:b/>
          <w:sz w:val="28"/>
          <w:szCs w:val="28"/>
        </w:rPr>
      </w:pPr>
      <w:r>
        <w:rPr>
          <w:rFonts w:ascii="Times New Roman" w:hAnsi="Times New Roman" w:cs="Times New Roman"/>
          <w:b/>
          <w:bCs/>
          <w:sz w:val="28"/>
          <w:szCs w:val="28"/>
        </w:rPr>
        <w:t>行业指南</w:t>
      </w:r>
    </w:p>
    <w:tbl>
      <w:tblPr>
        <w:tblStyle w:val="11"/>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444EF5A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09E8D563">
            <w:pPr>
              <w:widowControl/>
              <w:spacing w:before="156" w:after="156"/>
              <w:jc w:val="left"/>
              <w:rPr>
                <w:rFonts w:ascii="Times New Roman" w:hAnsi="Times New Roman" w:cs="Times New Roman"/>
                <w:sz w:val="24"/>
                <w:szCs w:val="24"/>
              </w:rPr>
            </w:pPr>
            <w:bookmarkStart w:id="0" w:name="OLE_LINK3"/>
            <w:bookmarkStart w:id="1" w:name="OLE_LINK1"/>
            <w:bookmarkStart w:id="2" w:name="OLE_LINK2"/>
            <w:bookmarkStart w:id="3" w:name="OLE_LINK4"/>
            <w:r>
              <w:rPr>
                <w:rFonts w:hint="eastAsia"/>
                <w:b/>
                <w:i/>
                <w:kern w:val="0"/>
                <w:sz w:val="24"/>
              </w:rPr>
              <w:t>本指南代表美国食品药品监督管理局（</w:t>
            </w:r>
            <w:r>
              <w:rPr>
                <w:b/>
                <w:i/>
                <w:kern w:val="0"/>
                <w:sz w:val="24"/>
              </w:rPr>
              <w:t>FDA</w:t>
            </w:r>
            <w:r>
              <w:rPr>
                <w:rFonts w:hint="eastAsia"/>
                <w:b/>
                <w:i/>
                <w:kern w:val="0"/>
                <w:sz w:val="24"/>
              </w:rPr>
              <w:t>）对该主题的当前看法。本文件不赋予任何人任何权利，对</w:t>
            </w:r>
            <w:r>
              <w:rPr>
                <w:b/>
                <w:i/>
                <w:kern w:val="0"/>
                <w:sz w:val="24"/>
              </w:rPr>
              <w:t>FDA</w:t>
            </w:r>
            <w:r>
              <w:rPr>
                <w:rFonts w:hint="eastAsia"/>
                <w:b/>
                <w:i/>
                <w:kern w:val="0"/>
                <w:sz w:val="24"/>
              </w:rPr>
              <w:t>或公众不具有约束力。如果替代方法满足</w:t>
            </w:r>
            <w:commentRangeStart w:id="0"/>
            <w:r>
              <w:rPr>
                <w:rFonts w:hint="eastAsia"/>
                <w:b/>
                <w:i/>
                <w:kern w:val="0"/>
                <w:sz w:val="24"/>
              </w:rPr>
              <w:t>适用的情形和法规</w:t>
            </w:r>
            <w:commentRangeEnd w:id="0"/>
            <w:r>
              <w:rPr>
                <w:rStyle w:val="14"/>
              </w:rPr>
              <w:commentReference w:id="0"/>
            </w:r>
            <w:r>
              <w:rPr>
                <w:rFonts w:hint="eastAsia"/>
                <w:b/>
                <w:i/>
                <w:kern w:val="0"/>
                <w:sz w:val="24"/>
              </w:rPr>
              <w:t>的要求，则贵司可使用替代方法。如需讨论替代方法，请联系标题页所列负责本指南的</w:t>
            </w:r>
            <w:r>
              <w:rPr>
                <w:b/>
                <w:i/>
                <w:kern w:val="0"/>
                <w:sz w:val="24"/>
              </w:rPr>
              <w:t>FDA</w:t>
            </w:r>
            <w:r>
              <w:rPr>
                <w:rFonts w:hint="eastAsia"/>
                <w:b/>
                <w:i/>
                <w:kern w:val="0"/>
                <w:sz w:val="24"/>
              </w:rPr>
              <w:t>工作人员或办公室</w:t>
            </w:r>
            <w:r>
              <w:rPr>
                <w:b/>
                <w:i/>
                <w:sz w:val="24"/>
                <w:szCs w:val="24"/>
              </w:rPr>
              <w:t>。</w:t>
            </w:r>
            <w:bookmarkEnd w:id="0"/>
            <w:bookmarkEnd w:id="1"/>
            <w:bookmarkEnd w:id="2"/>
            <w:bookmarkEnd w:id="3"/>
          </w:p>
        </w:tc>
      </w:tr>
    </w:tbl>
    <w:p w14:paraId="2433EF53">
      <w:pPr>
        <w:spacing w:before="156" w:beforeLines="50" w:after="156" w:afterLines="50"/>
        <w:ind w:left="565" w:hanging="565" w:hangingChars="201"/>
        <w:outlineLvl w:val="0"/>
        <w:rPr>
          <w:rFonts w:ascii="Times New Roman" w:hAnsi="Times New Roman" w:cs="Times New Roman"/>
          <w:b/>
          <w:sz w:val="28"/>
          <w:szCs w:val="28"/>
        </w:rPr>
      </w:pPr>
      <w:bookmarkStart w:id="4" w:name="_Toc97322939"/>
      <w:r>
        <w:rPr>
          <w:rFonts w:ascii="Times New Roman" w:hAnsi="Times New Roman" w:cs="Times New Roman"/>
          <w:b/>
          <w:bCs/>
          <w:sz w:val="28"/>
          <w:szCs w:val="28"/>
        </w:rPr>
        <w:t>1.</w:t>
      </w:r>
      <w:r>
        <w:rPr>
          <w:rFonts w:ascii="Times New Roman" w:hAnsi="Times New Roman" w:cs="Times New Roman"/>
          <w:b/>
          <w:bCs/>
          <w:sz w:val="28"/>
          <w:szCs w:val="28"/>
        </w:rPr>
        <w:tab/>
      </w:r>
      <w:r>
        <w:rPr>
          <w:rFonts w:ascii="Times New Roman" w:hAnsi="Times New Roman" w:cs="Times New Roman"/>
          <w:b/>
          <w:bCs/>
          <w:sz w:val="28"/>
          <w:szCs w:val="28"/>
        </w:rPr>
        <w:t>目的</w:t>
      </w:r>
      <w:bookmarkEnd w:id="4"/>
    </w:p>
    <w:p w14:paraId="7771183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本指南旨在帮助申办者通过预先名称申请（Pre-RFD）流程从美国食品药品监督管理局（FDA）获得初步评估。具体</w:t>
      </w:r>
      <w:r>
        <w:rPr>
          <w:rFonts w:hint="eastAsia" w:ascii="Times New Roman" w:hAnsi="Times New Roman" w:cs="Times New Roman"/>
          <w:sz w:val="24"/>
          <w:szCs w:val="24"/>
        </w:rPr>
        <w:t>而言</w:t>
      </w:r>
      <w:r>
        <w:rPr>
          <w:rFonts w:ascii="Times New Roman" w:hAnsi="Times New Roman" w:cs="Times New Roman"/>
          <w:sz w:val="24"/>
          <w:szCs w:val="24"/>
        </w:rPr>
        <w:t>，本指南解释了组合产品办公室（OCP）的Pre-RFD流程，并帮助申办者理解Pre-RFD中提供的信息类型。</w:t>
      </w:r>
    </w:p>
    <w:p w14:paraId="48BA1639">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Pre-RFD流程可提供关于人类医疗产品作为药物、器械、生物产品或组合产品的监管</w:t>
      </w:r>
      <w:r>
        <w:rPr>
          <w:rFonts w:hint="eastAsia" w:ascii="Times New Roman" w:hAnsi="Times New Roman" w:cs="Times New Roman"/>
          <w:sz w:val="24"/>
          <w:szCs w:val="24"/>
        </w:rPr>
        <w:t>性质</w:t>
      </w:r>
      <w:r>
        <w:rPr>
          <w:rFonts w:ascii="Times New Roman" w:hAnsi="Times New Roman" w:cs="Times New Roman"/>
          <w:sz w:val="24"/>
          <w:szCs w:val="24"/>
        </w:rPr>
        <w:t>或分类的非正式、非约束性反馈。此外，非正式流程提供了有关非组合或组合产品分配给适当的FDA中心（药物评估和研究中心（CDER）、医疗器械和放射健康中心（CDRH）或生物制品评估和研究中心（CBER）），以进行上市前审评和监管。</w:t>
      </w:r>
    </w:p>
    <w:p w14:paraId="25F35D74">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有关本指南范围之外的主题的更多信息，具体请访问我们的网站（</w:t>
      </w:r>
      <w:r>
        <w:fldChar w:fldCharType="begin"/>
      </w:r>
      <w:r>
        <w:instrText xml:space="preserve"> HYPERLINK "http://www.fda.gov/CombinationProducts/default.htm" </w:instrText>
      </w:r>
      <w:r>
        <w:fldChar w:fldCharType="separate"/>
      </w:r>
      <w:r>
        <w:rPr>
          <w:rStyle w:val="13"/>
          <w:rFonts w:ascii="Times New Roman" w:hAnsi="Times New Roman" w:cs="Times New Roman"/>
          <w:sz w:val="24"/>
          <w:szCs w:val="24"/>
        </w:rPr>
        <w:t>http://www.fda.gov/CombinationProducts/default.htm</w:t>
      </w:r>
      <w:r>
        <w:rPr>
          <w:rStyle w:val="13"/>
          <w:rFonts w:ascii="Times New Roman" w:hAnsi="Times New Roman" w:cs="Times New Roman"/>
          <w:sz w:val="24"/>
          <w:szCs w:val="24"/>
        </w:rPr>
        <w:fldChar w:fldCharType="end"/>
      </w:r>
      <w:r>
        <w:rPr>
          <w:rFonts w:ascii="Times New Roman" w:hAnsi="Times New Roman" w:cs="Times New Roman"/>
          <w:sz w:val="24"/>
          <w:szCs w:val="24"/>
        </w:rPr>
        <w:t>。）这些主题包括非组合产品和组合产品的定义，以及关于正式指定请求（RFD）流程的信息。</w:t>
      </w:r>
    </w:p>
    <w:p w14:paraId="0454EF54">
      <w:pPr>
        <w:spacing w:before="156" w:beforeLines="50" w:after="156" w:afterLines="50"/>
        <w:ind w:left="565" w:hanging="565" w:hangingChars="201"/>
        <w:jc w:val="left"/>
        <w:outlineLvl w:val="0"/>
        <w:rPr>
          <w:rFonts w:ascii="Times New Roman" w:hAnsi="Times New Roman" w:cs="Times New Roman"/>
          <w:b/>
          <w:sz w:val="28"/>
          <w:szCs w:val="28"/>
        </w:rPr>
      </w:pPr>
      <w:bookmarkStart w:id="5" w:name="_Toc97322940"/>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5"/>
    </w:p>
    <w:p w14:paraId="496E283B">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自2002年12月24日成立以来，OCP一直为处于产品开发各个阶段的申办者提供资源。申办者经常寻求OCP反馈，了解其医疗产品是否将作为药物、器械、生物产品或组合产品进行监管，如果该产品是非组合产品，了解哪个FDA医疗产品中心（CDER、CBER或CDRH）将对其进行监管，或者如果是组合产品，了解哪个FDA医疗产品中心（CDER、CBER或CDRH）将拥有产品上市前审评和监管的主要管辖权。</w:t>
      </w:r>
    </w:p>
    <w:p w14:paraId="220A3A8C">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申办者可通过两种方式从OCP接收此类反馈。一种选择是申办者提交RFD以接收关于产品分类和/或中心分配的正式的、具有约束力的决定，该决定可能在《联邦食品、药品和化妆品法案》（FD&amp;C法案）第563条和该法规中21 CFR 3.9的条件下发生变更。RFD流程在21 CFR 3进行了编纂，OCP发布了有关此流程的指南（参见</w:t>
      </w:r>
      <w:r>
        <w:rPr>
          <w:rFonts w:cs="Times New Roman" w:asciiTheme="minorEastAsia" w:hAnsiTheme="minorEastAsia"/>
          <w:sz w:val="24"/>
          <w:szCs w:val="24"/>
        </w:rPr>
        <w:t>“如何编写指定请求”</w:t>
      </w:r>
      <w:r>
        <w:rPr>
          <w:rFonts w:ascii="Times New Roman" w:hAnsi="Times New Roman" w:cs="Times New Roman"/>
          <w:sz w:val="24"/>
          <w:szCs w:val="24"/>
        </w:rPr>
        <w:t>，具体请访问网站</w:t>
      </w:r>
      <w:r>
        <w:fldChar w:fldCharType="begin"/>
      </w:r>
      <w:r>
        <w:instrText xml:space="preserve"> HYPERLINK "http://www.fda.gov/RegulatoryInformation/Guidances/ucm126053.htm" </w:instrText>
      </w:r>
      <w:r>
        <w:fldChar w:fldCharType="separate"/>
      </w:r>
      <w:r>
        <w:rPr>
          <w:rStyle w:val="13"/>
          <w:rFonts w:ascii="Times New Roman" w:hAnsi="Times New Roman" w:cs="Times New Roman"/>
          <w:sz w:val="24"/>
          <w:szCs w:val="24"/>
        </w:rPr>
        <w:t>http://www.fda.gov/RegulatoryInformation/Guidances/ucm126053.htm</w:t>
      </w:r>
      <w:r>
        <w:rPr>
          <w:rStyle w:val="13"/>
          <w:rFonts w:ascii="Times New Roman" w:hAnsi="Times New Roman" w:cs="Times New Roman"/>
          <w:sz w:val="24"/>
          <w:szCs w:val="24"/>
        </w:rPr>
        <w:fldChar w:fldCharType="end"/>
      </w:r>
      <w:r>
        <w:rPr>
          <w:rFonts w:ascii="Times New Roman" w:hAnsi="Times New Roman" w:cs="Times New Roman"/>
          <w:sz w:val="24"/>
          <w:szCs w:val="24"/>
        </w:rPr>
        <w:t>）。第二个更灵活的选择是，申办者向OCP提交询问，以获得初步管辖权评估，该评估不具约束力。</w:t>
      </w:r>
    </w:p>
    <w:p w14:paraId="7D74E1E6">
      <w:pPr>
        <w:widowControl/>
        <w:jc w:val="left"/>
        <w:rPr>
          <w:rFonts w:ascii="Times New Roman" w:hAnsi="Times New Roman" w:cs="Times New Roman"/>
          <w:szCs w:val="15"/>
        </w:rPr>
      </w:pPr>
      <w:r>
        <w:rPr>
          <w:rFonts w:ascii="Times New Roman" w:hAnsi="Times New Roman" w:cs="Times New Roman"/>
          <w:szCs w:val="15"/>
        </w:rPr>
        <w:br w:type="page"/>
      </w:r>
    </w:p>
    <w:p w14:paraId="080B3AF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许多申办者寻求利用更灵活、可接近的方式与OCP和医疗产品中心互动，以便在向FDA提交</w:t>
      </w:r>
      <w:r>
        <w:rPr>
          <w:rFonts w:hint="eastAsia" w:ascii="Times New Roman" w:hAnsi="Times New Roman" w:cs="Times New Roman"/>
          <w:sz w:val="24"/>
          <w:szCs w:val="24"/>
        </w:rPr>
        <w:t>上市</w:t>
      </w:r>
      <w:r>
        <w:rPr>
          <w:rFonts w:ascii="Times New Roman" w:hAnsi="Times New Roman" w:cs="Times New Roman"/>
          <w:sz w:val="24"/>
          <w:szCs w:val="24"/>
        </w:rPr>
        <w:t>申请之前获得FDA的反馈。随着时间的推移，该非正式的获取反馈的方法已逐渐成为申办者的习惯，</w:t>
      </w:r>
      <w:r>
        <w:rPr>
          <w:rFonts w:hint="eastAsia" w:ascii="Times New Roman" w:hAnsi="Times New Roman" w:cs="Times New Roman"/>
          <w:sz w:val="24"/>
          <w:szCs w:val="24"/>
        </w:rPr>
        <w:t>对于一些申办者，</w:t>
      </w:r>
      <w:r>
        <w:rPr>
          <w:rFonts w:ascii="Times New Roman" w:hAnsi="Times New Roman" w:cs="Times New Roman"/>
          <w:sz w:val="24"/>
          <w:szCs w:val="24"/>
        </w:rPr>
        <w:t>甚至比正式的RFD流程更可取。因此，FDA正在加强流程的透明度和一致性，该流程现在被称为</w:t>
      </w:r>
      <w:r>
        <w:rPr>
          <w:rFonts w:cs="Times New Roman" w:asciiTheme="minorEastAsia" w:hAnsiTheme="minorEastAsia"/>
          <w:sz w:val="24"/>
          <w:szCs w:val="24"/>
        </w:rPr>
        <w:t>“预先名称申请</w:t>
      </w:r>
      <w:r>
        <w:rPr>
          <w:rFonts w:ascii="Times New Roman" w:hAnsi="Times New Roman" w:cs="Times New Roman"/>
          <w:sz w:val="24"/>
          <w:szCs w:val="24"/>
        </w:rPr>
        <w:t>（Pre-RFD）</w:t>
      </w:r>
      <w:r>
        <w:rPr>
          <w:rFonts w:hint="eastAsia" w:ascii="Times New Roman" w:hAnsi="Times New Roman" w:cs="Times New Roman"/>
          <w:sz w:val="24"/>
          <w:szCs w:val="24"/>
        </w:rPr>
        <w:t>程序</w:t>
      </w:r>
      <w:r>
        <w:rPr>
          <w:rFonts w:cs="Times New Roman" w:asciiTheme="minorEastAsia" w:hAnsiTheme="minorEastAsia"/>
          <w:sz w:val="24"/>
          <w:szCs w:val="24"/>
        </w:rPr>
        <w:t>”</w:t>
      </w:r>
      <w:r>
        <w:rPr>
          <w:rFonts w:ascii="Times New Roman" w:hAnsi="Times New Roman" w:cs="Times New Roman"/>
          <w:sz w:val="24"/>
          <w:szCs w:val="24"/>
        </w:rPr>
        <w:t>，</w:t>
      </w:r>
      <w:r>
        <w:rPr>
          <w:rFonts w:hint="eastAsia" w:ascii="Times New Roman" w:hAnsi="Times New Roman" w:cs="Times New Roman"/>
          <w:sz w:val="24"/>
          <w:szCs w:val="24"/>
        </w:rPr>
        <w:t>该程序</w:t>
      </w:r>
      <w:r>
        <w:rPr>
          <w:rFonts w:ascii="Times New Roman" w:hAnsi="Times New Roman" w:cs="Times New Roman"/>
          <w:sz w:val="24"/>
          <w:szCs w:val="24"/>
        </w:rPr>
        <w:t>可通过OCP</w:t>
      </w:r>
      <w:r>
        <w:rPr>
          <w:rFonts w:hint="eastAsia" w:ascii="Times New Roman" w:hAnsi="Times New Roman" w:cs="Times New Roman"/>
          <w:sz w:val="24"/>
          <w:szCs w:val="24"/>
        </w:rPr>
        <w:t>进行</w:t>
      </w:r>
      <w:r>
        <w:rPr>
          <w:rFonts w:ascii="Times New Roman" w:hAnsi="Times New Roman" w:cs="Times New Roman"/>
          <w:sz w:val="24"/>
          <w:szCs w:val="24"/>
        </w:rPr>
        <w:t>。本指南描述了这一结构化流程，并为希望提交Pre-RFD的申办者提供明确的建议。本指南还提供了FDA工作人员审评Pre-RFD</w:t>
      </w:r>
      <w:r>
        <w:rPr>
          <w:rFonts w:hint="eastAsia" w:ascii="Times New Roman" w:hAnsi="Times New Roman" w:cs="Times New Roman"/>
          <w:sz w:val="24"/>
          <w:szCs w:val="24"/>
        </w:rPr>
        <w:t>的</w:t>
      </w:r>
      <w:r>
        <w:rPr>
          <w:rFonts w:ascii="Times New Roman" w:hAnsi="Times New Roman" w:cs="Times New Roman"/>
          <w:sz w:val="24"/>
          <w:szCs w:val="24"/>
        </w:rPr>
        <w:t>流程、申办者从OCP接收反馈的一般时间框架，以及安排与Pre-RFD相关的电话会议和会议</w:t>
      </w:r>
      <w:r>
        <w:rPr>
          <w:rFonts w:hint="eastAsia" w:ascii="Times New Roman" w:hAnsi="Times New Roman" w:cs="Times New Roman"/>
          <w:sz w:val="24"/>
          <w:szCs w:val="24"/>
        </w:rPr>
        <w:t>的</w:t>
      </w:r>
      <w:r>
        <w:rPr>
          <w:rFonts w:ascii="Times New Roman" w:hAnsi="Times New Roman" w:cs="Times New Roman"/>
          <w:sz w:val="24"/>
          <w:szCs w:val="24"/>
        </w:rPr>
        <w:t>流程。</w:t>
      </w:r>
    </w:p>
    <w:p w14:paraId="31E25D91">
      <w:pPr>
        <w:spacing w:before="156" w:beforeLines="50" w:after="156" w:afterLines="50"/>
        <w:rPr>
          <w:rFonts w:ascii="Times New Roman" w:hAnsi="Times New Roman" w:cs="Times New Roman"/>
          <w:sz w:val="24"/>
          <w:szCs w:val="24"/>
        </w:rPr>
      </w:pPr>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指南中使用的“应该（</w:t>
      </w:r>
      <w:r>
        <w:rPr>
          <w:kern w:val="0"/>
          <w:sz w:val="24"/>
        </w:rPr>
        <w:t>should</w:t>
      </w:r>
      <w:r>
        <w:rPr>
          <w:rFonts w:hint="eastAsia"/>
          <w:kern w:val="0"/>
          <w:sz w:val="24"/>
        </w:rPr>
        <w:t>）”一词指建议或推荐进行某一事项，并非强制要求</w:t>
      </w:r>
      <w:r>
        <w:rPr>
          <w:rFonts w:ascii="Times New Roman" w:hAnsi="Times New Roman" w:cs="Times New Roman"/>
          <w:sz w:val="24"/>
          <w:szCs w:val="24"/>
        </w:rPr>
        <w:t>。</w:t>
      </w:r>
    </w:p>
    <w:p w14:paraId="542C47DC">
      <w:pPr>
        <w:spacing w:before="156" w:beforeLines="50" w:after="156" w:afterLines="50"/>
        <w:ind w:left="565" w:hanging="565" w:hangingChars="201"/>
        <w:outlineLvl w:val="0"/>
        <w:rPr>
          <w:rFonts w:ascii="Times New Roman" w:hAnsi="Times New Roman" w:cs="Times New Roman"/>
          <w:b/>
          <w:sz w:val="28"/>
          <w:szCs w:val="28"/>
        </w:rPr>
      </w:pPr>
      <w:bookmarkStart w:id="6" w:name="_Toc97322941"/>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关于非组合和组合产品的Pre-RFD流程的一般信息</w:t>
      </w:r>
      <w:r>
        <w:rPr>
          <w:rStyle w:val="15"/>
          <w:rFonts w:ascii="Times New Roman" w:hAnsi="Times New Roman" w:cs="Times New Roman"/>
          <w:b/>
          <w:bCs/>
          <w:sz w:val="28"/>
          <w:szCs w:val="28"/>
        </w:rPr>
        <w:footnoteReference w:id="0"/>
      </w:r>
      <w:bookmarkEnd w:id="6"/>
    </w:p>
    <w:p w14:paraId="41CDA800">
      <w:pPr>
        <w:spacing w:before="156" w:beforeLines="50" w:after="156" w:afterLines="50"/>
        <w:ind w:left="1136" w:leftChars="270" w:hanging="569" w:hangingChars="236"/>
        <w:outlineLvl w:val="1"/>
        <w:rPr>
          <w:rFonts w:ascii="Times New Roman" w:hAnsi="Times New Roman" w:cs="Times New Roman"/>
          <w:b/>
          <w:sz w:val="24"/>
          <w:szCs w:val="24"/>
        </w:rPr>
      </w:pPr>
      <w:bookmarkStart w:id="7" w:name="_Toc97322942"/>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什么是Pre-RFD？</w:t>
      </w:r>
      <w:bookmarkEnd w:id="7"/>
    </w:p>
    <w:p w14:paraId="09B2E31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Pre-RFD是申办者向OCP提交的清晰简洁的书面</w:t>
      </w:r>
      <w:r>
        <w:rPr>
          <w:rFonts w:hint="eastAsia" w:ascii="Times New Roman" w:hAnsi="Times New Roman" w:cs="Times New Roman"/>
          <w:sz w:val="24"/>
          <w:szCs w:val="24"/>
        </w:rPr>
        <w:t>申请</w:t>
      </w:r>
      <w:r>
        <w:rPr>
          <w:rFonts w:ascii="Times New Roman" w:hAnsi="Times New Roman" w:cs="Times New Roman"/>
          <w:sz w:val="24"/>
          <w:szCs w:val="24"/>
        </w:rPr>
        <w:t>，请求FDA对（1）药品、器械、生物制品或组合产品的监管</w:t>
      </w:r>
      <w:r>
        <w:rPr>
          <w:rFonts w:hint="eastAsia" w:ascii="Times New Roman" w:hAnsi="Times New Roman" w:cs="Times New Roman"/>
          <w:sz w:val="24"/>
          <w:szCs w:val="24"/>
        </w:rPr>
        <w:t>性质</w:t>
      </w:r>
      <w:r>
        <w:rPr>
          <w:rFonts w:ascii="Times New Roman" w:hAnsi="Times New Roman" w:cs="Times New Roman"/>
          <w:sz w:val="24"/>
          <w:szCs w:val="24"/>
        </w:rPr>
        <w:t>，和/或（2）如果是非组合产品，CBER、CDER或CDRH是否将对该产品进行监管；如果是组合产品，哪些FDA中心将对上市前审评和监管拥有主要管辖权</w:t>
      </w:r>
      <w:r>
        <w:rPr>
          <w:rFonts w:hint="eastAsia" w:ascii="Times New Roman" w:hAnsi="Times New Roman" w:cs="Times New Roman"/>
          <w:sz w:val="24"/>
          <w:szCs w:val="24"/>
        </w:rPr>
        <w:t>所</w:t>
      </w:r>
      <w:r>
        <w:rPr>
          <w:rFonts w:ascii="Times New Roman" w:hAnsi="Times New Roman" w:cs="Times New Roman"/>
          <w:sz w:val="24"/>
          <w:szCs w:val="24"/>
        </w:rPr>
        <w:t>进行初步的非约束性评估。</w:t>
      </w:r>
    </w:p>
    <w:p w14:paraId="2EBFA49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OCP将根据</w:t>
      </w:r>
      <w:r>
        <w:rPr>
          <w:rFonts w:hint="eastAsia" w:ascii="Times New Roman" w:hAnsi="Times New Roman" w:cs="Times New Roman"/>
          <w:sz w:val="24"/>
          <w:szCs w:val="24"/>
        </w:rPr>
        <w:t>具体</w:t>
      </w:r>
      <w:r>
        <w:rPr>
          <w:rFonts w:ascii="Times New Roman" w:hAnsi="Times New Roman" w:cs="Times New Roman"/>
          <w:sz w:val="24"/>
          <w:szCs w:val="24"/>
        </w:rPr>
        <w:t>Pre-RFD中提供的信息</w:t>
      </w:r>
      <w:r>
        <w:rPr>
          <w:rFonts w:hint="eastAsia" w:ascii="Times New Roman" w:hAnsi="Times New Roman" w:cs="Times New Roman"/>
          <w:sz w:val="24"/>
          <w:szCs w:val="24"/>
        </w:rPr>
        <w:t>给出</w:t>
      </w:r>
      <w:r>
        <w:rPr>
          <w:rFonts w:ascii="Times New Roman" w:hAnsi="Times New Roman" w:cs="Times New Roman"/>
          <w:sz w:val="24"/>
          <w:szCs w:val="24"/>
        </w:rPr>
        <w:t>产品的初步书面分类和/或管辖评估。我们的目标是在收到贵司提供的基本信息后的60个日历日内向贵司提供反馈，我们将在审</w:t>
      </w:r>
      <w:r>
        <w:rPr>
          <w:rFonts w:hint="eastAsia" w:ascii="Times New Roman" w:hAnsi="Times New Roman" w:cs="Times New Roman"/>
          <w:sz w:val="24"/>
          <w:szCs w:val="24"/>
        </w:rPr>
        <w:t>查</w:t>
      </w:r>
      <w:r>
        <w:rPr>
          <w:rFonts w:ascii="Times New Roman" w:hAnsi="Times New Roman" w:cs="Times New Roman"/>
          <w:sz w:val="24"/>
          <w:szCs w:val="24"/>
        </w:rPr>
        <w:t>期间根据需要与贵司沟通。贵司还可以在审核期间随时联系我们，询问问题或得到</w:t>
      </w:r>
      <w:r>
        <w:rPr>
          <w:rFonts w:hint="eastAsia" w:ascii="Times New Roman" w:hAnsi="Times New Roman" w:cs="Times New Roman"/>
          <w:sz w:val="24"/>
          <w:szCs w:val="24"/>
        </w:rPr>
        <w:t>解释说明</w:t>
      </w:r>
      <w:r>
        <w:rPr>
          <w:rFonts w:ascii="Times New Roman" w:hAnsi="Times New Roman" w:cs="Times New Roman"/>
          <w:sz w:val="24"/>
          <w:szCs w:val="24"/>
        </w:rPr>
        <w:t>。此外，如果我们无法在收到信息后60个日历天内完成审</w:t>
      </w:r>
      <w:r>
        <w:rPr>
          <w:rFonts w:hint="eastAsia" w:ascii="Times New Roman" w:hAnsi="Times New Roman" w:cs="Times New Roman"/>
          <w:sz w:val="24"/>
          <w:szCs w:val="24"/>
        </w:rPr>
        <w:t>查</w:t>
      </w:r>
      <w:r>
        <w:rPr>
          <w:rFonts w:ascii="Times New Roman" w:hAnsi="Times New Roman" w:cs="Times New Roman"/>
          <w:sz w:val="24"/>
          <w:szCs w:val="24"/>
        </w:rPr>
        <w:t>，我们将及时与贵司沟通</w:t>
      </w:r>
      <w:r>
        <w:rPr>
          <w:rFonts w:hint="eastAsia" w:ascii="Times New Roman" w:hAnsi="Times New Roman" w:cs="Times New Roman"/>
          <w:sz w:val="24"/>
          <w:szCs w:val="24"/>
        </w:rPr>
        <w:t>我们</w:t>
      </w:r>
      <w:r>
        <w:rPr>
          <w:rFonts w:ascii="Times New Roman" w:hAnsi="Times New Roman" w:cs="Times New Roman"/>
          <w:sz w:val="24"/>
          <w:szCs w:val="24"/>
        </w:rPr>
        <w:t>需要更多的审</w:t>
      </w:r>
      <w:r>
        <w:rPr>
          <w:rFonts w:hint="eastAsia" w:ascii="Times New Roman" w:hAnsi="Times New Roman" w:cs="Times New Roman"/>
          <w:sz w:val="24"/>
          <w:szCs w:val="24"/>
        </w:rPr>
        <w:t>查</w:t>
      </w:r>
      <w:r>
        <w:rPr>
          <w:rFonts w:ascii="Times New Roman" w:hAnsi="Times New Roman" w:cs="Times New Roman"/>
          <w:sz w:val="24"/>
          <w:szCs w:val="24"/>
        </w:rPr>
        <w:t>时间。</w:t>
      </w:r>
    </w:p>
    <w:p w14:paraId="0919A1D4">
      <w:pPr>
        <w:widowControl/>
        <w:jc w:val="left"/>
        <w:rPr>
          <w:rFonts w:ascii="Times New Roman" w:hAnsi="Times New Roman" w:cs="Times New Roman"/>
          <w:szCs w:val="15"/>
        </w:rPr>
      </w:pPr>
      <w:r>
        <w:rPr>
          <w:rFonts w:ascii="Times New Roman" w:hAnsi="Times New Roman" w:cs="Times New Roman"/>
          <w:szCs w:val="15"/>
        </w:rPr>
        <w:br w:type="page"/>
      </w:r>
    </w:p>
    <w:p w14:paraId="3761F03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请注意，如果贵司在向我们提交Pre-RFD后对产品进行了重大更改，例如更改其</w:t>
      </w:r>
      <w:r>
        <w:rPr>
          <w:rFonts w:hint="eastAsia" w:ascii="Times New Roman" w:hAnsi="Times New Roman" w:cs="Times New Roman"/>
          <w:sz w:val="24"/>
          <w:szCs w:val="24"/>
        </w:rPr>
        <w:t>适应证</w:t>
      </w:r>
      <w:r>
        <w:rPr>
          <w:rFonts w:ascii="Times New Roman" w:hAnsi="Times New Roman" w:cs="Times New Roman"/>
          <w:sz w:val="24"/>
          <w:szCs w:val="24"/>
        </w:rPr>
        <w:t>或成分，OCP的反馈可能不再适用。因此，如果贵司进行此类更改，我们建议贵司联系OCP。此外，如果贵司对具有不同配置、成分和/或</w:t>
      </w:r>
      <w:r>
        <w:rPr>
          <w:rFonts w:hint="eastAsia" w:ascii="Times New Roman" w:hAnsi="Times New Roman" w:cs="Times New Roman"/>
          <w:sz w:val="24"/>
          <w:szCs w:val="24"/>
        </w:rPr>
        <w:t>拟议</w:t>
      </w:r>
      <w:r>
        <w:rPr>
          <w:rFonts w:ascii="Times New Roman" w:hAnsi="Times New Roman" w:cs="Times New Roman"/>
          <w:sz w:val="24"/>
          <w:szCs w:val="24"/>
        </w:rPr>
        <w:t>用途或适应证的多个相关产品或产品</w:t>
      </w:r>
      <w:r>
        <w:rPr>
          <w:rFonts w:hint="eastAsia" w:ascii="Times New Roman" w:hAnsi="Times New Roman" w:cs="Times New Roman"/>
          <w:sz w:val="24"/>
          <w:szCs w:val="24"/>
        </w:rPr>
        <w:t>族</w:t>
      </w:r>
      <w:r>
        <w:rPr>
          <w:rFonts w:ascii="Times New Roman" w:hAnsi="Times New Roman" w:cs="Times New Roman"/>
          <w:sz w:val="24"/>
          <w:szCs w:val="24"/>
        </w:rPr>
        <w:t>有分类或</w:t>
      </w:r>
      <w:r>
        <w:rPr>
          <w:rFonts w:hint="eastAsia" w:ascii="Times New Roman" w:hAnsi="Times New Roman" w:cs="Times New Roman"/>
          <w:sz w:val="24"/>
          <w:szCs w:val="24"/>
        </w:rPr>
        <w:t>分配</w:t>
      </w:r>
      <w:r>
        <w:rPr>
          <w:rFonts w:ascii="Times New Roman" w:hAnsi="Times New Roman" w:cs="Times New Roman"/>
          <w:sz w:val="24"/>
          <w:szCs w:val="24"/>
        </w:rPr>
        <w:t>问题，我们建议为每个产品提交单独的Pre-RFD。</w:t>
      </w:r>
    </w:p>
    <w:p w14:paraId="434A7D8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尽管我们的Pre-RFD反馈对FDA或申办者没有约束力，但OCP</w:t>
      </w:r>
      <w:r>
        <w:rPr>
          <w:rFonts w:hint="eastAsia" w:ascii="Times New Roman" w:hAnsi="Times New Roman" w:cs="Times New Roman"/>
          <w:sz w:val="24"/>
          <w:szCs w:val="24"/>
        </w:rPr>
        <w:t>意在</w:t>
      </w:r>
      <w:r>
        <w:rPr>
          <w:rFonts w:ascii="Times New Roman" w:hAnsi="Times New Roman" w:cs="Times New Roman"/>
          <w:sz w:val="24"/>
          <w:szCs w:val="24"/>
        </w:rPr>
        <w:t>根据Pre-RFD中提供的信息</w:t>
      </w:r>
      <w:r>
        <w:rPr>
          <w:rFonts w:hint="eastAsia" w:ascii="Times New Roman" w:hAnsi="Times New Roman" w:cs="Times New Roman"/>
          <w:sz w:val="24"/>
          <w:szCs w:val="24"/>
        </w:rPr>
        <w:t>给出</w:t>
      </w:r>
      <w:r>
        <w:rPr>
          <w:rFonts w:ascii="Times New Roman" w:hAnsi="Times New Roman" w:cs="Times New Roman"/>
          <w:sz w:val="24"/>
          <w:szCs w:val="24"/>
        </w:rPr>
        <w:t>最佳建议。OCP的审评和书面反馈将在深入审评后作出，其中包含评估的彻底和详细理由。此外，审评包括相关机构中心的参与，以及首席律师办公室的参与（必要时）。</w:t>
      </w:r>
    </w:p>
    <w:p w14:paraId="1BBD5E7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下表重点介绍了RFD和Pre-RFD流程之间的主要相似之处和不同点。</w:t>
      </w:r>
      <w:r>
        <w:rPr>
          <w:rStyle w:val="15"/>
          <w:rFonts w:ascii="Times New Roman" w:hAnsi="Times New Roman" w:cs="Times New Roman"/>
          <w:sz w:val="24"/>
          <w:szCs w:val="24"/>
        </w:rPr>
        <w:footnoteReference w:id="1"/>
      </w:r>
      <w:r>
        <w:rPr>
          <w:rFonts w:ascii="Times New Roman" w:hAnsi="Times New Roman" w:cs="Times New Roman"/>
          <w:sz w:val="24"/>
          <w:szCs w:val="24"/>
        </w:rPr>
        <w:t>关于相似之处，在这两个过程中，FDA均需要某些基本信息以评估产品的分类和分配。基本信息包括产品描述、</w:t>
      </w:r>
      <w:r>
        <w:rPr>
          <w:rFonts w:hint="eastAsia" w:ascii="Times New Roman" w:hAnsi="Times New Roman" w:cs="Times New Roman"/>
          <w:sz w:val="24"/>
          <w:szCs w:val="24"/>
        </w:rPr>
        <w:t>拟议</w:t>
      </w:r>
      <w:r>
        <w:rPr>
          <w:rFonts w:ascii="Times New Roman" w:hAnsi="Times New Roman" w:cs="Times New Roman"/>
          <w:sz w:val="24"/>
          <w:szCs w:val="24"/>
        </w:rPr>
        <w:t>用途或适应证，以及产品如何达到预期治疗/诊断效果的描述等。此外，申办者可选择在Pre-RFD中</w:t>
      </w:r>
      <w:r>
        <w:rPr>
          <w:rFonts w:hint="eastAsia" w:ascii="Times New Roman" w:hAnsi="Times New Roman" w:cs="Times New Roman"/>
          <w:sz w:val="24"/>
          <w:szCs w:val="24"/>
        </w:rPr>
        <w:t>增加</w:t>
      </w:r>
      <w:r>
        <w:rPr>
          <w:rFonts w:ascii="Times New Roman" w:hAnsi="Times New Roman" w:cs="Times New Roman"/>
          <w:sz w:val="24"/>
          <w:szCs w:val="24"/>
        </w:rPr>
        <w:t>RFD所需的更多信息。</w:t>
      </w:r>
    </w:p>
    <w:p w14:paraId="4ADD88D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RFD和Pre-RFD流程之间的差异</w:t>
      </w:r>
      <w:r>
        <w:rPr>
          <w:rFonts w:hint="eastAsia" w:ascii="Times New Roman" w:hAnsi="Times New Roman" w:cs="Times New Roman"/>
          <w:sz w:val="24"/>
          <w:szCs w:val="24"/>
        </w:rPr>
        <w:t>有</w:t>
      </w:r>
      <w:r>
        <w:rPr>
          <w:rFonts w:ascii="Times New Roman" w:hAnsi="Times New Roman" w:cs="Times New Roman"/>
          <w:sz w:val="24"/>
          <w:szCs w:val="24"/>
        </w:rPr>
        <w:t>申办者必须提供的提交资料</w:t>
      </w:r>
      <w:r>
        <w:rPr>
          <w:rFonts w:hint="eastAsia" w:ascii="Times New Roman" w:hAnsi="Times New Roman" w:cs="Times New Roman"/>
          <w:sz w:val="24"/>
          <w:szCs w:val="24"/>
        </w:rPr>
        <w:t>页数</w:t>
      </w:r>
      <w:r>
        <w:rPr>
          <w:rFonts w:ascii="Times New Roman" w:hAnsi="Times New Roman" w:cs="Times New Roman"/>
          <w:sz w:val="24"/>
          <w:szCs w:val="24"/>
        </w:rPr>
        <w:t>和监管分析的深度。例如，RFD不能超过15页，但Pre-RFD申请资料没有类似</w:t>
      </w:r>
      <w:r>
        <w:rPr>
          <w:rFonts w:hint="eastAsia" w:ascii="Times New Roman" w:hAnsi="Times New Roman" w:cs="Times New Roman"/>
          <w:sz w:val="24"/>
          <w:szCs w:val="24"/>
        </w:rPr>
        <w:t>页数</w:t>
      </w:r>
      <w:r>
        <w:rPr>
          <w:rFonts w:ascii="Times New Roman" w:hAnsi="Times New Roman" w:cs="Times New Roman"/>
          <w:sz w:val="24"/>
          <w:szCs w:val="24"/>
        </w:rPr>
        <w:t>要求。</w:t>
      </w:r>
      <w:r>
        <w:rPr>
          <w:rStyle w:val="15"/>
          <w:rFonts w:ascii="Times New Roman" w:hAnsi="Times New Roman" w:cs="Times New Roman"/>
          <w:sz w:val="24"/>
          <w:szCs w:val="24"/>
        </w:rPr>
        <w:footnoteReference w:id="2"/>
      </w:r>
      <w:r>
        <w:rPr>
          <w:rFonts w:ascii="Times New Roman" w:hAnsi="Times New Roman" w:cs="Times New Roman"/>
          <w:sz w:val="24"/>
          <w:szCs w:val="24"/>
        </w:rPr>
        <w:t>此外，对于RFD，申办者必须提供产品类别分析、</w:t>
      </w:r>
      <w:r>
        <w:rPr>
          <w:rFonts w:hint="eastAsia" w:ascii="Times New Roman" w:hAnsi="Times New Roman" w:cs="Times New Roman"/>
          <w:sz w:val="24"/>
          <w:szCs w:val="24"/>
        </w:rPr>
        <w:t>主要作用方式</w:t>
      </w:r>
      <w:r>
        <w:rPr>
          <w:rFonts w:ascii="Times New Roman" w:hAnsi="Times New Roman" w:cs="Times New Roman"/>
          <w:sz w:val="24"/>
          <w:szCs w:val="24"/>
        </w:rPr>
        <w:t>（PMOA）分析（如果RFD涉及组合产品分配）以及有关机构中心分配的建议。此类信息在Pre-RFD流程中是可选</w:t>
      </w:r>
      <w:r>
        <w:rPr>
          <w:rFonts w:hint="eastAsia" w:ascii="Times New Roman" w:hAnsi="Times New Roman" w:cs="Times New Roman"/>
          <w:sz w:val="24"/>
          <w:szCs w:val="24"/>
        </w:rPr>
        <w:t>项</w:t>
      </w:r>
      <w:r>
        <w:rPr>
          <w:rFonts w:ascii="Times New Roman" w:hAnsi="Times New Roman" w:cs="Times New Roman"/>
          <w:sz w:val="24"/>
          <w:szCs w:val="24"/>
        </w:rPr>
        <w:t>（更多详细信息在第IV.A.条和附录A中提供）。</w:t>
      </w:r>
      <w:r>
        <w:rPr>
          <w:rFonts w:hint="eastAsia" w:ascii="Times New Roman" w:hAnsi="Times New Roman" w:cs="Times New Roman"/>
          <w:sz w:val="24"/>
          <w:szCs w:val="24"/>
        </w:rPr>
        <w:t>请</w:t>
      </w:r>
      <w:r>
        <w:rPr>
          <w:rFonts w:ascii="Times New Roman" w:hAnsi="Times New Roman" w:cs="Times New Roman"/>
          <w:sz w:val="24"/>
          <w:szCs w:val="24"/>
        </w:rPr>
        <w:t>注意，FDA将在Pre-RFD</w:t>
      </w:r>
      <w:r>
        <w:rPr>
          <w:rFonts w:hint="eastAsia" w:ascii="Times New Roman" w:hAnsi="Times New Roman" w:cs="Times New Roman"/>
          <w:sz w:val="24"/>
          <w:szCs w:val="24"/>
        </w:rPr>
        <w:t>审评</w:t>
      </w:r>
      <w:r>
        <w:rPr>
          <w:rFonts w:ascii="Times New Roman" w:hAnsi="Times New Roman" w:cs="Times New Roman"/>
          <w:sz w:val="24"/>
          <w:szCs w:val="24"/>
        </w:rPr>
        <w:t>中进行与RFD中相同类型的PMOA分析，无论申办者是否选择在Pre-RFD中关于其组合产品的PMOA提出建议。</w:t>
      </w:r>
    </w:p>
    <w:p w14:paraId="2FD888BD">
      <w:pPr>
        <w:widowControl/>
        <w:jc w:val="left"/>
        <w:rPr>
          <w:rFonts w:ascii="Times New Roman" w:hAnsi="Times New Roman" w:cs="Times New Roman"/>
          <w:szCs w:val="15"/>
        </w:rPr>
      </w:pPr>
      <w:r>
        <w:rPr>
          <w:rFonts w:ascii="Times New Roman" w:hAnsi="Times New Roman" w:cs="Times New Roman"/>
          <w:szCs w:val="15"/>
        </w:rPr>
        <w:br w:type="page"/>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84"/>
        <w:gridCol w:w="3285"/>
        <w:gridCol w:w="3285"/>
      </w:tblGrid>
      <w:tr w14:paraId="5B2FA2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Borders>
              <w:bottom w:val="single" w:color="000000" w:themeColor="text1" w:sz="12" w:space="0"/>
            </w:tcBorders>
          </w:tcPr>
          <w:p w14:paraId="21027734">
            <w:pPr>
              <w:rPr>
                <w:rFonts w:ascii="Times New Roman" w:hAnsi="Times New Roman" w:cs="Times New Roman"/>
                <w:b/>
                <w:szCs w:val="15"/>
              </w:rPr>
            </w:pPr>
            <w:r>
              <w:rPr>
                <w:rFonts w:ascii="Times New Roman" w:hAnsi="Times New Roman" w:cs="Times New Roman"/>
                <w:b/>
                <w:bCs/>
                <w:szCs w:val="15"/>
              </w:rPr>
              <w:t>提交资料类型</w:t>
            </w:r>
          </w:p>
        </w:tc>
        <w:tc>
          <w:tcPr>
            <w:tcW w:w="3285" w:type="dxa"/>
            <w:tcBorders>
              <w:bottom w:val="single" w:color="000000" w:themeColor="text1" w:sz="12" w:space="0"/>
            </w:tcBorders>
          </w:tcPr>
          <w:p w14:paraId="76A3D6BC">
            <w:pPr>
              <w:jc w:val="center"/>
              <w:rPr>
                <w:rFonts w:ascii="Times New Roman" w:hAnsi="Times New Roman" w:cs="Times New Roman"/>
                <w:b/>
                <w:szCs w:val="15"/>
              </w:rPr>
            </w:pPr>
            <w:r>
              <w:rPr>
                <w:rFonts w:ascii="Times New Roman" w:hAnsi="Times New Roman" w:cs="Times New Roman"/>
                <w:b/>
                <w:bCs/>
                <w:szCs w:val="15"/>
              </w:rPr>
              <w:t>RFD（</w:t>
            </w:r>
            <w:r>
              <w:rPr>
                <w:rFonts w:hint="eastAsia" w:ascii="Times New Roman" w:hAnsi="Times New Roman" w:cs="Times New Roman"/>
                <w:b/>
                <w:bCs/>
                <w:szCs w:val="15"/>
              </w:rPr>
              <w:t>必要</w:t>
            </w:r>
            <w:r>
              <w:rPr>
                <w:rFonts w:ascii="Times New Roman" w:hAnsi="Times New Roman" w:cs="Times New Roman"/>
                <w:b/>
                <w:bCs/>
                <w:szCs w:val="15"/>
              </w:rPr>
              <w:t>信息）</w:t>
            </w:r>
          </w:p>
        </w:tc>
        <w:tc>
          <w:tcPr>
            <w:tcW w:w="3285" w:type="dxa"/>
            <w:tcBorders>
              <w:bottom w:val="single" w:color="000000" w:themeColor="text1" w:sz="12" w:space="0"/>
            </w:tcBorders>
          </w:tcPr>
          <w:p w14:paraId="0671EA21">
            <w:pPr>
              <w:jc w:val="center"/>
              <w:rPr>
                <w:rFonts w:ascii="Times New Roman" w:hAnsi="Times New Roman" w:cs="Times New Roman"/>
                <w:b/>
                <w:szCs w:val="15"/>
              </w:rPr>
            </w:pPr>
            <w:r>
              <w:rPr>
                <w:rFonts w:ascii="Times New Roman" w:hAnsi="Times New Roman" w:cs="Times New Roman"/>
                <w:b/>
                <w:bCs/>
                <w:szCs w:val="15"/>
              </w:rPr>
              <w:t>Pre-RFD（建议信息）</w:t>
            </w:r>
          </w:p>
        </w:tc>
      </w:tr>
      <w:tr w14:paraId="034A6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Borders>
              <w:top w:val="single" w:color="000000" w:themeColor="text1" w:sz="12" w:space="0"/>
            </w:tcBorders>
          </w:tcPr>
          <w:p w14:paraId="4D8BD9A9">
            <w:pPr>
              <w:rPr>
                <w:rFonts w:ascii="Times New Roman" w:hAnsi="Times New Roman" w:cs="Times New Roman"/>
                <w:szCs w:val="15"/>
              </w:rPr>
            </w:pPr>
            <w:r>
              <w:rPr>
                <w:rFonts w:ascii="Times New Roman" w:hAnsi="Times New Roman" w:cs="Times New Roman"/>
                <w:szCs w:val="15"/>
              </w:rPr>
              <w:t>产品</w:t>
            </w:r>
            <w:r>
              <w:rPr>
                <w:rFonts w:hint="eastAsia" w:ascii="Times New Roman" w:hAnsi="Times New Roman" w:cs="Times New Roman"/>
                <w:szCs w:val="15"/>
              </w:rPr>
              <w:t>描述</w:t>
            </w:r>
          </w:p>
        </w:tc>
        <w:tc>
          <w:tcPr>
            <w:tcW w:w="3285" w:type="dxa"/>
            <w:tcBorders>
              <w:top w:val="single" w:color="000000" w:themeColor="text1" w:sz="12" w:space="0"/>
            </w:tcBorders>
          </w:tcPr>
          <w:p w14:paraId="092A12DF">
            <w:pPr>
              <w:jc w:val="center"/>
              <w:rPr>
                <w:rFonts w:ascii="Times New Roman" w:hAnsi="Times New Roman" w:cs="Times New Roman"/>
                <w:szCs w:val="15"/>
              </w:rPr>
            </w:pPr>
            <w:r>
              <w:rPr>
                <w:rFonts w:ascii="Times New Roman" w:hAnsi="Times New Roman" w:cs="Times New Roman"/>
                <w:szCs w:val="15"/>
              </w:rPr>
              <w:t>是</w:t>
            </w:r>
          </w:p>
        </w:tc>
        <w:tc>
          <w:tcPr>
            <w:tcW w:w="3285" w:type="dxa"/>
            <w:tcBorders>
              <w:top w:val="single" w:color="000000" w:themeColor="text1" w:sz="12" w:space="0"/>
            </w:tcBorders>
          </w:tcPr>
          <w:p w14:paraId="2E22ACC3">
            <w:pPr>
              <w:jc w:val="center"/>
              <w:rPr>
                <w:rFonts w:ascii="Times New Roman" w:hAnsi="Times New Roman" w:cs="Times New Roman"/>
                <w:szCs w:val="15"/>
              </w:rPr>
            </w:pPr>
            <w:r>
              <w:rPr>
                <w:rFonts w:ascii="Times New Roman" w:hAnsi="Times New Roman" w:cs="Times New Roman"/>
                <w:szCs w:val="15"/>
              </w:rPr>
              <w:t>是</w:t>
            </w:r>
          </w:p>
        </w:tc>
      </w:tr>
      <w:tr w14:paraId="6B5B1A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595FB3C9">
            <w:pPr>
              <w:rPr>
                <w:rFonts w:ascii="Times New Roman" w:hAnsi="Times New Roman" w:cs="Times New Roman"/>
                <w:szCs w:val="15"/>
              </w:rPr>
            </w:pPr>
            <w:r>
              <w:rPr>
                <w:rFonts w:hint="eastAsia" w:ascii="Times New Roman" w:hAnsi="Times New Roman" w:cs="Times New Roman"/>
                <w:szCs w:val="15"/>
              </w:rPr>
              <w:t>拟议</w:t>
            </w:r>
            <w:r>
              <w:rPr>
                <w:rFonts w:ascii="Times New Roman" w:hAnsi="Times New Roman" w:cs="Times New Roman"/>
                <w:szCs w:val="15"/>
              </w:rPr>
              <w:t>用途或使用适应证</w:t>
            </w:r>
          </w:p>
        </w:tc>
        <w:tc>
          <w:tcPr>
            <w:tcW w:w="3285" w:type="dxa"/>
          </w:tcPr>
          <w:p w14:paraId="4781099A">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3C5A32C9">
            <w:pPr>
              <w:jc w:val="center"/>
              <w:rPr>
                <w:rFonts w:ascii="Times New Roman" w:hAnsi="Times New Roman" w:cs="Times New Roman"/>
                <w:szCs w:val="15"/>
              </w:rPr>
            </w:pPr>
            <w:r>
              <w:rPr>
                <w:rFonts w:ascii="Times New Roman" w:hAnsi="Times New Roman" w:cs="Times New Roman"/>
                <w:szCs w:val="15"/>
              </w:rPr>
              <w:t>是</w:t>
            </w:r>
          </w:p>
        </w:tc>
      </w:tr>
      <w:tr w14:paraId="760CFE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211BD1B1">
            <w:pPr>
              <w:rPr>
                <w:rFonts w:ascii="Times New Roman" w:hAnsi="Times New Roman" w:cs="Times New Roman"/>
                <w:szCs w:val="15"/>
              </w:rPr>
            </w:pPr>
            <w:r>
              <w:rPr>
                <w:rFonts w:ascii="Times New Roman" w:hAnsi="Times New Roman" w:cs="Times New Roman"/>
                <w:szCs w:val="15"/>
              </w:rPr>
              <w:t>制造过程的描述，包括所有组件的来源</w:t>
            </w:r>
          </w:p>
        </w:tc>
        <w:tc>
          <w:tcPr>
            <w:tcW w:w="3285" w:type="dxa"/>
          </w:tcPr>
          <w:p w14:paraId="4348419A">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460983AB">
            <w:pPr>
              <w:jc w:val="center"/>
              <w:rPr>
                <w:rFonts w:ascii="Times New Roman" w:hAnsi="Times New Roman" w:cs="Times New Roman"/>
                <w:szCs w:val="15"/>
              </w:rPr>
            </w:pPr>
            <w:r>
              <w:rPr>
                <w:rFonts w:ascii="Times New Roman" w:hAnsi="Times New Roman" w:cs="Times New Roman"/>
                <w:szCs w:val="15"/>
              </w:rPr>
              <w:t>可选（如有；</w:t>
            </w:r>
            <w:r>
              <w:rPr>
                <w:rFonts w:hint="eastAsia" w:ascii="Times New Roman" w:hAnsi="Times New Roman" w:cs="Times New Roman"/>
                <w:szCs w:val="15"/>
              </w:rPr>
              <w:t>则建议描述</w:t>
            </w:r>
            <w:r>
              <w:rPr>
                <w:rFonts w:ascii="Times New Roman" w:hAnsi="Times New Roman" w:cs="Times New Roman"/>
                <w:szCs w:val="15"/>
              </w:rPr>
              <w:t>是</w:t>
            </w:r>
            <w:r>
              <w:rPr>
                <w:rFonts w:hint="eastAsia" w:ascii="Times New Roman" w:hAnsi="Times New Roman" w:cs="Times New Roman"/>
                <w:szCs w:val="15"/>
              </w:rPr>
              <w:t>否是</w:t>
            </w:r>
            <w:r>
              <w:rPr>
                <w:rFonts w:ascii="Times New Roman" w:hAnsi="Times New Roman" w:cs="Times New Roman"/>
                <w:szCs w:val="15"/>
              </w:rPr>
              <w:t>人体细胞、组织或基于细胞或组织的产品（HCT/P）或生物产品）</w:t>
            </w:r>
          </w:p>
        </w:tc>
      </w:tr>
      <w:tr w14:paraId="1257EC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6B9E9E13">
            <w:pPr>
              <w:rPr>
                <w:rFonts w:ascii="Times New Roman" w:hAnsi="Times New Roman" w:cs="Times New Roman"/>
                <w:szCs w:val="15"/>
              </w:rPr>
            </w:pPr>
            <w:r>
              <w:rPr>
                <w:rFonts w:ascii="Times New Roman" w:hAnsi="Times New Roman" w:cs="Times New Roman"/>
                <w:szCs w:val="15"/>
              </w:rPr>
              <w:t>支持性数据/研究</w:t>
            </w:r>
          </w:p>
        </w:tc>
        <w:tc>
          <w:tcPr>
            <w:tcW w:w="3285" w:type="dxa"/>
          </w:tcPr>
          <w:p w14:paraId="3F23366A">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44EB4F8F">
            <w:pPr>
              <w:jc w:val="center"/>
              <w:rPr>
                <w:rFonts w:ascii="Times New Roman" w:hAnsi="Times New Roman" w:cs="Times New Roman"/>
                <w:szCs w:val="15"/>
              </w:rPr>
            </w:pPr>
            <w:r>
              <w:rPr>
                <w:rFonts w:ascii="Times New Roman" w:hAnsi="Times New Roman" w:cs="Times New Roman"/>
                <w:szCs w:val="15"/>
              </w:rPr>
              <w:t>可选（如有）</w:t>
            </w:r>
          </w:p>
        </w:tc>
      </w:tr>
      <w:tr w14:paraId="499052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521DA17F">
            <w:pPr>
              <w:rPr>
                <w:rFonts w:ascii="Times New Roman" w:hAnsi="Times New Roman" w:cs="Times New Roman"/>
                <w:szCs w:val="15"/>
              </w:rPr>
            </w:pPr>
            <w:r>
              <w:rPr>
                <w:rFonts w:ascii="Times New Roman" w:hAnsi="Times New Roman" w:cs="Times New Roman"/>
                <w:szCs w:val="15"/>
              </w:rPr>
              <w:t>产品如何达到预期的治疗/诊断效果的描述</w:t>
            </w:r>
          </w:p>
        </w:tc>
        <w:tc>
          <w:tcPr>
            <w:tcW w:w="3285" w:type="dxa"/>
          </w:tcPr>
          <w:p w14:paraId="55C96A24">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2AF9BB39">
            <w:pPr>
              <w:jc w:val="center"/>
              <w:rPr>
                <w:rFonts w:ascii="Times New Roman" w:hAnsi="Times New Roman" w:cs="Times New Roman"/>
                <w:szCs w:val="15"/>
              </w:rPr>
            </w:pPr>
            <w:r>
              <w:rPr>
                <w:rFonts w:ascii="Times New Roman" w:hAnsi="Times New Roman" w:cs="Times New Roman"/>
                <w:szCs w:val="15"/>
              </w:rPr>
              <w:t>是</w:t>
            </w:r>
          </w:p>
        </w:tc>
      </w:tr>
      <w:tr w14:paraId="5C9E45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40C814B2">
            <w:pPr>
              <w:rPr>
                <w:rFonts w:ascii="Times New Roman" w:hAnsi="Times New Roman" w:cs="Times New Roman"/>
                <w:szCs w:val="15"/>
              </w:rPr>
            </w:pPr>
            <w:r>
              <w:rPr>
                <w:rFonts w:ascii="Times New Roman" w:hAnsi="Times New Roman" w:cs="Times New Roman"/>
                <w:szCs w:val="15"/>
              </w:rPr>
              <w:t>分类分析、</w:t>
            </w:r>
            <w:r>
              <w:rPr>
                <w:rFonts w:hint="eastAsia" w:ascii="Times New Roman" w:hAnsi="Times New Roman" w:cs="Times New Roman"/>
                <w:szCs w:val="15"/>
              </w:rPr>
              <w:t>主要作用方式</w:t>
            </w:r>
            <w:r>
              <w:rPr>
                <w:rFonts w:ascii="Times New Roman" w:hAnsi="Times New Roman" w:cs="Times New Roman"/>
                <w:szCs w:val="15"/>
              </w:rPr>
              <w:t>（PMOA）分析（如果该产品是组合产品），以及管辖权</w:t>
            </w:r>
            <w:r>
              <w:rPr>
                <w:rFonts w:hint="eastAsia" w:ascii="Times New Roman" w:hAnsi="Times New Roman" w:cs="Times New Roman"/>
                <w:szCs w:val="15"/>
              </w:rPr>
              <w:t>分配分析</w:t>
            </w:r>
          </w:p>
        </w:tc>
        <w:tc>
          <w:tcPr>
            <w:tcW w:w="3285" w:type="dxa"/>
          </w:tcPr>
          <w:p w14:paraId="56CEC8C7">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55F96B82">
            <w:pPr>
              <w:jc w:val="center"/>
              <w:rPr>
                <w:rFonts w:ascii="Times New Roman" w:hAnsi="Times New Roman" w:cs="Times New Roman"/>
                <w:szCs w:val="15"/>
              </w:rPr>
            </w:pPr>
            <w:r>
              <w:rPr>
                <w:rFonts w:ascii="Times New Roman" w:hAnsi="Times New Roman" w:cs="Times New Roman"/>
                <w:szCs w:val="15"/>
              </w:rPr>
              <w:t>可选（如有）</w:t>
            </w:r>
          </w:p>
        </w:tc>
      </w:tr>
      <w:tr w14:paraId="1CB55B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EE3C375">
            <w:pPr>
              <w:rPr>
                <w:rFonts w:ascii="Times New Roman" w:hAnsi="Times New Roman" w:cs="Times New Roman"/>
                <w:szCs w:val="15"/>
              </w:rPr>
            </w:pPr>
            <w:r>
              <w:rPr>
                <w:rFonts w:ascii="Times New Roman" w:hAnsi="Times New Roman" w:cs="Times New Roman"/>
                <w:szCs w:val="15"/>
              </w:rPr>
              <w:t>相关产品</w:t>
            </w:r>
            <w:r>
              <w:rPr>
                <w:rFonts w:hint="eastAsia" w:ascii="Times New Roman" w:hAnsi="Times New Roman" w:cs="Times New Roman"/>
                <w:szCs w:val="15"/>
              </w:rPr>
              <w:t>描述</w:t>
            </w:r>
          </w:p>
        </w:tc>
        <w:tc>
          <w:tcPr>
            <w:tcW w:w="3285" w:type="dxa"/>
          </w:tcPr>
          <w:p w14:paraId="42CE2F87">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7B022794">
            <w:pPr>
              <w:jc w:val="center"/>
              <w:rPr>
                <w:rFonts w:ascii="Times New Roman" w:hAnsi="Times New Roman" w:cs="Times New Roman"/>
                <w:szCs w:val="15"/>
              </w:rPr>
            </w:pPr>
            <w:r>
              <w:rPr>
                <w:rFonts w:ascii="Times New Roman" w:hAnsi="Times New Roman" w:cs="Times New Roman"/>
                <w:szCs w:val="15"/>
              </w:rPr>
              <w:t>可选（如有）</w:t>
            </w:r>
          </w:p>
        </w:tc>
      </w:tr>
      <w:tr w14:paraId="36462D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747C0FE7">
            <w:pPr>
              <w:rPr>
                <w:rFonts w:ascii="Times New Roman" w:hAnsi="Times New Roman" w:cs="Times New Roman"/>
                <w:szCs w:val="15"/>
              </w:rPr>
            </w:pPr>
            <w:r>
              <w:rPr>
                <w:rFonts w:ascii="Times New Roman" w:hAnsi="Times New Roman" w:cs="Times New Roman"/>
                <w:szCs w:val="15"/>
              </w:rPr>
              <w:t>申办者</w:t>
            </w:r>
            <w:r>
              <w:rPr>
                <w:rFonts w:hint="eastAsia" w:ascii="Times New Roman" w:hAnsi="Times New Roman" w:cs="Times New Roman"/>
                <w:szCs w:val="15"/>
              </w:rPr>
              <w:t>的</w:t>
            </w:r>
            <w:r>
              <w:rPr>
                <w:rFonts w:ascii="Times New Roman" w:hAnsi="Times New Roman" w:cs="Times New Roman"/>
                <w:szCs w:val="15"/>
              </w:rPr>
              <w:t>建议</w:t>
            </w:r>
          </w:p>
        </w:tc>
        <w:tc>
          <w:tcPr>
            <w:tcW w:w="3285" w:type="dxa"/>
          </w:tcPr>
          <w:p w14:paraId="567B11F2">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4A6C42A9">
            <w:pPr>
              <w:jc w:val="center"/>
              <w:rPr>
                <w:rFonts w:ascii="Times New Roman" w:hAnsi="Times New Roman" w:cs="Times New Roman"/>
                <w:szCs w:val="15"/>
              </w:rPr>
            </w:pPr>
            <w:r>
              <w:rPr>
                <w:rFonts w:ascii="Times New Roman" w:hAnsi="Times New Roman" w:cs="Times New Roman"/>
                <w:szCs w:val="15"/>
              </w:rPr>
              <w:t>可选（如有）</w:t>
            </w:r>
          </w:p>
        </w:tc>
      </w:tr>
      <w:tr w14:paraId="0F8CAB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84" w:type="dxa"/>
          </w:tcPr>
          <w:p w14:paraId="3D560F38">
            <w:pPr>
              <w:rPr>
                <w:rFonts w:ascii="Times New Roman" w:hAnsi="Times New Roman" w:cs="Times New Roman"/>
                <w:szCs w:val="15"/>
              </w:rPr>
            </w:pPr>
            <w:r>
              <w:rPr>
                <w:rFonts w:ascii="Times New Roman" w:hAnsi="Times New Roman" w:cs="Times New Roman"/>
                <w:szCs w:val="15"/>
              </w:rPr>
              <w:t>页数限制</w:t>
            </w:r>
          </w:p>
        </w:tc>
        <w:tc>
          <w:tcPr>
            <w:tcW w:w="3285" w:type="dxa"/>
          </w:tcPr>
          <w:p w14:paraId="2992A379">
            <w:pPr>
              <w:jc w:val="center"/>
              <w:rPr>
                <w:rFonts w:ascii="Times New Roman" w:hAnsi="Times New Roman" w:cs="Times New Roman"/>
                <w:szCs w:val="15"/>
              </w:rPr>
            </w:pPr>
            <w:r>
              <w:rPr>
                <w:rFonts w:ascii="Times New Roman" w:hAnsi="Times New Roman" w:cs="Times New Roman"/>
                <w:szCs w:val="15"/>
              </w:rPr>
              <w:t>是</w:t>
            </w:r>
          </w:p>
        </w:tc>
        <w:tc>
          <w:tcPr>
            <w:tcW w:w="3285" w:type="dxa"/>
          </w:tcPr>
          <w:p w14:paraId="79962169">
            <w:pPr>
              <w:jc w:val="center"/>
              <w:rPr>
                <w:rFonts w:ascii="Times New Roman" w:hAnsi="Times New Roman" w:cs="Times New Roman"/>
                <w:szCs w:val="15"/>
              </w:rPr>
            </w:pPr>
            <w:r>
              <w:rPr>
                <w:rFonts w:ascii="Times New Roman" w:hAnsi="Times New Roman" w:cs="Times New Roman"/>
                <w:szCs w:val="15"/>
              </w:rPr>
              <w:t>否</w:t>
            </w:r>
            <w:r>
              <w:rPr>
                <w:rStyle w:val="15"/>
                <w:rFonts w:ascii="Times New Roman" w:hAnsi="Times New Roman" w:cs="Times New Roman"/>
                <w:szCs w:val="15"/>
              </w:rPr>
              <w:footnoteReference w:id="3"/>
            </w:r>
          </w:p>
        </w:tc>
      </w:tr>
    </w:tbl>
    <w:p w14:paraId="22A71490">
      <w:pPr>
        <w:spacing w:before="156" w:beforeLines="50" w:after="156" w:afterLines="50"/>
        <w:ind w:left="1136" w:leftChars="270" w:hanging="569" w:hangingChars="236"/>
        <w:outlineLvl w:val="1"/>
        <w:rPr>
          <w:rFonts w:ascii="Times New Roman" w:hAnsi="Times New Roman" w:cs="Times New Roman"/>
          <w:b/>
          <w:sz w:val="24"/>
          <w:szCs w:val="24"/>
        </w:rPr>
      </w:pPr>
      <w:bookmarkStart w:id="8" w:name="_Toc97322943"/>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我应该什么时候提交Pre-RFD？</w:t>
      </w:r>
      <w:bookmarkEnd w:id="8"/>
    </w:p>
    <w:p w14:paraId="7ECCAA4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Pre-RFD可在医疗产品开发过程中的任何时候提交。</w:t>
      </w:r>
    </w:p>
    <w:p w14:paraId="0CAD816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当产品的类别或其应归属的机构中心的</w:t>
      </w:r>
      <w:r>
        <w:rPr>
          <w:rFonts w:hint="eastAsia" w:ascii="Times New Roman" w:hAnsi="Times New Roman" w:cs="Times New Roman"/>
          <w:sz w:val="24"/>
          <w:szCs w:val="24"/>
        </w:rPr>
        <w:t>分配</w:t>
      </w:r>
      <w:r>
        <w:rPr>
          <w:rFonts w:ascii="Times New Roman" w:hAnsi="Times New Roman" w:cs="Times New Roman"/>
          <w:sz w:val="24"/>
          <w:szCs w:val="24"/>
        </w:rPr>
        <w:t>不明确或存在争议，且贵司产品处于开发的早期阶段，或贵司正在考虑是否</w:t>
      </w:r>
      <w:r>
        <w:rPr>
          <w:rFonts w:hint="eastAsia" w:ascii="Times New Roman" w:hAnsi="Times New Roman" w:cs="Times New Roman"/>
          <w:sz w:val="24"/>
          <w:szCs w:val="24"/>
        </w:rPr>
        <w:t>寻求</w:t>
      </w:r>
      <w:r>
        <w:rPr>
          <w:rFonts w:ascii="Times New Roman" w:hAnsi="Times New Roman" w:cs="Times New Roman"/>
          <w:sz w:val="24"/>
          <w:szCs w:val="24"/>
        </w:rPr>
        <w:t>特定的配置或特定的</w:t>
      </w:r>
      <w:r>
        <w:rPr>
          <w:rFonts w:hint="eastAsia" w:ascii="Times New Roman" w:hAnsi="Times New Roman" w:cs="Times New Roman"/>
          <w:sz w:val="24"/>
          <w:szCs w:val="24"/>
        </w:rPr>
        <w:t>适应证</w:t>
      </w:r>
      <w:r>
        <w:rPr>
          <w:rFonts w:ascii="Times New Roman" w:hAnsi="Times New Roman" w:cs="Times New Roman"/>
          <w:sz w:val="24"/>
          <w:szCs w:val="24"/>
        </w:rPr>
        <w:t>时，Pre-RFD</w:t>
      </w:r>
      <w:r>
        <w:rPr>
          <w:rFonts w:hint="eastAsia" w:ascii="Times New Roman" w:hAnsi="Times New Roman" w:cs="Times New Roman"/>
          <w:sz w:val="24"/>
          <w:szCs w:val="24"/>
        </w:rPr>
        <w:t>是</w:t>
      </w:r>
      <w:r>
        <w:rPr>
          <w:rFonts w:ascii="Times New Roman" w:hAnsi="Times New Roman" w:cs="Times New Roman"/>
          <w:sz w:val="24"/>
          <w:szCs w:val="24"/>
        </w:rPr>
        <w:t>特别有益</w:t>
      </w:r>
      <w:r>
        <w:rPr>
          <w:rFonts w:hint="eastAsia" w:ascii="Times New Roman" w:hAnsi="Times New Roman" w:cs="Times New Roman"/>
          <w:sz w:val="24"/>
          <w:szCs w:val="24"/>
        </w:rPr>
        <w:t>的</w:t>
      </w:r>
      <w:r>
        <w:rPr>
          <w:rFonts w:ascii="Times New Roman" w:hAnsi="Times New Roman" w:cs="Times New Roman"/>
          <w:sz w:val="24"/>
          <w:szCs w:val="24"/>
        </w:rPr>
        <w:t>。了解FDA如何监管贵司的产品以及如何为贵司的产品制定适当的上市监管途径，将有助于贵司公司做出更好的决策。</w:t>
      </w:r>
    </w:p>
    <w:p w14:paraId="774ACA0C">
      <w:pPr>
        <w:spacing w:before="156" w:beforeLines="50" w:after="156" w:afterLines="50"/>
        <w:rPr>
          <w:rFonts w:ascii="Times New Roman" w:hAnsi="Times New Roman" w:cs="Times New Roman"/>
          <w:sz w:val="24"/>
          <w:szCs w:val="24"/>
        </w:rPr>
      </w:pPr>
      <w:r>
        <w:rPr>
          <w:rFonts w:hint="eastAsia" w:ascii="Times New Roman" w:hAnsi="Times New Roman" w:cs="Times New Roman"/>
          <w:sz w:val="24"/>
          <w:szCs w:val="24"/>
        </w:rPr>
        <w:t>请</w:t>
      </w:r>
      <w:r>
        <w:rPr>
          <w:rFonts w:ascii="Times New Roman" w:hAnsi="Times New Roman" w:cs="Times New Roman"/>
          <w:sz w:val="24"/>
          <w:szCs w:val="24"/>
        </w:rPr>
        <w:t>注意，并非每个产品均需要Pre-RFD。例如，一些产品已经明确建立了类别和管辖权分配。OCP在其网站combination@fda.gov上发布了该类型产品的各种示例列表。</w:t>
      </w:r>
    </w:p>
    <w:p w14:paraId="0B3628F2">
      <w:pPr>
        <w:spacing w:before="156" w:beforeLines="50" w:after="156" w:afterLines="50"/>
        <w:ind w:left="1136" w:leftChars="270" w:hanging="569" w:hangingChars="236"/>
        <w:outlineLvl w:val="1"/>
        <w:rPr>
          <w:rFonts w:ascii="Times New Roman" w:hAnsi="Times New Roman" w:cs="Times New Roman"/>
          <w:b/>
          <w:sz w:val="24"/>
          <w:szCs w:val="24"/>
        </w:rPr>
      </w:pPr>
      <w:bookmarkStart w:id="9" w:name="_Toc97322944"/>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我可以请求与OCP召开会议以解释我的产品吗？</w:t>
      </w:r>
      <w:bookmarkEnd w:id="9"/>
    </w:p>
    <w:p w14:paraId="37CD85A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如果贵司有任何疑问，包括不确定需包含的信息类型，我们鼓励贵司在提交Pre-RFD之前联系OCP。</w:t>
      </w:r>
    </w:p>
    <w:p w14:paraId="628E6623">
      <w:pPr>
        <w:widowControl/>
        <w:jc w:val="left"/>
        <w:rPr>
          <w:rFonts w:ascii="Times New Roman" w:hAnsi="Times New Roman" w:cs="Times New Roman"/>
          <w:szCs w:val="15"/>
        </w:rPr>
      </w:pPr>
      <w:r>
        <w:rPr>
          <w:rFonts w:ascii="Times New Roman" w:hAnsi="Times New Roman" w:cs="Times New Roman"/>
          <w:szCs w:val="15"/>
        </w:rPr>
        <w:br w:type="page"/>
      </w:r>
    </w:p>
    <w:p w14:paraId="0BF1253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大多数情况下，FDA能根据编写良好的Pre-RFD进行初步评估。然而，如果贵司认为与OCP召开会议有助于FDA更好地了解产品的工作原理，贵司可在提交Pre-RFD之前或之后请求召开会议。如果贵司在提交Pre-RFD之后但在我们的反馈之前</w:t>
      </w:r>
      <w:r>
        <w:rPr>
          <w:rFonts w:hint="eastAsia" w:ascii="Times New Roman" w:hAnsi="Times New Roman" w:cs="Times New Roman"/>
          <w:sz w:val="24"/>
          <w:szCs w:val="24"/>
        </w:rPr>
        <w:t>请求</w:t>
      </w:r>
      <w:r>
        <w:rPr>
          <w:rFonts w:ascii="Times New Roman" w:hAnsi="Times New Roman" w:cs="Times New Roman"/>
          <w:sz w:val="24"/>
          <w:szCs w:val="24"/>
        </w:rPr>
        <w:t>召开会议，请记住，此类会议可能会延长贵司的产品审评时间，以便我们能够充分考虑</w:t>
      </w:r>
      <w:r>
        <w:rPr>
          <w:rFonts w:hint="eastAsia" w:ascii="Times New Roman" w:hAnsi="Times New Roman" w:cs="Times New Roman"/>
          <w:sz w:val="24"/>
          <w:szCs w:val="24"/>
        </w:rPr>
        <w:t>会议</w:t>
      </w:r>
      <w:r>
        <w:rPr>
          <w:rFonts w:ascii="Times New Roman" w:hAnsi="Times New Roman" w:cs="Times New Roman"/>
          <w:sz w:val="24"/>
          <w:szCs w:val="24"/>
        </w:rPr>
        <w:t>期间提出的问题。</w:t>
      </w:r>
    </w:p>
    <w:p w14:paraId="3D2D299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如果贵司请求召开会议，内容应包括待解决问题的解释以及任何支持性信息。请注意，安排会议的时间可能会因为不同因素有所不同，包括来自</w:t>
      </w:r>
      <w:r>
        <w:rPr>
          <w:rFonts w:hint="eastAsia" w:ascii="Times New Roman" w:hAnsi="Times New Roman" w:cs="Times New Roman"/>
          <w:sz w:val="24"/>
          <w:szCs w:val="24"/>
        </w:rPr>
        <w:t>相关</w:t>
      </w:r>
      <w:r>
        <w:rPr>
          <w:rFonts w:ascii="Times New Roman" w:hAnsi="Times New Roman" w:cs="Times New Roman"/>
          <w:sz w:val="24"/>
          <w:szCs w:val="24"/>
        </w:rPr>
        <w:t>机构中心的行业专家的数量、会议室的</w:t>
      </w:r>
      <w:r>
        <w:rPr>
          <w:rFonts w:hint="eastAsia" w:ascii="Times New Roman" w:hAnsi="Times New Roman" w:cs="Times New Roman"/>
          <w:sz w:val="24"/>
          <w:szCs w:val="24"/>
        </w:rPr>
        <w:t>可及</w:t>
      </w:r>
      <w:r>
        <w:rPr>
          <w:rFonts w:ascii="Times New Roman" w:hAnsi="Times New Roman" w:cs="Times New Roman"/>
          <w:sz w:val="24"/>
          <w:szCs w:val="24"/>
        </w:rPr>
        <w:t>性以及产品问题的复杂性。在可能和适当的情况下，OCP鼓励贵司考虑召开电话会议而不是面对面会议。</w:t>
      </w:r>
    </w:p>
    <w:p w14:paraId="08A1365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一般来说，FDA将需要大约4周的时间以审评会议前作为会议请求的部分提交的信息。此时间框架将给OCP和FDA中心必要的</w:t>
      </w:r>
      <w:r>
        <w:rPr>
          <w:rFonts w:hint="eastAsia" w:ascii="Times New Roman" w:hAnsi="Times New Roman" w:cs="Times New Roman"/>
          <w:sz w:val="24"/>
          <w:szCs w:val="24"/>
        </w:rPr>
        <w:t>行业</w:t>
      </w:r>
      <w:r>
        <w:rPr>
          <w:rFonts w:ascii="Times New Roman" w:hAnsi="Times New Roman" w:cs="Times New Roman"/>
          <w:sz w:val="24"/>
          <w:szCs w:val="24"/>
        </w:rPr>
        <w:t>专家足够的时间在会议前</w:t>
      </w:r>
      <w:r>
        <w:rPr>
          <w:rFonts w:hint="eastAsia" w:ascii="Times New Roman" w:hAnsi="Times New Roman" w:cs="Times New Roman"/>
          <w:sz w:val="24"/>
          <w:szCs w:val="24"/>
        </w:rPr>
        <w:t>进行</w:t>
      </w:r>
      <w:r>
        <w:rPr>
          <w:rFonts w:ascii="Times New Roman" w:hAnsi="Times New Roman" w:cs="Times New Roman"/>
          <w:sz w:val="24"/>
          <w:szCs w:val="24"/>
        </w:rPr>
        <w:t>审评、评论并可能跟进任何问题。因此，在贵司首次提出会议请求时提供完整的背景信息非常重要。如果贵司希望在此日期之后使用任何新的或修改的信息来补充贵司的背景信息包，我们可能不得不重新安排会议时间或延迟我们对</w:t>
      </w:r>
      <w:r>
        <w:rPr>
          <w:rFonts w:hint="eastAsia" w:ascii="Times New Roman" w:hAnsi="Times New Roman" w:cs="Times New Roman"/>
          <w:sz w:val="24"/>
          <w:szCs w:val="24"/>
        </w:rPr>
        <w:t>于</w:t>
      </w:r>
      <w:r>
        <w:rPr>
          <w:rFonts w:ascii="Times New Roman" w:hAnsi="Times New Roman" w:cs="Times New Roman"/>
          <w:sz w:val="24"/>
          <w:szCs w:val="24"/>
        </w:rPr>
        <w:t>与新信息或更新信息相关的讨论主题的反馈。虽然提供完整的背景资料包很重要，但提交无关信息可能会适得其反。为了让我们向贵司提供最有效和最有益的建议，请保持贵司的背景信息具有针对性，并专注于贵司希望我们考虑的Pre-RFD中的问题。</w:t>
      </w:r>
    </w:p>
    <w:p w14:paraId="2BAE48BA">
      <w:pPr>
        <w:spacing w:before="156" w:beforeLines="50" w:after="156" w:afterLines="50"/>
        <w:ind w:left="1136" w:leftChars="270" w:hanging="569" w:hangingChars="236"/>
        <w:outlineLvl w:val="1"/>
        <w:rPr>
          <w:rFonts w:ascii="Times New Roman" w:hAnsi="Times New Roman" w:cs="Times New Roman"/>
          <w:b/>
          <w:sz w:val="24"/>
          <w:szCs w:val="24"/>
        </w:rPr>
      </w:pPr>
      <w:bookmarkStart w:id="10" w:name="_Toc97322945"/>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如何为我的产品提交Pre-RFD？</w:t>
      </w:r>
      <w:bookmarkEnd w:id="10"/>
    </w:p>
    <w:p w14:paraId="5828C5F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本文件的第III部分详细阐述了Pre-RFD的推荐格式和具体内容。</w:t>
      </w:r>
      <w:r>
        <w:rPr>
          <w:rFonts w:hint="eastAsia" w:ascii="Times New Roman" w:hAnsi="Times New Roman" w:cs="Times New Roman"/>
          <w:sz w:val="24"/>
          <w:szCs w:val="24"/>
        </w:rPr>
        <w:t>贵司可向</w:t>
      </w:r>
      <w:r>
        <w:fldChar w:fldCharType="begin"/>
      </w:r>
      <w:r>
        <w:instrText xml:space="preserve"> HYPERLINK "mailto:combination@fda.gov" </w:instrText>
      </w:r>
      <w:r>
        <w:fldChar w:fldCharType="separate"/>
      </w:r>
      <w:r>
        <w:rPr>
          <w:rStyle w:val="13"/>
          <w:rFonts w:ascii="Times New Roman" w:hAnsi="Times New Roman" w:cs="Times New Roman"/>
          <w:sz w:val="24"/>
          <w:szCs w:val="24"/>
        </w:rPr>
        <w:t>combination@fda.gov</w:t>
      </w:r>
      <w:r>
        <w:rPr>
          <w:rStyle w:val="13"/>
          <w:rFonts w:ascii="Times New Roman" w:hAnsi="Times New Roman" w:cs="Times New Roman"/>
          <w:sz w:val="24"/>
          <w:szCs w:val="24"/>
        </w:rPr>
        <w:fldChar w:fldCharType="end"/>
      </w:r>
      <w:r>
        <w:rPr>
          <w:rFonts w:hint="eastAsia" w:ascii="Times New Roman" w:hAnsi="Times New Roman" w:cs="Times New Roman"/>
          <w:sz w:val="24"/>
          <w:szCs w:val="24"/>
        </w:rPr>
        <w:t>或第</w:t>
      </w:r>
      <w:r>
        <w:rPr>
          <w:rFonts w:ascii="Times New Roman" w:hAnsi="Times New Roman" w:cs="Times New Roman"/>
          <w:sz w:val="24"/>
          <w:szCs w:val="24"/>
        </w:rPr>
        <w:t>IV.E条列出的地址提交Pre-RFD，并附上与贵司产品有关的任何相关数据，这些信息应清楚地标明。</w:t>
      </w:r>
    </w:p>
    <w:p w14:paraId="2F403A27">
      <w:pPr>
        <w:spacing w:before="156" w:beforeLines="50" w:after="156" w:afterLines="50"/>
        <w:ind w:left="1136" w:leftChars="270" w:hanging="569" w:hangingChars="236"/>
        <w:outlineLvl w:val="1"/>
        <w:rPr>
          <w:rFonts w:ascii="Times New Roman" w:hAnsi="Times New Roman" w:cs="Times New Roman"/>
          <w:b/>
          <w:sz w:val="24"/>
          <w:szCs w:val="24"/>
        </w:rPr>
      </w:pPr>
      <w:bookmarkStart w:id="11" w:name="_Toc97322946"/>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FDA会如何迅速地审评我的Pre-RFD？</w:t>
      </w:r>
      <w:bookmarkEnd w:id="11"/>
    </w:p>
    <w:p w14:paraId="4E03A95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在收到Pre-RFD后的5个工作日内，OCP</w:t>
      </w:r>
      <w:r>
        <w:rPr>
          <w:rFonts w:hint="eastAsia" w:ascii="Times New Roman" w:hAnsi="Times New Roman" w:cs="Times New Roman"/>
          <w:sz w:val="24"/>
          <w:szCs w:val="24"/>
        </w:rPr>
        <w:t>会</w:t>
      </w:r>
      <w:r>
        <w:rPr>
          <w:rFonts w:ascii="Times New Roman" w:hAnsi="Times New Roman" w:cs="Times New Roman"/>
          <w:sz w:val="24"/>
          <w:szCs w:val="24"/>
        </w:rPr>
        <w:t>审评Pre-RFD申请资料，以确保有足够的信息供我们进行初步评估。然后，OCP将向贵司发送一封确认电子邮件，告知我们将继续进行评估，或者我们将在开始评估之前详细说明所需的其他信息。</w:t>
      </w:r>
    </w:p>
    <w:p w14:paraId="7D84006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OCP的目标是在我们收到完整信息以开始审</w:t>
      </w:r>
      <w:r>
        <w:rPr>
          <w:rFonts w:hint="eastAsia" w:ascii="Times New Roman" w:hAnsi="Times New Roman" w:cs="Times New Roman"/>
          <w:sz w:val="24"/>
          <w:szCs w:val="24"/>
        </w:rPr>
        <w:t>查</w:t>
      </w:r>
      <w:r>
        <w:rPr>
          <w:rFonts w:ascii="Times New Roman" w:hAnsi="Times New Roman" w:cs="Times New Roman"/>
          <w:sz w:val="24"/>
          <w:szCs w:val="24"/>
        </w:rPr>
        <w:t>后的60个日历日内提供有关Pre-RFD的反馈。但是，请注意，审核速度取决于所提交信息的质量和充分性。此外，如果贵司选择提交大量数据供FDA考虑，我们可能需要比我们的目标60个日历日更长的时间以充分考虑所提供的信息。</w:t>
      </w:r>
    </w:p>
    <w:p w14:paraId="4C11AB5E">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5CE81787">
      <w:pPr>
        <w:spacing w:before="156" w:beforeLines="50" w:after="156" w:afterLines="50"/>
        <w:ind w:left="1136" w:leftChars="270" w:hanging="569" w:hangingChars="236"/>
        <w:outlineLvl w:val="1"/>
        <w:rPr>
          <w:rFonts w:ascii="Times New Roman" w:hAnsi="Times New Roman" w:cs="Times New Roman"/>
          <w:b/>
          <w:sz w:val="24"/>
          <w:szCs w:val="24"/>
        </w:rPr>
      </w:pPr>
      <w:bookmarkStart w:id="12" w:name="_Toc97322947"/>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提交后我可以撤回我的Pre-RFD吗？</w:t>
      </w:r>
      <w:bookmarkEnd w:id="12"/>
    </w:p>
    <w:p w14:paraId="4EDB82D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是的，贵司可在提交后和FDA发布初步评估之前的任何时间，以书面形式通过电子邮件或信件发送至以下第IV.E.条中的地址通知OCP撤回贵司的Pre-RFD。</w:t>
      </w:r>
    </w:p>
    <w:p w14:paraId="5637420E">
      <w:pPr>
        <w:spacing w:before="156" w:beforeLines="50" w:after="156" w:afterLines="50"/>
        <w:ind w:left="1136" w:leftChars="270" w:hanging="569" w:hangingChars="236"/>
        <w:outlineLvl w:val="1"/>
        <w:rPr>
          <w:rFonts w:ascii="Times New Roman" w:hAnsi="Times New Roman" w:cs="Times New Roman"/>
          <w:b/>
          <w:sz w:val="24"/>
          <w:szCs w:val="24"/>
        </w:rPr>
      </w:pPr>
      <w:bookmarkStart w:id="13" w:name="_Toc97322948"/>
      <w:r>
        <w:rPr>
          <w:rFonts w:ascii="Times New Roman" w:hAnsi="Times New Roman" w:cs="Times New Roman"/>
          <w:b/>
          <w:bCs/>
          <w:sz w:val="24"/>
          <w:szCs w:val="24"/>
        </w:rPr>
        <w:t>G．</w:t>
      </w:r>
      <w:r>
        <w:rPr>
          <w:rFonts w:ascii="Times New Roman" w:hAnsi="Times New Roman" w:cs="Times New Roman"/>
          <w:b/>
          <w:bCs/>
          <w:sz w:val="24"/>
          <w:szCs w:val="24"/>
        </w:rPr>
        <w:tab/>
      </w:r>
      <w:r>
        <w:rPr>
          <w:rFonts w:ascii="Times New Roman" w:hAnsi="Times New Roman" w:cs="Times New Roman"/>
          <w:b/>
          <w:bCs/>
          <w:sz w:val="24"/>
          <w:szCs w:val="24"/>
        </w:rPr>
        <w:t>如果我不同意OCP的初步评估怎么办？</w:t>
      </w:r>
      <w:bookmarkEnd w:id="13"/>
    </w:p>
    <w:p w14:paraId="20EDE5A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如果贵司不同意OCP对产品进行初步评估，贵司可联系我们的办公室以讨论</w:t>
      </w:r>
      <w:r>
        <w:rPr>
          <w:rFonts w:hint="eastAsia" w:ascii="Times New Roman" w:hAnsi="Times New Roman" w:cs="Times New Roman"/>
          <w:sz w:val="24"/>
          <w:szCs w:val="24"/>
        </w:rPr>
        <w:t>评估</w:t>
      </w:r>
      <w:r>
        <w:rPr>
          <w:rFonts w:ascii="Times New Roman" w:hAnsi="Times New Roman" w:cs="Times New Roman"/>
          <w:sz w:val="24"/>
          <w:szCs w:val="24"/>
        </w:rPr>
        <w:t>结果。收到反馈后，如果贵司希望提供</w:t>
      </w:r>
      <w:r>
        <w:rPr>
          <w:rFonts w:hint="eastAsia" w:ascii="Times New Roman" w:hAnsi="Times New Roman" w:cs="Times New Roman"/>
          <w:sz w:val="24"/>
          <w:szCs w:val="24"/>
        </w:rPr>
        <w:t>原</w:t>
      </w:r>
      <w:r>
        <w:rPr>
          <w:rFonts w:ascii="Times New Roman" w:hAnsi="Times New Roman" w:cs="Times New Roman"/>
          <w:sz w:val="24"/>
          <w:szCs w:val="24"/>
        </w:rPr>
        <w:t>Pre-RFD中未提供的其他信息或新数据，我们鼓励贵司联系我们的办公室以讨论此类信息。在提交新的Pre-RFD之前，我们很乐意为贵司提供帮助。一旦向我们提交新的Pre-RFD，OCP</w:t>
      </w:r>
      <w:r>
        <w:rPr>
          <w:rFonts w:hint="eastAsia" w:ascii="Times New Roman" w:hAnsi="Times New Roman" w:cs="Times New Roman"/>
          <w:sz w:val="24"/>
          <w:szCs w:val="24"/>
        </w:rPr>
        <w:t>会将</w:t>
      </w:r>
      <w:r>
        <w:rPr>
          <w:rFonts w:ascii="Times New Roman" w:hAnsi="Times New Roman" w:cs="Times New Roman"/>
          <w:sz w:val="24"/>
          <w:szCs w:val="24"/>
        </w:rPr>
        <w:t>此Pre-RFD</w:t>
      </w:r>
      <w:r>
        <w:rPr>
          <w:rFonts w:hint="eastAsia" w:ascii="Times New Roman" w:hAnsi="Times New Roman" w:cs="Times New Roman"/>
          <w:sz w:val="24"/>
          <w:szCs w:val="24"/>
        </w:rPr>
        <w:t>作为</w:t>
      </w:r>
      <w:r>
        <w:rPr>
          <w:rFonts w:ascii="Times New Roman" w:hAnsi="Times New Roman" w:cs="Times New Roman"/>
          <w:sz w:val="24"/>
          <w:szCs w:val="24"/>
        </w:rPr>
        <w:t>新的提交资料，并对其进行新的审评和全面评估。</w:t>
      </w:r>
    </w:p>
    <w:p w14:paraId="61903E5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或者，贵司可提交RFD</w:t>
      </w:r>
      <w:r>
        <w:rPr>
          <w:rFonts w:hint="eastAsia" w:ascii="Times New Roman" w:hAnsi="Times New Roman" w:cs="Times New Roman"/>
          <w:sz w:val="24"/>
          <w:szCs w:val="24"/>
        </w:rPr>
        <w:t>供</w:t>
      </w:r>
      <w:r>
        <w:rPr>
          <w:rFonts w:ascii="Times New Roman" w:hAnsi="Times New Roman" w:cs="Times New Roman"/>
          <w:sz w:val="24"/>
          <w:szCs w:val="24"/>
        </w:rPr>
        <w:t>我们</w:t>
      </w:r>
      <w:r>
        <w:rPr>
          <w:rFonts w:hint="eastAsia" w:ascii="Times New Roman" w:hAnsi="Times New Roman" w:cs="Times New Roman"/>
          <w:sz w:val="24"/>
          <w:szCs w:val="24"/>
        </w:rPr>
        <w:t>考虑</w:t>
      </w:r>
      <w:r>
        <w:rPr>
          <w:rFonts w:ascii="Times New Roman" w:hAnsi="Times New Roman" w:cs="Times New Roman"/>
          <w:sz w:val="24"/>
          <w:szCs w:val="24"/>
        </w:rPr>
        <w:t>（请参见21 CFR 3和指南文件</w:t>
      </w:r>
      <w:r>
        <w:rPr>
          <w:rFonts w:cs="Times New Roman" w:asciiTheme="minorEastAsia" w:hAnsiTheme="minorEastAsia"/>
          <w:sz w:val="24"/>
          <w:szCs w:val="24"/>
        </w:rPr>
        <w:t>“</w:t>
      </w:r>
      <w:r>
        <w:rPr>
          <w:rFonts w:ascii="Times New Roman" w:hAnsi="Times New Roman" w:cs="Times New Roman"/>
          <w:color w:val="0000FF"/>
          <w:sz w:val="24"/>
          <w:szCs w:val="24"/>
          <w:u w:val="single"/>
        </w:rPr>
        <w:t>如何编写RFD</w:t>
      </w:r>
      <w:r>
        <w:rPr>
          <w:rFonts w:cs="Times New Roman" w:asciiTheme="minorEastAsia" w:hAnsiTheme="minorEastAsia"/>
          <w:sz w:val="24"/>
          <w:szCs w:val="24"/>
        </w:rPr>
        <w:t>”</w:t>
      </w:r>
      <w:r>
        <w:rPr>
          <w:rFonts w:ascii="Times New Roman" w:hAnsi="Times New Roman" w:cs="Times New Roman"/>
          <w:sz w:val="24"/>
          <w:szCs w:val="24"/>
        </w:rPr>
        <w:t>，以了解有关RFD的必要信息、格式和页数限制等更多信息）。一旦贵司RFD的完整性经过审评并</w:t>
      </w:r>
      <w:r>
        <w:rPr>
          <w:rFonts w:hint="eastAsia" w:ascii="Times New Roman" w:hAnsi="Times New Roman" w:cs="Times New Roman"/>
          <w:sz w:val="24"/>
          <w:szCs w:val="24"/>
        </w:rPr>
        <w:t>备案</w:t>
      </w:r>
      <w:r>
        <w:rPr>
          <w:rFonts w:ascii="Times New Roman" w:hAnsi="Times New Roman" w:cs="Times New Roman"/>
          <w:sz w:val="24"/>
          <w:szCs w:val="24"/>
        </w:rPr>
        <w:t>，我们将审评RFD，并在60个日历日内提供有关分类和/或中心分配的具有约束力的决定，该决定可能在《FD&amp;C法案》第563条和21 CFR 3.9规定的条件下发生变更。如果贵司不同意RFD决定，贵司可根据21 CFR 10.75对该决定提出上诉。</w:t>
      </w:r>
    </w:p>
    <w:p w14:paraId="75B36C8F">
      <w:pPr>
        <w:spacing w:before="156" w:beforeLines="50" w:after="156" w:afterLines="50"/>
        <w:ind w:left="1136" w:leftChars="270" w:hanging="569" w:hangingChars="236"/>
        <w:outlineLvl w:val="1"/>
        <w:rPr>
          <w:rFonts w:ascii="Times New Roman" w:hAnsi="Times New Roman" w:cs="Times New Roman"/>
          <w:b/>
          <w:sz w:val="24"/>
          <w:szCs w:val="24"/>
        </w:rPr>
      </w:pPr>
      <w:bookmarkStart w:id="14" w:name="_Toc97322949"/>
      <w:r>
        <w:rPr>
          <w:rFonts w:ascii="Times New Roman" w:hAnsi="Times New Roman" w:cs="Times New Roman"/>
          <w:b/>
          <w:bCs/>
          <w:sz w:val="24"/>
          <w:szCs w:val="24"/>
        </w:rPr>
        <w:t>H.</w:t>
      </w:r>
      <w:r>
        <w:rPr>
          <w:rFonts w:ascii="Times New Roman" w:hAnsi="Times New Roman" w:cs="Times New Roman"/>
          <w:b/>
          <w:bCs/>
          <w:sz w:val="24"/>
          <w:szCs w:val="24"/>
        </w:rPr>
        <w:tab/>
      </w:r>
      <w:r>
        <w:rPr>
          <w:rFonts w:ascii="Times New Roman" w:hAnsi="Times New Roman" w:cs="Times New Roman"/>
          <w:b/>
          <w:bCs/>
          <w:sz w:val="24"/>
          <w:szCs w:val="24"/>
        </w:rPr>
        <w:t>我如何联系OCP？</w:t>
      </w:r>
      <w:bookmarkEnd w:id="14"/>
    </w:p>
    <w:p w14:paraId="7F58A08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OCP的联系信息，包括邮寄地址、电子邮件地址、电话号码和传真号码，列于下面的第IV.E部分。</w:t>
      </w:r>
    </w:p>
    <w:p w14:paraId="06147C79">
      <w:pPr>
        <w:spacing w:before="156" w:beforeLines="50" w:after="156" w:afterLines="50"/>
        <w:ind w:left="1136" w:leftChars="270" w:hanging="569" w:hangingChars="236"/>
        <w:jc w:val="left"/>
        <w:outlineLvl w:val="1"/>
        <w:rPr>
          <w:rFonts w:ascii="Times New Roman" w:hAnsi="Times New Roman" w:cs="Times New Roman"/>
          <w:b/>
          <w:sz w:val="24"/>
          <w:szCs w:val="24"/>
        </w:rPr>
      </w:pPr>
      <w:bookmarkStart w:id="15" w:name="_Toc97322950"/>
      <w:r>
        <w:rPr>
          <w:rFonts w:ascii="Times New Roman" w:hAnsi="Times New Roman" w:cs="Times New Roman"/>
          <w:b/>
          <w:bCs/>
          <w:sz w:val="24"/>
          <w:szCs w:val="24"/>
        </w:rPr>
        <w:t>I．</w:t>
      </w:r>
      <w:r>
        <w:rPr>
          <w:rFonts w:ascii="Times New Roman" w:hAnsi="Times New Roman" w:cs="Times New Roman"/>
          <w:b/>
          <w:bCs/>
          <w:sz w:val="24"/>
          <w:szCs w:val="24"/>
        </w:rPr>
        <w:tab/>
      </w:r>
      <w:r>
        <w:rPr>
          <w:rFonts w:ascii="Times New Roman" w:hAnsi="Times New Roman" w:cs="Times New Roman"/>
          <w:b/>
          <w:bCs/>
          <w:sz w:val="24"/>
          <w:szCs w:val="24"/>
        </w:rPr>
        <w:t>我在哪里可以找到更多信息？</w:t>
      </w:r>
      <w:bookmarkEnd w:id="15"/>
    </w:p>
    <w:p w14:paraId="5AF7DE6F">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有关产品分类和分配以及组合产品监管的更多信息，请访问OCP网站</w:t>
      </w:r>
      <w:r>
        <w:rPr>
          <w:rFonts w:ascii="Times New Roman" w:hAnsi="Times New Roman" w:cs="Times New Roman"/>
          <w:sz w:val="24"/>
          <w:szCs w:val="24"/>
          <w:u w:val="single"/>
        </w:rPr>
        <w:t>https://www.fda.gov/CombinationProducts/default.htm</w:t>
      </w:r>
      <w:r>
        <w:rPr>
          <w:rFonts w:ascii="Times New Roman" w:hAnsi="Times New Roman" w:cs="Times New Roman"/>
          <w:sz w:val="24"/>
          <w:szCs w:val="24"/>
        </w:rPr>
        <w:t>。</w:t>
      </w:r>
    </w:p>
    <w:p w14:paraId="721D362B">
      <w:pPr>
        <w:widowControl/>
        <w:jc w:val="left"/>
        <w:rPr>
          <w:rFonts w:ascii="Times New Roman" w:hAnsi="Times New Roman" w:cs="Times New Roman"/>
          <w:szCs w:val="15"/>
        </w:rPr>
      </w:pPr>
      <w:r>
        <w:rPr>
          <w:rFonts w:ascii="Times New Roman" w:hAnsi="Times New Roman" w:cs="Times New Roman"/>
          <w:szCs w:val="15"/>
        </w:rPr>
        <w:br w:type="page"/>
      </w:r>
    </w:p>
    <w:p w14:paraId="65B3F466">
      <w:pPr>
        <w:spacing w:before="156" w:beforeLines="50" w:after="156" w:afterLines="50"/>
        <w:ind w:left="565" w:hanging="565" w:hangingChars="201"/>
        <w:outlineLvl w:val="0"/>
        <w:rPr>
          <w:rFonts w:ascii="Times New Roman" w:hAnsi="Times New Roman" w:cs="Times New Roman"/>
          <w:b/>
          <w:sz w:val="28"/>
          <w:szCs w:val="28"/>
        </w:rPr>
      </w:pPr>
      <w:bookmarkStart w:id="16" w:name="_Toc97322951"/>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PRE-RFD中应包含哪些信息？</w:t>
      </w:r>
      <w:bookmarkEnd w:id="16"/>
    </w:p>
    <w:p w14:paraId="43B3D2BC">
      <w:pPr>
        <w:spacing w:before="156" w:beforeLines="50" w:after="156" w:afterLines="50"/>
        <w:ind w:left="1136" w:leftChars="270" w:hanging="569" w:hangingChars="236"/>
        <w:outlineLvl w:val="1"/>
        <w:rPr>
          <w:rFonts w:ascii="Times New Roman" w:hAnsi="Times New Roman" w:cs="Times New Roman"/>
          <w:b/>
          <w:sz w:val="24"/>
          <w:szCs w:val="24"/>
        </w:rPr>
      </w:pPr>
      <w:bookmarkStart w:id="17" w:name="_Toc97322952"/>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PRE-RFD中应包哪些基本信息？</w:t>
      </w:r>
      <w:bookmarkEnd w:id="17"/>
    </w:p>
    <w:p w14:paraId="64A83C6E">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联系信息，包括贵司的</w:t>
      </w:r>
      <w:r>
        <w:rPr>
          <w:rFonts w:hint="eastAsia" w:ascii="Times New Roman" w:hAnsi="Times New Roman" w:cs="Times New Roman"/>
          <w:sz w:val="24"/>
          <w:szCs w:val="24"/>
        </w:rPr>
        <w:t>名称</w:t>
      </w:r>
      <w:r>
        <w:rPr>
          <w:rFonts w:ascii="Times New Roman" w:hAnsi="Times New Roman" w:cs="Times New Roman"/>
          <w:sz w:val="24"/>
          <w:szCs w:val="24"/>
        </w:rPr>
        <w:t>、公司名称、电子邮件地址和电话号码。</w:t>
      </w:r>
    </w:p>
    <w:p w14:paraId="25232267">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产品的完整描述以及以下</w:t>
      </w:r>
      <w:r>
        <w:rPr>
          <w:rFonts w:hint="eastAsia" w:ascii="Times New Roman" w:hAnsi="Times New Roman" w:cs="Times New Roman"/>
          <w:sz w:val="24"/>
          <w:szCs w:val="24"/>
        </w:rPr>
        <w:t>适用的</w:t>
      </w:r>
      <w:r>
        <w:rPr>
          <w:rFonts w:ascii="Times New Roman" w:hAnsi="Times New Roman" w:cs="Times New Roman"/>
          <w:sz w:val="24"/>
          <w:szCs w:val="24"/>
        </w:rPr>
        <w:t>信息。</w:t>
      </w:r>
    </w:p>
    <w:p w14:paraId="4FEB861C">
      <w:pPr>
        <w:spacing w:before="156" w:beforeLines="50" w:after="156" w:afterLines="50"/>
        <w:ind w:left="2044" w:leftChars="743"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510（k）、上市前批准（PMA）、新药批准（NDA）、简化新药批准（ANDA）、生物制品许可申请（BLA）或与产品相关的任何其他FDA监管</w:t>
      </w:r>
      <w:r>
        <w:rPr>
          <w:rFonts w:hint="eastAsia" w:ascii="Times New Roman" w:hAnsi="Times New Roman" w:cs="Times New Roman"/>
          <w:sz w:val="24"/>
          <w:szCs w:val="24"/>
        </w:rPr>
        <w:t>的</w:t>
      </w:r>
      <w:r>
        <w:rPr>
          <w:rFonts w:ascii="Times New Roman" w:hAnsi="Times New Roman" w:cs="Times New Roman"/>
          <w:sz w:val="24"/>
          <w:szCs w:val="24"/>
        </w:rPr>
        <w:t>提交编号。</w:t>
      </w:r>
    </w:p>
    <w:p w14:paraId="1984BEF5">
      <w:pPr>
        <w:spacing w:before="156" w:beforeLines="50" w:after="156" w:afterLines="50"/>
        <w:ind w:left="2044" w:leftChars="743"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产品名称及所有</w:t>
      </w:r>
      <w:r>
        <w:rPr>
          <w:rFonts w:hint="eastAsia" w:ascii="Times New Roman" w:hAnsi="Times New Roman" w:cs="Times New Roman"/>
          <w:sz w:val="24"/>
          <w:szCs w:val="24"/>
        </w:rPr>
        <w:t>组件</w:t>
      </w:r>
      <w:r>
        <w:rPr>
          <w:rFonts w:ascii="Times New Roman" w:hAnsi="Times New Roman" w:cs="Times New Roman"/>
          <w:sz w:val="24"/>
          <w:szCs w:val="24"/>
        </w:rPr>
        <w:t>产品；以及</w:t>
      </w:r>
    </w:p>
    <w:p w14:paraId="149E8E3B">
      <w:pPr>
        <w:spacing w:before="156" w:beforeLines="50" w:after="156" w:afterLines="50"/>
        <w:ind w:left="2044" w:leftChars="743"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产品照片/</w:t>
      </w:r>
      <w:r>
        <w:rPr>
          <w:rFonts w:hint="eastAsia" w:ascii="Times New Roman" w:hAnsi="Times New Roman" w:cs="Times New Roman"/>
          <w:sz w:val="24"/>
          <w:szCs w:val="24"/>
        </w:rPr>
        <w:t>示意图</w:t>
      </w:r>
    </w:p>
    <w:p w14:paraId="21C31D04">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对于源自生物衍生材料的产品，请描述材料的加工方式以及最终产品特性的</w:t>
      </w:r>
      <w:r>
        <w:rPr>
          <w:rFonts w:hint="eastAsia" w:ascii="Times New Roman" w:hAnsi="Times New Roman" w:cs="Times New Roman"/>
          <w:sz w:val="24"/>
          <w:szCs w:val="24"/>
        </w:rPr>
        <w:t>表征</w:t>
      </w:r>
      <w:r>
        <w:rPr>
          <w:rFonts w:ascii="Times New Roman" w:hAnsi="Times New Roman" w:cs="Times New Roman"/>
          <w:sz w:val="24"/>
          <w:szCs w:val="24"/>
        </w:rPr>
        <w:t>。</w:t>
      </w:r>
    </w:p>
    <w:p w14:paraId="553CE30A">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对产品工作原理的解释。虽然是可选的，但贵司可</w:t>
      </w:r>
      <w:r>
        <w:rPr>
          <w:rFonts w:hint="eastAsia" w:ascii="Times New Roman" w:hAnsi="Times New Roman" w:cs="Times New Roman"/>
          <w:sz w:val="24"/>
          <w:szCs w:val="24"/>
        </w:rPr>
        <w:t>补充</w:t>
      </w:r>
      <w:r>
        <w:rPr>
          <w:rFonts w:ascii="Times New Roman" w:hAnsi="Times New Roman" w:cs="Times New Roman"/>
          <w:sz w:val="24"/>
          <w:szCs w:val="24"/>
        </w:rPr>
        <w:t>详细信息描述支持产品工作原理的相关测试（即研究条件/方法、控制标识、结果和结论）。请注意，与其他产品的比较或生物相容性测试通常</w:t>
      </w:r>
      <w:r>
        <w:rPr>
          <w:rFonts w:hint="eastAsia" w:ascii="Times New Roman" w:hAnsi="Times New Roman" w:cs="Times New Roman"/>
          <w:sz w:val="24"/>
          <w:szCs w:val="24"/>
        </w:rPr>
        <w:t>对</w:t>
      </w:r>
      <w:r>
        <w:rPr>
          <w:rFonts w:ascii="Times New Roman" w:hAnsi="Times New Roman" w:cs="Times New Roman"/>
          <w:sz w:val="24"/>
          <w:szCs w:val="24"/>
        </w:rPr>
        <w:t>了解产品的工作原理</w:t>
      </w:r>
      <w:r>
        <w:rPr>
          <w:rFonts w:hint="eastAsia" w:ascii="Times New Roman" w:hAnsi="Times New Roman" w:cs="Times New Roman"/>
          <w:sz w:val="24"/>
          <w:szCs w:val="24"/>
        </w:rPr>
        <w:t>没有帮助</w:t>
      </w:r>
      <w:r>
        <w:rPr>
          <w:rFonts w:ascii="Times New Roman" w:hAnsi="Times New Roman" w:cs="Times New Roman"/>
          <w:sz w:val="24"/>
          <w:szCs w:val="24"/>
        </w:rPr>
        <w:t>。</w:t>
      </w:r>
    </w:p>
    <w:p w14:paraId="1BDEE681">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产品</w:t>
      </w:r>
      <w:r>
        <w:rPr>
          <w:rFonts w:hint="eastAsia" w:ascii="Times New Roman" w:hAnsi="Times New Roman" w:cs="Times New Roman"/>
          <w:sz w:val="24"/>
          <w:szCs w:val="24"/>
        </w:rPr>
        <w:t>销售方式</w:t>
      </w:r>
      <w:r>
        <w:rPr>
          <w:rFonts w:ascii="Times New Roman" w:hAnsi="Times New Roman" w:cs="Times New Roman"/>
          <w:sz w:val="24"/>
          <w:szCs w:val="24"/>
        </w:rPr>
        <w:t>的说明。例如，产品是否有贴上标签供一起使用</w:t>
      </w:r>
      <w:r>
        <w:rPr>
          <w:rFonts w:hint="eastAsia" w:ascii="Times New Roman" w:hAnsi="Times New Roman" w:cs="Times New Roman"/>
          <w:sz w:val="24"/>
          <w:szCs w:val="24"/>
        </w:rPr>
        <w:t>的</w:t>
      </w:r>
      <w:r>
        <w:rPr>
          <w:rFonts w:ascii="Times New Roman" w:hAnsi="Times New Roman" w:cs="Times New Roman"/>
          <w:sz w:val="24"/>
          <w:szCs w:val="24"/>
        </w:rPr>
        <w:t>单独销售组成部分，或该产品是否具有</w:t>
      </w:r>
      <w:r>
        <w:rPr>
          <w:rFonts w:hint="eastAsia" w:ascii="Times New Roman" w:hAnsi="Times New Roman" w:cs="Times New Roman"/>
          <w:sz w:val="24"/>
          <w:szCs w:val="24"/>
        </w:rPr>
        <w:t>以</w:t>
      </w:r>
      <w:r>
        <w:rPr>
          <w:rFonts w:ascii="Times New Roman" w:hAnsi="Times New Roman" w:cs="Times New Roman"/>
          <w:sz w:val="24"/>
          <w:szCs w:val="24"/>
        </w:rPr>
        <w:t>物理</w:t>
      </w:r>
      <w:r>
        <w:rPr>
          <w:rFonts w:hint="eastAsia" w:ascii="Times New Roman" w:hAnsi="Times New Roman" w:cs="Times New Roman"/>
          <w:sz w:val="24"/>
          <w:szCs w:val="24"/>
        </w:rPr>
        <w:t>方式</w:t>
      </w:r>
      <w:r>
        <w:rPr>
          <w:rFonts w:ascii="Times New Roman" w:hAnsi="Times New Roman" w:cs="Times New Roman"/>
          <w:sz w:val="24"/>
          <w:szCs w:val="24"/>
        </w:rPr>
        <w:t>或化学</w:t>
      </w:r>
      <w:r>
        <w:rPr>
          <w:rFonts w:hint="eastAsia" w:ascii="Times New Roman" w:hAnsi="Times New Roman" w:cs="Times New Roman"/>
          <w:sz w:val="24"/>
          <w:szCs w:val="24"/>
        </w:rPr>
        <w:t>方式</w:t>
      </w:r>
      <w:r>
        <w:rPr>
          <w:rFonts w:ascii="Times New Roman" w:hAnsi="Times New Roman" w:cs="Times New Roman"/>
          <w:sz w:val="24"/>
          <w:szCs w:val="24"/>
        </w:rPr>
        <w:t>组合成单一实体或共同包装的组件？</w:t>
      </w:r>
    </w:p>
    <w:p w14:paraId="513D9D9B">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产品中所有部件/成分列表，包括每种部件/成分的数量和理由。如果产品包含溶液/液体/凝胶/粉末，请</w:t>
      </w:r>
      <w:r>
        <w:rPr>
          <w:rFonts w:hint="eastAsia" w:ascii="Times New Roman" w:hAnsi="Times New Roman" w:cs="Times New Roman"/>
          <w:sz w:val="24"/>
          <w:szCs w:val="24"/>
        </w:rPr>
        <w:t>列明</w:t>
      </w:r>
      <w:r>
        <w:rPr>
          <w:rFonts w:ascii="Times New Roman" w:hAnsi="Times New Roman" w:cs="Times New Roman"/>
          <w:sz w:val="24"/>
          <w:szCs w:val="24"/>
        </w:rPr>
        <w:t>所有成分（活性和非活性）、数量/浓度以及在产品中包含该成分的原因。</w:t>
      </w:r>
    </w:p>
    <w:p w14:paraId="43D42CBC">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hint="eastAsia" w:ascii="Times New Roman" w:hAnsi="Times New Roman" w:cs="Times New Roman"/>
          <w:sz w:val="24"/>
          <w:szCs w:val="24"/>
        </w:rPr>
        <w:t>拟议</w:t>
      </w:r>
      <w:r>
        <w:rPr>
          <w:rFonts w:ascii="Times New Roman" w:hAnsi="Times New Roman" w:cs="Times New Roman"/>
          <w:sz w:val="24"/>
          <w:szCs w:val="24"/>
        </w:rPr>
        <w:t>用途/预期用途/使用适应证</w:t>
      </w:r>
      <w:r>
        <w:rPr>
          <w:rFonts w:hint="eastAsia" w:ascii="Times New Roman" w:hAnsi="Times New Roman" w:cs="Times New Roman"/>
          <w:sz w:val="24"/>
          <w:szCs w:val="24"/>
        </w:rPr>
        <w:t>声明</w:t>
      </w:r>
      <w:r>
        <w:rPr>
          <w:rFonts w:ascii="Times New Roman" w:hAnsi="Times New Roman" w:cs="Times New Roman"/>
          <w:sz w:val="24"/>
          <w:szCs w:val="24"/>
        </w:rPr>
        <w:t>。</w:t>
      </w:r>
    </w:p>
    <w:p w14:paraId="3DC4F194">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使用说明书/使用条件。</w:t>
      </w:r>
    </w:p>
    <w:p w14:paraId="477486F8">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所有已知的作用方法和实现每种方法的机制。</w:t>
      </w:r>
    </w:p>
    <w:p w14:paraId="5C6AA784">
      <w:pPr>
        <w:widowControl/>
        <w:jc w:val="left"/>
        <w:rPr>
          <w:rFonts w:ascii="Times New Roman" w:hAnsi="Times New Roman" w:cs="Times New Roman"/>
          <w:szCs w:val="15"/>
        </w:rPr>
      </w:pPr>
      <w:r>
        <w:rPr>
          <w:rFonts w:ascii="Times New Roman" w:hAnsi="Times New Roman" w:cs="Times New Roman"/>
          <w:szCs w:val="15"/>
        </w:rPr>
        <w:br w:type="page"/>
      </w:r>
    </w:p>
    <w:p w14:paraId="02A9617A">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对于可能是组合产品的产品，贵司可能拥有的任何信息（如果有）以支持不同成分对组合产品的总体预期治疗/诊断效果的相对贡献。虽然是可选的，但如果此类信息</w:t>
      </w:r>
      <w:r>
        <w:rPr>
          <w:rFonts w:hint="eastAsia" w:ascii="Times New Roman" w:hAnsi="Times New Roman" w:cs="Times New Roman"/>
          <w:sz w:val="24"/>
          <w:szCs w:val="24"/>
        </w:rPr>
        <w:t>可获得</w:t>
      </w:r>
      <w:r>
        <w:rPr>
          <w:rFonts w:ascii="Times New Roman" w:hAnsi="Times New Roman" w:cs="Times New Roman"/>
          <w:sz w:val="24"/>
          <w:szCs w:val="24"/>
        </w:rPr>
        <w:t>并且贵司希望FDA考虑该信息，贵司可提供任何支持</w:t>
      </w:r>
      <w:r>
        <w:rPr>
          <w:rFonts w:hint="eastAsia" w:ascii="Times New Roman" w:hAnsi="Times New Roman" w:cs="Times New Roman"/>
          <w:sz w:val="24"/>
          <w:szCs w:val="24"/>
        </w:rPr>
        <w:t>性</w:t>
      </w:r>
      <w:r>
        <w:rPr>
          <w:rFonts w:ascii="Times New Roman" w:hAnsi="Times New Roman" w:cs="Times New Roman"/>
          <w:sz w:val="24"/>
          <w:szCs w:val="24"/>
        </w:rPr>
        <w:t>测试/研究的详细描述。</w:t>
      </w:r>
    </w:p>
    <w:p w14:paraId="370D35BA">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贵司将或已经就该产品提出的</w:t>
      </w:r>
      <w:r>
        <w:rPr>
          <w:rFonts w:hint="eastAsia" w:ascii="Times New Roman" w:hAnsi="Times New Roman" w:cs="Times New Roman"/>
          <w:sz w:val="24"/>
          <w:szCs w:val="24"/>
        </w:rPr>
        <w:t>宣称</w:t>
      </w:r>
      <w:r>
        <w:rPr>
          <w:rFonts w:ascii="Times New Roman" w:hAnsi="Times New Roman" w:cs="Times New Roman"/>
          <w:sz w:val="24"/>
          <w:szCs w:val="24"/>
        </w:rPr>
        <w:t>列表。</w:t>
      </w:r>
    </w:p>
    <w:p w14:paraId="10D2E117">
      <w:pPr>
        <w:spacing w:before="156" w:beforeLines="50" w:after="156" w:afterLines="50"/>
        <w:ind w:left="1136" w:leftChars="270" w:hanging="569" w:hangingChars="236"/>
        <w:outlineLvl w:val="1"/>
        <w:rPr>
          <w:rFonts w:ascii="Times New Roman" w:hAnsi="Times New Roman" w:cs="Times New Roman"/>
          <w:b/>
          <w:sz w:val="24"/>
          <w:szCs w:val="24"/>
        </w:rPr>
      </w:pPr>
      <w:bookmarkStart w:id="18" w:name="_Toc97322953"/>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如果我想在我的Pre-RFD中与FDA分享有关我的产品的</w:t>
      </w:r>
      <w:r>
        <w:rPr>
          <w:rFonts w:hint="eastAsia" w:ascii="Times New Roman" w:hAnsi="Times New Roman" w:cs="Times New Roman"/>
          <w:b/>
          <w:bCs/>
          <w:sz w:val="24"/>
          <w:szCs w:val="24"/>
        </w:rPr>
        <w:t>补充</w:t>
      </w:r>
      <w:r>
        <w:rPr>
          <w:rFonts w:ascii="Times New Roman" w:hAnsi="Times New Roman" w:cs="Times New Roman"/>
          <w:b/>
          <w:bCs/>
          <w:sz w:val="24"/>
          <w:szCs w:val="24"/>
        </w:rPr>
        <w:t>信息怎么办？</w:t>
      </w:r>
      <w:bookmarkEnd w:id="18"/>
    </w:p>
    <w:p w14:paraId="0511E28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了上述请求FDA进行Pre-RFD审评所需的信息外，贵司还可选择提供有关产品的其他信息。超出第IV.A条所列的信息是可选的。然而，如果贵司准备了希望我们考虑的其他信息，我们也很乐意。例如，如果贵司产品是组合产品，或者是贵司认为可能与贵司产品相似的任何产品，或者贵司认为与我们在初步评估期间</w:t>
      </w:r>
      <w:r>
        <w:rPr>
          <w:rFonts w:hint="eastAsia" w:ascii="Times New Roman" w:hAnsi="Times New Roman" w:cs="Times New Roman"/>
          <w:sz w:val="24"/>
          <w:szCs w:val="24"/>
        </w:rPr>
        <w:t>的</w:t>
      </w:r>
      <w:r>
        <w:rPr>
          <w:rFonts w:ascii="Times New Roman" w:hAnsi="Times New Roman" w:cs="Times New Roman"/>
          <w:sz w:val="24"/>
          <w:szCs w:val="24"/>
        </w:rPr>
        <w:t>考虑相关的任何其他信息，此类信息可能包括对</w:t>
      </w:r>
      <w:r>
        <w:rPr>
          <w:rFonts w:hint="eastAsia" w:ascii="Times New Roman" w:hAnsi="Times New Roman" w:cs="Times New Roman"/>
          <w:sz w:val="24"/>
          <w:szCs w:val="24"/>
        </w:rPr>
        <w:t>主导</w:t>
      </w:r>
      <w:r>
        <w:rPr>
          <w:rFonts w:ascii="Times New Roman" w:hAnsi="Times New Roman" w:cs="Times New Roman"/>
          <w:sz w:val="24"/>
          <w:szCs w:val="24"/>
        </w:rPr>
        <w:t>中心的建议。</w:t>
      </w:r>
      <w:r>
        <w:rPr>
          <w:rStyle w:val="15"/>
          <w:rFonts w:ascii="Times New Roman" w:hAnsi="Times New Roman" w:cs="Times New Roman"/>
          <w:sz w:val="24"/>
          <w:szCs w:val="24"/>
        </w:rPr>
        <w:footnoteReference w:id="4"/>
      </w:r>
    </w:p>
    <w:p w14:paraId="1A2C5792">
      <w:pPr>
        <w:spacing w:before="156" w:beforeLines="50" w:after="156" w:afterLines="50"/>
        <w:ind w:left="1136" w:leftChars="270" w:hanging="569" w:hangingChars="236"/>
        <w:outlineLvl w:val="1"/>
        <w:rPr>
          <w:rFonts w:ascii="Times New Roman" w:hAnsi="Times New Roman" w:cs="Times New Roman"/>
          <w:b/>
          <w:sz w:val="24"/>
          <w:szCs w:val="24"/>
        </w:rPr>
      </w:pPr>
      <w:bookmarkStart w:id="19" w:name="_Toc97322954"/>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我的Pre-RFD应遵循什么格式？</w:t>
      </w:r>
      <w:bookmarkEnd w:id="19"/>
    </w:p>
    <w:p w14:paraId="32283F8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我们建议，贵司简明扼要地提供了附录筛选清单中确定的信息，并</w:t>
      </w:r>
      <w:r>
        <w:rPr>
          <w:rFonts w:hint="eastAsia" w:ascii="Times New Roman" w:hAnsi="Times New Roman" w:cs="Times New Roman"/>
          <w:sz w:val="24"/>
          <w:szCs w:val="24"/>
        </w:rPr>
        <w:t>提供</w:t>
      </w:r>
      <w:r>
        <w:rPr>
          <w:rFonts w:ascii="Times New Roman" w:hAnsi="Times New Roman" w:cs="Times New Roman"/>
          <w:sz w:val="24"/>
          <w:szCs w:val="24"/>
        </w:rPr>
        <w:t>上述部分中</w:t>
      </w:r>
      <w:r>
        <w:rPr>
          <w:rFonts w:hint="eastAsia" w:ascii="Times New Roman" w:hAnsi="Times New Roman" w:cs="Times New Roman"/>
          <w:sz w:val="24"/>
          <w:szCs w:val="24"/>
        </w:rPr>
        <w:t>所</w:t>
      </w:r>
      <w:r>
        <w:rPr>
          <w:rFonts w:ascii="Times New Roman" w:hAnsi="Times New Roman" w:cs="Times New Roman"/>
          <w:sz w:val="24"/>
          <w:szCs w:val="24"/>
        </w:rPr>
        <w:t>进行</w:t>
      </w:r>
      <w:r>
        <w:rPr>
          <w:rFonts w:hint="eastAsia" w:ascii="Times New Roman" w:hAnsi="Times New Roman" w:cs="Times New Roman"/>
          <w:sz w:val="24"/>
          <w:szCs w:val="24"/>
        </w:rPr>
        <w:t>的</w:t>
      </w:r>
      <w:r>
        <w:rPr>
          <w:rFonts w:ascii="Times New Roman" w:hAnsi="Times New Roman" w:cs="Times New Roman"/>
          <w:sz w:val="24"/>
          <w:szCs w:val="24"/>
        </w:rPr>
        <w:t>详细说明。如果贵司为Pre-RFD的每个部分添加一个单独的标题，该标题与回复中筛选清单列出的标题相对应，那将会很有帮助。我们还建议贵司使用标准字体（例如Times New Roman），字体大小应易于阅读（例如12）。</w:t>
      </w:r>
    </w:p>
    <w:p w14:paraId="4D1AD0F3">
      <w:pPr>
        <w:spacing w:before="156" w:beforeLines="50" w:after="156" w:afterLines="50"/>
        <w:ind w:left="1136" w:leftChars="270" w:hanging="569" w:hangingChars="236"/>
        <w:outlineLvl w:val="1"/>
        <w:rPr>
          <w:rFonts w:ascii="Times New Roman" w:hAnsi="Times New Roman" w:cs="Times New Roman"/>
          <w:b/>
          <w:sz w:val="24"/>
          <w:szCs w:val="24"/>
        </w:rPr>
      </w:pPr>
      <w:bookmarkStart w:id="20" w:name="_Toc97322955"/>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FDA是否接受Pre-RFD的电子提交资料？</w:t>
      </w:r>
      <w:bookmarkEnd w:id="20"/>
    </w:p>
    <w:p w14:paraId="18CED41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是。贵司可通过电子邮件将Pre-RFD以通用电子格式（例如</w:t>
      </w:r>
      <w:r>
        <w:rPr>
          <w:rFonts w:hint="eastAsia" w:ascii="Times New Roman" w:hAnsi="Times New Roman" w:cs="Times New Roman"/>
          <w:sz w:val="24"/>
          <w:szCs w:val="24"/>
        </w:rPr>
        <w:t>便</w:t>
      </w:r>
      <w:r>
        <w:rPr>
          <w:rFonts w:ascii="Times New Roman" w:hAnsi="Times New Roman" w:cs="Times New Roman"/>
          <w:sz w:val="24"/>
          <w:szCs w:val="24"/>
        </w:rPr>
        <w:t>携式文档格式（PDF）或Word文档）提交至</w:t>
      </w:r>
      <w:r>
        <w:fldChar w:fldCharType="begin"/>
      </w:r>
      <w:r>
        <w:instrText xml:space="preserve"> HYPERLINK "mailto:combination@fda.gov" </w:instrText>
      </w:r>
      <w:r>
        <w:fldChar w:fldCharType="separate"/>
      </w:r>
      <w:r>
        <w:rPr>
          <w:rStyle w:val="13"/>
          <w:rFonts w:ascii="Times New Roman" w:hAnsi="Times New Roman" w:cs="Times New Roman"/>
          <w:sz w:val="24"/>
          <w:szCs w:val="24"/>
        </w:rPr>
        <w:t>combination@fda.gov</w:t>
      </w:r>
      <w:r>
        <w:rPr>
          <w:rStyle w:val="13"/>
          <w:rFonts w:ascii="Times New Roman" w:hAnsi="Times New Roman" w:cs="Times New Roman"/>
          <w:sz w:val="24"/>
          <w:szCs w:val="24"/>
        </w:rPr>
        <w:fldChar w:fldCharType="end"/>
      </w:r>
      <w:r>
        <w:rPr>
          <w:rFonts w:ascii="Times New Roman" w:hAnsi="Times New Roman" w:cs="Times New Roman"/>
          <w:sz w:val="24"/>
          <w:szCs w:val="24"/>
        </w:rPr>
        <w:t>。如前一节所述，仅需要一份电子提交资料。</w:t>
      </w:r>
    </w:p>
    <w:p w14:paraId="51AC5492">
      <w:pPr>
        <w:spacing w:before="156" w:beforeLines="50" w:after="156" w:afterLines="50"/>
        <w:ind w:left="1136" w:leftChars="270" w:hanging="569" w:hangingChars="236"/>
        <w:outlineLvl w:val="1"/>
        <w:rPr>
          <w:rFonts w:ascii="Times New Roman" w:hAnsi="Times New Roman" w:cs="Times New Roman"/>
          <w:b/>
          <w:sz w:val="24"/>
          <w:szCs w:val="24"/>
        </w:rPr>
      </w:pPr>
      <w:bookmarkStart w:id="21" w:name="_Toc97322956"/>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如果我以标准邮寄方式递交，我的Pre-RFD</w:t>
      </w:r>
      <w:r>
        <w:rPr>
          <w:rFonts w:hint="eastAsia" w:ascii="Times New Roman" w:hAnsi="Times New Roman" w:cs="Times New Roman"/>
          <w:b/>
          <w:bCs/>
          <w:sz w:val="24"/>
          <w:szCs w:val="24"/>
        </w:rPr>
        <w:t>地址</w:t>
      </w:r>
      <w:r>
        <w:rPr>
          <w:rFonts w:ascii="Times New Roman" w:hAnsi="Times New Roman" w:cs="Times New Roman"/>
          <w:b/>
          <w:bCs/>
          <w:sz w:val="24"/>
          <w:szCs w:val="24"/>
        </w:rPr>
        <w:t>应如何填写?</w:t>
      </w:r>
      <w:bookmarkEnd w:id="21"/>
    </w:p>
    <w:p w14:paraId="5B353E6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我们鼓励贵司通过电子邮箱</w:t>
      </w:r>
      <w:r>
        <w:fldChar w:fldCharType="begin"/>
      </w:r>
      <w:r>
        <w:instrText xml:space="preserve"> HYPERLINK "mailto:combination@fda.gov" </w:instrText>
      </w:r>
      <w:r>
        <w:fldChar w:fldCharType="separate"/>
      </w:r>
      <w:r>
        <w:rPr>
          <w:rStyle w:val="13"/>
          <w:rFonts w:ascii="Times New Roman" w:hAnsi="Times New Roman" w:cs="Times New Roman"/>
          <w:sz w:val="24"/>
          <w:szCs w:val="24"/>
        </w:rPr>
        <w:t>combination@fda.gov</w:t>
      </w:r>
      <w:r>
        <w:rPr>
          <w:rStyle w:val="13"/>
          <w:rFonts w:ascii="Times New Roman" w:hAnsi="Times New Roman" w:cs="Times New Roman"/>
          <w:sz w:val="24"/>
          <w:szCs w:val="24"/>
        </w:rPr>
        <w:fldChar w:fldCharType="end"/>
      </w:r>
      <w:r>
        <w:rPr>
          <w:rFonts w:ascii="Times New Roman" w:hAnsi="Times New Roman" w:cs="Times New Roman"/>
          <w:sz w:val="24"/>
          <w:szCs w:val="24"/>
        </w:rPr>
        <w:t>提交Pre-RFD。然而，如果贵司选择以标准邮寄方式递交Pre-RFD，贵司应将其寄往以下地址：</w:t>
      </w:r>
    </w:p>
    <w:p w14:paraId="24A8D030">
      <w:pPr>
        <w:widowControl/>
        <w:jc w:val="left"/>
        <w:rPr>
          <w:rFonts w:ascii="Times New Roman" w:hAnsi="Times New Roman" w:cs="Times New Roman"/>
          <w:szCs w:val="15"/>
        </w:rPr>
      </w:pPr>
      <w:r>
        <w:rPr>
          <w:rFonts w:ascii="Times New Roman" w:hAnsi="Times New Roman" w:cs="Times New Roman"/>
          <w:szCs w:val="15"/>
        </w:rPr>
        <w:br w:type="page"/>
      </w:r>
    </w:p>
    <w:p w14:paraId="7B478D30">
      <w:pPr>
        <w:rPr>
          <w:rFonts w:ascii="Times New Roman" w:hAnsi="Times New Roman" w:cs="Times New Roman"/>
          <w:i/>
          <w:sz w:val="24"/>
          <w:szCs w:val="24"/>
        </w:rPr>
      </w:pPr>
      <w:r>
        <w:rPr>
          <w:rFonts w:ascii="Times New Roman" w:hAnsi="Times New Roman" w:cs="Times New Roman"/>
          <w:i/>
          <w:iCs/>
          <w:sz w:val="24"/>
          <w:szCs w:val="24"/>
        </w:rPr>
        <w:t>组合产品办公室</w:t>
      </w:r>
    </w:p>
    <w:p w14:paraId="03005CC8">
      <w:pPr>
        <w:rPr>
          <w:rFonts w:ascii="Times New Roman" w:hAnsi="Times New Roman" w:cs="Times New Roman"/>
          <w:i/>
          <w:sz w:val="24"/>
          <w:szCs w:val="24"/>
        </w:rPr>
      </w:pPr>
      <w:r>
        <w:rPr>
          <w:rFonts w:ascii="Times New Roman" w:hAnsi="Times New Roman" w:cs="Times New Roman"/>
          <w:i/>
          <w:iCs/>
          <w:sz w:val="24"/>
          <w:szCs w:val="24"/>
        </w:rPr>
        <w:t>行政办公厅</w:t>
      </w:r>
    </w:p>
    <w:p w14:paraId="3FF41F53">
      <w:pPr>
        <w:rPr>
          <w:rFonts w:ascii="Times New Roman" w:hAnsi="Times New Roman" w:cs="Times New Roman"/>
          <w:i/>
          <w:sz w:val="24"/>
          <w:szCs w:val="24"/>
        </w:rPr>
      </w:pPr>
      <w:r>
        <w:rPr>
          <w:rFonts w:ascii="Times New Roman" w:hAnsi="Times New Roman" w:cs="Times New Roman"/>
          <w:i/>
          <w:iCs/>
          <w:sz w:val="24"/>
          <w:szCs w:val="24"/>
        </w:rPr>
        <w:t>美国食品药品监督管理局</w:t>
      </w:r>
    </w:p>
    <w:p w14:paraId="1362959D">
      <w:pPr>
        <w:rPr>
          <w:rFonts w:ascii="Times New Roman" w:hAnsi="Times New Roman" w:cs="Times New Roman"/>
          <w:i/>
          <w:sz w:val="24"/>
          <w:szCs w:val="24"/>
        </w:rPr>
      </w:pPr>
      <w:r>
        <w:rPr>
          <w:rFonts w:ascii="Times New Roman" w:hAnsi="Times New Roman" w:cs="Times New Roman"/>
          <w:i/>
          <w:iCs/>
          <w:sz w:val="24"/>
          <w:szCs w:val="24"/>
        </w:rPr>
        <w:t>WO32 Hub/Mail Room #5129</w:t>
      </w:r>
    </w:p>
    <w:p w14:paraId="48126613">
      <w:pPr>
        <w:rPr>
          <w:rFonts w:ascii="Times New Roman" w:hAnsi="Times New Roman" w:cs="Times New Roman"/>
          <w:i/>
          <w:sz w:val="24"/>
          <w:szCs w:val="24"/>
        </w:rPr>
      </w:pPr>
      <w:r>
        <w:rPr>
          <w:rFonts w:ascii="Times New Roman" w:hAnsi="Times New Roman" w:cs="Times New Roman"/>
          <w:i/>
          <w:iCs/>
          <w:sz w:val="24"/>
          <w:szCs w:val="24"/>
        </w:rPr>
        <w:t>10903 New Hampshire Avenue</w:t>
      </w:r>
    </w:p>
    <w:p w14:paraId="04E2D008">
      <w:pPr>
        <w:rPr>
          <w:rFonts w:ascii="Times New Roman" w:hAnsi="Times New Roman" w:cs="Times New Roman"/>
          <w:i/>
          <w:sz w:val="24"/>
          <w:szCs w:val="24"/>
        </w:rPr>
      </w:pPr>
      <w:r>
        <w:rPr>
          <w:rFonts w:ascii="Times New Roman" w:hAnsi="Times New Roman" w:cs="Times New Roman"/>
          <w:i/>
          <w:iCs/>
          <w:sz w:val="24"/>
          <w:szCs w:val="24"/>
        </w:rPr>
        <w:t>Silver Spring, MD 20993-0002</w:t>
      </w:r>
    </w:p>
    <w:p w14:paraId="0C53705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为了将Pre-RFD</w:t>
      </w:r>
      <w:r>
        <w:rPr>
          <w:rFonts w:hint="eastAsia" w:ascii="Times New Roman" w:hAnsi="Times New Roman" w:cs="Times New Roman"/>
          <w:sz w:val="24"/>
          <w:szCs w:val="24"/>
        </w:rPr>
        <w:t>寄</w:t>
      </w:r>
      <w:r>
        <w:rPr>
          <w:rFonts w:ascii="Times New Roman" w:hAnsi="Times New Roman" w:cs="Times New Roman"/>
          <w:sz w:val="24"/>
          <w:szCs w:val="24"/>
        </w:rPr>
        <w:t>送至正确的位置，信封上应清楚标明“预先名称申请”。仅需要提交一次Pre-RFD。即，不需要贵司提交Pre-RFD初始材料的复印件。</w:t>
      </w:r>
    </w:p>
    <w:p w14:paraId="780889BF">
      <w:pPr>
        <w:spacing w:before="156" w:beforeLines="50" w:after="156" w:afterLines="50"/>
        <w:ind w:left="1136" w:leftChars="270" w:hanging="569" w:hangingChars="236"/>
        <w:outlineLvl w:val="1"/>
        <w:rPr>
          <w:rFonts w:ascii="Times New Roman" w:hAnsi="Times New Roman" w:cs="Times New Roman"/>
          <w:b/>
          <w:sz w:val="24"/>
          <w:szCs w:val="24"/>
        </w:rPr>
      </w:pPr>
      <w:bookmarkStart w:id="22" w:name="_Toc97322957"/>
      <w:r>
        <w:rPr>
          <w:rFonts w:ascii="Times New Roman" w:hAnsi="Times New Roman" w:cs="Times New Roman"/>
          <w:b/>
          <w:bCs/>
          <w:sz w:val="24"/>
          <w:szCs w:val="24"/>
        </w:rPr>
        <w:t>F.</w:t>
      </w:r>
      <w:r>
        <w:rPr>
          <w:rFonts w:ascii="Times New Roman" w:hAnsi="Times New Roman" w:cs="Times New Roman"/>
          <w:b/>
          <w:bCs/>
          <w:sz w:val="24"/>
          <w:szCs w:val="24"/>
        </w:rPr>
        <w:tab/>
      </w:r>
      <w:r>
        <w:rPr>
          <w:rFonts w:ascii="Times New Roman" w:hAnsi="Times New Roman" w:cs="Times New Roman"/>
          <w:b/>
          <w:bCs/>
          <w:sz w:val="24"/>
          <w:szCs w:val="24"/>
        </w:rPr>
        <w:t>Pre-RFD是否有页面限制？</w:t>
      </w:r>
      <w:bookmarkEnd w:id="22"/>
    </w:p>
    <w:p w14:paraId="7A9958A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不，Pre-RFD没有页数限制（对于Pre-RFD电子邮件</w:t>
      </w:r>
      <w:r>
        <w:rPr>
          <w:rFonts w:hint="eastAsia" w:ascii="Times New Roman" w:hAnsi="Times New Roman" w:cs="Times New Roman"/>
          <w:sz w:val="24"/>
          <w:szCs w:val="24"/>
        </w:rPr>
        <w:t>递交的</w:t>
      </w:r>
      <w:r>
        <w:rPr>
          <w:rFonts w:ascii="Times New Roman" w:hAnsi="Times New Roman" w:cs="Times New Roman"/>
          <w:sz w:val="24"/>
          <w:szCs w:val="24"/>
        </w:rPr>
        <w:t>非PDF</w:t>
      </w:r>
      <w:r>
        <w:rPr>
          <w:rFonts w:hint="eastAsia" w:ascii="Times New Roman" w:hAnsi="Times New Roman" w:cs="Times New Roman"/>
          <w:sz w:val="24"/>
          <w:szCs w:val="24"/>
        </w:rPr>
        <w:t>和</w:t>
      </w:r>
      <w:r>
        <w:rPr>
          <w:rFonts w:ascii="Times New Roman" w:hAnsi="Times New Roman" w:cs="Times New Roman"/>
          <w:sz w:val="24"/>
          <w:szCs w:val="24"/>
        </w:rPr>
        <w:t>Word格式的提交资料也无字数限制）。然而，我们鼓励贵司将Pre-RFD限制在OCP初步评估相关信息的简要总结</w:t>
      </w:r>
      <w:r>
        <w:rPr>
          <w:rFonts w:hint="eastAsia" w:ascii="Times New Roman" w:hAnsi="Times New Roman" w:cs="Times New Roman"/>
          <w:sz w:val="24"/>
          <w:szCs w:val="24"/>
        </w:rPr>
        <w:t>内</w:t>
      </w:r>
      <w:r>
        <w:rPr>
          <w:rFonts w:ascii="Times New Roman" w:hAnsi="Times New Roman" w:cs="Times New Roman"/>
          <w:sz w:val="24"/>
          <w:szCs w:val="24"/>
        </w:rPr>
        <w:t>。</w:t>
      </w:r>
    </w:p>
    <w:p w14:paraId="67EBBB17">
      <w:pPr>
        <w:spacing w:before="156" w:beforeLines="50" w:after="156" w:afterLines="50"/>
        <w:ind w:left="565" w:hanging="565" w:hangingChars="201"/>
        <w:outlineLvl w:val="0"/>
        <w:rPr>
          <w:rFonts w:ascii="Times New Roman" w:hAnsi="Times New Roman" w:cs="Times New Roman"/>
          <w:b/>
          <w:sz w:val="28"/>
          <w:szCs w:val="28"/>
        </w:rPr>
      </w:pPr>
      <w:bookmarkStart w:id="23" w:name="_Toc97322958"/>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结论</w:t>
      </w:r>
      <w:bookmarkEnd w:id="23"/>
    </w:p>
    <w:p w14:paraId="59753DE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本指南提供了我们对Pre-RFD申请的格式和内容的建议。我们建议，贵司应特别注意Pre-RFD的</w:t>
      </w:r>
      <w:r>
        <w:rPr>
          <w:rFonts w:hint="eastAsia" w:ascii="Times New Roman" w:hAnsi="Times New Roman" w:cs="Times New Roman"/>
          <w:sz w:val="24"/>
          <w:szCs w:val="24"/>
        </w:rPr>
        <w:t>以下</w:t>
      </w:r>
      <w:r>
        <w:rPr>
          <w:rFonts w:ascii="Times New Roman" w:hAnsi="Times New Roman" w:cs="Times New Roman"/>
          <w:sz w:val="24"/>
          <w:szCs w:val="24"/>
        </w:rPr>
        <w:t>这些部分（如适用）：</w:t>
      </w:r>
    </w:p>
    <w:p w14:paraId="01D43A2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产品的完整描述，包括其成分（贵司产品是什么？）；</w:t>
      </w:r>
    </w:p>
    <w:p w14:paraId="45C8D53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使用产品的预期用途/适应证（为什么使用贵司产品？）；</w:t>
      </w:r>
    </w:p>
    <w:p w14:paraId="44A7BA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产品的作用方法（贵司产品如何工作？）；</w:t>
      </w:r>
    </w:p>
    <w:p w14:paraId="71B920C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如果贵司产品可能是组合产品，贵司可能拥有的关于每个成分对组合产品的总体预期治疗/诊断效果的相对贡献的信息（如有）；以及</w:t>
      </w:r>
    </w:p>
    <w:p w14:paraId="662C5B3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贵司已经或计划对贵司产品作出的任何</w:t>
      </w:r>
      <w:r>
        <w:rPr>
          <w:rFonts w:hint="eastAsia" w:ascii="Times New Roman" w:hAnsi="Times New Roman" w:cs="Times New Roman"/>
          <w:sz w:val="24"/>
          <w:szCs w:val="24"/>
        </w:rPr>
        <w:t>宣称</w:t>
      </w:r>
      <w:r>
        <w:rPr>
          <w:rFonts w:ascii="Times New Roman" w:hAnsi="Times New Roman" w:cs="Times New Roman"/>
          <w:sz w:val="24"/>
          <w:szCs w:val="24"/>
        </w:rPr>
        <w:t>。</w:t>
      </w:r>
    </w:p>
    <w:p w14:paraId="4EB4723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OCP可一直作为贵司的资源。如果贵司有任何问题，或如果贵司不确定</w:t>
      </w:r>
      <w:r>
        <w:rPr>
          <w:rFonts w:hint="eastAsia" w:ascii="Times New Roman" w:hAnsi="Times New Roman" w:cs="Times New Roman"/>
          <w:sz w:val="24"/>
          <w:szCs w:val="24"/>
        </w:rPr>
        <w:t>包含</w:t>
      </w:r>
      <w:r>
        <w:rPr>
          <w:rFonts w:ascii="Times New Roman" w:hAnsi="Times New Roman" w:cs="Times New Roman"/>
          <w:sz w:val="24"/>
          <w:szCs w:val="24"/>
        </w:rPr>
        <w:t>的信息类型</w:t>
      </w:r>
      <w:r>
        <w:rPr>
          <w:rFonts w:hint="eastAsia" w:ascii="Times New Roman" w:hAnsi="Times New Roman" w:cs="Times New Roman"/>
          <w:sz w:val="24"/>
          <w:szCs w:val="24"/>
        </w:rPr>
        <w:t>，</w:t>
      </w:r>
      <w:r>
        <w:rPr>
          <w:rFonts w:ascii="Times New Roman" w:hAnsi="Times New Roman" w:cs="Times New Roman"/>
          <w:sz w:val="24"/>
          <w:szCs w:val="24"/>
        </w:rPr>
        <w:t>我们强烈建议贵司在提交Pre-RFD前与OCP联系，。</w:t>
      </w:r>
    </w:p>
    <w:p w14:paraId="7B8DD5DB">
      <w:pPr>
        <w:spacing w:before="156" w:beforeLines="50" w:after="156" w:afterLines="50"/>
        <w:ind w:left="565" w:hanging="565" w:hangingChars="201"/>
        <w:outlineLvl w:val="0"/>
        <w:rPr>
          <w:rFonts w:ascii="Times New Roman" w:hAnsi="Times New Roman" w:cs="Times New Roman"/>
          <w:b/>
          <w:sz w:val="28"/>
          <w:szCs w:val="28"/>
        </w:rPr>
      </w:pPr>
      <w:bookmarkStart w:id="24" w:name="_Toc97322959"/>
      <w:r>
        <w:rPr>
          <w:rFonts w:ascii="Times New Roman" w:hAnsi="Times New Roman" w:cs="Times New Roman"/>
          <w:b/>
          <w:bCs/>
          <w:sz w:val="28"/>
          <w:szCs w:val="28"/>
        </w:rPr>
        <w:t>VI.</w:t>
      </w:r>
      <w:r>
        <w:rPr>
          <w:rFonts w:ascii="Times New Roman" w:hAnsi="Times New Roman" w:cs="Times New Roman"/>
          <w:b/>
          <w:bCs/>
          <w:sz w:val="28"/>
          <w:szCs w:val="28"/>
        </w:rPr>
        <w:tab/>
      </w:r>
      <w:r>
        <w:rPr>
          <w:rFonts w:ascii="Times New Roman" w:hAnsi="Times New Roman" w:cs="Times New Roman"/>
          <w:b/>
          <w:bCs/>
          <w:sz w:val="28"/>
          <w:szCs w:val="28"/>
        </w:rPr>
        <w:t>1995年《文书削减法》</w:t>
      </w:r>
      <w:bookmarkEnd w:id="24"/>
    </w:p>
    <w:p w14:paraId="0B522FC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本指南包含</w:t>
      </w:r>
      <w:r>
        <w:rPr>
          <w:rFonts w:hint="eastAsia" w:ascii="Times New Roman" w:hAnsi="Times New Roman" w:cs="Times New Roman"/>
          <w:sz w:val="24"/>
          <w:szCs w:val="24"/>
        </w:rPr>
        <w:t>应</w:t>
      </w:r>
      <w:r>
        <w:rPr>
          <w:rFonts w:ascii="Times New Roman" w:hAnsi="Times New Roman" w:cs="Times New Roman"/>
          <w:sz w:val="24"/>
          <w:szCs w:val="24"/>
        </w:rPr>
        <w:t>由管理和预算办公室（OMB）根据1995年《文书削减法》（44 U.S.C. 3501-3520）进行审</w:t>
      </w:r>
      <w:r>
        <w:rPr>
          <w:rFonts w:hint="eastAsia" w:ascii="Times New Roman" w:hAnsi="Times New Roman" w:cs="Times New Roman"/>
          <w:sz w:val="24"/>
          <w:szCs w:val="24"/>
        </w:rPr>
        <w:t>查</w:t>
      </w:r>
      <w:r>
        <w:rPr>
          <w:rFonts w:ascii="Times New Roman" w:hAnsi="Times New Roman" w:cs="Times New Roman"/>
          <w:sz w:val="24"/>
          <w:szCs w:val="24"/>
        </w:rPr>
        <w:t>的信息收集</w:t>
      </w:r>
      <w:r>
        <w:rPr>
          <w:rFonts w:hint="eastAsia" w:ascii="Times New Roman" w:hAnsi="Times New Roman" w:cs="Times New Roman"/>
          <w:sz w:val="24"/>
          <w:szCs w:val="24"/>
        </w:rPr>
        <w:t>条款</w:t>
      </w:r>
      <w:r>
        <w:rPr>
          <w:rFonts w:ascii="Times New Roman" w:hAnsi="Times New Roman" w:cs="Times New Roman"/>
          <w:sz w:val="24"/>
          <w:szCs w:val="24"/>
        </w:rPr>
        <w:t>。</w:t>
      </w:r>
    </w:p>
    <w:p w14:paraId="6AFF39C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完成此信息收集所需的时间估计为平均每个回复13小时，包括审评说明、搜索现有数据源、收集所需数据以及完成和审评信息收集的时间。请将有关本负担评估的意见寄给：</w:t>
      </w:r>
    </w:p>
    <w:p w14:paraId="5C57B339">
      <w:pPr>
        <w:widowControl/>
        <w:jc w:val="left"/>
        <w:rPr>
          <w:rFonts w:ascii="Times New Roman" w:hAnsi="Times New Roman" w:cs="Times New Roman"/>
          <w:szCs w:val="15"/>
        </w:rPr>
      </w:pPr>
      <w:r>
        <w:rPr>
          <w:rFonts w:ascii="Times New Roman" w:hAnsi="Times New Roman" w:cs="Times New Roman"/>
          <w:szCs w:val="15"/>
        </w:rPr>
        <w:br w:type="page"/>
      </w:r>
    </w:p>
    <w:p w14:paraId="2B837357">
      <w:pPr>
        <w:rPr>
          <w:rFonts w:ascii="Times New Roman" w:hAnsi="Times New Roman" w:cs="Times New Roman"/>
          <w:sz w:val="24"/>
          <w:szCs w:val="24"/>
        </w:rPr>
      </w:pPr>
      <w:r>
        <w:rPr>
          <w:rFonts w:ascii="Times New Roman" w:hAnsi="Times New Roman" w:cs="Times New Roman"/>
          <w:sz w:val="24"/>
          <w:szCs w:val="24"/>
        </w:rPr>
        <w:t>美国卫生与公众服务部</w:t>
      </w:r>
    </w:p>
    <w:p w14:paraId="6CEC9E14">
      <w:pPr>
        <w:rPr>
          <w:rFonts w:ascii="Times New Roman" w:hAnsi="Times New Roman" w:cs="Times New Roman"/>
          <w:sz w:val="24"/>
          <w:szCs w:val="24"/>
        </w:rPr>
      </w:pPr>
      <w:r>
        <w:rPr>
          <w:rFonts w:ascii="Times New Roman" w:hAnsi="Times New Roman" w:cs="Times New Roman"/>
          <w:sz w:val="24"/>
          <w:szCs w:val="24"/>
        </w:rPr>
        <w:t>美国食品药品监督管理局</w:t>
      </w:r>
    </w:p>
    <w:p w14:paraId="4C795E6D">
      <w:pPr>
        <w:rPr>
          <w:rFonts w:ascii="Times New Roman" w:hAnsi="Times New Roman" w:cs="Times New Roman"/>
          <w:sz w:val="24"/>
          <w:szCs w:val="24"/>
        </w:rPr>
      </w:pPr>
      <w:r>
        <w:rPr>
          <w:rFonts w:ascii="Times New Roman" w:hAnsi="Times New Roman" w:cs="Times New Roman"/>
          <w:sz w:val="24"/>
          <w:szCs w:val="24"/>
        </w:rPr>
        <w:t>首席信息官办公室</w:t>
      </w:r>
    </w:p>
    <w:p w14:paraId="67284A7F">
      <w:pPr>
        <w:rPr>
          <w:rFonts w:ascii="Times New Roman" w:hAnsi="Times New Roman" w:cs="Times New Roman"/>
          <w:sz w:val="24"/>
          <w:szCs w:val="24"/>
        </w:rPr>
      </w:pPr>
      <w:r>
        <w:rPr>
          <w:rFonts w:ascii="Times New Roman" w:hAnsi="Times New Roman" w:cs="Times New Roman"/>
          <w:sz w:val="24"/>
          <w:szCs w:val="24"/>
        </w:rPr>
        <w:t>《文书削减法》（PRA）工作人员</w:t>
      </w:r>
    </w:p>
    <w:p w14:paraId="0FBECE3F">
      <w:pPr>
        <w:rPr>
          <w:rFonts w:ascii="Times New Roman" w:hAnsi="Times New Roman" w:cs="Times New Roman"/>
          <w:sz w:val="24"/>
          <w:szCs w:val="24"/>
        </w:rPr>
      </w:pPr>
      <w:r>
        <w:rPr>
          <w:rFonts w:ascii="Times New Roman" w:hAnsi="Times New Roman" w:cs="Times New Roman"/>
          <w:sz w:val="24"/>
          <w:szCs w:val="24"/>
        </w:rPr>
        <w:t>PRAStaff@fda.hhs.gov</w:t>
      </w:r>
    </w:p>
    <w:p w14:paraId="25FAEDC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除非显示当前有效的OMB控制编号，否则机构不得进行或发起信息收集，并且个人无需回应。本信息收集的OMB控制编号为0910-0845（有效期至2020年10月31日）。</w:t>
      </w:r>
    </w:p>
    <w:p w14:paraId="2680A930">
      <w:pPr>
        <w:widowControl/>
        <w:jc w:val="left"/>
        <w:rPr>
          <w:rFonts w:ascii="Times New Roman" w:hAnsi="Times New Roman" w:cs="Times New Roman"/>
          <w:szCs w:val="15"/>
        </w:rPr>
      </w:pPr>
      <w:r>
        <w:rPr>
          <w:rFonts w:ascii="Times New Roman" w:hAnsi="Times New Roman" w:cs="Times New Roman"/>
          <w:szCs w:val="15"/>
        </w:rPr>
        <w:br w:type="page"/>
      </w:r>
    </w:p>
    <w:p w14:paraId="30E74B43">
      <w:pPr>
        <w:spacing w:before="156" w:beforeLines="50" w:after="156" w:afterLines="50"/>
        <w:ind w:left="565" w:hanging="565" w:hangingChars="201"/>
        <w:outlineLvl w:val="0"/>
        <w:rPr>
          <w:rFonts w:ascii="Times New Roman" w:hAnsi="Times New Roman" w:cs="Times New Roman"/>
          <w:b/>
          <w:sz w:val="28"/>
          <w:szCs w:val="28"/>
        </w:rPr>
      </w:pPr>
      <w:bookmarkStart w:id="25" w:name="_Toc97322960"/>
      <w:r>
        <w:rPr>
          <w:rFonts w:ascii="Times New Roman" w:hAnsi="Times New Roman" w:cs="Times New Roman"/>
          <w:b/>
          <w:bCs/>
          <w:sz w:val="28"/>
          <w:szCs w:val="28"/>
        </w:rPr>
        <w:t>VII.</w:t>
      </w:r>
      <w:r>
        <w:rPr>
          <w:rFonts w:ascii="Times New Roman" w:hAnsi="Times New Roman" w:cs="Times New Roman"/>
          <w:b/>
          <w:bCs/>
          <w:sz w:val="28"/>
          <w:szCs w:val="28"/>
        </w:rPr>
        <w:tab/>
      </w:r>
      <w:r>
        <w:rPr>
          <w:rFonts w:ascii="Times New Roman" w:hAnsi="Times New Roman" w:cs="Times New Roman"/>
          <w:b/>
          <w:bCs/>
          <w:sz w:val="28"/>
          <w:szCs w:val="28"/>
        </w:rPr>
        <w:t>附录：</w:t>
      </w:r>
      <w:bookmarkEnd w:id="25"/>
    </w:p>
    <w:p w14:paraId="343F255A">
      <w:pPr>
        <w:spacing w:before="156" w:beforeLines="50" w:after="156" w:afterLines="50"/>
        <w:ind w:left="1136" w:leftChars="270" w:hanging="569" w:hangingChars="236"/>
        <w:outlineLvl w:val="1"/>
        <w:rPr>
          <w:rFonts w:ascii="Times New Roman" w:hAnsi="Times New Roman" w:cs="Times New Roman"/>
          <w:b/>
          <w:sz w:val="24"/>
          <w:szCs w:val="24"/>
        </w:rPr>
      </w:pPr>
      <w:bookmarkStart w:id="26" w:name="_Toc97322961"/>
      <w:r>
        <w:rPr>
          <w:rFonts w:ascii="Times New Roman" w:hAnsi="Times New Roman" w:cs="Times New Roman"/>
          <w:b/>
          <w:bCs/>
          <w:sz w:val="24"/>
          <w:szCs w:val="24"/>
        </w:rPr>
        <w:t>A.</w:t>
      </w:r>
      <w:r>
        <w:rPr>
          <w:rFonts w:ascii="Times New Roman" w:hAnsi="Times New Roman" w:cs="Times New Roman"/>
          <w:b/>
          <w:bCs/>
          <w:sz w:val="24"/>
          <w:szCs w:val="24"/>
        </w:rPr>
        <w:tab/>
      </w:r>
      <w:commentRangeStart w:id="1"/>
      <w:r>
        <w:rPr>
          <w:rFonts w:ascii="Times New Roman" w:hAnsi="Times New Roman" w:cs="Times New Roman"/>
          <w:b/>
          <w:bCs/>
          <w:sz w:val="24"/>
          <w:szCs w:val="24"/>
        </w:rPr>
        <w:t>Pre-RFD筛选列表：</w:t>
      </w:r>
      <w:commentRangeEnd w:id="1"/>
      <w:bookmarkEnd w:id="26"/>
      <w:r>
        <w:rPr>
          <w:rStyle w:val="14"/>
        </w:rPr>
        <w:commentReference w:id="1"/>
      </w:r>
    </w:p>
    <w:p w14:paraId="7588C9A1">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联系信息，包括贵司的姓名、公司名称、电子邮件地址和电话号码。</w:t>
      </w:r>
    </w:p>
    <w:p w14:paraId="1BAC20D3">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产品的完整描述以及以下信息（如适用）。</w:t>
      </w:r>
    </w:p>
    <w:p w14:paraId="3573F188">
      <w:pPr>
        <w:spacing w:before="156" w:beforeLines="50" w:after="156" w:afterLines="50"/>
        <w:ind w:left="2044" w:leftChars="743"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510（k）、PMA、NDA、ANDA、BLA或与产品相关的任何其他FDA监管提交编号。</w:t>
      </w:r>
    </w:p>
    <w:p w14:paraId="3C05AEB2">
      <w:pPr>
        <w:spacing w:before="156" w:beforeLines="50" w:after="156" w:afterLines="50"/>
        <w:ind w:left="2044" w:leftChars="743"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产品名称及所有组成产品；以及</w:t>
      </w:r>
    </w:p>
    <w:p w14:paraId="410BB6A9">
      <w:pPr>
        <w:spacing w:before="156" w:beforeLines="50" w:after="156" w:afterLines="50"/>
        <w:ind w:left="2044" w:leftChars="743"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产品照片/图表</w:t>
      </w:r>
    </w:p>
    <w:p w14:paraId="796B3C9F">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对于源自生物衍生材料的产品，请描述材料的加工方式以及最终产品特性的特征。</w:t>
      </w:r>
    </w:p>
    <w:p w14:paraId="220187B0">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对产品工作原理的解释。虽然是可选的，但贵司可填写描述支持产品工作原理的相关测试的详细信息（即研究条件/方法、控制标识、结果和结论）。请注意，与其他产品的比较或生物相容性测试通常无助于了解产品的工作原理。</w:t>
      </w:r>
    </w:p>
    <w:p w14:paraId="2FBF4261">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产品销售原理的说明（例如，套件配置）。例如，产品是否有单独销售的组成部分并贴上标签供一起使用，或该产品是否具有将物理或化学组合成单一实体或共同包装的组件？</w:t>
      </w:r>
    </w:p>
    <w:p w14:paraId="57625C1A">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产品中所有部件/成分列表，包括每种部件/成分的数量和理由。如果产品包含溶液/液体/凝胶/粉末，请提供所有成分（活性和非活性）的列表、其数量/浓度以及在产品中包含该成分的原因。</w:t>
      </w:r>
    </w:p>
    <w:p w14:paraId="73743B9E">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t>提议用途/预期用途/使用适应证。</w:t>
      </w:r>
    </w:p>
    <w:p w14:paraId="4D2004FF">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Pr>
          <w:rFonts w:ascii="Times New Roman" w:hAnsi="Times New Roman" w:cs="Times New Roman"/>
          <w:sz w:val="24"/>
          <w:szCs w:val="24"/>
        </w:rPr>
        <w:t>使用说明书/使用条件。</w:t>
      </w:r>
    </w:p>
    <w:p w14:paraId="606C9A5A">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Pr>
          <w:rFonts w:ascii="Times New Roman" w:hAnsi="Times New Roman" w:cs="Times New Roman"/>
          <w:sz w:val="24"/>
          <w:szCs w:val="24"/>
        </w:rPr>
        <w:t>所有已知的作用方法和实现每种方法的机制。</w:t>
      </w:r>
    </w:p>
    <w:p w14:paraId="416A683B">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Pr>
          <w:rFonts w:ascii="Times New Roman" w:hAnsi="Times New Roman" w:cs="Times New Roman"/>
          <w:sz w:val="24"/>
          <w:szCs w:val="24"/>
        </w:rPr>
        <w:t>对于可能是组合产品的产品，贵司可能拥有需要支持不同成分对组合产品的总体预期治疗/诊断效果的相对贡献的信息（如有）。虽然是可选的，但如果此类信息可用并且贵司希望FDA考虑该信息，贵司可提供任何支持测试/研究的详细描述。</w:t>
      </w:r>
    </w:p>
    <w:p w14:paraId="2A2D6ABD">
      <w:pPr>
        <w:widowControl/>
        <w:jc w:val="left"/>
        <w:rPr>
          <w:rFonts w:ascii="Times New Roman" w:hAnsi="Times New Roman" w:cs="Times New Roman"/>
          <w:szCs w:val="15"/>
        </w:rPr>
      </w:pPr>
      <w:r>
        <w:rPr>
          <w:rFonts w:ascii="Times New Roman" w:hAnsi="Times New Roman" w:cs="Times New Roman"/>
          <w:szCs w:val="15"/>
        </w:rPr>
        <w:br w:type="page"/>
      </w:r>
    </w:p>
    <w:p w14:paraId="2B649D31">
      <w:pPr>
        <w:spacing w:before="156" w:beforeLines="50" w:after="156" w:afterLines="50"/>
        <w:ind w:left="1618" w:leftChars="540" w:hanging="484" w:hangingChars="202"/>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贵司已经或计划对产品作出的声明列表。</w:t>
      </w:r>
    </w:p>
    <w:p w14:paraId="4DEF340C">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6CAC82A1">
      <w:pPr>
        <w:spacing w:before="156" w:beforeLines="50" w:after="156" w:afterLines="50"/>
        <w:ind w:left="1136" w:leftChars="270" w:hanging="569" w:hangingChars="236"/>
        <w:outlineLvl w:val="1"/>
        <w:rPr>
          <w:rFonts w:ascii="Times New Roman" w:hAnsi="Times New Roman" w:cs="Times New Roman"/>
          <w:b/>
          <w:sz w:val="24"/>
          <w:szCs w:val="24"/>
        </w:rPr>
      </w:pPr>
      <w:bookmarkStart w:id="27" w:name="_Toc97322962"/>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Pre-RFD流程</w:t>
      </w:r>
      <w:bookmarkEnd w:id="27"/>
      <w:r>
        <w:rPr>
          <w:rFonts w:ascii="Times New Roman" w:hAnsi="Times New Roman" w:cs="Times New Roman"/>
          <w:b/>
          <w:bCs/>
          <w:sz w:val="24"/>
          <w:szCs w:val="24"/>
        </w:rPr>
        <w:t>进度</w:t>
      </w:r>
    </w:p>
    <w:p w14:paraId="311C4543">
      <w:pPr>
        <w:spacing w:line="0" w:lineRule="atLeast"/>
        <w:rPr>
          <w:rFonts w:ascii="Times New Roman" w:hAnsi="Times New Roman" w:cs="Times New Roman"/>
          <w:szCs w:val="15"/>
        </w:rPr>
      </w:pPr>
      <w:r>
        <w:rPr>
          <w:rFonts w:ascii="Times New Roman" w:hAnsi="Times New Roman" w:cs="Times New Roman"/>
          <w:szCs w:val="15"/>
        </w:rPr>
        <w:pict>
          <v:shape id="_x0000_s2058" o:spid="_x0000_s2058" o:spt="202" type="#_x0000_t202" style="position:absolute;left:0pt;margin-left:77.7pt;margin-top:42pt;height:24.6pt;width:52.8pt;z-index:251667456;mso-width-relative:page;mso-height-relative:page;" fillcolor="#F3F3F4" filled="t" stroked="f" coordsize="21600,21600">
            <v:path/>
            <v:fill on="t" focussize="0,0"/>
            <v:stroke on="f" joinstyle="miter"/>
            <v:imagedata o:title=""/>
            <o:lock v:ext="edit"/>
            <v:textbox inset="0mm,0mm,0mm,0mm">
              <w:txbxContent>
                <w:p w14:paraId="42F91474">
                  <w:pPr>
                    <w:spacing w:line="0" w:lineRule="atLeast"/>
                    <w:rPr>
                      <w:rFonts w:ascii="Times New Roman" w:hAnsi="Times New Roman" w:cs="Times New Roman"/>
                      <w:sz w:val="13"/>
                      <w:szCs w:val="13"/>
                    </w:rPr>
                  </w:pPr>
                  <w:r>
                    <w:rPr>
                      <w:rFonts w:ascii="Times New Roman" w:hAnsi="Times New Roman" w:cs="Times New Roman"/>
                      <w:sz w:val="13"/>
                      <w:szCs w:val="13"/>
                    </w:rPr>
                    <w:t xml:space="preserve">5.申办者根据差距修改提交资料并重新提交 </w:t>
                  </w:r>
                </w:p>
              </w:txbxContent>
            </v:textbox>
          </v:shape>
        </w:pict>
      </w:r>
      <w:r>
        <w:rPr>
          <w:rFonts w:ascii="Times New Roman" w:hAnsi="Times New Roman" w:cs="Times New Roman"/>
          <w:szCs w:val="15"/>
        </w:rPr>
        <w:pict>
          <v:shape id="_x0000_s2059" o:spid="_x0000_s2059" o:spt="202" type="#_x0000_t202" style="position:absolute;left:0pt;margin-left:21.3pt;margin-top:115.8pt;height:43.9pt;width:26.4pt;z-index:251668480;mso-width-relative:page;mso-height-relative:page;" fillcolor="#F3F3F4" filled="t" stroked="f" coordsize="21600,21600">
            <v:path/>
            <v:fill on="t" focussize="0,0"/>
            <v:stroke on="f" joinstyle="miter"/>
            <v:imagedata o:title=""/>
            <o:lock v:ext="edit"/>
            <v:textbox inset="0mm,0mm,0mm,0mm">
              <w:txbxContent>
                <w:p w14:paraId="586404EC">
                  <w:pPr>
                    <w:spacing w:line="0" w:lineRule="atLeast"/>
                    <w:rPr>
                      <w:rFonts w:ascii="Times New Roman" w:hAnsi="Times New Roman" w:cs="Times New Roman"/>
                      <w:sz w:val="11"/>
                      <w:szCs w:val="11"/>
                    </w:rPr>
                  </w:pPr>
                  <w:r>
                    <w:rPr>
                      <w:rFonts w:ascii="Times New Roman" w:hAnsi="Times New Roman" w:cs="Times New Roman"/>
                      <w:sz w:val="11"/>
                      <w:szCs w:val="11"/>
                    </w:rPr>
                    <w:t xml:space="preserve">2.OCP至中心邮箱接收Pre-RFD </w:t>
                  </w:r>
                </w:p>
              </w:txbxContent>
            </v:textbox>
          </v:shape>
        </w:pict>
      </w:r>
      <w:r>
        <w:rPr>
          <w:rFonts w:ascii="Times New Roman" w:hAnsi="Times New Roman" w:cs="Times New Roman"/>
          <w:szCs w:val="15"/>
        </w:rPr>
        <w:pict>
          <v:shape id="_x0000_s2065" o:spid="_x0000_s2065" o:spt="202" type="#_x0000_t202" style="position:absolute;left:0pt;margin-left:292.5pt;margin-top:143.4pt;height:53.4pt;width:34.2pt;z-index:251674624;mso-width-relative:page;mso-height-relative:page;" fillcolor="#F3F3F4" filled="t" stroked="f" coordsize="21600,21600">
            <v:path/>
            <v:fill on="t" focussize="0,0"/>
            <v:stroke on="f" joinstyle="miter"/>
            <v:imagedata o:title=""/>
            <o:lock v:ext="edit"/>
            <v:textbox inset="0mm,0mm,0mm,0mm">
              <w:txbxContent>
                <w:p w14:paraId="5EB627C7">
                  <w:pPr>
                    <w:spacing w:line="0" w:lineRule="atLeast"/>
                    <w:rPr>
                      <w:rFonts w:ascii="Times New Roman" w:hAnsi="Times New Roman" w:cs="Times New Roman"/>
                      <w:sz w:val="11"/>
                      <w:szCs w:val="11"/>
                    </w:rPr>
                  </w:pPr>
                  <w:r>
                    <w:rPr>
                      <w:rFonts w:ascii="Times New Roman" w:hAnsi="Times New Roman" w:cs="Times New Roman"/>
                      <w:sz w:val="11"/>
                      <w:szCs w:val="11"/>
                    </w:rPr>
                    <w:t>9. 与中心和OCC</w:t>
                  </w:r>
                  <w:r>
                    <w:rPr>
                      <w:rFonts w:hint="eastAsia" w:ascii="Times New Roman" w:hAnsi="Times New Roman" w:cs="Times New Roman"/>
                      <w:sz w:val="11"/>
                      <w:szCs w:val="11"/>
                    </w:rPr>
                    <w:t>一起</w:t>
                  </w:r>
                  <w:r>
                    <w:rPr>
                      <w:rFonts w:ascii="Times New Roman" w:hAnsi="Times New Roman" w:cs="Times New Roman"/>
                      <w:sz w:val="11"/>
                      <w:szCs w:val="11"/>
                    </w:rPr>
                    <w:t>审查会议和后续讨论（如需）</w:t>
                  </w:r>
                </w:p>
              </w:txbxContent>
            </v:textbox>
          </v:shape>
        </w:pict>
      </w:r>
      <w:r>
        <w:rPr>
          <w:rFonts w:ascii="Times New Roman" w:hAnsi="Times New Roman" w:cs="Times New Roman"/>
          <w:szCs w:val="15"/>
        </w:rPr>
        <w:pict>
          <v:shape id="_x0000_s2068" o:spid="_x0000_s2068" o:spt="202" type="#_x0000_t202" style="position:absolute;left:0pt;margin-left:340.5pt;margin-top:244.8pt;height:19pt;width:66pt;z-index:251677696;mso-width-relative:page;mso-height-relative:page;" fillcolor="#F3F3F4" filled="t" stroked="f" coordsize="21600,21600">
            <v:path/>
            <v:fill on="t" focussize="0,0"/>
            <v:stroke on="f" joinstyle="miter"/>
            <v:imagedata o:title=""/>
            <o:lock v:ext="edit"/>
            <v:textbox inset="0mm,0mm,0mm,0mm">
              <w:txbxContent>
                <w:p w14:paraId="4284E705">
                  <w:pPr>
                    <w:spacing w:line="0" w:lineRule="atLeast"/>
                    <w:rPr>
                      <w:rFonts w:ascii="Times New Roman" w:hAnsi="Times New Roman" w:cs="Times New Roman"/>
                      <w:sz w:val="11"/>
                      <w:szCs w:val="11"/>
                    </w:rPr>
                  </w:pPr>
                  <w:r>
                    <w:rPr>
                      <w:rFonts w:ascii="Times New Roman" w:hAnsi="Times New Roman" w:cs="Times New Roman"/>
                      <w:sz w:val="11"/>
                      <w:szCs w:val="11"/>
                    </w:rPr>
                    <w:t xml:space="preserve">11.OCC审查回复并记录最终法律审查（如需） </w:t>
                  </w:r>
                </w:p>
              </w:txbxContent>
            </v:textbox>
          </v:shape>
        </w:pict>
      </w:r>
      <w:r>
        <w:rPr>
          <w:rFonts w:ascii="Times New Roman" w:hAnsi="Times New Roman" w:cs="Times New Roman"/>
          <w:szCs w:val="15"/>
        </w:rPr>
        <w:pict>
          <v:shape id="_x0000_s2064" o:spid="_x0000_s2064" o:spt="202" type="#_x0000_t202" style="position:absolute;left:0pt;margin-left:162.5pt;margin-top:244.8pt;height:27pt;width:42.4pt;z-index:251673600;mso-width-relative:page;mso-height-relative:page;" fillcolor="#F3F3F4" filled="t" stroked="f" coordsize="21600,21600">
            <v:path/>
            <v:fill on="t" focussize="0,0"/>
            <v:stroke on="f" joinstyle="miter"/>
            <v:imagedata o:title=""/>
            <o:lock v:ext="edit"/>
            <v:textbox inset="0mm,0mm,0mm,0mm">
              <w:txbxContent>
                <w:p w14:paraId="2612AE4F">
                  <w:pPr>
                    <w:spacing w:line="0" w:lineRule="atLeast"/>
                    <w:rPr>
                      <w:rFonts w:ascii="Times New Roman" w:hAnsi="Times New Roman" w:cs="Times New Roman"/>
                      <w:sz w:val="11"/>
                      <w:szCs w:val="11"/>
                    </w:rPr>
                  </w:pPr>
                  <w:r>
                    <w:rPr>
                      <w:rFonts w:ascii="Times New Roman" w:hAnsi="Times New Roman" w:cs="Times New Roman"/>
                      <w:sz w:val="11"/>
                      <w:szCs w:val="11"/>
                    </w:rPr>
                    <w:t xml:space="preserve">7.OCC就法律问题向OCP提供咨询（如需） </w:t>
                  </w:r>
                </w:p>
              </w:txbxContent>
            </v:textbox>
          </v:shape>
        </w:pict>
      </w:r>
      <w:r>
        <w:rPr>
          <w:rFonts w:ascii="Times New Roman" w:hAnsi="Times New Roman" w:cs="Times New Roman"/>
          <w:szCs w:val="15"/>
        </w:rPr>
        <w:pict>
          <v:shape id="_x0000_s2076" o:spid="_x0000_s2076" o:spt="202" type="#_x0000_t202" style="position:absolute;left:0pt;margin-left:70.5pt;margin-top:122.4pt;height:13.6pt;width:70.2pt;z-index:251684864;mso-width-relative:page;mso-height-relative:page;" fillcolor="#F3F3F4" filled="t" stroked="f" coordsize="21600,21600">
            <v:path/>
            <v:fill on="t" focussize="0,0"/>
            <v:stroke on="f" joinstyle="miter"/>
            <v:imagedata o:title=""/>
            <o:lock v:ext="edit"/>
            <v:textbox inset="0mm,0mm,0mm,0mm">
              <w:txbxContent>
                <w:p w14:paraId="1A88B9C7">
                  <w:pPr>
                    <w:spacing w:line="0" w:lineRule="atLeast"/>
                    <w:rPr>
                      <w:rFonts w:ascii="Times New Roman" w:hAnsi="Times New Roman" w:cs="Times New Roman"/>
                      <w:sz w:val="11"/>
                      <w:szCs w:val="11"/>
                    </w:rPr>
                  </w:pPr>
                  <w:r>
                    <w:rPr>
                      <w:rFonts w:ascii="Times New Roman" w:hAnsi="Times New Roman" w:cs="Times New Roman"/>
                      <w:sz w:val="11"/>
                      <w:szCs w:val="11"/>
                    </w:rPr>
                    <w:t>3.Pre-RFD分配和审查完整性</w:t>
                  </w:r>
                </w:p>
              </w:txbxContent>
            </v:textbox>
          </v:shape>
        </w:pict>
      </w:r>
      <w:r>
        <w:rPr>
          <w:rFonts w:ascii="Times New Roman" w:hAnsi="Times New Roman" w:cs="Times New Roman"/>
          <w:szCs w:val="15"/>
        </w:rPr>
        <w:pict>
          <v:shape id="_x0000_s2061" o:spid="_x0000_s2061" o:spt="202" type="#_x0000_t202" style="position:absolute;left:0pt;margin-left:162.5pt;margin-top:87pt;height:60.6pt;width:42.4pt;z-index:251670528;mso-width-relative:page;mso-height-relative:page;" fillcolor="#F3F3F4" filled="t" stroked="f" coordsize="21600,21600">
            <v:path/>
            <v:fill on="t" focussize="0,0"/>
            <v:stroke on="f" joinstyle="miter"/>
            <v:imagedata o:title=""/>
            <o:lock v:ext="edit"/>
            <v:textbox inset="0mm,0mm,0mm,0mm">
              <w:txbxContent>
                <w:p w14:paraId="193A075C">
                  <w:pPr>
                    <w:spacing w:line="0" w:lineRule="atLeast"/>
                    <w:rPr>
                      <w:rFonts w:ascii="Times New Roman" w:hAnsi="Times New Roman" w:cs="Times New Roman"/>
                      <w:sz w:val="11"/>
                      <w:szCs w:val="11"/>
                    </w:rPr>
                  </w:pPr>
                  <w:r>
                    <w:rPr>
                      <w:rFonts w:ascii="Times New Roman" w:hAnsi="Times New Roman" w:cs="Times New Roman"/>
                      <w:sz w:val="11"/>
                      <w:szCs w:val="11"/>
                    </w:rPr>
                    <w:t xml:space="preserve">6.组合产品办公室（OCP）检查潜在的法律问题，完成初始的科学评估，并分发给中心进行审查 </w:t>
                  </w:r>
                </w:p>
              </w:txbxContent>
            </v:textbox>
          </v:shape>
        </w:pict>
      </w:r>
      <w:r>
        <w:rPr>
          <w:rFonts w:ascii="Times New Roman" w:hAnsi="Times New Roman" w:cs="Times New Roman"/>
          <w:szCs w:val="15"/>
        </w:rPr>
        <w:pict>
          <v:shape id="_x0000_s2073" o:spid="_x0000_s2073" o:spt="202" type="#_x0000_t202" style="position:absolute;left:0pt;margin-left:5.7pt;margin-top:193.2pt;height:27.6pt;width:5.4pt;z-index:251681792;mso-width-relative:page;mso-height-relative:page;" fillcolor="#EBF7FE" filled="t" stroked="f" coordsize="21600,21600">
            <v:path/>
            <v:fill on="t" focussize="0,0"/>
            <v:stroke on="f" joinstyle="miter"/>
            <v:imagedata o:title=""/>
            <o:lock v:ext="edit"/>
            <v:textbox inset="0mm,0mm,0mm,0mm" style="layout-flow:vertical;mso-layout-flow-alt:bottom-to-top;">
              <w:txbxContent>
                <w:p w14:paraId="400ADE93">
                  <w:pPr>
                    <w:spacing w:line="0" w:lineRule="atLeast"/>
                    <w:jc w:val="center"/>
                    <w:rPr>
                      <w:rFonts w:ascii="Times New Roman" w:hAnsi="Times New Roman" w:cs="Times New Roman"/>
                      <w:sz w:val="10"/>
                      <w:szCs w:val="10"/>
                    </w:rPr>
                  </w:pPr>
                  <w:r>
                    <w:rPr>
                      <w:rFonts w:ascii="Times New Roman" w:hAnsi="Times New Roman" w:cs="Times New Roman"/>
                      <w:sz w:val="10"/>
                      <w:szCs w:val="10"/>
                    </w:rPr>
                    <w:t>中心</w:t>
                  </w:r>
                </w:p>
              </w:txbxContent>
            </v:textbox>
          </v:shape>
        </w:pict>
      </w:r>
      <w:r>
        <w:rPr>
          <w:rFonts w:ascii="Times New Roman" w:hAnsi="Times New Roman" w:cs="Times New Roman"/>
          <w:szCs w:val="15"/>
        </w:rPr>
        <w:pict>
          <v:shape id="_x0000_s2074" o:spid="_x0000_s2074" o:spt="202" type="#_x0000_t202" style="position:absolute;left:0pt;margin-left:5.7pt;margin-top:122.4pt;height:21pt;width:5.4pt;z-index:251682816;mso-width-relative:page;mso-height-relative:page;" fillcolor="#EBF7FE" filled="t" stroked="f" coordsize="21600,21600">
            <v:path/>
            <v:fill on="t" focussize="0,0"/>
            <v:stroke on="f" joinstyle="miter"/>
            <v:imagedata o:title=""/>
            <o:lock v:ext="edit"/>
            <v:textbox inset="0mm,0mm,0mm,0mm" style="layout-flow:vertical;mso-layout-flow-alt:bottom-to-top;">
              <w:txbxContent>
                <w:p w14:paraId="122F02E0">
                  <w:pPr>
                    <w:spacing w:line="0" w:lineRule="atLeast"/>
                    <w:jc w:val="center"/>
                    <w:rPr>
                      <w:rFonts w:ascii="Times New Roman" w:hAnsi="Times New Roman" w:cs="Times New Roman"/>
                      <w:sz w:val="10"/>
                      <w:szCs w:val="10"/>
                    </w:rPr>
                  </w:pPr>
                  <w:r>
                    <w:rPr>
                      <w:rFonts w:ascii="Times New Roman" w:hAnsi="Times New Roman" w:cs="Times New Roman"/>
                      <w:sz w:val="10"/>
                      <w:szCs w:val="10"/>
                    </w:rPr>
                    <w:t>OCP</w:t>
                  </w:r>
                </w:p>
              </w:txbxContent>
            </v:textbox>
          </v:shape>
        </w:pict>
      </w:r>
      <w:r>
        <w:rPr>
          <w:rFonts w:ascii="Times New Roman" w:hAnsi="Times New Roman" w:cs="Times New Roman"/>
          <w:szCs w:val="15"/>
        </w:rPr>
        <w:pict>
          <v:shape id="_x0000_s2075" o:spid="_x0000_s2075" o:spt="202" type="#_x0000_t202" style="position:absolute;left:0pt;margin-left:5.7pt;margin-top:39pt;height:27.6pt;width:5.4pt;z-index:251683840;mso-width-relative:page;mso-height-relative:page;" fillcolor="#EBF7FE" filled="t" stroked="f" coordsize="21600,21600">
            <v:path/>
            <v:fill on="t" focussize="0,0"/>
            <v:stroke on="f" joinstyle="miter"/>
            <v:imagedata o:title=""/>
            <o:lock v:ext="edit"/>
            <v:textbox inset="0mm,0mm,0mm,0mm" style="layout-flow:vertical;mso-layout-flow-alt:bottom-to-top;">
              <w:txbxContent>
                <w:p w14:paraId="5254446B">
                  <w:pPr>
                    <w:spacing w:line="0" w:lineRule="atLeast"/>
                    <w:jc w:val="center"/>
                    <w:rPr>
                      <w:rFonts w:ascii="Times New Roman" w:hAnsi="Times New Roman" w:cs="Times New Roman"/>
                      <w:sz w:val="10"/>
                      <w:szCs w:val="10"/>
                    </w:rPr>
                  </w:pPr>
                  <w:r>
                    <w:rPr>
                      <w:rFonts w:ascii="Times New Roman" w:hAnsi="Times New Roman" w:cs="Times New Roman"/>
                      <w:sz w:val="10"/>
                      <w:szCs w:val="10"/>
                    </w:rPr>
                    <w:t>申办者</w:t>
                  </w:r>
                </w:p>
              </w:txbxContent>
            </v:textbox>
          </v:shape>
        </w:pict>
      </w:r>
      <w:r>
        <w:rPr>
          <w:rFonts w:ascii="Times New Roman" w:hAnsi="Times New Roman" w:cs="Times New Roman"/>
          <w:szCs w:val="15"/>
        </w:rPr>
        <w:pict>
          <v:shape id="_x0000_s2069" o:spid="_x0000_s2069" o:spt="202" type="#_x0000_t202" style="position:absolute;left:0pt;margin-left:5.7pt;margin-top:250.2pt;height:10.8pt;width:5.4pt;z-index:251678720;mso-width-relative:page;mso-height-relative:page;" fillcolor="#EBF7FE" filled="t" stroked="f" coordsize="21600,21600">
            <v:path/>
            <v:fill on="t" focussize="0,0"/>
            <v:stroke on="f" joinstyle="miter"/>
            <v:imagedata o:title=""/>
            <o:lock v:ext="edit"/>
            <v:textbox inset="0mm,0mm,0mm,0mm" style="layout-flow:vertical;mso-layout-flow-alt:bottom-to-top;">
              <w:txbxContent>
                <w:p w14:paraId="5627C36C">
                  <w:pPr>
                    <w:spacing w:line="0" w:lineRule="atLeast"/>
                    <w:jc w:val="center"/>
                    <w:rPr>
                      <w:rFonts w:ascii="Times New Roman" w:hAnsi="Times New Roman" w:cs="Times New Roman"/>
                      <w:sz w:val="10"/>
                      <w:szCs w:val="10"/>
                    </w:rPr>
                  </w:pPr>
                  <w:r>
                    <w:rPr>
                      <w:rFonts w:ascii="Times New Roman" w:hAnsi="Times New Roman" w:cs="Times New Roman"/>
                      <w:sz w:val="10"/>
                      <w:szCs w:val="10"/>
                    </w:rPr>
                    <w:t>OCC</w:t>
                  </w:r>
                </w:p>
              </w:txbxContent>
            </v:textbox>
          </v:shape>
        </w:pict>
      </w:r>
      <w:r>
        <w:rPr>
          <w:rFonts w:ascii="Times New Roman" w:hAnsi="Times New Roman" w:cs="Times New Roman"/>
          <w:szCs w:val="15"/>
        </w:rPr>
        <w:pict>
          <v:shape id="_x0000_s2071" o:spid="_x0000_s2071" o:spt="202" type="#_x0000_t202" style="position:absolute;left:0pt;margin-left:77.7pt;margin-top:106.2pt;height:7.8pt;width:57.6pt;z-index:251680768;mso-width-relative:page;mso-height-relative:page;" stroked="f" coordsize="21600,21600">
            <v:path/>
            <v:fill focussize="0,0"/>
            <v:stroke on="f" joinstyle="miter"/>
            <v:imagedata o:title=""/>
            <o:lock v:ext="edit"/>
            <v:textbox inset="0mm,0mm,0mm,0mm">
              <w:txbxContent>
                <w:p w14:paraId="4559D9F3">
                  <w:pPr>
                    <w:spacing w:line="0" w:lineRule="atLeast"/>
                    <w:jc w:val="center"/>
                    <w:rPr>
                      <w:rFonts w:ascii="Times New Roman" w:hAnsi="Times New Roman" w:cs="Times New Roman"/>
                      <w:sz w:val="10"/>
                      <w:szCs w:val="10"/>
                    </w:rPr>
                  </w:pPr>
                  <w:r>
                    <w:rPr>
                      <w:rFonts w:ascii="Times New Roman" w:hAnsi="Times New Roman" w:cs="Times New Roman"/>
                      <w:sz w:val="10"/>
                      <w:szCs w:val="10"/>
                    </w:rPr>
                    <w:t>不完全</w:t>
                  </w:r>
                </w:p>
              </w:txbxContent>
            </v:textbox>
          </v:shape>
        </w:pict>
      </w:r>
      <w:r>
        <w:rPr>
          <w:rFonts w:ascii="Times New Roman" w:hAnsi="Times New Roman" w:cs="Times New Roman"/>
          <w:szCs w:val="15"/>
        </w:rPr>
        <w:pict>
          <v:shape id="_x0000_s2070" o:spid="_x0000_s2070" o:spt="202" type="#_x0000_t202" style="position:absolute;left:0pt;margin-left:77.7pt;margin-top:147.6pt;height:7.8pt;width:57.6pt;z-index:251679744;mso-width-relative:page;mso-height-relative:page;" stroked="f" coordsize="21600,21600">
            <v:path/>
            <v:fill focussize="0,0"/>
            <v:stroke on="f" joinstyle="miter"/>
            <v:imagedata o:title=""/>
            <o:lock v:ext="edit"/>
            <v:textbox inset="0mm,0mm,0mm,0mm">
              <w:txbxContent>
                <w:p w14:paraId="797F4035">
                  <w:pPr>
                    <w:spacing w:line="0" w:lineRule="atLeast"/>
                    <w:jc w:val="center"/>
                    <w:rPr>
                      <w:rFonts w:ascii="Times New Roman" w:hAnsi="Times New Roman" w:cs="Times New Roman"/>
                      <w:sz w:val="10"/>
                      <w:szCs w:val="10"/>
                    </w:rPr>
                  </w:pPr>
                  <w:r>
                    <w:rPr>
                      <w:rFonts w:ascii="Times New Roman" w:hAnsi="Times New Roman" w:cs="Times New Roman"/>
                      <w:sz w:val="10"/>
                      <w:szCs w:val="10"/>
                    </w:rPr>
                    <w:t>完成</w:t>
                  </w:r>
                </w:p>
              </w:txbxContent>
            </v:textbox>
          </v:shape>
        </w:pict>
      </w:r>
      <w:r>
        <w:rPr>
          <w:rFonts w:ascii="Times New Roman" w:hAnsi="Times New Roman" w:cs="Times New Roman"/>
          <w:szCs w:val="15"/>
        </w:rPr>
        <w:pict>
          <v:shape id="_x0000_s2067" o:spid="_x0000_s2067" o:spt="202" type="#_x0000_t202" style="position:absolute;left:0pt;margin-left:422.7pt;margin-top:96pt;height:54.6pt;width:48.6pt;z-index:251676672;mso-width-relative:page;mso-height-relative:page;" fillcolor="#F3F3F4" filled="t" stroked="f" coordsize="21600,21600">
            <v:path/>
            <v:fill on="t" focussize="0,0"/>
            <v:stroke on="f" joinstyle="miter"/>
            <v:imagedata o:title=""/>
            <o:lock v:ext="edit"/>
            <v:textbox inset="0mm,0mm,0mm,0mm">
              <w:txbxContent>
                <w:p w14:paraId="25559F7E">
                  <w:pPr>
                    <w:spacing w:line="0" w:lineRule="atLeast"/>
                    <w:rPr>
                      <w:rFonts w:ascii="Times New Roman" w:hAnsi="Times New Roman" w:cs="Times New Roman"/>
                      <w:sz w:val="11"/>
                      <w:szCs w:val="11"/>
                    </w:rPr>
                  </w:pPr>
                  <w:r>
                    <w:rPr>
                      <w:rFonts w:ascii="Times New Roman" w:hAnsi="Times New Roman" w:cs="Times New Roman"/>
                      <w:sz w:val="11"/>
                      <w:szCs w:val="11"/>
                    </w:rPr>
                    <w:t>12.OCP关闭Pre-RFD</w:t>
                  </w:r>
                </w:p>
                <w:p w14:paraId="60D4740C">
                  <w:pPr>
                    <w:spacing w:line="0" w:lineRule="atLeast"/>
                    <w:ind w:left="156" w:hanging="156" w:hangingChars="142"/>
                    <w:rPr>
                      <w:rFonts w:ascii="Times New Roman" w:hAnsi="Times New Roman" w:cs="Times New Roman"/>
                      <w:sz w:val="11"/>
                      <w:szCs w:val="11"/>
                    </w:rPr>
                  </w:pPr>
                  <w:r>
                    <w:rPr>
                      <w:rFonts w:ascii="Times New Roman" w:hAnsi="Times New Roman" w:cs="Times New Roman"/>
                      <w:sz w:val="11"/>
                      <w:szCs w:val="11"/>
                    </w:rPr>
                    <w:t>•</w:t>
                  </w:r>
                  <w:r>
                    <w:rPr>
                      <w:rFonts w:ascii="Times New Roman" w:hAnsi="Times New Roman" w:cs="Times New Roman"/>
                      <w:sz w:val="11"/>
                      <w:szCs w:val="11"/>
                    </w:rPr>
                    <w:tab/>
                  </w:r>
                  <w:r>
                    <w:rPr>
                      <w:rFonts w:ascii="Times New Roman" w:hAnsi="Times New Roman" w:cs="Times New Roman"/>
                      <w:sz w:val="11"/>
                      <w:szCs w:val="11"/>
                    </w:rPr>
                    <w:t>与申办者沟通</w:t>
                  </w:r>
                </w:p>
                <w:p w14:paraId="5174D0F1">
                  <w:pPr>
                    <w:spacing w:line="0" w:lineRule="atLeast"/>
                    <w:ind w:left="156" w:hanging="156" w:hangingChars="142"/>
                    <w:rPr>
                      <w:rFonts w:ascii="Times New Roman" w:hAnsi="Times New Roman" w:cs="Times New Roman"/>
                      <w:sz w:val="11"/>
                      <w:szCs w:val="11"/>
                    </w:rPr>
                  </w:pPr>
                  <w:r>
                    <w:rPr>
                      <w:rFonts w:ascii="Times New Roman" w:hAnsi="Times New Roman" w:cs="Times New Roman"/>
                      <w:sz w:val="11"/>
                      <w:szCs w:val="11"/>
                    </w:rPr>
                    <w:t>•</w:t>
                  </w:r>
                  <w:r>
                    <w:rPr>
                      <w:rFonts w:ascii="Times New Roman" w:hAnsi="Times New Roman" w:cs="Times New Roman"/>
                      <w:sz w:val="11"/>
                      <w:szCs w:val="11"/>
                    </w:rPr>
                    <w:tab/>
                  </w:r>
                  <w:r>
                    <w:rPr>
                      <w:rFonts w:ascii="Times New Roman" w:hAnsi="Times New Roman" w:cs="Times New Roman"/>
                      <w:sz w:val="11"/>
                      <w:szCs w:val="11"/>
                    </w:rPr>
                    <w:t>对中心的回复</w:t>
                  </w:r>
                </w:p>
                <w:p w14:paraId="09808C90">
                  <w:pPr>
                    <w:spacing w:line="0" w:lineRule="atLeast"/>
                    <w:ind w:left="156" w:hanging="156" w:hangingChars="142"/>
                    <w:rPr>
                      <w:rFonts w:ascii="Times New Roman" w:hAnsi="Times New Roman" w:cs="Times New Roman"/>
                      <w:sz w:val="11"/>
                      <w:szCs w:val="11"/>
                    </w:rPr>
                  </w:pPr>
                  <w:r>
                    <w:rPr>
                      <w:rFonts w:ascii="Times New Roman" w:hAnsi="Times New Roman" w:cs="Times New Roman"/>
                      <w:sz w:val="11"/>
                      <w:szCs w:val="11"/>
                    </w:rPr>
                    <w:t>•</w:t>
                  </w:r>
                  <w:r>
                    <w:rPr>
                      <w:rFonts w:ascii="Times New Roman" w:hAnsi="Times New Roman" w:cs="Times New Roman"/>
                      <w:sz w:val="11"/>
                      <w:szCs w:val="11"/>
                    </w:rPr>
                    <w:tab/>
                  </w:r>
                  <w:r>
                    <w:rPr>
                      <w:rFonts w:ascii="Times New Roman" w:hAnsi="Times New Roman" w:cs="Times New Roman"/>
                      <w:sz w:val="11"/>
                      <w:szCs w:val="11"/>
                    </w:rPr>
                    <w:t>存档文件</w:t>
                  </w:r>
                </w:p>
              </w:txbxContent>
            </v:textbox>
          </v:shape>
        </w:pict>
      </w:r>
      <w:r>
        <w:rPr>
          <w:rFonts w:ascii="Times New Roman" w:hAnsi="Times New Roman" w:cs="Times New Roman"/>
          <w:szCs w:val="15"/>
        </w:rPr>
        <w:pict>
          <v:shape id="_x0000_s2066" o:spid="_x0000_s2066" o:spt="202" type="#_x0000_t202" style="position:absolute;left:0pt;margin-left:351.3pt;margin-top:96pt;height:76.2pt;width:48.6pt;z-index:251675648;mso-width-relative:page;mso-height-relative:page;" fillcolor="#F3F3F4" filled="t" stroked="f" coordsize="21600,21600">
            <v:path/>
            <v:fill on="t" focussize="0,0"/>
            <v:stroke on="f" joinstyle="miter"/>
            <v:imagedata o:title=""/>
            <o:lock v:ext="edit"/>
            <v:textbox inset="0mm,0mm,0mm,0mm">
              <w:txbxContent>
                <w:p w14:paraId="604A38D8">
                  <w:pPr>
                    <w:spacing w:line="0" w:lineRule="atLeast"/>
                    <w:rPr>
                      <w:rFonts w:ascii="Times New Roman" w:hAnsi="Times New Roman" w:cs="Times New Roman"/>
                      <w:sz w:val="11"/>
                      <w:szCs w:val="11"/>
                    </w:rPr>
                  </w:pPr>
                  <w:r>
                    <w:rPr>
                      <w:rFonts w:ascii="Times New Roman" w:hAnsi="Times New Roman" w:cs="Times New Roman"/>
                      <w:sz w:val="11"/>
                      <w:szCs w:val="11"/>
                    </w:rPr>
                    <w:t>10.OCP</w:t>
                  </w:r>
                </w:p>
                <w:p w14:paraId="1A739E8C">
                  <w:pPr>
                    <w:spacing w:line="0" w:lineRule="atLeast"/>
                    <w:ind w:left="156" w:hanging="156" w:hangingChars="142"/>
                    <w:rPr>
                      <w:rFonts w:ascii="Times New Roman" w:hAnsi="Times New Roman" w:cs="Times New Roman"/>
                      <w:sz w:val="11"/>
                      <w:szCs w:val="11"/>
                    </w:rPr>
                  </w:pPr>
                  <w:r>
                    <w:rPr>
                      <w:rFonts w:ascii="Times New Roman" w:hAnsi="Times New Roman" w:cs="Times New Roman"/>
                      <w:sz w:val="11"/>
                      <w:szCs w:val="11"/>
                    </w:rPr>
                    <w:t>•</w:t>
                  </w:r>
                  <w:r>
                    <w:rPr>
                      <w:rFonts w:ascii="Times New Roman" w:hAnsi="Times New Roman" w:cs="Times New Roman"/>
                      <w:sz w:val="11"/>
                      <w:szCs w:val="11"/>
                    </w:rPr>
                    <w:tab/>
                  </w:r>
                  <w:r>
                    <w:rPr>
                      <w:rFonts w:ascii="Times New Roman" w:hAnsi="Times New Roman" w:cs="Times New Roman"/>
                      <w:sz w:val="11"/>
                      <w:szCs w:val="11"/>
                    </w:rPr>
                    <w:t>审查中心的评估</w:t>
                  </w:r>
                </w:p>
                <w:p w14:paraId="60961FCC">
                  <w:pPr>
                    <w:spacing w:line="0" w:lineRule="atLeast"/>
                    <w:ind w:left="156" w:hanging="156" w:hangingChars="142"/>
                    <w:rPr>
                      <w:rFonts w:ascii="Times New Roman" w:hAnsi="Times New Roman" w:cs="Times New Roman"/>
                      <w:sz w:val="11"/>
                      <w:szCs w:val="11"/>
                    </w:rPr>
                  </w:pPr>
                  <w:r>
                    <w:rPr>
                      <w:rFonts w:ascii="Times New Roman" w:hAnsi="Times New Roman" w:cs="Times New Roman"/>
                      <w:sz w:val="11"/>
                      <w:szCs w:val="11"/>
                    </w:rPr>
                    <w:t>•</w:t>
                  </w:r>
                  <w:r>
                    <w:rPr>
                      <w:rFonts w:ascii="Times New Roman" w:hAnsi="Times New Roman" w:cs="Times New Roman"/>
                      <w:sz w:val="11"/>
                      <w:szCs w:val="11"/>
                    </w:rPr>
                    <w:tab/>
                  </w:r>
                  <w:r>
                    <w:rPr>
                      <w:rFonts w:hint="eastAsia" w:ascii="Times New Roman" w:hAnsi="Times New Roman" w:cs="Times New Roman"/>
                      <w:sz w:val="11"/>
                      <w:szCs w:val="11"/>
                    </w:rPr>
                    <w:t>起草</w:t>
                  </w:r>
                  <w:r>
                    <w:rPr>
                      <w:rFonts w:ascii="Times New Roman" w:hAnsi="Times New Roman" w:cs="Times New Roman"/>
                      <w:sz w:val="11"/>
                      <w:szCs w:val="11"/>
                    </w:rPr>
                    <w:t>对申办者的回复</w:t>
                  </w:r>
                </w:p>
                <w:p w14:paraId="7A4EC520">
                  <w:pPr>
                    <w:spacing w:line="0" w:lineRule="atLeast"/>
                    <w:ind w:left="156" w:hanging="156" w:hangingChars="142"/>
                    <w:rPr>
                      <w:rFonts w:ascii="Times New Roman" w:hAnsi="Times New Roman" w:cs="Times New Roman"/>
                      <w:sz w:val="11"/>
                      <w:szCs w:val="11"/>
                    </w:rPr>
                  </w:pPr>
                  <w:r>
                    <w:rPr>
                      <w:rFonts w:ascii="Times New Roman" w:hAnsi="Times New Roman" w:cs="Times New Roman"/>
                      <w:sz w:val="11"/>
                      <w:szCs w:val="11"/>
                    </w:rPr>
                    <w:t>•</w:t>
                  </w:r>
                  <w:r>
                    <w:rPr>
                      <w:rFonts w:ascii="Times New Roman" w:hAnsi="Times New Roman" w:cs="Times New Roman"/>
                      <w:sz w:val="11"/>
                      <w:szCs w:val="11"/>
                    </w:rPr>
                    <w:tab/>
                  </w:r>
                  <w:r>
                    <w:rPr>
                      <w:rFonts w:ascii="Times New Roman" w:hAnsi="Times New Roman" w:cs="Times New Roman"/>
                      <w:sz w:val="11"/>
                      <w:szCs w:val="11"/>
                    </w:rPr>
                    <w:t>文件</w:t>
                  </w:r>
                  <w:r>
                    <w:rPr>
                      <w:rFonts w:hint="eastAsia" w:ascii="Times New Roman" w:hAnsi="Times New Roman" w:cs="Times New Roman"/>
                      <w:sz w:val="11"/>
                      <w:szCs w:val="11"/>
                    </w:rPr>
                    <w:t>化</w:t>
                  </w:r>
                  <w:r>
                    <w:rPr>
                      <w:rFonts w:ascii="Times New Roman" w:hAnsi="Times New Roman" w:cs="Times New Roman"/>
                      <w:sz w:val="11"/>
                      <w:szCs w:val="11"/>
                    </w:rPr>
                    <w:t>和批准最终评估</w:t>
                  </w:r>
                </w:p>
                <w:p w14:paraId="3AED4BAB">
                  <w:pPr>
                    <w:spacing w:line="0" w:lineRule="atLeast"/>
                    <w:ind w:left="156" w:hanging="156" w:hangingChars="142"/>
                    <w:rPr>
                      <w:rFonts w:ascii="Times New Roman" w:hAnsi="Times New Roman" w:cs="Times New Roman"/>
                      <w:sz w:val="11"/>
                      <w:szCs w:val="11"/>
                    </w:rPr>
                  </w:pPr>
                  <w:r>
                    <w:rPr>
                      <w:rFonts w:ascii="Times New Roman" w:hAnsi="Times New Roman" w:cs="Times New Roman"/>
                      <w:sz w:val="11"/>
                      <w:szCs w:val="11"/>
                    </w:rPr>
                    <w:t>•</w:t>
                  </w:r>
                  <w:r>
                    <w:rPr>
                      <w:rFonts w:ascii="Times New Roman" w:hAnsi="Times New Roman" w:cs="Times New Roman"/>
                      <w:sz w:val="11"/>
                      <w:szCs w:val="11"/>
                    </w:rPr>
                    <w:tab/>
                  </w:r>
                  <w:r>
                    <w:rPr>
                      <w:rFonts w:ascii="Times New Roman" w:hAnsi="Times New Roman" w:cs="Times New Roman"/>
                      <w:sz w:val="11"/>
                      <w:szCs w:val="11"/>
                    </w:rPr>
                    <w:t>检查OCC的法律问题（如需）</w:t>
                  </w:r>
                </w:p>
              </w:txbxContent>
            </v:textbox>
          </v:shape>
        </w:pict>
      </w:r>
      <w:r>
        <w:rPr>
          <w:rFonts w:ascii="Times New Roman" w:hAnsi="Times New Roman" w:cs="Times New Roman"/>
          <w:szCs w:val="15"/>
        </w:rPr>
        <w:pict>
          <v:shape id="_x0000_s2063" o:spid="_x0000_s2063" o:spt="202" type="#_x0000_t202" style="position:absolute;left:0pt;margin-left:228.3pt;margin-top:189.6pt;height:35.4pt;width:50.4pt;z-index:251672576;mso-width-relative:page;mso-height-relative:page;" fillcolor="#F3F3F4" filled="t" stroked="f" coordsize="21600,21600">
            <v:path/>
            <v:fill on="t" focussize="0,0"/>
            <v:stroke on="f" joinstyle="miter"/>
            <v:imagedata o:title=""/>
            <o:lock v:ext="edit"/>
            <v:textbox inset="0mm,0mm,0mm,0mm">
              <w:txbxContent>
                <w:p w14:paraId="18EFFA1C">
                  <w:pPr>
                    <w:spacing w:line="0" w:lineRule="atLeast"/>
                    <w:rPr>
                      <w:rFonts w:ascii="Times New Roman" w:hAnsi="Times New Roman" w:cs="Times New Roman"/>
                      <w:sz w:val="11"/>
                      <w:szCs w:val="11"/>
                    </w:rPr>
                  </w:pPr>
                  <w:r>
                    <w:rPr>
                      <w:rFonts w:ascii="Times New Roman" w:hAnsi="Times New Roman" w:cs="Times New Roman"/>
                      <w:sz w:val="11"/>
                      <w:szCs w:val="11"/>
                    </w:rPr>
                    <w:t>8.中心收到审查请求、完成评估并将评估返回给OCP</w:t>
                  </w:r>
                </w:p>
              </w:txbxContent>
            </v:textbox>
          </v:shape>
        </w:pict>
      </w:r>
      <w:r>
        <w:rPr>
          <w:rFonts w:ascii="Times New Roman" w:hAnsi="Times New Roman" w:cs="Times New Roman"/>
          <w:szCs w:val="15"/>
        </w:rPr>
        <w:pict>
          <v:shape id="_x0000_s2062" o:spid="_x0000_s2062" o:spt="202" type="#_x0000_t202" style="position:absolute;left:0pt;margin-left:63.3pt;margin-top:164.4pt;height:15.6pt;width:82.2pt;z-index:251671552;mso-width-relative:page;mso-height-relative:page;" fillcolor="#F3F3F4" filled="t" stroked="f" coordsize="21600,21600">
            <v:path/>
            <v:fill on="t" focussize="0,0"/>
            <v:stroke on="f" joinstyle="miter"/>
            <v:imagedata o:title=""/>
            <o:lock v:ext="edit"/>
            <v:textbox inset="0mm,0mm,0mm,0mm">
              <w:txbxContent>
                <w:p w14:paraId="39AE5CAF">
                  <w:pPr>
                    <w:spacing w:line="0" w:lineRule="atLeast"/>
                    <w:rPr>
                      <w:rFonts w:ascii="Times New Roman" w:hAnsi="Times New Roman" w:cs="Times New Roman"/>
                      <w:sz w:val="11"/>
                      <w:szCs w:val="11"/>
                    </w:rPr>
                  </w:pPr>
                  <w:r>
                    <w:rPr>
                      <w:rFonts w:ascii="Times New Roman" w:hAnsi="Times New Roman" w:cs="Times New Roman"/>
                      <w:sz w:val="11"/>
                      <w:szCs w:val="11"/>
                    </w:rPr>
                    <w:t>4a.OCP向申办者发送电子邮件以示审查开始</w:t>
                  </w:r>
                </w:p>
              </w:txbxContent>
            </v:textbox>
          </v:shape>
        </w:pict>
      </w:r>
      <w:r>
        <w:rPr>
          <w:rFonts w:ascii="Times New Roman" w:hAnsi="Times New Roman" w:cs="Times New Roman"/>
          <w:szCs w:val="15"/>
        </w:rPr>
        <w:pict>
          <v:shape id="_x0000_s2060" o:spid="_x0000_s2060" o:spt="202" type="#_x0000_t202" style="position:absolute;left:0pt;margin-left:70.5pt;margin-top:82.2pt;height:15.6pt;width:67.2pt;z-index:251669504;mso-width-relative:page;mso-height-relative:page;" fillcolor="#F3F3F4" filled="t" stroked="f" coordsize="21600,21600">
            <v:path/>
            <v:fill on="t" focussize="0,0"/>
            <v:stroke on="f" joinstyle="miter"/>
            <v:imagedata o:title=""/>
            <o:lock v:ext="edit"/>
            <v:textbox inset="0mm,0mm,0mm,0mm">
              <w:txbxContent>
                <w:p w14:paraId="69CDFB64">
                  <w:pPr>
                    <w:spacing w:line="0" w:lineRule="atLeast"/>
                    <w:rPr>
                      <w:rFonts w:ascii="Times New Roman" w:hAnsi="Times New Roman" w:cs="Times New Roman"/>
                      <w:sz w:val="11"/>
                      <w:szCs w:val="11"/>
                    </w:rPr>
                  </w:pPr>
                  <w:r>
                    <w:rPr>
                      <w:rFonts w:ascii="Times New Roman" w:hAnsi="Times New Roman" w:cs="Times New Roman"/>
                      <w:sz w:val="11"/>
                      <w:szCs w:val="11"/>
                    </w:rPr>
                    <w:t xml:space="preserve">4b.OCP向申办者发送详细的差距评估 </w:t>
                  </w:r>
                </w:p>
              </w:txbxContent>
            </v:textbox>
          </v:shape>
        </w:pict>
      </w:r>
      <w:r>
        <w:rPr>
          <w:rFonts w:ascii="Times New Roman" w:hAnsi="Times New Roman" w:cs="Times New Roman"/>
          <w:szCs w:val="15"/>
        </w:rPr>
        <w:pict>
          <v:shape id="_x0000_s2052" o:spid="_x0000_s2052" o:spt="202" type="#_x0000_t202" style="position:absolute;left:0pt;margin-left:21.3pt;margin-top:45.6pt;height:21pt;width:26.4pt;z-index:251661312;mso-width-relative:page;mso-height-relative:page;" fillcolor="#F3F3F4" filled="t" stroked="f" coordsize="21600,21600">
            <v:path/>
            <v:fill on="t" focussize="0,0"/>
            <v:stroke on="f" joinstyle="miter"/>
            <v:imagedata o:title=""/>
            <o:lock v:ext="edit"/>
            <v:textbox inset="0mm,0mm,0mm,0mm">
              <w:txbxContent>
                <w:p w14:paraId="00648FA4">
                  <w:pPr>
                    <w:spacing w:line="0" w:lineRule="atLeast"/>
                    <w:rPr>
                      <w:rFonts w:ascii="Times New Roman" w:hAnsi="Times New Roman" w:cs="Times New Roman"/>
                      <w:sz w:val="11"/>
                      <w:szCs w:val="11"/>
                    </w:rPr>
                  </w:pPr>
                  <w:r>
                    <w:rPr>
                      <w:rFonts w:ascii="Times New Roman" w:hAnsi="Times New Roman" w:cs="Times New Roman"/>
                      <w:sz w:val="11"/>
                      <w:szCs w:val="11"/>
                    </w:rPr>
                    <w:t>1.申办者启动Pre-RFD</w:t>
                  </w:r>
                </w:p>
              </w:txbxContent>
            </v:textbox>
          </v:shape>
        </w:pict>
      </w:r>
      <w:r>
        <w:rPr>
          <w:rFonts w:ascii="Times New Roman" w:hAnsi="Times New Roman" w:cs="Times New Roman"/>
          <w:szCs w:val="15"/>
        </w:rPr>
        <w:pict>
          <v:shape id="_x0000_s2053" o:spid="_x0000_s2053" o:spt="202" type="#_x0000_t202" style="position:absolute;left:0pt;margin-left:59.1pt;margin-top:17.4pt;height:12pt;width:90pt;z-index:251662336;mso-width-relative:page;mso-height-relative:page;" fillcolor="#FFFDE7" filled="t" stroked="f" coordsize="21600,21600">
            <v:path/>
            <v:fill on="t" focussize="0,0"/>
            <v:stroke on="f" joinstyle="miter"/>
            <v:imagedata o:title=""/>
            <o:lock v:ext="edit"/>
            <v:textbox inset="0mm,0mm,0mm,0mm">
              <w:txbxContent>
                <w:p w14:paraId="3E5D34BE">
                  <w:pPr>
                    <w:spacing w:line="0" w:lineRule="atLeast"/>
                    <w:jc w:val="center"/>
                    <w:rPr>
                      <w:rFonts w:ascii="Times New Roman" w:hAnsi="Times New Roman" w:cs="Times New Roman"/>
                      <w:sz w:val="11"/>
                      <w:szCs w:val="11"/>
                    </w:rPr>
                  </w:pPr>
                  <w:r>
                    <w:rPr>
                      <w:rFonts w:ascii="Times New Roman" w:hAnsi="Times New Roman" w:cs="Times New Roman"/>
                      <w:sz w:val="11"/>
                      <w:szCs w:val="11"/>
                    </w:rPr>
                    <w:t>Pre-RFD完整性评估</w:t>
                  </w:r>
                </w:p>
              </w:txbxContent>
            </v:textbox>
          </v:shape>
        </w:pict>
      </w:r>
      <w:r>
        <w:rPr>
          <w:rFonts w:ascii="Times New Roman" w:hAnsi="Times New Roman" w:cs="Times New Roman"/>
          <w:szCs w:val="15"/>
        </w:rPr>
        <w:pict>
          <v:shape id="_x0000_s2054" o:spid="_x0000_s2054" o:spt="202" type="#_x0000_t202" style="position:absolute;left:0pt;margin-left:154.5pt;margin-top:17.4pt;height:12pt;width:67.2pt;z-index:251663360;mso-width-relative:page;mso-height-relative:page;" fillcolor="#FFFDE7" filled="t" stroked="f" coordsize="21600,21600">
            <v:path/>
            <v:fill on="t" focussize="0,0"/>
            <v:stroke on="f" joinstyle="miter"/>
            <v:imagedata o:title=""/>
            <o:lock v:ext="edit"/>
            <v:textbox inset="0mm,0mm,0mm,0mm">
              <w:txbxContent>
                <w:p w14:paraId="2C39A19E">
                  <w:pPr>
                    <w:spacing w:line="0" w:lineRule="atLeast"/>
                    <w:jc w:val="center"/>
                    <w:rPr>
                      <w:rFonts w:ascii="Times New Roman" w:hAnsi="Times New Roman" w:cs="Times New Roman"/>
                      <w:sz w:val="11"/>
                      <w:szCs w:val="11"/>
                    </w:rPr>
                  </w:pPr>
                  <w:r>
                    <w:rPr>
                      <w:rFonts w:ascii="Times New Roman" w:hAnsi="Times New Roman" w:cs="Times New Roman"/>
                      <w:sz w:val="11"/>
                      <w:szCs w:val="11"/>
                    </w:rPr>
                    <w:t>OCP完成Pre-RFD初始科学评估</w:t>
                  </w:r>
                </w:p>
                <w:p w14:paraId="39F9EA03">
                  <w:pPr>
                    <w:spacing w:line="0" w:lineRule="atLeast"/>
                    <w:jc w:val="center"/>
                    <w:rPr>
                      <w:rFonts w:ascii="Times New Roman" w:hAnsi="Times New Roman" w:cs="Times New Roman"/>
                      <w:sz w:val="11"/>
                      <w:szCs w:val="11"/>
                    </w:rPr>
                  </w:pPr>
                </w:p>
              </w:txbxContent>
            </v:textbox>
          </v:shape>
        </w:pict>
      </w:r>
      <w:r>
        <w:rPr>
          <w:rFonts w:ascii="Times New Roman" w:hAnsi="Times New Roman" w:cs="Times New Roman"/>
          <w:szCs w:val="15"/>
        </w:rPr>
        <w:pict>
          <v:shape id="_x0000_s2055" o:spid="_x0000_s2055" o:spt="202" type="#_x0000_t202" style="position:absolute;left:0pt;margin-left:231.3pt;margin-top:17.4pt;height:12pt;width:47.4pt;z-index:251664384;mso-width-relative:page;mso-height-relative:page;" fillcolor="#FFFDE7" filled="t" stroked="f" coordsize="21600,21600">
            <v:path/>
            <v:fill on="t" focussize="0,0"/>
            <v:stroke on="f" joinstyle="miter"/>
            <v:imagedata o:title=""/>
            <o:lock v:ext="edit"/>
            <v:textbox inset="0mm,0mm,0mm,0mm">
              <w:txbxContent>
                <w:p w14:paraId="0681240A">
                  <w:pPr>
                    <w:spacing w:line="0" w:lineRule="atLeast"/>
                    <w:jc w:val="center"/>
                    <w:rPr>
                      <w:rFonts w:ascii="Times New Roman" w:hAnsi="Times New Roman" w:cs="Times New Roman"/>
                      <w:sz w:val="11"/>
                      <w:szCs w:val="11"/>
                    </w:rPr>
                  </w:pPr>
                  <w:r>
                    <w:rPr>
                      <w:rFonts w:ascii="Times New Roman" w:hAnsi="Times New Roman" w:cs="Times New Roman"/>
                      <w:sz w:val="11"/>
                      <w:szCs w:val="11"/>
                    </w:rPr>
                    <w:t>中心评估的Pre-RFD</w:t>
                  </w:r>
                </w:p>
                <w:p w14:paraId="235051D3">
                  <w:pPr>
                    <w:spacing w:line="0" w:lineRule="atLeast"/>
                    <w:jc w:val="center"/>
                    <w:rPr>
                      <w:rFonts w:ascii="Times New Roman" w:hAnsi="Times New Roman" w:cs="Times New Roman"/>
                      <w:sz w:val="11"/>
                      <w:szCs w:val="11"/>
                    </w:rPr>
                  </w:pPr>
                  <w:r>
                    <w:rPr>
                      <w:rFonts w:ascii="Times New Roman" w:hAnsi="Times New Roman" w:cs="Times New Roman"/>
                      <w:sz w:val="11"/>
                      <w:szCs w:val="11"/>
                    </w:rPr>
                    <w:t xml:space="preserve"> </w:t>
                  </w:r>
                </w:p>
              </w:txbxContent>
            </v:textbox>
          </v:shape>
        </w:pict>
      </w:r>
      <w:r>
        <w:rPr>
          <w:rFonts w:ascii="Times New Roman" w:hAnsi="Times New Roman" w:cs="Times New Roman"/>
          <w:szCs w:val="15"/>
        </w:rPr>
        <w:pict>
          <v:shape id="_x0000_s2057" o:spid="_x0000_s2057" o:spt="202" type="#_x0000_t202" style="position:absolute;left:0pt;margin-left:414.9pt;margin-top:17.4pt;height:10.8pt;width:61.8pt;z-index:251666432;mso-width-relative:page;mso-height-relative:page;" fillcolor="#FFFDE7" filled="t" stroked="f" coordsize="21600,21600">
            <v:path/>
            <v:fill on="t" focussize="0,0"/>
            <v:stroke on="f" joinstyle="miter"/>
            <v:imagedata o:title=""/>
            <o:lock v:ext="edit"/>
            <v:textbox inset="0mm,0mm,0mm,0mm">
              <w:txbxContent>
                <w:p w14:paraId="0795343A">
                  <w:pPr>
                    <w:spacing w:line="0" w:lineRule="atLeast"/>
                    <w:jc w:val="center"/>
                    <w:rPr>
                      <w:rFonts w:ascii="Times New Roman" w:hAnsi="Times New Roman" w:cs="Times New Roman"/>
                      <w:sz w:val="11"/>
                      <w:szCs w:val="11"/>
                    </w:rPr>
                  </w:pPr>
                  <w:r>
                    <w:rPr>
                      <w:rFonts w:ascii="Times New Roman" w:hAnsi="Times New Roman" w:cs="Times New Roman"/>
                      <w:sz w:val="11"/>
                      <w:szCs w:val="11"/>
                    </w:rPr>
                    <w:t>Pre-RFD收尾</w:t>
                  </w:r>
                </w:p>
              </w:txbxContent>
            </v:textbox>
          </v:shape>
        </w:pict>
      </w:r>
      <w:r>
        <w:rPr>
          <w:rFonts w:ascii="Times New Roman" w:hAnsi="Times New Roman" w:cs="Times New Roman"/>
          <w:szCs w:val="15"/>
        </w:rPr>
        <w:pict>
          <v:shape id="_x0000_s2056" o:spid="_x0000_s2056" o:spt="202" type="#_x0000_t202" style="position:absolute;left:0pt;margin-left:289.5pt;margin-top:17.4pt;height:10.8pt;width:120pt;z-index:251665408;mso-width-relative:page;mso-height-relative:page;" fillcolor="#FFFDE7" filled="t" stroked="f" coordsize="21600,21600">
            <v:path/>
            <v:fill on="t" focussize="0,0"/>
            <v:stroke on="f" joinstyle="miter"/>
            <v:imagedata o:title=""/>
            <o:lock v:ext="edit"/>
            <v:textbox inset="0mm,0mm,0mm,0mm">
              <w:txbxContent>
                <w:p w14:paraId="06D2EE54">
                  <w:pPr>
                    <w:spacing w:line="0" w:lineRule="atLeast"/>
                    <w:jc w:val="center"/>
                    <w:rPr>
                      <w:rFonts w:ascii="Times New Roman" w:hAnsi="Times New Roman" w:cs="Times New Roman"/>
                      <w:sz w:val="11"/>
                      <w:szCs w:val="11"/>
                    </w:rPr>
                  </w:pPr>
                  <w:r>
                    <w:rPr>
                      <w:rFonts w:ascii="Times New Roman" w:hAnsi="Times New Roman" w:cs="Times New Roman"/>
                      <w:sz w:val="11"/>
                      <w:szCs w:val="11"/>
                    </w:rPr>
                    <w:t>对其并最终确定Pre-RFD回复</w:t>
                  </w:r>
                </w:p>
              </w:txbxContent>
            </v:textbox>
          </v:shape>
        </w:pict>
      </w:r>
      <w:r>
        <w:rPr>
          <w:rFonts w:ascii="Times New Roman" w:hAnsi="Times New Roman" w:cs="Times New Roman"/>
          <w:szCs w:val="15"/>
        </w:rPr>
        <w:pict>
          <v:shape id="_x0000_s2051" o:spid="_x0000_s2051" o:spt="202" type="#_x0000_t202" style="position:absolute;left:0pt;margin-left:5.7pt;margin-top:17.4pt;height:10.8pt;width:47.4pt;z-index:251660288;mso-width-relative:page;mso-height-relative:page;" fillcolor="#FFFDE7" filled="t" stroked="f" coordsize="21600,21600">
            <v:path/>
            <v:fill on="t" focussize="0,0"/>
            <v:stroke on="f" joinstyle="miter"/>
            <v:imagedata o:title=""/>
            <o:lock v:ext="edit"/>
            <v:textbox inset="0mm,0mm,0mm,0mm">
              <w:txbxContent>
                <w:p w14:paraId="5A94270F">
                  <w:pPr>
                    <w:spacing w:line="0" w:lineRule="atLeast"/>
                    <w:jc w:val="center"/>
                    <w:rPr>
                      <w:rFonts w:ascii="Times New Roman" w:hAnsi="Times New Roman" w:cs="Times New Roman"/>
                      <w:sz w:val="11"/>
                      <w:szCs w:val="11"/>
                    </w:rPr>
                  </w:pPr>
                  <w:r>
                    <w:rPr>
                      <w:rFonts w:ascii="Times New Roman" w:hAnsi="Times New Roman" w:cs="Times New Roman"/>
                      <w:sz w:val="11"/>
                      <w:szCs w:val="11"/>
                    </w:rPr>
                    <w:t>Pre-RFD收据</w:t>
                  </w:r>
                </w:p>
              </w:txbxContent>
            </v:textbox>
          </v:shape>
        </w:pict>
      </w:r>
      <w:r>
        <w:rPr>
          <w:rFonts w:ascii="Times New Roman" w:hAnsi="Times New Roman" w:cs="Times New Roman"/>
          <w:szCs w:val="15"/>
        </w:rPr>
        <w:pict>
          <v:shape id="_x0000_s2050" o:spid="_x0000_s2050" o:spt="202" type="#_x0000_t202" style="position:absolute;left:0pt;margin-left:189.9pt;margin-top:5.4pt;height:7.65pt;width:99.6pt;z-index:251659264;mso-width-relative:page;mso-height-relative:page;" stroked="f" coordsize="21600,21600">
            <v:path/>
            <v:fill focussize="0,0"/>
            <v:stroke on="f" joinstyle="miter"/>
            <v:imagedata o:title=""/>
            <o:lock v:ext="edit"/>
            <v:textbox inset="0mm,0mm,0mm,0mm">
              <w:txbxContent>
                <w:p w14:paraId="48CE955E">
                  <w:pPr>
                    <w:spacing w:line="0" w:lineRule="atLeast"/>
                    <w:jc w:val="center"/>
                    <w:rPr>
                      <w:rFonts w:ascii="Times New Roman" w:hAnsi="Times New Roman" w:cs="Times New Roman"/>
                      <w:sz w:val="15"/>
                      <w:szCs w:val="15"/>
                    </w:rPr>
                  </w:pPr>
                  <w:r>
                    <w:rPr>
                      <w:rFonts w:ascii="Times New Roman" w:hAnsi="Times New Roman" w:cs="Times New Roman"/>
                      <w:sz w:val="15"/>
                      <w:szCs w:val="15"/>
                    </w:rPr>
                    <w:t>Pre-RFD流程</w:t>
                  </w:r>
                  <w:r>
                    <w:rPr>
                      <w:rFonts w:hint="eastAsia" w:ascii="Times New Roman" w:hAnsi="Times New Roman" w:cs="Times New Roman"/>
                      <w:sz w:val="15"/>
                      <w:szCs w:val="15"/>
                    </w:rPr>
                    <w:t>图</w:t>
                  </w:r>
                </w:p>
              </w:txbxContent>
            </v:textbox>
          </v:shape>
        </w:pict>
      </w:r>
      <w:r>
        <w:rPr>
          <w:rFonts w:ascii="Times New Roman" w:hAnsi="Times New Roman" w:cs="Times New Roman"/>
          <w:szCs w:val="15"/>
        </w:rPr>
        <w:drawing>
          <wp:inline distT="0" distB="0" distL="0" distR="0">
            <wp:extent cx="6120130" cy="35591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6120130" cy="3559462"/>
                    </a:xfrm>
                    <a:prstGeom prst="rect">
                      <a:avLst/>
                    </a:prstGeom>
                    <a:noFill/>
                    <a:ln w="9525">
                      <a:noFill/>
                      <a:miter lim="800000"/>
                      <a:headEnd/>
                      <a:tailEnd/>
                    </a:ln>
                  </pic:spPr>
                </pic:pic>
              </a:graphicData>
            </a:graphic>
          </wp:inline>
        </w:drawing>
      </w:r>
    </w:p>
    <w:p w14:paraId="593CE7F3">
      <w:pPr>
        <w:pBdr>
          <w:bottom w:val="single" w:color="auto" w:sz="2" w:space="1"/>
        </w:pBdr>
        <w:spacing w:before="156" w:beforeLines="50" w:after="156" w:afterLines="50"/>
        <w:jc w:val="center"/>
        <w:rPr>
          <w:rFonts w:hint="eastAsia" w:eastAsia="宋体"/>
          <w:lang w:eastAsia="zh-CN"/>
        </w:rPr>
      </w:pPr>
    </w:p>
    <w:p w14:paraId="087D01CE">
      <w:pPr>
        <w:pBdr>
          <w:bottom w:val="single" w:color="auto" w:sz="2" w:space="1"/>
        </w:pBdr>
        <w:spacing w:before="156" w:beforeLines="50" w:after="156" w:afterLines="50"/>
        <w:jc w:val="center"/>
        <w:rPr>
          <w:rFonts w:hint="eastAsia" w:eastAsia="宋体"/>
          <w:lang w:eastAsia="zh-CN"/>
        </w:rPr>
      </w:pPr>
    </w:p>
    <w:p w14:paraId="5CF0A9C2">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1"/>
                    <a:stretch>
                      <a:fillRect/>
                    </a:stretch>
                  </pic:blipFill>
                  <pic:spPr>
                    <a:xfrm>
                      <a:off x="0" y="0"/>
                      <a:ext cx="5210175" cy="7343775"/>
                    </a:xfrm>
                    <a:prstGeom prst="rect">
                      <a:avLst/>
                    </a:prstGeom>
                  </pic:spPr>
                </pic:pic>
              </a:graphicData>
            </a:graphic>
          </wp:inline>
        </w:drawing>
      </w:r>
    </w:p>
    <w:sectPr>
      <w:headerReference r:id="rId7" w:type="default"/>
      <w:footerReference r:id="rId8" w:type="default"/>
      <w:pgSz w:w="11906" w:h="16838"/>
      <w:pgMar w:top="1134" w:right="1134" w:bottom="1134" w:left="1134"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 倩" w:date="2022-08-09T13:36:00Z" w:initials="小">
    <w:p w14:paraId="3F907BF9">
      <w:pPr>
        <w:pStyle w:val="2"/>
      </w:pPr>
      <w:r>
        <w:rPr>
          <w:rFonts w:hint="eastAsia"/>
        </w:rPr>
        <w:t>漏一词，应是满足适用的情形和法规的要求</w:t>
      </w:r>
    </w:p>
  </w:comment>
  <w:comment w:id="1" w:author="Wu, Tank" w:date="2022-03-21T09:22:00Z" w:initials="WT">
    <w:p w14:paraId="24F0C9B7">
      <w:pPr>
        <w:spacing w:before="156" w:beforeLines="50" w:after="156" w:afterLines="50"/>
        <w:ind w:left="422" w:hanging="565" w:hangingChars="201"/>
        <w:outlineLvl w:val="0"/>
        <w:rPr>
          <w:rFonts w:ascii="Times New Roman" w:hAnsi="Times New Roman" w:cs="Times New Roman"/>
          <w:b/>
          <w:sz w:val="28"/>
          <w:szCs w:val="28"/>
        </w:rPr>
      </w:pPr>
      <w:r>
        <w:rPr>
          <w:rFonts w:hint="eastAsia" w:ascii="Times New Roman" w:hAnsi="Times New Roman" w:cs="Times New Roman"/>
          <w:b/>
          <w:bCs/>
          <w:sz w:val="28"/>
          <w:szCs w:val="28"/>
        </w:rPr>
        <w:t>请见“</w:t>
      </w:r>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PRE-RFD中应包含哪些信息？</w:t>
      </w:r>
      <w:r>
        <w:rPr>
          <w:rFonts w:hint="eastAsia" w:ascii="Times New Roman" w:hAnsi="Times New Roman" w:cs="Times New Roman"/>
          <w:b/>
          <w:bCs/>
          <w:sz w:val="28"/>
          <w:szCs w:val="28"/>
        </w:rPr>
        <w:t>”相关的修改</w:t>
      </w:r>
    </w:p>
    <w:p w14:paraId="447730A5">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F907BF9" w15:done="0"/>
  <w15:commentEx w15:paraId="447730A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4EBB">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7</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AB5A0C0">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就本指南文件而言，向FDA提交Pre-RFD的各方称为</w:t>
      </w:r>
      <w:r>
        <w:rPr>
          <w:rFonts w:cs="Times New Roman" w:asciiTheme="minorEastAsia" w:hAnsiTheme="minorEastAsia"/>
          <w:szCs w:val="15"/>
        </w:rPr>
        <w:t>“申办者”、或“贵司”；术语“我们”指自</w:t>
      </w:r>
      <w:r>
        <w:rPr>
          <w:rFonts w:ascii="Times New Roman" w:hAnsi="Times New Roman" w:cs="Times New Roman"/>
          <w:szCs w:val="15"/>
        </w:rPr>
        <w:t>组合产品办公室的FDA工作人员。</w:t>
      </w:r>
    </w:p>
  </w:footnote>
  <w:footnote w:id="1">
    <w:p w14:paraId="34E4CBE1">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请注意，本Pre-RFD指南中列出的信息不包括RFD所需的所有必要信息。如果贵司希望提交RFD，贵司应查阅《美国联邦法规》第21篇第3.7条以及本指南包含的RFD内容（请参见“如何撰写制定申请”，具体请访问网站</w:t>
      </w:r>
      <w:r>
        <w:fldChar w:fldCharType="begin"/>
      </w:r>
      <w:r>
        <w:instrText xml:space="preserve"> HYPERLINK "http://www.fda.gov/RegulatoryInformation/Guidances/ucm126053.htm" </w:instrText>
      </w:r>
      <w:r>
        <w:fldChar w:fldCharType="separate"/>
      </w:r>
      <w:r>
        <w:rPr>
          <w:rStyle w:val="13"/>
          <w:rFonts w:ascii="Times New Roman" w:hAnsi="Times New Roman" w:cs="Times New Roman"/>
          <w:szCs w:val="15"/>
        </w:rPr>
        <w:t>http://www.fda.gov/RegulatoryInformation/Guidances/ucm126053.htm</w:t>
      </w:r>
      <w:r>
        <w:rPr>
          <w:rStyle w:val="13"/>
          <w:rFonts w:ascii="Times New Roman" w:hAnsi="Times New Roman" w:cs="Times New Roman"/>
          <w:szCs w:val="15"/>
        </w:rPr>
        <w:fldChar w:fldCharType="end"/>
      </w:r>
      <w:r>
        <w:rPr>
          <w:rFonts w:ascii="Times New Roman" w:hAnsi="Times New Roman" w:cs="Times New Roman"/>
          <w:szCs w:val="15"/>
        </w:rPr>
        <w:t>）。</w:t>
      </w:r>
    </w:p>
  </w:footnote>
  <w:footnote w:id="2">
    <w:p w14:paraId="486E4051">
      <w:pPr>
        <w:pStyle w:val="7"/>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虽然Pre-RFD没有页数限制，但我们鼓励贵司将Pre-RFD限制为与OCP 相关的简要信息摘要，以便进行初步评估（请参见第III.E和IV.F条）。</w:t>
      </w:r>
    </w:p>
  </w:footnote>
  <w:footnote w:id="3">
    <w:p w14:paraId="48A64B80">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szCs w:val="15"/>
        </w:rPr>
        <w:t>参见脚注3。</w:t>
      </w:r>
    </w:p>
  </w:footnote>
  <w:footnote w:id="4">
    <w:p w14:paraId="2EAB52CE">
      <w:pPr>
        <w:pStyle w:val="7"/>
        <w:jc w:val="both"/>
        <w:rPr>
          <w:rFonts w:ascii="Times New Roman" w:hAnsi="Times New Roman" w:cs="Times New Roman"/>
        </w:rPr>
      </w:pPr>
      <w:r>
        <w:rPr>
          <w:rStyle w:val="15"/>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我们注意到，如果申办者在Pre-RFD中提供的任何信息属于商业机密或机密商业信息，则此类信息受到与保护RFD中提供的此类信息相同的保密法的保护。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3F49">
    <w:pPr>
      <w:pStyle w:val="5"/>
      <w:pBdr>
        <w:bottom w:val="none" w:color="auto" w:sz="0" w:space="0"/>
      </w:pBdr>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7A3F">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 倩">
    <w15:presenceInfo w15:providerId="None" w15:userId="小 倩"/>
  </w15:person>
  <w15:person w15:author="Wu, Tank">
    <w15:presenceInfo w15:providerId="AD" w15:userId="S::wut9@medtronic.com::71ca3361-56bb-49b6-ae12-f7f3a220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21AAC"/>
    <w:rsid w:val="00024F22"/>
    <w:rsid w:val="00046DBB"/>
    <w:rsid w:val="00050C7F"/>
    <w:rsid w:val="0008500A"/>
    <w:rsid w:val="00086AA6"/>
    <w:rsid w:val="0009121F"/>
    <w:rsid w:val="00094167"/>
    <w:rsid w:val="000A5D3F"/>
    <w:rsid w:val="000B21A5"/>
    <w:rsid w:val="000B3154"/>
    <w:rsid w:val="000C642A"/>
    <w:rsid w:val="000D0173"/>
    <w:rsid w:val="000D23F9"/>
    <w:rsid w:val="000E6C5E"/>
    <w:rsid w:val="00146179"/>
    <w:rsid w:val="00172B71"/>
    <w:rsid w:val="001870F1"/>
    <w:rsid w:val="00194914"/>
    <w:rsid w:val="001A34DE"/>
    <w:rsid w:val="001A78F7"/>
    <w:rsid w:val="001B4DD1"/>
    <w:rsid w:val="001B564E"/>
    <w:rsid w:val="001C28B2"/>
    <w:rsid w:val="001C3002"/>
    <w:rsid w:val="001C6815"/>
    <w:rsid w:val="001D0DEE"/>
    <w:rsid w:val="001D3977"/>
    <w:rsid w:val="001E021E"/>
    <w:rsid w:val="001E073F"/>
    <w:rsid w:val="001E4A3D"/>
    <w:rsid w:val="001E50A6"/>
    <w:rsid w:val="00204A9A"/>
    <w:rsid w:val="002114E6"/>
    <w:rsid w:val="002168D4"/>
    <w:rsid w:val="0021695D"/>
    <w:rsid w:val="00221195"/>
    <w:rsid w:val="002376F4"/>
    <w:rsid w:val="00247DB9"/>
    <w:rsid w:val="002579C0"/>
    <w:rsid w:val="00276A1B"/>
    <w:rsid w:val="002818F6"/>
    <w:rsid w:val="0029153A"/>
    <w:rsid w:val="0029317C"/>
    <w:rsid w:val="002963B1"/>
    <w:rsid w:val="002A0347"/>
    <w:rsid w:val="002A5A62"/>
    <w:rsid w:val="002A6E8F"/>
    <w:rsid w:val="002A75EF"/>
    <w:rsid w:val="002C291F"/>
    <w:rsid w:val="002C3539"/>
    <w:rsid w:val="002D1FBA"/>
    <w:rsid w:val="00300E9C"/>
    <w:rsid w:val="00310954"/>
    <w:rsid w:val="00323709"/>
    <w:rsid w:val="00330342"/>
    <w:rsid w:val="00345F7B"/>
    <w:rsid w:val="0035071D"/>
    <w:rsid w:val="00387A37"/>
    <w:rsid w:val="00396B6B"/>
    <w:rsid w:val="00397768"/>
    <w:rsid w:val="003A16F6"/>
    <w:rsid w:val="003A2427"/>
    <w:rsid w:val="003A2AB3"/>
    <w:rsid w:val="003B3B26"/>
    <w:rsid w:val="003B700E"/>
    <w:rsid w:val="003D2AF0"/>
    <w:rsid w:val="003E4FBE"/>
    <w:rsid w:val="003E6FCE"/>
    <w:rsid w:val="003F01C2"/>
    <w:rsid w:val="0042191B"/>
    <w:rsid w:val="00422507"/>
    <w:rsid w:val="00434C7E"/>
    <w:rsid w:val="004355E7"/>
    <w:rsid w:val="00445C63"/>
    <w:rsid w:val="004523C7"/>
    <w:rsid w:val="004B231E"/>
    <w:rsid w:val="004C5471"/>
    <w:rsid w:val="004E23B0"/>
    <w:rsid w:val="00500B28"/>
    <w:rsid w:val="0050698D"/>
    <w:rsid w:val="0051201D"/>
    <w:rsid w:val="005235D5"/>
    <w:rsid w:val="00527851"/>
    <w:rsid w:val="00536F92"/>
    <w:rsid w:val="0054633F"/>
    <w:rsid w:val="005527E4"/>
    <w:rsid w:val="005617EC"/>
    <w:rsid w:val="00563A47"/>
    <w:rsid w:val="005732B8"/>
    <w:rsid w:val="0057570B"/>
    <w:rsid w:val="00580043"/>
    <w:rsid w:val="005A2C96"/>
    <w:rsid w:val="005A568D"/>
    <w:rsid w:val="005B2A31"/>
    <w:rsid w:val="005C3C53"/>
    <w:rsid w:val="005C56D4"/>
    <w:rsid w:val="005E18AF"/>
    <w:rsid w:val="005F4A92"/>
    <w:rsid w:val="00616208"/>
    <w:rsid w:val="00632B60"/>
    <w:rsid w:val="006472B8"/>
    <w:rsid w:val="00650A76"/>
    <w:rsid w:val="0065637B"/>
    <w:rsid w:val="00656A92"/>
    <w:rsid w:val="006572F5"/>
    <w:rsid w:val="00657F76"/>
    <w:rsid w:val="0067731C"/>
    <w:rsid w:val="006818F1"/>
    <w:rsid w:val="00681B03"/>
    <w:rsid w:val="00682F03"/>
    <w:rsid w:val="00691C10"/>
    <w:rsid w:val="0069714C"/>
    <w:rsid w:val="006B54C4"/>
    <w:rsid w:val="006B654C"/>
    <w:rsid w:val="006C5CE2"/>
    <w:rsid w:val="007121D1"/>
    <w:rsid w:val="00724B3B"/>
    <w:rsid w:val="00726F3F"/>
    <w:rsid w:val="0074266F"/>
    <w:rsid w:val="0074592F"/>
    <w:rsid w:val="00753268"/>
    <w:rsid w:val="00760E53"/>
    <w:rsid w:val="00764881"/>
    <w:rsid w:val="007670C1"/>
    <w:rsid w:val="007757F0"/>
    <w:rsid w:val="00793522"/>
    <w:rsid w:val="007A176B"/>
    <w:rsid w:val="007A2CE1"/>
    <w:rsid w:val="007A6E26"/>
    <w:rsid w:val="007B1AE4"/>
    <w:rsid w:val="007C12CA"/>
    <w:rsid w:val="007C38ED"/>
    <w:rsid w:val="007E1BC9"/>
    <w:rsid w:val="007E408E"/>
    <w:rsid w:val="007F06B2"/>
    <w:rsid w:val="008060BE"/>
    <w:rsid w:val="00816484"/>
    <w:rsid w:val="00826482"/>
    <w:rsid w:val="00826BFD"/>
    <w:rsid w:val="008300E8"/>
    <w:rsid w:val="00830D0A"/>
    <w:rsid w:val="00831613"/>
    <w:rsid w:val="0087059F"/>
    <w:rsid w:val="00873448"/>
    <w:rsid w:val="008740C3"/>
    <w:rsid w:val="008743C4"/>
    <w:rsid w:val="0087642E"/>
    <w:rsid w:val="008851CD"/>
    <w:rsid w:val="008C740E"/>
    <w:rsid w:val="00907240"/>
    <w:rsid w:val="00915FFE"/>
    <w:rsid w:val="009160A7"/>
    <w:rsid w:val="009204A9"/>
    <w:rsid w:val="00931F89"/>
    <w:rsid w:val="00966AD2"/>
    <w:rsid w:val="00973869"/>
    <w:rsid w:val="00980E51"/>
    <w:rsid w:val="00981D34"/>
    <w:rsid w:val="0098289F"/>
    <w:rsid w:val="009840BD"/>
    <w:rsid w:val="009942F4"/>
    <w:rsid w:val="009A6A64"/>
    <w:rsid w:val="009B3A19"/>
    <w:rsid w:val="009E0BE7"/>
    <w:rsid w:val="00A076A7"/>
    <w:rsid w:val="00A15545"/>
    <w:rsid w:val="00A3003F"/>
    <w:rsid w:val="00A370D8"/>
    <w:rsid w:val="00A37D9D"/>
    <w:rsid w:val="00A56681"/>
    <w:rsid w:val="00A634C9"/>
    <w:rsid w:val="00A67B9C"/>
    <w:rsid w:val="00A756DC"/>
    <w:rsid w:val="00A81E42"/>
    <w:rsid w:val="00AC4F90"/>
    <w:rsid w:val="00AD1CC6"/>
    <w:rsid w:val="00AD4781"/>
    <w:rsid w:val="00AE4376"/>
    <w:rsid w:val="00AE5438"/>
    <w:rsid w:val="00AF66A9"/>
    <w:rsid w:val="00B11FA3"/>
    <w:rsid w:val="00B72CB4"/>
    <w:rsid w:val="00B73205"/>
    <w:rsid w:val="00B74CF4"/>
    <w:rsid w:val="00B75C31"/>
    <w:rsid w:val="00B819B3"/>
    <w:rsid w:val="00B839D1"/>
    <w:rsid w:val="00B96CDE"/>
    <w:rsid w:val="00B970ED"/>
    <w:rsid w:val="00BB2ED4"/>
    <w:rsid w:val="00BB4911"/>
    <w:rsid w:val="00BC426B"/>
    <w:rsid w:val="00C06EBA"/>
    <w:rsid w:val="00C46CB2"/>
    <w:rsid w:val="00C80E76"/>
    <w:rsid w:val="00C85F9A"/>
    <w:rsid w:val="00C97D2D"/>
    <w:rsid w:val="00CA3A92"/>
    <w:rsid w:val="00CA7A8A"/>
    <w:rsid w:val="00CD2A3E"/>
    <w:rsid w:val="00CD3FFD"/>
    <w:rsid w:val="00CF3A8E"/>
    <w:rsid w:val="00D1083C"/>
    <w:rsid w:val="00D178B2"/>
    <w:rsid w:val="00D364FA"/>
    <w:rsid w:val="00D4570B"/>
    <w:rsid w:val="00D56EC6"/>
    <w:rsid w:val="00D94C28"/>
    <w:rsid w:val="00DA1F3B"/>
    <w:rsid w:val="00DB1A79"/>
    <w:rsid w:val="00DB7909"/>
    <w:rsid w:val="00DD512B"/>
    <w:rsid w:val="00DF5D49"/>
    <w:rsid w:val="00E13FE9"/>
    <w:rsid w:val="00E1414C"/>
    <w:rsid w:val="00E162BE"/>
    <w:rsid w:val="00E17913"/>
    <w:rsid w:val="00E45063"/>
    <w:rsid w:val="00E64A21"/>
    <w:rsid w:val="00E72368"/>
    <w:rsid w:val="00E77E3A"/>
    <w:rsid w:val="00EA3132"/>
    <w:rsid w:val="00EA506F"/>
    <w:rsid w:val="00EA51B2"/>
    <w:rsid w:val="00EC06C3"/>
    <w:rsid w:val="00EC13FD"/>
    <w:rsid w:val="00ED41D8"/>
    <w:rsid w:val="00EE2CE2"/>
    <w:rsid w:val="00EE6404"/>
    <w:rsid w:val="00EE7810"/>
    <w:rsid w:val="00EF39FF"/>
    <w:rsid w:val="00F04DCA"/>
    <w:rsid w:val="00F20016"/>
    <w:rsid w:val="00F21306"/>
    <w:rsid w:val="00F241D7"/>
    <w:rsid w:val="00F24C05"/>
    <w:rsid w:val="00F2508B"/>
    <w:rsid w:val="00F25C4C"/>
    <w:rsid w:val="00F25E8B"/>
    <w:rsid w:val="00F3666A"/>
    <w:rsid w:val="00F44055"/>
    <w:rsid w:val="00F50A99"/>
    <w:rsid w:val="00F548EE"/>
    <w:rsid w:val="00F7378C"/>
    <w:rsid w:val="00F81B77"/>
    <w:rsid w:val="00F9340A"/>
    <w:rsid w:val="00F93F6E"/>
    <w:rsid w:val="00FA6260"/>
    <w:rsid w:val="00FC472B"/>
    <w:rsid w:val="00FD7913"/>
    <w:rsid w:val="00FE345B"/>
    <w:rsid w:val="00FF03F9"/>
    <w:rsid w:val="4A9D07C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3"/>
    <w:semiHidden/>
    <w:unhideWhenUsed/>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30"/>
    <w:semiHidden/>
    <w:unhideWhenUsed/>
    <w:qFormat/>
    <w:uiPriority w:val="99"/>
    <w:pPr>
      <w:snapToGrid w:val="0"/>
      <w:jc w:val="left"/>
    </w:pPr>
    <w:rPr>
      <w:sz w:val="18"/>
      <w:szCs w:val="18"/>
    </w:rPr>
  </w:style>
  <w:style w:type="paragraph" w:styleId="8">
    <w:name w:val="toc 2"/>
    <w:basedOn w:val="1"/>
    <w:next w:val="1"/>
    <w:autoRedefine/>
    <w:unhideWhenUsed/>
    <w:qFormat/>
    <w:uiPriority w:val="39"/>
    <w:pPr>
      <w:ind w:left="420" w:leftChars="200"/>
    </w:pPr>
  </w:style>
  <w:style w:type="paragraph" w:styleId="9">
    <w:name w:val="annotation subject"/>
    <w:basedOn w:val="2"/>
    <w:next w:val="2"/>
    <w:link w:val="34"/>
    <w:semiHidden/>
    <w:unhideWhenUsed/>
    <w:qFormat/>
    <w:uiPriority w:val="99"/>
    <w:rPr>
      <w:b/>
      <w:bCs/>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Hyperlink"/>
    <w:basedOn w:val="12"/>
    <w:unhideWhenUsed/>
    <w:qFormat/>
    <w:uiPriority w:val="99"/>
    <w:rPr>
      <w:color w:val="0000FF" w:themeColor="hyperlink"/>
      <w:u w:val="single"/>
    </w:rPr>
  </w:style>
  <w:style w:type="character" w:styleId="14">
    <w:name w:val="annotation reference"/>
    <w:basedOn w:val="12"/>
    <w:semiHidden/>
    <w:unhideWhenUsed/>
    <w:qFormat/>
    <w:uiPriority w:val="99"/>
    <w:rPr>
      <w:sz w:val="21"/>
      <w:szCs w:val="21"/>
    </w:rPr>
  </w:style>
  <w:style w:type="character" w:styleId="15">
    <w:name w:val="footnote reference"/>
    <w:basedOn w:val="12"/>
    <w:semiHidden/>
    <w:unhideWhenUsed/>
    <w:uiPriority w:val="99"/>
    <w:rPr>
      <w:vertAlign w:val="superscript"/>
    </w:rPr>
  </w:style>
  <w:style w:type="character" w:customStyle="1" w:styleId="16">
    <w:name w:val="页眉 字符"/>
    <w:basedOn w:val="12"/>
    <w:link w:val="5"/>
    <w:qFormat/>
    <w:uiPriority w:val="99"/>
    <w:rPr>
      <w:sz w:val="18"/>
      <w:szCs w:val="18"/>
    </w:rPr>
  </w:style>
  <w:style w:type="character" w:customStyle="1" w:styleId="17">
    <w:name w:val="页脚 字符"/>
    <w:basedOn w:val="12"/>
    <w:link w:val="4"/>
    <w:uiPriority w:val="99"/>
    <w:rPr>
      <w:sz w:val="18"/>
      <w:szCs w:val="18"/>
    </w:rPr>
  </w:style>
  <w:style w:type="character" w:customStyle="1" w:styleId="18">
    <w:name w:val="批注框文本 字符"/>
    <w:basedOn w:val="12"/>
    <w:link w:val="3"/>
    <w:semiHidden/>
    <w:uiPriority w:val="99"/>
    <w:rPr>
      <w:sz w:val="18"/>
      <w:szCs w:val="18"/>
    </w:rPr>
  </w:style>
  <w:style w:type="character" w:customStyle="1" w:styleId="19">
    <w:name w:val="其他_"/>
    <w:basedOn w:val="12"/>
    <w:link w:val="20"/>
    <w:qFormat/>
    <w:uiPriority w:val="0"/>
    <w:rPr>
      <w:rFonts w:ascii="Arial" w:hAnsi="Arial" w:eastAsia="Arial" w:cs="Arial"/>
      <w:sz w:val="14"/>
      <w:szCs w:val="14"/>
      <w:shd w:val="clear" w:color="auto" w:fill="FFFFFF"/>
    </w:rPr>
  </w:style>
  <w:style w:type="paragraph" w:customStyle="1" w:styleId="20">
    <w:name w:val="其他"/>
    <w:basedOn w:val="1"/>
    <w:link w:val="19"/>
    <w:qFormat/>
    <w:uiPriority w:val="0"/>
    <w:pPr>
      <w:shd w:val="clear" w:color="auto" w:fill="FFFFFF"/>
      <w:jc w:val="left"/>
    </w:pPr>
    <w:rPr>
      <w:rFonts w:ascii="Arial" w:hAnsi="Arial" w:eastAsia="Arial" w:cs="Arial"/>
      <w:sz w:val="14"/>
      <w:szCs w:val="14"/>
    </w:rPr>
  </w:style>
  <w:style w:type="character" w:customStyle="1" w:styleId="21">
    <w:name w:val="标题 #1_"/>
    <w:basedOn w:val="12"/>
    <w:link w:val="22"/>
    <w:uiPriority w:val="0"/>
    <w:rPr>
      <w:rFonts w:ascii="Arial" w:hAnsi="Arial" w:eastAsia="Arial" w:cs="Arial"/>
      <w:w w:val="60"/>
      <w:sz w:val="78"/>
      <w:szCs w:val="78"/>
      <w:shd w:val="clear" w:color="auto" w:fill="FFFFFF"/>
    </w:rPr>
  </w:style>
  <w:style w:type="paragraph" w:customStyle="1" w:styleId="22">
    <w:name w:val="标题 #1"/>
    <w:basedOn w:val="1"/>
    <w:link w:val="21"/>
    <w:uiPriority w:val="0"/>
    <w:pPr>
      <w:shd w:val="clear" w:color="auto" w:fill="FFFFFF"/>
      <w:jc w:val="right"/>
      <w:outlineLvl w:val="0"/>
    </w:pPr>
    <w:rPr>
      <w:rFonts w:ascii="Arial" w:hAnsi="Arial" w:eastAsia="Arial" w:cs="Arial"/>
      <w:w w:val="60"/>
      <w:sz w:val="78"/>
      <w:szCs w:val="78"/>
    </w:rPr>
  </w:style>
  <w:style w:type="character" w:customStyle="1" w:styleId="23">
    <w:name w:val="标题 #3_"/>
    <w:basedOn w:val="12"/>
    <w:link w:val="24"/>
    <w:uiPriority w:val="0"/>
    <w:rPr>
      <w:rFonts w:ascii="Arial" w:hAnsi="Arial" w:eastAsia="Arial" w:cs="Arial"/>
      <w:b/>
      <w:bCs/>
      <w:sz w:val="40"/>
      <w:szCs w:val="40"/>
      <w:shd w:val="clear" w:color="auto" w:fill="FFFFFF"/>
    </w:rPr>
  </w:style>
  <w:style w:type="paragraph" w:customStyle="1" w:styleId="24">
    <w:name w:val="标题 #3"/>
    <w:basedOn w:val="1"/>
    <w:link w:val="23"/>
    <w:uiPriority w:val="0"/>
    <w:pPr>
      <w:shd w:val="clear" w:color="auto" w:fill="FFFFFF"/>
      <w:jc w:val="left"/>
      <w:outlineLvl w:val="2"/>
    </w:pPr>
    <w:rPr>
      <w:rFonts w:ascii="Arial" w:hAnsi="Arial" w:eastAsia="Arial" w:cs="Arial"/>
      <w:b/>
      <w:bCs/>
      <w:sz w:val="40"/>
      <w:szCs w:val="40"/>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表格标题_"/>
    <w:basedOn w:val="12"/>
    <w:link w:val="27"/>
    <w:uiPriority w:val="0"/>
    <w:rPr>
      <w:rFonts w:ascii="Arial" w:hAnsi="Arial" w:eastAsia="Arial" w:cs="Arial"/>
      <w:sz w:val="14"/>
      <w:szCs w:val="14"/>
      <w:shd w:val="clear" w:color="auto" w:fill="FFFFFF"/>
    </w:rPr>
  </w:style>
  <w:style w:type="paragraph" w:customStyle="1" w:styleId="27">
    <w:name w:val="表格标题"/>
    <w:basedOn w:val="1"/>
    <w:link w:val="26"/>
    <w:qFormat/>
    <w:uiPriority w:val="0"/>
    <w:pPr>
      <w:shd w:val="clear" w:color="auto" w:fill="FFFFFF"/>
      <w:jc w:val="left"/>
    </w:pPr>
    <w:rPr>
      <w:rFonts w:ascii="Arial" w:hAnsi="Arial" w:eastAsia="Arial" w:cs="Arial"/>
      <w:sz w:val="14"/>
      <w:szCs w:val="14"/>
    </w:rPr>
  </w:style>
  <w:style w:type="character" w:customStyle="1" w:styleId="28">
    <w:name w:val="正文文本 (6)_"/>
    <w:basedOn w:val="12"/>
    <w:link w:val="29"/>
    <w:uiPriority w:val="0"/>
    <w:rPr>
      <w:rFonts w:ascii="Calibri" w:hAnsi="Calibri" w:eastAsia="Calibri" w:cs="Calibri"/>
      <w:sz w:val="32"/>
      <w:szCs w:val="32"/>
      <w:shd w:val="clear" w:color="auto" w:fill="FFFFFF"/>
    </w:rPr>
  </w:style>
  <w:style w:type="paragraph" w:customStyle="1" w:styleId="29">
    <w:name w:val="正文文本 (6)"/>
    <w:basedOn w:val="1"/>
    <w:link w:val="28"/>
    <w:uiPriority w:val="0"/>
    <w:pPr>
      <w:shd w:val="clear" w:color="auto" w:fill="FFFFFF"/>
      <w:spacing w:after="20"/>
      <w:jc w:val="left"/>
    </w:pPr>
    <w:rPr>
      <w:rFonts w:ascii="Calibri" w:hAnsi="Calibri" w:eastAsia="Calibri" w:cs="Calibri"/>
      <w:sz w:val="32"/>
      <w:szCs w:val="32"/>
    </w:rPr>
  </w:style>
  <w:style w:type="character" w:customStyle="1" w:styleId="30">
    <w:name w:val="脚注文本 字符"/>
    <w:basedOn w:val="12"/>
    <w:link w:val="7"/>
    <w:semiHidden/>
    <w:qFormat/>
    <w:uiPriority w:val="99"/>
    <w:rPr>
      <w:sz w:val="18"/>
      <w:szCs w:val="18"/>
    </w:rPr>
  </w:style>
  <w:style w:type="table" w:customStyle="1" w:styleId="31">
    <w:name w:val="网格型1"/>
    <w:basedOn w:val="10"/>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2">
    <w:name w:val="未处理的提及1"/>
    <w:basedOn w:val="12"/>
    <w:semiHidden/>
    <w:unhideWhenUsed/>
    <w:qFormat/>
    <w:uiPriority w:val="99"/>
    <w:rPr>
      <w:color w:val="605E5C"/>
      <w:shd w:val="clear" w:color="auto" w:fill="E1DFDD"/>
    </w:rPr>
  </w:style>
  <w:style w:type="character" w:customStyle="1" w:styleId="33">
    <w:name w:val="批注文字 字符"/>
    <w:basedOn w:val="12"/>
    <w:link w:val="2"/>
    <w:semiHidden/>
    <w:qFormat/>
    <w:uiPriority w:val="99"/>
  </w:style>
  <w:style w:type="character" w:customStyle="1" w:styleId="34">
    <w:name w:val="批注主题 字符"/>
    <w:basedOn w:val="33"/>
    <w:link w:val="9"/>
    <w:semiHidden/>
    <w:qFormat/>
    <w:uiPriority w:val="99"/>
    <w:rPr>
      <w:b/>
      <w:bCs/>
    </w:rPr>
  </w:style>
  <w:style w:type="paragraph" w:customStyle="1" w:styleId="3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8"/>
    <customShpInfo spid="_x0000_s2059"/>
    <customShpInfo spid="_x0000_s2065"/>
    <customShpInfo spid="_x0000_s2068"/>
    <customShpInfo spid="_x0000_s2064"/>
    <customShpInfo spid="_x0000_s2076"/>
    <customShpInfo spid="_x0000_s2061"/>
    <customShpInfo spid="_x0000_s2073"/>
    <customShpInfo spid="_x0000_s2074"/>
    <customShpInfo spid="_x0000_s2075"/>
    <customShpInfo spid="_x0000_s2069"/>
    <customShpInfo spid="_x0000_s2071"/>
    <customShpInfo spid="_x0000_s2070"/>
    <customShpInfo spid="_x0000_s2067"/>
    <customShpInfo spid="_x0000_s2066"/>
    <customShpInfo spid="_x0000_s2063"/>
    <customShpInfo spid="_x0000_s2062"/>
    <customShpInfo spid="_x0000_s2060"/>
    <customShpInfo spid="_x0000_s2052"/>
    <customShpInfo spid="_x0000_s2053"/>
    <customShpInfo spid="_x0000_s2054"/>
    <customShpInfo spid="_x0000_s2055"/>
    <customShpInfo spid="_x0000_s2057"/>
    <customShpInfo spid="_x0000_s2056"/>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6C72F-C8DE-4E14-8040-FDAC639F4F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15</Pages>
  <Words>6924</Words>
  <Characters>8370</Characters>
  <Lines>75</Lines>
  <Paragraphs>21</Paragraphs>
  <TotalTime>49</TotalTime>
  <ScaleCrop>false</ScaleCrop>
  <LinksUpToDate>false</LinksUpToDate>
  <CharactersWithSpaces>8503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2019-03-25T05:36:00Z</dcterms:created>
  <dc:creator>Sky123.Org</dc:creator>
  <cp:lastModifiedBy>太极箫客</cp:lastModifiedBy>
  <dcterms:modified xsi:type="dcterms:W3CDTF">2025-08-14T06:49:19Z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C79F250B03E64271B24FA0580723C2DA_12</vt:lpwstr>
  </property>
</Properties>
</file>