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A84C4">
      <w:pPr>
        <w:overflowPunct w:val="0"/>
        <w:snapToGrid w:val="0"/>
        <w:spacing w:after="234" w:afterLines="75" w:line="300" w:lineRule="auto"/>
        <w:jc w:val="center"/>
        <w:rPr>
          <w:rFonts w:hint="eastAsia" w:ascii="Arial" w:hAnsi="Arial" w:eastAsia="宋体" w:cs="Arial"/>
          <w:sz w:val="24"/>
          <w:szCs w:val="24"/>
        </w:rPr>
      </w:pPr>
      <w:bookmarkStart w:id="2" w:name="_GoBack"/>
      <w:bookmarkEnd w:id="2"/>
    </w:p>
    <w:p w14:paraId="2BD89734">
      <w:pPr>
        <w:overflowPunct w:val="0"/>
        <w:snapToGrid w:val="0"/>
        <w:spacing w:after="234" w:afterLines="75" w:line="360" w:lineRule="auto"/>
        <w:jc w:val="center"/>
        <w:rPr>
          <w:rFonts w:ascii="Arial" w:hAnsi="Arial" w:eastAsia="宋体" w:cs="Arial"/>
          <w:sz w:val="24"/>
          <w:szCs w:val="24"/>
        </w:rPr>
      </w:pPr>
    </w:p>
    <w:p w14:paraId="456FA714">
      <w:pPr>
        <w:overflowPunct w:val="0"/>
        <w:snapToGrid w:val="0"/>
        <w:spacing w:after="234" w:afterLines="75" w:line="360" w:lineRule="auto"/>
        <w:jc w:val="center"/>
        <w:rPr>
          <w:rFonts w:ascii="Arial" w:hAnsi="Arial" w:eastAsia="宋体" w:cs="Arial"/>
          <w:sz w:val="24"/>
          <w:szCs w:val="24"/>
        </w:rPr>
      </w:pPr>
    </w:p>
    <w:p w14:paraId="117FC94D">
      <w:pPr>
        <w:overflowPunct w:val="0"/>
        <w:snapToGrid w:val="0"/>
        <w:spacing w:after="234" w:afterLines="75" w:line="360" w:lineRule="auto"/>
        <w:jc w:val="center"/>
        <w:rPr>
          <w:rFonts w:ascii="Arial" w:hAnsi="Arial" w:eastAsia="宋体" w:cs="Arial"/>
          <w:b/>
          <w:sz w:val="28"/>
          <w:szCs w:val="24"/>
        </w:rPr>
      </w:pPr>
      <w:r>
        <w:rPr>
          <w:rFonts w:ascii="Arial" w:hAnsi="Arial" w:eastAsia="宋体" w:cs="Arial"/>
          <w:b/>
          <w:sz w:val="28"/>
          <w:szCs w:val="24"/>
        </w:rPr>
        <w:t>太阳灯和太阳灯产品辐射安全测试年度报告制作指南</w:t>
      </w:r>
    </w:p>
    <w:p w14:paraId="0B30907A">
      <w:pPr>
        <w:overflowPunct w:val="0"/>
        <w:snapToGrid w:val="0"/>
        <w:spacing w:after="234" w:afterLines="75" w:line="360" w:lineRule="auto"/>
        <w:jc w:val="center"/>
        <w:rPr>
          <w:rFonts w:ascii="Arial" w:hAnsi="Arial" w:eastAsia="宋体" w:cs="Arial"/>
          <w:sz w:val="24"/>
          <w:szCs w:val="24"/>
        </w:rPr>
      </w:pPr>
    </w:p>
    <w:p w14:paraId="3BBA0761">
      <w:pPr>
        <w:overflowPunct w:val="0"/>
        <w:snapToGrid w:val="0"/>
        <w:spacing w:after="234" w:afterLines="75" w:line="360" w:lineRule="auto"/>
        <w:jc w:val="center"/>
        <w:rPr>
          <w:rFonts w:ascii="Arial" w:hAnsi="Arial" w:eastAsia="宋体" w:cs="Arial"/>
          <w:sz w:val="24"/>
          <w:szCs w:val="24"/>
        </w:rPr>
      </w:pPr>
    </w:p>
    <w:p w14:paraId="31DFBC49">
      <w:pPr>
        <w:overflowPunct w:val="0"/>
        <w:snapToGrid w:val="0"/>
        <w:spacing w:after="234" w:afterLines="75" w:line="360" w:lineRule="auto"/>
        <w:jc w:val="center"/>
        <w:rPr>
          <w:rFonts w:ascii="Arial" w:hAnsi="Arial" w:eastAsia="宋体" w:cs="Arial"/>
          <w:sz w:val="24"/>
          <w:szCs w:val="24"/>
        </w:rPr>
      </w:pPr>
    </w:p>
    <w:p w14:paraId="183EAFA4">
      <w:pPr>
        <w:overflowPunct w:val="0"/>
        <w:snapToGrid w:val="0"/>
        <w:spacing w:after="234" w:afterLines="75" w:line="360" w:lineRule="auto"/>
        <w:jc w:val="center"/>
        <w:rPr>
          <w:rFonts w:ascii="Arial" w:hAnsi="Arial" w:eastAsia="宋体" w:cs="Arial"/>
          <w:sz w:val="24"/>
          <w:szCs w:val="24"/>
        </w:rPr>
      </w:pPr>
    </w:p>
    <w:p w14:paraId="0E560579">
      <w:pPr>
        <w:overflowPunct w:val="0"/>
        <w:snapToGrid w:val="0"/>
        <w:spacing w:after="234" w:afterLines="75" w:line="360" w:lineRule="auto"/>
        <w:jc w:val="center"/>
        <w:rPr>
          <w:rFonts w:ascii="Arial" w:hAnsi="Arial" w:eastAsia="宋体" w:cs="Arial"/>
          <w:sz w:val="24"/>
          <w:szCs w:val="24"/>
        </w:rPr>
      </w:pPr>
      <w:r>
        <w:rPr>
          <w:rFonts w:ascii="Arial" w:hAnsi="Arial" w:eastAsia="宋体" w:cs="Arial"/>
          <w:sz w:val="24"/>
          <w:szCs w:val="24"/>
        </w:rPr>
        <w:t>1995年9月</w:t>
      </w:r>
    </w:p>
    <w:p w14:paraId="49B6B235">
      <w:pPr>
        <w:overflowPunct w:val="0"/>
        <w:snapToGrid w:val="0"/>
        <w:spacing w:after="234" w:afterLines="75" w:line="360" w:lineRule="auto"/>
        <w:jc w:val="center"/>
        <w:rPr>
          <w:rFonts w:ascii="Arial" w:hAnsi="Arial" w:eastAsia="宋体" w:cs="Arial"/>
          <w:sz w:val="24"/>
          <w:szCs w:val="24"/>
        </w:rPr>
      </w:pPr>
      <w:r>
        <w:rPr>
          <w:rFonts w:ascii="Arial" w:hAnsi="Arial" w:eastAsia="宋体" w:cs="Arial"/>
          <w:sz w:val="24"/>
          <w:szCs w:val="24"/>
        </w:rPr>
        <w:t>（地址</w:t>
      </w:r>
      <w:r>
        <w:rPr>
          <w:rFonts w:hint="eastAsia" w:ascii="Arial" w:hAnsi="Arial" w:eastAsia="宋体" w:cs="Arial"/>
          <w:sz w:val="24"/>
          <w:szCs w:val="24"/>
        </w:rPr>
        <w:t>于</w:t>
      </w:r>
      <w:r>
        <w:rPr>
          <w:rFonts w:ascii="Arial" w:hAnsi="Arial" w:eastAsia="宋体" w:cs="Arial"/>
          <w:sz w:val="24"/>
          <w:szCs w:val="24"/>
        </w:rPr>
        <w:t>2008年8月更正）</w:t>
      </w:r>
    </w:p>
    <w:p w14:paraId="2EBB7B66">
      <w:pPr>
        <w:overflowPunct w:val="0"/>
        <w:snapToGrid w:val="0"/>
        <w:spacing w:after="234" w:afterLines="75" w:line="360" w:lineRule="auto"/>
        <w:jc w:val="center"/>
        <w:rPr>
          <w:rFonts w:ascii="Arial" w:hAnsi="Arial" w:eastAsia="宋体" w:cs="Arial"/>
          <w:sz w:val="24"/>
          <w:szCs w:val="24"/>
        </w:rPr>
      </w:pPr>
    </w:p>
    <w:p w14:paraId="485C5462">
      <w:pPr>
        <w:overflowPunct w:val="0"/>
        <w:snapToGrid w:val="0"/>
        <w:spacing w:after="234" w:afterLines="75" w:line="360" w:lineRule="auto"/>
        <w:jc w:val="center"/>
        <w:rPr>
          <w:rFonts w:ascii="Arial" w:hAnsi="Arial" w:eastAsia="宋体" w:cs="Arial"/>
          <w:sz w:val="24"/>
          <w:szCs w:val="24"/>
        </w:rPr>
      </w:pPr>
    </w:p>
    <w:p w14:paraId="0ECB1492">
      <w:pPr>
        <w:overflowPunct w:val="0"/>
        <w:snapToGrid w:val="0"/>
        <w:spacing w:after="234" w:afterLines="75" w:line="360" w:lineRule="auto"/>
        <w:jc w:val="center"/>
        <w:rPr>
          <w:rFonts w:ascii="Arial" w:hAnsi="Arial" w:eastAsia="宋体" w:cs="Arial"/>
          <w:sz w:val="24"/>
          <w:szCs w:val="24"/>
        </w:rPr>
      </w:pPr>
    </w:p>
    <w:p w14:paraId="2245D76E">
      <w:pPr>
        <w:overflowPunct w:val="0"/>
        <w:snapToGrid w:val="0"/>
        <w:spacing w:after="234" w:afterLines="75" w:line="360" w:lineRule="auto"/>
        <w:jc w:val="center"/>
        <w:rPr>
          <w:rFonts w:ascii="Arial" w:hAnsi="Arial" w:eastAsia="宋体" w:cs="Arial"/>
          <w:sz w:val="24"/>
          <w:szCs w:val="24"/>
        </w:rPr>
      </w:pPr>
      <w:r>
        <w:rPr>
          <w:rFonts w:ascii="Arial" w:hAnsi="Arial" w:eastAsia="宋体" w:cs="Arial"/>
          <w:sz w:val="24"/>
          <w:szCs w:val="24"/>
        </w:rPr>
        <w:t>对太阳灯和太阳灯产品制造商而言，本指南取代FDA 82-8127。</w:t>
      </w:r>
    </w:p>
    <w:p w14:paraId="3C71153F">
      <w:pPr>
        <w:overflowPunct w:val="0"/>
        <w:snapToGrid w:val="0"/>
        <w:spacing w:after="234" w:afterLines="75" w:line="360" w:lineRule="auto"/>
        <w:jc w:val="center"/>
        <w:rPr>
          <w:rFonts w:ascii="Arial" w:hAnsi="Arial" w:eastAsia="宋体" w:cs="Arial"/>
          <w:sz w:val="24"/>
          <w:szCs w:val="24"/>
        </w:rPr>
      </w:pPr>
    </w:p>
    <w:p w14:paraId="3A1DBEE9">
      <w:pPr>
        <w:overflowPunct w:val="0"/>
        <w:snapToGrid w:val="0"/>
        <w:spacing w:after="234" w:afterLines="75" w:line="360" w:lineRule="auto"/>
        <w:jc w:val="center"/>
        <w:rPr>
          <w:rFonts w:ascii="Arial" w:hAnsi="Arial" w:eastAsia="宋体" w:cs="Arial"/>
          <w:sz w:val="24"/>
          <w:szCs w:val="24"/>
        </w:rPr>
      </w:pPr>
    </w:p>
    <w:p w14:paraId="5C5C29B4">
      <w:pPr>
        <w:overflowPunct w:val="0"/>
        <w:snapToGrid w:val="0"/>
        <w:spacing w:after="234" w:afterLines="75" w:line="360" w:lineRule="auto"/>
        <w:jc w:val="center"/>
        <w:rPr>
          <w:rFonts w:ascii="Arial" w:hAnsi="Arial" w:eastAsia="宋体" w:cs="Arial"/>
          <w:sz w:val="24"/>
          <w:szCs w:val="24"/>
        </w:rPr>
      </w:pPr>
    </w:p>
    <w:p w14:paraId="1D4F3DCE">
      <w:pPr>
        <w:overflowPunct w:val="0"/>
        <w:snapToGrid w:val="0"/>
        <w:spacing w:line="360" w:lineRule="auto"/>
        <w:jc w:val="center"/>
        <w:rPr>
          <w:rFonts w:ascii="Arial" w:hAnsi="Arial" w:eastAsia="宋体" w:cs="Arial"/>
          <w:sz w:val="24"/>
          <w:szCs w:val="24"/>
        </w:rPr>
      </w:pPr>
      <w:r>
        <w:rPr>
          <w:rFonts w:ascii="Arial" w:hAnsi="Arial" w:eastAsia="宋体" w:cs="Arial"/>
          <w:sz w:val="24"/>
          <w:szCs w:val="24"/>
        </w:rPr>
        <w:t>美国卫生和人类服务署</w:t>
      </w:r>
    </w:p>
    <w:p w14:paraId="745E3717">
      <w:pPr>
        <w:overflowPunct w:val="0"/>
        <w:snapToGrid w:val="0"/>
        <w:spacing w:line="360" w:lineRule="auto"/>
        <w:jc w:val="center"/>
        <w:rPr>
          <w:rFonts w:ascii="Arial" w:hAnsi="Arial" w:eastAsia="宋体" w:cs="Arial"/>
          <w:sz w:val="24"/>
          <w:szCs w:val="24"/>
        </w:rPr>
      </w:pPr>
      <w:r>
        <w:rPr>
          <w:rFonts w:ascii="Arial" w:hAnsi="Arial" w:eastAsia="宋体" w:cs="Arial"/>
          <w:sz w:val="24"/>
          <w:szCs w:val="24"/>
        </w:rPr>
        <w:t>公共卫生服务部</w:t>
      </w:r>
    </w:p>
    <w:p w14:paraId="435F6224">
      <w:pPr>
        <w:overflowPunct w:val="0"/>
        <w:snapToGrid w:val="0"/>
        <w:spacing w:line="360" w:lineRule="auto"/>
        <w:jc w:val="center"/>
        <w:rPr>
          <w:rFonts w:ascii="Arial" w:hAnsi="Arial" w:eastAsia="宋体" w:cs="Arial"/>
          <w:sz w:val="24"/>
          <w:szCs w:val="24"/>
        </w:rPr>
      </w:pPr>
      <w:r>
        <w:rPr>
          <w:rFonts w:ascii="Arial" w:hAnsi="Arial" w:eastAsia="宋体" w:cs="Arial"/>
          <w:sz w:val="24"/>
          <w:szCs w:val="24"/>
        </w:rPr>
        <w:t>食品药品监督管理局</w:t>
      </w:r>
    </w:p>
    <w:p w14:paraId="26571D0D">
      <w:pPr>
        <w:overflowPunct w:val="0"/>
        <w:snapToGrid w:val="0"/>
        <w:spacing w:line="360" w:lineRule="auto"/>
        <w:jc w:val="center"/>
        <w:rPr>
          <w:rFonts w:ascii="Arial" w:hAnsi="Arial" w:eastAsia="宋体" w:cs="Arial"/>
          <w:sz w:val="24"/>
          <w:szCs w:val="24"/>
        </w:rPr>
      </w:pPr>
      <w:r>
        <w:rPr>
          <w:rFonts w:ascii="Arial" w:hAnsi="Arial" w:eastAsia="宋体" w:cs="Arial"/>
          <w:sz w:val="24"/>
          <w:szCs w:val="24"/>
        </w:rPr>
        <w:t>器械和放射卫生中心</w:t>
      </w:r>
    </w:p>
    <w:p w14:paraId="7F12D888">
      <w:pPr>
        <w:overflowPunct w:val="0"/>
        <w:snapToGrid w:val="0"/>
        <w:spacing w:line="360" w:lineRule="auto"/>
        <w:jc w:val="center"/>
        <w:rPr>
          <w:rFonts w:ascii="Arial" w:hAnsi="Arial" w:eastAsia="宋体" w:cs="Arial"/>
          <w:b/>
          <w:sz w:val="24"/>
          <w:szCs w:val="24"/>
        </w:rPr>
      </w:pPr>
      <w:r>
        <w:rPr>
          <w:rFonts w:hint="eastAsia" w:ascii="Arial" w:hAnsi="Arial" w:eastAsia="宋体" w:cs="Arial"/>
          <w:sz w:val="24"/>
          <w:szCs w:val="24"/>
        </w:rPr>
        <w:t xml:space="preserve">Rockville, Maryland </w:t>
      </w:r>
      <w:r>
        <w:rPr>
          <w:rFonts w:ascii="Arial" w:hAnsi="Arial" w:eastAsia="宋体" w:cs="Arial"/>
          <w:sz w:val="24"/>
          <w:szCs w:val="24"/>
        </w:rPr>
        <w:t>20857</w:t>
      </w:r>
      <w:r>
        <w:rPr>
          <w:rFonts w:ascii="Arial" w:hAnsi="Arial" w:eastAsia="宋体" w:cs="Arial"/>
          <w:b/>
          <w:sz w:val="24"/>
          <w:szCs w:val="24"/>
        </w:rPr>
        <w:br w:type="page"/>
      </w:r>
    </w:p>
    <w:p w14:paraId="163945AE">
      <w:pPr>
        <w:overflowPunct w:val="0"/>
        <w:snapToGrid w:val="0"/>
        <w:spacing w:after="234" w:afterLines="75" w:line="360" w:lineRule="auto"/>
        <w:jc w:val="center"/>
        <w:rPr>
          <w:rFonts w:ascii="Arial" w:hAnsi="Arial" w:eastAsia="宋体" w:cs="Arial"/>
          <w:b/>
          <w:sz w:val="24"/>
          <w:szCs w:val="24"/>
        </w:rPr>
      </w:pPr>
      <w:r>
        <w:rPr>
          <w:rFonts w:hint="eastAsia" w:ascii="Arial" w:hAnsi="Arial" w:eastAsia="宋体" w:cs="Arial"/>
          <w:b/>
          <w:sz w:val="24"/>
          <w:szCs w:val="24"/>
        </w:rPr>
        <w:t>前</w:t>
      </w:r>
      <w:r>
        <w:rPr>
          <w:rFonts w:ascii="Arial" w:hAnsi="Arial" w:eastAsia="宋体" w:cs="Arial"/>
          <w:b/>
          <w:sz w:val="24"/>
          <w:szCs w:val="24"/>
        </w:rPr>
        <w:t>言</w:t>
      </w:r>
    </w:p>
    <w:p w14:paraId="5403A8C4">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本指南由器械和放射卫生中心（CDRH）合规办公室编制，目的是帮助电子产品制造商适当提供辐射安全测试和遵从性能标准情况报告。联邦法规（CFR）第21编第1002部</w:t>
      </w:r>
      <w:r>
        <w:rPr>
          <w:rFonts w:hint="eastAsia" w:ascii="Arial" w:hAnsi="Arial" w:eastAsia="宋体" w:cs="Arial"/>
          <w:sz w:val="24"/>
          <w:szCs w:val="24"/>
        </w:rPr>
        <w:t>分</w:t>
      </w:r>
      <w:r>
        <w:rPr>
          <w:rFonts w:ascii="Arial" w:hAnsi="Arial" w:eastAsia="宋体" w:cs="Arial"/>
          <w:sz w:val="24"/>
          <w:szCs w:val="24"/>
        </w:rPr>
        <w:t>对报告要求进行了详细描述。</w:t>
      </w:r>
    </w:p>
    <w:p w14:paraId="0F3D5D8B">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提交电子产品辐射安全报告时必须遵从适用指南（21 CFR 1002.7）。若不遵从适用指南，应在报告中给出理由。CDRH可拒绝</w:t>
      </w:r>
      <w:r>
        <w:rPr>
          <w:rFonts w:hint="eastAsia" w:ascii="Arial" w:hAnsi="Arial" w:eastAsia="宋体" w:cs="Arial"/>
          <w:sz w:val="24"/>
          <w:szCs w:val="24"/>
        </w:rPr>
        <w:t>不完整</w:t>
      </w:r>
      <w:r>
        <w:rPr>
          <w:rFonts w:ascii="Arial" w:hAnsi="Arial" w:eastAsia="宋体" w:cs="Arial"/>
          <w:sz w:val="24"/>
          <w:szCs w:val="24"/>
        </w:rPr>
        <w:t>报告并将其退回予以完善。报告适合归档时，将其录入CDRH的计算机系统并为其分配一个检索号。报告提交人将会收到一封确认函，其中包含我们为报告分配的检索号。将来在补充材料或年度报告中提供该型号系列的其它信息时请提及该检索号。</w:t>
      </w:r>
    </w:p>
    <w:p w14:paraId="7D12E071">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我们不批准这些报告或在报产品。依照良好生产规范并基于一个测试计划证明其产品遵从适用标准（21 CFR 1010 - 1050）是制造商的责任。要求制造商为进行州际贸易而装运产品前提交报告（21 CFR 1002）并遵从适用的所有进口要求（21 CFR 1005）。如果存在缺陷，我们可不批准公司的质控和测试计划或认定产品包含辐射瑕疵或未遵从某标准。如果我们做出如此认定，我们将通知制造商。然后，我们可能要求制造商在缺陷得到纠正前停止将其产品引入美国贸易并对已引入贸易的产品启动纠正行动计划（21 CFR 1003 - 1004）。</w:t>
      </w:r>
    </w:p>
    <w:p w14:paraId="2FB7D6D4">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我们正在将该报告指南上传至CDRH网站供下载和复制。它们没有版权，需要时可复制。网址：</w:t>
      </w:r>
      <w:r>
        <w:fldChar w:fldCharType="begin"/>
      </w:r>
      <w:r>
        <w:instrText xml:space="preserve"> HYPERLINK "http://www.fda.gov/cdrh/comp/eprc.html" </w:instrText>
      </w:r>
      <w:r>
        <w:fldChar w:fldCharType="separate"/>
      </w:r>
      <w:r>
        <w:rPr>
          <w:rStyle w:val="9"/>
          <w:rFonts w:ascii="Arial" w:hAnsi="Arial" w:eastAsia="宋体" w:cs="Arial"/>
          <w:color w:val="auto"/>
          <w:sz w:val="24"/>
          <w:szCs w:val="24"/>
          <w:u w:val="none"/>
        </w:rPr>
        <w:t>http://www.fda.gov/cdrh/comp/eprc.html</w:t>
      </w:r>
      <w:r>
        <w:rPr>
          <w:rStyle w:val="9"/>
          <w:rFonts w:ascii="Arial" w:hAnsi="Arial" w:eastAsia="宋体" w:cs="Arial"/>
          <w:color w:val="auto"/>
          <w:sz w:val="24"/>
          <w:szCs w:val="24"/>
          <w:u w:val="none"/>
        </w:rPr>
        <w:fldChar w:fldCharType="end"/>
      </w:r>
      <w:r>
        <w:rPr>
          <w:rFonts w:ascii="Arial" w:hAnsi="Arial" w:eastAsia="宋体" w:cs="Arial"/>
          <w:sz w:val="24"/>
          <w:szCs w:val="24"/>
        </w:rPr>
        <w:t>。</w:t>
      </w:r>
    </w:p>
    <w:p w14:paraId="5CF16B3E">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请将您的报告寄至以下地址（尚不能受理电子申请材料）。提供一份英文原始文件（请勿传真），指南另有规定者除外。制作一个报告完成稿副本用于存档。如果您想对报告指南或电子摘要或将来的电子申请材料提出评论，可将评论寄至相同地址。如果您需要电子产品或医疗器械的其它法规，请致电1-800-638-2041或301-443-6597或发送传真至301-443-8818与小制造商、国际事务和消费者援助处联系。</w:t>
      </w:r>
    </w:p>
    <w:p w14:paraId="21F6EC3C">
      <w:pPr>
        <w:widowControl/>
        <w:jc w:val="left"/>
        <w:rPr>
          <w:rFonts w:ascii="Arial" w:hAnsi="Arial" w:eastAsia="宋体" w:cs="Arial"/>
          <w:sz w:val="24"/>
          <w:szCs w:val="24"/>
        </w:rPr>
      </w:pPr>
      <w:r>
        <w:rPr>
          <w:rFonts w:ascii="Arial" w:hAnsi="Arial" w:eastAsia="宋体" w:cs="Arial"/>
          <w:sz w:val="24"/>
          <w:szCs w:val="24"/>
        </w:rPr>
        <w:br w:type="page"/>
      </w:r>
    </w:p>
    <w:p w14:paraId="090D72A7">
      <w:pPr>
        <w:overflowPunct w:val="0"/>
        <w:snapToGrid w:val="0"/>
        <w:spacing w:after="234" w:afterLines="75" w:line="300" w:lineRule="auto"/>
        <w:ind w:left="5250" w:leftChars="2500"/>
        <w:rPr>
          <w:rFonts w:ascii="Arial" w:hAnsi="Arial" w:eastAsia="宋体" w:cs="Arial"/>
          <w:sz w:val="24"/>
          <w:szCs w:val="24"/>
        </w:rPr>
      </w:pPr>
      <w:r>
        <w:rPr>
          <w:sz w:val="24"/>
          <w:szCs w:val="24"/>
        </w:rPr>
        <w:drawing>
          <wp:inline distT="0" distB="0" distL="0" distR="0">
            <wp:extent cx="1637665" cy="6470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38095" cy="647619"/>
                    </a:xfrm>
                    <a:prstGeom prst="rect">
                      <a:avLst/>
                    </a:prstGeom>
                  </pic:spPr>
                </pic:pic>
              </a:graphicData>
            </a:graphic>
          </wp:inline>
        </w:drawing>
      </w:r>
    </w:p>
    <w:p w14:paraId="19331FED">
      <w:pPr>
        <w:overflowPunct w:val="0"/>
        <w:snapToGrid w:val="0"/>
        <w:spacing w:after="234" w:afterLines="75" w:line="300" w:lineRule="auto"/>
        <w:ind w:left="5250" w:leftChars="2500"/>
        <w:rPr>
          <w:rFonts w:ascii="Arial" w:hAnsi="Arial" w:eastAsia="宋体" w:cs="Arial"/>
          <w:sz w:val="24"/>
          <w:szCs w:val="24"/>
        </w:rPr>
      </w:pPr>
      <w:r>
        <w:rPr>
          <w:rFonts w:ascii="Arial" w:hAnsi="Arial" w:eastAsia="宋体" w:cs="Arial"/>
          <w:sz w:val="24"/>
          <w:szCs w:val="24"/>
        </w:rPr>
        <w:t>Lillian J. Gill</w:t>
      </w:r>
    </w:p>
    <w:p w14:paraId="2C873B1F">
      <w:pPr>
        <w:overflowPunct w:val="0"/>
        <w:snapToGrid w:val="0"/>
        <w:spacing w:after="234" w:afterLines="75" w:line="300" w:lineRule="auto"/>
        <w:ind w:left="5250" w:leftChars="2500"/>
        <w:rPr>
          <w:rFonts w:ascii="Arial" w:hAnsi="Arial" w:eastAsia="宋体" w:cs="Arial"/>
          <w:sz w:val="24"/>
          <w:szCs w:val="24"/>
        </w:rPr>
      </w:pPr>
      <w:r>
        <w:rPr>
          <w:rFonts w:ascii="Arial" w:hAnsi="Arial" w:eastAsia="宋体" w:cs="Arial"/>
          <w:sz w:val="24"/>
          <w:szCs w:val="24"/>
        </w:rPr>
        <w:t>合规办公室主任</w:t>
      </w:r>
    </w:p>
    <w:p w14:paraId="25E1A2BC">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邮寄地址：</w:t>
      </w:r>
    </w:p>
    <w:p w14:paraId="6E1190E4">
      <w:pPr>
        <w:overflowPunct w:val="0"/>
        <w:snapToGrid w:val="0"/>
        <w:spacing w:line="360" w:lineRule="auto"/>
        <w:ind w:left="840" w:leftChars="400"/>
        <w:rPr>
          <w:rFonts w:ascii="Arial" w:hAnsi="Arial" w:eastAsia="宋体" w:cs="Arial"/>
          <w:sz w:val="24"/>
          <w:szCs w:val="24"/>
        </w:rPr>
      </w:pPr>
      <w:r>
        <w:rPr>
          <w:rFonts w:ascii="Arial" w:hAnsi="Arial" w:eastAsia="宋体" w:cs="Arial"/>
          <w:sz w:val="24"/>
          <w:szCs w:val="24"/>
        </w:rPr>
        <w:t>器械和放射卫生中心</w:t>
      </w:r>
    </w:p>
    <w:p w14:paraId="0A541076">
      <w:pPr>
        <w:overflowPunct w:val="0"/>
        <w:snapToGrid w:val="0"/>
        <w:spacing w:line="360" w:lineRule="auto"/>
        <w:ind w:left="840" w:leftChars="400"/>
        <w:rPr>
          <w:rFonts w:ascii="Arial" w:hAnsi="Arial" w:eastAsia="宋体" w:cs="Arial"/>
          <w:sz w:val="24"/>
          <w:szCs w:val="24"/>
        </w:rPr>
      </w:pPr>
      <w:r>
        <w:rPr>
          <w:rFonts w:ascii="Arial" w:hAnsi="Arial" w:eastAsia="宋体" w:cs="Arial"/>
          <w:sz w:val="24"/>
          <w:szCs w:val="24"/>
        </w:rPr>
        <w:t>关于：电子产品报告</w:t>
      </w:r>
    </w:p>
    <w:p w14:paraId="24D98118">
      <w:pPr>
        <w:overflowPunct w:val="0"/>
        <w:snapToGrid w:val="0"/>
        <w:spacing w:line="360" w:lineRule="auto"/>
        <w:ind w:left="840" w:leftChars="400"/>
        <w:rPr>
          <w:rFonts w:ascii="Arial" w:hAnsi="Arial" w:eastAsia="宋体" w:cs="Arial"/>
          <w:sz w:val="24"/>
          <w:szCs w:val="24"/>
        </w:rPr>
      </w:pPr>
      <w:r>
        <w:rPr>
          <w:rFonts w:ascii="Arial" w:hAnsi="Arial" w:eastAsia="宋体" w:cs="Arial"/>
          <w:sz w:val="24"/>
          <w:szCs w:val="24"/>
        </w:rPr>
        <w:t>电子产品文档控制（HFZ-309）</w:t>
      </w:r>
    </w:p>
    <w:p w14:paraId="6A9D7DF3">
      <w:pPr>
        <w:overflowPunct w:val="0"/>
        <w:snapToGrid w:val="0"/>
        <w:spacing w:line="360" w:lineRule="auto"/>
        <w:ind w:left="840" w:leftChars="400"/>
        <w:rPr>
          <w:rFonts w:ascii="Arial" w:hAnsi="Arial" w:eastAsia="宋体" w:cs="Arial"/>
          <w:sz w:val="24"/>
          <w:szCs w:val="24"/>
        </w:rPr>
      </w:pPr>
      <w:r>
        <w:rPr>
          <w:rFonts w:ascii="Arial" w:hAnsi="Arial" w:eastAsia="宋体" w:cs="Arial"/>
          <w:sz w:val="24"/>
          <w:szCs w:val="24"/>
        </w:rPr>
        <w:t xml:space="preserve">交流、教育和放射项目办公室 </w:t>
      </w:r>
    </w:p>
    <w:p w14:paraId="183A6B8C">
      <w:pPr>
        <w:overflowPunct w:val="0"/>
        <w:snapToGrid w:val="0"/>
        <w:spacing w:line="360" w:lineRule="auto"/>
        <w:ind w:left="840" w:leftChars="400"/>
        <w:rPr>
          <w:rFonts w:ascii="Arial" w:hAnsi="Arial" w:eastAsia="宋体" w:cs="Arial"/>
          <w:sz w:val="24"/>
          <w:szCs w:val="24"/>
        </w:rPr>
      </w:pPr>
      <w:r>
        <w:rPr>
          <w:rFonts w:ascii="Arial" w:hAnsi="Arial" w:eastAsia="宋体" w:cs="Arial"/>
          <w:sz w:val="24"/>
          <w:szCs w:val="24"/>
        </w:rPr>
        <w:t>9200 Corporate Blvd.</w:t>
      </w:r>
    </w:p>
    <w:p w14:paraId="751D7330">
      <w:pPr>
        <w:overflowPunct w:val="0"/>
        <w:snapToGrid w:val="0"/>
        <w:spacing w:after="234" w:afterLines="75" w:line="360" w:lineRule="auto"/>
        <w:ind w:left="840" w:leftChars="400"/>
        <w:rPr>
          <w:rFonts w:ascii="Arial" w:hAnsi="Arial" w:eastAsia="宋体" w:cs="Arial"/>
          <w:sz w:val="24"/>
          <w:szCs w:val="24"/>
        </w:rPr>
      </w:pPr>
      <w:r>
        <w:rPr>
          <w:rFonts w:ascii="Arial" w:hAnsi="Arial" w:eastAsia="宋体" w:cs="Arial"/>
          <w:sz w:val="24"/>
          <w:szCs w:val="24"/>
        </w:rPr>
        <w:t>Rockville，MD</w:t>
      </w:r>
      <w:r>
        <w:rPr>
          <w:rFonts w:ascii="Arial" w:hAnsi="Arial" w:eastAsia="宋体" w:cs="Arial"/>
          <w:sz w:val="24"/>
          <w:szCs w:val="24"/>
        </w:rPr>
        <w:tab/>
      </w:r>
      <w:r>
        <w:rPr>
          <w:rFonts w:ascii="Arial" w:hAnsi="Arial" w:eastAsia="宋体" w:cs="Arial"/>
          <w:sz w:val="24"/>
          <w:szCs w:val="24"/>
        </w:rPr>
        <w:t>20850</w:t>
      </w:r>
    </w:p>
    <w:p w14:paraId="75BB40B8">
      <w:pPr>
        <w:overflowPunct w:val="0"/>
        <w:snapToGrid w:val="0"/>
        <w:spacing w:after="234" w:afterLines="75" w:line="360" w:lineRule="auto"/>
        <w:rPr>
          <w:rFonts w:ascii="Arial" w:hAnsi="Arial" w:eastAsia="宋体" w:cs="Arial"/>
          <w:sz w:val="24"/>
          <w:szCs w:val="24"/>
        </w:rPr>
      </w:pPr>
    </w:p>
    <w:p w14:paraId="0920C99E">
      <w:pPr>
        <w:overflowPunct w:val="0"/>
        <w:snapToGrid w:val="0"/>
        <w:spacing w:after="234" w:afterLines="75" w:line="360" w:lineRule="auto"/>
        <w:jc w:val="center"/>
        <w:rPr>
          <w:rFonts w:ascii="Arial" w:hAnsi="Arial" w:eastAsia="宋体" w:cs="Arial"/>
          <w:sz w:val="24"/>
          <w:szCs w:val="24"/>
        </w:rPr>
      </w:pPr>
      <w:r>
        <w:rPr>
          <w:rFonts w:hint="eastAsia" w:ascii="Arial" w:hAnsi="Arial" w:eastAsia="宋体" w:cs="Arial"/>
          <w:sz w:val="24"/>
          <w:szCs w:val="24"/>
        </w:rPr>
        <w:t>备注</w:t>
      </w:r>
    </w:p>
    <w:p w14:paraId="22FBFA9A">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对太阳灯和太阳灯产品制造商而言，本指南取代</w:t>
      </w:r>
      <w:r>
        <w:rPr>
          <w:rFonts w:ascii="宋体" w:hAnsi="宋体" w:eastAsia="宋体" w:cs="Arial"/>
          <w:sz w:val="24"/>
          <w:szCs w:val="24"/>
        </w:rPr>
        <w:t>“</w:t>
      </w:r>
      <w:r>
        <w:rPr>
          <w:rFonts w:ascii="Arial" w:hAnsi="Arial" w:eastAsia="宋体" w:cs="Arial"/>
          <w:sz w:val="24"/>
          <w:szCs w:val="24"/>
        </w:rPr>
        <w:t>年度报告归档指南（联邦法规第21编第J分章第1002.11节）</w:t>
      </w:r>
      <w:r>
        <w:rPr>
          <w:rFonts w:ascii="宋体" w:hAnsi="宋体" w:eastAsia="宋体" w:cs="Arial"/>
          <w:sz w:val="24"/>
          <w:szCs w:val="24"/>
        </w:rPr>
        <w:t>”</w:t>
      </w:r>
      <w:r>
        <w:rPr>
          <w:rFonts w:ascii="Arial" w:hAnsi="Arial" w:eastAsia="宋体" w:cs="Arial"/>
          <w:sz w:val="24"/>
          <w:szCs w:val="24"/>
        </w:rPr>
        <w:t>（</w:t>
      </w:r>
      <w:r>
        <w:rPr>
          <w:rFonts w:hint="eastAsia" w:ascii="Arial" w:hAnsi="Arial" w:eastAsia="宋体" w:cs="Arial"/>
          <w:sz w:val="24"/>
          <w:szCs w:val="24"/>
        </w:rPr>
        <w:t>HHS</w:t>
      </w:r>
      <w:r>
        <w:rPr>
          <w:rFonts w:ascii="Arial" w:hAnsi="Arial" w:eastAsia="宋体" w:cs="Arial"/>
          <w:sz w:val="24"/>
          <w:szCs w:val="24"/>
        </w:rPr>
        <w:t>出版物FDA 82-8127）。其它电子产品年度报告制作指南可按下列方式索取。致电（301）443-6597或1-800-638-2041或致函下列地址：</w:t>
      </w:r>
      <w:r>
        <w:rPr>
          <w:rFonts w:hint="eastAsia" w:ascii="Arial" w:hAnsi="Arial" w:eastAsia="宋体" w:cs="Arial"/>
          <w:sz w:val="24"/>
          <w:szCs w:val="24"/>
        </w:rPr>
        <w:t>小制造商援助处</w:t>
      </w:r>
      <w:r>
        <w:rPr>
          <w:rFonts w:ascii="Arial" w:hAnsi="Arial" w:eastAsia="宋体" w:cs="Arial"/>
          <w:sz w:val="24"/>
          <w:szCs w:val="24"/>
        </w:rPr>
        <w:t>（HFZ-220），器械和放射卫生中心，Rockville，MD 20850。</w:t>
      </w:r>
    </w:p>
    <w:p w14:paraId="08A5F826">
      <w:pPr>
        <w:pBdr>
          <w:bottom w:val="single" w:color="auto" w:sz="4" w:space="1"/>
        </w:pBdr>
        <w:overflowPunct w:val="0"/>
        <w:snapToGrid w:val="0"/>
        <w:spacing w:after="234" w:afterLines="75" w:line="360" w:lineRule="auto"/>
        <w:jc w:val="center"/>
        <w:rPr>
          <w:rFonts w:ascii="Arial" w:hAnsi="Arial" w:eastAsia="宋体" w:cs="Arial"/>
          <w:sz w:val="24"/>
          <w:szCs w:val="24"/>
        </w:rPr>
      </w:pPr>
    </w:p>
    <w:p w14:paraId="75043090">
      <w:pPr>
        <w:overflowPunct w:val="0"/>
        <w:snapToGrid w:val="0"/>
        <w:spacing w:after="234" w:afterLines="75" w:line="360" w:lineRule="auto"/>
        <w:jc w:val="center"/>
        <w:rPr>
          <w:rFonts w:ascii="Arial" w:hAnsi="Arial" w:eastAsia="宋体" w:cs="Arial"/>
          <w:sz w:val="24"/>
          <w:szCs w:val="24"/>
        </w:rPr>
      </w:pPr>
      <w:r>
        <w:rPr>
          <w:rFonts w:ascii="Arial" w:hAnsi="Arial" w:eastAsia="宋体" w:cs="Arial"/>
          <w:sz w:val="24"/>
          <w:szCs w:val="24"/>
        </w:rPr>
        <w:t>提示</w:t>
      </w:r>
    </w:p>
    <w:p w14:paraId="1E9E9CBD">
      <w:pPr>
        <w:overflowPunct w:val="0"/>
        <w:snapToGrid w:val="0"/>
        <w:spacing w:after="234" w:afterLines="75" w:line="360" w:lineRule="auto"/>
        <w:jc w:val="center"/>
        <w:rPr>
          <w:rFonts w:ascii="Arial" w:hAnsi="Arial" w:eastAsia="宋体" w:cs="Arial"/>
          <w:sz w:val="24"/>
          <w:szCs w:val="24"/>
        </w:rPr>
      </w:pPr>
      <w:r>
        <w:rPr>
          <w:rFonts w:ascii="Arial" w:hAnsi="Arial" w:eastAsia="宋体" w:cs="Arial"/>
          <w:sz w:val="24"/>
          <w:szCs w:val="24"/>
        </w:rPr>
        <w:t>意外辐射事件</w:t>
      </w:r>
    </w:p>
    <w:p w14:paraId="20F71AEA">
      <w:pPr>
        <w:pBdr>
          <w:bottom w:val="single" w:color="auto" w:sz="4" w:space="1"/>
        </w:pBd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联邦法规第21编第J分章第1002.20节要求您立即报告意外辐射事件。您获报或以其它方式获知以及生产、测试或使用您引入或拟引入贸易</w:t>
      </w:r>
      <w:r>
        <w:rPr>
          <w:rFonts w:hint="eastAsia" w:ascii="Arial" w:hAnsi="Arial" w:eastAsia="宋体" w:cs="Arial"/>
          <w:sz w:val="24"/>
          <w:szCs w:val="24"/>
        </w:rPr>
        <w:t>的</w:t>
      </w:r>
      <w:r>
        <w:rPr>
          <w:rFonts w:ascii="Arial" w:hAnsi="Arial" w:eastAsia="宋体" w:cs="Arial"/>
          <w:sz w:val="24"/>
          <w:szCs w:val="24"/>
        </w:rPr>
        <w:t>任何产品造成的所有意外辐射事故均应向器械和放射卫生中心主任报告。</w:t>
      </w:r>
    </w:p>
    <w:p w14:paraId="4C9B776F">
      <w:pPr>
        <w:widowControl/>
        <w:snapToGrid w:val="0"/>
        <w:spacing w:after="234" w:afterLines="75" w:line="300" w:lineRule="auto"/>
        <w:jc w:val="left"/>
        <w:rPr>
          <w:rFonts w:ascii="Arial" w:hAnsi="Arial" w:eastAsia="宋体" w:cs="Arial"/>
          <w:sz w:val="24"/>
          <w:szCs w:val="24"/>
        </w:rPr>
      </w:pPr>
      <w:r>
        <w:rPr>
          <w:rFonts w:ascii="Arial" w:hAnsi="Arial" w:eastAsia="宋体" w:cs="Arial"/>
          <w:sz w:val="24"/>
          <w:szCs w:val="24"/>
        </w:rPr>
        <w:br w:type="page"/>
      </w:r>
    </w:p>
    <w:p w14:paraId="75A809FB">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收信人：依照</w:t>
      </w:r>
      <w:r>
        <w:rPr>
          <w:rFonts w:ascii="宋体" w:hAnsi="宋体" w:eastAsia="宋体" w:cs="Arial"/>
          <w:sz w:val="24"/>
          <w:szCs w:val="24"/>
        </w:rPr>
        <w:t>“</w:t>
      </w:r>
      <w:r>
        <w:rPr>
          <w:rFonts w:ascii="Arial" w:hAnsi="Arial" w:eastAsia="宋体" w:cs="Arial"/>
          <w:sz w:val="24"/>
          <w:szCs w:val="24"/>
        </w:rPr>
        <w:t>联邦食品、药品和化妆品法案第V章第C分章－电子产品辐射控制</w:t>
      </w:r>
      <w:r>
        <w:rPr>
          <w:rFonts w:ascii="宋体" w:hAnsi="宋体" w:eastAsia="宋体" w:cs="Arial"/>
          <w:sz w:val="24"/>
          <w:szCs w:val="24"/>
        </w:rPr>
        <w:t>”</w:t>
      </w:r>
      <w:r>
        <w:rPr>
          <w:rFonts w:ascii="Arial" w:hAnsi="Arial" w:eastAsia="宋体" w:cs="Arial"/>
          <w:sz w:val="24"/>
          <w:szCs w:val="24"/>
        </w:rPr>
        <w:t>受年度报告要求管辖的所有电子产品制造商。</w:t>
      </w:r>
    </w:p>
    <w:p w14:paraId="4B6D74EE">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主题：辐射安全测试年度报告的归档</w:t>
      </w:r>
    </w:p>
    <w:p w14:paraId="51663D3E">
      <w:pPr>
        <w:overflowPunct w:val="0"/>
        <w:snapToGrid w:val="0"/>
        <w:spacing w:after="156" w:afterLines="50" w:line="360" w:lineRule="auto"/>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联邦食品、药品和化妆品法案第V章第C分章－电子产品辐射控制</w:t>
      </w:r>
      <w:r>
        <w:rPr>
          <w:rFonts w:ascii="宋体" w:hAnsi="宋体" w:eastAsia="宋体" w:cs="Arial"/>
          <w:sz w:val="24"/>
          <w:szCs w:val="24"/>
        </w:rPr>
        <w:t>”</w:t>
      </w:r>
      <w:r>
        <w:rPr>
          <w:rFonts w:ascii="Arial" w:hAnsi="Arial" w:eastAsia="宋体" w:cs="Arial"/>
          <w:sz w:val="24"/>
          <w:szCs w:val="24"/>
        </w:rPr>
        <w:t>指导卫生和人类服务部对行业实施的测试计划进行评价，以确保针对电子产品有害辐射防护措施的适当性并确保产品遵从性能标准。该法案还要求电子产品制造商建立并维护记录，提供辐射安全性能数据及其测试计划的相关信息。</w:t>
      </w:r>
    </w:p>
    <w:p w14:paraId="4FE138F9">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为了履行该法案赋予的责任，食品药品监督管理局器械和放射卫生中心（CDRH）颁布了包含在联邦法规（CFR）第21编中的相关法规。21 CFR第1002部应对了记录和报告。第1002.13节要求此类制造商提交年度报告，对要求记录的内容加以概述。第1002.7节要求报告符合CDRH颁布的报告指南，除非对替代格式提供了可接受的理由。</w:t>
      </w:r>
    </w:p>
    <w:p w14:paraId="0788E37B">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保存该报告指南，并于每年</w:t>
      </w:r>
      <w:r>
        <w:rPr>
          <w:rFonts w:hint="eastAsia" w:ascii="Arial" w:hAnsi="Arial" w:eastAsia="宋体" w:cs="Arial"/>
          <w:sz w:val="24"/>
          <w:szCs w:val="24"/>
        </w:rPr>
        <w:t>使用</w:t>
      </w:r>
      <w:r>
        <w:rPr>
          <w:rFonts w:ascii="Arial" w:hAnsi="Arial" w:eastAsia="宋体" w:cs="Arial"/>
          <w:sz w:val="24"/>
          <w:szCs w:val="24"/>
        </w:rPr>
        <w:t>。待颁布修订版时，将给您发送通知。您必须于每年9月1日前提交您的年度报告，除非您收到了CDRH依据21 CFR 1002.50发出的豁免函。您应复制本指南中的表格并将其包含在您的报告中，而且还要保留一个副本作为记录。对专有信息应明确、清晰地予以标出。我们将利用您在报告中提交的信息对您的测试计划进行评价，并确认安全问题，还要对FDA将要实施的监督计划水平和类型（如产品测试和工厂检查）做出决定。</w:t>
      </w:r>
    </w:p>
    <w:p w14:paraId="4340EBC6">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收到您的年度报告后，CDRH将给您发送一封确认函，其中包含一个检索号。每当您提交其它信息时均应提及该检索号。若需提交其它信息或做出澄清，您将会收到进一步的信息。</w:t>
      </w:r>
    </w:p>
    <w:p w14:paraId="15823CBC">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您的报告完成后请</w:t>
      </w:r>
      <w:r>
        <w:rPr>
          <w:rFonts w:hint="eastAsia" w:ascii="Arial" w:hAnsi="Arial" w:eastAsia="宋体" w:cs="Arial"/>
          <w:sz w:val="24"/>
          <w:szCs w:val="24"/>
        </w:rPr>
        <w:t>邮寄</w:t>
      </w:r>
      <w:r>
        <w:rPr>
          <w:rFonts w:ascii="Arial" w:hAnsi="Arial" w:eastAsia="宋体" w:cs="Arial"/>
          <w:sz w:val="24"/>
          <w:szCs w:val="24"/>
        </w:rPr>
        <w:t>至：</w:t>
      </w:r>
    </w:p>
    <w:p w14:paraId="6B891F3C">
      <w:pPr>
        <w:overflowPunct w:val="0"/>
        <w:snapToGrid w:val="0"/>
        <w:spacing w:line="360" w:lineRule="auto"/>
        <w:ind w:left="840" w:leftChars="400"/>
        <w:rPr>
          <w:rFonts w:ascii="Arial" w:hAnsi="Arial" w:eastAsia="宋体" w:cs="Arial"/>
          <w:sz w:val="24"/>
          <w:szCs w:val="24"/>
        </w:rPr>
      </w:pPr>
      <w:r>
        <w:rPr>
          <w:rFonts w:ascii="Arial" w:hAnsi="Arial" w:eastAsia="宋体" w:cs="Arial"/>
          <w:sz w:val="24"/>
          <w:szCs w:val="24"/>
        </w:rPr>
        <w:t>器械和放射卫生中心</w:t>
      </w:r>
    </w:p>
    <w:p w14:paraId="6FB25689">
      <w:pPr>
        <w:overflowPunct w:val="0"/>
        <w:snapToGrid w:val="0"/>
        <w:spacing w:line="360" w:lineRule="auto"/>
        <w:ind w:left="840" w:leftChars="400"/>
        <w:rPr>
          <w:rFonts w:ascii="Arial" w:hAnsi="Arial" w:eastAsia="宋体" w:cs="Arial"/>
          <w:sz w:val="24"/>
          <w:szCs w:val="24"/>
        </w:rPr>
      </w:pPr>
      <w:r>
        <w:rPr>
          <w:rFonts w:ascii="Arial" w:hAnsi="Arial" w:eastAsia="宋体" w:cs="Arial"/>
          <w:sz w:val="24"/>
          <w:szCs w:val="24"/>
        </w:rPr>
        <w:t>关于：电子产品报告</w:t>
      </w:r>
    </w:p>
    <w:p w14:paraId="259BC74A">
      <w:pPr>
        <w:overflowPunct w:val="0"/>
        <w:snapToGrid w:val="0"/>
        <w:spacing w:line="360" w:lineRule="auto"/>
        <w:ind w:left="840" w:leftChars="400"/>
        <w:rPr>
          <w:rFonts w:ascii="Arial" w:hAnsi="Arial" w:eastAsia="宋体" w:cs="Arial"/>
          <w:sz w:val="24"/>
          <w:szCs w:val="24"/>
        </w:rPr>
      </w:pPr>
      <w:r>
        <w:rPr>
          <w:rFonts w:ascii="Arial" w:hAnsi="Arial" w:eastAsia="宋体" w:cs="Arial"/>
          <w:sz w:val="24"/>
          <w:szCs w:val="24"/>
        </w:rPr>
        <w:t>电子产品文档控制（HFZ-309）</w:t>
      </w:r>
    </w:p>
    <w:p w14:paraId="4AADA826">
      <w:pPr>
        <w:overflowPunct w:val="0"/>
        <w:snapToGrid w:val="0"/>
        <w:spacing w:line="360" w:lineRule="auto"/>
        <w:ind w:left="840" w:leftChars="400"/>
        <w:rPr>
          <w:rFonts w:ascii="Arial" w:hAnsi="Arial" w:eastAsia="宋体" w:cs="Arial"/>
          <w:sz w:val="24"/>
          <w:szCs w:val="24"/>
        </w:rPr>
      </w:pPr>
      <w:r>
        <w:rPr>
          <w:rFonts w:ascii="Arial" w:hAnsi="Arial" w:eastAsia="宋体" w:cs="Arial"/>
          <w:sz w:val="24"/>
          <w:szCs w:val="24"/>
        </w:rPr>
        <w:t>交流、教育和放射项目办公室</w:t>
      </w:r>
    </w:p>
    <w:p w14:paraId="696EDA1B">
      <w:pPr>
        <w:overflowPunct w:val="0"/>
        <w:snapToGrid w:val="0"/>
        <w:spacing w:line="360" w:lineRule="auto"/>
        <w:ind w:left="840" w:leftChars="400"/>
        <w:rPr>
          <w:rFonts w:ascii="Arial" w:hAnsi="Arial" w:eastAsia="宋体" w:cs="Arial"/>
          <w:sz w:val="24"/>
          <w:szCs w:val="24"/>
        </w:rPr>
      </w:pPr>
      <w:r>
        <w:rPr>
          <w:rFonts w:ascii="Arial" w:hAnsi="Arial" w:eastAsia="宋体" w:cs="Arial"/>
          <w:sz w:val="24"/>
          <w:szCs w:val="24"/>
        </w:rPr>
        <w:t>9200 Corporate Blvd.</w:t>
      </w:r>
    </w:p>
    <w:p w14:paraId="71A76E74">
      <w:pPr>
        <w:overflowPunct w:val="0"/>
        <w:snapToGrid w:val="0"/>
        <w:spacing w:after="156" w:afterLines="50" w:line="360" w:lineRule="auto"/>
        <w:ind w:left="840" w:leftChars="400"/>
        <w:rPr>
          <w:rFonts w:ascii="Arial" w:hAnsi="Arial" w:eastAsia="宋体" w:cs="Arial"/>
          <w:sz w:val="24"/>
          <w:szCs w:val="24"/>
        </w:rPr>
      </w:pPr>
      <w:r>
        <w:rPr>
          <w:rFonts w:ascii="Arial" w:hAnsi="Arial" w:eastAsia="宋体" w:cs="Arial"/>
          <w:sz w:val="24"/>
          <w:szCs w:val="24"/>
        </w:rPr>
        <w:t>Rockville，MD</w:t>
      </w:r>
      <w:r>
        <w:rPr>
          <w:rFonts w:ascii="Arial" w:hAnsi="Arial" w:eastAsia="宋体" w:cs="Arial"/>
          <w:sz w:val="24"/>
          <w:szCs w:val="24"/>
        </w:rPr>
        <w:tab/>
      </w:r>
      <w:r>
        <w:rPr>
          <w:rFonts w:ascii="Arial" w:hAnsi="Arial" w:eastAsia="宋体" w:cs="Arial"/>
          <w:sz w:val="24"/>
          <w:szCs w:val="24"/>
        </w:rPr>
        <w:t>20850</w:t>
      </w:r>
    </w:p>
    <w:p w14:paraId="2EE82C44">
      <w:pPr>
        <w:overflowPunct w:val="0"/>
        <w:snapToGrid w:val="0"/>
        <w:spacing w:line="360" w:lineRule="auto"/>
        <w:rPr>
          <w:rFonts w:ascii="Arial" w:hAnsi="Arial" w:eastAsia="宋体" w:cs="Arial"/>
          <w:sz w:val="24"/>
          <w:szCs w:val="24"/>
        </w:rPr>
      </w:pPr>
      <w:r>
        <w:rPr>
          <w:rFonts w:ascii="Arial" w:hAnsi="Arial" w:eastAsia="宋体" w:cs="Arial"/>
          <w:sz w:val="24"/>
          <w:szCs w:val="24"/>
        </w:rPr>
        <w:t>对报告若有疑问，或对本指南有变更建议，可将其送至以上地址或致电240-276-3332进行讨论。</w:t>
      </w:r>
    </w:p>
    <w:p w14:paraId="22DF2529">
      <w:pPr>
        <w:overflowPunct w:val="0"/>
        <w:snapToGrid w:val="0"/>
        <w:spacing w:line="360" w:lineRule="auto"/>
        <w:jc w:val="center"/>
        <w:rPr>
          <w:rFonts w:ascii="Arial" w:hAnsi="Arial" w:eastAsia="宋体" w:cs="Arial"/>
          <w:sz w:val="24"/>
          <w:szCs w:val="24"/>
        </w:rPr>
      </w:pPr>
      <w:r>
        <w:rPr>
          <w:rFonts w:ascii="Arial" w:hAnsi="Arial" w:eastAsia="宋体" w:cs="Arial"/>
          <w:sz w:val="24"/>
          <w:szCs w:val="24"/>
        </w:rPr>
        <w:t>说明：第1页</w:t>
      </w:r>
    </w:p>
    <w:p w14:paraId="143A9FD5">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一般说明</w:t>
      </w:r>
    </w:p>
    <w:p w14:paraId="2E2502FF">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为便于影印，所有说明均位于左手页，而相应表格则位于右手页。表格中提供了供填写内容的空白处、供打钩的括号（ ）和需完成的图表。这些材料可用打字机制作，也可用黑色墨水以手写印刷体制作。您仅需提交填好的表格以及您用单页纸提供的任何信息。用适当的部分编号给单页纸做上标记。</w:t>
      </w:r>
    </w:p>
    <w:p w14:paraId="5C92C70E">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第1部分：制造商标识</w:t>
      </w:r>
    </w:p>
    <w:p w14:paraId="7531ABA1">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填入要求信息并在标示处签名。在报告期间中填入年份。例证：应于1991年9月1日提交的报告应包含的报告年份是1990年7月1日至1991年6月30日。</w:t>
      </w:r>
    </w:p>
    <w:p w14:paraId="28E88D6B">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第2部分：生产状态</w:t>
      </w:r>
    </w:p>
    <w:p w14:paraId="32D889DD">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在适用于您公司的陈述处打钩并按指示采取行动。</w:t>
      </w:r>
    </w:p>
    <w:p w14:paraId="75D0CEDC">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第3部分：当前生产列表</w:t>
      </w:r>
    </w:p>
    <w:p w14:paraId="1CF78094">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采用表格或</w:t>
      </w:r>
      <w:r>
        <w:rPr>
          <w:rFonts w:hint="eastAsia" w:ascii="Arial" w:hAnsi="Arial" w:eastAsia="宋体" w:cs="Arial"/>
          <w:sz w:val="24"/>
          <w:szCs w:val="24"/>
        </w:rPr>
        <w:t>比较</w:t>
      </w:r>
      <w:r>
        <w:rPr>
          <w:rFonts w:ascii="Arial" w:hAnsi="Arial" w:eastAsia="宋体" w:cs="Arial"/>
          <w:sz w:val="24"/>
          <w:szCs w:val="24"/>
        </w:rPr>
        <w:t>列表提供生产数据。如果需要额外空白处，可另取1份表格</w:t>
      </w:r>
      <w:r>
        <w:rPr>
          <w:rFonts w:hint="eastAsia" w:ascii="Arial" w:hAnsi="Arial" w:eastAsia="宋体" w:cs="Arial"/>
          <w:sz w:val="24"/>
          <w:szCs w:val="24"/>
        </w:rPr>
        <w:t>副本</w:t>
      </w:r>
      <w:r>
        <w:rPr>
          <w:rFonts w:ascii="Arial" w:hAnsi="Arial" w:eastAsia="宋体" w:cs="Arial"/>
          <w:sz w:val="24"/>
          <w:szCs w:val="24"/>
        </w:rPr>
        <w:t>或另加一张纸并标上第3部分。</w:t>
      </w:r>
    </w:p>
    <w:p w14:paraId="36FBBCC7">
      <w:pPr>
        <w:overflowPunct w:val="0"/>
        <w:snapToGrid w:val="0"/>
        <w:spacing w:after="156" w:afterLines="50" w:line="360" w:lineRule="auto"/>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检索号</w:t>
      </w:r>
      <w:r>
        <w:rPr>
          <w:rFonts w:ascii="宋体" w:hAnsi="宋体" w:eastAsia="宋体" w:cs="Arial"/>
          <w:sz w:val="24"/>
          <w:szCs w:val="24"/>
        </w:rPr>
        <w:t>”</w:t>
      </w:r>
      <w:r>
        <w:rPr>
          <w:rFonts w:ascii="Arial" w:hAnsi="Arial" w:eastAsia="宋体" w:cs="Arial"/>
          <w:sz w:val="24"/>
          <w:szCs w:val="24"/>
        </w:rPr>
        <w:t>：对以前报告的型号，CDRH将分配此类唯一参考编号并将其通报给您。</w:t>
      </w:r>
    </w:p>
    <w:p w14:paraId="56C683CC">
      <w:pPr>
        <w:overflowPunct w:val="0"/>
        <w:snapToGrid w:val="0"/>
        <w:spacing w:after="156" w:afterLines="50" w:line="360" w:lineRule="auto"/>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品牌</w:t>
      </w:r>
      <w:r>
        <w:rPr>
          <w:rFonts w:ascii="宋体" w:hAnsi="宋体" w:eastAsia="宋体" w:cs="Arial"/>
          <w:sz w:val="24"/>
          <w:szCs w:val="24"/>
        </w:rPr>
        <w:t>”</w:t>
      </w:r>
      <w:r>
        <w:rPr>
          <w:rFonts w:ascii="Arial" w:hAnsi="Arial" w:eastAsia="宋体" w:cs="Arial"/>
          <w:sz w:val="24"/>
          <w:szCs w:val="24"/>
        </w:rPr>
        <w:t>：您可在图表中为每个品牌指定一个代码。单独在一张纸上提供每个品牌每个进口商或批发商的完整地址并确认所有代码。在这张纸上标上第3部分。</w:t>
      </w:r>
    </w:p>
    <w:p w14:paraId="31805294">
      <w:pPr>
        <w:overflowPunct w:val="0"/>
        <w:snapToGrid w:val="0"/>
        <w:spacing w:after="156" w:afterLines="50" w:line="360" w:lineRule="auto"/>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类型</w:t>
      </w:r>
      <w:r>
        <w:rPr>
          <w:rFonts w:ascii="宋体" w:hAnsi="宋体" w:eastAsia="宋体" w:cs="Arial"/>
          <w:sz w:val="24"/>
          <w:szCs w:val="24"/>
        </w:rPr>
        <w:t>”</w:t>
      </w:r>
      <w:r>
        <w:rPr>
          <w:rFonts w:ascii="Arial" w:hAnsi="Arial" w:eastAsia="宋体" w:cs="Arial"/>
          <w:sz w:val="24"/>
          <w:szCs w:val="24"/>
        </w:rPr>
        <w:t>：指出型号是单纯紫外线A照射灯（LA）、单纯紫外线B照射灯（LB）、家用便携式紫外线A消毒仪（PA）、家用便携式紫外线B消毒仪（PB）、小隔间紫外线A消毒仪（BA）、小隔间紫外线B消毒仪（BB）、小隔间紫外线A和B消毒仪（BC）、沙发床紫外线A消毒仪（CA）、沙发椅和顶部紫外线A消毒仪（CTA）或其它（O）。如果指出了（O），请单独在一张标注为第3部分的纸上提供对具体类型的描述。</w:t>
      </w:r>
    </w:p>
    <w:p w14:paraId="4E5F9969">
      <w:pPr>
        <w:overflowPunct w:val="0"/>
        <w:snapToGrid w:val="0"/>
        <w:spacing w:after="156" w:afterLines="50" w:line="360" w:lineRule="auto"/>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工厂位置</w:t>
      </w:r>
      <w:r>
        <w:rPr>
          <w:rFonts w:ascii="宋体" w:hAnsi="宋体" w:eastAsia="宋体" w:cs="Arial"/>
          <w:sz w:val="24"/>
          <w:szCs w:val="24"/>
        </w:rPr>
        <w:t>”</w:t>
      </w:r>
      <w:r>
        <w:rPr>
          <w:rFonts w:ascii="Arial" w:hAnsi="Arial" w:eastAsia="宋体" w:cs="Arial"/>
          <w:sz w:val="24"/>
          <w:szCs w:val="24"/>
        </w:rPr>
        <w:t>：可使用代码。单独在一张纸上提供每个生产场所的完整地址并确认所有代码。在这张纸上标上第3部分。</w:t>
      </w:r>
    </w:p>
    <w:p w14:paraId="2A2C017F">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终止（月</w:t>
      </w:r>
      <w:r>
        <w:rPr>
          <w:rFonts w:hint="eastAsia" w:ascii="Arial" w:hAnsi="Arial" w:eastAsia="宋体" w:cs="Arial"/>
          <w:sz w:val="24"/>
          <w:szCs w:val="24"/>
        </w:rPr>
        <w:t>／</w:t>
      </w:r>
      <w:r>
        <w:rPr>
          <w:rFonts w:ascii="Arial" w:hAnsi="Arial" w:eastAsia="宋体" w:cs="Arial"/>
          <w:sz w:val="24"/>
          <w:szCs w:val="24"/>
        </w:rPr>
        <w:t>年）：对报告时不再生产但在报告期内某个时间生产的任何型号，提供终止日期。</w:t>
      </w:r>
    </w:p>
    <w:p w14:paraId="25234AFD">
      <w:pPr>
        <w:overflowPunct w:val="0"/>
        <w:snapToGrid w:val="0"/>
        <w:spacing w:after="234" w:afterLines="75" w:line="360" w:lineRule="auto"/>
        <w:jc w:val="center"/>
        <w:rPr>
          <w:rFonts w:ascii="Arial" w:hAnsi="Arial" w:eastAsia="宋体" w:cs="Arial"/>
          <w:sz w:val="24"/>
          <w:szCs w:val="24"/>
        </w:rPr>
      </w:pPr>
      <w:r>
        <w:rPr>
          <w:rFonts w:ascii="Arial" w:hAnsi="Arial" w:eastAsia="宋体" w:cs="Arial"/>
          <w:sz w:val="24"/>
          <w:szCs w:val="24"/>
        </w:rPr>
        <w:t>太阳灯和太阳灯产品年度报告：第1页</w:t>
      </w:r>
    </w:p>
    <w:p w14:paraId="58DC67D1">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第1部分：制造商标识     报告日期：</w:t>
      </w:r>
    </w:p>
    <w:p w14:paraId="2AA82D88">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公司名称：</w:t>
      </w:r>
    </w:p>
    <w:p w14:paraId="0899F670">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地址：</w:t>
      </w:r>
    </w:p>
    <w:p w14:paraId="776C133C">
      <w:pPr>
        <w:overflowPunct w:val="0"/>
        <w:snapToGrid w:val="0"/>
        <w:spacing w:after="234" w:afterLines="75" w:line="360" w:lineRule="auto"/>
        <w:rPr>
          <w:rFonts w:ascii="Arial" w:hAnsi="Arial" w:eastAsia="宋体" w:cs="Arial"/>
          <w:sz w:val="24"/>
          <w:szCs w:val="24"/>
        </w:rPr>
      </w:pPr>
    </w:p>
    <w:p w14:paraId="4025E8ED">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依照21 CFR 1002.13</w:t>
      </w:r>
      <w:r>
        <w:rPr>
          <w:rFonts w:hint="eastAsia" w:ascii="Arial" w:hAnsi="Arial" w:eastAsia="宋体" w:cs="Arial"/>
          <w:sz w:val="24"/>
          <w:szCs w:val="24"/>
        </w:rPr>
        <w:t>的</w:t>
      </w:r>
      <w:r>
        <w:rPr>
          <w:rFonts w:ascii="Arial" w:hAnsi="Arial" w:eastAsia="宋体" w:cs="Arial"/>
          <w:sz w:val="24"/>
          <w:szCs w:val="24"/>
        </w:rPr>
        <w:t>规定提交本年度报告，时间跨度为19</w:t>
      </w:r>
      <w:r>
        <w:rPr>
          <w:rFonts w:hint="eastAsia" w:ascii="Arial" w:hAnsi="Arial" w:eastAsia="宋体" w:cs="Arial"/>
          <w:sz w:val="24"/>
          <w:szCs w:val="24"/>
        </w:rPr>
        <w:t>XX</w:t>
      </w:r>
      <w:r>
        <w:rPr>
          <w:rFonts w:ascii="Arial" w:hAnsi="Arial" w:eastAsia="宋体" w:cs="Arial"/>
          <w:sz w:val="24"/>
          <w:szCs w:val="24"/>
        </w:rPr>
        <w:t>年7月1日至19</w:t>
      </w:r>
      <w:r>
        <w:rPr>
          <w:rFonts w:hint="eastAsia" w:ascii="Arial" w:hAnsi="Arial" w:eastAsia="宋体" w:cs="Arial"/>
          <w:sz w:val="24"/>
          <w:szCs w:val="24"/>
        </w:rPr>
        <w:t>XX</w:t>
      </w:r>
      <w:r>
        <w:rPr>
          <w:rFonts w:ascii="Arial" w:hAnsi="Arial" w:eastAsia="宋体" w:cs="Arial"/>
          <w:sz w:val="24"/>
          <w:szCs w:val="24"/>
        </w:rPr>
        <w:t>年6月30日。</w:t>
      </w:r>
    </w:p>
    <w:p w14:paraId="2CF06ACA">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对应</w:t>
      </w:r>
      <w:r>
        <w:rPr>
          <w:rFonts w:hint="eastAsia" w:ascii="Arial" w:hAnsi="Arial" w:eastAsia="宋体" w:cs="Arial"/>
          <w:sz w:val="24"/>
          <w:szCs w:val="24"/>
        </w:rPr>
        <w:t>负责人</w:t>
      </w:r>
      <w:r>
        <w:rPr>
          <w:rFonts w:ascii="Arial" w:hAnsi="Arial" w:eastAsia="宋体" w:cs="Arial"/>
          <w:sz w:val="24"/>
          <w:szCs w:val="24"/>
        </w:rPr>
        <w:t>（签名）：</w:t>
      </w:r>
    </w:p>
    <w:p w14:paraId="5DE28B88">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姓名和职务：</w:t>
      </w:r>
    </w:p>
    <w:p w14:paraId="6BD03EE6">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电话：</w:t>
      </w:r>
    </w:p>
    <w:p w14:paraId="643ED672">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第2部分：产品状态</w:t>
      </w:r>
    </w:p>
    <w:p w14:paraId="04C15D57">
      <w:pPr>
        <w:overflowPunct w:val="0"/>
        <w:snapToGrid w:val="0"/>
        <w:spacing w:after="234" w:afterLines="75" w:line="360" w:lineRule="auto"/>
        <w:ind w:left="684" w:hanging="684" w:hangingChars="285"/>
        <w:rPr>
          <w:rFonts w:ascii="Arial" w:hAnsi="Arial" w:eastAsia="宋体" w:cs="Arial"/>
          <w:sz w:val="24"/>
          <w:szCs w:val="24"/>
        </w:rPr>
      </w:pPr>
      <w:r>
        <w:rPr>
          <w:rFonts w:ascii="Arial" w:hAnsi="Arial" w:eastAsia="宋体" w:cs="Arial"/>
          <w:sz w:val="24"/>
          <w:szCs w:val="24"/>
        </w:rPr>
        <w:t>（  ）产品在此期间生产且公司仍在经营。如果您选此项，请完成并邮寄此全部报告。</w:t>
      </w:r>
    </w:p>
    <w:p w14:paraId="1A8AFEC0">
      <w:pPr>
        <w:overflowPunct w:val="0"/>
        <w:snapToGrid w:val="0"/>
        <w:spacing w:after="234" w:afterLines="75" w:line="360" w:lineRule="auto"/>
        <w:ind w:left="684" w:hanging="684" w:hangingChars="285"/>
        <w:rPr>
          <w:rFonts w:ascii="Arial" w:hAnsi="Arial" w:eastAsia="宋体" w:cs="Arial"/>
          <w:sz w:val="24"/>
          <w:szCs w:val="24"/>
        </w:rPr>
      </w:pPr>
      <w:r>
        <w:rPr>
          <w:rFonts w:ascii="Arial" w:hAnsi="Arial" w:eastAsia="宋体" w:cs="Arial"/>
          <w:sz w:val="24"/>
          <w:szCs w:val="24"/>
        </w:rPr>
        <w:t>（  ）在此期间未生产产品，但公司仍在经营并希望将来生产。如果您选此项，请完成第6部分并邮寄第1页和第3页。</w:t>
      </w:r>
    </w:p>
    <w:p w14:paraId="66387E74">
      <w:pPr>
        <w:overflowPunct w:val="0"/>
        <w:snapToGrid w:val="0"/>
        <w:spacing w:after="234" w:afterLines="75" w:line="360" w:lineRule="auto"/>
        <w:ind w:left="684" w:hanging="684" w:hangingChars="285"/>
        <w:rPr>
          <w:rFonts w:ascii="Arial" w:hAnsi="Arial" w:eastAsia="宋体" w:cs="Arial"/>
          <w:sz w:val="24"/>
          <w:szCs w:val="24"/>
        </w:rPr>
      </w:pPr>
      <w:r>
        <w:rPr>
          <w:rFonts w:ascii="Arial" w:hAnsi="Arial" w:eastAsia="宋体" w:cs="Arial"/>
          <w:sz w:val="24"/>
          <w:szCs w:val="24"/>
        </w:rPr>
        <w:t>（  ）在此期间未生产产品且公司已停业。如果您选此项，请完成第6部分并邮寄第1页和第3页。</w:t>
      </w:r>
    </w:p>
    <w:p w14:paraId="029B05DD">
      <w:pPr>
        <w:overflowPunct w:val="0"/>
        <w:snapToGrid w:val="0"/>
        <w:spacing w:after="234" w:afterLines="75" w:line="360" w:lineRule="auto"/>
        <w:ind w:left="684" w:hanging="684" w:hangingChars="285"/>
        <w:rPr>
          <w:rFonts w:ascii="Arial" w:hAnsi="Arial" w:eastAsia="宋体" w:cs="Arial"/>
          <w:sz w:val="24"/>
          <w:szCs w:val="24"/>
        </w:rPr>
      </w:pPr>
      <w:r>
        <w:rPr>
          <w:rFonts w:ascii="Arial" w:hAnsi="Arial" w:eastAsia="宋体" w:cs="Arial"/>
          <w:sz w:val="24"/>
          <w:szCs w:val="24"/>
        </w:rPr>
        <w:t>（  ）产品在此期间生产，但公司目前已停业。如果您选此项，请完成并邮寄此全部报告。</w:t>
      </w:r>
    </w:p>
    <w:p w14:paraId="2DBE32C8">
      <w:pPr>
        <w:overflowPunct w:val="0"/>
        <w:snapToGrid w:val="0"/>
        <w:spacing w:line="360" w:lineRule="auto"/>
        <w:rPr>
          <w:rFonts w:ascii="Arial" w:hAnsi="Arial" w:eastAsia="宋体" w:cs="Arial"/>
          <w:sz w:val="24"/>
          <w:szCs w:val="24"/>
        </w:rPr>
      </w:pPr>
      <w:r>
        <w:rPr>
          <w:rFonts w:ascii="Arial" w:hAnsi="Arial" w:eastAsia="宋体" w:cs="Arial"/>
          <w:sz w:val="24"/>
          <w:szCs w:val="24"/>
        </w:rPr>
        <w:t>第3部分：当前生产列表</w:t>
      </w:r>
    </w:p>
    <w:tbl>
      <w:tblPr>
        <w:tblStyle w:val="7"/>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248"/>
        <w:gridCol w:w="1248"/>
        <w:gridCol w:w="904"/>
        <w:gridCol w:w="1275"/>
        <w:gridCol w:w="1562"/>
        <w:gridCol w:w="1760"/>
      </w:tblGrid>
      <w:tr w14:paraId="5CE4CA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74" w:type="pct"/>
            <w:tcBorders>
              <w:bottom w:val="single" w:color="auto" w:sz="18" w:space="0"/>
            </w:tcBorders>
          </w:tcPr>
          <w:p w14:paraId="6398B411">
            <w:pPr>
              <w:overflowPunct w:val="0"/>
              <w:snapToGrid w:val="0"/>
              <w:spacing w:before="156" w:beforeLines="50" w:line="300" w:lineRule="auto"/>
              <w:rPr>
                <w:rFonts w:ascii="Arial" w:hAnsi="Arial" w:eastAsia="宋体" w:cs="Arial"/>
                <w:szCs w:val="24"/>
              </w:rPr>
            </w:pPr>
            <w:r>
              <w:rPr>
                <w:rFonts w:ascii="Arial" w:hAnsi="Arial" w:eastAsia="宋体" w:cs="Arial"/>
                <w:szCs w:val="24"/>
              </w:rPr>
              <w:t>检索号</w:t>
            </w:r>
          </w:p>
        </w:tc>
        <w:tc>
          <w:tcPr>
            <w:tcW w:w="675" w:type="pct"/>
            <w:tcBorders>
              <w:bottom w:val="single" w:color="auto" w:sz="18" w:space="0"/>
            </w:tcBorders>
          </w:tcPr>
          <w:p w14:paraId="6C775C7F">
            <w:pPr>
              <w:overflowPunct w:val="0"/>
              <w:snapToGrid w:val="0"/>
              <w:spacing w:before="156" w:beforeLines="50" w:line="300" w:lineRule="auto"/>
              <w:rPr>
                <w:rFonts w:ascii="Arial" w:hAnsi="Arial" w:eastAsia="宋体" w:cs="Arial"/>
                <w:szCs w:val="24"/>
              </w:rPr>
            </w:pPr>
            <w:r>
              <w:rPr>
                <w:rFonts w:ascii="Arial" w:hAnsi="Arial" w:eastAsia="宋体" w:cs="Arial"/>
                <w:szCs w:val="24"/>
              </w:rPr>
              <w:t>型号</w:t>
            </w:r>
          </w:p>
        </w:tc>
        <w:tc>
          <w:tcPr>
            <w:tcW w:w="675" w:type="pct"/>
            <w:tcBorders>
              <w:bottom w:val="single" w:color="auto" w:sz="18" w:space="0"/>
            </w:tcBorders>
          </w:tcPr>
          <w:p w14:paraId="4B32E602">
            <w:pPr>
              <w:overflowPunct w:val="0"/>
              <w:snapToGrid w:val="0"/>
              <w:spacing w:before="156" w:beforeLines="50" w:line="300" w:lineRule="auto"/>
              <w:rPr>
                <w:rFonts w:ascii="Arial" w:hAnsi="Arial" w:eastAsia="宋体" w:cs="Arial"/>
                <w:szCs w:val="24"/>
              </w:rPr>
            </w:pPr>
            <w:r>
              <w:rPr>
                <w:rFonts w:ascii="Arial" w:hAnsi="Arial" w:eastAsia="宋体" w:cs="Arial"/>
                <w:szCs w:val="24"/>
              </w:rPr>
              <w:t>品牌</w:t>
            </w:r>
          </w:p>
        </w:tc>
        <w:tc>
          <w:tcPr>
            <w:tcW w:w="489" w:type="pct"/>
            <w:tcBorders>
              <w:bottom w:val="single" w:color="auto" w:sz="18" w:space="0"/>
            </w:tcBorders>
          </w:tcPr>
          <w:p w14:paraId="0CAAE368">
            <w:pPr>
              <w:overflowPunct w:val="0"/>
              <w:snapToGrid w:val="0"/>
              <w:spacing w:before="156" w:beforeLines="50" w:line="300" w:lineRule="auto"/>
              <w:rPr>
                <w:rFonts w:ascii="Arial" w:hAnsi="Arial" w:eastAsia="宋体" w:cs="Arial"/>
                <w:szCs w:val="24"/>
              </w:rPr>
            </w:pPr>
            <w:r>
              <w:rPr>
                <w:rFonts w:ascii="Arial" w:hAnsi="Arial" w:eastAsia="宋体" w:cs="Arial"/>
                <w:szCs w:val="24"/>
              </w:rPr>
              <w:t>类型</w:t>
            </w:r>
          </w:p>
        </w:tc>
        <w:tc>
          <w:tcPr>
            <w:tcW w:w="690" w:type="pct"/>
            <w:tcBorders>
              <w:bottom w:val="single" w:color="auto" w:sz="18" w:space="0"/>
            </w:tcBorders>
          </w:tcPr>
          <w:p w14:paraId="74F6CBEA">
            <w:pPr>
              <w:overflowPunct w:val="0"/>
              <w:snapToGrid w:val="0"/>
              <w:spacing w:before="156" w:beforeLines="50" w:line="300" w:lineRule="auto"/>
              <w:rPr>
                <w:rFonts w:ascii="Arial" w:hAnsi="Arial" w:eastAsia="宋体" w:cs="Arial"/>
                <w:szCs w:val="24"/>
              </w:rPr>
            </w:pPr>
            <w:r>
              <w:rPr>
                <w:rFonts w:ascii="Arial" w:hAnsi="Arial" w:eastAsia="宋体" w:cs="Arial"/>
                <w:szCs w:val="24"/>
              </w:rPr>
              <w:t>工厂位置</w:t>
            </w:r>
          </w:p>
        </w:tc>
        <w:tc>
          <w:tcPr>
            <w:tcW w:w="845" w:type="pct"/>
            <w:tcBorders>
              <w:bottom w:val="single" w:color="auto" w:sz="18" w:space="0"/>
            </w:tcBorders>
          </w:tcPr>
          <w:p w14:paraId="76134490">
            <w:pPr>
              <w:overflowPunct w:val="0"/>
              <w:snapToGrid w:val="0"/>
              <w:spacing w:before="156" w:beforeLines="50" w:line="300" w:lineRule="auto"/>
              <w:rPr>
                <w:rFonts w:ascii="Arial" w:hAnsi="Arial" w:eastAsia="宋体" w:cs="Arial"/>
                <w:szCs w:val="24"/>
              </w:rPr>
            </w:pPr>
            <w:r>
              <w:rPr>
                <w:rFonts w:ascii="Arial" w:hAnsi="Arial" w:eastAsia="宋体" w:cs="Arial"/>
                <w:szCs w:val="24"/>
              </w:rPr>
              <w:t>已生产套数</w:t>
            </w:r>
          </w:p>
        </w:tc>
        <w:tc>
          <w:tcPr>
            <w:tcW w:w="952" w:type="pct"/>
            <w:tcBorders>
              <w:bottom w:val="single" w:color="auto" w:sz="18" w:space="0"/>
            </w:tcBorders>
          </w:tcPr>
          <w:p w14:paraId="2BF853D0">
            <w:pPr>
              <w:overflowPunct w:val="0"/>
              <w:snapToGrid w:val="0"/>
              <w:spacing w:before="156" w:beforeLines="50" w:line="300" w:lineRule="auto"/>
              <w:rPr>
                <w:rFonts w:ascii="Arial" w:hAnsi="Arial" w:eastAsia="宋体" w:cs="Arial"/>
                <w:szCs w:val="24"/>
              </w:rPr>
            </w:pPr>
            <w:r>
              <w:rPr>
                <w:rFonts w:ascii="Arial" w:hAnsi="Arial" w:eastAsia="宋体" w:cs="Arial"/>
                <w:szCs w:val="24"/>
              </w:rPr>
              <w:t>终止（月</w:t>
            </w:r>
            <w:r>
              <w:rPr>
                <w:rFonts w:hint="eastAsia" w:ascii="Arial" w:hAnsi="Arial" w:eastAsia="宋体" w:cs="Arial"/>
                <w:szCs w:val="24"/>
              </w:rPr>
              <w:t>／</w:t>
            </w:r>
            <w:r>
              <w:rPr>
                <w:rFonts w:ascii="Arial" w:hAnsi="Arial" w:eastAsia="宋体" w:cs="Arial"/>
                <w:szCs w:val="24"/>
              </w:rPr>
              <w:t>年）</w:t>
            </w:r>
          </w:p>
        </w:tc>
      </w:tr>
      <w:tr w14:paraId="73B148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74" w:type="pct"/>
            <w:tcBorders>
              <w:top w:val="single" w:color="auto" w:sz="18" w:space="0"/>
              <w:bottom w:val="double" w:color="auto" w:sz="4" w:space="0"/>
            </w:tcBorders>
          </w:tcPr>
          <w:p w14:paraId="572DCFC7">
            <w:pPr>
              <w:overflowPunct w:val="0"/>
              <w:snapToGrid w:val="0"/>
              <w:spacing w:before="156" w:beforeLines="50" w:line="300" w:lineRule="auto"/>
              <w:rPr>
                <w:rFonts w:ascii="Arial" w:hAnsi="Arial" w:eastAsia="宋体" w:cs="Arial"/>
                <w:szCs w:val="24"/>
              </w:rPr>
            </w:pPr>
          </w:p>
          <w:p w14:paraId="7C195221">
            <w:pPr>
              <w:overflowPunct w:val="0"/>
              <w:snapToGrid w:val="0"/>
              <w:spacing w:before="156" w:beforeLines="50" w:line="300" w:lineRule="auto"/>
              <w:rPr>
                <w:rFonts w:ascii="Arial" w:hAnsi="Arial" w:eastAsia="宋体" w:cs="Arial"/>
                <w:szCs w:val="24"/>
              </w:rPr>
            </w:pPr>
          </w:p>
        </w:tc>
        <w:tc>
          <w:tcPr>
            <w:tcW w:w="675" w:type="pct"/>
            <w:tcBorders>
              <w:top w:val="single" w:color="auto" w:sz="18" w:space="0"/>
              <w:bottom w:val="double" w:color="auto" w:sz="4" w:space="0"/>
            </w:tcBorders>
          </w:tcPr>
          <w:p w14:paraId="6C319F3B">
            <w:pPr>
              <w:overflowPunct w:val="0"/>
              <w:snapToGrid w:val="0"/>
              <w:spacing w:before="156" w:beforeLines="50" w:line="300" w:lineRule="auto"/>
              <w:rPr>
                <w:rFonts w:ascii="Arial" w:hAnsi="Arial" w:eastAsia="宋体" w:cs="Arial"/>
                <w:szCs w:val="24"/>
              </w:rPr>
            </w:pPr>
          </w:p>
        </w:tc>
        <w:tc>
          <w:tcPr>
            <w:tcW w:w="675" w:type="pct"/>
            <w:tcBorders>
              <w:top w:val="single" w:color="auto" w:sz="18" w:space="0"/>
              <w:bottom w:val="double" w:color="auto" w:sz="4" w:space="0"/>
            </w:tcBorders>
          </w:tcPr>
          <w:p w14:paraId="64A02B57">
            <w:pPr>
              <w:overflowPunct w:val="0"/>
              <w:snapToGrid w:val="0"/>
              <w:spacing w:before="156" w:beforeLines="50" w:line="300" w:lineRule="auto"/>
              <w:rPr>
                <w:rFonts w:ascii="Arial" w:hAnsi="Arial" w:eastAsia="宋体" w:cs="Arial"/>
                <w:szCs w:val="24"/>
              </w:rPr>
            </w:pPr>
          </w:p>
        </w:tc>
        <w:tc>
          <w:tcPr>
            <w:tcW w:w="489" w:type="pct"/>
            <w:tcBorders>
              <w:top w:val="single" w:color="auto" w:sz="18" w:space="0"/>
              <w:bottom w:val="double" w:color="auto" w:sz="4" w:space="0"/>
            </w:tcBorders>
          </w:tcPr>
          <w:p w14:paraId="2CFF07FF">
            <w:pPr>
              <w:overflowPunct w:val="0"/>
              <w:snapToGrid w:val="0"/>
              <w:spacing w:before="156" w:beforeLines="50" w:line="300" w:lineRule="auto"/>
              <w:rPr>
                <w:rFonts w:ascii="Arial" w:hAnsi="Arial" w:eastAsia="宋体" w:cs="Arial"/>
                <w:szCs w:val="24"/>
              </w:rPr>
            </w:pPr>
          </w:p>
        </w:tc>
        <w:tc>
          <w:tcPr>
            <w:tcW w:w="690" w:type="pct"/>
            <w:tcBorders>
              <w:top w:val="single" w:color="auto" w:sz="18" w:space="0"/>
              <w:bottom w:val="double" w:color="auto" w:sz="4" w:space="0"/>
            </w:tcBorders>
          </w:tcPr>
          <w:p w14:paraId="01481C91">
            <w:pPr>
              <w:overflowPunct w:val="0"/>
              <w:snapToGrid w:val="0"/>
              <w:spacing w:before="156" w:beforeLines="50" w:line="300" w:lineRule="auto"/>
              <w:rPr>
                <w:rFonts w:ascii="Arial" w:hAnsi="Arial" w:eastAsia="宋体" w:cs="Arial"/>
                <w:szCs w:val="24"/>
              </w:rPr>
            </w:pPr>
          </w:p>
        </w:tc>
        <w:tc>
          <w:tcPr>
            <w:tcW w:w="845" w:type="pct"/>
            <w:tcBorders>
              <w:top w:val="single" w:color="auto" w:sz="18" w:space="0"/>
              <w:bottom w:val="double" w:color="auto" w:sz="4" w:space="0"/>
            </w:tcBorders>
          </w:tcPr>
          <w:p w14:paraId="50EB8567">
            <w:pPr>
              <w:overflowPunct w:val="0"/>
              <w:snapToGrid w:val="0"/>
              <w:spacing w:before="156" w:beforeLines="50" w:line="300" w:lineRule="auto"/>
              <w:rPr>
                <w:rFonts w:ascii="Arial" w:hAnsi="Arial" w:eastAsia="宋体" w:cs="Arial"/>
                <w:szCs w:val="24"/>
              </w:rPr>
            </w:pPr>
          </w:p>
        </w:tc>
        <w:tc>
          <w:tcPr>
            <w:tcW w:w="952" w:type="pct"/>
            <w:tcBorders>
              <w:top w:val="single" w:color="auto" w:sz="18" w:space="0"/>
              <w:bottom w:val="double" w:color="auto" w:sz="4" w:space="0"/>
            </w:tcBorders>
          </w:tcPr>
          <w:p w14:paraId="78C9F3CF">
            <w:pPr>
              <w:overflowPunct w:val="0"/>
              <w:snapToGrid w:val="0"/>
              <w:spacing w:before="156" w:beforeLines="50" w:line="300" w:lineRule="auto"/>
              <w:rPr>
                <w:rFonts w:ascii="Arial" w:hAnsi="Arial" w:eastAsia="宋体" w:cs="Arial"/>
                <w:szCs w:val="24"/>
              </w:rPr>
            </w:pPr>
          </w:p>
        </w:tc>
      </w:tr>
    </w:tbl>
    <w:p w14:paraId="6EDCCA5B">
      <w:pPr>
        <w:overflowPunct w:val="0"/>
        <w:snapToGrid w:val="0"/>
        <w:spacing w:line="360" w:lineRule="auto"/>
        <w:rPr>
          <w:rFonts w:ascii="Arial" w:hAnsi="Arial" w:eastAsia="宋体" w:cs="Arial"/>
          <w:sz w:val="24"/>
          <w:szCs w:val="24"/>
        </w:rPr>
      </w:pPr>
      <w:r>
        <w:rPr>
          <w:rFonts w:ascii="Arial" w:hAnsi="Arial" w:eastAsia="宋体" w:cs="Arial"/>
          <w:sz w:val="24"/>
          <w:szCs w:val="24"/>
        </w:rPr>
        <w:br w:type="page"/>
      </w:r>
    </w:p>
    <w:p w14:paraId="60C97C63">
      <w:pPr>
        <w:overflowPunct w:val="0"/>
        <w:snapToGrid w:val="0"/>
        <w:spacing w:after="234" w:afterLines="75" w:line="360" w:lineRule="auto"/>
        <w:jc w:val="center"/>
        <w:rPr>
          <w:rFonts w:ascii="Arial" w:hAnsi="Arial" w:eastAsia="宋体" w:cs="Arial"/>
          <w:sz w:val="24"/>
          <w:szCs w:val="24"/>
        </w:rPr>
      </w:pPr>
      <w:r>
        <w:rPr>
          <w:rFonts w:ascii="Arial" w:hAnsi="Arial" w:eastAsia="宋体" w:cs="Arial"/>
          <w:sz w:val="24"/>
          <w:szCs w:val="24"/>
        </w:rPr>
        <w:t>说明：第2页</w:t>
      </w:r>
    </w:p>
    <w:p w14:paraId="47938E06">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第4部分：质控和测试规程</w:t>
      </w:r>
    </w:p>
    <w:p w14:paraId="64111997">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21 CFR 1002.30（a）（1）和（2）要求您维护质控和测试的书面规程。对在用规程和在产品报告中提交的规程应予审核和更新。将您当前的规程与您在产品报告中提交的规程加以比较。</w:t>
      </w:r>
      <w:r>
        <w:rPr>
          <w:rFonts w:hint="eastAsia" w:ascii="Arial" w:hAnsi="Arial" w:eastAsia="宋体" w:cs="Arial"/>
          <w:sz w:val="24"/>
          <w:szCs w:val="24"/>
        </w:rPr>
        <w:t>勾选</w:t>
      </w:r>
      <w:r>
        <w:rPr>
          <w:rFonts w:ascii="Arial" w:hAnsi="Arial" w:eastAsia="宋体" w:cs="Arial"/>
          <w:sz w:val="24"/>
          <w:szCs w:val="24"/>
        </w:rPr>
        <w:t>适合的答案并按指示采取所有行动。</w:t>
      </w:r>
    </w:p>
    <w:p w14:paraId="167A9BC3">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第5部分：测试结果概述</w:t>
      </w:r>
    </w:p>
    <w:p w14:paraId="75714F6A">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21 CFR 1002.30（a）（2）要求您维护质控测试结果。对引入贸易的每种产品，您应对测试结果进行评价，确定整个计划是否足以保证辐射安全且遵从标准（21 CFR 1040.20）。</w:t>
      </w:r>
    </w:p>
    <w:p w14:paraId="67F55238">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5.1：最终产品测试结果</w:t>
      </w:r>
    </w:p>
    <w:p w14:paraId="150B802A">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填写该表并单独在一张纸上提供可比数据，在这张纸上标上第5.1部分。</w:t>
      </w:r>
    </w:p>
    <w:p w14:paraId="5D11C5B6">
      <w:pPr>
        <w:overflowPunct w:val="0"/>
        <w:snapToGrid w:val="0"/>
        <w:spacing w:after="234" w:afterLines="75" w:line="360" w:lineRule="auto"/>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辐照度比最大值</w:t>
      </w:r>
      <w:r>
        <w:rPr>
          <w:rFonts w:ascii="宋体" w:hAnsi="宋体" w:eastAsia="宋体" w:cs="Arial"/>
          <w:sz w:val="24"/>
          <w:szCs w:val="24"/>
        </w:rPr>
        <w:t>”</w:t>
      </w:r>
      <w:r>
        <w:rPr>
          <w:rFonts w:ascii="Arial" w:hAnsi="Arial" w:eastAsia="宋体" w:cs="Arial"/>
          <w:sz w:val="24"/>
          <w:szCs w:val="24"/>
        </w:rPr>
        <w:t>：指出太阳灯或太阳灯产品的辐照度比最大值（UVC/</w:t>
      </w:r>
      <w:bookmarkStart w:id="0" w:name="OLE_LINK1"/>
      <w:r>
        <w:rPr>
          <w:rFonts w:ascii="Arial" w:hAnsi="Arial" w:eastAsia="宋体" w:cs="Arial"/>
          <w:sz w:val="24"/>
          <w:szCs w:val="24"/>
        </w:rPr>
        <w:t>UVB</w:t>
      </w:r>
      <w:bookmarkEnd w:id="0"/>
      <w:r>
        <w:rPr>
          <w:rFonts w:ascii="Arial" w:hAnsi="Arial" w:eastAsia="宋体" w:cs="Arial"/>
          <w:sz w:val="24"/>
          <w:szCs w:val="24"/>
        </w:rPr>
        <w:t>），此处180纳米＜UVC≤260纳米，260纳米＜UVB≤320纳米。</w:t>
      </w:r>
    </w:p>
    <w:p w14:paraId="5CDD7E2F">
      <w:pPr>
        <w:overflowPunct w:val="0"/>
        <w:snapToGrid w:val="0"/>
        <w:spacing w:after="234" w:afterLines="75" w:line="360" w:lineRule="auto"/>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计时器最大误差</w:t>
      </w:r>
      <w:r>
        <w:rPr>
          <w:rFonts w:ascii="宋体" w:hAnsi="宋体" w:eastAsia="宋体" w:cs="Arial"/>
          <w:sz w:val="24"/>
          <w:szCs w:val="24"/>
        </w:rPr>
        <w:t>”</w:t>
      </w:r>
      <w:r>
        <w:rPr>
          <w:rFonts w:ascii="Arial" w:hAnsi="Arial" w:eastAsia="宋体" w:cs="Arial"/>
          <w:sz w:val="24"/>
          <w:szCs w:val="24"/>
        </w:rPr>
        <w:t>：指出在计时器最大值设置状态测得的所有时间的最大误差（以％形式）。</w:t>
      </w:r>
    </w:p>
    <w:p w14:paraId="7A158C9F">
      <w:pPr>
        <w:overflowPunct w:val="0"/>
        <w:snapToGrid w:val="0"/>
        <w:spacing w:after="234" w:afterLines="75" w:line="360" w:lineRule="auto"/>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护目镜透明度</w:t>
      </w:r>
      <w:r>
        <w:rPr>
          <w:rFonts w:ascii="宋体" w:hAnsi="宋体" w:eastAsia="宋体" w:cs="Arial"/>
          <w:sz w:val="24"/>
          <w:szCs w:val="24"/>
        </w:rPr>
        <w:t>”</w:t>
      </w:r>
      <w:r>
        <w:rPr>
          <w:rFonts w:ascii="Arial" w:hAnsi="Arial" w:eastAsia="宋体" w:cs="Arial"/>
          <w:sz w:val="24"/>
          <w:szCs w:val="24"/>
        </w:rPr>
        <w:t>：提供3个波长范围的透明度数据。</w:t>
      </w:r>
    </w:p>
    <w:p w14:paraId="4C45488F">
      <w:pPr>
        <w:overflowPunct w:val="0"/>
        <w:snapToGrid w:val="0"/>
        <w:spacing w:after="234" w:afterLines="75" w:line="360" w:lineRule="auto"/>
        <w:ind w:left="708" w:leftChars="337"/>
        <w:rPr>
          <w:rFonts w:ascii="Arial" w:hAnsi="Arial" w:eastAsia="宋体" w:cs="Arial"/>
          <w:sz w:val="24"/>
          <w:szCs w:val="24"/>
        </w:rPr>
      </w:pPr>
      <w:r>
        <w:rPr>
          <w:rFonts w:ascii="Arial" w:hAnsi="Arial" w:eastAsia="宋体" w:cs="Arial"/>
          <w:sz w:val="24"/>
          <w:szCs w:val="24"/>
        </w:rPr>
        <w:t>T1（180纳米＜波长≤320纳米）：指出最大测量值。</w:t>
      </w:r>
    </w:p>
    <w:p w14:paraId="31635FC8">
      <w:pPr>
        <w:overflowPunct w:val="0"/>
        <w:snapToGrid w:val="0"/>
        <w:spacing w:after="234" w:afterLines="75" w:line="360" w:lineRule="auto"/>
        <w:ind w:left="708" w:leftChars="337"/>
        <w:rPr>
          <w:rFonts w:ascii="Arial" w:hAnsi="Arial" w:eastAsia="宋体" w:cs="Arial"/>
          <w:sz w:val="24"/>
          <w:szCs w:val="24"/>
        </w:rPr>
      </w:pPr>
      <w:r>
        <w:rPr>
          <w:rFonts w:ascii="Arial" w:hAnsi="Arial" w:eastAsia="宋体" w:cs="Arial"/>
          <w:sz w:val="24"/>
          <w:szCs w:val="24"/>
        </w:rPr>
        <w:t>T2（320纳米＜波长≤360纳米）：指出最大测量值。</w:t>
      </w:r>
    </w:p>
    <w:p w14:paraId="005CEC2A">
      <w:pPr>
        <w:overflowPunct w:val="0"/>
        <w:snapToGrid w:val="0"/>
        <w:spacing w:after="234" w:afterLines="75" w:line="360" w:lineRule="auto"/>
        <w:ind w:left="708" w:leftChars="337"/>
        <w:rPr>
          <w:rFonts w:ascii="Arial" w:hAnsi="Arial" w:eastAsia="宋体" w:cs="Arial"/>
          <w:sz w:val="24"/>
          <w:szCs w:val="24"/>
        </w:rPr>
      </w:pPr>
      <w:r>
        <w:rPr>
          <w:rFonts w:ascii="Arial" w:hAnsi="Arial" w:eastAsia="宋体" w:cs="Arial"/>
          <w:sz w:val="24"/>
          <w:szCs w:val="24"/>
        </w:rPr>
        <w:t>T3（波长＞360纳米）：透明度足以让用户阅读标签和重置计时器吗？指出（Y）是或（N）否。</w:t>
      </w:r>
    </w:p>
    <w:p w14:paraId="5DAAF0C8">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如果未</w:t>
      </w:r>
      <w:r>
        <w:rPr>
          <w:rFonts w:hint="eastAsia" w:ascii="Arial" w:hAnsi="Arial" w:eastAsia="宋体" w:cs="Arial"/>
          <w:sz w:val="24"/>
          <w:szCs w:val="24"/>
        </w:rPr>
        <w:t>执行</w:t>
      </w:r>
      <w:r>
        <w:rPr>
          <w:rFonts w:ascii="Arial" w:hAnsi="Arial" w:eastAsia="宋体" w:cs="Arial"/>
          <w:sz w:val="24"/>
          <w:szCs w:val="24"/>
        </w:rPr>
        <w:t>透明度</w:t>
      </w:r>
      <w:r>
        <w:rPr>
          <w:rFonts w:hint="eastAsia" w:ascii="Arial" w:hAnsi="Arial" w:eastAsia="宋体" w:cs="Arial"/>
          <w:sz w:val="24"/>
          <w:szCs w:val="24"/>
        </w:rPr>
        <w:t>测试</w:t>
      </w:r>
      <w:r>
        <w:rPr>
          <w:rFonts w:ascii="Arial" w:hAnsi="Arial" w:eastAsia="宋体" w:cs="Arial"/>
          <w:sz w:val="24"/>
          <w:szCs w:val="24"/>
        </w:rPr>
        <w:t>，（在标注5.1的单页纸上）对不需测透明度的理由做出解释并提供护目镜的型号和制造商名称。</w:t>
      </w:r>
    </w:p>
    <w:p w14:paraId="441EB53D">
      <w:pPr>
        <w:widowControl/>
        <w:snapToGrid w:val="0"/>
        <w:spacing w:after="234" w:afterLines="75" w:line="360" w:lineRule="auto"/>
        <w:jc w:val="left"/>
        <w:rPr>
          <w:rFonts w:ascii="Arial" w:hAnsi="Arial" w:eastAsia="宋体" w:cs="Arial"/>
          <w:b/>
          <w:sz w:val="24"/>
          <w:szCs w:val="24"/>
        </w:rPr>
      </w:pPr>
      <w:r>
        <w:rPr>
          <w:rFonts w:ascii="Arial" w:hAnsi="Arial" w:eastAsia="宋体" w:cs="Arial"/>
          <w:b/>
          <w:sz w:val="24"/>
          <w:szCs w:val="24"/>
        </w:rPr>
        <w:br w:type="page"/>
      </w:r>
    </w:p>
    <w:p w14:paraId="3388D592">
      <w:pPr>
        <w:tabs>
          <w:tab w:val="left" w:pos="3119"/>
        </w:tabs>
        <w:overflowPunct w:val="0"/>
        <w:snapToGrid w:val="0"/>
        <w:spacing w:after="234" w:afterLines="75" w:line="360" w:lineRule="auto"/>
        <w:jc w:val="center"/>
        <w:rPr>
          <w:rFonts w:ascii="Arial" w:hAnsi="Arial" w:eastAsia="宋体" w:cs="Arial"/>
          <w:sz w:val="24"/>
          <w:szCs w:val="24"/>
        </w:rPr>
      </w:pPr>
      <w:r>
        <w:rPr>
          <w:rFonts w:ascii="Arial" w:hAnsi="Arial" w:eastAsia="宋体" w:cs="Arial"/>
          <w:sz w:val="24"/>
          <w:szCs w:val="24"/>
        </w:rPr>
        <w:t>太阳灯和太阳灯产品年度报告：第2页</w:t>
      </w:r>
    </w:p>
    <w:p w14:paraId="2DFDA1F4">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第4部分：质控和测试规程</w:t>
      </w:r>
    </w:p>
    <w:p w14:paraId="0A9C0D0E">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对辐射安全评估和管理书面规程已予审核。（书面规程包括样机测试、来料测试、装配测试、修后复测和维修测试。）对质控测试设备维护规程也予审核。所有规程皆最新、完整且准确。</w:t>
      </w:r>
    </w:p>
    <w:p w14:paraId="0A128BEF">
      <w:pPr>
        <w:overflowPunct w:val="0"/>
        <w:snapToGrid w:val="0"/>
        <w:spacing w:after="234" w:afterLines="75" w:line="360" w:lineRule="auto"/>
        <w:ind w:firstLine="2400" w:firstLineChars="1000"/>
        <w:rPr>
          <w:rFonts w:ascii="Arial" w:hAnsi="Arial" w:eastAsia="宋体" w:cs="Arial"/>
          <w:sz w:val="24"/>
          <w:szCs w:val="24"/>
        </w:rPr>
      </w:pPr>
      <w:r>
        <w:rPr>
          <w:rFonts w:ascii="Arial" w:hAnsi="Arial" w:eastAsia="宋体" w:cs="Arial"/>
          <w:sz w:val="24"/>
          <w:szCs w:val="24"/>
        </w:rPr>
        <w:t>（  ）是  （  ）否</w:t>
      </w:r>
    </w:p>
    <w:p w14:paraId="444515EE">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对当前在产的每个型号系列提交给CDRH的报告已予审核。报告所含规程皆最新、完整且准确。</w:t>
      </w:r>
    </w:p>
    <w:p w14:paraId="10CBC66B">
      <w:pPr>
        <w:overflowPunct w:val="0"/>
        <w:snapToGrid w:val="0"/>
        <w:spacing w:after="234" w:afterLines="75" w:line="360" w:lineRule="auto"/>
        <w:ind w:firstLine="2400" w:firstLineChars="1000"/>
        <w:rPr>
          <w:rFonts w:ascii="Arial" w:hAnsi="Arial" w:eastAsia="宋体" w:cs="Arial"/>
          <w:sz w:val="24"/>
          <w:szCs w:val="24"/>
        </w:rPr>
      </w:pPr>
      <w:r>
        <w:rPr>
          <w:rFonts w:ascii="Arial" w:hAnsi="Arial" w:eastAsia="宋体" w:cs="Arial"/>
          <w:sz w:val="24"/>
          <w:szCs w:val="24"/>
        </w:rPr>
        <w:t>（  ）是  （  ）否</w:t>
      </w:r>
    </w:p>
    <w:p w14:paraId="2E2D1346">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如果您对以上两个问题之一回答</w:t>
      </w:r>
      <w:r>
        <w:rPr>
          <w:rFonts w:ascii="宋体" w:hAnsi="宋体" w:eastAsia="宋体" w:cs="Arial"/>
          <w:sz w:val="24"/>
          <w:szCs w:val="24"/>
        </w:rPr>
        <w:t>“</w:t>
      </w:r>
      <w:r>
        <w:rPr>
          <w:rFonts w:ascii="Arial" w:hAnsi="Arial" w:eastAsia="宋体" w:cs="Arial"/>
          <w:sz w:val="24"/>
          <w:szCs w:val="24"/>
        </w:rPr>
        <w:t>否</w:t>
      </w:r>
      <w:r>
        <w:rPr>
          <w:rFonts w:ascii="宋体" w:hAnsi="宋体" w:eastAsia="宋体" w:cs="Arial"/>
          <w:sz w:val="24"/>
          <w:szCs w:val="24"/>
        </w:rPr>
        <w:t>”</w:t>
      </w:r>
      <w:r>
        <w:rPr>
          <w:rFonts w:ascii="Arial" w:hAnsi="Arial" w:eastAsia="宋体" w:cs="Arial"/>
          <w:sz w:val="24"/>
          <w:szCs w:val="24"/>
        </w:rPr>
        <w:t>，请在相应产品报告的补充材料中提供当前规程。</w:t>
      </w:r>
    </w:p>
    <w:p w14:paraId="161CCC3C">
      <w:pPr>
        <w:overflowPunct w:val="0"/>
        <w:snapToGrid w:val="0"/>
        <w:spacing w:after="234" w:afterLines="75" w:line="360" w:lineRule="auto"/>
        <w:rPr>
          <w:rFonts w:ascii="Arial" w:hAnsi="Arial" w:eastAsia="宋体" w:cs="Arial"/>
          <w:sz w:val="24"/>
          <w:szCs w:val="24"/>
        </w:rPr>
      </w:pPr>
    </w:p>
    <w:p w14:paraId="44BEF3D7">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第5部分：测试结果概述</w:t>
      </w:r>
    </w:p>
    <w:p w14:paraId="0554F517">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5.1. 最终产品测试结果</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015"/>
        <w:gridCol w:w="1015"/>
        <w:gridCol w:w="1015"/>
        <w:gridCol w:w="1015"/>
        <w:gridCol w:w="1131"/>
        <w:gridCol w:w="1015"/>
        <w:gridCol w:w="1015"/>
        <w:gridCol w:w="1009"/>
      </w:tblGrid>
      <w:tr w14:paraId="32EF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Merge w:val="restart"/>
            <w:tcBorders>
              <w:top w:val="double" w:color="auto" w:sz="4" w:space="0"/>
              <w:left w:val="double" w:color="auto" w:sz="4" w:space="0"/>
            </w:tcBorders>
            <w:vAlign w:val="center"/>
          </w:tcPr>
          <w:p w14:paraId="4823185B">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型号</w:t>
            </w:r>
          </w:p>
        </w:tc>
        <w:tc>
          <w:tcPr>
            <w:tcW w:w="1646" w:type="pct"/>
            <w:gridSpan w:val="3"/>
            <w:tcBorders>
              <w:top w:val="double" w:color="auto" w:sz="4" w:space="0"/>
              <w:bottom w:val="double" w:color="auto" w:sz="4" w:space="0"/>
            </w:tcBorders>
            <w:vAlign w:val="center"/>
          </w:tcPr>
          <w:p w14:paraId="72E96DB0">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受测装置数</w:t>
            </w:r>
          </w:p>
        </w:tc>
        <w:tc>
          <w:tcPr>
            <w:tcW w:w="549" w:type="pct"/>
            <w:vMerge w:val="restart"/>
            <w:tcBorders>
              <w:top w:val="double" w:color="auto" w:sz="4" w:space="0"/>
            </w:tcBorders>
            <w:vAlign w:val="center"/>
          </w:tcPr>
          <w:p w14:paraId="0F11B5E3">
            <w:pPr>
              <w:overflowPunct w:val="0"/>
              <w:snapToGrid w:val="0"/>
              <w:spacing w:before="93" w:beforeLines="30" w:line="300" w:lineRule="auto"/>
              <w:rPr>
                <w:rFonts w:ascii="Arial" w:hAnsi="Arial" w:eastAsia="宋体" w:cs="Arial"/>
                <w:szCs w:val="24"/>
              </w:rPr>
            </w:pPr>
            <w:r>
              <w:rPr>
                <w:rFonts w:ascii="Arial" w:hAnsi="Arial" w:eastAsia="宋体" w:cs="Arial"/>
                <w:szCs w:val="24"/>
              </w:rPr>
              <w:t>辐照度比（最大值）</w:t>
            </w:r>
          </w:p>
        </w:tc>
        <w:tc>
          <w:tcPr>
            <w:tcW w:w="612" w:type="pct"/>
            <w:vMerge w:val="restart"/>
            <w:tcBorders>
              <w:top w:val="double" w:color="auto" w:sz="4" w:space="0"/>
            </w:tcBorders>
            <w:vAlign w:val="center"/>
          </w:tcPr>
          <w:p w14:paraId="0F021B81">
            <w:pPr>
              <w:overflowPunct w:val="0"/>
              <w:snapToGrid w:val="0"/>
              <w:spacing w:before="93" w:beforeLines="30" w:line="300" w:lineRule="auto"/>
              <w:rPr>
                <w:rFonts w:ascii="Arial" w:hAnsi="Arial" w:eastAsia="宋体" w:cs="Arial"/>
                <w:szCs w:val="24"/>
              </w:rPr>
            </w:pPr>
            <w:r>
              <w:rPr>
                <w:rFonts w:ascii="Arial" w:hAnsi="Arial" w:eastAsia="宋体" w:cs="Arial"/>
                <w:szCs w:val="24"/>
              </w:rPr>
              <w:t>计时器最大误差（％）</w:t>
            </w:r>
          </w:p>
        </w:tc>
        <w:tc>
          <w:tcPr>
            <w:tcW w:w="1646" w:type="pct"/>
            <w:gridSpan w:val="3"/>
            <w:tcBorders>
              <w:top w:val="double" w:color="auto" w:sz="4" w:space="0"/>
              <w:bottom w:val="double" w:color="auto" w:sz="4" w:space="0"/>
              <w:right w:val="double" w:color="auto" w:sz="4" w:space="0"/>
            </w:tcBorders>
            <w:vAlign w:val="center"/>
          </w:tcPr>
          <w:p w14:paraId="70790F9E">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护目镜透明度（％）</w:t>
            </w:r>
          </w:p>
        </w:tc>
      </w:tr>
      <w:tr w14:paraId="755D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Merge w:val="continue"/>
            <w:tcBorders>
              <w:left w:val="double" w:color="auto" w:sz="4" w:space="0"/>
              <w:bottom w:val="single" w:color="auto" w:sz="18" w:space="0"/>
            </w:tcBorders>
            <w:vAlign w:val="center"/>
          </w:tcPr>
          <w:p w14:paraId="3E8D2A24">
            <w:pPr>
              <w:overflowPunct w:val="0"/>
              <w:snapToGrid w:val="0"/>
              <w:spacing w:before="93" w:beforeLines="30" w:line="300" w:lineRule="auto"/>
              <w:jc w:val="center"/>
              <w:rPr>
                <w:rFonts w:ascii="Arial" w:hAnsi="Arial" w:eastAsia="宋体" w:cs="Arial"/>
                <w:szCs w:val="24"/>
              </w:rPr>
            </w:pPr>
          </w:p>
        </w:tc>
        <w:tc>
          <w:tcPr>
            <w:tcW w:w="549" w:type="pct"/>
            <w:tcBorders>
              <w:top w:val="double" w:color="auto" w:sz="4" w:space="0"/>
              <w:bottom w:val="single" w:color="auto" w:sz="18" w:space="0"/>
            </w:tcBorders>
            <w:vAlign w:val="center"/>
          </w:tcPr>
          <w:p w14:paraId="15EB6F82">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辐照度</w:t>
            </w:r>
          </w:p>
        </w:tc>
        <w:tc>
          <w:tcPr>
            <w:tcW w:w="549" w:type="pct"/>
            <w:tcBorders>
              <w:top w:val="double" w:color="auto" w:sz="4" w:space="0"/>
              <w:bottom w:val="single" w:color="auto" w:sz="18" w:space="0"/>
            </w:tcBorders>
            <w:vAlign w:val="center"/>
          </w:tcPr>
          <w:p w14:paraId="412B8860">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计时器</w:t>
            </w:r>
          </w:p>
        </w:tc>
        <w:tc>
          <w:tcPr>
            <w:tcW w:w="549" w:type="pct"/>
            <w:tcBorders>
              <w:top w:val="double" w:color="auto" w:sz="4" w:space="0"/>
              <w:bottom w:val="single" w:color="auto" w:sz="18" w:space="0"/>
            </w:tcBorders>
            <w:vAlign w:val="center"/>
          </w:tcPr>
          <w:p w14:paraId="483626EA">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护目镜</w:t>
            </w:r>
          </w:p>
        </w:tc>
        <w:tc>
          <w:tcPr>
            <w:tcW w:w="549" w:type="pct"/>
            <w:vMerge w:val="continue"/>
            <w:tcBorders>
              <w:bottom w:val="single" w:color="auto" w:sz="18" w:space="0"/>
            </w:tcBorders>
            <w:vAlign w:val="center"/>
          </w:tcPr>
          <w:p w14:paraId="6F327DB7">
            <w:pPr>
              <w:overflowPunct w:val="0"/>
              <w:snapToGrid w:val="0"/>
              <w:spacing w:before="93" w:beforeLines="30" w:line="300" w:lineRule="auto"/>
              <w:rPr>
                <w:rFonts w:ascii="Arial" w:hAnsi="Arial" w:eastAsia="宋体" w:cs="Arial"/>
                <w:szCs w:val="24"/>
              </w:rPr>
            </w:pPr>
          </w:p>
        </w:tc>
        <w:tc>
          <w:tcPr>
            <w:tcW w:w="612" w:type="pct"/>
            <w:vMerge w:val="continue"/>
            <w:tcBorders>
              <w:bottom w:val="single" w:color="auto" w:sz="18" w:space="0"/>
            </w:tcBorders>
            <w:vAlign w:val="center"/>
          </w:tcPr>
          <w:p w14:paraId="14DA4239">
            <w:pPr>
              <w:overflowPunct w:val="0"/>
              <w:snapToGrid w:val="0"/>
              <w:spacing w:before="93" w:beforeLines="30" w:line="300" w:lineRule="auto"/>
              <w:rPr>
                <w:rFonts w:ascii="Arial" w:hAnsi="Arial" w:eastAsia="宋体" w:cs="Arial"/>
                <w:szCs w:val="24"/>
              </w:rPr>
            </w:pPr>
          </w:p>
        </w:tc>
        <w:tc>
          <w:tcPr>
            <w:tcW w:w="549" w:type="pct"/>
            <w:tcBorders>
              <w:top w:val="double" w:color="auto" w:sz="4" w:space="0"/>
              <w:bottom w:val="single" w:color="auto" w:sz="18" w:space="0"/>
            </w:tcBorders>
            <w:vAlign w:val="center"/>
          </w:tcPr>
          <w:p w14:paraId="073FE29A">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T1</w:t>
            </w:r>
          </w:p>
        </w:tc>
        <w:tc>
          <w:tcPr>
            <w:tcW w:w="549" w:type="pct"/>
            <w:tcBorders>
              <w:top w:val="double" w:color="auto" w:sz="4" w:space="0"/>
              <w:bottom w:val="single" w:color="auto" w:sz="18" w:space="0"/>
            </w:tcBorders>
            <w:vAlign w:val="center"/>
          </w:tcPr>
          <w:p w14:paraId="698103BA">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T2</w:t>
            </w:r>
          </w:p>
        </w:tc>
        <w:tc>
          <w:tcPr>
            <w:tcW w:w="549" w:type="pct"/>
            <w:tcBorders>
              <w:top w:val="double" w:color="auto" w:sz="4" w:space="0"/>
              <w:bottom w:val="single" w:color="auto" w:sz="18" w:space="0"/>
              <w:right w:val="double" w:color="auto" w:sz="4" w:space="0"/>
            </w:tcBorders>
            <w:vAlign w:val="center"/>
          </w:tcPr>
          <w:p w14:paraId="3435E6B3">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T3</w:t>
            </w:r>
          </w:p>
        </w:tc>
      </w:tr>
      <w:tr w14:paraId="714B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548" w:type="pct"/>
            <w:tcBorders>
              <w:top w:val="single" w:color="auto" w:sz="18" w:space="0"/>
              <w:left w:val="double" w:color="auto" w:sz="4" w:space="0"/>
              <w:bottom w:val="double" w:color="auto" w:sz="4" w:space="0"/>
            </w:tcBorders>
          </w:tcPr>
          <w:p w14:paraId="64CB6C08">
            <w:pPr>
              <w:overflowPunct w:val="0"/>
              <w:snapToGrid w:val="0"/>
              <w:spacing w:before="93" w:beforeLines="30" w:line="300" w:lineRule="auto"/>
              <w:rPr>
                <w:rFonts w:ascii="Arial" w:hAnsi="Arial" w:eastAsia="宋体" w:cs="Arial"/>
                <w:szCs w:val="24"/>
              </w:rPr>
            </w:pPr>
          </w:p>
        </w:tc>
        <w:tc>
          <w:tcPr>
            <w:tcW w:w="549" w:type="pct"/>
            <w:tcBorders>
              <w:top w:val="single" w:color="auto" w:sz="18" w:space="0"/>
              <w:bottom w:val="double" w:color="auto" w:sz="4" w:space="0"/>
            </w:tcBorders>
          </w:tcPr>
          <w:p w14:paraId="74595D1A">
            <w:pPr>
              <w:overflowPunct w:val="0"/>
              <w:snapToGrid w:val="0"/>
              <w:spacing w:before="93" w:beforeLines="30" w:line="300" w:lineRule="auto"/>
              <w:rPr>
                <w:rFonts w:ascii="Arial" w:hAnsi="Arial" w:eastAsia="宋体" w:cs="Arial"/>
                <w:szCs w:val="24"/>
              </w:rPr>
            </w:pPr>
          </w:p>
        </w:tc>
        <w:tc>
          <w:tcPr>
            <w:tcW w:w="549" w:type="pct"/>
            <w:tcBorders>
              <w:top w:val="single" w:color="auto" w:sz="18" w:space="0"/>
              <w:bottom w:val="double" w:color="auto" w:sz="4" w:space="0"/>
            </w:tcBorders>
          </w:tcPr>
          <w:p w14:paraId="15B7A89C">
            <w:pPr>
              <w:overflowPunct w:val="0"/>
              <w:snapToGrid w:val="0"/>
              <w:spacing w:before="93" w:beforeLines="30" w:line="300" w:lineRule="auto"/>
              <w:rPr>
                <w:rFonts w:ascii="Arial" w:hAnsi="Arial" w:eastAsia="宋体" w:cs="Arial"/>
                <w:szCs w:val="24"/>
              </w:rPr>
            </w:pPr>
          </w:p>
        </w:tc>
        <w:tc>
          <w:tcPr>
            <w:tcW w:w="549" w:type="pct"/>
            <w:tcBorders>
              <w:top w:val="single" w:color="auto" w:sz="18" w:space="0"/>
              <w:bottom w:val="double" w:color="auto" w:sz="4" w:space="0"/>
            </w:tcBorders>
          </w:tcPr>
          <w:p w14:paraId="39CE5BB2">
            <w:pPr>
              <w:overflowPunct w:val="0"/>
              <w:snapToGrid w:val="0"/>
              <w:spacing w:before="93" w:beforeLines="30" w:line="300" w:lineRule="auto"/>
              <w:rPr>
                <w:rFonts w:ascii="Arial" w:hAnsi="Arial" w:eastAsia="宋体" w:cs="Arial"/>
                <w:szCs w:val="24"/>
              </w:rPr>
            </w:pPr>
          </w:p>
        </w:tc>
        <w:tc>
          <w:tcPr>
            <w:tcW w:w="549" w:type="pct"/>
            <w:tcBorders>
              <w:top w:val="single" w:color="auto" w:sz="18" w:space="0"/>
              <w:bottom w:val="double" w:color="auto" w:sz="4" w:space="0"/>
            </w:tcBorders>
          </w:tcPr>
          <w:p w14:paraId="3C489FC8">
            <w:pPr>
              <w:overflowPunct w:val="0"/>
              <w:snapToGrid w:val="0"/>
              <w:spacing w:before="93" w:beforeLines="30" w:line="300" w:lineRule="auto"/>
              <w:rPr>
                <w:rFonts w:ascii="Arial" w:hAnsi="Arial" w:eastAsia="宋体" w:cs="Arial"/>
                <w:szCs w:val="24"/>
              </w:rPr>
            </w:pPr>
          </w:p>
        </w:tc>
        <w:tc>
          <w:tcPr>
            <w:tcW w:w="612" w:type="pct"/>
            <w:tcBorders>
              <w:top w:val="single" w:color="auto" w:sz="18" w:space="0"/>
              <w:bottom w:val="double" w:color="auto" w:sz="4" w:space="0"/>
            </w:tcBorders>
          </w:tcPr>
          <w:p w14:paraId="02034869">
            <w:pPr>
              <w:overflowPunct w:val="0"/>
              <w:snapToGrid w:val="0"/>
              <w:spacing w:before="93" w:beforeLines="30" w:line="300" w:lineRule="auto"/>
              <w:rPr>
                <w:rFonts w:ascii="Arial" w:hAnsi="Arial" w:eastAsia="宋体" w:cs="Arial"/>
                <w:szCs w:val="24"/>
              </w:rPr>
            </w:pPr>
          </w:p>
        </w:tc>
        <w:tc>
          <w:tcPr>
            <w:tcW w:w="549" w:type="pct"/>
            <w:tcBorders>
              <w:top w:val="single" w:color="auto" w:sz="18" w:space="0"/>
              <w:bottom w:val="double" w:color="auto" w:sz="4" w:space="0"/>
            </w:tcBorders>
          </w:tcPr>
          <w:p w14:paraId="66CE9FD1">
            <w:pPr>
              <w:overflowPunct w:val="0"/>
              <w:snapToGrid w:val="0"/>
              <w:spacing w:before="93" w:beforeLines="30" w:line="300" w:lineRule="auto"/>
              <w:rPr>
                <w:rFonts w:ascii="Arial" w:hAnsi="Arial" w:eastAsia="宋体" w:cs="Arial"/>
                <w:szCs w:val="24"/>
              </w:rPr>
            </w:pPr>
          </w:p>
        </w:tc>
        <w:tc>
          <w:tcPr>
            <w:tcW w:w="549" w:type="pct"/>
            <w:tcBorders>
              <w:top w:val="single" w:color="auto" w:sz="18" w:space="0"/>
              <w:bottom w:val="double" w:color="auto" w:sz="4" w:space="0"/>
            </w:tcBorders>
          </w:tcPr>
          <w:p w14:paraId="79DC3278">
            <w:pPr>
              <w:overflowPunct w:val="0"/>
              <w:snapToGrid w:val="0"/>
              <w:spacing w:before="93" w:beforeLines="30" w:line="300" w:lineRule="auto"/>
              <w:rPr>
                <w:rFonts w:ascii="Arial" w:hAnsi="Arial" w:eastAsia="宋体" w:cs="Arial"/>
                <w:szCs w:val="24"/>
              </w:rPr>
            </w:pPr>
          </w:p>
        </w:tc>
        <w:tc>
          <w:tcPr>
            <w:tcW w:w="549" w:type="pct"/>
            <w:tcBorders>
              <w:top w:val="single" w:color="auto" w:sz="18" w:space="0"/>
              <w:bottom w:val="double" w:color="auto" w:sz="4" w:space="0"/>
              <w:right w:val="double" w:color="auto" w:sz="4" w:space="0"/>
            </w:tcBorders>
          </w:tcPr>
          <w:p w14:paraId="5D21562D">
            <w:pPr>
              <w:overflowPunct w:val="0"/>
              <w:snapToGrid w:val="0"/>
              <w:spacing w:before="93" w:beforeLines="30" w:line="300" w:lineRule="auto"/>
              <w:rPr>
                <w:rFonts w:ascii="Arial" w:hAnsi="Arial" w:eastAsia="宋体" w:cs="Arial"/>
                <w:szCs w:val="24"/>
              </w:rPr>
            </w:pPr>
          </w:p>
        </w:tc>
      </w:tr>
    </w:tbl>
    <w:p w14:paraId="7307ACF2">
      <w:pPr>
        <w:widowControl/>
        <w:snapToGrid w:val="0"/>
        <w:spacing w:after="234" w:afterLines="75" w:line="300" w:lineRule="auto"/>
        <w:jc w:val="left"/>
        <w:rPr>
          <w:rFonts w:ascii="Arial" w:hAnsi="Arial" w:eastAsia="宋体" w:cs="Arial"/>
          <w:sz w:val="24"/>
          <w:szCs w:val="24"/>
        </w:rPr>
      </w:pPr>
      <w:r>
        <w:rPr>
          <w:rFonts w:ascii="Arial" w:hAnsi="Arial" w:eastAsia="宋体" w:cs="Arial"/>
          <w:sz w:val="24"/>
          <w:szCs w:val="24"/>
        </w:rPr>
        <w:br w:type="page"/>
      </w:r>
    </w:p>
    <w:p w14:paraId="1643A8EA">
      <w:pPr>
        <w:overflowPunct w:val="0"/>
        <w:snapToGrid w:val="0"/>
        <w:spacing w:after="156" w:afterLines="50" w:line="360" w:lineRule="auto"/>
        <w:jc w:val="center"/>
        <w:rPr>
          <w:rFonts w:ascii="Arial" w:hAnsi="Arial" w:eastAsia="宋体" w:cs="Arial"/>
          <w:sz w:val="24"/>
          <w:szCs w:val="24"/>
        </w:rPr>
      </w:pPr>
      <w:r>
        <w:rPr>
          <w:rFonts w:ascii="Arial" w:hAnsi="Arial" w:eastAsia="宋体" w:cs="Arial"/>
          <w:sz w:val="24"/>
          <w:szCs w:val="24"/>
        </w:rPr>
        <w:t>说明：第3页</w:t>
      </w:r>
    </w:p>
    <w:p w14:paraId="7A15AC2E">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5.2. 寿命测试结果</w:t>
      </w:r>
    </w:p>
    <w:p w14:paraId="35A9D285">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21 CFR 1002.30（a）（3）要求您维护寿命测试结果。对样机测试和最终产品测试进行概述，表明扩展用途如何影响辐射安全，或单独在一张纸上提供可比数据并在其上标注第5.2部分。</w:t>
      </w:r>
    </w:p>
    <w:p w14:paraId="2A00AC0E">
      <w:pPr>
        <w:overflowPunct w:val="0"/>
        <w:snapToGrid w:val="0"/>
        <w:spacing w:after="156" w:afterLines="50" w:line="360" w:lineRule="auto"/>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受测数</w:t>
      </w:r>
      <w:r>
        <w:rPr>
          <w:rFonts w:ascii="宋体" w:hAnsi="宋体" w:eastAsia="宋体" w:cs="Arial"/>
          <w:sz w:val="24"/>
          <w:szCs w:val="24"/>
        </w:rPr>
        <w:t>”</w:t>
      </w:r>
      <w:r>
        <w:rPr>
          <w:rFonts w:ascii="Arial" w:hAnsi="Arial" w:eastAsia="宋体" w:cs="Arial"/>
          <w:sz w:val="24"/>
          <w:szCs w:val="24"/>
        </w:rPr>
        <w:t>：指出</w:t>
      </w:r>
      <w:r>
        <w:rPr>
          <w:rFonts w:hint="eastAsia" w:ascii="Arial" w:hAnsi="Arial" w:eastAsia="宋体" w:cs="Arial"/>
          <w:sz w:val="24"/>
          <w:szCs w:val="24"/>
        </w:rPr>
        <w:t>受测</w:t>
      </w:r>
      <w:r>
        <w:rPr>
          <w:rFonts w:ascii="Arial" w:hAnsi="Arial" w:eastAsia="宋体" w:cs="Arial"/>
          <w:sz w:val="24"/>
          <w:szCs w:val="24"/>
        </w:rPr>
        <w:t>装置</w:t>
      </w:r>
      <w:r>
        <w:rPr>
          <w:rFonts w:hint="eastAsia" w:ascii="Arial" w:hAnsi="Arial" w:eastAsia="宋体" w:cs="Arial"/>
          <w:sz w:val="24"/>
          <w:szCs w:val="24"/>
        </w:rPr>
        <w:t>数量</w:t>
      </w:r>
      <w:r>
        <w:rPr>
          <w:rFonts w:ascii="Arial" w:hAnsi="Arial" w:eastAsia="宋体" w:cs="Arial"/>
          <w:sz w:val="24"/>
          <w:szCs w:val="24"/>
        </w:rPr>
        <w:t>。</w:t>
      </w:r>
    </w:p>
    <w:p w14:paraId="016E9837">
      <w:pPr>
        <w:overflowPunct w:val="0"/>
        <w:snapToGrid w:val="0"/>
        <w:spacing w:after="156" w:afterLines="50" w:line="360" w:lineRule="auto"/>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辐照度比最大值</w:t>
      </w:r>
      <w:r>
        <w:rPr>
          <w:rFonts w:ascii="宋体" w:hAnsi="宋体" w:eastAsia="宋体" w:cs="Arial"/>
          <w:sz w:val="24"/>
          <w:szCs w:val="24"/>
        </w:rPr>
        <w:t>”</w:t>
      </w:r>
      <w:r>
        <w:rPr>
          <w:rFonts w:ascii="Arial" w:hAnsi="Arial" w:eastAsia="宋体" w:cs="Arial"/>
          <w:sz w:val="24"/>
          <w:szCs w:val="24"/>
        </w:rPr>
        <w:t>：指出辐照度比测试结果。采用产品（若有的话）中使用的紫外线过滤器/吸收器所做测试的结果使用（W）栏和/或不使用过滤器所得测试结果使用（W/O）栏。对使用过滤器/吸收器的产品，应在使用和不使用过滤器/吸收器两种情况下进行测试。对每个型号均指出测试开始和结束时所有装置的辐照度比最大值。为使数据与提供的栏宽相适合，您可要求使用科学标记法，将10的乘方置于第2行。</w:t>
      </w:r>
    </w:p>
    <w:p w14:paraId="058D7326">
      <w:pPr>
        <w:overflowPunct w:val="0"/>
        <w:snapToGrid w:val="0"/>
        <w:spacing w:after="156" w:afterLines="50" w:line="360" w:lineRule="auto"/>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计时器</w:t>
      </w:r>
      <w:r>
        <w:rPr>
          <w:rFonts w:ascii="宋体" w:hAnsi="宋体" w:eastAsia="宋体" w:cs="Arial"/>
          <w:sz w:val="24"/>
          <w:szCs w:val="24"/>
        </w:rPr>
        <w:t>”</w:t>
      </w:r>
      <w:r>
        <w:rPr>
          <w:rFonts w:ascii="Arial" w:hAnsi="Arial" w:eastAsia="宋体" w:cs="Arial"/>
          <w:sz w:val="24"/>
          <w:szCs w:val="24"/>
        </w:rPr>
        <w:t>：指出周期数、故障数与测试开始和结束时在计时器最大值设置状态测得的计时器最大误差（％）。单独在一张纸上描述计时器故障类型（如开启故障、关闭故障或时开时关问题）。在这张纸上标上第5.2部分。</w:t>
      </w:r>
    </w:p>
    <w:p w14:paraId="608F0069">
      <w:pPr>
        <w:overflowPunct w:val="0"/>
        <w:snapToGrid w:val="0"/>
        <w:spacing w:after="156" w:afterLines="50" w:line="360" w:lineRule="auto"/>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护目镜透明度</w:t>
      </w:r>
      <w:r>
        <w:rPr>
          <w:rFonts w:ascii="宋体" w:hAnsi="宋体" w:eastAsia="宋体" w:cs="Arial"/>
          <w:sz w:val="24"/>
          <w:szCs w:val="24"/>
        </w:rPr>
        <w:t>”</w:t>
      </w:r>
      <w:r>
        <w:rPr>
          <w:rFonts w:ascii="Arial" w:hAnsi="Arial" w:eastAsia="宋体" w:cs="Arial"/>
          <w:sz w:val="24"/>
          <w:szCs w:val="24"/>
        </w:rPr>
        <w:t>：指出测试开始和结束时3个波长</w:t>
      </w:r>
      <w:bookmarkStart w:id="1" w:name="OLE_LINK2"/>
      <w:r>
        <w:rPr>
          <w:rFonts w:ascii="Arial" w:hAnsi="Arial" w:eastAsia="宋体" w:cs="Arial"/>
          <w:sz w:val="24"/>
          <w:szCs w:val="24"/>
        </w:rPr>
        <w:t>范围</w:t>
      </w:r>
      <w:bookmarkEnd w:id="1"/>
      <w:r>
        <w:rPr>
          <w:rFonts w:ascii="Arial" w:hAnsi="Arial" w:eastAsia="宋体" w:cs="Arial"/>
          <w:sz w:val="24"/>
          <w:szCs w:val="24"/>
        </w:rPr>
        <w:t>的透明度最大值。在</w:t>
      </w:r>
      <w:r>
        <w:rPr>
          <w:rFonts w:ascii="宋体" w:hAnsi="宋体" w:eastAsia="宋体" w:cs="Arial"/>
          <w:sz w:val="24"/>
          <w:szCs w:val="24"/>
        </w:rPr>
        <w:t>“</w:t>
      </w:r>
      <w:r>
        <w:rPr>
          <w:rFonts w:ascii="Arial" w:hAnsi="Arial" w:eastAsia="宋体" w:cs="Arial"/>
          <w:sz w:val="24"/>
          <w:szCs w:val="24"/>
        </w:rPr>
        <w:t>代码</w:t>
      </w:r>
      <w:r>
        <w:rPr>
          <w:rFonts w:ascii="宋体" w:hAnsi="宋体" w:eastAsia="宋体" w:cs="Arial"/>
          <w:sz w:val="24"/>
          <w:szCs w:val="24"/>
        </w:rPr>
        <w:t>”</w:t>
      </w:r>
      <w:r>
        <w:rPr>
          <w:rFonts w:ascii="Arial" w:hAnsi="Arial" w:eastAsia="宋体" w:cs="Arial"/>
          <w:sz w:val="24"/>
          <w:szCs w:val="24"/>
        </w:rPr>
        <w:t>栏，开始记为（B），结束记为（E）。（关于范围的定义，见第5.1部分</w:t>
      </w:r>
      <w:r>
        <w:rPr>
          <w:rFonts w:ascii="宋体" w:hAnsi="宋体" w:eastAsia="宋体" w:cs="Arial"/>
          <w:sz w:val="24"/>
          <w:szCs w:val="24"/>
        </w:rPr>
        <w:t>“</w:t>
      </w:r>
      <w:r>
        <w:rPr>
          <w:rFonts w:ascii="Arial" w:hAnsi="Arial" w:eastAsia="宋体" w:cs="Arial"/>
          <w:sz w:val="24"/>
          <w:szCs w:val="24"/>
        </w:rPr>
        <w:t>护目镜的透明度</w:t>
      </w:r>
      <w:r>
        <w:rPr>
          <w:rFonts w:ascii="宋体" w:hAnsi="宋体" w:eastAsia="宋体" w:cs="Arial"/>
          <w:sz w:val="24"/>
          <w:szCs w:val="24"/>
        </w:rPr>
        <w:t>”</w:t>
      </w:r>
      <w:r>
        <w:rPr>
          <w:rFonts w:ascii="Arial" w:hAnsi="Arial" w:eastAsia="宋体" w:cs="Arial"/>
          <w:sz w:val="24"/>
          <w:szCs w:val="24"/>
        </w:rPr>
        <w:t>）</w:t>
      </w:r>
    </w:p>
    <w:p w14:paraId="3E2847E2">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第6部分：辐射安全通信</w:t>
      </w:r>
    </w:p>
    <w:p w14:paraId="07101831">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21 CFR 1002.30（a）（4）要求您维护与经销商、批发商和买方关于辐射安全的来往信件副本。如果信件涉及下列任何问题，应对其加以审核：关于辐射暴露的投诉或顾虑，在用安全组件或产品维修困难，对于使用、调节和修理所做的调查或发布的指令。</w:t>
      </w:r>
    </w:p>
    <w:p w14:paraId="1050370D">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填入发出或收到的文件数并按指示附上副本、概述或样本。</w:t>
      </w:r>
    </w:p>
    <w:p w14:paraId="225DD66F">
      <w:pPr>
        <w:overflowPunct w:val="0"/>
        <w:snapToGrid w:val="0"/>
        <w:spacing w:after="156" w:afterLines="50" w:line="360" w:lineRule="auto"/>
        <w:ind w:left="602" w:hanging="602"/>
        <w:rPr>
          <w:rFonts w:ascii="Arial" w:hAnsi="Arial" w:eastAsia="宋体" w:cs="Arial"/>
          <w:sz w:val="24"/>
          <w:szCs w:val="24"/>
        </w:rPr>
      </w:pPr>
      <w:r>
        <w:rPr>
          <w:rFonts w:hint="eastAsia" w:ascii="Arial" w:hAnsi="Arial" w:eastAsia="宋体" w:cs="Arial"/>
          <w:sz w:val="24"/>
          <w:szCs w:val="24"/>
        </w:rPr>
        <w:t>备注</w:t>
      </w:r>
      <w:r>
        <w:rPr>
          <w:rFonts w:ascii="Arial" w:hAnsi="Arial" w:eastAsia="宋体" w:cs="Arial"/>
          <w:sz w:val="24"/>
          <w:szCs w:val="24"/>
        </w:rPr>
        <w:t>：该概述不能取代21 CFR 1003.10描述的对潜在瑕疵或不合规或21 CFR 1002.20描述的疑似辐射意外事件的通告要求。</w:t>
      </w:r>
    </w:p>
    <w:p w14:paraId="4DBB7145">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第7部分：分销记录</w:t>
      </w:r>
    </w:p>
    <w:p w14:paraId="39851F32">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21 CFR 1002.30（b）（1）和（2）要求您维护分销记录。此类记录必须允许对产品追踪到经销商，如果可能的话，追踪到用户。填入记录储存位置信息并对产品追踪方法进行核查。</w:t>
      </w:r>
    </w:p>
    <w:p w14:paraId="3EF4130A">
      <w:pPr>
        <w:overflowPunct w:val="0"/>
        <w:snapToGrid w:val="0"/>
        <w:spacing w:after="234" w:afterLines="75" w:line="360" w:lineRule="auto"/>
        <w:jc w:val="center"/>
        <w:rPr>
          <w:rFonts w:ascii="Arial" w:hAnsi="Arial" w:eastAsia="宋体" w:cs="Arial"/>
          <w:sz w:val="24"/>
          <w:szCs w:val="24"/>
        </w:rPr>
      </w:pPr>
      <w:r>
        <w:rPr>
          <w:rFonts w:ascii="Arial" w:hAnsi="Arial" w:eastAsia="宋体" w:cs="Arial"/>
          <w:sz w:val="24"/>
          <w:szCs w:val="24"/>
        </w:rPr>
        <w:t>太阳灯和太阳灯产品年度报告：第3页</w:t>
      </w:r>
    </w:p>
    <w:p w14:paraId="50B3F359">
      <w:pPr>
        <w:overflowPunct w:val="0"/>
        <w:snapToGrid w:val="0"/>
        <w:spacing w:after="156" w:afterLines="50" w:line="360" w:lineRule="auto"/>
        <w:rPr>
          <w:rFonts w:ascii="Arial" w:hAnsi="Arial" w:eastAsia="宋体" w:cs="Arial"/>
          <w:sz w:val="24"/>
          <w:szCs w:val="24"/>
        </w:rPr>
      </w:pPr>
      <w:r>
        <w:rPr>
          <w:rFonts w:ascii="Arial" w:hAnsi="Arial" w:eastAsia="宋体" w:cs="Arial"/>
          <w:sz w:val="24"/>
          <w:szCs w:val="24"/>
        </w:rPr>
        <w:t>5.2. 寿命测试结果</w:t>
      </w:r>
    </w:p>
    <w:tbl>
      <w:tblPr>
        <w:tblStyle w:val="7"/>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820"/>
        <w:gridCol w:w="600"/>
        <w:gridCol w:w="601"/>
        <w:gridCol w:w="603"/>
        <w:gridCol w:w="601"/>
        <w:gridCol w:w="603"/>
        <w:gridCol w:w="601"/>
        <w:gridCol w:w="601"/>
        <w:gridCol w:w="601"/>
        <w:gridCol w:w="603"/>
        <w:gridCol w:w="601"/>
        <w:gridCol w:w="601"/>
        <w:gridCol w:w="603"/>
        <w:gridCol w:w="603"/>
      </w:tblGrid>
      <w:tr w14:paraId="2E48CA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restart"/>
            <w:vAlign w:val="center"/>
          </w:tcPr>
          <w:p w14:paraId="0EEE3D0F">
            <w:pPr>
              <w:overflowPunct w:val="0"/>
              <w:snapToGrid w:val="0"/>
              <w:spacing w:before="93" w:beforeLines="30" w:line="300" w:lineRule="auto"/>
              <w:rPr>
                <w:rFonts w:ascii="Arial" w:hAnsi="Arial" w:eastAsia="宋体" w:cs="Arial"/>
                <w:szCs w:val="24"/>
              </w:rPr>
            </w:pPr>
            <w:r>
              <w:rPr>
                <w:rFonts w:ascii="Arial" w:hAnsi="Arial" w:eastAsia="宋体" w:cs="Arial"/>
                <w:szCs w:val="24"/>
              </w:rPr>
              <w:t>型号</w:t>
            </w:r>
          </w:p>
        </w:tc>
        <w:tc>
          <w:tcPr>
            <w:tcW w:w="444" w:type="pct"/>
            <w:vMerge w:val="restart"/>
            <w:vAlign w:val="center"/>
          </w:tcPr>
          <w:p w14:paraId="3F66CC1D">
            <w:pPr>
              <w:overflowPunct w:val="0"/>
              <w:snapToGrid w:val="0"/>
              <w:spacing w:before="93" w:beforeLines="30" w:line="300" w:lineRule="auto"/>
              <w:rPr>
                <w:rFonts w:ascii="Arial" w:hAnsi="Arial" w:eastAsia="宋体" w:cs="Arial"/>
                <w:szCs w:val="24"/>
              </w:rPr>
            </w:pPr>
            <w:r>
              <w:rPr>
                <w:rFonts w:ascii="Arial" w:hAnsi="Arial" w:eastAsia="宋体" w:cs="Arial"/>
                <w:szCs w:val="24"/>
              </w:rPr>
              <w:t>测试时长（小时）</w:t>
            </w:r>
          </w:p>
        </w:tc>
        <w:tc>
          <w:tcPr>
            <w:tcW w:w="325" w:type="pct"/>
            <w:vMerge w:val="restart"/>
            <w:vAlign w:val="center"/>
          </w:tcPr>
          <w:p w14:paraId="0E1164BA">
            <w:pPr>
              <w:overflowPunct w:val="0"/>
              <w:snapToGrid w:val="0"/>
              <w:spacing w:before="93" w:beforeLines="30" w:line="300" w:lineRule="auto"/>
              <w:rPr>
                <w:rFonts w:ascii="Arial" w:hAnsi="Arial" w:eastAsia="宋体" w:cs="Arial"/>
                <w:szCs w:val="24"/>
              </w:rPr>
            </w:pPr>
            <w:r>
              <w:rPr>
                <w:rFonts w:ascii="Arial" w:hAnsi="Arial" w:eastAsia="宋体" w:cs="Arial"/>
                <w:szCs w:val="24"/>
              </w:rPr>
              <w:t>受测数</w:t>
            </w:r>
          </w:p>
        </w:tc>
        <w:tc>
          <w:tcPr>
            <w:tcW w:w="1301" w:type="pct"/>
            <w:gridSpan w:val="4"/>
            <w:tcBorders>
              <w:top w:val="double" w:color="auto" w:sz="4" w:space="0"/>
              <w:bottom w:val="double" w:color="auto" w:sz="4" w:space="0"/>
            </w:tcBorders>
            <w:vAlign w:val="center"/>
          </w:tcPr>
          <w:p w14:paraId="2C3BD6D3">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辐照度比最大值</w:t>
            </w:r>
          </w:p>
        </w:tc>
        <w:tc>
          <w:tcPr>
            <w:tcW w:w="1301" w:type="pct"/>
            <w:gridSpan w:val="4"/>
            <w:tcBorders>
              <w:top w:val="double" w:color="auto" w:sz="4" w:space="0"/>
              <w:bottom w:val="double" w:color="auto" w:sz="4" w:space="0"/>
            </w:tcBorders>
            <w:vAlign w:val="center"/>
          </w:tcPr>
          <w:p w14:paraId="4E0C7610">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计时器</w:t>
            </w:r>
          </w:p>
        </w:tc>
        <w:tc>
          <w:tcPr>
            <w:tcW w:w="1302" w:type="pct"/>
            <w:gridSpan w:val="4"/>
            <w:tcBorders>
              <w:top w:val="double" w:color="auto" w:sz="4" w:space="0"/>
              <w:bottom w:val="double" w:color="auto" w:sz="4" w:space="0"/>
            </w:tcBorders>
            <w:vAlign w:val="center"/>
          </w:tcPr>
          <w:p w14:paraId="01951240">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护目镜透明度</w:t>
            </w:r>
          </w:p>
        </w:tc>
      </w:tr>
      <w:tr w14:paraId="60CA2E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vAlign w:val="center"/>
          </w:tcPr>
          <w:p w14:paraId="1DCEE998">
            <w:pPr>
              <w:overflowPunct w:val="0"/>
              <w:snapToGrid w:val="0"/>
              <w:spacing w:before="93" w:beforeLines="30" w:line="300" w:lineRule="auto"/>
              <w:rPr>
                <w:rFonts w:ascii="Arial" w:hAnsi="Arial" w:eastAsia="宋体" w:cs="Arial"/>
                <w:szCs w:val="24"/>
              </w:rPr>
            </w:pPr>
          </w:p>
        </w:tc>
        <w:tc>
          <w:tcPr>
            <w:tcW w:w="444" w:type="pct"/>
            <w:vMerge w:val="continue"/>
            <w:vAlign w:val="center"/>
          </w:tcPr>
          <w:p w14:paraId="5BE78AB8">
            <w:pPr>
              <w:overflowPunct w:val="0"/>
              <w:snapToGrid w:val="0"/>
              <w:spacing w:before="93" w:beforeLines="30" w:line="300" w:lineRule="auto"/>
              <w:rPr>
                <w:rFonts w:ascii="Arial" w:hAnsi="Arial" w:eastAsia="宋体" w:cs="Arial"/>
                <w:szCs w:val="24"/>
              </w:rPr>
            </w:pPr>
          </w:p>
        </w:tc>
        <w:tc>
          <w:tcPr>
            <w:tcW w:w="325" w:type="pct"/>
            <w:vMerge w:val="continue"/>
            <w:vAlign w:val="center"/>
          </w:tcPr>
          <w:p w14:paraId="24ECFA27">
            <w:pPr>
              <w:overflowPunct w:val="0"/>
              <w:snapToGrid w:val="0"/>
              <w:spacing w:before="93" w:beforeLines="30" w:line="300" w:lineRule="auto"/>
              <w:rPr>
                <w:rFonts w:ascii="Arial" w:hAnsi="Arial" w:eastAsia="宋体" w:cs="Arial"/>
                <w:szCs w:val="24"/>
              </w:rPr>
            </w:pPr>
          </w:p>
        </w:tc>
        <w:tc>
          <w:tcPr>
            <w:tcW w:w="651" w:type="pct"/>
            <w:gridSpan w:val="2"/>
            <w:tcBorders>
              <w:top w:val="double" w:color="auto" w:sz="4" w:space="0"/>
              <w:bottom w:val="single" w:color="auto" w:sz="18" w:space="0"/>
            </w:tcBorders>
            <w:vAlign w:val="center"/>
          </w:tcPr>
          <w:p w14:paraId="293522AE">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W</w:t>
            </w:r>
          </w:p>
        </w:tc>
        <w:tc>
          <w:tcPr>
            <w:tcW w:w="651" w:type="pct"/>
            <w:gridSpan w:val="2"/>
            <w:tcBorders>
              <w:top w:val="double" w:color="auto" w:sz="4" w:space="0"/>
              <w:bottom w:val="single" w:color="auto" w:sz="18" w:space="0"/>
            </w:tcBorders>
            <w:vAlign w:val="center"/>
          </w:tcPr>
          <w:p w14:paraId="633EE31C">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W/O</w:t>
            </w:r>
          </w:p>
        </w:tc>
        <w:tc>
          <w:tcPr>
            <w:tcW w:w="325" w:type="pct"/>
            <w:vMerge w:val="restart"/>
            <w:tcBorders>
              <w:top w:val="double" w:color="auto" w:sz="4" w:space="0"/>
            </w:tcBorders>
            <w:vAlign w:val="center"/>
          </w:tcPr>
          <w:p w14:paraId="5DA6C575">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周期数</w:t>
            </w:r>
          </w:p>
        </w:tc>
        <w:tc>
          <w:tcPr>
            <w:tcW w:w="325" w:type="pct"/>
            <w:vMerge w:val="restart"/>
            <w:tcBorders>
              <w:top w:val="double" w:color="auto" w:sz="4" w:space="0"/>
            </w:tcBorders>
            <w:vAlign w:val="center"/>
          </w:tcPr>
          <w:p w14:paraId="09BD1845">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故障数</w:t>
            </w:r>
          </w:p>
        </w:tc>
        <w:tc>
          <w:tcPr>
            <w:tcW w:w="651" w:type="pct"/>
            <w:gridSpan w:val="2"/>
            <w:tcBorders>
              <w:top w:val="double" w:color="auto" w:sz="4" w:space="0"/>
              <w:bottom w:val="single" w:color="auto" w:sz="18" w:space="0"/>
            </w:tcBorders>
            <w:vAlign w:val="center"/>
          </w:tcPr>
          <w:p w14:paraId="73BAE58B">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最大误差（％）</w:t>
            </w:r>
          </w:p>
        </w:tc>
        <w:tc>
          <w:tcPr>
            <w:tcW w:w="325" w:type="pct"/>
            <w:vMerge w:val="restart"/>
            <w:tcBorders>
              <w:top w:val="double" w:color="auto" w:sz="4" w:space="0"/>
            </w:tcBorders>
            <w:vAlign w:val="center"/>
          </w:tcPr>
          <w:p w14:paraId="34F837C4">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代码</w:t>
            </w:r>
          </w:p>
        </w:tc>
        <w:tc>
          <w:tcPr>
            <w:tcW w:w="325" w:type="pct"/>
            <w:vMerge w:val="restart"/>
            <w:tcBorders>
              <w:top w:val="double" w:color="auto" w:sz="4" w:space="0"/>
            </w:tcBorders>
            <w:vAlign w:val="center"/>
          </w:tcPr>
          <w:p w14:paraId="0BCBDD57">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T1</w:t>
            </w:r>
          </w:p>
        </w:tc>
        <w:tc>
          <w:tcPr>
            <w:tcW w:w="326" w:type="pct"/>
            <w:vMerge w:val="restart"/>
            <w:tcBorders>
              <w:top w:val="double" w:color="auto" w:sz="4" w:space="0"/>
            </w:tcBorders>
            <w:vAlign w:val="center"/>
          </w:tcPr>
          <w:p w14:paraId="4DBA19AF">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T2</w:t>
            </w:r>
          </w:p>
        </w:tc>
        <w:tc>
          <w:tcPr>
            <w:tcW w:w="326" w:type="pct"/>
            <w:vMerge w:val="restart"/>
            <w:tcBorders>
              <w:top w:val="double" w:color="auto" w:sz="4" w:space="0"/>
            </w:tcBorders>
            <w:vAlign w:val="center"/>
          </w:tcPr>
          <w:p w14:paraId="370FD3F7">
            <w:pPr>
              <w:overflowPunct w:val="0"/>
              <w:snapToGrid w:val="0"/>
              <w:spacing w:before="93" w:beforeLines="30" w:line="300" w:lineRule="auto"/>
              <w:jc w:val="center"/>
              <w:rPr>
                <w:rFonts w:ascii="Arial" w:hAnsi="Arial" w:eastAsia="宋体" w:cs="Arial"/>
                <w:szCs w:val="24"/>
              </w:rPr>
            </w:pPr>
            <w:r>
              <w:rPr>
                <w:rFonts w:ascii="Arial" w:hAnsi="Arial" w:eastAsia="宋体" w:cs="Arial"/>
                <w:szCs w:val="24"/>
              </w:rPr>
              <w:t>T3</w:t>
            </w:r>
          </w:p>
        </w:tc>
      </w:tr>
      <w:tr w14:paraId="7B2B43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25" w:type="pct"/>
            <w:vMerge w:val="continue"/>
            <w:tcBorders>
              <w:bottom w:val="single" w:color="auto" w:sz="18" w:space="0"/>
            </w:tcBorders>
            <w:vAlign w:val="center"/>
          </w:tcPr>
          <w:p w14:paraId="2D0B5B71">
            <w:pPr>
              <w:overflowPunct w:val="0"/>
              <w:snapToGrid w:val="0"/>
              <w:spacing w:before="93" w:beforeLines="30" w:line="300" w:lineRule="auto"/>
              <w:rPr>
                <w:rFonts w:ascii="Arial" w:hAnsi="Arial" w:eastAsia="宋体" w:cs="Arial"/>
                <w:szCs w:val="24"/>
              </w:rPr>
            </w:pPr>
          </w:p>
        </w:tc>
        <w:tc>
          <w:tcPr>
            <w:tcW w:w="444" w:type="pct"/>
            <w:vMerge w:val="continue"/>
            <w:tcBorders>
              <w:bottom w:val="single" w:color="auto" w:sz="18" w:space="0"/>
            </w:tcBorders>
            <w:vAlign w:val="center"/>
          </w:tcPr>
          <w:p w14:paraId="6F0F6C3B">
            <w:pPr>
              <w:overflowPunct w:val="0"/>
              <w:snapToGrid w:val="0"/>
              <w:spacing w:before="93" w:beforeLines="30" w:line="300" w:lineRule="auto"/>
              <w:rPr>
                <w:rFonts w:ascii="Arial" w:hAnsi="Arial" w:eastAsia="宋体" w:cs="Arial"/>
                <w:szCs w:val="24"/>
              </w:rPr>
            </w:pPr>
          </w:p>
        </w:tc>
        <w:tc>
          <w:tcPr>
            <w:tcW w:w="325" w:type="pct"/>
            <w:vMerge w:val="continue"/>
            <w:tcBorders>
              <w:bottom w:val="single" w:color="auto" w:sz="18" w:space="0"/>
            </w:tcBorders>
            <w:vAlign w:val="center"/>
          </w:tcPr>
          <w:p w14:paraId="4CB6CBCA">
            <w:pPr>
              <w:overflowPunct w:val="0"/>
              <w:snapToGrid w:val="0"/>
              <w:spacing w:before="93" w:beforeLines="30" w:line="300" w:lineRule="auto"/>
              <w:rPr>
                <w:rFonts w:ascii="Arial" w:hAnsi="Arial" w:eastAsia="宋体" w:cs="Arial"/>
                <w:szCs w:val="24"/>
              </w:rPr>
            </w:pPr>
          </w:p>
        </w:tc>
        <w:tc>
          <w:tcPr>
            <w:tcW w:w="325" w:type="pct"/>
            <w:tcBorders>
              <w:top w:val="single" w:color="auto" w:sz="18" w:space="0"/>
              <w:bottom w:val="single" w:color="auto" w:sz="18" w:space="0"/>
            </w:tcBorders>
            <w:vAlign w:val="center"/>
          </w:tcPr>
          <w:p w14:paraId="2B2CA8C4">
            <w:pPr>
              <w:overflowPunct w:val="0"/>
              <w:snapToGrid w:val="0"/>
              <w:spacing w:before="93" w:beforeLines="30" w:line="300" w:lineRule="auto"/>
              <w:rPr>
                <w:rFonts w:ascii="Arial" w:hAnsi="Arial" w:eastAsia="宋体" w:cs="Arial"/>
                <w:szCs w:val="24"/>
              </w:rPr>
            </w:pPr>
            <w:r>
              <w:rPr>
                <w:rFonts w:ascii="Arial" w:hAnsi="Arial" w:eastAsia="宋体" w:cs="Arial"/>
                <w:szCs w:val="24"/>
              </w:rPr>
              <w:t>开始</w:t>
            </w:r>
          </w:p>
        </w:tc>
        <w:tc>
          <w:tcPr>
            <w:tcW w:w="325" w:type="pct"/>
            <w:tcBorders>
              <w:top w:val="single" w:color="auto" w:sz="18" w:space="0"/>
              <w:bottom w:val="single" w:color="auto" w:sz="18" w:space="0"/>
            </w:tcBorders>
            <w:vAlign w:val="center"/>
          </w:tcPr>
          <w:p w14:paraId="449D775A">
            <w:pPr>
              <w:overflowPunct w:val="0"/>
              <w:snapToGrid w:val="0"/>
              <w:spacing w:before="93" w:beforeLines="30" w:line="300" w:lineRule="auto"/>
              <w:rPr>
                <w:rFonts w:ascii="Arial" w:hAnsi="Arial" w:eastAsia="宋体" w:cs="Arial"/>
                <w:szCs w:val="24"/>
              </w:rPr>
            </w:pPr>
            <w:r>
              <w:rPr>
                <w:rFonts w:ascii="Arial" w:hAnsi="Arial" w:eastAsia="宋体" w:cs="Arial"/>
                <w:szCs w:val="24"/>
              </w:rPr>
              <w:t>结束</w:t>
            </w:r>
          </w:p>
        </w:tc>
        <w:tc>
          <w:tcPr>
            <w:tcW w:w="325" w:type="pct"/>
            <w:tcBorders>
              <w:top w:val="single" w:color="auto" w:sz="18" w:space="0"/>
              <w:bottom w:val="single" w:color="auto" w:sz="18" w:space="0"/>
            </w:tcBorders>
            <w:vAlign w:val="center"/>
          </w:tcPr>
          <w:p w14:paraId="6C331A0F">
            <w:pPr>
              <w:overflowPunct w:val="0"/>
              <w:snapToGrid w:val="0"/>
              <w:spacing w:before="93" w:beforeLines="30" w:line="300" w:lineRule="auto"/>
              <w:rPr>
                <w:rFonts w:ascii="Arial" w:hAnsi="Arial" w:eastAsia="宋体" w:cs="Arial"/>
                <w:szCs w:val="24"/>
              </w:rPr>
            </w:pPr>
            <w:r>
              <w:rPr>
                <w:rFonts w:ascii="Arial" w:hAnsi="Arial" w:eastAsia="宋体" w:cs="Arial"/>
                <w:szCs w:val="24"/>
              </w:rPr>
              <w:t>开始</w:t>
            </w:r>
          </w:p>
        </w:tc>
        <w:tc>
          <w:tcPr>
            <w:tcW w:w="325" w:type="pct"/>
            <w:tcBorders>
              <w:top w:val="single" w:color="auto" w:sz="18" w:space="0"/>
              <w:bottom w:val="single" w:color="auto" w:sz="18" w:space="0"/>
            </w:tcBorders>
            <w:vAlign w:val="center"/>
          </w:tcPr>
          <w:p w14:paraId="1AF6B042">
            <w:pPr>
              <w:overflowPunct w:val="0"/>
              <w:snapToGrid w:val="0"/>
              <w:spacing w:before="93" w:beforeLines="30" w:line="300" w:lineRule="auto"/>
              <w:rPr>
                <w:rFonts w:ascii="Arial" w:hAnsi="Arial" w:eastAsia="宋体" w:cs="Arial"/>
                <w:szCs w:val="24"/>
              </w:rPr>
            </w:pPr>
            <w:r>
              <w:rPr>
                <w:rFonts w:ascii="Arial" w:hAnsi="Arial" w:eastAsia="宋体" w:cs="Arial"/>
                <w:szCs w:val="24"/>
              </w:rPr>
              <w:t>结束</w:t>
            </w:r>
          </w:p>
        </w:tc>
        <w:tc>
          <w:tcPr>
            <w:tcW w:w="325" w:type="pct"/>
            <w:vMerge w:val="continue"/>
            <w:tcBorders>
              <w:bottom w:val="single" w:color="auto" w:sz="18" w:space="0"/>
            </w:tcBorders>
            <w:vAlign w:val="center"/>
          </w:tcPr>
          <w:p w14:paraId="624F5447">
            <w:pPr>
              <w:overflowPunct w:val="0"/>
              <w:snapToGrid w:val="0"/>
              <w:spacing w:before="93" w:beforeLines="30" w:line="300" w:lineRule="auto"/>
              <w:rPr>
                <w:rFonts w:ascii="Arial" w:hAnsi="Arial" w:eastAsia="宋体" w:cs="Arial"/>
                <w:szCs w:val="24"/>
              </w:rPr>
            </w:pPr>
          </w:p>
        </w:tc>
        <w:tc>
          <w:tcPr>
            <w:tcW w:w="325" w:type="pct"/>
            <w:vMerge w:val="continue"/>
            <w:tcBorders>
              <w:bottom w:val="single" w:color="auto" w:sz="18" w:space="0"/>
            </w:tcBorders>
            <w:vAlign w:val="center"/>
          </w:tcPr>
          <w:p w14:paraId="41BE3505">
            <w:pPr>
              <w:overflowPunct w:val="0"/>
              <w:snapToGrid w:val="0"/>
              <w:spacing w:before="93" w:beforeLines="30" w:line="300" w:lineRule="auto"/>
              <w:rPr>
                <w:rFonts w:ascii="Arial" w:hAnsi="Arial" w:eastAsia="宋体" w:cs="Arial"/>
                <w:szCs w:val="24"/>
              </w:rPr>
            </w:pPr>
          </w:p>
        </w:tc>
        <w:tc>
          <w:tcPr>
            <w:tcW w:w="325" w:type="pct"/>
            <w:tcBorders>
              <w:top w:val="single" w:color="auto" w:sz="18" w:space="0"/>
              <w:bottom w:val="single" w:color="auto" w:sz="18" w:space="0"/>
            </w:tcBorders>
            <w:vAlign w:val="center"/>
          </w:tcPr>
          <w:p w14:paraId="3A417773">
            <w:pPr>
              <w:overflowPunct w:val="0"/>
              <w:snapToGrid w:val="0"/>
              <w:spacing w:before="93" w:beforeLines="30" w:line="300" w:lineRule="auto"/>
              <w:rPr>
                <w:rFonts w:ascii="Arial" w:hAnsi="Arial" w:eastAsia="宋体" w:cs="Arial"/>
                <w:szCs w:val="24"/>
              </w:rPr>
            </w:pPr>
            <w:r>
              <w:rPr>
                <w:rFonts w:ascii="Arial" w:hAnsi="Arial" w:eastAsia="宋体" w:cs="Arial"/>
                <w:szCs w:val="24"/>
              </w:rPr>
              <w:t>开始</w:t>
            </w:r>
          </w:p>
        </w:tc>
        <w:tc>
          <w:tcPr>
            <w:tcW w:w="325" w:type="pct"/>
            <w:tcBorders>
              <w:top w:val="single" w:color="auto" w:sz="18" w:space="0"/>
              <w:bottom w:val="single" w:color="auto" w:sz="18" w:space="0"/>
            </w:tcBorders>
            <w:vAlign w:val="center"/>
          </w:tcPr>
          <w:p w14:paraId="4EF36880">
            <w:pPr>
              <w:overflowPunct w:val="0"/>
              <w:snapToGrid w:val="0"/>
              <w:spacing w:before="93" w:beforeLines="30" w:line="300" w:lineRule="auto"/>
              <w:rPr>
                <w:rFonts w:ascii="Arial" w:hAnsi="Arial" w:eastAsia="宋体" w:cs="Arial"/>
                <w:szCs w:val="24"/>
              </w:rPr>
            </w:pPr>
            <w:r>
              <w:rPr>
                <w:rFonts w:ascii="Arial" w:hAnsi="Arial" w:eastAsia="宋体" w:cs="Arial"/>
                <w:szCs w:val="24"/>
              </w:rPr>
              <w:t>结束</w:t>
            </w:r>
          </w:p>
        </w:tc>
        <w:tc>
          <w:tcPr>
            <w:tcW w:w="325" w:type="pct"/>
            <w:vMerge w:val="continue"/>
            <w:tcBorders>
              <w:bottom w:val="single" w:color="auto" w:sz="18" w:space="0"/>
            </w:tcBorders>
            <w:vAlign w:val="center"/>
          </w:tcPr>
          <w:p w14:paraId="4B65CEAC">
            <w:pPr>
              <w:overflowPunct w:val="0"/>
              <w:snapToGrid w:val="0"/>
              <w:spacing w:before="93" w:beforeLines="30" w:line="300" w:lineRule="auto"/>
              <w:rPr>
                <w:rFonts w:ascii="Arial" w:hAnsi="Arial" w:eastAsia="宋体" w:cs="Arial"/>
                <w:szCs w:val="24"/>
              </w:rPr>
            </w:pPr>
          </w:p>
        </w:tc>
        <w:tc>
          <w:tcPr>
            <w:tcW w:w="325" w:type="pct"/>
            <w:vMerge w:val="continue"/>
            <w:tcBorders>
              <w:bottom w:val="single" w:color="auto" w:sz="18" w:space="0"/>
            </w:tcBorders>
            <w:vAlign w:val="center"/>
          </w:tcPr>
          <w:p w14:paraId="0346C1E8">
            <w:pPr>
              <w:overflowPunct w:val="0"/>
              <w:snapToGrid w:val="0"/>
              <w:spacing w:before="93" w:beforeLines="30" w:line="300" w:lineRule="auto"/>
              <w:rPr>
                <w:rFonts w:ascii="Arial" w:hAnsi="Arial" w:eastAsia="宋体" w:cs="Arial"/>
                <w:szCs w:val="24"/>
              </w:rPr>
            </w:pPr>
          </w:p>
        </w:tc>
        <w:tc>
          <w:tcPr>
            <w:tcW w:w="326" w:type="pct"/>
            <w:vMerge w:val="continue"/>
            <w:tcBorders>
              <w:bottom w:val="single" w:color="auto" w:sz="18" w:space="0"/>
            </w:tcBorders>
            <w:vAlign w:val="center"/>
          </w:tcPr>
          <w:p w14:paraId="154333C2">
            <w:pPr>
              <w:overflowPunct w:val="0"/>
              <w:snapToGrid w:val="0"/>
              <w:spacing w:before="93" w:beforeLines="30" w:line="300" w:lineRule="auto"/>
              <w:rPr>
                <w:rFonts w:ascii="Arial" w:hAnsi="Arial" w:eastAsia="宋体" w:cs="Arial"/>
                <w:szCs w:val="24"/>
              </w:rPr>
            </w:pPr>
          </w:p>
        </w:tc>
        <w:tc>
          <w:tcPr>
            <w:tcW w:w="326" w:type="pct"/>
            <w:vMerge w:val="continue"/>
            <w:tcBorders>
              <w:bottom w:val="single" w:color="auto" w:sz="18" w:space="0"/>
            </w:tcBorders>
            <w:vAlign w:val="center"/>
          </w:tcPr>
          <w:p w14:paraId="39A07802">
            <w:pPr>
              <w:overflowPunct w:val="0"/>
              <w:snapToGrid w:val="0"/>
              <w:spacing w:before="93" w:beforeLines="30" w:line="300" w:lineRule="auto"/>
              <w:rPr>
                <w:rFonts w:ascii="Arial" w:hAnsi="Arial" w:eastAsia="宋体" w:cs="Arial"/>
                <w:szCs w:val="24"/>
              </w:rPr>
            </w:pPr>
          </w:p>
        </w:tc>
      </w:tr>
      <w:tr w14:paraId="6DF57F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325" w:type="pct"/>
            <w:tcBorders>
              <w:top w:val="single" w:color="auto" w:sz="18" w:space="0"/>
              <w:bottom w:val="double" w:color="auto" w:sz="4" w:space="0"/>
            </w:tcBorders>
            <w:vAlign w:val="center"/>
          </w:tcPr>
          <w:p w14:paraId="361D45D0">
            <w:pPr>
              <w:overflowPunct w:val="0"/>
              <w:snapToGrid w:val="0"/>
              <w:spacing w:before="93" w:beforeLines="30" w:line="300" w:lineRule="auto"/>
              <w:rPr>
                <w:rFonts w:ascii="Arial" w:hAnsi="Arial" w:eastAsia="宋体" w:cs="Arial"/>
                <w:szCs w:val="24"/>
              </w:rPr>
            </w:pPr>
          </w:p>
        </w:tc>
        <w:tc>
          <w:tcPr>
            <w:tcW w:w="444" w:type="pct"/>
            <w:tcBorders>
              <w:top w:val="single" w:color="auto" w:sz="18" w:space="0"/>
              <w:bottom w:val="double" w:color="auto" w:sz="4" w:space="0"/>
            </w:tcBorders>
            <w:vAlign w:val="center"/>
          </w:tcPr>
          <w:p w14:paraId="659D03C5">
            <w:pPr>
              <w:overflowPunct w:val="0"/>
              <w:snapToGrid w:val="0"/>
              <w:spacing w:before="93" w:beforeLines="30" w:line="300" w:lineRule="auto"/>
              <w:rPr>
                <w:rFonts w:ascii="Arial" w:hAnsi="Arial" w:eastAsia="宋体" w:cs="Arial"/>
                <w:szCs w:val="24"/>
              </w:rPr>
            </w:pPr>
          </w:p>
        </w:tc>
        <w:tc>
          <w:tcPr>
            <w:tcW w:w="325" w:type="pct"/>
            <w:tcBorders>
              <w:top w:val="single" w:color="auto" w:sz="18" w:space="0"/>
              <w:bottom w:val="double" w:color="auto" w:sz="4" w:space="0"/>
            </w:tcBorders>
            <w:vAlign w:val="center"/>
          </w:tcPr>
          <w:p w14:paraId="699A7CDE">
            <w:pPr>
              <w:overflowPunct w:val="0"/>
              <w:snapToGrid w:val="0"/>
              <w:spacing w:before="93" w:beforeLines="30" w:line="300" w:lineRule="auto"/>
              <w:rPr>
                <w:rFonts w:ascii="Arial" w:hAnsi="Arial" w:eastAsia="宋体" w:cs="Arial"/>
                <w:szCs w:val="24"/>
              </w:rPr>
            </w:pPr>
          </w:p>
        </w:tc>
        <w:tc>
          <w:tcPr>
            <w:tcW w:w="325" w:type="pct"/>
            <w:tcBorders>
              <w:top w:val="single" w:color="auto" w:sz="18" w:space="0"/>
              <w:bottom w:val="double" w:color="auto" w:sz="4" w:space="0"/>
            </w:tcBorders>
            <w:vAlign w:val="center"/>
          </w:tcPr>
          <w:p w14:paraId="21B8BA3B">
            <w:pPr>
              <w:overflowPunct w:val="0"/>
              <w:snapToGrid w:val="0"/>
              <w:spacing w:before="93" w:beforeLines="30" w:line="300" w:lineRule="auto"/>
              <w:rPr>
                <w:rFonts w:ascii="Arial" w:hAnsi="Arial" w:eastAsia="宋体" w:cs="Arial"/>
                <w:szCs w:val="24"/>
              </w:rPr>
            </w:pPr>
          </w:p>
        </w:tc>
        <w:tc>
          <w:tcPr>
            <w:tcW w:w="325" w:type="pct"/>
            <w:tcBorders>
              <w:top w:val="single" w:color="auto" w:sz="18" w:space="0"/>
              <w:bottom w:val="double" w:color="auto" w:sz="4" w:space="0"/>
            </w:tcBorders>
            <w:vAlign w:val="center"/>
          </w:tcPr>
          <w:p w14:paraId="0F7C3FB1">
            <w:pPr>
              <w:overflowPunct w:val="0"/>
              <w:snapToGrid w:val="0"/>
              <w:spacing w:before="93" w:beforeLines="30" w:line="300" w:lineRule="auto"/>
              <w:rPr>
                <w:rFonts w:ascii="Arial" w:hAnsi="Arial" w:eastAsia="宋体" w:cs="Arial"/>
                <w:szCs w:val="24"/>
              </w:rPr>
            </w:pPr>
          </w:p>
        </w:tc>
        <w:tc>
          <w:tcPr>
            <w:tcW w:w="325" w:type="pct"/>
            <w:tcBorders>
              <w:top w:val="single" w:color="auto" w:sz="18" w:space="0"/>
              <w:bottom w:val="double" w:color="auto" w:sz="4" w:space="0"/>
            </w:tcBorders>
            <w:vAlign w:val="center"/>
          </w:tcPr>
          <w:p w14:paraId="1B6F84B7">
            <w:pPr>
              <w:overflowPunct w:val="0"/>
              <w:snapToGrid w:val="0"/>
              <w:spacing w:before="93" w:beforeLines="30" w:line="300" w:lineRule="auto"/>
              <w:rPr>
                <w:rFonts w:ascii="Arial" w:hAnsi="Arial" w:eastAsia="宋体" w:cs="Arial"/>
                <w:szCs w:val="24"/>
              </w:rPr>
            </w:pPr>
          </w:p>
        </w:tc>
        <w:tc>
          <w:tcPr>
            <w:tcW w:w="325" w:type="pct"/>
            <w:tcBorders>
              <w:top w:val="single" w:color="auto" w:sz="18" w:space="0"/>
              <w:bottom w:val="double" w:color="auto" w:sz="4" w:space="0"/>
            </w:tcBorders>
            <w:vAlign w:val="center"/>
          </w:tcPr>
          <w:p w14:paraId="76FAA506">
            <w:pPr>
              <w:overflowPunct w:val="0"/>
              <w:snapToGrid w:val="0"/>
              <w:spacing w:before="93" w:beforeLines="30" w:line="300" w:lineRule="auto"/>
              <w:rPr>
                <w:rFonts w:ascii="Arial" w:hAnsi="Arial" w:eastAsia="宋体" w:cs="Arial"/>
                <w:szCs w:val="24"/>
              </w:rPr>
            </w:pPr>
          </w:p>
        </w:tc>
        <w:tc>
          <w:tcPr>
            <w:tcW w:w="325" w:type="pct"/>
            <w:tcBorders>
              <w:top w:val="single" w:color="auto" w:sz="18" w:space="0"/>
              <w:bottom w:val="double" w:color="auto" w:sz="4" w:space="0"/>
            </w:tcBorders>
            <w:vAlign w:val="center"/>
          </w:tcPr>
          <w:p w14:paraId="3915F29F">
            <w:pPr>
              <w:overflowPunct w:val="0"/>
              <w:snapToGrid w:val="0"/>
              <w:spacing w:before="93" w:beforeLines="30" w:line="300" w:lineRule="auto"/>
              <w:rPr>
                <w:rFonts w:ascii="Arial" w:hAnsi="Arial" w:eastAsia="宋体" w:cs="Arial"/>
                <w:szCs w:val="24"/>
              </w:rPr>
            </w:pPr>
          </w:p>
        </w:tc>
        <w:tc>
          <w:tcPr>
            <w:tcW w:w="325" w:type="pct"/>
            <w:tcBorders>
              <w:top w:val="single" w:color="auto" w:sz="18" w:space="0"/>
              <w:bottom w:val="double" w:color="auto" w:sz="4" w:space="0"/>
            </w:tcBorders>
            <w:vAlign w:val="center"/>
          </w:tcPr>
          <w:p w14:paraId="294A1E2D">
            <w:pPr>
              <w:overflowPunct w:val="0"/>
              <w:snapToGrid w:val="0"/>
              <w:spacing w:before="93" w:beforeLines="30" w:line="300" w:lineRule="auto"/>
              <w:rPr>
                <w:rFonts w:ascii="Arial" w:hAnsi="Arial" w:eastAsia="宋体" w:cs="Arial"/>
                <w:szCs w:val="24"/>
              </w:rPr>
            </w:pPr>
          </w:p>
        </w:tc>
        <w:tc>
          <w:tcPr>
            <w:tcW w:w="325" w:type="pct"/>
            <w:tcBorders>
              <w:top w:val="single" w:color="auto" w:sz="18" w:space="0"/>
              <w:bottom w:val="double" w:color="auto" w:sz="4" w:space="0"/>
            </w:tcBorders>
            <w:vAlign w:val="center"/>
          </w:tcPr>
          <w:p w14:paraId="7FDADED7">
            <w:pPr>
              <w:overflowPunct w:val="0"/>
              <w:snapToGrid w:val="0"/>
              <w:spacing w:before="93" w:beforeLines="30" w:line="300" w:lineRule="auto"/>
              <w:rPr>
                <w:rFonts w:ascii="Arial" w:hAnsi="Arial" w:eastAsia="宋体" w:cs="Arial"/>
                <w:szCs w:val="24"/>
              </w:rPr>
            </w:pPr>
          </w:p>
        </w:tc>
        <w:tc>
          <w:tcPr>
            <w:tcW w:w="325" w:type="pct"/>
            <w:tcBorders>
              <w:top w:val="single" w:color="auto" w:sz="18" w:space="0"/>
              <w:bottom w:val="double" w:color="auto" w:sz="4" w:space="0"/>
            </w:tcBorders>
            <w:vAlign w:val="center"/>
          </w:tcPr>
          <w:p w14:paraId="6290F642">
            <w:pPr>
              <w:overflowPunct w:val="0"/>
              <w:snapToGrid w:val="0"/>
              <w:spacing w:before="93" w:beforeLines="30" w:line="300" w:lineRule="auto"/>
              <w:rPr>
                <w:rFonts w:ascii="Arial" w:hAnsi="Arial" w:eastAsia="宋体" w:cs="Arial"/>
                <w:szCs w:val="24"/>
              </w:rPr>
            </w:pPr>
          </w:p>
        </w:tc>
        <w:tc>
          <w:tcPr>
            <w:tcW w:w="325" w:type="pct"/>
            <w:tcBorders>
              <w:top w:val="single" w:color="auto" w:sz="18" w:space="0"/>
              <w:bottom w:val="double" w:color="auto" w:sz="4" w:space="0"/>
            </w:tcBorders>
            <w:vAlign w:val="center"/>
          </w:tcPr>
          <w:p w14:paraId="4655FBC4">
            <w:pPr>
              <w:overflowPunct w:val="0"/>
              <w:snapToGrid w:val="0"/>
              <w:spacing w:before="93" w:beforeLines="30" w:line="300" w:lineRule="auto"/>
              <w:rPr>
                <w:rFonts w:ascii="Arial" w:hAnsi="Arial" w:eastAsia="宋体" w:cs="Arial"/>
                <w:szCs w:val="24"/>
              </w:rPr>
            </w:pPr>
          </w:p>
        </w:tc>
        <w:tc>
          <w:tcPr>
            <w:tcW w:w="325" w:type="pct"/>
            <w:tcBorders>
              <w:top w:val="single" w:color="auto" w:sz="18" w:space="0"/>
              <w:bottom w:val="double" w:color="auto" w:sz="4" w:space="0"/>
            </w:tcBorders>
            <w:vAlign w:val="center"/>
          </w:tcPr>
          <w:p w14:paraId="6F67ECA8">
            <w:pPr>
              <w:overflowPunct w:val="0"/>
              <w:snapToGrid w:val="0"/>
              <w:spacing w:before="93" w:beforeLines="30" w:line="300" w:lineRule="auto"/>
              <w:rPr>
                <w:rFonts w:ascii="Arial" w:hAnsi="Arial" w:eastAsia="宋体" w:cs="Arial"/>
                <w:szCs w:val="24"/>
              </w:rPr>
            </w:pPr>
          </w:p>
        </w:tc>
        <w:tc>
          <w:tcPr>
            <w:tcW w:w="326" w:type="pct"/>
            <w:tcBorders>
              <w:top w:val="single" w:color="auto" w:sz="18" w:space="0"/>
              <w:bottom w:val="double" w:color="auto" w:sz="4" w:space="0"/>
            </w:tcBorders>
            <w:vAlign w:val="center"/>
          </w:tcPr>
          <w:p w14:paraId="039C548B">
            <w:pPr>
              <w:overflowPunct w:val="0"/>
              <w:snapToGrid w:val="0"/>
              <w:spacing w:before="93" w:beforeLines="30" w:line="300" w:lineRule="auto"/>
              <w:rPr>
                <w:rFonts w:ascii="Arial" w:hAnsi="Arial" w:eastAsia="宋体" w:cs="Arial"/>
                <w:szCs w:val="24"/>
              </w:rPr>
            </w:pPr>
          </w:p>
        </w:tc>
        <w:tc>
          <w:tcPr>
            <w:tcW w:w="326" w:type="pct"/>
            <w:tcBorders>
              <w:top w:val="single" w:color="auto" w:sz="18" w:space="0"/>
              <w:bottom w:val="double" w:color="auto" w:sz="4" w:space="0"/>
            </w:tcBorders>
            <w:vAlign w:val="center"/>
          </w:tcPr>
          <w:p w14:paraId="048E2504">
            <w:pPr>
              <w:overflowPunct w:val="0"/>
              <w:snapToGrid w:val="0"/>
              <w:spacing w:before="93" w:beforeLines="30" w:line="300" w:lineRule="auto"/>
              <w:rPr>
                <w:rFonts w:ascii="Arial" w:hAnsi="Arial" w:eastAsia="宋体" w:cs="Arial"/>
                <w:szCs w:val="24"/>
              </w:rPr>
            </w:pPr>
          </w:p>
        </w:tc>
      </w:tr>
    </w:tbl>
    <w:p w14:paraId="22CE6E2D">
      <w:pPr>
        <w:overflowPunct w:val="0"/>
        <w:snapToGrid w:val="0"/>
        <w:spacing w:before="156" w:beforeLines="50" w:after="234" w:afterLines="75" w:line="360" w:lineRule="auto"/>
        <w:rPr>
          <w:rFonts w:ascii="Arial" w:hAnsi="Arial" w:eastAsia="宋体" w:cs="Arial"/>
          <w:sz w:val="24"/>
          <w:szCs w:val="24"/>
        </w:rPr>
      </w:pPr>
      <w:r>
        <w:rPr>
          <w:rFonts w:ascii="Arial" w:hAnsi="Arial" w:eastAsia="宋体" w:cs="Arial"/>
          <w:sz w:val="24"/>
          <w:szCs w:val="24"/>
        </w:rPr>
        <w:t>第6部分：辐射安全通信</w:t>
      </w:r>
    </w:p>
    <w:p w14:paraId="7CC466ED">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产品使用期间用户、经销商或其他人关于可能存在的辐射暴露或计时器故障</w:t>
      </w:r>
      <w:r>
        <w:rPr>
          <w:rFonts w:hint="eastAsia" w:ascii="Arial" w:hAnsi="Arial" w:eastAsia="宋体" w:cs="Arial"/>
          <w:sz w:val="24"/>
          <w:szCs w:val="24"/>
        </w:rPr>
        <w:t>的</w:t>
      </w:r>
      <w:r>
        <w:rPr>
          <w:rFonts w:ascii="Arial" w:hAnsi="Arial" w:eastAsia="宋体" w:cs="Arial"/>
          <w:sz w:val="24"/>
          <w:szCs w:val="24"/>
        </w:rPr>
        <w:t>信函数是：</w:t>
      </w:r>
    </w:p>
    <w:p w14:paraId="646D6595">
      <w:pPr>
        <w:overflowPunct w:val="0"/>
        <w:snapToGrid w:val="0"/>
        <w:spacing w:after="234" w:afterLines="75" w:line="360" w:lineRule="auto"/>
        <w:ind w:left="420" w:leftChars="200"/>
        <w:rPr>
          <w:rFonts w:ascii="Arial" w:hAnsi="Arial" w:eastAsia="宋体" w:cs="Arial"/>
          <w:sz w:val="24"/>
          <w:szCs w:val="24"/>
        </w:rPr>
      </w:pPr>
      <w:r>
        <w:rPr>
          <w:rFonts w:ascii="Arial" w:hAnsi="Arial" w:eastAsia="宋体" w:cs="Arial"/>
          <w:sz w:val="24"/>
          <w:szCs w:val="24"/>
        </w:rPr>
        <w:t>（  ）附有每封信函的副本。</w:t>
      </w:r>
    </w:p>
    <w:p w14:paraId="477E65ED">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为维护产品辐射安全</w:t>
      </w:r>
      <w:r>
        <w:rPr>
          <w:rFonts w:hint="eastAsia" w:ascii="Arial" w:hAnsi="Arial" w:eastAsia="宋体" w:cs="Arial"/>
          <w:sz w:val="24"/>
          <w:szCs w:val="24"/>
        </w:rPr>
        <w:t>的</w:t>
      </w:r>
      <w:r>
        <w:rPr>
          <w:rFonts w:ascii="Arial" w:hAnsi="Arial" w:eastAsia="宋体" w:cs="Arial"/>
          <w:sz w:val="24"/>
          <w:szCs w:val="24"/>
        </w:rPr>
        <w:t>目的会产生对某零件进行修理、调节或替换的需求。关于此类事项从经销商、批发商或其他人处收到的信函数是：</w:t>
      </w:r>
    </w:p>
    <w:p w14:paraId="654A0CEB">
      <w:pPr>
        <w:overflowPunct w:val="0"/>
        <w:snapToGrid w:val="0"/>
        <w:spacing w:after="234" w:afterLines="75" w:line="360" w:lineRule="auto"/>
        <w:ind w:left="420" w:leftChars="200"/>
        <w:rPr>
          <w:rFonts w:ascii="Arial" w:hAnsi="Arial" w:eastAsia="宋体" w:cs="Arial"/>
          <w:sz w:val="24"/>
          <w:szCs w:val="24"/>
        </w:rPr>
      </w:pPr>
      <w:r>
        <w:rPr>
          <w:rFonts w:ascii="Arial" w:hAnsi="Arial" w:eastAsia="宋体" w:cs="Arial"/>
          <w:sz w:val="24"/>
          <w:szCs w:val="24"/>
        </w:rPr>
        <w:t>随信函附有概述（  ）或</w:t>
      </w:r>
      <w:r>
        <w:rPr>
          <w:rFonts w:hint="eastAsia" w:ascii="Arial" w:hAnsi="Arial" w:eastAsia="宋体" w:cs="Arial"/>
          <w:sz w:val="24"/>
          <w:szCs w:val="24"/>
        </w:rPr>
        <w:t>通信</w:t>
      </w:r>
      <w:r>
        <w:rPr>
          <w:rFonts w:ascii="Arial" w:hAnsi="Arial" w:eastAsia="宋体" w:cs="Arial"/>
          <w:sz w:val="24"/>
          <w:szCs w:val="24"/>
        </w:rPr>
        <w:t>样本（  ）。确认故障组件或维修期间所需调节的任何趋势。</w:t>
      </w:r>
    </w:p>
    <w:p w14:paraId="07DE0782">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为维护产品辐射安全</w:t>
      </w:r>
      <w:r>
        <w:rPr>
          <w:rFonts w:hint="eastAsia" w:ascii="Arial" w:hAnsi="Arial" w:eastAsia="宋体" w:cs="Arial"/>
          <w:sz w:val="24"/>
          <w:szCs w:val="24"/>
        </w:rPr>
        <w:t>的</w:t>
      </w:r>
      <w:r>
        <w:rPr>
          <w:rFonts w:ascii="Arial" w:hAnsi="Arial" w:eastAsia="宋体" w:cs="Arial"/>
          <w:sz w:val="24"/>
          <w:szCs w:val="24"/>
        </w:rPr>
        <w:t>目的需采取预防措施或具体行动。为此而向用户、经销商或维修人员发送的通知或手册数是：</w:t>
      </w:r>
    </w:p>
    <w:p w14:paraId="784C862E">
      <w:pPr>
        <w:overflowPunct w:val="0"/>
        <w:snapToGrid w:val="0"/>
        <w:spacing w:after="234" w:afterLines="75" w:line="360" w:lineRule="auto"/>
        <w:ind w:left="420" w:leftChars="200"/>
        <w:rPr>
          <w:rFonts w:ascii="Arial" w:hAnsi="Arial" w:eastAsia="宋体" w:cs="Arial"/>
          <w:sz w:val="24"/>
          <w:szCs w:val="24"/>
        </w:rPr>
      </w:pPr>
      <w:r>
        <w:rPr>
          <w:rFonts w:ascii="Arial" w:hAnsi="Arial" w:eastAsia="宋体" w:cs="Arial"/>
          <w:sz w:val="24"/>
          <w:szCs w:val="24"/>
        </w:rPr>
        <w:t>随信函附有概述（  ）或</w:t>
      </w:r>
      <w:r>
        <w:rPr>
          <w:rFonts w:hint="eastAsia" w:ascii="Arial" w:hAnsi="Arial" w:eastAsia="宋体" w:cs="Arial"/>
          <w:sz w:val="24"/>
          <w:szCs w:val="24"/>
        </w:rPr>
        <w:t>通信</w:t>
      </w:r>
      <w:r>
        <w:rPr>
          <w:rFonts w:ascii="Arial" w:hAnsi="Arial" w:eastAsia="宋体" w:cs="Arial"/>
          <w:sz w:val="24"/>
          <w:szCs w:val="24"/>
        </w:rPr>
        <w:t>样本（  ）。</w:t>
      </w:r>
    </w:p>
    <w:p w14:paraId="58D34038">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第7部分：分销记录</w:t>
      </w:r>
    </w:p>
    <w:p w14:paraId="039A7D28">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以下列方式维护生产航运记录和经销商记录（返回时）：</w:t>
      </w:r>
    </w:p>
    <w:p w14:paraId="7A222B6F">
      <w:pPr>
        <w:overflowPunct w:val="0"/>
        <w:snapToGrid w:val="0"/>
        <w:spacing w:after="234" w:afterLines="75" w:line="360" w:lineRule="auto"/>
        <w:rPr>
          <w:rFonts w:ascii="Arial" w:hAnsi="Arial" w:eastAsia="宋体" w:cs="Arial"/>
          <w:sz w:val="24"/>
          <w:szCs w:val="24"/>
        </w:rPr>
      </w:pPr>
      <w:r>
        <w:rPr>
          <w:rFonts w:ascii="Arial" w:hAnsi="Arial" w:eastAsia="宋体" w:cs="Arial"/>
          <w:sz w:val="24"/>
          <w:szCs w:val="24"/>
        </w:rPr>
        <w:t>可通过下列信息从记录中追踪到产品：</w:t>
      </w:r>
    </w:p>
    <w:p w14:paraId="343A9DFD">
      <w:pPr>
        <w:overflowPunct w:val="0"/>
        <w:snapToGrid w:val="0"/>
        <w:spacing w:after="234" w:afterLines="75" w:line="360" w:lineRule="auto"/>
        <w:ind w:left="420" w:leftChars="200"/>
        <w:rPr>
          <w:rFonts w:ascii="Arial" w:hAnsi="Arial" w:eastAsia="宋体" w:cs="Arial"/>
          <w:sz w:val="24"/>
          <w:szCs w:val="24"/>
        </w:rPr>
      </w:pPr>
      <w:r>
        <w:rPr>
          <w:rFonts w:ascii="Arial" w:hAnsi="Arial" w:eastAsia="宋体" w:cs="Arial"/>
          <w:sz w:val="24"/>
          <w:szCs w:val="24"/>
        </w:rPr>
        <w:t xml:space="preserve">（  ）型号  （  ）序列号  （  ）生产日期  </w:t>
      </w:r>
    </w:p>
    <w:p w14:paraId="049CD771">
      <w:pPr>
        <w:overflowPunct w:val="0"/>
        <w:snapToGrid w:val="0"/>
        <w:spacing w:after="234" w:afterLines="75" w:line="360" w:lineRule="auto"/>
        <w:ind w:left="420" w:leftChars="200"/>
        <w:rPr>
          <w:rFonts w:ascii="Arial" w:hAnsi="Arial" w:eastAsia="宋体" w:cs="Arial"/>
          <w:sz w:val="24"/>
          <w:szCs w:val="24"/>
        </w:rPr>
      </w:pPr>
      <w:r>
        <w:rPr>
          <w:rFonts w:ascii="Arial" w:hAnsi="Arial" w:eastAsia="宋体" w:cs="Arial"/>
          <w:sz w:val="24"/>
          <w:szCs w:val="24"/>
        </w:rPr>
        <w:t>（  ）其它，请说明：</w:t>
      </w:r>
    </w:p>
    <w:p w14:paraId="09B7D268">
      <w:pPr>
        <w:overflowPunct w:val="0"/>
        <w:snapToGrid w:val="0"/>
        <w:spacing w:after="234" w:afterLines="75" w:line="300" w:lineRule="auto"/>
        <w:jc w:val="center"/>
        <w:rPr>
          <w:rFonts w:hint="eastAsia" w:eastAsia="宋体"/>
          <w:lang w:eastAsia="zh-CN"/>
        </w:rPr>
      </w:pPr>
    </w:p>
    <w:p w14:paraId="5339D39E">
      <w:pPr>
        <w:overflowPunct w:val="0"/>
        <w:snapToGrid w:val="0"/>
        <w:spacing w:after="234" w:afterLines="75" w:line="300" w:lineRule="auto"/>
        <w:jc w:val="center"/>
        <w:rPr>
          <w:rFonts w:hint="eastAsia" w:eastAsia="宋体"/>
          <w:lang w:eastAsia="zh-CN"/>
        </w:rPr>
      </w:pPr>
    </w:p>
    <w:p w14:paraId="0672164C">
      <w:pPr>
        <w:overflowPunct w:val="0"/>
        <w:snapToGrid w:val="0"/>
        <w:spacing w:after="234" w:afterLines="75"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9B"/>
    <w:rsid w:val="000040B1"/>
    <w:rsid w:val="00020442"/>
    <w:rsid w:val="000302EE"/>
    <w:rsid w:val="000347E4"/>
    <w:rsid w:val="000503B6"/>
    <w:rsid w:val="00053ADF"/>
    <w:rsid w:val="0007319B"/>
    <w:rsid w:val="00075966"/>
    <w:rsid w:val="00086C02"/>
    <w:rsid w:val="000939CA"/>
    <w:rsid w:val="000B372F"/>
    <w:rsid w:val="000B78A4"/>
    <w:rsid w:val="000C74E5"/>
    <w:rsid w:val="000D40C8"/>
    <w:rsid w:val="000E6316"/>
    <w:rsid w:val="00110D3B"/>
    <w:rsid w:val="0013657D"/>
    <w:rsid w:val="00144489"/>
    <w:rsid w:val="00176672"/>
    <w:rsid w:val="00182D5F"/>
    <w:rsid w:val="001911FD"/>
    <w:rsid w:val="001A6358"/>
    <w:rsid w:val="001E6168"/>
    <w:rsid w:val="00210725"/>
    <w:rsid w:val="00214FF7"/>
    <w:rsid w:val="00276B2F"/>
    <w:rsid w:val="002A0F60"/>
    <w:rsid w:val="002B104A"/>
    <w:rsid w:val="002D4E92"/>
    <w:rsid w:val="002D5119"/>
    <w:rsid w:val="003166DB"/>
    <w:rsid w:val="00333AE6"/>
    <w:rsid w:val="00362BB4"/>
    <w:rsid w:val="00375D18"/>
    <w:rsid w:val="00383A14"/>
    <w:rsid w:val="003C1C99"/>
    <w:rsid w:val="003E0C1B"/>
    <w:rsid w:val="003E0DE6"/>
    <w:rsid w:val="003E4F2D"/>
    <w:rsid w:val="00402D83"/>
    <w:rsid w:val="00436C6D"/>
    <w:rsid w:val="004373F9"/>
    <w:rsid w:val="0045649A"/>
    <w:rsid w:val="004721E7"/>
    <w:rsid w:val="004A39DF"/>
    <w:rsid w:val="004F59A1"/>
    <w:rsid w:val="005113D9"/>
    <w:rsid w:val="005271E0"/>
    <w:rsid w:val="00530335"/>
    <w:rsid w:val="00530577"/>
    <w:rsid w:val="0054575F"/>
    <w:rsid w:val="00546999"/>
    <w:rsid w:val="0055758B"/>
    <w:rsid w:val="00564ECF"/>
    <w:rsid w:val="005810F2"/>
    <w:rsid w:val="0058313B"/>
    <w:rsid w:val="0058636B"/>
    <w:rsid w:val="005945D6"/>
    <w:rsid w:val="00595372"/>
    <w:rsid w:val="005A4EAE"/>
    <w:rsid w:val="005C02E9"/>
    <w:rsid w:val="005D5293"/>
    <w:rsid w:val="005E20A8"/>
    <w:rsid w:val="00611EA0"/>
    <w:rsid w:val="00612E8E"/>
    <w:rsid w:val="00620D38"/>
    <w:rsid w:val="0062219B"/>
    <w:rsid w:val="00622F0D"/>
    <w:rsid w:val="006354E2"/>
    <w:rsid w:val="0064050A"/>
    <w:rsid w:val="00652B37"/>
    <w:rsid w:val="00655429"/>
    <w:rsid w:val="006615E5"/>
    <w:rsid w:val="00677C5B"/>
    <w:rsid w:val="00690760"/>
    <w:rsid w:val="006B0DDB"/>
    <w:rsid w:val="006B124B"/>
    <w:rsid w:val="006B1B70"/>
    <w:rsid w:val="006C2C76"/>
    <w:rsid w:val="006C58B9"/>
    <w:rsid w:val="006D20BD"/>
    <w:rsid w:val="00710904"/>
    <w:rsid w:val="0071444F"/>
    <w:rsid w:val="00724645"/>
    <w:rsid w:val="00727929"/>
    <w:rsid w:val="00737B2C"/>
    <w:rsid w:val="00780F73"/>
    <w:rsid w:val="007912F2"/>
    <w:rsid w:val="007A1120"/>
    <w:rsid w:val="007C1142"/>
    <w:rsid w:val="007D219F"/>
    <w:rsid w:val="007D46B7"/>
    <w:rsid w:val="007E4846"/>
    <w:rsid w:val="007E6407"/>
    <w:rsid w:val="007F50A3"/>
    <w:rsid w:val="0081001A"/>
    <w:rsid w:val="00821FFE"/>
    <w:rsid w:val="008255D3"/>
    <w:rsid w:val="0083020E"/>
    <w:rsid w:val="00844702"/>
    <w:rsid w:val="0086195B"/>
    <w:rsid w:val="008C759E"/>
    <w:rsid w:val="008E7580"/>
    <w:rsid w:val="008F1E1C"/>
    <w:rsid w:val="00905904"/>
    <w:rsid w:val="00911132"/>
    <w:rsid w:val="00913DE1"/>
    <w:rsid w:val="00931B19"/>
    <w:rsid w:val="00955B95"/>
    <w:rsid w:val="00971E06"/>
    <w:rsid w:val="00972F1C"/>
    <w:rsid w:val="009A741B"/>
    <w:rsid w:val="009D77FA"/>
    <w:rsid w:val="009E0FF3"/>
    <w:rsid w:val="009E734F"/>
    <w:rsid w:val="009F3542"/>
    <w:rsid w:val="00A11AC1"/>
    <w:rsid w:val="00A16CFD"/>
    <w:rsid w:val="00A34591"/>
    <w:rsid w:val="00A348AC"/>
    <w:rsid w:val="00A4543C"/>
    <w:rsid w:val="00A6154A"/>
    <w:rsid w:val="00A618EB"/>
    <w:rsid w:val="00A7166D"/>
    <w:rsid w:val="00AA2267"/>
    <w:rsid w:val="00AA73B9"/>
    <w:rsid w:val="00AB30C7"/>
    <w:rsid w:val="00AD0F93"/>
    <w:rsid w:val="00B227A8"/>
    <w:rsid w:val="00B44281"/>
    <w:rsid w:val="00B64702"/>
    <w:rsid w:val="00B660A2"/>
    <w:rsid w:val="00B8381D"/>
    <w:rsid w:val="00B84F08"/>
    <w:rsid w:val="00B91329"/>
    <w:rsid w:val="00B950D7"/>
    <w:rsid w:val="00BA4D7A"/>
    <w:rsid w:val="00BE2127"/>
    <w:rsid w:val="00BF2B50"/>
    <w:rsid w:val="00C12803"/>
    <w:rsid w:val="00C22544"/>
    <w:rsid w:val="00C3245D"/>
    <w:rsid w:val="00C429E9"/>
    <w:rsid w:val="00C43B9C"/>
    <w:rsid w:val="00C67ED7"/>
    <w:rsid w:val="00C74928"/>
    <w:rsid w:val="00C7566D"/>
    <w:rsid w:val="00C771B6"/>
    <w:rsid w:val="00CA0EA7"/>
    <w:rsid w:val="00CF21A1"/>
    <w:rsid w:val="00CF5CC9"/>
    <w:rsid w:val="00D021B4"/>
    <w:rsid w:val="00D06E3C"/>
    <w:rsid w:val="00D374EB"/>
    <w:rsid w:val="00D5010D"/>
    <w:rsid w:val="00D83A96"/>
    <w:rsid w:val="00D871B4"/>
    <w:rsid w:val="00D8764F"/>
    <w:rsid w:val="00DC12BE"/>
    <w:rsid w:val="00DE019A"/>
    <w:rsid w:val="00DE31F2"/>
    <w:rsid w:val="00E026B8"/>
    <w:rsid w:val="00E1095E"/>
    <w:rsid w:val="00E169D0"/>
    <w:rsid w:val="00E5152C"/>
    <w:rsid w:val="00E5481C"/>
    <w:rsid w:val="00E55AD1"/>
    <w:rsid w:val="00E61BB0"/>
    <w:rsid w:val="00E7523B"/>
    <w:rsid w:val="00E76E3D"/>
    <w:rsid w:val="00E77B5E"/>
    <w:rsid w:val="00E809FA"/>
    <w:rsid w:val="00E86B0F"/>
    <w:rsid w:val="00EC6F62"/>
    <w:rsid w:val="00EF60F9"/>
    <w:rsid w:val="00F327D0"/>
    <w:rsid w:val="00F44107"/>
    <w:rsid w:val="00F46E70"/>
    <w:rsid w:val="00F81B2C"/>
    <w:rsid w:val="00F91560"/>
    <w:rsid w:val="00FA53A8"/>
    <w:rsid w:val="00FB3725"/>
    <w:rsid w:val="00FC69E0"/>
    <w:rsid w:val="00FF776A"/>
    <w:rsid w:val="475A4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日期 Char"/>
    <w:basedOn w:val="8"/>
    <w:link w:val="2"/>
    <w:semiHidden/>
    <w:uiPriority w:val="99"/>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character" w:customStyle="1" w:styleId="13">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4665</Words>
  <Characters>5207</Characters>
  <Lines>39</Lines>
  <Paragraphs>11</Paragraphs>
  <TotalTime>1</TotalTime>
  <ScaleCrop>false</ScaleCrop>
  <LinksUpToDate>false</LinksUpToDate>
  <CharactersWithSpaces>5309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2017-12-18T14:23:00Z</dcterms:created>
  <dc:creator>donghaiyangbo</dc:creator>
  <cp:lastModifiedBy>太极箫客</cp:lastModifiedBy>
  <dcterms:modified xsi:type="dcterms:W3CDTF">2025-08-14T06:49:13Z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A771E1C1121F426C9A67E367249122BE_12</vt:lpwstr>
  </property>
</Properties>
</file>