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40440">
      <w:pPr>
        <w:pBdr>
          <w:bottom w:val="single" w:color="auto" w:sz="4" w:space="1"/>
        </w:pBdr>
        <w:tabs>
          <w:tab w:val="left" w:pos="731"/>
        </w:tabs>
        <w:adjustRightInd w:val="0"/>
        <w:snapToGrid w:val="0"/>
        <w:spacing w:before="120" w:beforeLines="50" w:line="300" w:lineRule="auto"/>
        <w:jc w:val="center"/>
        <w:rPr>
          <w:rFonts w:ascii="Times New Roman" w:hAnsi="Times New Roman" w:cs="Times New Roman"/>
          <w:snapToGrid w:val="0"/>
          <w:sz w:val="44"/>
          <w:szCs w:val="44"/>
          <w:lang w:eastAsia="zh-CN"/>
        </w:rPr>
      </w:pPr>
      <w:bookmarkStart w:id="28" w:name="_GoBack"/>
      <w:bookmarkEnd w:id="28"/>
      <w:r>
        <w:rPr>
          <w:rFonts w:ascii="Times New Roman" w:hAnsi="Times New Roman" w:eastAsia="宋体" w:cs="宋体"/>
          <w:b/>
          <w:sz w:val="44"/>
          <w:lang w:eastAsia="zh-CN"/>
        </w:rPr>
        <w:t>外周经皮腔内血管成形术（PTA）</w:t>
      </w:r>
      <w:r>
        <w:rPr>
          <w:rFonts w:hint="eastAsia" w:ascii="Times New Roman" w:hAnsi="Times New Roman" w:eastAsia="宋体" w:cs="宋体"/>
          <w:b/>
          <w:sz w:val="44"/>
          <w:lang w:eastAsia="zh-CN"/>
        </w:rPr>
        <w:t>及</w:t>
      </w:r>
      <w:r>
        <w:rPr>
          <w:rFonts w:ascii="Times New Roman" w:hAnsi="Times New Roman" w:eastAsia="宋体" w:cs="宋体"/>
          <w:b/>
          <w:sz w:val="44"/>
          <w:lang w:eastAsia="zh-CN"/>
        </w:rPr>
        <w:t>专用导管-上市前通知（510(k)）申请</w:t>
      </w:r>
    </w:p>
    <w:p w14:paraId="7B33FE30">
      <w:pPr>
        <w:tabs>
          <w:tab w:val="left" w:pos="784"/>
        </w:tabs>
        <w:adjustRightInd w:val="0"/>
        <w:snapToGrid w:val="0"/>
        <w:spacing w:before="120" w:beforeLines="50" w:line="300" w:lineRule="auto"/>
        <w:jc w:val="center"/>
        <w:rPr>
          <w:rFonts w:ascii="Times New Roman" w:hAnsi="Times New Roman" w:cs="Times New Roman"/>
          <w:snapToGrid w:val="0"/>
          <w:sz w:val="44"/>
          <w:szCs w:val="44"/>
          <w:lang w:eastAsia="zh-CN"/>
        </w:rPr>
      </w:pPr>
      <w:r>
        <w:rPr>
          <w:rFonts w:ascii="Times New Roman" w:hAnsi="Times New Roman" w:eastAsia="宋体" w:cs="宋体"/>
          <w:b/>
          <w:sz w:val="44"/>
          <w:lang w:eastAsia="zh-CN"/>
        </w:rPr>
        <w:t>面向行业和美国食品药品</w:t>
      </w:r>
      <w:r>
        <w:rPr>
          <w:rFonts w:hint="eastAsia" w:ascii="Times New Roman" w:hAnsi="Times New Roman" w:eastAsia="宋体" w:cs="宋体"/>
          <w:b/>
          <w:sz w:val="44"/>
          <w:lang w:eastAsia="zh-CN"/>
        </w:rPr>
        <w:t>监督</w:t>
      </w:r>
      <w:r>
        <w:rPr>
          <w:rFonts w:ascii="Times New Roman" w:hAnsi="Times New Roman" w:eastAsia="宋体" w:cs="宋体"/>
          <w:b/>
          <w:sz w:val="44"/>
          <w:lang w:eastAsia="zh-CN"/>
        </w:rPr>
        <w:t>管理局工作人员的指南草案</w:t>
      </w:r>
    </w:p>
    <w:p w14:paraId="14AB69B5">
      <w:pPr>
        <w:tabs>
          <w:tab w:val="left" w:pos="3981"/>
        </w:tabs>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i/>
          <w:sz w:val="24"/>
          <w:lang w:eastAsia="zh-CN"/>
        </w:rPr>
        <w:t>指南草案</w:t>
      </w:r>
    </w:p>
    <w:p w14:paraId="0F02F862">
      <w:pPr>
        <w:tabs>
          <w:tab w:val="left" w:pos="1048"/>
        </w:tabs>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本指南文件仅供征求意见</w:t>
      </w:r>
    </w:p>
    <w:p w14:paraId="7FFF80D8">
      <w:pPr>
        <w:tabs>
          <w:tab w:val="left" w:pos="3107"/>
        </w:tabs>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文件发布日期：2020年1月13日</w:t>
      </w:r>
    </w:p>
    <w:p w14:paraId="07FED5FC">
      <w:pPr>
        <w:tabs>
          <w:tab w:val="left" w:pos="3107"/>
        </w:tabs>
        <w:adjustRightInd w:val="0"/>
        <w:snapToGrid w:val="0"/>
        <w:spacing w:before="120" w:beforeLines="50" w:line="300" w:lineRule="auto"/>
        <w:jc w:val="center"/>
        <w:rPr>
          <w:rFonts w:ascii="Times New Roman" w:hAnsi="Times New Roman" w:cs="Times New Roman"/>
          <w:snapToGrid w:val="0"/>
          <w:sz w:val="24"/>
          <w:szCs w:val="24"/>
          <w:lang w:eastAsia="zh-CN"/>
        </w:rPr>
      </w:pPr>
    </w:p>
    <w:p w14:paraId="5663CD3B">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应在《联邦公报》</w:t>
      </w:r>
      <w:r>
        <w:rPr>
          <w:rFonts w:hint="eastAsia" w:ascii="Times New Roman" w:hAnsi="Times New Roman" w:eastAsia="宋体" w:cs="宋体"/>
          <w:sz w:val="24"/>
          <w:lang w:eastAsia="zh-CN"/>
        </w:rPr>
        <w:t>发布</w:t>
      </w:r>
      <w:r>
        <w:rPr>
          <w:rFonts w:ascii="Times New Roman" w:hAnsi="Times New Roman" w:eastAsia="宋体" w:cs="宋体"/>
          <w:sz w:val="24"/>
          <w:lang w:eastAsia="zh-CN"/>
        </w:rPr>
        <w:t>通知向公众宣布已发布本指南草案后的60天内提出针对本文件草案的意见和建议。</w:t>
      </w:r>
      <w:r>
        <w:rPr>
          <w:rFonts w:hint="eastAsia" w:ascii="Times New Roman" w:hAnsi="Times New Roman" w:eastAsia="宋体" w:cs="宋体"/>
          <w:sz w:val="24"/>
          <w:lang w:eastAsia="zh-CN"/>
        </w:rPr>
        <w:t>可</w:t>
      </w:r>
      <w:r>
        <w:rPr>
          <w:rFonts w:ascii="Times New Roman" w:hAnsi="Times New Roman" w:eastAsia="宋体" w:cs="宋体"/>
          <w:sz w:val="24"/>
          <w:lang w:eastAsia="zh-CN"/>
        </w:rPr>
        <w:t>将电子版意见提交至</w:t>
      </w:r>
      <w:r>
        <w:fldChar w:fldCharType="begin"/>
      </w:r>
      <w:r>
        <w:instrText xml:space="preserve"> HYPERLINK "https://www.regulations.gov/" \h </w:instrText>
      </w:r>
      <w:r>
        <w:fldChar w:fldCharType="separate"/>
      </w:r>
      <w:r>
        <w:rPr>
          <w:rFonts w:ascii="Times New Roman" w:hAnsi="Times New Roman" w:eastAsia="宋体" w:cs="宋体"/>
          <w:snapToGrid w:val="0"/>
          <w:color w:val="0000FF"/>
          <w:sz w:val="24"/>
          <w:szCs w:val="24"/>
          <w:u w:val="single"/>
          <w:lang w:eastAsia="zh-CN"/>
        </w:rPr>
        <w:t>https://www.regulations.gov</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napToGrid w:val="0"/>
          <w:color w:val="0000FF"/>
          <w:sz w:val="24"/>
          <w:szCs w:val="24"/>
          <w:u w:val="single"/>
          <w:lang w:eastAsia="zh-CN"/>
        </w:rPr>
        <w:t>，共</w:t>
      </w:r>
      <w:r>
        <w:rPr>
          <w:rFonts w:hint="eastAsia" w:ascii="Times New Roman" w:hAnsi="Times New Roman" w:eastAsia="宋体" w:cs="宋体"/>
          <w:snapToGrid w:val="0"/>
          <w:color w:val="0000FF"/>
          <w:sz w:val="24"/>
          <w:szCs w:val="24"/>
          <w:u w:val="single"/>
          <w:lang w:eastAsia="zh-CN"/>
        </w:rPr>
        <w:t>FDA审议</w:t>
      </w:r>
      <w:r>
        <w:rPr>
          <w:rFonts w:ascii="Times New Roman" w:hAnsi="Times New Roman" w:eastAsia="宋体" w:cs="宋体"/>
          <w:sz w:val="24"/>
          <w:lang w:eastAsia="zh-CN"/>
        </w:rPr>
        <w:t>。</w:t>
      </w:r>
      <w:r>
        <w:rPr>
          <w:rFonts w:ascii="Times New Roman" w:hAnsi="Times New Roman" w:eastAsia="宋体" w:cs="宋体"/>
          <w:color w:val="000000"/>
          <w:sz w:val="24"/>
          <w:lang w:eastAsia="zh-CN"/>
        </w:rPr>
        <w:t>书面</w:t>
      </w:r>
      <w:r>
        <w:rPr>
          <w:rFonts w:ascii="Times New Roman" w:hAnsi="Times New Roman" w:eastAsia="宋体" w:cs="宋体"/>
          <w:sz w:val="24"/>
          <w:lang w:eastAsia="zh-CN"/>
        </w:rPr>
        <w:t>意见可提交至美国食品药品监督管理局档案管理</w:t>
      </w:r>
      <w:r>
        <w:rPr>
          <w:rFonts w:hint="eastAsia" w:ascii="Times New Roman" w:hAnsi="Times New Roman" w:eastAsia="宋体" w:cs="宋体"/>
          <w:sz w:val="24"/>
          <w:lang w:eastAsia="zh-CN"/>
        </w:rPr>
        <w:t xml:space="preserve">人员，地址为5630 Fishers Lane, </w:t>
      </w:r>
      <w:r>
        <w:rPr>
          <w:rFonts w:ascii="Times New Roman" w:hAnsi="Times New Roman" w:eastAsia="宋体" w:cs="宋体"/>
          <w:sz w:val="24"/>
          <w:lang w:eastAsia="zh-CN"/>
        </w:rPr>
        <w:t>rm. 1061</w:t>
      </w:r>
      <w:r>
        <w:rPr>
          <w:rFonts w:hint="eastAsia" w:ascii="Times New Roman" w:hAnsi="Times New Roman" w:eastAsia="宋体" w:cs="宋体"/>
          <w:sz w:val="24"/>
          <w:lang w:eastAsia="zh-CN"/>
        </w:rPr>
        <w:t>, Rockville, MD 20852。</w:t>
      </w:r>
      <w:r>
        <w:rPr>
          <w:rFonts w:ascii="Times New Roman" w:hAnsi="Times New Roman" w:eastAsia="宋体" w:cs="宋体"/>
          <w:sz w:val="24"/>
          <w:lang w:eastAsia="zh-CN"/>
        </w:rPr>
        <w:t>所提交的意见中必须注明《联邦公报》发布的通知中列示的备案编号。</w:t>
      </w:r>
    </w:p>
    <w:p w14:paraId="4DC54279">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如对</w:t>
      </w:r>
      <w:r>
        <w:rPr>
          <w:rFonts w:ascii="Times New Roman" w:hAnsi="Times New Roman" w:eastAsia="宋体" w:cs="宋体"/>
          <w:sz w:val="24"/>
          <w:lang w:eastAsia="zh-CN"/>
        </w:rPr>
        <w:t>本文件</w:t>
      </w:r>
      <w:r>
        <w:rPr>
          <w:rFonts w:hint="eastAsia" w:ascii="Times New Roman" w:hAnsi="Times New Roman" w:eastAsia="宋体" w:cs="宋体"/>
          <w:sz w:val="24"/>
          <w:lang w:eastAsia="zh-CN"/>
        </w:rPr>
        <w:t>有</w:t>
      </w:r>
      <w:r>
        <w:rPr>
          <w:rFonts w:ascii="Times New Roman" w:hAnsi="Times New Roman" w:eastAsia="宋体" w:cs="宋体"/>
          <w:sz w:val="24"/>
          <w:lang w:eastAsia="zh-CN"/>
        </w:rPr>
        <w:t>任何疑问，请联系心血管器械办公室/DHT2C：OHT2（卫生技术分部2）的斑块修饰器械团队，电话：（301）796- 6075。</w:t>
      </w:r>
    </w:p>
    <w:p w14:paraId="23940755">
      <w:pPr>
        <w:adjustRightInd w:val="0"/>
        <w:snapToGrid w:val="0"/>
        <w:spacing w:before="120" w:beforeLines="50" w:line="300" w:lineRule="auto"/>
        <w:jc w:val="both"/>
        <w:rPr>
          <w:rFonts w:ascii="Times New Roman" w:hAnsi="Times New Roman" w:cs="Times New Roman"/>
          <w:snapToGrid w:val="0"/>
          <w:sz w:val="24"/>
          <w:szCs w:val="24"/>
          <w:lang w:eastAsia="zh-CN"/>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0289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7" w:type="dxa"/>
          </w:tcPr>
          <w:p w14:paraId="00EA0686">
            <w:pPr>
              <w:tabs>
                <w:tab w:val="left" w:pos="5159"/>
              </w:tabs>
              <w:adjustRightInd w:val="0"/>
              <w:snapToGrid w:val="0"/>
              <w:spacing w:before="36" w:beforeLines="15" w:line="276"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1"/>
                <w:lang w:eastAsia="zh-CN"/>
              </w:rPr>
              <w:t>美国卫生与公共服务部</w:t>
            </w:r>
          </w:p>
          <w:p w14:paraId="2D08F076">
            <w:pPr>
              <w:tabs>
                <w:tab w:val="left" w:pos="6885"/>
              </w:tabs>
              <w:adjustRightInd w:val="0"/>
              <w:snapToGrid w:val="0"/>
              <w:spacing w:before="36" w:beforeLines="15" w:line="276"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美国食品药品监督管理局</w:t>
            </w:r>
          </w:p>
          <w:p w14:paraId="4AFDB808">
            <w:pPr>
              <w:adjustRightInd w:val="0"/>
              <w:snapToGrid w:val="0"/>
              <w:spacing w:before="36" w:beforeLines="15" w:line="276" w:lineRule="auto"/>
              <w:jc w:val="right"/>
              <w:rPr>
                <w:rFonts w:ascii="Times New Roman" w:hAnsi="Times New Roman" w:cs="Times New Roman"/>
                <w:snapToGrid w:val="0"/>
                <w:sz w:val="24"/>
                <w:szCs w:val="24"/>
                <w:lang w:eastAsia="zh-CN"/>
              </w:rPr>
            </w:pPr>
            <w:r>
              <w:rPr>
                <w:rFonts w:ascii="Times New Roman" w:hAnsi="Times New Roman" w:eastAsia="宋体" w:cs="宋体"/>
                <w:b/>
                <w:sz w:val="21"/>
                <w:lang w:eastAsia="zh-CN"/>
              </w:rPr>
              <w:t>医疗器械和辐射健康中心</w:t>
            </w:r>
          </w:p>
        </w:tc>
      </w:tr>
      <w:tr w14:paraId="4029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7" w:type="dxa"/>
          </w:tcPr>
          <w:p w14:paraId="01B2B729">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lang w:eastAsia="zh-CN"/>
              </w:rPr>
              <w:drawing>
                <wp:inline distT="0" distB="0" distL="0" distR="0">
                  <wp:extent cx="2847975" cy="80010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2847975" cy="800100"/>
                          </a:xfrm>
                          <a:prstGeom prst="rect">
                            <a:avLst/>
                          </a:prstGeom>
                          <a:noFill/>
                          <a:ln w="9525">
                            <a:noFill/>
                            <a:miter lim="800000"/>
                            <a:headEnd/>
                            <a:tailEnd/>
                          </a:ln>
                        </pic:spPr>
                      </pic:pic>
                    </a:graphicData>
                  </a:graphic>
                </wp:inline>
              </w:drawing>
            </w:r>
          </w:p>
        </w:tc>
      </w:tr>
    </w:tbl>
    <w:p w14:paraId="0DA6BE38">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br w:type="page"/>
      </w:r>
    </w:p>
    <w:p w14:paraId="50DC1BF2">
      <w:pPr>
        <w:tabs>
          <w:tab w:val="left" w:pos="4607"/>
        </w:tabs>
        <w:adjustRightInd w:val="0"/>
        <w:snapToGrid w:val="0"/>
        <w:spacing w:before="120" w:beforeLines="50" w:line="300" w:lineRule="auto"/>
        <w:jc w:val="center"/>
        <w:rPr>
          <w:rFonts w:ascii="Times New Roman" w:hAnsi="Times New Roman" w:cs="Times New Roman"/>
          <w:b/>
          <w:bCs/>
          <w:snapToGrid w:val="0"/>
          <w:sz w:val="32"/>
          <w:szCs w:val="32"/>
          <w:lang w:eastAsia="zh-CN"/>
        </w:rPr>
      </w:pPr>
      <w:r>
        <w:rPr>
          <w:rFonts w:ascii="Times New Roman" w:hAnsi="Times New Roman" w:eastAsia="宋体" w:cs="宋体"/>
          <w:b/>
          <w:sz w:val="32"/>
          <w:lang w:eastAsia="zh-CN"/>
        </w:rPr>
        <w:t>前言</w:t>
      </w:r>
    </w:p>
    <w:p w14:paraId="2728F632">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979A97D">
      <w:pPr>
        <w:tabs>
          <w:tab w:val="left" w:pos="699"/>
        </w:tabs>
        <w:adjustRightInd w:val="0"/>
        <w:snapToGrid w:val="0"/>
        <w:spacing w:before="120" w:beforeLines="50" w:line="300" w:lineRule="auto"/>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更多副本</w:t>
      </w:r>
    </w:p>
    <w:p w14:paraId="7B680BA1">
      <w:pPr>
        <w:tabs>
          <w:tab w:val="left" w:pos="69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更多副本可通过互联网</w:t>
      </w:r>
      <w:r>
        <w:rPr>
          <w:rFonts w:hint="eastAsia" w:ascii="Times New Roman" w:hAnsi="Times New Roman" w:eastAsia="宋体" w:cs="宋体"/>
          <w:sz w:val="24"/>
          <w:lang w:eastAsia="zh-CN"/>
        </w:rPr>
        <w:t>获取</w:t>
      </w:r>
      <w:r>
        <w:rPr>
          <w:rFonts w:ascii="Times New Roman" w:hAnsi="Times New Roman" w:eastAsia="宋体" w:cs="宋体"/>
          <w:sz w:val="24"/>
          <w:lang w:eastAsia="zh-CN"/>
        </w:rPr>
        <w:t>。也可通过电子邮件发送请求至</w:t>
      </w:r>
      <w:r>
        <w:fldChar w:fldCharType="begin"/>
      </w:r>
      <w:r>
        <w:rPr>
          <w:lang w:eastAsia="zh-CN"/>
        </w:rPr>
        <w:instrText xml:space="preserve"> HYPERLINK "mailto:CDRH-Guidance@fda.hhs.gov%20" </w:instrText>
      </w:r>
      <w:r>
        <w:fldChar w:fldCharType="separate"/>
      </w:r>
      <w:r>
        <w:rPr>
          <w:rStyle w:val="11"/>
          <w:rFonts w:ascii="Times New Roman" w:hAnsi="Times New Roman" w:eastAsia="宋体" w:cs="宋体"/>
          <w:snapToGrid w:val="0"/>
          <w:sz w:val="24"/>
          <w:szCs w:val="24"/>
          <w:u w:color="0000FF"/>
          <w:lang w:eastAsia="zh-CN"/>
        </w:rPr>
        <w:t>CDRH-Guidance@fda.hhs.gov</w:t>
      </w:r>
      <w:r>
        <w:rPr>
          <w:rStyle w:val="11"/>
          <w:rFonts w:ascii="Times New Roman" w:hAnsi="Times New Roman" w:eastAsia="宋体" w:cs="宋体"/>
          <w:snapToGrid w:val="0"/>
          <w:sz w:val="24"/>
          <w:szCs w:val="24"/>
          <w:u w:color="0000FF"/>
          <w:lang w:eastAsia="zh-CN"/>
        </w:rPr>
        <w:fldChar w:fldCharType="end"/>
      </w:r>
      <w:r>
        <w:rPr>
          <w:rFonts w:ascii="Times New Roman" w:hAnsi="Times New Roman" w:eastAsia="宋体" w:cs="宋体"/>
          <w:color w:val="000000"/>
          <w:sz w:val="24"/>
          <w:lang w:eastAsia="zh-CN"/>
        </w:rPr>
        <w:t>获取本指南的副本。请在申请中注明文件</w:t>
      </w:r>
      <w:r>
        <w:rPr>
          <w:rFonts w:ascii="Times New Roman" w:hAnsi="Times New Roman" w:eastAsia="宋体" w:cs="宋体"/>
          <w:sz w:val="24"/>
          <w:lang w:eastAsia="zh-CN"/>
        </w:rPr>
        <w:t>编号16018和指南的完整标题。</w:t>
      </w:r>
    </w:p>
    <w:p w14:paraId="61931CE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63C93FE8">
      <w:pPr>
        <w:tabs>
          <w:tab w:val="left" w:pos="3573"/>
        </w:tabs>
        <w:adjustRightInd w:val="0"/>
        <w:snapToGrid w:val="0"/>
        <w:spacing w:before="120" w:beforeLines="50" w:line="300" w:lineRule="auto"/>
        <w:jc w:val="center"/>
        <w:rPr>
          <w:rFonts w:ascii="Times New Roman" w:hAnsi="Times New Roman" w:cs="Times New Roman"/>
          <w:snapToGrid w:val="0"/>
          <w:sz w:val="28"/>
          <w:szCs w:val="28"/>
          <w:lang w:eastAsia="zh-CN"/>
        </w:rPr>
      </w:pPr>
      <w:r>
        <w:rPr>
          <w:rFonts w:ascii="Times New Roman" w:hAnsi="Times New Roman" w:eastAsia="宋体" w:cs="宋体"/>
          <w:b/>
          <w:sz w:val="28"/>
          <w:lang w:eastAsia="zh-CN"/>
        </w:rPr>
        <w:t>目录</w:t>
      </w:r>
    </w:p>
    <w:p w14:paraId="71818568">
      <w:pPr>
        <w:pStyle w:val="6"/>
        <w:tabs>
          <w:tab w:val="right" w:leader="dot" w:pos="9061"/>
        </w:tabs>
        <w:spacing w:before="120"/>
        <w:ind w:left="720" w:hanging="720"/>
        <w:rPr>
          <w:rFonts w:asciiTheme="minorHAnsi" w:hAnsiTheme="minorHAnsi"/>
          <w:b/>
          <w:kern w:val="2"/>
          <w:sz w:val="21"/>
          <w:lang w:eastAsia="zh-CN"/>
        </w:rPr>
      </w:pPr>
      <w:r>
        <w:rPr>
          <w:rFonts w:cs="Times New Roman"/>
          <w:snapToGrid w:val="0"/>
          <w:szCs w:val="24"/>
        </w:rPr>
        <w:fldChar w:fldCharType="begin"/>
      </w:r>
      <w:r>
        <w:rPr>
          <w:rFonts w:cs="Times New Roman"/>
          <w:snapToGrid w:val="0"/>
          <w:szCs w:val="24"/>
        </w:rPr>
        <w:instrText xml:space="preserve"> TOC \o "1-3" \h \z \u </w:instrText>
      </w:r>
      <w:r>
        <w:rPr>
          <w:rFonts w:cs="Times New Roman"/>
          <w:snapToGrid w:val="0"/>
          <w:szCs w:val="24"/>
        </w:rPr>
        <w:fldChar w:fldCharType="separate"/>
      </w:r>
      <w:r>
        <w:fldChar w:fldCharType="begin"/>
      </w:r>
      <w:r>
        <w:instrText xml:space="preserve"> HYPERLINK \l "_Toc94218302" </w:instrText>
      </w:r>
      <w:r>
        <w:fldChar w:fldCharType="separate"/>
      </w:r>
      <w:r>
        <w:rPr>
          <w:rStyle w:val="11"/>
          <w:rFonts w:eastAsia="宋体" w:cs="宋体"/>
          <w:b/>
          <w:lang w:eastAsia="zh-CN"/>
        </w:rPr>
        <w:t>I.</w:t>
      </w:r>
      <w:r>
        <w:rPr>
          <w:rFonts w:asciiTheme="minorHAnsi" w:hAnsiTheme="minorHAnsi"/>
          <w:b/>
          <w:kern w:val="2"/>
          <w:sz w:val="21"/>
          <w:lang w:eastAsia="zh-CN"/>
        </w:rPr>
        <w:tab/>
      </w:r>
      <w:r>
        <w:rPr>
          <w:rStyle w:val="11"/>
          <w:rFonts w:hint="eastAsia" w:eastAsia="宋体" w:cs="宋体"/>
          <w:b/>
          <w:lang w:eastAsia="zh-CN"/>
        </w:rPr>
        <w:t>引言</w:t>
      </w:r>
      <w:r>
        <w:rPr>
          <w:b/>
        </w:rPr>
        <w:tab/>
      </w:r>
      <w:r>
        <w:rPr>
          <w:b/>
        </w:rPr>
        <w:fldChar w:fldCharType="begin"/>
      </w:r>
      <w:r>
        <w:rPr>
          <w:b/>
        </w:rPr>
        <w:instrText xml:space="preserve"> PAGEREF _Toc94218302 \h </w:instrText>
      </w:r>
      <w:r>
        <w:rPr>
          <w:b/>
        </w:rPr>
        <w:fldChar w:fldCharType="separate"/>
      </w:r>
      <w:r>
        <w:rPr>
          <w:b/>
        </w:rPr>
        <w:t>1</w:t>
      </w:r>
      <w:r>
        <w:rPr>
          <w:b/>
        </w:rPr>
        <w:fldChar w:fldCharType="end"/>
      </w:r>
      <w:r>
        <w:rPr>
          <w:b/>
        </w:rPr>
        <w:fldChar w:fldCharType="end"/>
      </w:r>
    </w:p>
    <w:p w14:paraId="10E7CC93">
      <w:pPr>
        <w:pStyle w:val="6"/>
        <w:tabs>
          <w:tab w:val="right" w:leader="dot" w:pos="9061"/>
        </w:tabs>
        <w:spacing w:before="120"/>
        <w:ind w:left="723" w:hanging="723"/>
        <w:rPr>
          <w:rFonts w:asciiTheme="minorHAnsi" w:hAnsiTheme="minorHAnsi"/>
          <w:b/>
          <w:kern w:val="2"/>
          <w:sz w:val="21"/>
          <w:lang w:eastAsia="zh-CN"/>
        </w:rPr>
      </w:pPr>
      <w:r>
        <w:fldChar w:fldCharType="begin"/>
      </w:r>
      <w:r>
        <w:instrText xml:space="preserve"> HYPERLINK \l "_Toc94218303" </w:instrText>
      </w:r>
      <w:r>
        <w:fldChar w:fldCharType="separate"/>
      </w:r>
      <w:r>
        <w:rPr>
          <w:rStyle w:val="11"/>
          <w:rFonts w:eastAsia="宋体" w:cs="宋体"/>
          <w:b/>
          <w:lang w:eastAsia="zh-CN"/>
        </w:rPr>
        <w:t>II.</w:t>
      </w:r>
      <w:r>
        <w:rPr>
          <w:rFonts w:asciiTheme="minorHAnsi" w:hAnsiTheme="minorHAnsi"/>
          <w:b/>
          <w:kern w:val="2"/>
          <w:sz w:val="21"/>
          <w:lang w:eastAsia="zh-CN"/>
        </w:rPr>
        <w:tab/>
      </w:r>
      <w:r>
        <w:rPr>
          <w:rStyle w:val="11"/>
          <w:rFonts w:hint="eastAsia" w:eastAsia="宋体" w:cs="宋体"/>
          <w:b/>
          <w:lang w:eastAsia="zh-CN"/>
        </w:rPr>
        <w:t>范围</w:t>
      </w:r>
      <w:r>
        <w:rPr>
          <w:b/>
        </w:rPr>
        <w:tab/>
      </w:r>
      <w:r>
        <w:rPr>
          <w:b/>
        </w:rPr>
        <w:fldChar w:fldCharType="begin"/>
      </w:r>
      <w:r>
        <w:rPr>
          <w:b/>
        </w:rPr>
        <w:instrText xml:space="preserve"> PAGEREF _Toc94218303 \h </w:instrText>
      </w:r>
      <w:r>
        <w:rPr>
          <w:b/>
        </w:rPr>
        <w:fldChar w:fldCharType="separate"/>
      </w:r>
      <w:r>
        <w:rPr>
          <w:b/>
        </w:rPr>
        <w:t>2</w:t>
      </w:r>
      <w:r>
        <w:rPr>
          <w:b/>
        </w:rPr>
        <w:fldChar w:fldCharType="end"/>
      </w:r>
      <w:r>
        <w:rPr>
          <w:b/>
        </w:rPr>
        <w:fldChar w:fldCharType="end"/>
      </w:r>
    </w:p>
    <w:p w14:paraId="279FE0EC">
      <w:pPr>
        <w:pStyle w:val="6"/>
        <w:tabs>
          <w:tab w:val="left" w:pos="630"/>
          <w:tab w:val="right" w:leader="dot" w:pos="9061"/>
        </w:tabs>
        <w:spacing w:before="120"/>
        <w:ind w:left="723" w:hanging="723"/>
        <w:rPr>
          <w:rFonts w:asciiTheme="minorHAnsi" w:hAnsiTheme="minorHAnsi"/>
          <w:kern w:val="2"/>
          <w:sz w:val="21"/>
          <w:lang w:eastAsia="zh-CN"/>
        </w:rPr>
      </w:pPr>
      <w:r>
        <w:fldChar w:fldCharType="begin"/>
      </w:r>
      <w:r>
        <w:instrText xml:space="preserve"> HYPERLINK \l "_Toc94218304" </w:instrText>
      </w:r>
      <w:r>
        <w:fldChar w:fldCharType="separate"/>
      </w:r>
      <w:r>
        <w:rPr>
          <w:rStyle w:val="11"/>
          <w:rFonts w:eastAsia="宋体" w:cs="宋体"/>
          <w:b/>
          <w:lang w:eastAsia="zh-CN"/>
        </w:rPr>
        <w:t>III.</w:t>
      </w:r>
      <w:r>
        <w:rPr>
          <w:rFonts w:asciiTheme="minorHAnsi" w:hAnsiTheme="minorHAnsi"/>
          <w:b/>
          <w:kern w:val="2"/>
          <w:sz w:val="21"/>
          <w:lang w:eastAsia="zh-CN"/>
        </w:rPr>
        <w:tab/>
      </w:r>
      <w:r>
        <w:rPr>
          <w:rStyle w:val="11"/>
          <w:rFonts w:hint="eastAsia" w:eastAsia="宋体" w:cs="宋体"/>
          <w:b/>
          <w:lang w:eastAsia="zh-CN"/>
        </w:rPr>
        <w:t>上市前提交建议</w:t>
      </w:r>
      <w:r>
        <w:rPr>
          <w:b/>
        </w:rPr>
        <w:tab/>
      </w:r>
      <w:r>
        <w:rPr>
          <w:b/>
        </w:rPr>
        <w:fldChar w:fldCharType="begin"/>
      </w:r>
      <w:r>
        <w:rPr>
          <w:b/>
        </w:rPr>
        <w:instrText xml:space="preserve"> PAGEREF _Toc94218304 \h </w:instrText>
      </w:r>
      <w:r>
        <w:rPr>
          <w:b/>
        </w:rPr>
        <w:fldChar w:fldCharType="separate"/>
      </w:r>
      <w:r>
        <w:rPr>
          <w:b/>
        </w:rPr>
        <w:t>2</w:t>
      </w:r>
      <w:r>
        <w:rPr>
          <w:b/>
        </w:rPr>
        <w:fldChar w:fldCharType="end"/>
      </w:r>
      <w:r>
        <w:rPr>
          <w:b/>
        </w:rPr>
        <w:fldChar w:fldCharType="end"/>
      </w:r>
    </w:p>
    <w:p w14:paraId="3B847615">
      <w:pPr>
        <w:pStyle w:val="7"/>
        <w:tabs>
          <w:tab w:val="left" w:pos="840"/>
          <w:tab w:val="right" w:leader="dot" w:pos="9061"/>
        </w:tabs>
        <w:spacing w:before="120"/>
        <w:ind w:left="700" w:hanging="480"/>
        <w:rPr>
          <w:rFonts w:asciiTheme="minorHAnsi" w:hAnsiTheme="minorHAnsi"/>
          <w:kern w:val="2"/>
          <w:sz w:val="21"/>
          <w:lang w:eastAsia="zh-CN"/>
        </w:rPr>
      </w:pPr>
      <w:r>
        <w:fldChar w:fldCharType="begin"/>
      </w:r>
      <w:r>
        <w:instrText xml:space="preserve"> HYPERLINK \l "_Toc94218305" </w:instrText>
      </w:r>
      <w:r>
        <w:fldChar w:fldCharType="separate"/>
      </w:r>
      <w:r>
        <w:rPr>
          <w:rStyle w:val="11"/>
          <w:rFonts w:eastAsia="宋体" w:cs="宋体"/>
          <w:lang w:eastAsia="zh-CN"/>
        </w:rPr>
        <w:t>A.</w:t>
      </w:r>
      <w:r>
        <w:rPr>
          <w:rFonts w:asciiTheme="minorHAnsi" w:hAnsiTheme="minorHAnsi"/>
          <w:kern w:val="2"/>
          <w:sz w:val="21"/>
          <w:lang w:eastAsia="zh-CN"/>
        </w:rPr>
        <w:tab/>
      </w:r>
      <w:r>
        <w:rPr>
          <w:rStyle w:val="11"/>
          <w:rFonts w:hint="eastAsia" w:eastAsia="宋体" w:cs="宋体"/>
          <w:lang w:eastAsia="zh-CN"/>
        </w:rPr>
        <w:t>器械描述</w:t>
      </w:r>
      <w:r>
        <w:tab/>
      </w:r>
      <w:r>
        <w:fldChar w:fldCharType="begin"/>
      </w:r>
      <w:r>
        <w:instrText xml:space="preserve"> PAGEREF _Toc94218305 \h </w:instrText>
      </w:r>
      <w:r>
        <w:fldChar w:fldCharType="separate"/>
      </w:r>
      <w:r>
        <w:t>2</w:t>
      </w:r>
      <w:r>
        <w:fldChar w:fldCharType="end"/>
      </w:r>
      <w:r>
        <w:fldChar w:fldCharType="end"/>
      </w:r>
    </w:p>
    <w:p w14:paraId="63B2CDE2">
      <w:pPr>
        <w:pStyle w:val="7"/>
        <w:tabs>
          <w:tab w:val="left" w:pos="840"/>
          <w:tab w:val="right" w:leader="dot" w:pos="9061"/>
        </w:tabs>
        <w:spacing w:before="120"/>
        <w:ind w:left="700" w:hanging="480"/>
        <w:rPr>
          <w:rFonts w:asciiTheme="minorHAnsi" w:hAnsiTheme="minorHAnsi"/>
          <w:kern w:val="2"/>
          <w:sz w:val="21"/>
          <w:lang w:eastAsia="zh-CN"/>
        </w:rPr>
      </w:pPr>
      <w:r>
        <w:fldChar w:fldCharType="begin"/>
      </w:r>
      <w:r>
        <w:instrText xml:space="preserve"> HYPERLINK \l "_Toc94218306" </w:instrText>
      </w:r>
      <w:r>
        <w:fldChar w:fldCharType="separate"/>
      </w:r>
      <w:r>
        <w:rPr>
          <w:rStyle w:val="11"/>
          <w:rFonts w:eastAsia="Times New Roman" w:cs="Times New Roman"/>
          <w:bCs/>
          <w:snapToGrid w:val="0"/>
        </w:rPr>
        <w:t>B.</w:t>
      </w:r>
      <w:r>
        <w:rPr>
          <w:rFonts w:asciiTheme="minorHAnsi" w:hAnsiTheme="minorHAnsi"/>
          <w:kern w:val="2"/>
          <w:sz w:val="21"/>
          <w:lang w:eastAsia="zh-CN"/>
        </w:rPr>
        <w:tab/>
      </w:r>
      <w:r>
        <w:rPr>
          <w:rStyle w:val="11"/>
          <w:rFonts w:hint="eastAsia" w:eastAsia="宋体" w:cs="宋体"/>
          <w:lang w:eastAsia="zh-CN"/>
        </w:rPr>
        <w:t>同品种器械</w:t>
      </w:r>
      <w:r>
        <w:rPr>
          <w:rStyle w:val="11"/>
          <w:rFonts w:hint="eastAsia" w:eastAsia="宋体" w:cs="宋体"/>
        </w:rPr>
        <w:t>对比</w:t>
      </w:r>
      <w:r>
        <w:tab/>
      </w:r>
      <w:r>
        <w:fldChar w:fldCharType="begin"/>
      </w:r>
      <w:r>
        <w:instrText xml:space="preserve"> PAGEREF _Toc94218306 \h </w:instrText>
      </w:r>
      <w:r>
        <w:fldChar w:fldCharType="separate"/>
      </w:r>
      <w:r>
        <w:t>3</w:t>
      </w:r>
      <w:r>
        <w:fldChar w:fldCharType="end"/>
      </w:r>
      <w:r>
        <w:fldChar w:fldCharType="end"/>
      </w:r>
    </w:p>
    <w:p w14:paraId="5D91312A">
      <w:pPr>
        <w:pStyle w:val="7"/>
        <w:tabs>
          <w:tab w:val="left" w:pos="840"/>
          <w:tab w:val="right" w:leader="dot" w:pos="9061"/>
        </w:tabs>
        <w:spacing w:before="120"/>
        <w:ind w:left="700" w:hanging="480"/>
        <w:rPr>
          <w:rFonts w:asciiTheme="minorHAnsi" w:hAnsiTheme="minorHAnsi"/>
          <w:kern w:val="2"/>
          <w:sz w:val="21"/>
          <w:lang w:eastAsia="zh-CN"/>
        </w:rPr>
      </w:pPr>
      <w:r>
        <w:fldChar w:fldCharType="begin"/>
      </w:r>
      <w:r>
        <w:instrText xml:space="preserve"> HYPERLINK \l "_Toc94218307" </w:instrText>
      </w:r>
      <w:r>
        <w:fldChar w:fldCharType="separate"/>
      </w:r>
      <w:r>
        <w:rPr>
          <w:rStyle w:val="11"/>
          <w:rFonts w:eastAsia="Times New Roman" w:cs="Times New Roman"/>
          <w:bCs/>
          <w:snapToGrid w:val="0"/>
        </w:rPr>
        <w:t>C.</w:t>
      </w:r>
      <w:r>
        <w:rPr>
          <w:rFonts w:asciiTheme="minorHAnsi" w:hAnsiTheme="minorHAnsi"/>
          <w:kern w:val="2"/>
          <w:sz w:val="21"/>
          <w:lang w:eastAsia="zh-CN"/>
        </w:rPr>
        <w:tab/>
      </w:r>
      <w:r>
        <w:rPr>
          <w:rStyle w:val="11"/>
          <w:rFonts w:hint="eastAsia" w:eastAsia="宋体" w:cs="宋体"/>
        </w:rPr>
        <w:t>生物相容性</w:t>
      </w:r>
      <w:r>
        <w:tab/>
      </w:r>
      <w:r>
        <w:fldChar w:fldCharType="begin"/>
      </w:r>
      <w:r>
        <w:instrText xml:space="preserve"> PAGEREF _Toc94218307 \h </w:instrText>
      </w:r>
      <w:r>
        <w:fldChar w:fldCharType="separate"/>
      </w:r>
      <w:r>
        <w:t>4</w:t>
      </w:r>
      <w:r>
        <w:fldChar w:fldCharType="end"/>
      </w:r>
      <w:r>
        <w:fldChar w:fldCharType="end"/>
      </w:r>
    </w:p>
    <w:p w14:paraId="2617FED6">
      <w:pPr>
        <w:pStyle w:val="7"/>
        <w:tabs>
          <w:tab w:val="left" w:pos="840"/>
          <w:tab w:val="right" w:leader="dot" w:pos="9061"/>
        </w:tabs>
        <w:spacing w:before="120"/>
        <w:ind w:left="700" w:hanging="480"/>
        <w:rPr>
          <w:rFonts w:asciiTheme="minorHAnsi" w:hAnsiTheme="minorHAnsi"/>
          <w:kern w:val="2"/>
          <w:sz w:val="21"/>
          <w:lang w:eastAsia="zh-CN"/>
        </w:rPr>
      </w:pPr>
      <w:r>
        <w:fldChar w:fldCharType="begin"/>
      </w:r>
      <w:r>
        <w:instrText xml:space="preserve"> HYPERLINK \l "_Toc94218308" </w:instrText>
      </w:r>
      <w:r>
        <w:fldChar w:fldCharType="separate"/>
      </w:r>
      <w:r>
        <w:rPr>
          <w:rStyle w:val="11"/>
          <w:rFonts w:eastAsia="Times New Roman" w:cs="Times New Roman"/>
          <w:bCs/>
          <w:snapToGrid w:val="0"/>
        </w:rPr>
        <w:t>D.</w:t>
      </w:r>
      <w:r>
        <w:rPr>
          <w:rFonts w:asciiTheme="minorHAnsi" w:hAnsiTheme="minorHAnsi"/>
          <w:kern w:val="2"/>
          <w:sz w:val="21"/>
          <w:lang w:eastAsia="zh-CN"/>
        </w:rPr>
        <w:tab/>
      </w:r>
      <w:r>
        <w:rPr>
          <w:rStyle w:val="11"/>
          <w:rFonts w:hint="eastAsia" w:eastAsia="宋体" w:cs="宋体"/>
          <w:lang w:eastAsia="zh-CN"/>
        </w:rPr>
        <w:t>无菌</w:t>
      </w:r>
      <w:r>
        <w:tab/>
      </w:r>
      <w:r>
        <w:fldChar w:fldCharType="begin"/>
      </w:r>
      <w:r>
        <w:instrText xml:space="preserve"> PAGEREF _Toc94218308 \h </w:instrText>
      </w:r>
      <w:r>
        <w:fldChar w:fldCharType="separate"/>
      </w:r>
      <w:r>
        <w:t>5</w:t>
      </w:r>
      <w:r>
        <w:fldChar w:fldCharType="end"/>
      </w:r>
      <w:r>
        <w:fldChar w:fldCharType="end"/>
      </w:r>
    </w:p>
    <w:p w14:paraId="019824C6">
      <w:pPr>
        <w:pStyle w:val="7"/>
        <w:tabs>
          <w:tab w:val="left" w:pos="840"/>
          <w:tab w:val="right" w:leader="dot" w:pos="9061"/>
        </w:tabs>
        <w:spacing w:before="120"/>
        <w:ind w:left="700" w:hanging="480"/>
        <w:rPr>
          <w:rFonts w:asciiTheme="minorHAnsi" w:hAnsiTheme="minorHAnsi"/>
          <w:kern w:val="2"/>
          <w:sz w:val="21"/>
          <w:lang w:eastAsia="zh-CN"/>
        </w:rPr>
      </w:pPr>
      <w:r>
        <w:fldChar w:fldCharType="begin"/>
      </w:r>
      <w:r>
        <w:instrText xml:space="preserve"> HYPERLINK \l "_Toc94218309" </w:instrText>
      </w:r>
      <w:r>
        <w:fldChar w:fldCharType="separate"/>
      </w:r>
      <w:r>
        <w:rPr>
          <w:rStyle w:val="11"/>
          <w:rFonts w:eastAsia="Times New Roman" w:cs="Times New Roman"/>
          <w:bCs/>
          <w:snapToGrid w:val="0"/>
        </w:rPr>
        <w:t>E.</w:t>
      </w:r>
      <w:r>
        <w:rPr>
          <w:rFonts w:asciiTheme="minorHAnsi" w:hAnsiTheme="minorHAnsi"/>
          <w:kern w:val="2"/>
          <w:sz w:val="21"/>
          <w:lang w:eastAsia="zh-CN"/>
        </w:rPr>
        <w:tab/>
      </w:r>
      <w:r>
        <w:rPr>
          <w:rStyle w:val="11"/>
          <w:rFonts w:hint="eastAsia" w:eastAsia="宋体" w:cs="宋体"/>
        </w:rPr>
        <w:t>致热原性</w:t>
      </w:r>
      <w:r>
        <w:tab/>
      </w:r>
      <w:r>
        <w:fldChar w:fldCharType="begin"/>
      </w:r>
      <w:r>
        <w:instrText xml:space="preserve"> PAGEREF _Toc94218309 \h </w:instrText>
      </w:r>
      <w:r>
        <w:fldChar w:fldCharType="separate"/>
      </w:r>
      <w:r>
        <w:t>6</w:t>
      </w:r>
      <w:r>
        <w:fldChar w:fldCharType="end"/>
      </w:r>
      <w:r>
        <w:fldChar w:fldCharType="end"/>
      </w:r>
    </w:p>
    <w:p w14:paraId="44C768EA">
      <w:pPr>
        <w:pStyle w:val="7"/>
        <w:tabs>
          <w:tab w:val="left" w:pos="630"/>
          <w:tab w:val="right" w:leader="dot" w:pos="9061"/>
        </w:tabs>
        <w:spacing w:before="120"/>
        <w:ind w:left="700" w:hanging="480"/>
        <w:rPr>
          <w:rFonts w:asciiTheme="minorHAnsi" w:hAnsiTheme="minorHAnsi"/>
          <w:kern w:val="2"/>
          <w:sz w:val="21"/>
          <w:lang w:eastAsia="zh-CN"/>
        </w:rPr>
      </w:pPr>
      <w:r>
        <w:fldChar w:fldCharType="begin"/>
      </w:r>
      <w:r>
        <w:instrText xml:space="preserve"> HYPERLINK \l "_Toc94218310" </w:instrText>
      </w:r>
      <w:r>
        <w:fldChar w:fldCharType="separate"/>
      </w:r>
      <w:r>
        <w:rPr>
          <w:rStyle w:val="11"/>
          <w:rFonts w:eastAsia="Times New Roman" w:cs="Times New Roman"/>
          <w:bCs/>
          <w:snapToGrid w:val="0"/>
        </w:rPr>
        <w:t>F.</w:t>
      </w:r>
      <w:r>
        <w:rPr>
          <w:rFonts w:asciiTheme="minorHAnsi" w:hAnsiTheme="minorHAnsi"/>
          <w:kern w:val="2"/>
          <w:sz w:val="21"/>
          <w:lang w:eastAsia="zh-CN"/>
        </w:rPr>
        <w:tab/>
      </w:r>
      <w:r>
        <w:rPr>
          <w:rStyle w:val="11"/>
          <w:rFonts w:eastAsia="宋体" w:cs="宋体"/>
        </w:rPr>
        <w:t>货架寿命</w:t>
      </w:r>
      <w:r>
        <w:rPr>
          <w:rStyle w:val="11"/>
          <w:rFonts w:hint="eastAsia" w:eastAsia="宋体" w:cs="宋体"/>
        </w:rPr>
        <w:t>和包装</w:t>
      </w:r>
      <w:r>
        <w:tab/>
      </w:r>
      <w:r>
        <w:fldChar w:fldCharType="begin"/>
      </w:r>
      <w:r>
        <w:instrText xml:space="preserve"> PAGEREF _Toc94218310 \h </w:instrText>
      </w:r>
      <w:r>
        <w:fldChar w:fldCharType="separate"/>
      </w:r>
      <w:r>
        <w:t>6</w:t>
      </w:r>
      <w:r>
        <w:fldChar w:fldCharType="end"/>
      </w:r>
      <w:r>
        <w:fldChar w:fldCharType="end"/>
      </w:r>
    </w:p>
    <w:p w14:paraId="3110C090">
      <w:pPr>
        <w:pStyle w:val="7"/>
        <w:tabs>
          <w:tab w:val="left" w:pos="840"/>
          <w:tab w:val="right" w:leader="dot" w:pos="9061"/>
        </w:tabs>
        <w:spacing w:before="120"/>
        <w:ind w:left="700" w:hanging="480"/>
        <w:rPr>
          <w:rFonts w:asciiTheme="minorHAnsi" w:hAnsiTheme="minorHAnsi"/>
          <w:kern w:val="2"/>
          <w:sz w:val="21"/>
          <w:lang w:eastAsia="zh-CN"/>
        </w:rPr>
      </w:pPr>
      <w:r>
        <w:fldChar w:fldCharType="begin"/>
      </w:r>
      <w:r>
        <w:instrText xml:space="preserve"> HYPERLINK \l "_Toc94218311" </w:instrText>
      </w:r>
      <w:r>
        <w:fldChar w:fldCharType="separate"/>
      </w:r>
      <w:r>
        <w:rPr>
          <w:rStyle w:val="11"/>
          <w:rFonts w:eastAsia="Times New Roman" w:cs="Times New Roman"/>
          <w:bCs/>
          <w:snapToGrid w:val="0"/>
        </w:rPr>
        <w:t>G.</w:t>
      </w:r>
      <w:r>
        <w:rPr>
          <w:rFonts w:asciiTheme="minorHAnsi" w:hAnsiTheme="minorHAnsi"/>
          <w:kern w:val="2"/>
          <w:sz w:val="21"/>
          <w:lang w:eastAsia="zh-CN"/>
        </w:rPr>
        <w:tab/>
      </w:r>
      <w:r>
        <w:rPr>
          <w:rStyle w:val="11"/>
          <w:rFonts w:hint="eastAsia" w:eastAsia="宋体" w:cs="宋体"/>
        </w:rPr>
        <w:t>非临床性能试验</w:t>
      </w:r>
      <w:r>
        <w:tab/>
      </w:r>
      <w:r>
        <w:fldChar w:fldCharType="begin"/>
      </w:r>
      <w:r>
        <w:instrText xml:space="preserve"> PAGEREF _Toc94218311 \h </w:instrText>
      </w:r>
      <w:r>
        <w:fldChar w:fldCharType="separate"/>
      </w:r>
      <w:r>
        <w:t>8</w:t>
      </w:r>
      <w:r>
        <w:fldChar w:fldCharType="end"/>
      </w:r>
      <w:r>
        <w:fldChar w:fldCharType="end"/>
      </w:r>
    </w:p>
    <w:p w14:paraId="6AB8144D">
      <w:pPr>
        <w:pStyle w:val="2"/>
        <w:tabs>
          <w:tab w:val="left" w:pos="1050"/>
          <w:tab w:val="right" w:leader="dot" w:pos="9061"/>
        </w:tabs>
        <w:spacing w:before="120"/>
        <w:ind w:left="1160" w:hanging="720"/>
        <w:rPr>
          <w:rFonts w:asciiTheme="minorHAnsi" w:hAnsiTheme="minorHAnsi"/>
          <w:kern w:val="2"/>
          <w:sz w:val="21"/>
          <w:lang w:eastAsia="zh-CN"/>
        </w:rPr>
      </w:pPr>
      <w:r>
        <w:fldChar w:fldCharType="begin"/>
      </w:r>
      <w:r>
        <w:instrText xml:space="preserve"> HYPERLINK \l "_Toc94218312" </w:instrText>
      </w:r>
      <w:r>
        <w:fldChar w:fldCharType="separate"/>
      </w:r>
      <w:r>
        <w:rPr>
          <w:rStyle w:val="11"/>
          <w:rFonts w:eastAsia="宋体" w:cs="宋体"/>
          <w:lang w:eastAsia="zh-CN"/>
        </w:rPr>
        <w:t>(1)</w:t>
      </w:r>
      <w:r>
        <w:rPr>
          <w:rFonts w:asciiTheme="minorHAnsi" w:hAnsiTheme="minorHAnsi"/>
          <w:kern w:val="2"/>
          <w:sz w:val="21"/>
          <w:lang w:eastAsia="zh-CN"/>
        </w:rPr>
        <w:tab/>
      </w:r>
      <w:r>
        <w:rPr>
          <w:rStyle w:val="11"/>
          <w:rFonts w:eastAsia="宋体" w:cs="宋体"/>
          <w:lang w:eastAsia="zh-CN"/>
        </w:rPr>
        <w:t>PTA</w:t>
      </w:r>
      <w:r>
        <w:rPr>
          <w:rStyle w:val="11"/>
          <w:rFonts w:hint="eastAsia" w:eastAsia="宋体" w:cs="宋体"/>
          <w:lang w:eastAsia="zh-CN"/>
        </w:rPr>
        <w:t>和专用导管的标准性能试验</w:t>
      </w:r>
      <w:r>
        <w:tab/>
      </w:r>
      <w:r>
        <w:fldChar w:fldCharType="begin"/>
      </w:r>
      <w:r>
        <w:instrText xml:space="preserve"> PAGEREF _Toc94218312 \h </w:instrText>
      </w:r>
      <w:r>
        <w:fldChar w:fldCharType="separate"/>
      </w:r>
      <w:r>
        <w:t>8</w:t>
      </w:r>
      <w:r>
        <w:fldChar w:fldCharType="end"/>
      </w:r>
      <w:r>
        <w:fldChar w:fldCharType="end"/>
      </w:r>
    </w:p>
    <w:p w14:paraId="32EFAC75">
      <w:pPr>
        <w:pStyle w:val="2"/>
        <w:tabs>
          <w:tab w:val="left" w:pos="1050"/>
          <w:tab w:val="right" w:leader="dot" w:pos="9061"/>
        </w:tabs>
        <w:spacing w:before="120"/>
        <w:ind w:left="1160" w:hanging="720"/>
        <w:rPr>
          <w:rFonts w:asciiTheme="minorHAnsi" w:hAnsiTheme="minorHAnsi"/>
          <w:kern w:val="2"/>
          <w:sz w:val="21"/>
          <w:lang w:eastAsia="zh-CN"/>
        </w:rPr>
      </w:pPr>
      <w:r>
        <w:fldChar w:fldCharType="begin"/>
      </w:r>
      <w:r>
        <w:instrText xml:space="preserve"> HYPERLINK \l "_Toc94218313" </w:instrText>
      </w:r>
      <w:r>
        <w:fldChar w:fldCharType="separate"/>
      </w:r>
      <w:r>
        <w:rPr>
          <w:rStyle w:val="11"/>
          <w:rFonts w:eastAsia="Times New Roman" w:cs="Times New Roman"/>
          <w:bCs/>
          <w:snapToGrid w:val="0"/>
          <w:lang w:eastAsia="zh-CN"/>
        </w:rPr>
        <w:t>(2)</w:t>
      </w:r>
      <w:r>
        <w:rPr>
          <w:rFonts w:asciiTheme="minorHAnsi" w:hAnsiTheme="minorHAnsi"/>
          <w:kern w:val="2"/>
          <w:sz w:val="21"/>
          <w:lang w:eastAsia="zh-CN"/>
        </w:rPr>
        <w:tab/>
      </w:r>
      <w:r>
        <w:rPr>
          <w:rStyle w:val="11"/>
          <w:rFonts w:hint="eastAsia" w:eastAsia="宋体" w:cs="宋体"/>
          <w:lang w:eastAsia="zh-CN"/>
        </w:rPr>
        <w:t>用于注射造影剂或其他液体的导管的其他试验</w:t>
      </w:r>
      <w:r>
        <w:tab/>
      </w:r>
      <w:r>
        <w:fldChar w:fldCharType="begin"/>
      </w:r>
      <w:r>
        <w:instrText xml:space="preserve"> PAGEREF _Toc94218313 \h </w:instrText>
      </w:r>
      <w:r>
        <w:fldChar w:fldCharType="separate"/>
      </w:r>
      <w:r>
        <w:t>21</w:t>
      </w:r>
      <w:r>
        <w:fldChar w:fldCharType="end"/>
      </w:r>
      <w:r>
        <w:fldChar w:fldCharType="end"/>
      </w:r>
    </w:p>
    <w:p w14:paraId="2FB7E038">
      <w:pPr>
        <w:pStyle w:val="2"/>
        <w:tabs>
          <w:tab w:val="left" w:pos="1050"/>
          <w:tab w:val="right" w:leader="dot" w:pos="9061"/>
        </w:tabs>
        <w:spacing w:before="120"/>
        <w:ind w:left="1160" w:hanging="720"/>
        <w:rPr>
          <w:rFonts w:asciiTheme="minorHAnsi" w:hAnsiTheme="minorHAnsi"/>
          <w:kern w:val="2"/>
          <w:sz w:val="21"/>
          <w:lang w:eastAsia="zh-CN"/>
        </w:rPr>
      </w:pPr>
      <w:r>
        <w:fldChar w:fldCharType="begin"/>
      </w:r>
      <w:r>
        <w:instrText xml:space="preserve"> HYPERLINK \l "_Toc94218314" </w:instrText>
      </w:r>
      <w:r>
        <w:fldChar w:fldCharType="separate"/>
      </w:r>
      <w:r>
        <w:rPr>
          <w:rStyle w:val="11"/>
          <w:rFonts w:eastAsia="Times New Roman" w:cs="Times New Roman"/>
          <w:bCs/>
          <w:snapToGrid w:val="0"/>
          <w:lang w:eastAsia="zh-CN"/>
        </w:rPr>
        <w:t>(3)</w:t>
      </w:r>
      <w:r>
        <w:rPr>
          <w:rFonts w:asciiTheme="minorHAnsi" w:hAnsiTheme="minorHAnsi"/>
          <w:kern w:val="2"/>
          <w:sz w:val="21"/>
          <w:lang w:eastAsia="zh-CN"/>
        </w:rPr>
        <w:tab/>
      </w:r>
      <w:r>
        <w:rPr>
          <w:rStyle w:val="11"/>
          <w:rFonts w:hint="eastAsia" w:eastAsia="宋体" w:cs="宋体"/>
          <w:lang w:eastAsia="zh-CN"/>
        </w:rPr>
        <w:t>用于支架内再狭窄（</w:t>
      </w:r>
      <w:r>
        <w:rPr>
          <w:rStyle w:val="11"/>
          <w:rFonts w:eastAsia="宋体" w:cs="宋体"/>
          <w:lang w:eastAsia="zh-CN"/>
        </w:rPr>
        <w:t>ISR</w:t>
      </w:r>
      <w:r>
        <w:rPr>
          <w:rStyle w:val="11"/>
          <w:rFonts w:hint="eastAsia" w:eastAsia="宋体" w:cs="宋体"/>
          <w:lang w:eastAsia="zh-CN"/>
        </w:rPr>
        <w:t>）或支架展开后支架扩张的导管的其他试验</w:t>
      </w:r>
      <w:r>
        <w:tab/>
      </w:r>
      <w:r>
        <w:fldChar w:fldCharType="begin"/>
      </w:r>
      <w:r>
        <w:instrText xml:space="preserve"> PAGEREF _Toc94218314 \h </w:instrText>
      </w:r>
      <w:r>
        <w:fldChar w:fldCharType="separate"/>
      </w:r>
      <w:r>
        <w:t>21</w:t>
      </w:r>
      <w:r>
        <w:fldChar w:fldCharType="end"/>
      </w:r>
      <w:r>
        <w:fldChar w:fldCharType="end"/>
      </w:r>
    </w:p>
    <w:p w14:paraId="3C218468">
      <w:pPr>
        <w:pStyle w:val="2"/>
        <w:tabs>
          <w:tab w:val="left" w:pos="1050"/>
          <w:tab w:val="right" w:leader="dot" w:pos="9061"/>
        </w:tabs>
        <w:spacing w:before="120"/>
        <w:ind w:left="1160" w:hanging="720"/>
        <w:rPr>
          <w:rFonts w:asciiTheme="minorHAnsi" w:hAnsiTheme="minorHAnsi"/>
          <w:kern w:val="2"/>
          <w:sz w:val="21"/>
          <w:lang w:eastAsia="zh-CN"/>
        </w:rPr>
      </w:pPr>
      <w:r>
        <w:fldChar w:fldCharType="begin"/>
      </w:r>
      <w:r>
        <w:instrText xml:space="preserve"> HYPERLINK \l "_Toc94218315" </w:instrText>
      </w:r>
      <w:r>
        <w:fldChar w:fldCharType="separate"/>
      </w:r>
      <w:r>
        <w:rPr>
          <w:rStyle w:val="11"/>
          <w:rFonts w:eastAsia="Times New Roman" w:cs="Times New Roman"/>
          <w:bCs/>
          <w:snapToGrid w:val="0"/>
          <w:lang w:eastAsia="zh-CN"/>
        </w:rPr>
        <w:t>(4)</w:t>
      </w:r>
      <w:r>
        <w:rPr>
          <w:rFonts w:asciiTheme="minorHAnsi" w:hAnsiTheme="minorHAnsi"/>
          <w:kern w:val="2"/>
          <w:sz w:val="21"/>
          <w:lang w:eastAsia="zh-CN"/>
        </w:rPr>
        <w:tab/>
      </w:r>
      <w:r>
        <w:rPr>
          <w:rStyle w:val="11"/>
          <w:rFonts w:hint="eastAsia" w:eastAsia="宋体" w:cs="宋体"/>
          <w:lang w:eastAsia="zh-CN"/>
        </w:rPr>
        <w:t>刻痕</w:t>
      </w:r>
      <w:r>
        <w:rPr>
          <w:rStyle w:val="11"/>
          <w:rFonts w:eastAsia="宋体" w:cs="宋体"/>
          <w:lang w:eastAsia="zh-CN"/>
        </w:rPr>
        <w:t>/</w:t>
      </w:r>
      <w:r>
        <w:rPr>
          <w:rStyle w:val="11"/>
          <w:rFonts w:hint="eastAsia" w:eastAsia="宋体" w:cs="宋体"/>
          <w:lang w:eastAsia="zh-CN"/>
        </w:rPr>
        <w:t>切割球囊的其他试验</w:t>
      </w:r>
      <w:r>
        <w:tab/>
      </w:r>
      <w:r>
        <w:fldChar w:fldCharType="begin"/>
      </w:r>
      <w:r>
        <w:instrText xml:space="preserve"> PAGEREF _Toc94218315 \h </w:instrText>
      </w:r>
      <w:r>
        <w:fldChar w:fldCharType="separate"/>
      </w:r>
      <w:r>
        <w:t>22</w:t>
      </w:r>
      <w:r>
        <w:fldChar w:fldCharType="end"/>
      </w:r>
      <w:r>
        <w:fldChar w:fldCharType="end"/>
      </w:r>
    </w:p>
    <w:p w14:paraId="6CE16F3B">
      <w:pPr>
        <w:pStyle w:val="7"/>
        <w:tabs>
          <w:tab w:val="left" w:pos="840"/>
          <w:tab w:val="right" w:leader="dot" w:pos="9061"/>
        </w:tabs>
        <w:spacing w:before="120"/>
        <w:ind w:left="700" w:hanging="480"/>
        <w:rPr>
          <w:rFonts w:asciiTheme="minorHAnsi" w:hAnsiTheme="minorHAnsi"/>
          <w:kern w:val="2"/>
          <w:sz w:val="21"/>
          <w:lang w:eastAsia="zh-CN"/>
        </w:rPr>
      </w:pPr>
      <w:r>
        <w:fldChar w:fldCharType="begin"/>
      </w:r>
      <w:r>
        <w:instrText xml:space="preserve"> HYPERLINK \l "_Toc94218316" </w:instrText>
      </w:r>
      <w:r>
        <w:fldChar w:fldCharType="separate"/>
      </w:r>
      <w:r>
        <w:rPr>
          <w:rStyle w:val="11"/>
          <w:rFonts w:eastAsia="Times New Roman" w:cs="Times New Roman"/>
          <w:bCs/>
          <w:snapToGrid w:val="0"/>
        </w:rPr>
        <w:t>H.</w:t>
      </w:r>
      <w:r>
        <w:rPr>
          <w:rFonts w:asciiTheme="minorHAnsi" w:hAnsiTheme="minorHAnsi"/>
          <w:kern w:val="2"/>
          <w:sz w:val="21"/>
          <w:lang w:eastAsia="zh-CN"/>
        </w:rPr>
        <w:tab/>
      </w:r>
      <w:r>
        <w:rPr>
          <w:rStyle w:val="11"/>
          <w:rFonts w:hint="eastAsia" w:eastAsia="宋体" w:cs="宋体"/>
        </w:rPr>
        <w:t>动物安全和性能试验</w:t>
      </w:r>
      <w:r>
        <w:tab/>
      </w:r>
      <w:r>
        <w:fldChar w:fldCharType="begin"/>
      </w:r>
      <w:r>
        <w:instrText xml:space="preserve"> PAGEREF _Toc94218316 \h </w:instrText>
      </w:r>
      <w:r>
        <w:fldChar w:fldCharType="separate"/>
      </w:r>
      <w:r>
        <w:t>23</w:t>
      </w:r>
      <w:r>
        <w:fldChar w:fldCharType="end"/>
      </w:r>
      <w:r>
        <w:fldChar w:fldCharType="end"/>
      </w:r>
    </w:p>
    <w:p w14:paraId="1F752864">
      <w:pPr>
        <w:pStyle w:val="7"/>
        <w:tabs>
          <w:tab w:val="left" w:pos="630"/>
          <w:tab w:val="right" w:leader="dot" w:pos="9061"/>
        </w:tabs>
        <w:spacing w:before="120"/>
        <w:ind w:left="700" w:hanging="480"/>
        <w:rPr>
          <w:rFonts w:asciiTheme="minorHAnsi" w:hAnsiTheme="minorHAnsi"/>
          <w:kern w:val="2"/>
          <w:sz w:val="21"/>
          <w:lang w:eastAsia="zh-CN"/>
        </w:rPr>
      </w:pPr>
      <w:r>
        <w:fldChar w:fldCharType="begin"/>
      </w:r>
      <w:r>
        <w:instrText xml:space="preserve"> HYPERLINK \l "_Toc94218317" </w:instrText>
      </w:r>
      <w:r>
        <w:fldChar w:fldCharType="separate"/>
      </w:r>
      <w:r>
        <w:rPr>
          <w:rStyle w:val="11"/>
          <w:rFonts w:eastAsia="Times New Roman" w:cs="Times New Roman"/>
          <w:bCs/>
          <w:snapToGrid w:val="0"/>
          <w:w w:val="99"/>
        </w:rPr>
        <w:t>I.</w:t>
      </w:r>
      <w:r>
        <w:rPr>
          <w:rFonts w:asciiTheme="minorHAnsi" w:hAnsiTheme="minorHAnsi"/>
          <w:kern w:val="2"/>
          <w:sz w:val="21"/>
          <w:lang w:eastAsia="zh-CN"/>
        </w:rPr>
        <w:tab/>
      </w:r>
      <w:r>
        <w:rPr>
          <w:rStyle w:val="11"/>
          <w:rFonts w:eastAsia="宋体" w:cs="宋体"/>
        </w:rPr>
        <w:t>临床性能试验</w:t>
      </w:r>
      <w:r>
        <w:tab/>
      </w:r>
      <w:r>
        <w:fldChar w:fldCharType="begin"/>
      </w:r>
      <w:r>
        <w:instrText xml:space="preserve"> PAGEREF _Toc94218317 \h </w:instrText>
      </w:r>
      <w:r>
        <w:fldChar w:fldCharType="separate"/>
      </w:r>
      <w:r>
        <w:t>24</w:t>
      </w:r>
      <w:r>
        <w:fldChar w:fldCharType="end"/>
      </w:r>
      <w:r>
        <w:fldChar w:fldCharType="end"/>
      </w:r>
    </w:p>
    <w:p w14:paraId="6C9B44D7">
      <w:pPr>
        <w:pStyle w:val="7"/>
        <w:tabs>
          <w:tab w:val="left" w:pos="630"/>
          <w:tab w:val="right" w:leader="dot" w:pos="9061"/>
        </w:tabs>
        <w:spacing w:before="120"/>
        <w:ind w:left="700" w:hanging="480"/>
        <w:rPr>
          <w:rFonts w:asciiTheme="minorHAnsi" w:hAnsiTheme="minorHAnsi"/>
          <w:kern w:val="2"/>
          <w:sz w:val="21"/>
          <w:lang w:eastAsia="zh-CN"/>
        </w:rPr>
      </w:pPr>
      <w:r>
        <w:fldChar w:fldCharType="begin"/>
      </w:r>
      <w:r>
        <w:instrText xml:space="preserve"> HYPERLINK \l "_Toc94218318" </w:instrText>
      </w:r>
      <w:r>
        <w:fldChar w:fldCharType="separate"/>
      </w:r>
      <w:r>
        <w:rPr>
          <w:rStyle w:val="11"/>
          <w:rFonts w:eastAsia="Times New Roman" w:cs="Times New Roman"/>
          <w:bCs/>
          <w:snapToGrid w:val="0"/>
          <w:w w:val="99"/>
        </w:rPr>
        <w:t>J.</w:t>
      </w:r>
      <w:r>
        <w:rPr>
          <w:rFonts w:asciiTheme="minorHAnsi" w:hAnsiTheme="minorHAnsi"/>
          <w:kern w:val="2"/>
          <w:sz w:val="21"/>
          <w:lang w:eastAsia="zh-CN"/>
        </w:rPr>
        <w:tab/>
      </w:r>
      <w:r>
        <w:rPr>
          <w:rStyle w:val="11"/>
          <w:rFonts w:hint="eastAsia" w:eastAsia="宋体" w:cs="宋体"/>
          <w:lang w:eastAsia="zh-CN"/>
        </w:rPr>
        <w:t>标签说明书</w:t>
      </w:r>
      <w:r>
        <w:tab/>
      </w:r>
      <w:r>
        <w:fldChar w:fldCharType="begin"/>
      </w:r>
      <w:r>
        <w:instrText xml:space="preserve"> PAGEREF _Toc94218318 \h </w:instrText>
      </w:r>
      <w:r>
        <w:fldChar w:fldCharType="separate"/>
      </w:r>
      <w:r>
        <w:t>25</w:t>
      </w:r>
      <w:r>
        <w:fldChar w:fldCharType="end"/>
      </w:r>
      <w:r>
        <w:fldChar w:fldCharType="end"/>
      </w:r>
    </w:p>
    <w:p w14:paraId="1BACD502">
      <w:pPr>
        <w:pStyle w:val="7"/>
        <w:tabs>
          <w:tab w:val="left" w:pos="840"/>
          <w:tab w:val="right" w:leader="dot" w:pos="9061"/>
        </w:tabs>
        <w:spacing w:before="120"/>
        <w:ind w:left="700" w:hanging="480"/>
        <w:rPr>
          <w:rFonts w:asciiTheme="minorHAnsi" w:hAnsiTheme="minorHAnsi"/>
          <w:kern w:val="2"/>
          <w:sz w:val="21"/>
          <w:lang w:eastAsia="zh-CN"/>
        </w:rPr>
      </w:pPr>
      <w:r>
        <w:fldChar w:fldCharType="begin"/>
      </w:r>
      <w:r>
        <w:instrText xml:space="preserve"> HYPERLINK \l "_Toc94218319" </w:instrText>
      </w:r>
      <w:r>
        <w:fldChar w:fldCharType="separate"/>
      </w:r>
      <w:r>
        <w:rPr>
          <w:rStyle w:val="11"/>
          <w:rFonts w:eastAsia="Times New Roman" w:cs="Times New Roman"/>
          <w:bCs/>
          <w:snapToGrid w:val="0"/>
          <w:w w:val="99"/>
        </w:rPr>
        <w:t>K.</w:t>
      </w:r>
      <w:r>
        <w:rPr>
          <w:rFonts w:asciiTheme="minorHAnsi" w:hAnsiTheme="minorHAnsi"/>
          <w:kern w:val="2"/>
          <w:sz w:val="21"/>
          <w:lang w:eastAsia="zh-CN"/>
        </w:rPr>
        <w:tab/>
      </w:r>
      <w:r>
        <w:rPr>
          <w:rStyle w:val="11"/>
          <w:rFonts w:hint="eastAsia" w:eastAsia="宋体" w:cs="宋体"/>
        </w:rPr>
        <w:t>修改</w:t>
      </w:r>
      <w:r>
        <w:tab/>
      </w:r>
      <w:r>
        <w:fldChar w:fldCharType="begin"/>
      </w:r>
      <w:r>
        <w:instrText xml:space="preserve"> PAGEREF _Toc94218319 \h </w:instrText>
      </w:r>
      <w:r>
        <w:fldChar w:fldCharType="separate"/>
      </w:r>
      <w:r>
        <w:t>25</w:t>
      </w:r>
      <w:r>
        <w:fldChar w:fldCharType="end"/>
      </w:r>
      <w:r>
        <w:fldChar w:fldCharType="end"/>
      </w:r>
    </w:p>
    <w:p w14:paraId="585B5953">
      <w:pPr>
        <w:adjustRightInd w:val="0"/>
        <w:snapToGrid w:val="0"/>
        <w:spacing w:before="120" w:beforeLines="50" w:line="300" w:lineRule="auto"/>
        <w:jc w:val="both"/>
        <w:rPr>
          <w:rFonts w:ascii="Times New Roman" w:hAnsi="Times New Roman" w:cs="Times New Roman"/>
          <w:snapToGrid w:val="0"/>
          <w:sz w:val="24"/>
          <w:szCs w:val="24"/>
          <w:lang w:eastAsia="zh-CN"/>
        </w:rPr>
        <w:sectPr>
          <w:headerReference r:id="rId3" w:type="default"/>
          <w:type w:val="continuous"/>
          <w:pgSz w:w="11907" w:h="16840"/>
          <w:pgMar w:top="1418" w:right="1418" w:bottom="1418" w:left="1418" w:header="720" w:footer="720" w:gutter="0"/>
          <w:cols w:space="599" w:num="1"/>
        </w:sectPr>
      </w:pPr>
      <w:r>
        <w:rPr>
          <w:rFonts w:ascii="Times New Roman" w:hAnsi="Times New Roman" w:cs="Times New Roman"/>
          <w:snapToGrid w:val="0"/>
          <w:sz w:val="24"/>
          <w:szCs w:val="24"/>
        </w:rPr>
        <w:fldChar w:fldCharType="end"/>
      </w:r>
    </w:p>
    <w:p w14:paraId="437EBC37">
      <w:pPr>
        <w:pBdr>
          <w:bottom w:val="single" w:color="auto" w:sz="4" w:space="1"/>
        </w:pBdr>
        <w:tabs>
          <w:tab w:val="left" w:pos="731"/>
        </w:tabs>
        <w:adjustRightInd w:val="0"/>
        <w:snapToGrid w:val="0"/>
        <w:spacing w:before="120" w:beforeLines="50" w:line="300" w:lineRule="auto"/>
        <w:jc w:val="center"/>
        <w:rPr>
          <w:rFonts w:ascii="Times New Roman" w:hAnsi="Times New Roman" w:cs="Times New Roman"/>
          <w:b/>
          <w:snapToGrid w:val="0"/>
          <w:sz w:val="44"/>
          <w:szCs w:val="44"/>
          <w:lang w:eastAsia="zh-CN"/>
        </w:rPr>
      </w:pPr>
      <w:r>
        <w:rPr>
          <w:rFonts w:ascii="Times New Roman" w:hAnsi="Times New Roman" w:eastAsia="宋体" w:cs="宋体"/>
          <w:b/>
          <w:sz w:val="44"/>
          <w:lang w:eastAsia="zh-CN"/>
        </w:rPr>
        <w:t>外周经皮腔内血管成形术（PTA）</w:t>
      </w:r>
      <w:r>
        <w:rPr>
          <w:rFonts w:hint="eastAsia" w:ascii="Times New Roman" w:hAnsi="Times New Roman" w:eastAsia="宋体" w:cs="宋体"/>
          <w:b/>
          <w:sz w:val="44"/>
          <w:lang w:eastAsia="zh-CN"/>
        </w:rPr>
        <w:t>及</w:t>
      </w:r>
      <w:r>
        <w:rPr>
          <w:rFonts w:ascii="Times New Roman" w:hAnsi="Times New Roman" w:eastAsia="宋体" w:cs="宋体"/>
          <w:b/>
          <w:sz w:val="44"/>
          <w:lang w:eastAsia="zh-CN"/>
        </w:rPr>
        <w:t>专用导管 – 上市前通知（510(k)）申请</w:t>
      </w:r>
    </w:p>
    <w:p w14:paraId="70075581">
      <w:pPr>
        <w:tabs>
          <w:tab w:val="left" w:pos="784"/>
        </w:tabs>
        <w:adjustRightInd w:val="0"/>
        <w:snapToGrid w:val="0"/>
        <w:spacing w:before="120" w:beforeLines="50" w:line="300" w:lineRule="auto"/>
        <w:jc w:val="center"/>
        <w:rPr>
          <w:rFonts w:ascii="Times New Roman" w:hAnsi="Times New Roman" w:cs="Times New Roman"/>
          <w:snapToGrid w:val="0"/>
          <w:sz w:val="44"/>
          <w:szCs w:val="44"/>
          <w:lang w:eastAsia="zh-CN"/>
        </w:rPr>
      </w:pPr>
      <w:r>
        <w:rPr>
          <w:rFonts w:ascii="Times New Roman" w:hAnsi="Times New Roman" w:eastAsia="宋体" w:cs="宋体"/>
          <w:b/>
          <w:sz w:val="44"/>
          <w:lang w:eastAsia="zh-CN"/>
        </w:rPr>
        <w:t>面向行业和美国食品药品监督管理局工作人员的指南草案</w:t>
      </w:r>
    </w:p>
    <w:tbl>
      <w:tblPr>
        <w:tblStyle w:val="9"/>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0D78F5B8">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9287" w:type="dxa"/>
          </w:tcPr>
          <w:p w14:paraId="646839A9">
            <w:pPr>
              <w:adjustRightInd w:val="0"/>
              <w:snapToGrid w:val="0"/>
              <w:spacing w:before="120" w:beforeLines="50" w:line="300" w:lineRule="auto"/>
              <w:jc w:val="both"/>
              <w:rPr>
                <w:rFonts w:ascii="Times New Roman" w:hAnsi="Times New Roman" w:cs="Times New Roman"/>
                <w:b/>
                <w:bCs/>
                <w:i/>
                <w:iCs/>
                <w:snapToGrid w:val="0"/>
                <w:sz w:val="24"/>
                <w:szCs w:val="24"/>
                <w:lang w:eastAsia="zh-CN"/>
              </w:rPr>
            </w:pPr>
            <w:r>
              <w:rPr>
                <w:rFonts w:hint="eastAsia" w:ascii="Times New Roman" w:hAnsi="Times New Roman" w:eastAsia="宋体" w:cs="宋体"/>
                <w:b/>
                <w:bCs/>
                <w:i/>
                <w:iCs/>
                <w:sz w:val="24"/>
                <w:lang w:eastAsia="zh-CN"/>
              </w:rPr>
              <w:t>本</w:t>
            </w:r>
            <w:r>
              <w:rPr>
                <w:rFonts w:ascii="Times New Roman" w:hAnsi="Times New Roman" w:eastAsia="宋体" w:cs="宋体"/>
                <w:b/>
                <w:bCs/>
                <w:i/>
                <w:iCs/>
                <w:sz w:val="24"/>
                <w:lang w:eastAsia="zh-CN"/>
              </w:rPr>
              <w:t>指南草案最终定稿后</w:t>
            </w:r>
            <w:r>
              <w:rPr>
                <w:rFonts w:hint="eastAsia" w:ascii="Times New Roman" w:hAnsi="Times New Roman" w:eastAsia="宋体" w:cs="宋体"/>
                <w:b/>
                <w:bCs/>
                <w:i/>
                <w:iCs/>
                <w:sz w:val="24"/>
                <w:lang w:eastAsia="zh-CN"/>
              </w:rPr>
              <w:t>，</w:t>
            </w:r>
            <w:r>
              <w:rPr>
                <w:rFonts w:ascii="Times New Roman" w:hAnsi="Times New Roman" w:eastAsia="宋体" w:cs="宋体"/>
                <w:b/>
                <w:bCs/>
                <w:i/>
                <w:iCs/>
                <w:sz w:val="24"/>
                <w:lang w:eastAsia="zh-CN"/>
              </w:rPr>
              <w:t>将代表美国</w:t>
            </w:r>
            <w:r>
              <w:rPr>
                <w:rFonts w:hint="eastAsia" w:ascii="Times New Roman" w:hAnsi="Times New Roman" w:eastAsia="宋体" w:cs="宋体"/>
                <w:b/>
                <w:bCs/>
                <w:i/>
                <w:iCs/>
                <w:sz w:val="24"/>
                <w:lang w:eastAsia="zh-CN"/>
              </w:rPr>
              <w:t>食品药品监督管理局（FDA或本机构）目前关于该主题的思考。其不会为任何人创造或赋予任何权利，也不会对FDA或公众产生约束。如果替代方法满足适用的法律法规的要求，则可以使用该替代方法。如需讨论替代方法，请联系标题页列出的负责实施本指南文件的FDA工作人员或办公室。</w:t>
            </w:r>
          </w:p>
        </w:tc>
      </w:tr>
    </w:tbl>
    <w:p w14:paraId="747747D7">
      <w:pPr>
        <w:tabs>
          <w:tab w:val="left" w:pos="719"/>
          <w:tab w:val="left" w:pos="1439"/>
        </w:tabs>
        <w:adjustRightInd w:val="0"/>
        <w:snapToGrid w:val="0"/>
        <w:spacing w:before="120" w:beforeLines="50" w:line="300" w:lineRule="auto"/>
        <w:ind w:left="843" w:hanging="843" w:hangingChars="300"/>
        <w:jc w:val="both"/>
        <w:outlineLvl w:val="0"/>
        <w:rPr>
          <w:rFonts w:ascii="Times New Roman" w:hAnsi="Times New Roman" w:cs="Times New Roman"/>
          <w:snapToGrid w:val="0"/>
          <w:sz w:val="28"/>
          <w:szCs w:val="28"/>
          <w:lang w:eastAsia="zh-CN"/>
        </w:rPr>
      </w:pPr>
      <w:bookmarkStart w:id="0" w:name="_Toc94218302"/>
      <w:r>
        <w:rPr>
          <w:rFonts w:ascii="Times New Roman" w:hAnsi="Times New Roman" w:eastAsia="宋体" w:cs="宋体"/>
          <w:b/>
          <w:sz w:val="28"/>
          <w:lang w:eastAsia="zh-CN"/>
        </w:rPr>
        <w:t>I.</w:t>
      </w:r>
      <w:r>
        <w:rPr>
          <w:rFonts w:ascii="Times New Roman" w:hAnsi="Times New Roman" w:eastAsia="宋体" w:cs="宋体"/>
          <w:b/>
          <w:lang w:eastAsia="zh-CN"/>
        </w:rPr>
        <w:tab/>
      </w:r>
      <w:r>
        <w:rPr>
          <w:rFonts w:ascii="Times New Roman" w:hAnsi="Times New Roman" w:eastAsia="宋体" w:cs="宋体"/>
          <w:b/>
          <w:sz w:val="28"/>
          <w:lang w:eastAsia="zh-CN"/>
        </w:rPr>
        <w:t>引言</w:t>
      </w:r>
      <w:bookmarkEnd w:id="0"/>
    </w:p>
    <w:p w14:paraId="1F0C058F">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w:t>
      </w:r>
      <w:r>
        <w:rPr>
          <w:rFonts w:hint="eastAsia" w:ascii="Times New Roman" w:hAnsi="Times New Roman" w:eastAsia="宋体" w:cs="宋体"/>
          <w:sz w:val="24"/>
          <w:lang w:eastAsia="zh-CN"/>
        </w:rPr>
        <w:t>文件为</w:t>
      </w:r>
      <w:r>
        <w:rPr>
          <w:rFonts w:ascii="Times New Roman" w:hAnsi="Times New Roman" w:eastAsia="宋体" w:cs="宋体"/>
          <w:sz w:val="24"/>
          <w:lang w:eastAsia="zh-CN"/>
        </w:rPr>
        <w:t>外周经皮腔内血管成形术（PTA）球囊</w:t>
      </w:r>
      <w:r>
        <w:rPr>
          <w:rFonts w:hint="eastAsia" w:ascii="Times New Roman" w:hAnsi="Times New Roman" w:eastAsia="宋体" w:cs="宋体"/>
          <w:sz w:val="24"/>
          <w:lang w:eastAsia="zh-CN"/>
        </w:rPr>
        <w:t>及</w:t>
      </w:r>
      <w:r>
        <w:rPr>
          <w:rFonts w:ascii="Times New Roman" w:hAnsi="Times New Roman" w:eastAsia="宋体" w:cs="宋体"/>
          <w:sz w:val="24"/>
          <w:lang w:eastAsia="zh-CN"/>
        </w:rPr>
        <w:t>专用导管（如输液导管、支架内再狭窄（ISR）用PTA球囊导管、刻痕/切割球囊）的510(k)提交</w:t>
      </w:r>
      <w:r>
        <w:rPr>
          <w:rFonts w:hint="eastAsia" w:ascii="Times New Roman" w:hAnsi="Times New Roman" w:eastAsia="宋体" w:cs="宋体"/>
          <w:sz w:val="24"/>
          <w:lang w:eastAsia="zh-CN"/>
        </w:rPr>
        <w:t>建议草案，包括</w:t>
      </w:r>
      <w:r>
        <w:rPr>
          <w:rFonts w:ascii="Times New Roman" w:hAnsi="Times New Roman" w:eastAsia="宋体" w:cs="宋体"/>
          <w:sz w:val="24"/>
          <w:lang w:eastAsia="zh-CN"/>
        </w:rPr>
        <w:t>台架试验和涂层特性描述。这些基于导管的器械</w:t>
      </w:r>
      <w:r>
        <w:rPr>
          <w:rFonts w:hint="eastAsia" w:ascii="Times New Roman" w:hAnsi="Times New Roman" w:eastAsia="宋体" w:cs="宋体"/>
          <w:sz w:val="24"/>
          <w:lang w:eastAsia="zh-CN"/>
        </w:rPr>
        <w:t>预期</w:t>
      </w:r>
      <w:r>
        <w:rPr>
          <w:rFonts w:ascii="Times New Roman" w:hAnsi="Times New Roman" w:eastAsia="宋体" w:cs="宋体"/>
          <w:sz w:val="24"/>
          <w:lang w:eastAsia="zh-CN"/>
        </w:rPr>
        <w:t>用于治疗外周血管系统病变。本文件提供了解剖结构特定的试验建议，并扩展了FDA目前对于这些器械试验的观点。FDA发布本指南草案是为了阐明FDA对PTA导管和专用导管的上市前提交建议，并</w:t>
      </w:r>
      <w:r>
        <w:rPr>
          <w:rFonts w:hint="eastAsia" w:ascii="Times New Roman" w:hAnsi="Times New Roman" w:eastAsia="宋体" w:cs="宋体"/>
          <w:sz w:val="24"/>
          <w:lang w:eastAsia="zh-CN"/>
        </w:rPr>
        <w:t>提高</w:t>
      </w:r>
      <w:r>
        <w:rPr>
          <w:rFonts w:ascii="Times New Roman" w:hAnsi="Times New Roman" w:eastAsia="宋体" w:cs="宋体"/>
          <w:sz w:val="24"/>
          <w:lang w:eastAsia="zh-CN"/>
        </w:rPr>
        <w:t>提交文件</w:t>
      </w:r>
      <w:r>
        <w:rPr>
          <w:rFonts w:hint="eastAsia" w:ascii="Times New Roman" w:hAnsi="Times New Roman" w:eastAsia="宋体" w:cs="宋体"/>
          <w:sz w:val="24"/>
          <w:lang w:eastAsia="zh-CN"/>
        </w:rPr>
        <w:t>之间</w:t>
      </w:r>
      <w:r>
        <w:rPr>
          <w:rFonts w:ascii="Times New Roman" w:hAnsi="Times New Roman" w:eastAsia="宋体" w:cs="宋体"/>
          <w:sz w:val="24"/>
          <w:lang w:eastAsia="zh-CN"/>
        </w:rPr>
        <w:t>的一致性。</w:t>
      </w:r>
    </w:p>
    <w:p w14:paraId="2B3DFB91">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关于</w:t>
      </w:r>
      <w:r>
        <w:rPr>
          <w:rFonts w:hint="eastAsia" w:ascii="Times New Roman" w:hAnsi="Times New Roman" w:eastAsia="宋体" w:cs="宋体"/>
          <w:sz w:val="24"/>
          <w:lang w:eastAsia="zh-CN"/>
        </w:rPr>
        <w:t>本文件中引用的</w:t>
      </w:r>
      <w:r>
        <w:rPr>
          <w:rFonts w:ascii="Times New Roman" w:hAnsi="Times New Roman" w:eastAsia="宋体" w:cs="宋体"/>
          <w:sz w:val="24"/>
        </w:rPr>
        <w:t>FDA认可标准</w:t>
      </w:r>
      <w:r>
        <w:rPr>
          <w:rFonts w:hint="eastAsia" w:ascii="Times New Roman" w:hAnsi="Times New Roman" w:eastAsia="宋体" w:cs="宋体"/>
          <w:sz w:val="24"/>
          <w:lang w:eastAsia="zh-CN"/>
        </w:rPr>
        <w:t>的现行</w:t>
      </w:r>
      <w:r>
        <w:rPr>
          <w:rFonts w:ascii="Times New Roman" w:hAnsi="Times New Roman" w:eastAsia="宋体" w:cs="宋体"/>
          <w:sz w:val="24"/>
        </w:rPr>
        <w:t>版本，</w:t>
      </w:r>
      <w:r>
        <w:rPr>
          <w:rFonts w:hint="eastAsia" w:ascii="Times New Roman" w:hAnsi="Times New Roman" w:eastAsia="宋体" w:cs="宋体"/>
          <w:sz w:val="24"/>
          <w:lang w:eastAsia="zh-CN"/>
        </w:rPr>
        <w:t>请</w:t>
      </w:r>
      <w:r>
        <w:rPr>
          <w:rFonts w:ascii="Times New Roman" w:hAnsi="Times New Roman" w:eastAsia="宋体" w:cs="宋体"/>
          <w:sz w:val="24"/>
        </w:rPr>
        <w:t>参见FDA认可共识标准数据库网站：</w:t>
      </w:r>
      <w:r>
        <w:fldChar w:fldCharType="begin"/>
      </w:r>
      <w:r>
        <w:instrText xml:space="preserve"> HYPERLINK "https://www.accessdata.fda.gov/scripts/cdrh/cfdocs/cfStandards/search.cfm" \h </w:instrText>
      </w:r>
      <w:r>
        <w:fldChar w:fldCharType="separate"/>
      </w:r>
      <w:r>
        <w:rPr>
          <w:rFonts w:ascii="Times New Roman" w:hAnsi="Times New Roman" w:eastAsia="宋体" w:cs="宋体"/>
          <w:snapToGrid w:val="0"/>
          <w:color w:val="0000FF"/>
          <w:sz w:val="24"/>
          <w:szCs w:val="24"/>
          <w:u w:val="single" w:color="0000FF"/>
        </w:rPr>
        <w:t>http://www.accessdata.fda.gov/scripts/cdrh/cfdocs/cfStandards/search.cfm</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w:t>
      </w:r>
      <w:r>
        <w:rPr>
          <w:rFonts w:ascii="Times New Roman" w:hAnsi="Times New Roman" w:eastAsia="宋体" w:cs="宋体"/>
          <w:color w:val="000000"/>
          <w:sz w:val="24"/>
          <w:lang w:eastAsia="zh-CN"/>
        </w:rPr>
        <w:t>有关</w:t>
      </w:r>
      <w:r>
        <w:rPr>
          <w:rFonts w:ascii="Times New Roman" w:hAnsi="Times New Roman" w:eastAsia="宋体" w:cs="宋体"/>
          <w:sz w:val="24"/>
          <w:lang w:eastAsia="zh-CN"/>
        </w:rPr>
        <w:t>在监管提交文件中使用共识标准的更多信息，请参阅FDA题为《</w:t>
      </w:r>
      <w:r>
        <w:fldChar w:fldCharType="begin"/>
      </w:r>
      <w:r>
        <w:rPr>
          <w:lang w:eastAsia="zh-CN"/>
        </w:rP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4"/>
          <w:szCs w:val="24"/>
          <w:u w:val="single" w:color="0000FF"/>
          <w:lang w:eastAsia="zh-CN"/>
        </w:rPr>
        <w:t>在医疗器械上市前申请中适当使用自愿共识标准》</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的指南。</w:t>
      </w:r>
      <w:r>
        <w:rPr>
          <w:rFonts w:ascii="Times New Roman" w:hAnsi="Times New Roman" w:eastAsia="宋体" w:cs="宋体"/>
          <w:color w:val="000000"/>
          <w:sz w:val="24"/>
          <w:lang w:eastAsia="zh-CN"/>
        </w:rPr>
        <w:t>”</w:t>
      </w:r>
      <w:r>
        <w:fldChar w:fldCharType="begin"/>
      </w:r>
      <w:r>
        <w:instrText xml:space="preserve"> HYPERLINK \l "_bookmark1" </w:instrText>
      </w:r>
      <w:r>
        <w:fldChar w:fldCharType="separate"/>
      </w:r>
      <w:r>
        <w:rPr>
          <w:rFonts w:ascii="Times New Roman" w:hAnsi="Times New Roman" w:eastAsia="宋体" w:cs="宋体"/>
          <w:snapToGrid w:val="0"/>
          <w:color w:val="000000"/>
          <w:sz w:val="24"/>
          <w:szCs w:val="24"/>
          <w:vertAlign w:val="superscript"/>
          <w:lang w:eastAsia="zh-CN"/>
        </w:rPr>
        <w:t>1</w:t>
      </w:r>
      <w:r>
        <w:rPr>
          <w:rFonts w:ascii="Times New Roman" w:hAnsi="Times New Roman" w:eastAsia="宋体" w:cs="宋体"/>
          <w:snapToGrid w:val="0"/>
          <w:color w:val="000000"/>
          <w:sz w:val="24"/>
          <w:szCs w:val="24"/>
          <w:vertAlign w:val="superscript"/>
          <w:lang w:eastAsia="zh-CN"/>
        </w:rPr>
        <w:fldChar w:fldCharType="end"/>
      </w:r>
    </w:p>
    <w:p w14:paraId="03E8C17F">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353D41F">
      <w:pPr>
        <w:adjustRightInd w:val="0"/>
        <w:snapToGrid w:val="0"/>
        <w:spacing w:before="1800" w:beforeLines="7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___________________________</w:t>
      </w:r>
    </w:p>
    <w:p w14:paraId="11FD587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1"/>
          <w:vertAlign w:val="superscript"/>
          <w:lang w:eastAsia="zh-CN"/>
        </w:rPr>
        <w:t>1</w:t>
      </w:r>
      <w:r>
        <w:rPr>
          <w:rFonts w:hint="eastAsia" w:ascii="Times New Roman" w:hAnsi="Times New Roman"/>
          <w:lang w:eastAsia="zh-CN"/>
        </w:rPr>
        <w:t xml:space="preserv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1"/>
          <w:szCs w:val="21"/>
          <w:u w:val="single" w:color="0000FF"/>
          <w:lang w:eastAsia="zh-CN"/>
        </w:rPr>
        <w:t>https://www.fda.gov/regulatory-information/search-fda-guidance-documents/appropriate-use-voluntary-consensus-</w:t>
      </w:r>
      <w:r>
        <w:rPr>
          <w:rFonts w:ascii="Times New Roman" w:hAnsi="Times New Roman" w:eastAsia="宋体" w:cs="宋体"/>
          <w:snapToGrid w:val="0"/>
          <w:color w:val="0000FF"/>
          <w:sz w:val="21"/>
          <w:szCs w:val="21"/>
          <w:u w:val="single" w:color="0000FF"/>
          <w:lang w:eastAsia="zh-CN"/>
        </w:rPr>
        <w:fldChar w:fldCharType="end"/>
      </w:r>
      <w:r>
        <w:rPr>
          <w:sz w:val="21"/>
          <w:lang w:eastAsia="zh-CN"/>
        </w:rPr>
        <w:t xml:space="preserv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1"/>
          <w:szCs w:val="21"/>
          <w:u w:val="single" w:color="0000FF"/>
          <w:lang w:eastAsia="zh-CN"/>
        </w:rPr>
        <w:t>standards-premarket-submissions-medical-devices</w:t>
      </w:r>
      <w:r>
        <w:rPr>
          <w:rFonts w:ascii="Times New Roman" w:hAnsi="Times New Roman" w:eastAsia="宋体" w:cs="宋体"/>
          <w:snapToGrid w:val="0"/>
          <w:color w:val="0000FF"/>
          <w:sz w:val="21"/>
          <w:szCs w:val="21"/>
          <w:u w:val="single" w:color="0000FF"/>
          <w:lang w:eastAsia="zh-CN"/>
        </w:rPr>
        <w:fldChar w:fldCharType="end"/>
      </w:r>
      <w:r>
        <w:rPr>
          <w:sz w:val="21"/>
          <w:lang w:eastAsia="zh-CN"/>
        </w:rPr>
        <w:br w:type="page"/>
      </w:r>
    </w:p>
    <w:p w14:paraId="3F37B7B4">
      <w:pPr>
        <w:tabs>
          <w:tab w:val="left" w:pos="83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本文件是对其他FDA上市前提交具体</w:t>
      </w:r>
      <w:r>
        <w:rPr>
          <w:rFonts w:hint="eastAsia" w:ascii="Times New Roman" w:hAnsi="Times New Roman" w:eastAsia="宋体" w:cs="宋体"/>
          <w:sz w:val="24"/>
          <w:lang w:eastAsia="zh-CN"/>
        </w:rPr>
        <w:t>内容</w:t>
      </w:r>
      <w:r>
        <w:rPr>
          <w:rFonts w:ascii="Times New Roman" w:hAnsi="Times New Roman" w:eastAsia="宋体" w:cs="宋体"/>
          <w:sz w:val="24"/>
          <w:lang w:eastAsia="zh-CN"/>
        </w:rPr>
        <w:t>要求文件的补充。还应参考21 CFR 807.87和FDA指南《</w:t>
      </w:r>
      <w:r>
        <w:fldChar w:fldCharType="begin"/>
      </w:r>
      <w:r>
        <w:rPr>
          <w:lang w:eastAsia="zh-CN"/>
        </w:rPr>
        <w:instrText xml:space="preserve"> HYPERLINK "https://www.fda.gov/regulatory-information/search-fda-guidance-documents/format-traditional-and-abbreviated-510ks-guidance-industry-and-fda-" \h </w:instrText>
      </w:r>
      <w:r>
        <w:fldChar w:fldCharType="separate"/>
      </w:r>
      <w:r>
        <w:rPr>
          <w:rFonts w:ascii="Times New Roman" w:hAnsi="Times New Roman" w:eastAsia="宋体" w:cs="宋体"/>
          <w:snapToGrid w:val="0"/>
          <w:color w:val="0000FF"/>
          <w:sz w:val="24"/>
          <w:szCs w:val="24"/>
          <w:u w:val="single" w:color="0000FF"/>
          <w:lang w:eastAsia="zh-CN"/>
        </w:rPr>
        <w:t>传统和简化510(k)的格式</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color w:val="000000"/>
          <w:sz w:val="24"/>
          <w:lang w:eastAsia="zh-CN"/>
        </w:rPr>
        <w:t>”</w:t>
      </w:r>
      <w:r>
        <w:fldChar w:fldCharType="begin"/>
      </w:r>
      <w:r>
        <w:rPr>
          <w:lang w:eastAsia="zh-CN"/>
        </w:rPr>
        <w:instrText xml:space="preserve"> HYPERLINK \l "_bookmark5" </w:instrText>
      </w:r>
      <w:r>
        <w:fldChar w:fldCharType="separate"/>
      </w:r>
      <w:r>
        <w:rPr>
          <w:rFonts w:ascii="Times New Roman" w:hAnsi="Times New Roman" w:eastAsia="宋体" w:cs="宋体"/>
          <w:snapToGrid w:val="0"/>
          <w:color w:val="000000"/>
          <w:sz w:val="24"/>
          <w:szCs w:val="24"/>
          <w:vertAlign w:val="superscript"/>
          <w:lang w:eastAsia="zh-CN"/>
        </w:rPr>
        <w:t>2</w:t>
      </w:r>
      <w:r>
        <w:rPr>
          <w:rFonts w:ascii="Times New Roman" w:hAnsi="Times New Roman" w:eastAsia="宋体" w:cs="宋体"/>
          <w:snapToGrid w:val="0"/>
          <w:color w:val="000000"/>
          <w:sz w:val="24"/>
          <w:szCs w:val="24"/>
          <w:vertAlign w:val="superscript"/>
          <w:lang w:eastAsia="zh-CN"/>
        </w:rPr>
        <w:fldChar w:fldCharType="end"/>
      </w:r>
    </w:p>
    <w:p w14:paraId="578F5280">
      <w:pPr>
        <w:tabs>
          <w:tab w:val="left" w:pos="83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FDA指南文件，包括本指南在内，不具有法律强制责任。相反，本指南表明了本机构目前关于该主题的思考，除非引用具体的法规或法律要求，否则只应视为建议。在本机构指南中使用词语“应”是指建议或推荐进行某一事项，并非强制要求。</w:t>
      </w:r>
    </w:p>
    <w:p w14:paraId="305CD7BC">
      <w:pPr>
        <w:tabs>
          <w:tab w:val="left" w:pos="839"/>
          <w:tab w:val="left" w:pos="1559"/>
        </w:tabs>
        <w:adjustRightInd w:val="0"/>
        <w:snapToGrid w:val="0"/>
        <w:spacing w:before="120" w:beforeLines="50" w:line="300" w:lineRule="auto"/>
        <w:ind w:left="843" w:hanging="843" w:hangingChars="300"/>
        <w:jc w:val="both"/>
        <w:outlineLvl w:val="0"/>
        <w:rPr>
          <w:rFonts w:ascii="Times New Roman" w:hAnsi="Times New Roman" w:cs="Times New Roman"/>
          <w:snapToGrid w:val="0"/>
          <w:sz w:val="28"/>
          <w:szCs w:val="28"/>
          <w:lang w:eastAsia="zh-CN"/>
        </w:rPr>
      </w:pPr>
      <w:bookmarkStart w:id="1" w:name="_Toc94218303"/>
      <w:r>
        <w:rPr>
          <w:rFonts w:ascii="Times New Roman" w:hAnsi="Times New Roman" w:eastAsia="宋体" w:cs="宋体"/>
          <w:b/>
          <w:sz w:val="28"/>
          <w:lang w:eastAsia="zh-CN"/>
        </w:rPr>
        <w:t>II.</w:t>
      </w:r>
      <w:r>
        <w:rPr>
          <w:rFonts w:ascii="Times New Roman" w:hAnsi="Times New Roman" w:eastAsia="宋体" w:cs="宋体"/>
          <w:b/>
          <w:lang w:eastAsia="zh-CN"/>
        </w:rPr>
        <w:tab/>
      </w:r>
      <w:r>
        <w:rPr>
          <w:rFonts w:ascii="Times New Roman" w:hAnsi="Times New Roman" w:eastAsia="宋体" w:cs="宋体"/>
          <w:b/>
          <w:sz w:val="28"/>
          <w:lang w:eastAsia="zh-CN"/>
        </w:rPr>
        <w:t>范围</w:t>
      </w:r>
      <w:bookmarkEnd w:id="1"/>
    </w:p>
    <w:p w14:paraId="74CD1BF7">
      <w:pPr>
        <w:tabs>
          <w:tab w:val="left" w:pos="83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本文件的范围仅限于21 CFR 870.1250规定的II类PTA球囊导管</w:t>
      </w:r>
      <w:r>
        <w:rPr>
          <w:rFonts w:hint="eastAsia" w:ascii="Times New Roman" w:hAnsi="Times New Roman" w:eastAsia="宋体" w:cs="宋体"/>
          <w:sz w:val="24"/>
          <w:lang w:eastAsia="zh-CN"/>
        </w:rPr>
        <w:t>以及</w:t>
      </w:r>
      <w:r>
        <w:rPr>
          <w:rFonts w:ascii="Times New Roman" w:hAnsi="Times New Roman" w:eastAsia="宋体" w:cs="宋体"/>
          <w:sz w:val="24"/>
          <w:lang w:eastAsia="zh-CN"/>
        </w:rPr>
        <w:t>21 CFR 870.1210和21 CFR 870.1250规定的II类专用导管，产品代码如下表所示。</w:t>
      </w:r>
    </w:p>
    <w:p w14:paraId="7BB6B64F">
      <w:pPr>
        <w:tabs>
          <w:tab w:val="left" w:pos="2572"/>
        </w:tabs>
        <w:adjustRightInd w:val="0"/>
        <w:snapToGrid w:val="0"/>
        <w:spacing w:before="120" w:beforeLines="50" w:line="300" w:lineRule="auto"/>
        <w:jc w:val="center"/>
        <w:rPr>
          <w:rFonts w:ascii="Times New Roman" w:hAnsi="Times New Roman" w:cs="Times New Roman"/>
          <w:b/>
          <w:snapToGrid w:val="0"/>
          <w:sz w:val="24"/>
          <w:szCs w:val="28"/>
          <w:lang w:eastAsia="zh-CN"/>
        </w:rPr>
      </w:pPr>
      <w:r>
        <w:rPr>
          <w:rFonts w:ascii="Times New Roman" w:hAnsi="Times New Roman" w:eastAsia="宋体" w:cs="宋体"/>
          <w:b/>
          <w:sz w:val="24"/>
          <w:lang w:eastAsia="zh-CN"/>
        </w:rPr>
        <w:t>表1：本指南范围内的器械类型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1559"/>
        <w:gridCol w:w="4812"/>
      </w:tblGrid>
      <w:tr w14:paraId="7A66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tcPr>
          <w:p w14:paraId="2B7CDDFA">
            <w:pPr>
              <w:tabs>
                <w:tab w:val="left" w:pos="2572"/>
              </w:tabs>
              <w:adjustRightInd w:val="0"/>
              <w:snapToGrid w:val="0"/>
              <w:spacing w:before="36" w:beforeLines="15" w:line="276" w:lineRule="auto"/>
              <w:jc w:val="both"/>
              <w:rPr>
                <w:rFonts w:ascii="Times New Roman" w:hAnsi="Times New Roman" w:cs="Times New Roman"/>
                <w:b/>
                <w:snapToGrid w:val="0"/>
                <w:sz w:val="21"/>
                <w:szCs w:val="21"/>
                <w:lang w:eastAsia="zh-CN"/>
              </w:rPr>
            </w:pPr>
            <w:r>
              <w:rPr>
                <w:rFonts w:ascii="Times New Roman" w:hAnsi="Times New Roman" w:eastAsia="宋体" w:cs="宋体"/>
                <w:b/>
                <w:sz w:val="21"/>
              </w:rPr>
              <w:t>法规编号</w:t>
            </w:r>
          </w:p>
        </w:tc>
        <w:tc>
          <w:tcPr>
            <w:tcW w:w="1559" w:type="dxa"/>
          </w:tcPr>
          <w:p w14:paraId="705C7B3C">
            <w:pPr>
              <w:tabs>
                <w:tab w:val="left" w:pos="2572"/>
              </w:tabs>
              <w:adjustRightInd w:val="0"/>
              <w:snapToGrid w:val="0"/>
              <w:spacing w:before="36" w:beforeLines="15" w:line="276" w:lineRule="auto"/>
              <w:jc w:val="both"/>
              <w:rPr>
                <w:rFonts w:ascii="Times New Roman" w:hAnsi="Times New Roman" w:cs="Times New Roman"/>
                <w:b/>
                <w:snapToGrid w:val="0"/>
                <w:sz w:val="21"/>
                <w:szCs w:val="21"/>
                <w:lang w:eastAsia="zh-CN"/>
              </w:rPr>
            </w:pPr>
            <w:r>
              <w:rPr>
                <w:rFonts w:ascii="Times New Roman" w:hAnsi="Times New Roman" w:eastAsia="宋体" w:cs="宋体"/>
                <w:b/>
                <w:sz w:val="21"/>
              </w:rPr>
              <w:t>产品代码</w:t>
            </w:r>
          </w:p>
        </w:tc>
        <w:tc>
          <w:tcPr>
            <w:tcW w:w="4812" w:type="dxa"/>
          </w:tcPr>
          <w:p w14:paraId="26F0AE93">
            <w:pPr>
              <w:tabs>
                <w:tab w:val="left" w:pos="2572"/>
              </w:tabs>
              <w:adjustRightInd w:val="0"/>
              <w:snapToGrid w:val="0"/>
              <w:spacing w:before="36" w:beforeLines="15" w:line="276" w:lineRule="auto"/>
              <w:jc w:val="both"/>
              <w:rPr>
                <w:rFonts w:ascii="Times New Roman" w:hAnsi="Times New Roman" w:cs="Times New Roman"/>
                <w:b/>
                <w:snapToGrid w:val="0"/>
                <w:sz w:val="21"/>
                <w:szCs w:val="21"/>
                <w:lang w:eastAsia="zh-CN"/>
              </w:rPr>
            </w:pPr>
            <w:r>
              <w:rPr>
                <w:rFonts w:ascii="Times New Roman" w:hAnsi="Times New Roman" w:eastAsia="宋体" w:cs="宋体"/>
                <w:b/>
                <w:sz w:val="21"/>
              </w:rPr>
              <w:t>器械</w:t>
            </w:r>
          </w:p>
        </w:tc>
      </w:tr>
      <w:tr w14:paraId="0C28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tcPr>
          <w:p w14:paraId="374C1194">
            <w:pPr>
              <w:tabs>
                <w:tab w:val="left" w:pos="2572"/>
              </w:tabs>
              <w:adjustRightInd w:val="0"/>
              <w:snapToGrid w:val="0"/>
              <w:spacing w:before="36" w:beforeLines="15" w:line="276" w:lineRule="auto"/>
              <w:jc w:val="both"/>
              <w:rPr>
                <w:rFonts w:ascii="Times New Roman" w:hAnsi="Times New Roman" w:cs="Times New Roman"/>
                <w:b/>
                <w:snapToGrid w:val="0"/>
                <w:sz w:val="21"/>
                <w:szCs w:val="21"/>
                <w:lang w:eastAsia="zh-CN"/>
              </w:rPr>
            </w:pPr>
            <w:r>
              <w:rPr>
                <w:rFonts w:ascii="Times New Roman" w:hAnsi="Times New Roman" w:cs="Times New Roman"/>
                <w:snapToGrid w:val="0"/>
                <w:sz w:val="21"/>
                <w:szCs w:val="21"/>
              </w:rPr>
              <w:t>870.1210</w:t>
            </w:r>
          </w:p>
        </w:tc>
        <w:tc>
          <w:tcPr>
            <w:tcW w:w="1559" w:type="dxa"/>
          </w:tcPr>
          <w:p w14:paraId="7C4B3101">
            <w:pPr>
              <w:tabs>
                <w:tab w:val="left" w:pos="2572"/>
              </w:tabs>
              <w:adjustRightInd w:val="0"/>
              <w:snapToGrid w:val="0"/>
              <w:spacing w:before="36" w:beforeLines="15" w:line="276" w:lineRule="auto"/>
              <w:jc w:val="both"/>
              <w:rPr>
                <w:rFonts w:ascii="Times New Roman" w:hAnsi="Times New Roman" w:cs="Times New Roman"/>
                <w:b/>
                <w:snapToGrid w:val="0"/>
                <w:sz w:val="21"/>
                <w:szCs w:val="21"/>
                <w:lang w:eastAsia="zh-CN"/>
              </w:rPr>
            </w:pPr>
            <w:r>
              <w:rPr>
                <w:rFonts w:ascii="Times New Roman" w:hAnsi="Times New Roman" w:cs="Times New Roman"/>
                <w:snapToGrid w:val="0"/>
                <w:sz w:val="21"/>
                <w:szCs w:val="21"/>
              </w:rPr>
              <w:t>KRA</w:t>
            </w:r>
          </w:p>
        </w:tc>
        <w:tc>
          <w:tcPr>
            <w:tcW w:w="4812" w:type="dxa"/>
          </w:tcPr>
          <w:p w14:paraId="6BA3F630">
            <w:pPr>
              <w:tabs>
                <w:tab w:val="left" w:pos="2572"/>
              </w:tabs>
              <w:adjustRightInd w:val="0"/>
              <w:snapToGrid w:val="0"/>
              <w:spacing w:before="36" w:beforeLines="15" w:line="276" w:lineRule="auto"/>
              <w:jc w:val="both"/>
              <w:rPr>
                <w:rFonts w:ascii="Times New Roman" w:hAnsi="Times New Roman" w:cs="Times New Roman"/>
                <w:b/>
                <w:snapToGrid w:val="0"/>
                <w:sz w:val="21"/>
                <w:szCs w:val="21"/>
                <w:lang w:eastAsia="zh-CN"/>
              </w:rPr>
            </w:pPr>
            <w:r>
              <w:rPr>
                <w:rFonts w:ascii="Times New Roman" w:hAnsi="Times New Roman" w:eastAsia="宋体" w:cs="宋体"/>
                <w:sz w:val="21"/>
              </w:rPr>
              <w:t>连续冲洗导管</w:t>
            </w:r>
          </w:p>
        </w:tc>
      </w:tr>
      <w:tr w14:paraId="3F1A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tcPr>
          <w:p w14:paraId="063610B7">
            <w:pPr>
              <w:tabs>
                <w:tab w:val="left" w:pos="2572"/>
              </w:tabs>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870.1250</w:t>
            </w:r>
          </w:p>
        </w:tc>
        <w:tc>
          <w:tcPr>
            <w:tcW w:w="1559" w:type="dxa"/>
          </w:tcPr>
          <w:p w14:paraId="632BF02E">
            <w:pPr>
              <w:tabs>
                <w:tab w:val="left" w:pos="2572"/>
              </w:tabs>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DQY</w:t>
            </w:r>
          </w:p>
        </w:tc>
        <w:tc>
          <w:tcPr>
            <w:tcW w:w="4812" w:type="dxa"/>
          </w:tcPr>
          <w:p w14:paraId="27A9FB4A">
            <w:pPr>
              <w:tabs>
                <w:tab w:val="left" w:pos="2572"/>
              </w:tabs>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经皮导管</w:t>
            </w:r>
          </w:p>
        </w:tc>
      </w:tr>
      <w:tr w14:paraId="659B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tcPr>
          <w:p w14:paraId="665443FE">
            <w:pPr>
              <w:tabs>
                <w:tab w:val="left" w:pos="2572"/>
              </w:tabs>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870.1250</w:t>
            </w:r>
          </w:p>
        </w:tc>
        <w:tc>
          <w:tcPr>
            <w:tcW w:w="1559" w:type="dxa"/>
          </w:tcPr>
          <w:p w14:paraId="49C14ED3">
            <w:pPr>
              <w:tabs>
                <w:tab w:val="left" w:pos="2572"/>
              </w:tabs>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LIT</w:t>
            </w:r>
          </w:p>
        </w:tc>
        <w:tc>
          <w:tcPr>
            <w:tcW w:w="4812" w:type="dxa"/>
          </w:tcPr>
          <w:p w14:paraId="17F9CF8B">
            <w:pPr>
              <w:tabs>
                <w:tab w:val="left" w:pos="2572"/>
              </w:tabs>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外周血管成形术导管</w:t>
            </w:r>
          </w:p>
        </w:tc>
      </w:tr>
      <w:tr w14:paraId="5080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tcPr>
          <w:p w14:paraId="24467E46">
            <w:pPr>
              <w:tabs>
                <w:tab w:val="left" w:pos="2572"/>
              </w:tabs>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870.1250</w:t>
            </w:r>
          </w:p>
        </w:tc>
        <w:tc>
          <w:tcPr>
            <w:tcW w:w="1559" w:type="dxa"/>
          </w:tcPr>
          <w:p w14:paraId="3F6716E6">
            <w:pPr>
              <w:tabs>
                <w:tab w:val="left" w:pos="2572"/>
              </w:tabs>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PNO</w:t>
            </w:r>
          </w:p>
        </w:tc>
        <w:tc>
          <w:tcPr>
            <w:tcW w:w="4812" w:type="dxa"/>
          </w:tcPr>
          <w:p w14:paraId="70E65CBA">
            <w:pPr>
              <w:tabs>
                <w:tab w:val="left" w:pos="2572"/>
              </w:tabs>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经皮切割/刻痕导管</w:t>
            </w:r>
          </w:p>
        </w:tc>
      </w:tr>
    </w:tbl>
    <w:p w14:paraId="659714B6">
      <w:pPr>
        <w:tabs>
          <w:tab w:val="left" w:pos="83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中，PTA球囊导管是指标准外周血管成形术球囊导管。专用导管可包括但不限于以下510(k)器械：输液导管、具有独特设计特征（如切割/刻痕）的球囊导管以及专用于特定适应症（如ISR、支架后扩张）的球囊导管。</w:t>
      </w:r>
    </w:p>
    <w:p w14:paraId="700274AA">
      <w:pPr>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lang w:eastAsia="zh-CN"/>
        </w:rPr>
      </w:pPr>
      <w:bookmarkStart w:id="2" w:name="_Toc94218304"/>
      <w:r>
        <w:rPr>
          <w:rFonts w:ascii="Times New Roman" w:hAnsi="Times New Roman" w:eastAsia="宋体" w:cs="宋体"/>
          <w:b/>
          <w:sz w:val="28"/>
          <w:lang w:eastAsia="zh-CN"/>
        </w:rPr>
        <w:t>III.</w:t>
      </w:r>
      <w:r>
        <w:rPr>
          <w:rFonts w:ascii="Times New Roman" w:hAnsi="Times New Roman" w:eastAsia="宋体" w:cs="宋体"/>
          <w:b/>
          <w:lang w:eastAsia="zh-CN"/>
        </w:rPr>
        <w:tab/>
      </w:r>
      <w:r>
        <w:rPr>
          <w:rFonts w:ascii="Times New Roman" w:hAnsi="Times New Roman" w:eastAsia="宋体" w:cs="宋体"/>
          <w:b/>
          <w:sz w:val="28"/>
          <w:lang w:eastAsia="zh-CN"/>
        </w:rPr>
        <w:t>上市前提交建议</w:t>
      </w:r>
      <w:bookmarkEnd w:id="2"/>
    </w:p>
    <w:p w14:paraId="294282D6">
      <w:pPr>
        <w:adjustRightInd w:val="0"/>
        <w:snapToGrid w:val="0"/>
        <w:spacing w:before="120" w:beforeLines="50" w:line="300" w:lineRule="auto"/>
        <w:ind w:left="1723" w:leftChars="400" w:hanging="843" w:hangingChars="300"/>
        <w:jc w:val="both"/>
        <w:outlineLvl w:val="1"/>
        <w:rPr>
          <w:rFonts w:ascii="Times New Roman" w:hAnsi="Times New Roman" w:cs="Times New Roman"/>
          <w:b/>
          <w:bCs/>
          <w:snapToGrid w:val="0"/>
          <w:sz w:val="28"/>
          <w:szCs w:val="28"/>
          <w:lang w:eastAsia="zh-CN"/>
        </w:rPr>
      </w:pPr>
      <w:bookmarkStart w:id="3" w:name="_Toc94218305"/>
      <w:r>
        <w:rPr>
          <w:rFonts w:ascii="Times New Roman" w:hAnsi="Times New Roman" w:eastAsia="宋体" w:cs="宋体"/>
          <w:b/>
          <w:sz w:val="28"/>
          <w:lang w:eastAsia="zh-CN"/>
        </w:rPr>
        <w:t>A.</w:t>
      </w:r>
      <w:r>
        <w:rPr>
          <w:rFonts w:ascii="Times New Roman" w:hAnsi="Times New Roman" w:eastAsia="宋体" w:cs="宋体"/>
          <w:b/>
          <w:lang w:eastAsia="zh-CN"/>
        </w:rPr>
        <w:tab/>
      </w:r>
      <w:r>
        <w:rPr>
          <w:rFonts w:ascii="Times New Roman" w:hAnsi="Times New Roman" w:eastAsia="宋体" w:cs="宋体"/>
          <w:b/>
          <w:sz w:val="28"/>
          <w:lang w:eastAsia="zh-CN"/>
        </w:rPr>
        <w:t>器械描述</w:t>
      </w:r>
      <w:bookmarkEnd w:id="3"/>
    </w:p>
    <w:p w14:paraId="77A226E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建议通过</w:t>
      </w:r>
      <w:r>
        <w:rPr>
          <w:rFonts w:hint="eastAsia" w:ascii="Times New Roman" w:hAnsi="Times New Roman" w:eastAsia="宋体" w:cs="宋体"/>
          <w:sz w:val="24"/>
          <w:lang w:eastAsia="zh-CN"/>
        </w:rPr>
        <w:t>上文</w:t>
      </w:r>
      <w:r>
        <w:rPr>
          <w:rFonts w:ascii="Times New Roman" w:hAnsi="Times New Roman" w:eastAsia="宋体" w:cs="宋体"/>
          <w:sz w:val="24"/>
          <w:lang w:eastAsia="zh-CN"/>
        </w:rPr>
        <w:t>第II节</w:t>
      </w:r>
      <w:r>
        <w:rPr>
          <w:rFonts w:hint="eastAsia" w:ascii="Times New Roman" w:hAnsi="Times New Roman" w:eastAsia="宋体" w:cs="宋体"/>
          <w:sz w:val="24"/>
          <w:lang w:eastAsia="zh-CN"/>
        </w:rPr>
        <w:t>所示</w:t>
      </w:r>
      <w:r>
        <w:rPr>
          <w:rFonts w:ascii="Times New Roman" w:hAnsi="Times New Roman" w:eastAsia="宋体" w:cs="宋体"/>
          <w:sz w:val="24"/>
          <w:lang w:eastAsia="zh-CN"/>
        </w:rPr>
        <w:t>的适用</w:t>
      </w:r>
      <w:r>
        <w:rPr>
          <w:rFonts w:hint="eastAsia" w:ascii="Times New Roman" w:hAnsi="Times New Roman" w:eastAsia="宋体" w:cs="宋体"/>
          <w:sz w:val="24"/>
          <w:lang w:eastAsia="zh-CN"/>
        </w:rPr>
        <w:t>法规</w:t>
      </w:r>
      <w:r>
        <w:rPr>
          <w:rFonts w:ascii="Times New Roman" w:hAnsi="Times New Roman" w:eastAsia="宋体" w:cs="宋体"/>
          <w:sz w:val="24"/>
          <w:lang w:eastAsia="zh-CN"/>
        </w:rPr>
        <w:t>编号和产品代号以及</w:t>
      </w:r>
      <w:r>
        <w:rPr>
          <w:rFonts w:hint="eastAsia" w:ascii="Times New Roman" w:hAnsi="Times New Roman" w:eastAsia="宋体" w:cs="宋体"/>
          <w:sz w:val="24"/>
          <w:lang w:eastAsia="zh-CN"/>
        </w:rPr>
        <w:t>下文</w:t>
      </w:r>
      <w:r>
        <w:rPr>
          <w:rFonts w:ascii="Times New Roman" w:hAnsi="Times New Roman" w:eastAsia="宋体" w:cs="宋体"/>
          <w:sz w:val="24"/>
          <w:lang w:eastAsia="zh-CN"/>
        </w:rPr>
        <w:t>所述的信息</w:t>
      </w:r>
      <w:r>
        <w:rPr>
          <w:rFonts w:hint="eastAsia" w:ascii="Times New Roman" w:hAnsi="Times New Roman" w:eastAsia="宋体" w:cs="宋体"/>
          <w:sz w:val="24"/>
          <w:lang w:eastAsia="zh-CN"/>
        </w:rPr>
        <w:t>标识</w:t>
      </w:r>
      <w:r>
        <w:rPr>
          <w:rFonts w:ascii="Times New Roman" w:hAnsi="Times New Roman" w:eastAsia="宋体" w:cs="宋体"/>
          <w:sz w:val="24"/>
          <w:lang w:eastAsia="zh-CN"/>
        </w:rPr>
        <w:t>器械。</w:t>
      </w:r>
    </w:p>
    <w:p w14:paraId="22BC547A">
      <w:pPr>
        <w:numPr>
          <w:ilvl w:val="0"/>
          <w:numId w:val="1"/>
        </w:numPr>
        <w:adjustRightInd w:val="0"/>
        <w:snapToGrid w:val="0"/>
        <w:spacing w:before="120" w:beforeLines="50" w:line="300" w:lineRule="auto"/>
        <w:ind w:left="922" w:leftChars="200" w:hanging="482" w:hangingChars="2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器械组件和操作模式</w:t>
      </w:r>
      <w:r>
        <w:rPr>
          <w:rFonts w:ascii="Times New Roman" w:hAnsi="Times New Roman" w:eastAsia="宋体" w:cs="宋体"/>
          <w:sz w:val="24"/>
          <w:lang w:eastAsia="zh-CN"/>
        </w:rPr>
        <w:t>：FDA建议标明上市前</w:t>
      </w:r>
      <w:r>
        <w:rPr>
          <w:rFonts w:hint="eastAsia" w:ascii="Times New Roman" w:hAnsi="Times New Roman" w:eastAsia="宋体" w:cs="宋体"/>
          <w:sz w:val="24"/>
          <w:lang w:eastAsia="zh-CN"/>
        </w:rPr>
        <w:t>提交文件</w:t>
      </w:r>
      <w:r>
        <w:rPr>
          <w:rFonts w:ascii="Times New Roman" w:hAnsi="Times New Roman" w:eastAsia="宋体" w:cs="宋体"/>
          <w:sz w:val="24"/>
          <w:lang w:eastAsia="zh-CN"/>
        </w:rPr>
        <w:t>中所列的所有组件和附件（包括包装），并明确说明如何使用器械实现预期用途。</w:t>
      </w:r>
    </w:p>
    <w:p w14:paraId="2E0181E5">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AE1032A">
      <w:pPr>
        <w:adjustRightInd w:val="0"/>
        <w:snapToGrid w:val="0"/>
        <w:spacing w:before="1080" w:beforeLines="4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w:t>
      </w:r>
    </w:p>
    <w:p w14:paraId="754314FB">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https://</w:t>
      </w:r>
      <w:r>
        <w:fldChar w:fldCharType="begin"/>
      </w:r>
      <w:r>
        <w:instrText xml:space="preserve"> HYPERLINK "http://www.fda.gov/regulatory-information/search-fda-guidance-documents/format-traditional-and-abbreviated-" \h </w:instrText>
      </w:r>
      <w:r>
        <w:fldChar w:fldCharType="separate"/>
      </w:r>
      <w:r>
        <w:rPr>
          <w:rFonts w:ascii="Times New Roman" w:hAnsi="Times New Roman" w:eastAsia="宋体" w:cs="宋体"/>
          <w:snapToGrid w:val="0"/>
          <w:color w:val="0000FF"/>
          <w:sz w:val="21"/>
          <w:szCs w:val="21"/>
          <w:u w:val="single" w:color="0000FF"/>
        </w:rPr>
        <w:t>www.fda.gov/regulatory-information/search-fda-guidance-documents/format-traditional-and-abbreviated-</w:t>
      </w:r>
      <w:r>
        <w:rPr>
          <w:rFonts w:ascii="Times New Roman" w:hAnsi="Times New Roman" w:eastAsia="宋体" w:cs="宋体"/>
          <w:snapToGrid w:val="0"/>
          <w:color w:val="0000FF"/>
          <w:sz w:val="21"/>
          <w:szCs w:val="21"/>
          <w:u w:val="single" w:color="0000FF"/>
        </w:rPr>
        <w:fldChar w:fldCharType="end"/>
      </w:r>
      <w:r>
        <w:rPr>
          <w:sz w:val="21"/>
        </w:rPr>
        <w:t xml:space="preserve"> </w:t>
      </w:r>
      <w:r>
        <w:rPr>
          <w:rFonts w:ascii="Times New Roman" w:hAnsi="Times New Roman" w:eastAsia="宋体" w:cs="宋体"/>
          <w:snapToGrid w:val="0"/>
          <w:color w:val="0000FF"/>
          <w:sz w:val="21"/>
          <w:szCs w:val="21"/>
          <w:u w:val="single" w:color="0000FF"/>
        </w:rPr>
        <w:t>510ks-guidance-industry-and-fda-</w:t>
      </w:r>
      <w:r>
        <w:rPr>
          <w:sz w:val="21"/>
        </w:rPr>
        <w:br w:type="page"/>
      </w:r>
    </w:p>
    <w:p w14:paraId="2988E043">
      <w:pPr>
        <w:numPr>
          <w:ilvl w:val="0"/>
          <w:numId w:val="1"/>
        </w:numPr>
        <w:tabs>
          <w:tab w:val="left" w:pos="479"/>
        </w:tabs>
        <w:adjustRightInd w:val="0"/>
        <w:snapToGrid w:val="0"/>
        <w:spacing w:before="120" w:beforeLines="50" w:line="300" w:lineRule="auto"/>
        <w:ind w:left="922" w:leftChars="200" w:hanging="482" w:hangingChars="2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器械的照片和工程图</w:t>
      </w:r>
      <w:r>
        <w:rPr>
          <w:rFonts w:ascii="Times New Roman" w:hAnsi="Times New Roman" w:eastAsia="宋体" w:cs="宋体"/>
          <w:sz w:val="24"/>
          <w:lang w:eastAsia="zh-CN"/>
        </w:rPr>
        <w:t>：FDA建议提供器械的照片以及标有所有尺寸、公差和组件的工程图。FDA建议在上市前申请的每个器械、附件或组件中都包含此信息。</w:t>
      </w:r>
    </w:p>
    <w:p w14:paraId="03104695">
      <w:pPr>
        <w:numPr>
          <w:ilvl w:val="0"/>
          <w:numId w:val="1"/>
        </w:numPr>
        <w:tabs>
          <w:tab w:val="left" w:pos="479"/>
        </w:tabs>
        <w:adjustRightInd w:val="0"/>
        <w:snapToGrid w:val="0"/>
        <w:spacing w:before="120" w:beforeLines="50" w:line="300" w:lineRule="auto"/>
        <w:ind w:left="922" w:leftChars="200" w:hanging="482" w:hangingChars="200"/>
        <w:jc w:val="both"/>
        <w:rPr>
          <w:rFonts w:ascii="Times New Roman" w:hAnsi="Times New Roman" w:cs="Times New Roman"/>
          <w:snapToGrid w:val="0"/>
          <w:sz w:val="24"/>
          <w:szCs w:val="24"/>
        </w:rPr>
      </w:pPr>
      <w:r>
        <w:rPr>
          <w:rFonts w:ascii="Times New Roman" w:hAnsi="Times New Roman" w:eastAsia="宋体" w:cs="宋体"/>
          <w:b/>
          <w:sz w:val="24"/>
          <w:lang w:eastAsia="zh-CN"/>
        </w:rPr>
        <w:t>技术特征：</w:t>
      </w:r>
      <w:r>
        <w:rPr>
          <w:rFonts w:ascii="Times New Roman" w:hAnsi="Times New Roman" w:eastAsia="宋体" w:cs="宋体"/>
          <w:sz w:val="24"/>
          <w:lang w:eastAsia="zh-CN"/>
        </w:rPr>
        <w:t>FDA建议描述技术和性能规范，并在上市前申请文件的器械描述部分简要说明器械设计要求。规范可能包括与性能相关的产品测量公差、操作限制以及器械的任何其他功能、物理和环境规范。</w:t>
      </w:r>
      <w:r>
        <w:rPr>
          <w:rFonts w:ascii="Times New Roman" w:hAnsi="Times New Roman" w:eastAsia="宋体" w:cs="宋体"/>
          <w:sz w:val="24"/>
        </w:rPr>
        <w:t>本机构也建议描述规范的范围和/或准确性。</w:t>
      </w:r>
    </w:p>
    <w:p w14:paraId="2270663F">
      <w:pPr>
        <w:numPr>
          <w:ilvl w:val="0"/>
          <w:numId w:val="1"/>
        </w:numPr>
        <w:tabs>
          <w:tab w:val="left" w:pos="479"/>
        </w:tabs>
        <w:adjustRightInd w:val="0"/>
        <w:snapToGrid w:val="0"/>
        <w:spacing w:before="120" w:beforeLines="50" w:line="300" w:lineRule="auto"/>
        <w:ind w:left="922" w:leftChars="200" w:hanging="482" w:hangingChars="2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材料：</w:t>
      </w:r>
      <w:r>
        <w:rPr>
          <w:rFonts w:ascii="Times New Roman" w:hAnsi="Times New Roman" w:eastAsia="宋体" w:cs="宋体"/>
          <w:sz w:val="24"/>
          <w:lang w:eastAsia="zh-CN"/>
        </w:rPr>
        <w:t>FDA建议提供所有组件的列表、它们各自的成分材料以及它们与患者接触的分类（例如，无接触、间接接触或直接接触）。对于每个组件，应标识组件构造的通用材质和唯一的材质标识符。</w:t>
      </w:r>
    </w:p>
    <w:p w14:paraId="4D0F477E">
      <w:pPr>
        <w:numPr>
          <w:ilvl w:val="1"/>
          <w:numId w:val="1"/>
        </w:numPr>
        <w:adjustRightInd w:val="0"/>
        <w:snapToGrid w:val="0"/>
        <w:spacing w:before="120" w:beforeLines="50" w:line="300" w:lineRule="auto"/>
        <w:ind w:left="1723" w:leftChars="400" w:hanging="843" w:hangingChars="300"/>
        <w:jc w:val="both"/>
        <w:outlineLvl w:val="1"/>
        <w:rPr>
          <w:rFonts w:ascii="Times New Roman" w:hAnsi="Times New Roman" w:cs="Times New Roman"/>
          <w:b/>
          <w:bCs/>
          <w:snapToGrid w:val="0"/>
          <w:sz w:val="28"/>
          <w:szCs w:val="28"/>
        </w:rPr>
      </w:pPr>
      <w:bookmarkStart w:id="4" w:name="_Toc94218306"/>
      <w:r>
        <w:rPr>
          <w:rFonts w:hint="eastAsia" w:ascii="Times New Roman" w:hAnsi="Times New Roman" w:eastAsia="宋体" w:cs="宋体"/>
          <w:b/>
          <w:sz w:val="28"/>
          <w:lang w:eastAsia="zh-CN"/>
        </w:rPr>
        <w:t>同品种器械</w:t>
      </w:r>
      <w:r>
        <w:rPr>
          <w:rFonts w:ascii="Times New Roman" w:hAnsi="Times New Roman" w:eastAsia="宋体" w:cs="宋体"/>
          <w:b/>
          <w:sz w:val="28"/>
        </w:rPr>
        <w:t>对比</w:t>
      </w:r>
      <w:bookmarkEnd w:id="4"/>
    </w:p>
    <w:p w14:paraId="5E369DF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对于根据510(k)程序审查的器械，制造商必须将其新器械与类似的合法上市同品种器械进行比较，以支持其实质等同性（21 U.S.C.360c(i); 21 CFR 807.87(f)）。该比较应提供信息，以显示</w:t>
      </w:r>
      <w:r>
        <w:rPr>
          <w:rFonts w:hint="eastAsia" w:ascii="Times New Roman" w:hAnsi="Times New Roman" w:eastAsia="宋体" w:cs="宋体"/>
          <w:sz w:val="24"/>
          <w:lang w:eastAsia="zh-CN"/>
        </w:rPr>
        <w:t>您的</w:t>
      </w:r>
      <w:r>
        <w:rPr>
          <w:rFonts w:ascii="Times New Roman" w:hAnsi="Times New Roman" w:eastAsia="宋体" w:cs="宋体"/>
          <w:sz w:val="24"/>
          <w:lang w:eastAsia="zh-CN"/>
        </w:rPr>
        <w:t>器械与</w:t>
      </w:r>
      <w:r>
        <w:rPr>
          <w:rFonts w:hint="eastAsia" w:ascii="Times New Roman" w:hAnsi="Times New Roman" w:eastAsia="宋体" w:cs="宋体"/>
          <w:sz w:val="24"/>
          <w:lang w:eastAsia="zh-CN"/>
        </w:rPr>
        <w:t>同品种</w:t>
      </w:r>
      <w:r>
        <w:rPr>
          <w:rFonts w:ascii="Times New Roman" w:hAnsi="Times New Roman" w:eastAsia="宋体" w:cs="宋体"/>
          <w:sz w:val="24"/>
          <w:lang w:eastAsia="zh-CN"/>
        </w:rPr>
        <w:t>器械的相似性和差异性。在可行条件下，尽可能进行并行对比。有关如何组织此信息的示例，请参见下文。本表不打算展示详尽的比较参数表；请确保提供上述“器械描述”章节中概述的所有相关器械描述特征。</w:t>
      </w:r>
    </w:p>
    <w:tbl>
      <w:tblPr>
        <w:tblStyle w:val="8"/>
        <w:tblW w:w="4684" w:type="pct"/>
        <w:jc w:val="center"/>
        <w:tblLayout w:type="autofit"/>
        <w:tblCellMar>
          <w:top w:w="0" w:type="dxa"/>
          <w:left w:w="108" w:type="dxa"/>
          <w:bottom w:w="0" w:type="dxa"/>
          <w:right w:w="108" w:type="dxa"/>
        </w:tblCellMar>
      </w:tblPr>
      <w:tblGrid>
        <w:gridCol w:w="2847"/>
        <w:gridCol w:w="2697"/>
        <w:gridCol w:w="3156"/>
      </w:tblGrid>
      <w:tr w14:paraId="692ABAF2">
        <w:tblPrEx>
          <w:tblCellMar>
            <w:top w:w="0" w:type="dxa"/>
            <w:left w:w="108" w:type="dxa"/>
            <w:bottom w:w="0" w:type="dxa"/>
            <w:right w:w="108" w:type="dxa"/>
          </w:tblCellMar>
        </w:tblPrEx>
        <w:trPr>
          <w:trHeight w:val="304"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7057DE5B">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描述</w:t>
            </w:r>
          </w:p>
        </w:tc>
        <w:tc>
          <w:tcPr>
            <w:tcW w:w="1550" w:type="pct"/>
            <w:tcBorders>
              <w:top w:val="single" w:color="000000" w:sz="4" w:space="0"/>
              <w:left w:val="single" w:color="000000" w:sz="4" w:space="0"/>
              <w:bottom w:val="single" w:color="000000" w:sz="4" w:space="0"/>
              <w:right w:val="single" w:color="000000" w:sz="4" w:space="0"/>
            </w:tcBorders>
          </w:tcPr>
          <w:p w14:paraId="75FA3507">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申报器械</w:t>
            </w:r>
          </w:p>
        </w:tc>
        <w:tc>
          <w:tcPr>
            <w:tcW w:w="1814" w:type="pct"/>
            <w:tcBorders>
              <w:top w:val="single" w:color="000000" w:sz="4" w:space="0"/>
              <w:left w:val="single" w:color="000000" w:sz="4" w:space="0"/>
              <w:bottom w:val="single" w:color="000000" w:sz="4" w:space="0"/>
              <w:right w:val="single" w:color="000000" w:sz="4" w:space="0"/>
            </w:tcBorders>
          </w:tcPr>
          <w:p w14:paraId="1AD14402">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同品种器械（Kxxxxxx）</w:t>
            </w:r>
          </w:p>
        </w:tc>
      </w:tr>
      <w:tr w14:paraId="7FBE105B">
        <w:tblPrEx>
          <w:tblCellMar>
            <w:top w:w="0" w:type="dxa"/>
            <w:left w:w="108" w:type="dxa"/>
            <w:bottom w:w="0" w:type="dxa"/>
            <w:right w:w="108" w:type="dxa"/>
          </w:tblCellMar>
        </w:tblPrEx>
        <w:trPr>
          <w:trHeight w:val="319"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2752B4ED">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适</w:t>
            </w:r>
            <w:r>
              <w:rPr>
                <w:rFonts w:hint="eastAsia" w:ascii="Times New Roman" w:hAnsi="Times New Roman" w:eastAsia="宋体" w:cs="宋体"/>
                <w:sz w:val="21"/>
                <w:lang w:eastAsia="zh-CN"/>
              </w:rPr>
              <w:t>用范围</w:t>
            </w:r>
          </w:p>
        </w:tc>
        <w:tc>
          <w:tcPr>
            <w:tcW w:w="1550" w:type="pct"/>
            <w:tcBorders>
              <w:top w:val="single" w:color="000000" w:sz="4" w:space="0"/>
              <w:left w:val="single" w:color="000000" w:sz="4" w:space="0"/>
              <w:bottom w:val="single" w:color="000000" w:sz="4" w:space="0"/>
              <w:right w:val="single" w:color="000000" w:sz="4" w:space="0"/>
            </w:tcBorders>
          </w:tcPr>
          <w:p w14:paraId="2AF3A7DD">
            <w:pPr>
              <w:adjustRightInd w:val="0"/>
              <w:snapToGrid w:val="0"/>
              <w:spacing w:before="36" w:beforeLines="15" w:line="276" w:lineRule="auto"/>
              <w:jc w:val="both"/>
              <w:rPr>
                <w:rFonts w:ascii="Times New Roman" w:hAnsi="Times New Roman" w:cs="Times New Roman"/>
                <w:snapToGrid w:val="0"/>
                <w:sz w:val="21"/>
                <w:szCs w:val="21"/>
              </w:rPr>
            </w:pPr>
          </w:p>
        </w:tc>
        <w:tc>
          <w:tcPr>
            <w:tcW w:w="1814" w:type="pct"/>
            <w:tcBorders>
              <w:top w:val="single" w:color="000000" w:sz="4" w:space="0"/>
              <w:left w:val="single" w:color="000000" w:sz="4" w:space="0"/>
              <w:bottom w:val="single" w:color="000000" w:sz="4" w:space="0"/>
              <w:right w:val="single" w:color="000000" w:sz="4" w:space="0"/>
            </w:tcBorders>
          </w:tcPr>
          <w:p w14:paraId="607B92DD">
            <w:pPr>
              <w:adjustRightInd w:val="0"/>
              <w:snapToGrid w:val="0"/>
              <w:spacing w:before="36" w:beforeLines="15" w:line="276" w:lineRule="auto"/>
              <w:jc w:val="both"/>
              <w:rPr>
                <w:rFonts w:ascii="Times New Roman" w:hAnsi="Times New Roman" w:cs="Times New Roman"/>
                <w:snapToGrid w:val="0"/>
                <w:sz w:val="21"/>
                <w:szCs w:val="21"/>
              </w:rPr>
            </w:pPr>
          </w:p>
        </w:tc>
      </w:tr>
      <w:tr w14:paraId="1CAEC316">
        <w:tblPrEx>
          <w:tblCellMar>
            <w:top w:w="0" w:type="dxa"/>
            <w:left w:w="108" w:type="dxa"/>
            <w:bottom w:w="0" w:type="dxa"/>
            <w:right w:w="108" w:type="dxa"/>
          </w:tblCellMar>
        </w:tblPrEx>
        <w:trPr>
          <w:trHeight w:val="319"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39867EBA">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导丝相容性</w:t>
            </w:r>
          </w:p>
        </w:tc>
        <w:tc>
          <w:tcPr>
            <w:tcW w:w="1550" w:type="pct"/>
            <w:tcBorders>
              <w:top w:val="single" w:color="000000" w:sz="4" w:space="0"/>
              <w:left w:val="single" w:color="000000" w:sz="4" w:space="0"/>
              <w:bottom w:val="single" w:color="000000" w:sz="4" w:space="0"/>
              <w:right w:val="single" w:color="000000" w:sz="4" w:space="0"/>
            </w:tcBorders>
          </w:tcPr>
          <w:p w14:paraId="77B86F39">
            <w:pPr>
              <w:adjustRightInd w:val="0"/>
              <w:snapToGrid w:val="0"/>
              <w:spacing w:before="36" w:beforeLines="15" w:line="276" w:lineRule="auto"/>
              <w:jc w:val="both"/>
              <w:rPr>
                <w:rFonts w:ascii="Times New Roman" w:hAnsi="Times New Roman" w:cs="Times New Roman"/>
                <w:snapToGrid w:val="0"/>
                <w:sz w:val="21"/>
                <w:szCs w:val="21"/>
              </w:rPr>
            </w:pPr>
          </w:p>
        </w:tc>
        <w:tc>
          <w:tcPr>
            <w:tcW w:w="1814" w:type="pct"/>
            <w:tcBorders>
              <w:top w:val="single" w:color="000000" w:sz="4" w:space="0"/>
              <w:left w:val="single" w:color="000000" w:sz="4" w:space="0"/>
              <w:bottom w:val="single" w:color="000000" w:sz="4" w:space="0"/>
              <w:right w:val="single" w:color="000000" w:sz="4" w:space="0"/>
            </w:tcBorders>
          </w:tcPr>
          <w:p w14:paraId="798FCCBF">
            <w:pPr>
              <w:adjustRightInd w:val="0"/>
              <w:snapToGrid w:val="0"/>
              <w:spacing w:before="36" w:beforeLines="15" w:line="276" w:lineRule="auto"/>
              <w:jc w:val="both"/>
              <w:rPr>
                <w:rFonts w:ascii="Times New Roman" w:hAnsi="Times New Roman" w:cs="Times New Roman"/>
                <w:snapToGrid w:val="0"/>
                <w:sz w:val="21"/>
                <w:szCs w:val="21"/>
              </w:rPr>
            </w:pPr>
          </w:p>
        </w:tc>
      </w:tr>
      <w:tr w14:paraId="58FB66D1">
        <w:tblPrEx>
          <w:tblCellMar>
            <w:top w:w="0" w:type="dxa"/>
            <w:left w:w="108" w:type="dxa"/>
            <w:bottom w:w="0" w:type="dxa"/>
            <w:right w:w="108" w:type="dxa"/>
          </w:tblCellMar>
        </w:tblPrEx>
        <w:trPr>
          <w:trHeight w:val="319"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777ED4AB">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鞘管相容性</w:t>
            </w:r>
          </w:p>
        </w:tc>
        <w:tc>
          <w:tcPr>
            <w:tcW w:w="1550" w:type="pct"/>
            <w:tcBorders>
              <w:top w:val="single" w:color="000000" w:sz="4" w:space="0"/>
              <w:left w:val="single" w:color="000000" w:sz="4" w:space="0"/>
              <w:bottom w:val="single" w:color="000000" w:sz="4" w:space="0"/>
              <w:right w:val="single" w:color="000000" w:sz="4" w:space="0"/>
            </w:tcBorders>
          </w:tcPr>
          <w:p w14:paraId="57B18E5E">
            <w:pPr>
              <w:adjustRightInd w:val="0"/>
              <w:snapToGrid w:val="0"/>
              <w:spacing w:before="36" w:beforeLines="15" w:line="276" w:lineRule="auto"/>
              <w:jc w:val="both"/>
              <w:rPr>
                <w:rFonts w:ascii="Times New Roman" w:hAnsi="Times New Roman" w:cs="Times New Roman"/>
                <w:snapToGrid w:val="0"/>
                <w:sz w:val="21"/>
                <w:szCs w:val="21"/>
              </w:rPr>
            </w:pPr>
          </w:p>
        </w:tc>
        <w:tc>
          <w:tcPr>
            <w:tcW w:w="1814" w:type="pct"/>
            <w:tcBorders>
              <w:top w:val="single" w:color="000000" w:sz="4" w:space="0"/>
              <w:left w:val="single" w:color="000000" w:sz="4" w:space="0"/>
              <w:bottom w:val="single" w:color="000000" w:sz="4" w:space="0"/>
              <w:right w:val="single" w:color="000000" w:sz="4" w:space="0"/>
            </w:tcBorders>
          </w:tcPr>
          <w:p w14:paraId="51AF9BDE">
            <w:pPr>
              <w:adjustRightInd w:val="0"/>
              <w:snapToGrid w:val="0"/>
              <w:spacing w:before="36" w:beforeLines="15" w:line="276" w:lineRule="auto"/>
              <w:jc w:val="both"/>
              <w:rPr>
                <w:rFonts w:ascii="Times New Roman" w:hAnsi="Times New Roman" w:cs="Times New Roman"/>
                <w:snapToGrid w:val="0"/>
                <w:sz w:val="21"/>
                <w:szCs w:val="21"/>
              </w:rPr>
            </w:pPr>
          </w:p>
        </w:tc>
      </w:tr>
      <w:tr w14:paraId="46DB1CE8">
        <w:tblPrEx>
          <w:tblCellMar>
            <w:top w:w="0" w:type="dxa"/>
            <w:left w:w="108" w:type="dxa"/>
            <w:bottom w:w="0" w:type="dxa"/>
            <w:right w:w="108" w:type="dxa"/>
          </w:tblCellMar>
        </w:tblPrEx>
        <w:trPr>
          <w:trHeight w:val="319"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3FA45198">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导管长度</w:t>
            </w:r>
          </w:p>
        </w:tc>
        <w:tc>
          <w:tcPr>
            <w:tcW w:w="1550" w:type="pct"/>
            <w:tcBorders>
              <w:top w:val="single" w:color="000000" w:sz="4" w:space="0"/>
              <w:left w:val="single" w:color="000000" w:sz="4" w:space="0"/>
              <w:bottom w:val="single" w:color="000000" w:sz="4" w:space="0"/>
              <w:right w:val="single" w:color="000000" w:sz="4" w:space="0"/>
            </w:tcBorders>
          </w:tcPr>
          <w:p w14:paraId="1DDAFCC0">
            <w:pPr>
              <w:adjustRightInd w:val="0"/>
              <w:snapToGrid w:val="0"/>
              <w:spacing w:before="36" w:beforeLines="15" w:line="276" w:lineRule="auto"/>
              <w:jc w:val="both"/>
              <w:rPr>
                <w:rFonts w:ascii="Times New Roman" w:hAnsi="Times New Roman" w:cs="Times New Roman"/>
                <w:snapToGrid w:val="0"/>
                <w:sz w:val="21"/>
                <w:szCs w:val="21"/>
              </w:rPr>
            </w:pPr>
          </w:p>
        </w:tc>
        <w:tc>
          <w:tcPr>
            <w:tcW w:w="1814" w:type="pct"/>
            <w:tcBorders>
              <w:top w:val="single" w:color="000000" w:sz="4" w:space="0"/>
              <w:left w:val="single" w:color="000000" w:sz="4" w:space="0"/>
              <w:bottom w:val="single" w:color="000000" w:sz="4" w:space="0"/>
              <w:right w:val="single" w:color="000000" w:sz="4" w:space="0"/>
            </w:tcBorders>
          </w:tcPr>
          <w:p w14:paraId="751F24FE">
            <w:pPr>
              <w:adjustRightInd w:val="0"/>
              <w:snapToGrid w:val="0"/>
              <w:spacing w:before="36" w:beforeLines="15" w:line="276" w:lineRule="auto"/>
              <w:jc w:val="both"/>
              <w:rPr>
                <w:rFonts w:ascii="Times New Roman" w:hAnsi="Times New Roman" w:cs="Times New Roman"/>
                <w:snapToGrid w:val="0"/>
                <w:sz w:val="21"/>
                <w:szCs w:val="21"/>
              </w:rPr>
            </w:pPr>
          </w:p>
        </w:tc>
      </w:tr>
      <w:tr w14:paraId="4A4DD470">
        <w:tblPrEx>
          <w:tblCellMar>
            <w:top w:w="0" w:type="dxa"/>
            <w:left w:w="108" w:type="dxa"/>
            <w:bottom w:w="0" w:type="dxa"/>
            <w:right w:w="108" w:type="dxa"/>
          </w:tblCellMar>
        </w:tblPrEx>
        <w:trPr>
          <w:trHeight w:val="304"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5EF0DB34">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导管管身外径</w:t>
            </w:r>
          </w:p>
        </w:tc>
        <w:tc>
          <w:tcPr>
            <w:tcW w:w="1550" w:type="pct"/>
            <w:tcBorders>
              <w:top w:val="single" w:color="000000" w:sz="4" w:space="0"/>
              <w:left w:val="single" w:color="000000" w:sz="4" w:space="0"/>
              <w:bottom w:val="single" w:color="000000" w:sz="4" w:space="0"/>
              <w:right w:val="single" w:color="000000" w:sz="4" w:space="0"/>
            </w:tcBorders>
          </w:tcPr>
          <w:p w14:paraId="59163B72">
            <w:pPr>
              <w:adjustRightInd w:val="0"/>
              <w:snapToGrid w:val="0"/>
              <w:spacing w:before="36" w:beforeLines="15" w:line="276" w:lineRule="auto"/>
              <w:jc w:val="both"/>
              <w:rPr>
                <w:rFonts w:ascii="Times New Roman" w:hAnsi="Times New Roman" w:cs="Times New Roman"/>
                <w:snapToGrid w:val="0"/>
                <w:sz w:val="21"/>
                <w:szCs w:val="21"/>
              </w:rPr>
            </w:pPr>
          </w:p>
        </w:tc>
        <w:tc>
          <w:tcPr>
            <w:tcW w:w="1814" w:type="pct"/>
            <w:tcBorders>
              <w:top w:val="single" w:color="000000" w:sz="4" w:space="0"/>
              <w:left w:val="single" w:color="000000" w:sz="4" w:space="0"/>
              <w:bottom w:val="single" w:color="000000" w:sz="4" w:space="0"/>
              <w:right w:val="single" w:color="000000" w:sz="4" w:space="0"/>
            </w:tcBorders>
          </w:tcPr>
          <w:p w14:paraId="44F37149">
            <w:pPr>
              <w:adjustRightInd w:val="0"/>
              <w:snapToGrid w:val="0"/>
              <w:spacing w:before="36" w:beforeLines="15" w:line="276" w:lineRule="auto"/>
              <w:jc w:val="both"/>
              <w:rPr>
                <w:rFonts w:ascii="Times New Roman" w:hAnsi="Times New Roman" w:cs="Times New Roman"/>
                <w:snapToGrid w:val="0"/>
                <w:sz w:val="21"/>
                <w:szCs w:val="21"/>
              </w:rPr>
            </w:pPr>
          </w:p>
        </w:tc>
      </w:tr>
      <w:tr w14:paraId="5286556A">
        <w:tblPrEx>
          <w:tblCellMar>
            <w:top w:w="0" w:type="dxa"/>
            <w:left w:w="108" w:type="dxa"/>
            <w:bottom w:w="0" w:type="dxa"/>
            <w:right w:w="108" w:type="dxa"/>
          </w:tblCellMar>
        </w:tblPrEx>
        <w:trPr>
          <w:trHeight w:val="319"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26DB9B24">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球囊长度（如适用）</w:t>
            </w:r>
          </w:p>
        </w:tc>
        <w:tc>
          <w:tcPr>
            <w:tcW w:w="1550" w:type="pct"/>
            <w:tcBorders>
              <w:top w:val="single" w:color="000000" w:sz="4" w:space="0"/>
              <w:left w:val="single" w:color="000000" w:sz="4" w:space="0"/>
              <w:bottom w:val="single" w:color="000000" w:sz="4" w:space="0"/>
              <w:right w:val="single" w:color="000000" w:sz="4" w:space="0"/>
            </w:tcBorders>
          </w:tcPr>
          <w:p w14:paraId="51DB6E5F">
            <w:pPr>
              <w:adjustRightInd w:val="0"/>
              <w:snapToGrid w:val="0"/>
              <w:spacing w:before="36" w:beforeLines="15" w:line="276" w:lineRule="auto"/>
              <w:jc w:val="both"/>
              <w:rPr>
                <w:rFonts w:ascii="Times New Roman" w:hAnsi="Times New Roman" w:cs="Times New Roman"/>
                <w:snapToGrid w:val="0"/>
                <w:sz w:val="21"/>
                <w:szCs w:val="21"/>
              </w:rPr>
            </w:pPr>
          </w:p>
        </w:tc>
        <w:tc>
          <w:tcPr>
            <w:tcW w:w="1814" w:type="pct"/>
            <w:tcBorders>
              <w:top w:val="single" w:color="000000" w:sz="4" w:space="0"/>
              <w:left w:val="single" w:color="000000" w:sz="4" w:space="0"/>
              <w:bottom w:val="single" w:color="000000" w:sz="4" w:space="0"/>
              <w:right w:val="single" w:color="000000" w:sz="4" w:space="0"/>
            </w:tcBorders>
          </w:tcPr>
          <w:p w14:paraId="6A26187D">
            <w:pPr>
              <w:adjustRightInd w:val="0"/>
              <w:snapToGrid w:val="0"/>
              <w:spacing w:before="36" w:beforeLines="15" w:line="276" w:lineRule="auto"/>
              <w:jc w:val="both"/>
              <w:rPr>
                <w:rFonts w:ascii="Times New Roman" w:hAnsi="Times New Roman" w:cs="Times New Roman"/>
                <w:snapToGrid w:val="0"/>
                <w:sz w:val="21"/>
                <w:szCs w:val="21"/>
              </w:rPr>
            </w:pPr>
          </w:p>
        </w:tc>
      </w:tr>
      <w:tr w14:paraId="2389D32C">
        <w:tblPrEx>
          <w:tblCellMar>
            <w:top w:w="0" w:type="dxa"/>
            <w:left w:w="108" w:type="dxa"/>
            <w:bottom w:w="0" w:type="dxa"/>
            <w:right w:w="108" w:type="dxa"/>
          </w:tblCellMar>
        </w:tblPrEx>
        <w:trPr>
          <w:trHeight w:val="319"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0687B3D4">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球囊直径（如适用）</w:t>
            </w:r>
          </w:p>
        </w:tc>
        <w:tc>
          <w:tcPr>
            <w:tcW w:w="1550" w:type="pct"/>
            <w:tcBorders>
              <w:top w:val="single" w:color="000000" w:sz="4" w:space="0"/>
              <w:left w:val="single" w:color="000000" w:sz="4" w:space="0"/>
              <w:bottom w:val="single" w:color="000000" w:sz="4" w:space="0"/>
              <w:right w:val="single" w:color="000000" w:sz="4" w:space="0"/>
            </w:tcBorders>
          </w:tcPr>
          <w:p w14:paraId="1F0A8A35">
            <w:pPr>
              <w:adjustRightInd w:val="0"/>
              <w:snapToGrid w:val="0"/>
              <w:spacing w:before="36" w:beforeLines="15" w:line="276" w:lineRule="auto"/>
              <w:jc w:val="both"/>
              <w:rPr>
                <w:rFonts w:ascii="Times New Roman" w:hAnsi="Times New Roman" w:cs="Times New Roman"/>
                <w:snapToGrid w:val="0"/>
                <w:sz w:val="21"/>
                <w:szCs w:val="21"/>
              </w:rPr>
            </w:pPr>
          </w:p>
        </w:tc>
        <w:tc>
          <w:tcPr>
            <w:tcW w:w="1814" w:type="pct"/>
            <w:tcBorders>
              <w:top w:val="single" w:color="000000" w:sz="4" w:space="0"/>
              <w:left w:val="single" w:color="000000" w:sz="4" w:space="0"/>
              <w:bottom w:val="single" w:color="000000" w:sz="4" w:space="0"/>
              <w:right w:val="single" w:color="000000" w:sz="4" w:space="0"/>
            </w:tcBorders>
          </w:tcPr>
          <w:p w14:paraId="7264E3F3">
            <w:pPr>
              <w:adjustRightInd w:val="0"/>
              <w:snapToGrid w:val="0"/>
              <w:spacing w:before="36" w:beforeLines="15" w:line="276" w:lineRule="auto"/>
              <w:jc w:val="both"/>
              <w:rPr>
                <w:rFonts w:ascii="Times New Roman" w:hAnsi="Times New Roman" w:cs="Times New Roman"/>
                <w:snapToGrid w:val="0"/>
                <w:sz w:val="21"/>
                <w:szCs w:val="21"/>
              </w:rPr>
            </w:pPr>
          </w:p>
        </w:tc>
      </w:tr>
      <w:tr w14:paraId="2082F162">
        <w:tblPrEx>
          <w:tblCellMar>
            <w:top w:w="0" w:type="dxa"/>
            <w:left w:w="108" w:type="dxa"/>
            <w:bottom w:w="0" w:type="dxa"/>
            <w:right w:w="108" w:type="dxa"/>
          </w:tblCellMar>
        </w:tblPrEx>
        <w:trPr>
          <w:trHeight w:val="304"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7976F60E">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标称压力（如适用）</w:t>
            </w:r>
          </w:p>
        </w:tc>
        <w:tc>
          <w:tcPr>
            <w:tcW w:w="1550" w:type="pct"/>
            <w:tcBorders>
              <w:top w:val="single" w:color="000000" w:sz="4" w:space="0"/>
              <w:left w:val="single" w:color="000000" w:sz="4" w:space="0"/>
              <w:bottom w:val="single" w:color="000000" w:sz="4" w:space="0"/>
              <w:right w:val="single" w:color="000000" w:sz="4" w:space="0"/>
            </w:tcBorders>
          </w:tcPr>
          <w:p w14:paraId="63CA6454">
            <w:pPr>
              <w:adjustRightInd w:val="0"/>
              <w:snapToGrid w:val="0"/>
              <w:spacing w:before="36" w:beforeLines="15" w:line="276" w:lineRule="auto"/>
              <w:jc w:val="both"/>
              <w:rPr>
                <w:rFonts w:ascii="Times New Roman" w:hAnsi="Times New Roman" w:cs="Times New Roman"/>
                <w:snapToGrid w:val="0"/>
                <w:sz w:val="21"/>
                <w:szCs w:val="21"/>
              </w:rPr>
            </w:pPr>
          </w:p>
        </w:tc>
        <w:tc>
          <w:tcPr>
            <w:tcW w:w="1814" w:type="pct"/>
            <w:tcBorders>
              <w:top w:val="single" w:color="000000" w:sz="4" w:space="0"/>
              <w:left w:val="single" w:color="000000" w:sz="4" w:space="0"/>
              <w:bottom w:val="single" w:color="000000" w:sz="4" w:space="0"/>
              <w:right w:val="single" w:color="000000" w:sz="4" w:space="0"/>
            </w:tcBorders>
          </w:tcPr>
          <w:p w14:paraId="6677E46C">
            <w:pPr>
              <w:adjustRightInd w:val="0"/>
              <w:snapToGrid w:val="0"/>
              <w:spacing w:before="36" w:beforeLines="15" w:line="276" w:lineRule="auto"/>
              <w:jc w:val="both"/>
              <w:rPr>
                <w:rFonts w:ascii="Times New Roman" w:hAnsi="Times New Roman" w:cs="Times New Roman"/>
                <w:snapToGrid w:val="0"/>
                <w:sz w:val="21"/>
                <w:szCs w:val="21"/>
              </w:rPr>
            </w:pPr>
          </w:p>
        </w:tc>
      </w:tr>
      <w:tr w14:paraId="4A416D35">
        <w:tblPrEx>
          <w:tblCellMar>
            <w:top w:w="0" w:type="dxa"/>
            <w:left w:w="108" w:type="dxa"/>
            <w:bottom w:w="0" w:type="dxa"/>
            <w:right w:w="108" w:type="dxa"/>
          </w:tblCellMar>
        </w:tblPrEx>
        <w:trPr>
          <w:trHeight w:val="608"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5A72F087">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额定爆破压力（如适用）</w:t>
            </w:r>
          </w:p>
        </w:tc>
        <w:tc>
          <w:tcPr>
            <w:tcW w:w="1550" w:type="pct"/>
            <w:tcBorders>
              <w:top w:val="single" w:color="000000" w:sz="4" w:space="0"/>
              <w:left w:val="single" w:color="000000" w:sz="4" w:space="0"/>
              <w:bottom w:val="single" w:color="000000" w:sz="4" w:space="0"/>
              <w:right w:val="single" w:color="000000" w:sz="4" w:space="0"/>
            </w:tcBorders>
          </w:tcPr>
          <w:p w14:paraId="0682402A">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814" w:type="pct"/>
            <w:tcBorders>
              <w:top w:val="single" w:color="000000" w:sz="4" w:space="0"/>
              <w:left w:val="single" w:color="000000" w:sz="4" w:space="0"/>
              <w:bottom w:val="single" w:color="000000" w:sz="4" w:space="0"/>
              <w:right w:val="single" w:color="000000" w:sz="4" w:space="0"/>
            </w:tcBorders>
          </w:tcPr>
          <w:p w14:paraId="4DE44BEC">
            <w:pPr>
              <w:adjustRightInd w:val="0"/>
              <w:snapToGrid w:val="0"/>
              <w:spacing w:before="36" w:beforeLines="15" w:line="276" w:lineRule="auto"/>
              <w:jc w:val="both"/>
              <w:rPr>
                <w:rFonts w:ascii="Times New Roman" w:hAnsi="Times New Roman" w:cs="Times New Roman"/>
                <w:snapToGrid w:val="0"/>
                <w:sz w:val="21"/>
                <w:szCs w:val="21"/>
                <w:lang w:eastAsia="zh-CN"/>
              </w:rPr>
            </w:pPr>
          </w:p>
        </w:tc>
      </w:tr>
    </w:tbl>
    <w:p w14:paraId="4B07673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tbl>
      <w:tblPr>
        <w:tblStyle w:val="8"/>
        <w:tblW w:w="4757" w:type="pct"/>
        <w:jc w:val="center"/>
        <w:tblLayout w:type="autofit"/>
        <w:tblCellMar>
          <w:top w:w="0" w:type="dxa"/>
          <w:left w:w="108" w:type="dxa"/>
          <w:bottom w:w="0" w:type="dxa"/>
          <w:right w:w="108" w:type="dxa"/>
        </w:tblCellMar>
      </w:tblPr>
      <w:tblGrid>
        <w:gridCol w:w="2891"/>
        <w:gridCol w:w="2739"/>
        <w:gridCol w:w="3206"/>
      </w:tblGrid>
      <w:tr w14:paraId="4008E3BC">
        <w:tblPrEx>
          <w:tblCellMar>
            <w:top w:w="0" w:type="dxa"/>
            <w:left w:w="108" w:type="dxa"/>
            <w:bottom w:w="0" w:type="dxa"/>
            <w:right w:w="108" w:type="dxa"/>
          </w:tblCellMar>
        </w:tblPrEx>
        <w:trPr>
          <w:trHeight w:val="306"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761078F5">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描述</w:t>
            </w:r>
          </w:p>
        </w:tc>
        <w:tc>
          <w:tcPr>
            <w:tcW w:w="1550" w:type="pct"/>
            <w:tcBorders>
              <w:top w:val="single" w:color="000000" w:sz="4" w:space="0"/>
              <w:left w:val="single" w:color="000000" w:sz="4" w:space="0"/>
              <w:bottom w:val="single" w:color="000000" w:sz="4" w:space="0"/>
              <w:right w:val="single" w:color="000000" w:sz="4" w:space="0"/>
            </w:tcBorders>
          </w:tcPr>
          <w:p w14:paraId="70FD3B1F">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申报器械</w:t>
            </w:r>
          </w:p>
        </w:tc>
        <w:tc>
          <w:tcPr>
            <w:tcW w:w="1814" w:type="pct"/>
            <w:tcBorders>
              <w:top w:val="single" w:color="000000" w:sz="4" w:space="0"/>
              <w:left w:val="single" w:color="000000" w:sz="4" w:space="0"/>
              <w:bottom w:val="single" w:color="000000" w:sz="4" w:space="0"/>
              <w:right w:val="single" w:color="000000" w:sz="4" w:space="0"/>
            </w:tcBorders>
          </w:tcPr>
          <w:p w14:paraId="3DD218A9">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同品种器械（Kxxxxxx）</w:t>
            </w:r>
          </w:p>
        </w:tc>
      </w:tr>
      <w:tr w14:paraId="5CC1C54D">
        <w:tblPrEx>
          <w:tblCellMar>
            <w:top w:w="0" w:type="dxa"/>
            <w:left w:w="108" w:type="dxa"/>
            <w:bottom w:w="0" w:type="dxa"/>
            <w:right w:w="108" w:type="dxa"/>
          </w:tblCellMar>
        </w:tblPrEx>
        <w:trPr>
          <w:trHeight w:val="597"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3015830E">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组件材料（单独列出）</w:t>
            </w:r>
          </w:p>
        </w:tc>
        <w:tc>
          <w:tcPr>
            <w:tcW w:w="1550" w:type="pct"/>
            <w:tcBorders>
              <w:top w:val="single" w:color="000000" w:sz="4" w:space="0"/>
              <w:left w:val="single" w:color="000000" w:sz="4" w:space="0"/>
              <w:bottom w:val="single" w:color="000000" w:sz="4" w:space="0"/>
              <w:right w:val="single" w:color="000000" w:sz="4" w:space="0"/>
            </w:tcBorders>
          </w:tcPr>
          <w:p w14:paraId="44518F2C">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814" w:type="pct"/>
            <w:tcBorders>
              <w:top w:val="single" w:color="000000" w:sz="4" w:space="0"/>
              <w:left w:val="single" w:color="000000" w:sz="4" w:space="0"/>
              <w:bottom w:val="single" w:color="000000" w:sz="4" w:space="0"/>
              <w:right w:val="single" w:color="000000" w:sz="4" w:space="0"/>
            </w:tcBorders>
          </w:tcPr>
          <w:p w14:paraId="07EE51B8">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43A79B34">
        <w:tblPrEx>
          <w:tblCellMar>
            <w:top w:w="0" w:type="dxa"/>
            <w:left w:w="108" w:type="dxa"/>
            <w:bottom w:w="0" w:type="dxa"/>
            <w:right w:w="108" w:type="dxa"/>
          </w:tblCellMar>
        </w:tblPrEx>
        <w:trPr>
          <w:trHeight w:val="321"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10BB036D">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涂层材料（如适用）</w:t>
            </w:r>
          </w:p>
        </w:tc>
        <w:tc>
          <w:tcPr>
            <w:tcW w:w="1550" w:type="pct"/>
            <w:tcBorders>
              <w:top w:val="single" w:color="000000" w:sz="4" w:space="0"/>
              <w:left w:val="single" w:color="000000" w:sz="4" w:space="0"/>
              <w:bottom w:val="single" w:color="000000" w:sz="4" w:space="0"/>
              <w:right w:val="single" w:color="000000" w:sz="4" w:space="0"/>
            </w:tcBorders>
          </w:tcPr>
          <w:p w14:paraId="717F2803">
            <w:pPr>
              <w:adjustRightInd w:val="0"/>
              <w:snapToGrid w:val="0"/>
              <w:spacing w:before="36" w:beforeLines="15" w:line="276" w:lineRule="auto"/>
              <w:jc w:val="both"/>
              <w:rPr>
                <w:rFonts w:ascii="Times New Roman" w:hAnsi="Times New Roman" w:cs="Times New Roman"/>
                <w:snapToGrid w:val="0"/>
                <w:sz w:val="21"/>
                <w:szCs w:val="21"/>
              </w:rPr>
            </w:pPr>
          </w:p>
        </w:tc>
        <w:tc>
          <w:tcPr>
            <w:tcW w:w="1814" w:type="pct"/>
            <w:tcBorders>
              <w:top w:val="single" w:color="000000" w:sz="4" w:space="0"/>
              <w:left w:val="single" w:color="000000" w:sz="4" w:space="0"/>
              <w:bottom w:val="single" w:color="000000" w:sz="4" w:space="0"/>
              <w:right w:val="single" w:color="000000" w:sz="4" w:space="0"/>
            </w:tcBorders>
          </w:tcPr>
          <w:p w14:paraId="362EFCDE">
            <w:pPr>
              <w:adjustRightInd w:val="0"/>
              <w:snapToGrid w:val="0"/>
              <w:spacing w:before="36" w:beforeLines="15" w:line="276" w:lineRule="auto"/>
              <w:jc w:val="both"/>
              <w:rPr>
                <w:rFonts w:ascii="Times New Roman" w:hAnsi="Times New Roman" w:cs="Times New Roman"/>
                <w:snapToGrid w:val="0"/>
                <w:sz w:val="21"/>
                <w:szCs w:val="21"/>
              </w:rPr>
            </w:pPr>
          </w:p>
        </w:tc>
      </w:tr>
      <w:tr w14:paraId="4FC32A79">
        <w:tblPrEx>
          <w:tblCellMar>
            <w:top w:w="0" w:type="dxa"/>
            <w:left w:w="108" w:type="dxa"/>
            <w:bottom w:w="0" w:type="dxa"/>
            <w:right w:w="108" w:type="dxa"/>
          </w:tblCellMar>
        </w:tblPrEx>
        <w:trPr>
          <w:trHeight w:val="321"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0FF9E978">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涂层长度（如适用）</w:t>
            </w:r>
          </w:p>
        </w:tc>
        <w:tc>
          <w:tcPr>
            <w:tcW w:w="1550" w:type="pct"/>
            <w:tcBorders>
              <w:top w:val="single" w:color="000000" w:sz="4" w:space="0"/>
              <w:left w:val="single" w:color="000000" w:sz="4" w:space="0"/>
              <w:bottom w:val="single" w:color="000000" w:sz="4" w:space="0"/>
              <w:right w:val="single" w:color="000000" w:sz="4" w:space="0"/>
            </w:tcBorders>
          </w:tcPr>
          <w:p w14:paraId="017E5054">
            <w:pPr>
              <w:adjustRightInd w:val="0"/>
              <w:snapToGrid w:val="0"/>
              <w:spacing w:before="36" w:beforeLines="15" w:line="276" w:lineRule="auto"/>
              <w:jc w:val="both"/>
              <w:rPr>
                <w:rFonts w:ascii="Times New Roman" w:hAnsi="Times New Roman" w:cs="Times New Roman"/>
                <w:snapToGrid w:val="0"/>
                <w:sz w:val="21"/>
                <w:szCs w:val="21"/>
              </w:rPr>
            </w:pPr>
          </w:p>
        </w:tc>
        <w:tc>
          <w:tcPr>
            <w:tcW w:w="1814" w:type="pct"/>
            <w:tcBorders>
              <w:top w:val="single" w:color="000000" w:sz="4" w:space="0"/>
              <w:left w:val="single" w:color="000000" w:sz="4" w:space="0"/>
              <w:bottom w:val="single" w:color="000000" w:sz="4" w:space="0"/>
              <w:right w:val="single" w:color="000000" w:sz="4" w:space="0"/>
            </w:tcBorders>
          </w:tcPr>
          <w:p w14:paraId="65DC4EAD">
            <w:pPr>
              <w:adjustRightInd w:val="0"/>
              <w:snapToGrid w:val="0"/>
              <w:spacing w:before="36" w:beforeLines="15" w:line="276" w:lineRule="auto"/>
              <w:jc w:val="both"/>
              <w:rPr>
                <w:rFonts w:ascii="Times New Roman" w:hAnsi="Times New Roman" w:cs="Times New Roman"/>
                <w:snapToGrid w:val="0"/>
                <w:sz w:val="21"/>
                <w:szCs w:val="21"/>
              </w:rPr>
            </w:pPr>
          </w:p>
        </w:tc>
      </w:tr>
      <w:tr w14:paraId="6960454D">
        <w:tblPrEx>
          <w:tblCellMar>
            <w:top w:w="0" w:type="dxa"/>
            <w:left w:w="108" w:type="dxa"/>
            <w:bottom w:w="0" w:type="dxa"/>
            <w:right w:w="108" w:type="dxa"/>
          </w:tblCellMar>
        </w:tblPrEx>
        <w:trPr>
          <w:trHeight w:val="321"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0D415148">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包装构型</w:t>
            </w:r>
          </w:p>
        </w:tc>
        <w:tc>
          <w:tcPr>
            <w:tcW w:w="1550" w:type="pct"/>
            <w:tcBorders>
              <w:top w:val="single" w:color="000000" w:sz="4" w:space="0"/>
              <w:left w:val="single" w:color="000000" w:sz="4" w:space="0"/>
              <w:bottom w:val="single" w:color="000000" w:sz="4" w:space="0"/>
              <w:right w:val="single" w:color="000000" w:sz="4" w:space="0"/>
            </w:tcBorders>
          </w:tcPr>
          <w:p w14:paraId="1DD7EB29">
            <w:pPr>
              <w:adjustRightInd w:val="0"/>
              <w:snapToGrid w:val="0"/>
              <w:spacing w:before="36" w:beforeLines="15" w:line="276" w:lineRule="auto"/>
              <w:jc w:val="both"/>
              <w:rPr>
                <w:rFonts w:ascii="Times New Roman" w:hAnsi="Times New Roman" w:cs="Times New Roman"/>
                <w:snapToGrid w:val="0"/>
                <w:sz w:val="21"/>
                <w:szCs w:val="21"/>
              </w:rPr>
            </w:pPr>
          </w:p>
        </w:tc>
        <w:tc>
          <w:tcPr>
            <w:tcW w:w="1814" w:type="pct"/>
            <w:tcBorders>
              <w:top w:val="single" w:color="000000" w:sz="4" w:space="0"/>
              <w:left w:val="single" w:color="000000" w:sz="4" w:space="0"/>
              <w:bottom w:val="single" w:color="000000" w:sz="4" w:space="0"/>
              <w:right w:val="single" w:color="000000" w:sz="4" w:space="0"/>
            </w:tcBorders>
          </w:tcPr>
          <w:p w14:paraId="7F65399D">
            <w:pPr>
              <w:adjustRightInd w:val="0"/>
              <w:snapToGrid w:val="0"/>
              <w:spacing w:before="36" w:beforeLines="15" w:line="276" w:lineRule="auto"/>
              <w:jc w:val="both"/>
              <w:rPr>
                <w:rFonts w:ascii="Times New Roman" w:hAnsi="Times New Roman" w:cs="Times New Roman"/>
                <w:snapToGrid w:val="0"/>
                <w:sz w:val="21"/>
                <w:szCs w:val="21"/>
              </w:rPr>
            </w:pPr>
          </w:p>
        </w:tc>
      </w:tr>
      <w:tr w14:paraId="6047D325">
        <w:tblPrEx>
          <w:tblCellMar>
            <w:top w:w="0" w:type="dxa"/>
            <w:left w:w="108" w:type="dxa"/>
            <w:bottom w:w="0" w:type="dxa"/>
            <w:right w:w="108" w:type="dxa"/>
          </w:tblCellMar>
        </w:tblPrEx>
        <w:trPr>
          <w:trHeight w:val="337" w:hRule="atLeast"/>
          <w:jc w:val="center"/>
        </w:trPr>
        <w:tc>
          <w:tcPr>
            <w:tcW w:w="1636" w:type="pct"/>
            <w:tcBorders>
              <w:top w:val="single" w:color="000000" w:sz="4" w:space="0"/>
              <w:left w:val="single" w:color="000000" w:sz="4" w:space="0"/>
              <w:bottom w:val="single" w:color="000000" w:sz="4" w:space="0"/>
              <w:right w:val="single" w:color="000000" w:sz="4" w:space="0"/>
            </w:tcBorders>
          </w:tcPr>
          <w:p w14:paraId="2D4F922F">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灭菌方法</w:t>
            </w:r>
          </w:p>
        </w:tc>
        <w:tc>
          <w:tcPr>
            <w:tcW w:w="1550" w:type="pct"/>
            <w:tcBorders>
              <w:top w:val="single" w:color="000000" w:sz="4" w:space="0"/>
              <w:left w:val="single" w:color="000000" w:sz="4" w:space="0"/>
              <w:bottom w:val="single" w:color="000000" w:sz="4" w:space="0"/>
              <w:right w:val="single" w:color="000000" w:sz="4" w:space="0"/>
            </w:tcBorders>
          </w:tcPr>
          <w:p w14:paraId="60A7EE89">
            <w:pPr>
              <w:adjustRightInd w:val="0"/>
              <w:snapToGrid w:val="0"/>
              <w:spacing w:before="36" w:beforeLines="15" w:line="276" w:lineRule="auto"/>
              <w:jc w:val="both"/>
              <w:rPr>
                <w:rFonts w:ascii="Times New Roman" w:hAnsi="Times New Roman" w:cs="Times New Roman"/>
                <w:snapToGrid w:val="0"/>
                <w:sz w:val="21"/>
                <w:szCs w:val="21"/>
              </w:rPr>
            </w:pPr>
          </w:p>
        </w:tc>
        <w:tc>
          <w:tcPr>
            <w:tcW w:w="1814" w:type="pct"/>
            <w:tcBorders>
              <w:top w:val="single" w:color="000000" w:sz="4" w:space="0"/>
              <w:left w:val="single" w:color="000000" w:sz="4" w:space="0"/>
              <w:bottom w:val="single" w:color="000000" w:sz="4" w:space="0"/>
              <w:right w:val="single" w:color="000000" w:sz="4" w:space="0"/>
            </w:tcBorders>
          </w:tcPr>
          <w:p w14:paraId="2576F954">
            <w:pPr>
              <w:adjustRightInd w:val="0"/>
              <w:snapToGrid w:val="0"/>
              <w:spacing w:before="36" w:beforeLines="15" w:line="276" w:lineRule="auto"/>
              <w:jc w:val="both"/>
              <w:rPr>
                <w:rFonts w:ascii="Times New Roman" w:hAnsi="Times New Roman" w:cs="Times New Roman"/>
                <w:snapToGrid w:val="0"/>
                <w:sz w:val="21"/>
                <w:szCs w:val="21"/>
              </w:rPr>
            </w:pPr>
          </w:p>
        </w:tc>
      </w:tr>
    </w:tbl>
    <w:p w14:paraId="3E7C2528">
      <w:pPr>
        <w:numPr>
          <w:ilvl w:val="1"/>
          <w:numId w:val="1"/>
        </w:numPr>
        <w:tabs>
          <w:tab w:val="left" w:pos="839"/>
        </w:tabs>
        <w:adjustRightInd w:val="0"/>
        <w:snapToGrid w:val="0"/>
        <w:spacing w:before="120" w:beforeLines="50" w:line="300" w:lineRule="auto"/>
        <w:ind w:left="1723" w:leftChars="400" w:hanging="843" w:hangingChars="300"/>
        <w:jc w:val="both"/>
        <w:outlineLvl w:val="1"/>
        <w:rPr>
          <w:rFonts w:ascii="Times New Roman" w:hAnsi="Times New Roman" w:cs="Times New Roman"/>
          <w:b/>
          <w:bCs/>
          <w:snapToGrid w:val="0"/>
          <w:sz w:val="28"/>
          <w:szCs w:val="28"/>
        </w:rPr>
      </w:pPr>
      <w:bookmarkStart w:id="5" w:name="_Toc94218307"/>
      <w:r>
        <w:rPr>
          <w:rFonts w:ascii="Times New Roman" w:hAnsi="Times New Roman" w:eastAsia="宋体" w:cs="宋体"/>
          <w:b/>
          <w:sz w:val="28"/>
        </w:rPr>
        <w:t>生物相容性</w:t>
      </w:r>
      <w:bookmarkEnd w:id="5"/>
    </w:p>
    <w:p w14:paraId="3BAA4CE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：PTA球囊导管和专用导管含有患者接触材料，当用于其预期目的（即接触类型和持续时间）时，可能会诱发有害的生物反应。</w:t>
      </w:r>
    </w:p>
    <w:p w14:paraId="0F54AD1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：应确定器械中所有患者接触材料的生物相容性。如果器械在组成和处理方法上与任何有成功使用历史的PTA球囊导管或专用导管相同，可以参考</w:t>
      </w:r>
      <w:r>
        <w:rPr>
          <w:rFonts w:hint="eastAsia" w:ascii="Times New Roman" w:hAnsi="Times New Roman" w:eastAsia="宋体" w:cs="宋体"/>
          <w:sz w:val="24"/>
          <w:lang w:eastAsia="zh-CN"/>
        </w:rPr>
        <w:t>之</w:t>
      </w:r>
      <w:r>
        <w:rPr>
          <w:rFonts w:ascii="Times New Roman" w:hAnsi="Times New Roman" w:eastAsia="宋体" w:cs="宋体"/>
          <w:sz w:val="24"/>
          <w:lang w:eastAsia="zh-CN"/>
        </w:rPr>
        <w:t>前的试验经验或文献（如适用）。对于某些器械材料，</w:t>
      </w:r>
      <w:r>
        <w:rPr>
          <w:rFonts w:hint="eastAsia" w:ascii="Times New Roman" w:hAnsi="Times New Roman" w:eastAsia="宋体" w:cs="宋体"/>
          <w:sz w:val="24"/>
          <w:lang w:eastAsia="zh-CN"/>
        </w:rPr>
        <w:t>可适当</w:t>
      </w:r>
      <w:r>
        <w:rPr>
          <w:rFonts w:ascii="Times New Roman" w:hAnsi="Times New Roman" w:eastAsia="宋体" w:cs="宋体"/>
          <w:sz w:val="24"/>
          <w:lang w:eastAsia="zh-CN"/>
        </w:rPr>
        <w:t>提供FDA认可的共识标准参考或器械主文档（MAF）</w:t>
      </w:r>
      <w:r>
        <w:rPr>
          <w:rFonts w:hint="eastAsia" w:ascii="Times New Roman" w:hAnsi="Times New Roman" w:eastAsia="宋体" w:cs="宋体"/>
          <w:sz w:val="24"/>
          <w:lang w:eastAsia="zh-CN"/>
        </w:rPr>
        <w:t>的</w:t>
      </w:r>
      <w:r>
        <w:rPr>
          <w:rFonts w:ascii="Times New Roman" w:hAnsi="Times New Roman" w:eastAsia="宋体" w:cs="宋体"/>
          <w:sz w:val="24"/>
          <w:lang w:eastAsia="zh-CN"/>
        </w:rPr>
        <w:t>授权书（LOA）。</w:t>
      </w:r>
    </w:p>
    <w:p w14:paraId="3E81BC5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如果无法在合法上市</w:t>
      </w:r>
      <w:r>
        <w:rPr>
          <w:rFonts w:hint="eastAsia" w:ascii="Times New Roman" w:hAnsi="Times New Roman" w:eastAsia="宋体" w:cs="宋体"/>
          <w:sz w:val="24"/>
          <w:lang w:eastAsia="zh-CN"/>
        </w:rPr>
        <w:t>的</w:t>
      </w:r>
      <w:r>
        <w:rPr>
          <w:rFonts w:ascii="Times New Roman" w:hAnsi="Times New Roman" w:eastAsia="宋体" w:cs="宋体"/>
          <w:sz w:val="24"/>
          <w:lang w:eastAsia="zh-CN"/>
        </w:rPr>
        <w:t>同品种器械上标明与</w:t>
      </w:r>
      <w:r>
        <w:rPr>
          <w:rFonts w:hint="eastAsia" w:ascii="Times New Roman" w:hAnsi="Times New Roman" w:eastAsia="宋体" w:cs="宋体"/>
          <w:sz w:val="24"/>
          <w:lang w:eastAsia="zh-CN"/>
        </w:rPr>
        <w:t>贵方</w:t>
      </w:r>
      <w:r>
        <w:rPr>
          <w:rFonts w:ascii="Times New Roman" w:hAnsi="Times New Roman" w:eastAsia="宋体" w:cs="宋体"/>
          <w:sz w:val="24"/>
          <w:lang w:eastAsia="zh-CN"/>
        </w:rPr>
        <w:t>器械所用相同材料相似的接触部位/持续时间和预期用途，建议</w:t>
      </w:r>
      <w:r>
        <w:rPr>
          <w:rFonts w:hint="eastAsia" w:ascii="Times New Roman" w:hAnsi="Times New Roman" w:eastAsia="宋体" w:cs="宋体"/>
          <w:sz w:val="24"/>
          <w:lang w:eastAsia="zh-CN"/>
        </w:rPr>
        <w:t>开展一项</w:t>
      </w:r>
      <w:r>
        <w:rPr>
          <w:rFonts w:ascii="Times New Roman" w:hAnsi="Times New Roman" w:eastAsia="宋体" w:cs="宋体"/>
          <w:sz w:val="24"/>
          <w:lang w:eastAsia="zh-CN"/>
        </w:rPr>
        <w:t>生物相容性风险评定。评估</w:t>
      </w:r>
      <w:r>
        <w:rPr>
          <w:rFonts w:hint="eastAsia" w:ascii="Times New Roman" w:hAnsi="Times New Roman" w:eastAsia="宋体" w:cs="宋体"/>
          <w:sz w:val="24"/>
          <w:lang w:eastAsia="zh-CN"/>
        </w:rPr>
        <w:t>结果</w:t>
      </w:r>
      <w:r>
        <w:rPr>
          <w:rFonts w:ascii="Times New Roman" w:hAnsi="Times New Roman" w:eastAsia="宋体" w:cs="宋体"/>
          <w:sz w:val="24"/>
          <w:lang w:eastAsia="zh-CN"/>
        </w:rPr>
        <w:t>应解释已识别的生物相容性风险与潜在缓解策略之间的关系，并识别仍然存在的任何知识缺口。</w:t>
      </w:r>
      <w:r>
        <w:rPr>
          <w:rFonts w:hint="eastAsia" w:ascii="Times New Roman" w:hAnsi="Times New Roman" w:eastAsia="宋体" w:cs="宋体"/>
          <w:sz w:val="24"/>
          <w:lang w:eastAsia="zh-CN"/>
        </w:rPr>
        <w:t>然后确认已经执行的</w:t>
      </w:r>
      <w:r>
        <w:rPr>
          <w:rFonts w:ascii="Times New Roman" w:hAnsi="Times New Roman" w:eastAsia="宋体" w:cs="宋体"/>
          <w:sz w:val="24"/>
          <w:lang w:eastAsia="zh-CN"/>
        </w:rPr>
        <w:t>任何生物相容性试验或其它用于</w:t>
      </w:r>
      <w:r>
        <w:rPr>
          <w:rFonts w:hint="eastAsia" w:ascii="Times New Roman" w:hAnsi="Times New Roman" w:eastAsia="宋体" w:cs="宋体"/>
          <w:sz w:val="24"/>
          <w:lang w:eastAsia="zh-CN"/>
        </w:rPr>
        <w:t>缓解</w:t>
      </w:r>
      <w:r>
        <w:rPr>
          <w:rFonts w:ascii="Times New Roman" w:hAnsi="Times New Roman" w:eastAsia="宋体" w:cs="宋体"/>
          <w:sz w:val="24"/>
          <w:lang w:eastAsia="zh-CN"/>
        </w:rPr>
        <w:t>剩余风险的评价</w:t>
      </w:r>
      <w:r>
        <w:rPr>
          <w:rFonts w:hint="eastAsia" w:ascii="Times New Roman" w:hAnsi="Times New Roman" w:eastAsia="宋体" w:cs="宋体"/>
          <w:sz w:val="24"/>
          <w:lang w:eastAsia="zh-CN"/>
        </w:rPr>
        <w:t>活动</w:t>
      </w:r>
      <w:r>
        <w:rPr>
          <w:rFonts w:ascii="Times New Roman" w:hAnsi="Times New Roman" w:eastAsia="宋体" w:cs="宋体"/>
          <w:sz w:val="24"/>
          <w:lang w:eastAsia="zh-CN"/>
        </w:rPr>
        <w:t>。</w:t>
      </w:r>
    </w:p>
    <w:p w14:paraId="12229BF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建议遵循FDA指南，《</w:t>
      </w:r>
      <w:r>
        <w:fldChar w:fldCharType="begin"/>
      </w:r>
      <w:r>
        <w:rPr>
          <w:lang w:eastAsia="zh-CN"/>
        </w:rP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4"/>
          <w:szCs w:val="24"/>
          <w:u w:val="single"/>
          <w:lang w:eastAsia="zh-CN"/>
        </w:rPr>
        <w:t>使用国际标准ISO-10993-1，医疗器械生物学评价-第1部分：风险管理过程中的评价与试验</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3</w:t>
      </w:r>
      <w:r>
        <w:rPr>
          <w:rFonts w:ascii="Times New Roman" w:hAnsi="Times New Roman" w:eastAsia="宋体" w:cs="宋体"/>
          <w:sz w:val="24"/>
          <w:lang w:eastAsia="zh-CN"/>
        </w:rPr>
        <w:t>，</w:t>
      </w:r>
      <w:r>
        <w:rPr>
          <w:rFonts w:ascii="Times New Roman" w:hAnsi="Times New Roman" w:eastAsia="宋体" w:cs="宋体"/>
          <w:color w:val="000000"/>
          <w:sz w:val="24"/>
          <w:lang w:eastAsia="zh-CN"/>
        </w:rPr>
        <w:t>其中确定了应考虑的生物相容性评估类型以及关于如何进行相关试验的建议</w:t>
      </w:r>
      <w:r>
        <w:rPr>
          <w:rFonts w:ascii="Times New Roman" w:hAnsi="Times New Roman" w:eastAsia="宋体" w:cs="宋体"/>
          <w:sz w:val="24"/>
          <w:lang w:eastAsia="zh-CN"/>
        </w:rPr>
        <w:t>。</w:t>
      </w:r>
    </w:p>
    <w:p w14:paraId="54C6F89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根据ISO 10993-1：《医疗器械生物学评价-第1部分：风险管理过程中的评价与试验》以及FDA ISO-10993-1指南附件A，PTA球囊导管和专用导管是在有限接触时间内与循环血液接触的外部接入器械。因此，在生物相容性评价中应考虑以下终点：</w:t>
      </w:r>
    </w:p>
    <w:p w14:paraId="703BEE8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463BA9C8">
      <w:pPr>
        <w:adjustRightInd w:val="0"/>
        <w:snapToGrid w:val="0"/>
        <w:spacing w:before="1800" w:beforeLines="7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______________________</w:t>
      </w:r>
    </w:p>
    <w:p w14:paraId="79ED4295">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rPr>
      </w:pPr>
      <w:bookmarkStart w:id="6" w:name="_bookmark8"/>
      <w:bookmarkEnd w:id="6"/>
      <w:r>
        <w:rPr>
          <w:rFonts w:ascii="Times New Roman" w:hAnsi="Times New Roman" w:cs="Times New Roman"/>
          <w:snapToGrid w:val="0"/>
          <w:color w:val="0000FF"/>
          <w:sz w:val="21"/>
          <w:szCs w:val="21"/>
          <w:u w:val="single" w:color="0000FF"/>
        </w:rPr>
        <w:fldChar w:fldCharType="begin"/>
      </w:r>
      <w:r>
        <w:rPr>
          <w:rFonts w:ascii="Times New Roman" w:hAnsi="Times New Roman" w:cs="Times New Roman"/>
          <w:snapToGrid w:val="0"/>
          <w:color w:val="0000FF"/>
          <w:sz w:val="21"/>
          <w:szCs w:val="21"/>
          <w:u w:val="single" w:color="0000FF"/>
        </w:rPr>
        <w:instrText xml:space="preserve"> HYPERLINK "https://www.fda.gov/regulatory-information/search-fda-guidance-documents/use-international-standard-iso-10993-" </w:instrText>
      </w:r>
      <w:r>
        <w:rPr>
          <w:rFonts w:ascii="Times New Roman" w:hAnsi="Times New Roman" w:cs="Times New Roman"/>
          <w:snapToGrid w:val="0"/>
          <w:color w:val="0000FF"/>
          <w:sz w:val="21"/>
          <w:szCs w:val="21"/>
          <w:u w:val="single" w:color="0000FF"/>
        </w:rPr>
        <w:fldChar w:fldCharType="separate"/>
      </w:r>
      <w:r>
        <w:rPr>
          <w:rStyle w:val="11"/>
          <w:rFonts w:ascii="Times New Roman" w:hAnsi="Times New Roman" w:cs="Times New Roman"/>
          <w:snapToGrid w:val="0"/>
          <w:sz w:val="21"/>
          <w:szCs w:val="21"/>
          <w:u w:color="0000FF"/>
        </w:rPr>
        <w:t>https://www.fda.gov/regulatory-information/search-fda-guidance-documents/use-international-standard-iso-10993-</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cs="Times New Roman"/>
          <w:snapToGrid w:val="0"/>
          <w:color w:val="0000FF"/>
          <w:sz w:val="21"/>
          <w:szCs w:val="21"/>
          <w:u w:val="single" w:color="0000FF"/>
        </w:rPr>
        <w:t>1-biological-evaluation-medical-devices-part-1-evaluation-and</w:t>
      </w:r>
      <w:r>
        <w:rPr>
          <w:rFonts w:ascii="Times New Roman" w:hAnsi="Times New Roman" w:cs="Times New Roman"/>
          <w:snapToGrid w:val="0"/>
          <w:color w:val="0000FF"/>
          <w:sz w:val="21"/>
          <w:szCs w:val="21"/>
          <w:u w:val="single" w:color="0000FF"/>
        </w:rPr>
        <w:fldChar w:fldCharType="end"/>
      </w:r>
      <w:r>
        <w:rPr>
          <w:rFonts w:ascii="Times New Roman" w:hAnsi="Times New Roman" w:eastAsia="宋体" w:cs="宋体"/>
          <w:sz w:val="24"/>
        </w:rPr>
        <w:br w:type="page"/>
      </w:r>
    </w:p>
    <w:p w14:paraId="1E2041AC">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细胞毒性；</w:t>
      </w:r>
    </w:p>
    <w:p w14:paraId="56841A8E">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致敏；</w:t>
      </w:r>
    </w:p>
    <w:p w14:paraId="24FBA6D5">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刺激或皮内反应；</w:t>
      </w:r>
    </w:p>
    <w:p w14:paraId="653C0CC6">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急性全身毒性；</w:t>
      </w:r>
    </w:p>
    <w:p w14:paraId="4BC2E823">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材料介导的致热原性；</w:t>
      </w:r>
    </w:p>
    <w:p w14:paraId="0F506940">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血液相容性；</w:t>
      </w:r>
    </w:p>
    <w:p w14:paraId="1AE26A42">
      <w:pPr>
        <w:numPr>
          <w:ilvl w:val="0"/>
          <w:numId w:val="3"/>
        </w:numPr>
        <w:tabs>
          <w:tab w:val="left" w:pos="480"/>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rPr>
      </w:pPr>
      <w:r>
        <w:rPr>
          <w:rFonts w:ascii="Times New Roman" w:hAnsi="Times New Roman" w:eastAsia="宋体" w:cs="宋体"/>
          <w:sz w:val="24"/>
        </w:rPr>
        <w:t>直接和间接溶血；</w:t>
      </w:r>
    </w:p>
    <w:p w14:paraId="7B132DAE">
      <w:pPr>
        <w:numPr>
          <w:ilvl w:val="0"/>
          <w:numId w:val="3"/>
        </w:numPr>
        <w:tabs>
          <w:tab w:val="left" w:pos="480"/>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rPr>
      </w:pPr>
      <w:r>
        <w:rPr>
          <w:rFonts w:ascii="Times New Roman" w:hAnsi="Times New Roman" w:eastAsia="宋体" w:cs="宋体"/>
          <w:sz w:val="24"/>
        </w:rPr>
        <w:t>SC5b-9补体激活；以及</w:t>
      </w:r>
    </w:p>
    <w:p w14:paraId="29CC65E5">
      <w:pPr>
        <w:numPr>
          <w:ilvl w:val="0"/>
          <w:numId w:val="3"/>
        </w:numPr>
        <w:tabs>
          <w:tab w:val="left" w:pos="480"/>
        </w:tabs>
        <w:adjustRightInd w:val="0"/>
        <w:snapToGrid w:val="0"/>
        <w:spacing w:before="120" w:beforeLines="50" w:line="300" w:lineRule="auto"/>
        <w:ind w:left="1800" w:leftChars="600" w:hanging="480" w:hangingChars="200"/>
        <w:jc w:val="both"/>
        <w:rPr>
          <w:rFonts w:ascii="Times New Roman" w:hAnsi="Times New Roman" w:cs="Times New Roman"/>
          <w:snapToGrid w:val="0"/>
          <w:sz w:val="24"/>
          <w:szCs w:val="24"/>
        </w:rPr>
      </w:pPr>
      <w:r>
        <w:rPr>
          <w:rFonts w:ascii="Times New Roman" w:hAnsi="Times New Roman" w:eastAsia="宋体" w:cs="宋体"/>
          <w:sz w:val="24"/>
        </w:rPr>
        <w:t>促凝性。</w:t>
      </w:r>
    </w:p>
    <w:p w14:paraId="216DDB6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请注意，如果PTA球囊导管或专用导管含有接触患者的新材料，而以前未针对这些材料在合法上市的医疗器械中与循环血液的接触对其进行评价，则可能需要进行遗传毒性评估。</w:t>
      </w:r>
    </w:p>
    <w:p w14:paraId="0E87F19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正在进行动物研究以评价器械的安全性或性能，可以考虑在该研究中评价器械的血栓反应，以代替4小时犬类研究。如果选择此方法，应获取与4小时犬类研究等同的信息（例如，抗凝方案、激活凝血时间（ACT）、使用后器械和植入血管上的血栓形成，包括图片）。如果使用抗凝剂，应讨论该方法如何与临床实践相关。</w:t>
      </w:r>
    </w:p>
    <w:p w14:paraId="104CE808">
      <w:pPr>
        <w:numPr>
          <w:ilvl w:val="1"/>
          <w:numId w:val="3"/>
        </w:numPr>
        <w:adjustRightInd w:val="0"/>
        <w:snapToGrid w:val="0"/>
        <w:spacing w:before="120" w:beforeLines="50" w:line="300" w:lineRule="auto"/>
        <w:ind w:left="1723" w:leftChars="400" w:hanging="843" w:hangingChars="300"/>
        <w:jc w:val="both"/>
        <w:outlineLvl w:val="1"/>
        <w:rPr>
          <w:rFonts w:ascii="Times New Roman" w:hAnsi="Times New Roman" w:cs="Times New Roman"/>
          <w:b/>
          <w:bCs/>
          <w:snapToGrid w:val="0"/>
          <w:sz w:val="28"/>
          <w:szCs w:val="28"/>
        </w:rPr>
      </w:pPr>
      <w:bookmarkStart w:id="7" w:name="_Toc94218308"/>
      <w:r>
        <w:rPr>
          <w:rFonts w:hint="eastAsia" w:ascii="Times New Roman" w:hAnsi="Times New Roman" w:eastAsia="宋体" w:cs="宋体"/>
          <w:b/>
          <w:sz w:val="28"/>
          <w:lang w:eastAsia="zh-CN"/>
        </w:rPr>
        <w:t>无菌</w:t>
      </w:r>
      <w:bookmarkEnd w:id="7"/>
    </w:p>
    <w:p w14:paraId="716E462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：PTA球囊导管和专用导管会与血液直接接触，应充分灭菌，以减少感染和相关并发症。</w:t>
      </w:r>
    </w:p>
    <w:p w14:paraId="2E856E4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：对于标</w:t>
      </w:r>
      <w:r>
        <w:rPr>
          <w:rFonts w:hint="eastAsia" w:ascii="Times New Roman" w:hAnsi="Times New Roman" w:eastAsia="宋体" w:cs="宋体"/>
          <w:sz w:val="24"/>
          <w:lang w:eastAsia="zh-CN"/>
        </w:rPr>
        <w:t>识</w:t>
      </w:r>
      <w:r>
        <w:rPr>
          <w:rFonts w:ascii="Times New Roman" w:hAnsi="Times New Roman" w:eastAsia="宋体" w:cs="宋体"/>
          <w:sz w:val="24"/>
          <w:lang w:eastAsia="zh-CN"/>
        </w:rPr>
        <w:t>为无菌的PTA球囊导管和专用导管，建议根据FDA指南《无菌器械上市前通知（510(k)）申请中灭菌信息的提交和审查》</w:t>
      </w:r>
      <w:r>
        <w:rPr>
          <w:rFonts w:ascii="Times New Roman" w:hAnsi="Times New Roman" w:eastAsia="宋体" w:cs="宋体"/>
          <w:sz w:val="24"/>
          <w:vertAlign w:val="superscript"/>
          <w:lang w:eastAsia="zh-CN"/>
        </w:rPr>
        <w:t>4</w:t>
      </w:r>
      <w:r>
        <w:rPr>
          <w:rFonts w:ascii="Times New Roman" w:hAnsi="Times New Roman" w:eastAsia="宋体" w:cs="宋体"/>
          <w:sz w:val="24"/>
          <w:lang w:eastAsia="zh-CN"/>
        </w:rPr>
        <w:t>提供成品器械的信息。</w:t>
      </w:r>
      <w:r>
        <w:rPr>
          <w:lang w:eastAsia="zh-CN"/>
        </w:rPr>
        <w:t xml:space="preserve"> </w:t>
      </w:r>
    </w:p>
    <w:p w14:paraId="4FE4713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与心血管系统直接接触的器械应符合FDA指南《无菌器械上市前通知（510(k)）申请中灭菌信息的提交和审查》中所述的热原限度规范</w:t>
      </w:r>
      <w:r>
        <w:rPr>
          <w:rFonts w:ascii="Times New Roman" w:hAnsi="Times New Roman" w:eastAsia="宋体" w:cs="宋体"/>
          <w:color w:val="000000"/>
          <w:sz w:val="24"/>
          <w:lang w:eastAsia="zh-CN"/>
        </w:rPr>
        <w:t>。</w:t>
      </w:r>
      <w:r>
        <w:rPr>
          <w:rFonts w:ascii="Times New Roman" w:hAnsi="Times New Roman" w:eastAsia="宋体" w:cs="宋体"/>
          <w:sz w:val="24"/>
          <w:vertAlign w:val="superscript"/>
          <w:lang w:eastAsia="zh-CN"/>
        </w:rPr>
        <w:t>5</w:t>
      </w:r>
    </w:p>
    <w:p w14:paraId="09D8E3A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0A2B491">
      <w:pPr>
        <w:adjustRightInd w:val="0"/>
        <w:snapToGrid w:val="0"/>
        <w:spacing w:before="600" w:beforeLines="2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____________________________</w:t>
      </w:r>
    </w:p>
    <w:p w14:paraId="5CF60746">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rPr>
      </w:pPr>
      <w:bookmarkStart w:id="8" w:name="_bookmark10"/>
      <w:bookmarkEnd w:id="8"/>
      <w:r>
        <w:rPr>
          <w:rFonts w:ascii="Times New Roman" w:hAnsi="Times New Roman" w:cs="Times New Roman"/>
          <w:snapToGrid w:val="0"/>
          <w:color w:val="0000FF"/>
          <w:sz w:val="21"/>
          <w:szCs w:val="21"/>
          <w:u w:val="single" w:color="0000FF"/>
          <w:lang w:eastAsia="zh-CN"/>
        </w:rPr>
        <w:t xml:space="preserve"> </w:t>
      </w:r>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"http://www.fda.gov/regulatory-information/search-fda-guidance-documents/submission-and-review-sterility-"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www.fda.gov/regulatory-information/search-fda-guidance-documents/submission-and-review-sterility-</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rPr>
          <w:rFonts w:ascii="Times New Roman" w:hAnsi="Times New Roman" w:cs="Times New Roman"/>
          <w:snapToGrid w:val="0"/>
          <w:color w:val="0000FF"/>
          <w:sz w:val="21"/>
          <w:szCs w:val="21"/>
          <w:u w:val="single" w:color="0000FF"/>
        </w:rPr>
        <w:t>information-premarket-notification-510k-submissions-devices-labeled</w:t>
      </w:r>
      <w:r>
        <w:rPr>
          <w:rFonts w:ascii="Times New Roman" w:hAnsi="Times New Roman" w:eastAsia="宋体" w:cs="宋体"/>
          <w:sz w:val="24"/>
        </w:rPr>
        <w:br w:type="page"/>
      </w:r>
    </w:p>
    <w:p w14:paraId="6581F825">
      <w:pPr>
        <w:numPr>
          <w:ilvl w:val="1"/>
          <w:numId w:val="3"/>
        </w:numPr>
        <w:adjustRightInd w:val="0"/>
        <w:snapToGrid w:val="0"/>
        <w:spacing w:before="120" w:beforeLines="50" w:line="300" w:lineRule="auto"/>
        <w:ind w:left="1723" w:leftChars="400" w:hanging="843" w:hangingChars="300"/>
        <w:jc w:val="both"/>
        <w:outlineLvl w:val="1"/>
        <w:rPr>
          <w:rFonts w:ascii="Times New Roman" w:hAnsi="Times New Roman" w:cs="Times New Roman"/>
          <w:b/>
          <w:bCs/>
          <w:snapToGrid w:val="0"/>
          <w:sz w:val="28"/>
          <w:szCs w:val="28"/>
        </w:rPr>
      </w:pPr>
      <w:bookmarkStart w:id="9" w:name="_Toc94218309"/>
      <w:r>
        <w:rPr>
          <w:rFonts w:ascii="Times New Roman" w:hAnsi="Times New Roman" w:eastAsia="宋体" w:cs="宋体"/>
          <w:b/>
          <w:sz w:val="28"/>
        </w:rPr>
        <w:t>致热原性</w:t>
      </w:r>
      <w:bookmarkEnd w:id="9"/>
    </w:p>
    <w:p w14:paraId="46199CF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：热原性试验用于评估革兰氏阴性细菌内毒素和/或可从医疗器械中渗出的化学物质（例如，材料介导的热原）引起发热反应的风险。</w:t>
      </w:r>
    </w:p>
    <w:p w14:paraId="5FA7EE1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：为了解决与细菌内毒素存在相关的风险，PTA球囊导管和专用导管应符合510(k)灭菌指南中概述的建议，</w:t>
      </w:r>
      <w:r>
        <w:rPr>
          <w:rFonts w:hint="eastAsia" w:ascii="Times New Roman" w:hAnsi="Times New Roman" w:eastAsia="宋体" w:cs="宋体"/>
          <w:sz w:val="24"/>
          <w:lang w:eastAsia="zh-CN"/>
        </w:rPr>
        <w:t>从而符合</w:t>
      </w:r>
      <w:r>
        <w:rPr>
          <w:rFonts w:ascii="Times New Roman" w:hAnsi="Times New Roman" w:eastAsia="宋体" w:cs="宋体"/>
          <w:sz w:val="24"/>
          <w:lang w:eastAsia="zh-CN"/>
        </w:rPr>
        <w:t>热原限度规范。还应遵循《</w:t>
      </w:r>
      <w:r>
        <w:fldChar w:fldCharType="begin"/>
      </w:r>
      <w:r>
        <w:instrText xml:space="preserve"> HYPERLINK "https://www.fda.gov/regulatory-information/search-fda-guidance-documents/guidance-industry-pyrogen-and-endotoxins-testing-questions-and-answers" \h </w:instrText>
      </w:r>
      <w:r>
        <w:fldChar w:fldCharType="separate"/>
      </w:r>
      <w:r>
        <w:rPr>
          <w:rFonts w:ascii="Times New Roman" w:hAnsi="Times New Roman" w:eastAsia="宋体" w:cs="宋体"/>
          <w:snapToGrid w:val="0"/>
          <w:color w:val="0000FF"/>
          <w:sz w:val="24"/>
          <w:szCs w:val="24"/>
          <w:u w:val="single"/>
          <w:lang w:eastAsia="zh-CN"/>
        </w:rPr>
        <w:t>工业热原和内毒素检测指南：问答</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》中的建议。</w:t>
      </w:r>
      <w:r>
        <w:rPr>
          <w:rFonts w:ascii="Times New Roman" w:hAnsi="Times New Roman" w:eastAsia="宋体" w:cs="宋体"/>
          <w:sz w:val="24"/>
          <w:vertAlign w:val="superscript"/>
          <w:lang w:eastAsia="zh-CN"/>
        </w:rPr>
        <w:t>6</w:t>
      </w:r>
      <w:r>
        <w:rPr>
          <w:rFonts w:ascii="Times New Roman" w:hAnsi="Times New Roman" w:eastAsia="宋体" w:cs="宋体"/>
          <w:color w:val="000000"/>
          <w:sz w:val="24"/>
          <w:lang w:eastAsia="zh-CN"/>
        </w:rPr>
        <w:t>为说明与材料介导的内毒素相关的风险，应遵循FDA指南中《</w:t>
      </w:r>
      <w:r>
        <w:fldChar w:fldCharType="begin"/>
      </w:r>
      <w:r>
        <w:rPr>
          <w:lang w:eastAsia="zh-CN"/>
        </w:rP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4"/>
          <w:szCs w:val="24"/>
          <w:u w:val="single"/>
          <w:lang w:eastAsia="zh-CN"/>
        </w:rPr>
        <w:t>使用国际标准ISO-10993，</w:t>
      </w:r>
      <w:r>
        <w:rPr>
          <w:rFonts w:ascii="Times New Roman" w:hAnsi="Times New Roman" w:eastAsia="宋体" w:cs="宋体"/>
          <w:snapToGrid w:val="0"/>
          <w:color w:val="0000FF"/>
          <w:sz w:val="24"/>
          <w:szCs w:val="24"/>
          <w:u w:val="single"/>
          <w:lang w:eastAsia="zh-CN"/>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4"/>
          <w:szCs w:val="24"/>
          <w:u w:val="single"/>
          <w:lang w:eastAsia="zh-CN"/>
        </w:rPr>
        <w:t>医疗器械生物学评价第1部分：评价与试验</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》的建议。</w:t>
      </w:r>
      <w:r>
        <w:rPr>
          <w:rFonts w:ascii="Times New Roman" w:hAnsi="Times New Roman" w:eastAsia="宋体" w:cs="宋体"/>
          <w:color w:val="000000"/>
          <w:sz w:val="24"/>
          <w:lang w:eastAsia="zh-CN"/>
        </w:rPr>
        <w:t xml:space="preserve">” </w:t>
      </w:r>
      <w:r>
        <w:fldChar w:fldCharType="begin"/>
      </w:r>
      <w:r>
        <w:instrText xml:space="preserve"> HYPERLINK \l "_bookmark15" </w:instrText>
      </w:r>
      <w:r>
        <w:fldChar w:fldCharType="separate"/>
      </w:r>
      <w:r>
        <w:rPr>
          <w:rFonts w:ascii="Times New Roman" w:hAnsi="Times New Roman" w:eastAsia="宋体" w:cs="宋体"/>
          <w:snapToGrid w:val="0"/>
          <w:color w:val="000000"/>
          <w:sz w:val="24"/>
          <w:szCs w:val="24"/>
          <w:vertAlign w:val="superscript"/>
          <w:lang w:eastAsia="zh-CN"/>
        </w:rPr>
        <w:t>7</w:t>
      </w:r>
      <w:r>
        <w:rPr>
          <w:rFonts w:ascii="Times New Roman" w:hAnsi="Times New Roman" w:eastAsia="宋体" w:cs="宋体"/>
          <w:snapToGrid w:val="0"/>
          <w:color w:val="000000"/>
          <w:sz w:val="24"/>
          <w:szCs w:val="24"/>
          <w:vertAlign w:val="superscript"/>
          <w:lang w:eastAsia="zh-CN"/>
        </w:rPr>
        <w:fldChar w:fldCharType="end"/>
      </w:r>
    </w:p>
    <w:p w14:paraId="48670A2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对于预期标记为“无致热原”的器械，建议进行细菌内毒素和材料介导热原试验。与心血管系统直接接触的器械应符合FDA指南《</w:t>
      </w:r>
      <w:r>
        <w:fldChar w:fldCharType="begin"/>
      </w:r>
      <w:r>
        <w:rPr>
          <w:lang w:eastAsia="zh-CN"/>
        </w:rPr>
        <w:instrText xml:space="preserve"> HYPERLINK "https://www.fda.gov/regulatory-information/search-fda-guidance-documents/submission-and-review-sterility-information-premarket-notification-510k-submissions-devices-labeled" \h </w:instrText>
      </w:r>
      <w:r>
        <w:fldChar w:fldCharType="separate"/>
      </w:r>
      <w:r>
        <w:rPr>
          <w:rFonts w:ascii="Times New Roman" w:hAnsi="Times New Roman" w:eastAsia="宋体" w:cs="宋体"/>
          <w:snapToGrid w:val="0"/>
          <w:color w:val="0000FF"/>
          <w:sz w:val="24"/>
          <w:szCs w:val="24"/>
          <w:u w:val="single"/>
          <w:lang w:eastAsia="zh-CN"/>
        </w:rPr>
        <w:t>无菌器械上市前通知（510(k)）申请中灭菌信息的提交和审查》</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vertAlign w:val="superscript"/>
          <w:lang w:eastAsia="zh-CN"/>
        </w:rPr>
        <w:t>8</w:t>
      </w:r>
      <w:r>
        <w:rPr>
          <w:rFonts w:ascii="Times New Roman" w:hAnsi="Times New Roman" w:eastAsia="宋体" w:cs="宋体"/>
          <w:sz w:val="24"/>
          <w:lang w:eastAsia="zh-CN"/>
        </w:rPr>
        <w:t>中所述的热原限度规范</w:t>
      </w:r>
      <w:r>
        <w:rPr>
          <w:rFonts w:ascii="Times New Roman" w:hAnsi="Times New Roman" w:eastAsia="宋体" w:cs="宋体"/>
          <w:color w:val="000000"/>
          <w:sz w:val="24"/>
          <w:lang w:eastAsia="zh-CN"/>
        </w:rPr>
        <w:t>。</w:t>
      </w:r>
    </w:p>
    <w:p w14:paraId="33FD73C7">
      <w:pPr>
        <w:numPr>
          <w:ilvl w:val="1"/>
          <w:numId w:val="3"/>
        </w:numPr>
        <w:adjustRightInd w:val="0"/>
        <w:snapToGrid w:val="0"/>
        <w:spacing w:before="120" w:beforeLines="50" w:line="300" w:lineRule="auto"/>
        <w:ind w:left="1723" w:leftChars="400" w:hanging="843" w:hangingChars="300"/>
        <w:jc w:val="both"/>
        <w:outlineLvl w:val="1"/>
        <w:rPr>
          <w:rFonts w:ascii="Times New Roman" w:hAnsi="Times New Roman" w:cs="Times New Roman"/>
          <w:b/>
          <w:bCs/>
          <w:snapToGrid w:val="0"/>
          <w:sz w:val="28"/>
          <w:szCs w:val="28"/>
        </w:rPr>
      </w:pPr>
      <w:bookmarkStart w:id="10" w:name="_Toc94218310"/>
      <w:r>
        <w:rPr>
          <w:rFonts w:ascii="Times New Roman" w:hAnsi="Times New Roman" w:eastAsia="宋体" w:cs="宋体"/>
          <w:b/>
          <w:sz w:val="28"/>
        </w:rPr>
        <w:t>货架寿命和包装</w:t>
      </w:r>
      <w:bookmarkEnd w:id="10"/>
    </w:p>
    <w:p w14:paraId="1D4F6B9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：通过</w:t>
      </w:r>
      <w:r>
        <w:rPr>
          <w:rFonts w:hint="eastAsia" w:ascii="Times New Roman" w:hAnsi="Times New Roman" w:eastAsia="宋体" w:cs="宋体"/>
          <w:sz w:val="24"/>
          <w:lang w:eastAsia="zh-CN"/>
        </w:rPr>
        <w:t>对</w:t>
      </w:r>
      <w:r>
        <w:rPr>
          <w:rFonts w:ascii="Times New Roman" w:hAnsi="Times New Roman" w:eastAsia="宋体" w:cs="宋体"/>
          <w:sz w:val="24"/>
          <w:lang w:eastAsia="zh-CN"/>
        </w:rPr>
        <w:t>保持器械无菌性</w:t>
      </w:r>
      <w:r>
        <w:rPr>
          <w:rFonts w:hint="eastAsia" w:ascii="Times New Roman" w:hAnsi="Times New Roman" w:eastAsia="宋体" w:cs="宋体"/>
          <w:sz w:val="24"/>
          <w:lang w:eastAsia="zh-CN"/>
        </w:rPr>
        <w:t>的</w:t>
      </w:r>
      <w:r>
        <w:rPr>
          <w:rFonts w:ascii="Times New Roman" w:hAnsi="Times New Roman" w:eastAsia="宋体" w:cs="宋体"/>
          <w:sz w:val="24"/>
          <w:lang w:eastAsia="zh-CN"/>
        </w:rPr>
        <w:t>包装完整性和/或</w:t>
      </w:r>
      <w:r>
        <w:rPr>
          <w:rFonts w:hint="eastAsia" w:ascii="Times New Roman" w:hAnsi="Times New Roman" w:eastAsia="宋体" w:cs="宋体"/>
          <w:sz w:val="24"/>
          <w:lang w:eastAsia="zh-CN"/>
        </w:rPr>
        <w:t>对</w:t>
      </w:r>
      <w:r>
        <w:rPr>
          <w:rFonts w:ascii="Times New Roman" w:hAnsi="Times New Roman" w:eastAsia="宋体" w:cs="宋体"/>
          <w:sz w:val="24"/>
          <w:lang w:eastAsia="zh-CN"/>
        </w:rPr>
        <w:t>器械性能或功能</w:t>
      </w:r>
      <w:r>
        <w:rPr>
          <w:rFonts w:hint="eastAsia" w:ascii="Times New Roman" w:hAnsi="Times New Roman" w:eastAsia="宋体" w:cs="宋体"/>
          <w:sz w:val="24"/>
          <w:lang w:eastAsia="zh-CN"/>
        </w:rPr>
        <w:t>造成影响的所有</w:t>
      </w:r>
      <w:r>
        <w:rPr>
          <w:rFonts w:ascii="Times New Roman" w:hAnsi="Times New Roman" w:eastAsia="宋体" w:cs="宋体"/>
          <w:sz w:val="24"/>
          <w:lang w:eastAsia="zh-CN"/>
        </w:rPr>
        <w:t>变化</w:t>
      </w:r>
      <w:r>
        <w:rPr>
          <w:rFonts w:hint="eastAsia" w:ascii="Times New Roman" w:hAnsi="Times New Roman" w:eastAsia="宋体" w:cs="宋体"/>
          <w:sz w:val="24"/>
          <w:lang w:eastAsia="zh-CN"/>
        </w:rPr>
        <w:t>进行评价</w:t>
      </w:r>
      <w:r>
        <w:rPr>
          <w:rFonts w:ascii="Times New Roman" w:hAnsi="Times New Roman" w:eastAsia="宋体" w:cs="宋体"/>
          <w:sz w:val="24"/>
          <w:lang w:eastAsia="zh-CN"/>
        </w:rPr>
        <w:t>，</w:t>
      </w:r>
      <w:r>
        <w:rPr>
          <w:rFonts w:hint="eastAsia" w:ascii="Times New Roman" w:hAnsi="Times New Roman" w:eastAsia="宋体" w:cs="宋体"/>
          <w:sz w:val="24"/>
          <w:lang w:eastAsia="zh-CN"/>
        </w:rPr>
        <w:t>开展</w:t>
      </w:r>
      <w:r>
        <w:rPr>
          <w:rFonts w:ascii="Times New Roman" w:hAnsi="Times New Roman" w:eastAsia="宋体" w:cs="宋体"/>
          <w:sz w:val="24"/>
          <w:lang w:eastAsia="zh-CN"/>
        </w:rPr>
        <w:t>货架寿命试验</w:t>
      </w:r>
      <w:r>
        <w:rPr>
          <w:rFonts w:hint="eastAsia" w:ascii="Times New Roman" w:hAnsi="Times New Roman" w:eastAsia="宋体" w:cs="宋体"/>
          <w:sz w:val="24"/>
          <w:lang w:eastAsia="zh-CN"/>
        </w:rPr>
        <w:t>从而</w:t>
      </w:r>
      <w:r>
        <w:rPr>
          <w:rFonts w:ascii="Times New Roman" w:hAnsi="Times New Roman" w:eastAsia="宋体" w:cs="宋体"/>
          <w:sz w:val="24"/>
          <w:lang w:eastAsia="zh-CN"/>
        </w:rPr>
        <w:t>支持拟议的到期日期。</w:t>
      </w:r>
    </w:p>
    <w:p w14:paraId="0ADE5E1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：关于保持PTA球囊导管和专用导管器械无菌性的包装完整性，应提供包装说明，包括如何保持器械无菌性，包装完整性试验方法</w:t>
      </w:r>
      <w:r>
        <w:rPr>
          <w:rFonts w:hint="eastAsia" w:ascii="Times New Roman" w:hAnsi="Times New Roman" w:eastAsia="宋体" w:cs="宋体"/>
          <w:sz w:val="24"/>
          <w:lang w:eastAsia="zh-CN"/>
        </w:rPr>
        <w:t>的描述</w:t>
      </w:r>
      <w:r>
        <w:rPr>
          <w:rFonts w:ascii="Times New Roman" w:hAnsi="Times New Roman" w:eastAsia="宋体" w:cs="宋体"/>
          <w:sz w:val="24"/>
          <w:lang w:eastAsia="zh-CN"/>
        </w:rPr>
        <w:t>，以及包装完整性试验数据摘要，包括试验、验收标准、结果和</w:t>
      </w:r>
      <w:r>
        <w:rPr>
          <w:rFonts w:hint="eastAsia" w:ascii="Times New Roman" w:hAnsi="Times New Roman" w:eastAsia="宋体" w:cs="宋体"/>
          <w:sz w:val="24"/>
          <w:lang w:eastAsia="zh-CN"/>
        </w:rPr>
        <w:t>所有</w:t>
      </w:r>
      <w:r>
        <w:rPr>
          <w:rFonts w:ascii="Times New Roman" w:hAnsi="Times New Roman" w:eastAsia="宋体" w:cs="宋体"/>
          <w:sz w:val="24"/>
          <w:lang w:eastAsia="zh-CN"/>
        </w:rPr>
        <w:t>注明的偏离。</w:t>
      </w:r>
    </w:p>
    <w:p w14:paraId="0FCC459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A9766C9">
      <w:pPr>
        <w:adjustRightInd w:val="0"/>
        <w:snapToGrid w:val="0"/>
        <w:spacing w:before="2040" w:beforeLines="8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____________________________</w:t>
      </w:r>
    </w:p>
    <w:p w14:paraId="0D4F0331">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rPr>
      </w:pPr>
      <w:bookmarkStart w:id="11" w:name="_bookmark13"/>
      <w:bookmarkEnd w:id="11"/>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"http://www.fda.gov/regulatory-information/search-fda-guidance-documents/submission-and-review-sterility-"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www.fda.gov/regulatory-information/search-fda-guidance-documents/submission-and-review-sterility-</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rPr>
          <w:rFonts w:ascii="Times New Roman" w:hAnsi="Times New Roman" w:cs="Times New Roman"/>
          <w:snapToGrid w:val="0"/>
          <w:color w:val="0000FF"/>
          <w:sz w:val="21"/>
          <w:szCs w:val="21"/>
          <w:u w:val="single" w:color="0000FF"/>
        </w:rPr>
        <w:t>information-premarket-notification-510k-submissions-devices-labeled</w:t>
      </w:r>
    </w:p>
    <w:p w14:paraId="2B3A1DEF">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rPr>
      </w:pPr>
      <w:bookmarkStart w:id="12" w:name="_bookmark14"/>
      <w:bookmarkEnd w:id="12"/>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"http://www.fda.gov/regulatory-information/search-fda-guidance-documents/guidance-industry-pyrogen-and-"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www.fda.gov/regulatory-information/search-fda-guidance-documents/guidance-industry-pyrogen-and-</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rPr>
          <w:rFonts w:ascii="Times New Roman" w:hAnsi="Times New Roman" w:cs="Times New Roman"/>
          <w:snapToGrid w:val="0"/>
          <w:color w:val="0000FF"/>
          <w:sz w:val="21"/>
          <w:szCs w:val="21"/>
          <w:u w:val="single" w:color="0000FF"/>
        </w:rPr>
        <w:t>endotoxins-testing-questions-and-answers</w:t>
      </w:r>
    </w:p>
    <w:p w14:paraId="6F9B16F7">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rPr>
      </w:pPr>
      <w:r>
        <w:fldChar w:fldCharType="begin"/>
      </w:r>
      <w:r>
        <w:instrText xml:space="preserve"> HYPERLINK "https://www.fda.gov/regulatory-information/search-fda-guidance-documents/use-international-standard-iso-10993-1-biological-evaluation-medical-devices-part-1-evaluation-and" \h </w:instrText>
      </w:r>
      <w:r>
        <w:fldChar w:fldCharType="separate"/>
      </w:r>
      <w:bookmarkStart w:id="13" w:name="_bookmark15"/>
      <w:bookmarkEnd w:id="13"/>
      <w:r>
        <w:rPr>
          <w:rFonts w:ascii="Times New Roman" w:hAnsi="Times New Roman" w:cs="Times New Roman"/>
          <w:snapToGrid w:val="0"/>
          <w:color w:val="0000FF"/>
          <w:sz w:val="21"/>
          <w:szCs w:val="21"/>
          <w:u w:val="single" w:color="0000FF"/>
        </w:rPr>
        <w:t>https://www.fda.gov/regulatory-information/search-fda-guidance-documents/use-international-standard-iso-10993-</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cs="Times New Roman"/>
          <w:snapToGrid w:val="0"/>
          <w:color w:val="0000FF"/>
          <w:sz w:val="21"/>
          <w:szCs w:val="21"/>
          <w:u w:val="single" w:color="0000FF"/>
        </w:rPr>
        <w:t>1-biological-evaluation-medical-devices-part-1-evaluation-and</w:t>
      </w:r>
      <w:r>
        <w:rPr>
          <w:rFonts w:ascii="Times New Roman" w:hAnsi="Times New Roman" w:cs="Times New Roman"/>
          <w:snapToGrid w:val="0"/>
          <w:color w:val="0000FF"/>
          <w:sz w:val="21"/>
          <w:szCs w:val="21"/>
          <w:u w:val="single" w:color="0000FF"/>
        </w:rPr>
        <w:fldChar w:fldCharType="end"/>
      </w:r>
    </w:p>
    <w:p w14:paraId="2BCCE3F7">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"http://www.fda.gov/regulatory-information/search-fda-guidance-documents/submission-and-review-sterility-"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www.fda.gov/regulatory-information/search-fda-guidance-documents/submission-and-review-sterility-</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u w:val="single" w:color="0000FF"/>
        </w:rPr>
        <w:t xml:space="preserve"> information-premarket-notification-510k-submissions-devices-labeled</w:t>
      </w:r>
      <w:r>
        <w:rPr>
          <w:sz w:val="21"/>
        </w:rPr>
        <w:br w:type="page"/>
      </w:r>
    </w:p>
    <w:p w14:paraId="6E52334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在对全包装构型进行模拟</w:t>
      </w:r>
      <w:r>
        <w:rPr>
          <w:rFonts w:hint="eastAsia" w:ascii="Times New Roman" w:hAnsi="Times New Roman" w:eastAsia="宋体" w:cs="宋体"/>
          <w:sz w:val="24"/>
          <w:lang w:eastAsia="zh-CN"/>
        </w:rPr>
        <w:t>运输</w:t>
      </w:r>
      <w:r>
        <w:rPr>
          <w:rFonts w:ascii="Times New Roman" w:hAnsi="Times New Roman" w:eastAsia="宋体" w:cs="宋体"/>
          <w:sz w:val="24"/>
          <w:lang w:eastAsia="zh-CN"/>
        </w:rPr>
        <w:t>（根据ASTM D4169：《运输容器和系统性能试验标准实施规程》）和</w:t>
      </w:r>
      <w:r>
        <w:rPr>
          <w:rFonts w:hint="eastAsia" w:ascii="Times New Roman" w:hAnsi="Times New Roman" w:eastAsia="宋体" w:cs="宋体"/>
          <w:sz w:val="24"/>
          <w:lang w:eastAsia="zh-CN"/>
        </w:rPr>
        <w:t>气候</w:t>
      </w:r>
      <w:r>
        <w:rPr>
          <w:rFonts w:ascii="Times New Roman" w:hAnsi="Times New Roman" w:eastAsia="宋体" w:cs="宋体"/>
          <w:sz w:val="24"/>
          <w:lang w:eastAsia="zh-CN"/>
        </w:rPr>
        <w:t>条件（根据ASTM D4332：《试验用调节容器、包装件或包装件的标准实施规程》）后，建议评估无菌屏障材料和密封的包装完整性和强度。包装材料的完整性可通过气泡</w:t>
      </w:r>
      <w:r>
        <w:rPr>
          <w:rFonts w:hint="eastAsia" w:ascii="Times New Roman" w:hAnsi="Times New Roman" w:eastAsia="宋体" w:cs="宋体"/>
          <w:sz w:val="24"/>
          <w:lang w:eastAsia="zh-CN"/>
        </w:rPr>
        <w:t>泄漏</w:t>
      </w:r>
      <w:r>
        <w:rPr>
          <w:rFonts w:ascii="Times New Roman" w:hAnsi="Times New Roman" w:eastAsia="宋体" w:cs="宋体"/>
          <w:sz w:val="24"/>
          <w:lang w:eastAsia="zh-CN"/>
        </w:rPr>
        <w:t>试验（根据ASTM F2096：《通过内部加压（气泡试验）检测包装总泄漏的标准试验方法》）和爆破试验（根据ASTM F2054/F2054M：《在约束板上使用内部空气加压对软包装密封进行破裂试验的标准试验方法》）等试验方法进行评估。密封件的完整性也可使用多种试验方法进行评估，包括目视评估（根据ASTM F 1886/F 1886M：《通过目视检查确定软包装密封完整性的标准试验方法》）、气泡泄漏试验（根据ASTM F2096：《通过内部加压（气泡试验）检测包装总泄漏的标准试验方法》）和染料渗透试验（根据ASTM F1929：《通过染料渗透检测多孔医疗包装密封泄漏的标准试验方法》）。密封强度评估（根据ASTM F88/F88M：《柔性屏障材料密封强度的标准试验方法》）也应在基线和老化后进行（通过真实验证性试验加速），以确保密封不会因施加在密封上的任何力而受损。</w:t>
      </w:r>
    </w:p>
    <w:p w14:paraId="6286F02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关于评价老化对器械性能或功能的影响，货架寿命研究应评价器械的关键物理和机械性能，以确保其在整个拟议</w:t>
      </w:r>
      <w:r>
        <w:rPr>
          <w:rFonts w:hint="eastAsia" w:ascii="Times New Roman" w:hAnsi="Times New Roman" w:eastAsia="宋体" w:cs="宋体"/>
          <w:sz w:val="24"/>
          <w:lang w:eastAsia="zh-CN"/>
        </w:rPr>
        <w:t>的</w:t>
      </w:r>
      <w:r>
        <w:rPr>
          <w:rFonts w:ascii="Times New Roman" w:hAnsi="Times New Roman" w:eastAsia="宋体" w:cs="宋体"/>
          <w:sz w:val="24"/>
          <w:lang w:eastAsia="zh-CN"/>
        </w:rPr>
        <w:t>货架寿命内充分且一致地运行。为评价老化后的器械功能，建议评估第III.G节中描述的每个台架试验，并重复进行评价可能受老化影响的设计组件或特性的所有试验。对于基线试验所用方法的偏离，应提供偏离的依据（例如，样本量较小、评估器械尺寸不同、试验步骤遗漏）。</w:t>
      </w:r>
    </w:p>
    <w:p w14:paraId="6DB7163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对于PTA球囊导管和专用导管（无菌和/或具有建议有效期），建议提供货架寿命的试验方法、结果和从结果中得出的结论的概述。如果使用加速老化的器械进行货架寿命</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，建议指定器械的老化方式。建议按照目前FDA认可标准ASTM F1980《医疗器械无菌屏障系统加速老化标准指南》对器械进行老化，并指定为达到有效期限而确定的环境参数。对于含有聚合物材料的器械或组件，应计划对实时老化样本进行</w:t>
      </w:r>
      <w:r>
        <w:rPr>
          <w:rFonts w:hint="eastAsia" w:ascii="Times New Roman" w:hAnsi="Times New Roman" w:eastAsia="宋体" w:cs="宋体"/>
          <w:sz w:val="24"/>
          <w:lang w:eastAsia="zh-CN"/>
        </w:rPr>
        <w:t>试验</w:t>
      </w:r>
      <w:r>
        <w:rPr>
          <w:rFonts w:ascii="Times New Roman" w:hAnsi="Times New Roman" w:eastAsia="宋体" w:cs="宋体"/>
          <w:sz w:val="24"/>
          <w:lang w:eastAsia="zh-CN"/>
        </w:rPr>
        <w:t>，以确认加速老化可以反映实时老化。该试验应与510(k)审查和批准同时进行，并根据21 CFR 820.30的规定将结果记录在器械的设计历史文档中（即，试验报告无需提交给FDA）。</w:t>
      </w:r>
    </w:p>
    <w:p w14:paraId="23DB982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3A6963FE">
      <w:pPr>
        <w:numPr>
          <w:ilvl w:val="1"/>
          <w:numId w:val="3"/>
        </w:numPr>
        <w:tabs>
          <w:tab w:val="left" w:pos="860"/>
        </w:tabs>
        <w:adjustRightInd w:val="0"/>
        <w:snapToGrid w:val="0"/>
        <w:spacing w:before="120" w:beforeLines="50" w:line="300" w:lineRule="auto"/>
        <w:ind w:left="1723" w:leftChars="400" w:hanging="843" w:hangingChars="300"/>
        <w:jc w:val="both"/>
        <w:outlineLvl w:val="1"/>
        <w:rPr>
          <w:rFonts w:ascii="Times New Roman" w:hAnsi="Times New Roman" w:cs="Times New Roman"/>
          <w:b/>
          <w:bCs/>
          <w:snapToGrid w:val="0"/>
          <w:sz w:val="28"/>
          <w:szCs w:val="28"/>
        </w:rPr>
      </w:pPr>
      <w:bookmarkStart w:id="14" w:name="_Toc94218311"/>
      <w:r>
        <w:rPr>
          <w:rFonts w:ascii="Times New Roman" w:hAnsi="Times New Roman" w:eastAsia="宋体" w:cs="宋体"/>
          <w:b/>
          <w:sz w:val="28"/>
        </w:rPr>
        <w:t>非临床性能试验</w:t>
      </w:r>
      <w:bookmarkEnd w:id="14"/>
    </w:p>
    <w:p w14:paraId="782DCDDA">
      <w:pPr>
        <w:adjustRightInd w:val="0"/>
        <w:snapToGrid w:val="0"/>
        <w:spacing w:before="120" w:beforeLines="50" w:line="300" w:lineRule="auto"/>
        <w:ind w:left="2242" w:leftChars="800" w:hanging="482" w:hangingChars="200"/>
        <w:jc w:val="both"/>
        <w:outlineLvl w:val="2"/>
        <w:rPr>
          <w:rFonts w:ascii="Times New Roman" w:hAnsi="Times New Roman" w:cs="Times New Roman"/>
          <w:snapToGrid w:val="0"/>
          <w:sz w:val="24"/>
          <w:szCs w:val="24"/>
          <w:lang w:eastAsia="zh-CN"/>
        </w:rPr>
      </w:pPr>
      <w:bookmarkStart w:id="15" w:name="_Toc94218312"/>
      <w:r>
        <w:rPr>
          <w:rFonts w:ascii="Times New Roman" w:hAnsi="Times New Roman" w:eastAsia="宋体" w:cs="宋体"/>
          <w:b/>
          <w:sz w:val="24"/>
          <w:lang w:eastAsia="zh-CN"/>
        </w:rPr>
        <w:t>(1)</w:t>
      </w:r>
      <w:r>
        <w:rPr>
          <w:rFonts w:ascii="Times New Roman" w:hAnsi="Times New Roman" w:eastAsia="宋体" w:cs="宋体"/>
          <w:sz w:val="24"/>
          <w:lang w:eastAsia="zh-CN"/>
        </w:rPr>
        <w:tab/>
      </w:r>
      <w:r>
        <w:rPr>
          <w:rFonts w:ascii="Times New Roman" w:hAnsi="Times New Roman" w:eastAsia="宋体" w:cs="宋体"/>
          <w:b/>
          <w:sz w:val="24"/>
          <w:lang w:eastAsia="zh-CN"/>
        </w:rPr>
        <w:t>PTA和专用导管的标准性能试验</w:t>
      </w:r>
      <w:bookmarkEnd w:id="15"/>
    </w:p>
    <w:p w14:paraId="103F287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对PTA和专用导管进行非临床性能试验，以充分描述器械的特性，并确保器械能够按预期运行。应对经过所有制造过程（包括灭菌过程）的成品进行以下建议的试验。此外，应对供试品和成品之间的差异进行讨论并证明其合理性。</w:t>
      </w:r>
    </w:p>
    <w:p w14:paraId="61FF67D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有关本节所述试验的建议内容和格式的信息，请参考FDA指南《</w:t>
      </w:r>
      <w:r>
        <w:fldChar w:fldCharType="begin"/>
      </w:r>
      <w:r>
        <w:rPr>
          <w:lang w:eastAsia="zh-CN"/>
        </w:rPr>
        <w:instrText xml:space="preserve"> HYPERLINK "https://www.fda.gov/regulatory-information/search-fda-guidance-documents/recommended-content-and-format-non-clinical-bench-performance-testing-information-premarket" \h </w:instrText>
      </w:r>
      <w:r>
        <w:fldChar w:fldCharType="separate"/>
      </w:r>
      <w:r>
        <w:rPr>
          <w:rFonts w:ascii="Times New Roman" w:hAnsi="Times New Roman" w:eastAsia="宋体" w:cs="宋体"/>
          <w:snapToGrid w:val="0"/>
          <w:color w:val="0000FF"/>
          <w:sz w:val="24"/>
          <w:szCs w:val="24"/>
          <w:u w:val="single"/>
          <w:lang w:eastAsia="zh-CN"/>
        </w:rPr>
        <w:t>上市前申请的非临床实验室性能试验信息的建议内容和格式</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9</w:t>
      </w:r>
    </w:p>
    <w:p w14:paraId="1E3EA4E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请注意，ISO 10555-1：《血管内导管–无菌和一次性血管内导管–第1部分：一般要求》和ISO 10555-4：《无菌和一次性血管内导管–第4部分：球囊扩张导管》中所述建议直接适用于PTA导管和</w:t>
      </w:r>
      <w:r>
        <w:rPr>
          <w:rFonts w:hint="eastAsia" w:ascii="Times New Roman" w:hAnsi="Times New Roman" w:eastAsia="宋体" w:cs="宋体"/>
          <w:sz w:val="24"/>
          <w:lang w:eastAsia="zh-CN"/>
        </w:rPr>
        <w:t>多种</w:t>
      </w:r>
      <w:r>
        <w:rPr>
          <w:rFonts w:ascii="Times New Roman" w:hAnsi="Times New Roman" w:eastAsia="宋体" w:cs="宋体"/>
          <w:sz w:val="24"/>
          <w:lang w:eastAsia="zh-CN"/>
        </w:rPr>
        <w:t>专用导管。因此，应遵循这些标准中建议的试验和方法，或提供偏离这些方法的理由。然而，这些标准可能不包括FDA推荐的所有试验，或者可能对推荐试验的类型不够具体。因此，还应遵循以下</w:t>
      </w:r>
      <w:r>
        <w:rPr>
          <w:rFonts w:hint="eastAsia" w:ascii="Times New Roman" w:hAnsi="Times New Roman" w:eastAsia="宋体" w:cs="宋体"/>
          <w:sz w:val="24"/>
          <w:lang w:eastAsia="zh-CN"/>
        </w:rPr>
        <w:t>对</w:t>
      </w:r>
      <w:r>
        <w:rPr>
          <w:rFonts w:ascii="Times New Roman" w:hAnsi="Times New Roman" w:eastAsia="宋体" w:cs="宋体"/>
          <w:sz w:val="24"/>
          <w:lang w:eastAsia="zh-CN"/>
        </w:rPr>
        <w:t>共识标准</w:t>
      </w:r>
      <w:r>
        <w:rPr>
          <w:rFonts w:hint="eastAsia" w:ascii="Times New Roman" w:hAnsi="Times New Roman" w:eastAsia="宋体" w:cs="宋体"/>
          <w:sz w:val="24"/>
          <w:lang w:eastAsia="zh-CN"/>
        </w:rPr>
        <w:t>补充性</w:t>
      </w:r>
      <w:r>
        <w:rPr>
          <w:rFonts w:ascii="Times New Roman" w:hAnsi="Times New Roman" w:eastAsia="宋体" w:cs="宋体"/>
          <w:sz w:val="24"/>
          <w:lang w:eastAsia="zh-CN"/>
        </w:rPr>
        <w:t>的建议。</w:t>
      </w:r>
    </w:p>
    <w:p w14:paraId="6449F66E">
      <w:pPr>
        <w:numPr>
          <w:ilvl w:val="2"/>
          <w:numId w:val="3"/>
        </w:numPr>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尺寸验证</w:t>
      </w:r>
    </w:p>
    <w:p w14:paraId="047FCE1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：准确的器械尺寸有助于医生选择合适的产品和附件器械</w:t>
      </w:r>
      <w:r>
        <w:rPr>
          <w:rFonts w:hint="eastAsia" w:ascii="Times New Roman" w:hAnsi="Times New Roman" w:eastAsia="宋体" w:cs="宋体"/>
          <w:sz w:val="24"/>
          <w:lang w:eastAsia="zh-CN"/>
        </w:rPr>
        <w:t>的</w:t>
      </w:r>
      <w:r>
        <w:rPr>
          <w:rFonts w:ascii="Times New Roman" w:hAnsi="Times New Roman" w:eastAsia="宋体" w:cs="宋体"/>
          <w:sz w:val="24"/>
          <w:lang w:eastAsia="zh-CN"/>
        </w:rPr>
        <w:t>尺寸。还可能影响</w:t>
      </w:r>
      <w:r>
        <w:rPr>
          <w:rFonts w:hint="eastAsia" w:ascii="Times New Roman" w:hAnsi="Times New Roman" w:eastAsia="宋体" w:cs="宋体"/>
          <w:sz w:val="24"/>
          <w:lang w:eastAsia="zh-CN"/>
        </w:rPr>
        <w:t>术者将</w:t>
      </w:r>
      <w:r>
        <w:rPr>
          <w:rFonts w:ascii="Times New Roman" w:hAnsi="Times New Roman" w:eastAsia="宋体" w:cs="宋体"/>
          <w:sz w:val="24"/>
          <w:lang w:eastAsia="zh-CN"/>
        </w:rPr>
        <w:t>导管</w:t>
      </w:r>
      <w:r>
        <w:rPr>
          <w:rFonts w:hint="eastAsia" w:ascii="Times New Roman" w:hAnsi="Times New Roman" w:eastAsia="宋体" w:cs="宋体"/>
          <w:sz w:val="24"/>
          <w:lang w:eastAsia="zh-CN"/>
        </w:rPr>
        <w:t>跟踪至</w:t>
      </w:r>
      <w:r>
        <w:rPr>
          <w:rFonts w:ascii="Times New Roman" w:hAnsi="Times New Roman" w:eastAsia="宋体" w:cs="宋体"/>
          <w:sz w:val="24"/>
          <w:lang w:eastAsia="zh-CN"/>
        </w:rPr>
        <w:t>病灶和穿过病灶的能力。</w:t>
      </w:r>
    </w:p>
    <w:p w14:paraId="361283C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：建议提供尺寸规格和公差</w:t>
      </w:r>
      <w:r>
        <w:rPr>
          <w:rFonts w:hint="eastAsia" w:ascii="Times New Roman" w:hAnsi="Times New Roman" w:eastAsia="宋体" w:cs="宋体"/>
          <w:sz w:val="24"/>
          <w:lang w:eastAsia="zh-CN"/>
        </w:rPr>
        <w:t>和数据</w:t>
      </w:r>
      <w:r>
        <w:rPr>
          <w:rFonts w:ascii="Times New Roman" w:hAnsi="Times New Roman" w:eastAsia="宋体" w:cs="宋体"/>
          <w:sz w:val="24"/>
          <w:lang w:eastAsia="zh-CN"/>
        </w:rPr>
        <w:t>以验证所制造器械符合这些规格。建议至少测量并报告导管有效长度、轴内径和外径以及外径。对于球囊导管，还应按照ISO 10555-4中的描述确定球囊外径和长度。</w:t>
      </w:r>
    </w:p>
    <w:p w14:paraId="7F55417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外径是指球囊近端和导管远端之间的最大直径。试验应说明圆周方向上的外径可能存在的潜在差异。对于这些情况，建议评价导管沿不同纵向路径的外径（例如，将试验样品旋转90°进行测量）。建议</w:t>
      </w:r>
      <w:r>
        <w:rPr>
          <w:rFonts w:hint="eastAsia" w:ascii="Times New Roman" w:hAnsi="Times New Roman" w:eastAsia="宋体" w:cs="宋体"/>
          <w:sz w:val="24"/>
          <w:lang w:eastAsia="zh-CN"/>
        </w:rPr>
        <w:t>您</w:t>
      </w:r>
      <w:r>
        <w:rPr>
          <w:rFonts w:ascii="Times New Roman" w:hAnsi="Times New Roman" w:eastAsia="宋体" w:cs="宋体"/>
          <w:sz w:val="24"/>
          <w:lang w:eastAsia="zh-CN"/>
        </w:rPr>
        <w:t>在使用说明</w:t>
      </w:r>
      <w:r>
        <w:rPr>
          <w:rFonts w:hint="eastAsia" w:ascii="Times New Roman" w:hAnsi="Times New Roman" w:eastAsia="宋体" w:cs="宋体"/>
          <w:sz w:val="24"/>
          <w:lang w:eastAsia="zh-CN"/>
        </w:rPr>
        <w:t>书</w:t>
      </w:r>
      <w:r>
        <w:rPr>
          <w:rFonts w:ascii="Times New Roman" w:hAnsi="Times New Roman" w:eastAsia="宋体" w:cs="宋体"/>
          <w:sz w:val="24"/>
          <w:lang w:eastAsia="zh-CN"/>
        </w:rPr>
        <w:t>、外包装标签说明书</w:t>
      </w:r>
      <w:r>
        <w:rPr>
          <w:rFonts w:hint="eastAsia" w:ascii="Times New Roman" w:hAnsi="Times New Roman" w:eastAsia="宋体" w:cs="宋体"/>
          <w:sz w:val="24"/>
          <w:lang w:eastAsia="zh-CN"/>
        </w:rPr>
        <w:t>处对</w:t>
      </w:r>
      <w:r>
        <w:rPr>
          <w:rFonts w:ascii="Times New Roman" w:hAnsi="Times New Roman" w:eastAsia="宋体" w:cs="宋体"/>
          <w:sz w:val="24"/>
          <w:lang w:eastAsia="zh-CN"/>
        </w:rPr>
        <w:t>外径</w:t>
      </w:r>
      <w:r>
        <w:rPr>
          <w:rFonts w:hint="eastAsia" w:ascii="Times New Roman" w:hAnsi="Times New Roman" w:eastAsia="宋体" w:cs="宋体"/>
          <w:sz w:val="24"/>
          <w:lang w:eastAsia="zh-CN"/>
        </w:rPr>
        <w:t>的情况予以报告</w:t>
      </w:r>
      <w:r>
        <w:rPr>
          <w:rFonts w:ascii="Times New Roman" w:hAnsi="Times New Roman" w:eastAsia="宋体" w:cs="宋体"/>
          <w:sz w:val="24"/>
          <w:lang w:eastAsia="zh-CN"/>
        </w:rPr>
        <w:t>。建议使用ASTM F2081-06：《血管支架尺寸</w:t>
      </w:r>
      <w:r>
        <w:rPr>
          <w:rFonts w:hint="eastAsia" w:ascii="Times New Roman" w:hAnsi="Times New Roman" w:eastAsia="宋体" w:cs="宋体"/>
          <w:sz w:val="24"/>
          <w:lang w:eastAsia="zh-CN"/>
        </w:rPr>
        <w:t>特性</w:t>
      </w:r>
      <w:r>
        <w:rPr>
          <w:rFonts w:ascii="Times New Roman" w:hAnsi="Times New Roman" w:eastAsia="宋体" w:cs="宋体"/>
          <w:sz w:val="24"/>
          <w:lang w:eastAsia="zh-CN"/>
        </w:rPr>
        <w:t>表征的标准指南》</w:t>
      </w:r>
      <w:r>
        <w:rPr>
          <w:rFonts w:hint="eastAsia" w:ascii="Times New Roman" w:hAnsi="Times New Roman" w:eastAsia="宋体" w:cs="宋体"/>
          <w:sz w:val="24"/>
          <w:lang w:eastAsia="zh-CN"/>
        </w:rPr>
        <w:t>及其等效标准</w:t>
      </w:r>
      <w:r>
        <w:rPr>
          <w:rFonts w:ascii="Times New Roman" w:hAnsi="Times New Roman" w:eastAsia="宋体" w:cs="宋体"/>
          <w:sz w:val="24"/>
          <w:lang w:eastAsia="zh-CN"/>
        </w:rPr>
        <w:t>中描述的方法</w:t>
      </w:r>
      <w:r>
        <w:rPr>
          <w:rFonts w:hint="eastAsia" w:ascii="Times New Roman" w:hAnsi="Times New Roman" w:eastAsia="宋体" w:cs="宋体"/>
          <w:sz w:val="24"/>
          <w:lang w:eastAsia="zh-CN"/>
        </w:rPr>
        <w:t>进行</w:t>
      </w:r>
      <w:r>
        <w:rPr>
          <w:rFonts w:ascii="Times New Roman" w:hAnsi="Times New Roman" w:eastAsia="宋体" w:cs="宋体"/>
          <w:sz w:val="24"/>
          <w:lang w:eastAsia="zh-CN"/>
        </w:rPr>
        <w:t>。如果采用合格/不合格试验（如</w:t>
      </w:r>
      <w:r>
        <w:rPr>
          <w:rFonts w:hint="eastAsia" w:ascii="Times New Roman" w:hAnsi="Times New Roman" w:eastAsia="宋体" w:cs="宋体"/>
          <w:sz w:val="24"/>
          <w:lang w:eastAsia="zh-CN"/>
        </w:rPr>
        <w:t>通止规</w:t>
      </w:r>
      <w:r>
        <w:rPr>
          <w:rFonts w:ascii="Times New Roman" w:hAnsi="Times New Roman" w:eastAsia="宋体" w:cs="宋体"/>
          <w:sz w:val="24"/>
          <w:lang w:eastAsia="zh-CN"/>
        </w:rPr>
        <w:t>），则应提供依据，证明该方法和辅助工具尺寸的合理性。</w:t>
      </w:r>
    </w:p>
    <w:p w14:paraId="04BCDDC7">
      <w:pPr>
        <w:adjustRightInd w:val="0"/>
        <w:snapToGrid w:val="0"/>
        <w:spacing w:before="1440" w:beforeLines="600" w:line="300" w:lineRule="auto"/>
        <w:jc w:val="both"/>
        <w:rPr>
          <w:rFonts w:ascii="Times New Roman" w:hAnsi="Times New Roman" w:cs="Times New Roman"/>
          <w:snapToGrid w:val="0"/>
          <w:sz w:val="24"/>
          <w:szCs w:val="24"/>
          <w:lang w:eastAsia="zh-CN"/>
        </w:rPr>
      </w:pPr>
      <w:r>
        <w:rPr>
          <w:rFonts w:hint="eastAsia" w:ascii="Times New Roman" w:hAnsi="Times New Roman" w:cs="Times New Roman"/>
          <w:snapToGrid w:val="0"/>
          <w:sz w:val="24"/>
          <w:szCs w:val="24"/>
          <w:lang w:eastAsia="zh-CN"/>
        </w:rPr>
        <w:t>_______________________</w:t>
      </w:r>
    </w:p>
    <w:p w14:paraId="5C94DEA7">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rPr>
      </w:pPr>
      <w:bookmarkStart w:id="16" w:name="_bookmark19"/>
      <w:bookmarkEnd w:id="16"/>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"http://www.fda.gov/regulatory-information/search-fda-guidance-documents/recommended-content-and-format-"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www.fda.gov/regulatory-information/search-fda-guidance-documents/recommended-content-and-format-</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rPr>
          <w:rFonts w:ascii="Times New Roman" w:hAnsi="Times New Roman" w:cs="Times New Roman"/>
          <w:snapToGrid w:val="0"/>
          <w:color w:val="0000FF"/>
          <w:sz w:val="21"/>
          <w:szCs w:val="21"/>
          <w:u w:val="single" w:color="0000FF"/>
        </w:rPr>
        <w:t>non-clinical-bench-performance-testing-information-premarket</w:t>
      </w:r>
      <w:r>
        <w:rPr>
          <w:rFonts w:ascii="Times New Roman" w:hAnsi="Times New Roman" w:eastAsia="宋体" w:cs="宋体"/>
          <w:sz w:val="24"/>
        </w:rPr>
        <w:br w:type="page"/>
      </w:r>
    </w:p>
    <w:p w14:paraId="562E91D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应使用外径数据支持标签说明书描述的导引鞘相容性。由于</w:t>
      </w:r>
      <w:r>
        <w:rPr>
          <w:rFonts w:hint="eastAsia" w:ascii="Times New Roman" w:hAnsi="Times New Roman" w:eastAsia="宋体" w:cs="宋体"/>
          <w:sz w:val="24"/>
          <w:lang w:eastAsia="zh-CN"/>
        </w:rPr>
        <w:t>上市</w:t>
      </w:r>
      <w:r>
        <w:rPr>
          <w:rFonts w:ascii="Times New Roman" w:hAnsi="Times New Roman" w:eastAsia="宋体" w:cs="宋体"/>
          <w:sz w:val="24"/>
          <w:lang w:eastAsia="zh-CN"/>
        </w:rPr>
        <w:t>导引鞘的尺寸不同，仅导引鞘相容性试验不足以支持</w:t>
      </w:r>
      <w:r>
        <w:rPr>
          <w:rFonts w:hint="eastAsia" w:ascii="Times New Roman" w:hAnsi="Times New Roman" w:eastAsia="宋体" w:cs="宋体"/>
          <w:sz w:val="24"/>
          <w:lang w:eastAsia="zh-CN"/>
        </w:rPr>
        <w:t>标示</w:t>
      </w:r>
      <w:r>
        <w:rPr>
          <w:rFonts w:ascii="Times New Roman" w:hAnsi="Times New Roman" w:eastAsia="宋体" w:cs="宋体"/>
          <w:sz w:val="24"/>
          <w:lang w:eastAsia="zh-CN"/>
        </w:rPr>
        <w:t>的导引鞘相容性。如果使用比外径数据更小的导引鞘相容性对器械进行标签说明书说明，则应提供科学依据。应使用内径数据支持标签说明书描述的导引鞘相容性。</w:t>
      </w:r>
      <w:r>
        <w:rPr>
          <w:rFonts w:hint="eastAsia" w:ascii="Times New Roman" w:hAnsi="Times New Roman" w:eastAsia="宋体" w:cs="宋体"/>
          <w:sz w:val="24"/>
          <w:lang w:eastAsia="zh-CN"/>
        </w:rPr>
        <w:t>合格</w:t>
      </w:r>
      <w:r>
        <w:rPr>
          <w:rFonts w:ascii="Times New Roman" w:hAnsi="Times New Roman" w:eastAsia="宋体" w:cs="宋体"/>
          <w:sz w:val="24"/>
          <w:lang w:eastAsia="zh-CN"/>
        </w:rPr>
        <w:t>/不</w:t>
      </w:r>
      <w:r>
        <w:rPr>
          <w:rFonts w:hint="eastAsia" w:ascii="Times New Roman" w:hAnsi="Times New Roman" w:eastAsia="宋体" w:cs="宋体"/>
          <w:sz w:val="24"/>
          <w:lang w:eastAsia="zh-CN"/>
        </w:rPr>
        <w:t>合格</w:t>
      </w:r>
      <w:r>
        <w:rPr>
          <w:rFonts w:ascii="Times New Roman" w:hAnsi="Times New Roman" w:eastAsia="宋体" w:cs="宋体"/>
          <w:sz w:val="24"/>
          <w:lang w:eastAsia="zh-CN"/>
        </w:rPr>
        <w:t>导引鞘相容性和导丝相容性试验也可以通过第III.G(1)b节中所述的模拟使用评估进行，但应视为支持信息。</w:t>
      </w:r>
    </w:p>
    <w:p w14:paraId="539D075F">
      <w:pPr>
        <w:numPr>
          <w:ilvl w:val="2"/>
          <w:numId w:val="3"/>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模拟使用</w:t>
      </w:r>
    </w:p>
    <w:p w14:paraId="4A30986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：如果正确遵循建议的使用说明和准备、插入、跟踪、展开、撤回和移除</w:t>
      </w:r>
      <w:r>
        <w:rPr>
          <w:rFonts w:hint="eastAsia" w:ascii="Times New Roman" w:hAnsi="Times New Roman" w:eastAsia="宋体" w:cs="宋体"/>
          <w:sz w:val="24"/>
          <w:lang w:eastAsia="zh-CN"/>
        </w:rPr>
        <w:t>的</w:t>
      </w:r>
      <w:r>
        <w:rPr>
          <w:rFonts w:ascii="Times New Roman" w:hAnsi="Times New Roman" w:eastAsia="宋体" w:cs="宋体"/>
          <w:sz w:val="24"/>
          <w:lang w:eastAsia="zh-CN"/>
        </w:rPr>
        <w:t>技术</w:t>
      </w:r>
      <w:r>
        <w:rPr>
          <w:rFonts w:hint="eastAsia" w:ascii="Times New Roman" w:hAnsi="Times New Roman" w:eastAsia="宋体" w:cs="宋体"/>
          <w:sz w:val="24"/>
          <w:lang w:eastAsia="zh-CN"/>
        </w:rPr>
        <w:t>，应可</w:t>
      </w:r>
      <w:r>
        <w:rPr>
          <w:rFonts w:ascii="Times New Roman" w:hAnsi="Times New Roman" w:eastAsia="宋体" w:cs="宋体"/>
          <w:sz w:val="24"/>
          <w:lang w:eastAsia="zh-CN"/>
        </w:rPr>
        <w:t>安全可靠地将球囊</w:t>
      </w:r>
      <w:r>
        <w:rPr>
          <w:rFonts w:hint="eastAsia" w:ascii="Times New Roman" w:hAnsi="Times New Roman" w:eastAsia="宋体" w:cs="宋体"/>
          <w:sz w:val="24"/>
          <w:lang w:eastAsia="zh-CN"/>
        </w:rPr>
        <w:t>在</w:t>
      </w:r>
      <w:r>
        <w:rPr>
          <w:rFonts w:ascii="Times New Roman" w:hAnsi="Times New Roman" w:eastAsia="宋体" w:cs="宋体"/>
          <w:sz w:val="24"/>
          <w:lang w:eastAsia="zh-CN"/>
        </w:rPr>
        <w:t>预期位置</w:t>
      </w:r>
      <w:r>
        <w:rPr>
          <w:rFonts w:hint="eastAsia" w:ascii="Times New Roman" w:hAnsi="Times New Roman" w:eastAsia="宋体" w:cs="宋体"/>
          <w:sz w:val="24"/>
          <w:lang w:eastAsia="zh-CN"/>
        </w:rPr>
        <w:t>展开</w:t>
      </w:r>
      <w:r>
        <w:rPr>
          <w:rFonts w:ascii="Times New Roman" w:hAnsi="Times New Roman" w:eastAsia="宋体" w:cs="宋体"/>
          <w:sz w:val="24"/>
          <w:lang w:eastAsia="zh-CN"/>
        </w:rPr>
        <w:t>，而不会对器械产生不利影响。</w:t>
      </w:r>
    </w:p>
    <w:p w14:paraId="4554BAC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：建议进行试验，以证明球囊导管可以使用建议的技术、附件器械和使用说明安全</w:t>
      </w:r>
      <w:r>
        <w:rPr>
          <w:rFonts w:hint="eastAsia" w:ascii="Times New Roman" w:hAnsi="Times New Roman" w:eastAsia="宋体" w:cs="宋体"/>
          <w:sz w:val="24"/>
          <w:lang w:eastAsia="zh-CN"/>
        </w:rPr>
        <w:t>、</w:t>
      </w:r>
      <w:r>
        <w:rPr>
          <w:rFonts w:ascii="Times New Roman" w:hAnsi="Times New Roman" w:eastAsia="宋体" w:cs="宋体"/>
          <w:sz w:val="24"/>
          <w:lang w:eastAsia="zh-CN"/>
        </w:rPr>
        <w:t>可靠地准备、插入、跟踪、展开、撤回和移除，而不损坏器械。建议该模拟使用试验过程如下：通过模拟体内生理和解剖条件的体外固定装置跟踪器械（例如37ºC水环境下的迂曲路径），跟踪长度即为临床使用中进入患者体内的长度。应提供所用模型的临床基础和依据。一般来说，FDA建议使用三维模型，包括最差情况下的进入角，并具有足够数量的曲线。长度、直径、曲线数和曲率半径应代表器械拟用于的最差情况下的解剖情况。应提供标明所有尺寸的工程图和模型图像。</w:t>
      </w:r>
    </w:p>
    <w:p w14:paraId="5E8D758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建议使用在典型临床操作中使用的附件器械（例如，导管）</w:t>
      </w:r>
      <w:r>
        <w:rPr>
          <w:rFonts w:hint="eastAsia" w:ascii="Times New Roman" w:hAnsi="Times New Roman" w:eastAsia="宋体" w:cs="宋体"/>
          <w:sz w:val="24"/>
          <w:lang w:eastAsia="zh-CN"/>
        </w:rPr>
        <w:t>，并</w:t>
      </w:r>
      <w:r>
        <w:rPr>
          <w:rFonts w:ascii="Times New Roman" w:hAnsi="Times New Roman" w:eastAsia="宋体" w:cs="宋体"/>
          <w:sz w:val="24"/>
          <w:lang w:eastAsia="zh-CN"/>
        </w:rPr>
        <w:t>使用最差情况尺寸进行试验（例如，符合标签说明书描述相容性的最小内径导引鞘）。应报告在模拟手术过程中观察到的</w:t>
      </w:r>
      <w:r>
        <w:rPr>
          <w:rFonts w:hint="eastAsia" w:ascii="Times New Roman" w:hAnsi="Times New Roman" w:eastAsia="宋体" w:cs="宋体"/>
          <w:sz w:val="24"/>
          <w:lang w:eastAsia="zh-CN"/>
        </w:rPr>
        <w:t>全部</w:t>
      </w:r>
      <w:r>
        <w:rPr>
          <w:rFonts w:ascii="Times New Roman" w:hAnsi="Times New Roman" w:eastAsia="宋体" w:cs="宋体"/>
          <w:sz w:val="24"/>
          <w:lang w:eastAsia="zh-CN"/>
        </w:rPr>
        <w:t>异常或困难，以及PTA导管或</w:t>
      </w:r>
      <w:r>
        <w:rPr>
          <w:rFonts w:hint="eastAsia" w:ascii="Times New Roman" w:hAnsi="Times New Roman" w:eastAsia="宋体" w:cs="宋体"/>
          <w:sz w:val="24"/>
          <w:lang w:eastAsia="zh-CN"/>
        </w:rPr>
        <w:t>所有</w:t>
      </w:r>
      <w:r>
        <w:rPr>
          <w:rFonts w:ascii="Times New Roman" w:hAnsi="Times New Roman" w:eastAsia="宋体" w:cs="宋体"/>
          <w:sz w:val="24"/>
          <w:lang w:eastAsia="zh-CN"/>
        </w:rPr>
        <w:t>附件器械的</w:t>
      </w:r>
      <w:r>
        <w:rPr>
          <w:rFonts w:hint="eastAsia" w:ascii="Times New Roman" w:hAnsi="Times New Roman" w:eastAsia="宋体" w:cs="宋体"/>
          <w:sz w:val="24"/>
          <w:lang w:eastAsia="zh-CN"/>
        </w:rPr>
        <w:t>所有</w:t>
      </w:r>
      <w:r>
        <w:rPr>
          <w:rFonts w:ascii="Times New Roman" w:hAnsi="Times New Roman" w:eastAsia="宋体" w:cs="宋体"/>
          <w:sz w:val="24"/>
          <w:lang w:eastAsia="zh-CN"/>
        </w:rPr>
        <w:t>损坏。</w:t>
      </w:r>
    </w:p>
    <w:p w14:paraId="73E36A3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建议测量并报告最大回缩球囊剖面（包括内部构件或导丝）的直径和轴向位置。该信息可用于确定相容性附件器械的极限尺寸（即最小内径），该尺寸应在标签说明书中标识。</w:t>
      </w:r>
      <w:r>
        <w:rPr>
          <w:rFonts w:hint="eastAsia" w:ascii="Times New Roman" w:hAnsi="Times New Roman" w:eastAsia="宋体" w:cs="宋体"/>
          <w:sz w:val="24"/>
          <w:lang w:eastAsia="zh-CN"/>
        </w:rPr>
        <w:t>由于可辅助</w:t>
      </w:r>
      <w:r>
        <w:rPr>
          <w:rFonts w:ascii="Times New Roman" w:hAnsi="Times New Roman" w:eastAsia="宋体" w:cs="宋体"/>
          <w:sz w:val="24"/>
          <w:lang w:eastAsia="zh-CN"/>
        </w:rPr>
        <w:t>支持用于器械拉伸试验的规范</w:t>
      </w:r>
      <w:r>
        <w:rPr>
          <w:rFonts w:hint="eastAsia" w:ascii="Times New Roman" w:hAnsi="Times New Roman" w:eastAsia="宋体" w:cs="宋体"/>
          <w:sz w:val="24"/>
          <w:lang w:eastAsia="zh-CN"/>
        </w:rPr>
        <w:t>，测定</w:t>
      </w:r>
      <w:r>
        <w:rPr>
          <w:rFonts w:ascii="Times New Roman" w:hAnsi="Times New Roman" w:eastAsia="宋体" w:cs="宋体"/>
          <w:sz w:val="24"/>
          <w:lang w:eastAsia="zh-CN"/>
        </w:rPr>
        <w:t>插入/撤回力也可提供信息。</w:t>
      </w:r>
    </w:p>
    <w:p w14:paraId="766F224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2082537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可以将模拟使用试验与涂层完整性试验（见第III.G(1)1节）和/或颗粒评价（见第III.G(1)m节）结合起来，但应注意</w:t>
      </w:r>
      <w:r>
        <w:rPr>
          <w:rFonts w:hint="eastAsia" w:ascii="Times New Roman" w:hAnsi="Times New Roman" w:eastAsia="宋体" w:cs="宋体"/>
          <w:sz w:val="24"/>
          <w:lang w:eastAsia="zh-CN"/>
        </w:rPr>
        <w:t>：</w:t>
      </w:r>
      <w:r>
        <w:rPr>
          <w:rFonts w:ascii="Times New Roman" w:hAnsi="Times New Roman" w:eastAsia="宋体" w:cs="宋体"/>
          <w:sz w:val="24"/>
          <w:lang w:eastAsia="zh-CN"/>
        </w:rPr>
        <w:t>涂层完整性评价只需对样品进行最低限度的其他处理，</w:t>
      </w:r>
      <w:r>
        <w:rPr>
          <w:rFonts w:hint="eastAsia" w:ascii="Times New Roman" w:hAnsi="Times New Roman" w:eastAsia="宋体" w:cs="宋体"/>
          <w:sz w:val="24"/>
          <w:lang w:eastAsia="zh-CN"/>
        </w:rPr>
        <w:t>从而保证</w:t>
      </w:r>
      <w:r>
        <w:rPr>
          <w:rFonts w:ascii="Times New Roman" w:hAnsi="Times New Roman" w:eastAsia="宋体" w:cs="宋体"/>
          <w:sz w:val="24"/>
          <w:lang w:eastAsia="zh-CN"/>
        </w:rPr>
        <w:t>不会丢失或产生颗粒。</w:t>
      </w:r>
    </w:p>
    <w:p w14:paraId="42C897BB">
      <w:pPr>
        <w:numPr>
          <w:ilvl w:val="2"/>
          <w:numId w:val="3"/>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球囊额定爆破压力</w:t>
      </w:r>
    </w:p>
    <w:p w14:paraId="2471ADD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：额定爆破压力（RBP）是99.9%的球囊能够以95%的置信度通过试验的压力。球囊无法承受多次扩张会导致器械失效或血管损伤。</w:t>
      </w:r>
    </w:p>
    <w:p w14:paraId="3825C5F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：建议在进行该试验时遵循ISO 10555-4附录A。除本标准所述内容外，还应考虑以下内容。</w:t>
      </w:r>
    </w:p>
    <w:p w14:paraId="1C28D14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建议在将球囊安装在导管轴上的完整导管或组件上进行此试验</w:t>
      </w:r>
      <w:r>
        <w:rPr>
          <w:rFonts w:hint="eastAsia" w:ascii="Times New Roman" w:hAnsi="Times New Roman" w:eastAsia="宋体" w:cs="宋体"/>
          <w:sz w:val="24"/>
          <w:lang w:eastAsia="zh-CN"/>
        </w:rPr>
        <w:t>；</w:t>
      </w:r>
      <w:r>
        <w:rPr>
          <w:rFonts w:ascii="Times New Roman" w:hAnsi="Times New Roman" w:eastAsia="宋体" w:cs="宋体"/>
          <w:sz w:val="24"/>
          <w:lang w:eastAsia="zh-CN"/>
        </w:rPr>
        <w:t>对每个球囊直径的最长长度以及最小直径和最大直径的最短长度进行测试。</w:t>
      </w:r>
      <w:r>
        <w:rPr>
          <w:rFonts w:ascii="Times New Roman" w:hAnsi="Times New Roman" w:eastAsia="宋体" w:cs="宋体"/>
          <w:b/>
          <w:sz w:val="24"/>
          <w:lang w:eastAsia="zh-CN"/>
        </w:rPr>
        <w:t>表2</w:t>
      </w:r>
      <w:r>
        <w:rPr>
          <w:rFonts w:ascii="Times New Roman" w:hAnsi="Times New Roman" w:eastAsia="宋体" w:cs="宋体"/>
          <w:sz w:val="24"/>
          <w:lang w:eastAsia="zh-CN"/>
        </w:rPr>
        <w:t>说明了推荐的试验矩阵。</w:t>
      </w:r>
    </w:p>
    <w:p w14:paraId="64F05E63">
      <w:pPr>
        <w:adjustRightInd w:val="0"/>
        <w:snapToGrid w:val="0"/>
        <w:spacing w:before="120" w:beforeLines="50" w:line="300" w:lineRule="auto"/>
        <w:jc w:val="center"/>
        <w:rPr>
          <w:rFonts w:ascii="Times New Roman" w:hAnsi="Times New Roman" w:cs="Times New Roman"/>
          <w:b/>
          <w:bCs/>
          <w:snapToGrid w:val="0"/>
          <w:sz w:val="24"/>
          <w:szCs w:val="28"/>
          <w:lang w:eastAsia="zh-CN"/>
        </w:rPr>
      </w:pPr>
      <w:r>
        <w:rPr>
          <w:rFonts w:ascii="Times New Roman" w:hAnsi="Times New Roman" w:eastAsia="宋体" w:cs="宋体"/>
          <w:b/>
          <w:sz w:val="24"/>
          <w:lang w:eastAsia="zh-CN"/>
        </w:rPr>
        <w:t>表2：RBP试验推荐的球囊尺寸（示例）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22"/>
        <w:gridCol w:w="622"/>
        <w:gridCol w:w="622"/>
        <w:gridCol w:w="622"/>
        <w:gridCol w:w="623"/>
      </w:tblGrid>
      <w:tr w14:paraId="4687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Merge w:val="restart"/>
            <w:shd w:val="clear" w:color="auto" w:fill="F2F2F2"/>
            <w:vAlign w:val="center"/>
          </w:tcPr>
          <w:p w14:paraId="7461E982">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eastAsia="宋体" w:cs="宋体"/>
                <w:b/>
                <w:sz w:val="21"/>
              </w:rPr>
              <w:t>球囊直径（mm）</w:t>
            </w:r>
          </w:p>
        </w:tc>
        <w:tc>
          <w:tcPr>
            <w:tcW w:w="3111" w:type="dxa"/>
            <w:gridSpan w:val="5"/>
            <w:shd w:val="clear" w:color="auto" w:fill="F2F2F2"/>
            <w:vAlign w:val="center"/>
          </w:tcPr>
          <w:p w14:paraId="6B480F7E">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eastAsia="宋体" w:cs="宋体"/>
                <w:b/>
                <w:sz w:val="21"/>
              </w:rPr>
              <w:t>球囊长度（mm）</w:t>
            </w:r>
          </w:p>
        </w:tc>
      </w:tr>
      <w:tr w14:paraId="1E23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Merge w:val="continue"/>
            <w:shd w:val="clear" w:color="auto" w:fill="F2F2F2"/>
            <w:vAlign w:val="center"/>
          </w:tcPr>
          <w:p w14:paraId="4F529DE5">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shd w:val="clear" w:color="auto" w:fill="F2F2F2"/>
            <w:vAlign w:val="center"/>
          </w:tcPr>
          <w:p w14:paraId="2F8049B0">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40</w:t>
            </w:r>
          </w:p>
        </w:tc>
        <w:tc>
          <w:tcPr>
            <w:tcW w:w="622" w:type="dxa"/>
            <w:shd w:val="clear" w:color="auto" w:fill="F2F2F2"/>
            <w:vAlign w:val="center"/>
          </w:tcPr>
          <w:p w14:paraId="6797A333">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60</w:t>
            </w:r>
          </w:p>
        </w:tc>
        <w:tc>
          <w:tcPr>
            <w:tcW w:w="622" w:type="dxa"/>
            <w:shd w:val="clear" w:color="auto" w:fill="F2F2F2"/>
            <w:vAlign w:val="center"/>
          </w:tcPr>
          <w:p w14:paraId="3F5CD98F">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80</w:t>
            </w:r>
          </w:p>
        </w:tc>
        <w:tc>
          <w:tcPr>
            <w:tcW w:w="622" w:type="dxa"/>
            <w:shd w:val="clear" w:color="auto" w:fill="F2F2F2"/>
            <w:vAlign w:val="center"/>
          </w:tcPr>
          <w:p w14:paraId="68130A5B">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100</w:t>
            </w:r>
          </w:p>
        </w:tc>
        <w:tc>
          <w:tcPr>
            <w:tcW w:w="623" w:type="dxa"/>
            <w:shd w:val="clear" w:color="auto" w:fill="F2F2F2"/>
            <w:vAlign w:val="center"/>
          </w:tcPr>
          <w:p w14:paraId="3D8122DF">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120</w:t>
            </w:r>
          </w:p>
        </w:tc>
      </w:tr>
      <w:tr w14:paraId="3182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shd w:val="clear" w:color="auto" w:fill="F2F2F2"/>
            <w:vAlign w:val="center"/>
          </w:tcPr>
          <w:p w14:paraId="543389AA">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4.0</w:t>
            </w:r>
          </w:p>
        </w:tc>
        <w:tc>
          <w:tcPr>
            <w:tcW w:w="622" w:type="dxa"/>
            <w:vAlign w:val="center"/>
          </w:tcPr>
          <w:p w14:paraId="583520D6">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622" w:type="dxa"/>
            <w:vAlign w:val="center"/>
          </w:tcPr>
          <w:p w14:paraId="0939A908">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041651FB">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6753B4E4">
            <w:pPr>
              <w:adjustRightInd w:val="0"/>
              <w:snapToGrid w:val="0"/>
              <w:spacing w:before="36" w:beforeLines="15" w:line="276" w:lineRule="auto"/>
              <w:jc w:val="center"/>
              <w:rPr>
                <w:rFonts w:ascii="Times New Roman" w:hAnsi="Times New Roman" w:cs="Times New Roman"/>
                <w:snapToGrid w:val="0"/>
                <w:sz w:val="21"/>
                <w:szCs w:val="21"/>
              </w:rPr>
            </w:pPr>
          </w:p>
        </w:tc>
        <w:tc>
          <w:tcPr>
            <w:tcW w:w="623" w:type="dxa"/>
            <w:vAlign w:val="center"/>
          </w:tcPr>
          <w:p w14:paraId="114F7D33">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r w14:paraId="7D2C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shd w:val="clear" w:color="auto" w:fill="F2F2F2"/>
            <w:vAlign w:val="center"/>
          </w:tcPr>
          <w:p w14:paraId="0366502E">
            <w:pPr>
              <w:adjustRightInd w:val="0"/>
              <w:snapToGrid w:val="0"/>
              <w:spacing w:before="36" w:beforeLines="15" w:line="276" w:lineRule="auto"/>
              <w:jc w:val="center"/>
              <w:rPr>
                <w:rFonts w:ascii="Times New Roman" w:hAnsi="Times New Roman" w:cs="Times New Roman"/>
                <w:b/>
                <w:bCs/>
                <w:snapToGrid w:val="0"/>
                <w:sz w:val="21"/>
                <w:szCs w:val="21"/>
              </w:rPr>
            </w:pPr>
            <w:r>
              <w:rPr>
                <w:rFonts w:ascii="Times New Roman" w:hAnsi="Times New Roman" w:cs="Times New Roman"/>
                <w:b/>
                <w:snapToGrid w:val="0"/>
                <w:sz w:val="21"/>
                <w:szCs w:val="21"/>
              </w:rPr>
              <w:t>4.5</w:t>
            </w:r>
          </w:p>
        </w:tc>
        <w:tc>
          <w:tcPr>
            <w:tcW w:w="622" w:type="dxa"/>
            <w:vAlign w:val="center"/>
          </w:tcPr>
          <w:p w14:paraId="071EB680">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404C1269">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416B0BAE">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42ABDB44">
            <w:pPr>
              <w:adjustRightInd w:val="0"/>
              <w:snapToGrid w:val="0"/>
              <w:spacing w:before="36" w:beforeLines="15" w:line="276" w:lineRule="auto"/>
              <w:jc w:val="center"/>
              <w:rPr>
                <w:rFonts w:ascii="Times New Roman" w:hAnsi="Times New Roman" w:cs="Times New Roman"/>
                <w:snapToGrid w:val="0"/>
                <w:sz w:val="21"/>
                <w:szCs w:val="21"/>
              </w:rPr>
            </w:pPr>
          </w:p>
        </w:tc>
        <w:tc>
          <w:tcPr>
            <w:tcW w:w="623" w:type="dxa"/>
            <w:vAlign w:val="center"/>
          </w:tcPr>
          <w:p w14:paraId="56079D5D">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r w14:paraId="0334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shd w:val="clear" w:color="auto" w:fill="F2F2F2"/>
            <w:vAlign w:val="center"/>
          </w:tcPr>
          <w:p w14:paraId="3BE3D26F">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5.0</w:t>
            </w:r>
          </w:p>
        </w:tc>
        <w:tc>
          <w:tcPr>
            <w:tcW w:w="622" w:type="dxa"/>
            <w:vAlign w:val="center"/>
          </w:tcPr>
          <w:p w14:paraId="2E0CCDA8">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3C3A7DFF">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2B0082EB">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4DAB3EB2">
            <w:pPr>
              <w:adjustRightInd w:val="0"/>
              <w:snapToGrid w:val="0"/>
              <w:spacing w:before="36" w:beforeLines="15" w:line="276" w:lineRule="auto"/>
              <w:jc w:val="center"/>
              <w:rPr>
                <w:rFonts w:ascii="Times New Roman" w:hAnsi="Times New Roman" w:cs="Times New Roman"/>
                <w:snapToGrid w:val="0"/>
                <w:sz w:val="21"/>
                <w:szCs w:val="21"/>
              </w:rPr>
            </w:pPr>
          </w:p>
        </w:tc>
        <w:tc>
          <w:tcPr>
            <w:tcW w:w="623" w:type="dxa"/>
            <w:vAlign w:val="center"/>
          </w:tcPr>
          <w:p w14:paraId="3D911DE3">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r w14:paraId="7752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shd w:val="clear" w:color="auto" w:fill="F2F2F2"/>
            <w:vAlign w:val="center"/>
          </w:tcPr>
          <w:p w14:paraId="0C0191CC">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5.5</w:t>
            </w:r>
          </w:p>
        </w:tc>
        <w:tc>
          <w:tcPr>
            <w:tcW w:w="622" w:type="dxa"/>
            <w:vAlign w:val="center"/>
          </w:tcPr>
          <w:p w14:paraId="3342F12A">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2A2AAF9E">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42A0030C">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0FA1BFDD">
            <w:pPr>
              <w:adjustRightInd w:val="0"/>
              <w:snapToGrid w:val="0"/>
              <w:spacing w:before="36" w:beforeLines="15" w:line="276" w:lineRule="auto"/>
              <w:jc w:val="center"/>
              <w:rPr>
                <w:rFonts w:ascii="Times New Roman" w:hAnsi="Times New Roman" w:cs="Times New Roman"/>
                <w:snapToGrid w:val="0"/>
                <w:sz w:val="21"/>
                <w:szCs w:val="21"/>
              </w:rPr>
            </w:pPr>
          </w:p>
        </w:tc>
        <w:tc>
          <w:tcPr>
            <w:tcW w:w="623" w:type="dxa"/>
            <w:vAlign w:val="center"/>
          </w:tcPr>
          <w:p w14:paraId="4B4A2AA5">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r w14:paraId="10D4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shd w:val="clear" w:color="auto" w:fill="F2F2F2"/>
            <w:vAlign w:val="center"/>
          </w:tcPr>
          <w:p w14:paraId="416719BD">
            <w:pPr>
              <w:adjustRightInd w:val="0"/>
              <w:snapToGrid w:val="0"/>
              <w:spacing w:before="36" w:beforeLines="15" w:line="276" w:lineRule="auto"/>
              <w:jc w:val="center"/>
              <w:rPr>
                <w:rFonts w:ascii="Times New Roman" w:hAnsi="Times New Roman" w:cs="Times New Roman"/>
                <w:b/>
                <w:bCs/>
                <w:snapToGrid w:val="0"/>
                <w:sz w:val="21"/>
                <w:szCs w:val="21"/>
              </w:rPr>
            </w:pPr>
            <w:r>
              <w:rPr>
                <w:rFonts w:ascii="Times New Roman" w:hAnsi="Times New Roman" w:cs="Times New Roman"/>
                <w:b/>
                <w:bCs/>
                <w:snapToGrid w:val="0"/>
                <w:sz w:val="21"/>
                <w:szCs w:val="21"/>
              </w:rPr>
              <w:t>6.0</w:t>
            </w:r>
          </w:p>
        </w:tc>
        <w:tc>
          <w:tcPr>
            <w:tcW w:w="622" w:type="dxa"/>
            <w:vAlign w:val="center"/>
          </w:tcPr>
          <w:p w14:paraId="2B535030">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363803D3">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1DF78CF2">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3CE6EAD8">
            <w:pPr>
              <w:adjustRightInd w:val="0"/>
              <w:snapToGrid w:val="0"/>
              <w:spacing w:before="36" w:beforeLines="15" w:line="276" w:lineRule="auto"/>
              <w:jc w:val="center"/>
              <w:rPr>
                <w:rFonts w:ascii="Times New Roman" w:hAnsi="Times New Roman" w:cs="Times New Roman"/>
                <w:snapToGrid w:val="0"/>
                <w:sz w:val="21"/>
                <w:szCs w:val="21"/>
              </w:rPr>
            </w:pPr>
          </w:p>
        </w:tc>
        <w:tc>
          <w:tcPr>
            <w:tcW w:w="623" w:type="dxa"/>
            <w:vAlign w:val="center"/>
          </w:tcPr>
          <w:p w14:paraId="01CC2C86">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bl>
    <w:p w14:paraId="4F8F8C0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建议试验不受任何试验夹具（如管道）约束的球囊，并逐步</w:t>
      </w:r>
      <w:r>
        <w:rPr>
          <w:rFonts w:hint="eastAsia" w:ascii="Times New Roman" w:hAnsi="Times New Roman" w:eastAsia="宋体" w:cs="宋体"/>
          <w:sz w:val="24"/>
          <w:lang w:eastAsia="zh-CN"/>
        </w:rPr>
        <w:t>扩张</w:t>
      </w:r>
      <w:r>
        <w:rPr>
          <w:rFonts w:ascii="Times New Roman" w:hAnsi="Times New Roman" w:eastAsia="宋体" w:cs="宋体"/>
          <w:sz w:val="24"/>
          <w:lang w:eastAsia="zh-CN"/>
        </w:rPr>
        <w:t>球囊，直到失败。建议将以下任何损失记录为试验失败：</w:t>
      </w:r>
    </w:p>
    <w:p w14:paraId="50FB88D6">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球囊的完整性，如破裂或泄漏；或</w:t>
      </w:r>
    </w:p>
    <w:p w14:paraId="5CBD5E98">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由于球囊、管身或密封件的故障而造成的压力。</w:t>
      </w:r>
    </w:p>
    <w:p w14:paraId="67E2D9C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记录器械发生故障时的压力和失效模式（例如，纵向撕裂、周向撕裂、针孔）。应为观察到的失效模式提供讨论和依据。建议基于对试验数据的统计分析，将RBP计算为能让99.9%球囊以95%置信度通过试验的压力。根据该分析确定的公差下限应予以报告，并用于支持器械标签说明书中规定的RBP。</w:t>
      </w:r>
    </w:p>
    <w:p w14:paraId="04C9FBC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53CD5351">
      <w:pPr>
        <w:numPr>
          <w:ilvl w:val="2"/>
          <w:numId w:val="3"/>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球囊疲劳（球囊重复扩张）</w:t>
      </w:r>
    </w:p>
    <w:p w14:paraId="0702299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：PTA导管上的球囊在临床使用过程中经常多次扩张。球囊无法承受多次扩张会导致器械失效或血管损伤。</w:t>
      </w:r>
    </w:p>
    <w:p w14:paraId="79022D3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：建议在进行该试验时遵循ISO 10555-4附录B</w:t>
      </w:r>
      <w:r>
        <w:rPr>
          <w:rFonts w:hint="eastAsia" w:ascii="Times New Roman" w:hAnsi="Times New Roman" w:eastAsia="宋体" w:cs="宋体"/>
          <w:sz w:val="24"/>
          <w:lang w:eastAsia="zh-CN"/>
        </w:rPr>
        <w:t>的要求</w:t>
      </w:r>
      <w:r>
        <w:rPr>
          <w:rFonts w:ascii="Times New Roman" w:hAnsi="Times New Roman" w:eastAsia="宋体" w:cs="宋体"/>
          <w:sz w:val="24"/>
          <w:lang w:eastAsia="zh-CN"/>
        </w:rPr>
        <w:t>，除非下文另有规定。除本标准所述内容外，还应考虑以下内容。</w:t>
      </w:r>
    </w:p>
    <w:p w14:paraId="638C988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建议确定RBP球囊成功扩张的重复性（20次扩张）。建议根据“四角”范例试验器械尺寸：</w:t>
      </w:r>
    </w:p>
    <w:p w14:paraId="23C34F54">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最大直径/最长长度；</w:t>
      </w:r>
    </w:p>
    <w:p w14:paraId="16C7016A">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最大直径/最短长度；</w:t>
      </w:r>
    </w:p>
    <w:p w14:paraId="6B8E0650">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最小直径/最长长度；以及</w:t>
      </w:r>
    </w:p>
    <w:p w14:paraId="42951DDA">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最小直径/最短长度。</w:t>
      </w:r>
    </w:p>
    <w:p w14:paraId="6DA7188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表3</w:t>
      </w:r>
      <w:r>
        <w:rPr>
          <w:rFonts w:hint="eastAsia" w:ascii="Times New Roman" w:hAnsi="Times New Roman" w:eastAsia="宋体" w:cs="宋体"/>
          <w:sz w:val="24"/>
          <w:lang w:eastAsia="zh-CN"/>
        </w:rPr>
        <w:t>为</w:t>
      </w:r>
      <w:r>
        <w:rPr>
          <w:rFonts w:ascii="Times New Roman" w:hAnsi="Times New Roman" w:eastAsia="宋体" w:cs="宋体"/>
          <w:sz w:val="24"/>
          <w:lang w:eastAsia="zh-CN"/>
        </w:rPr>
        <w:t>推荐的试验矩阵。</w:t>
      </w:r>
    </w:p>
    <w:p w14:paraId="3E64AED6">
      <w:pPr>
        <w:adjustRightInd w:val="0"/>
        <w:snapToGrid w:val="0"/>
        <w:spacing w:before="120" w:beforeLines="50" w:line="300" w:lineRule="auto"/>
        <w:jc w:val="center"/>
        <w:rPr>
          <w:rFonts w:ascii="Times New Roman" w:hAnsi="Times New Roman" w:cs="Times New Roman"/>
          <w:b/>
          <w:bCs/>
          <w:snapToGrid w:val="0"/>
          <w:sz w:val="24"/>
          <w:szCs w:val="28"/>
          <w:lang w:eastAsia="zh-CN"/>
        </w:rPr>
      </w:pPr>
      <w:r>
        <w:rPr>
          <w:rFonts w:ascii="Times New Roman" w:hAnsi="Times New Roman" w:eastAsia="宋体" w:cs="宋体"/>
          <w:b/>
          <w:sz w:val="24"/>
          <w:lang w:eastAsia="zh-CN"/>
        </w:rPr>
        <w:t>表3：“四角”试验矩阵示例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22"/>
        <w:gridCol w:w="622"/>
        <w:gridCol w:w="622"/>
        <w:gridCol w:w="622"/>
        <w:gridCol w:w="623"/>
      </w:tblGrid>
      <w:tr w14:paraId="767E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Merge w:val="restart"/>
            <w:shd w:val="clear" w:color="auto" w:fill="F2F2F2"/>
            <w:vAlign w:val="center"/>
          </w:tcPr>
          <w:p w14:paraId="37941FC9">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eastAsia="宋体" w:cs="宋体"/>
                <w:b/>
                <w:sz w:val="21"/>
              </w:rPr>
              <w:t>球囊直径（mm）</w:t>
            </w:r>
          </w:p>
        </w:tc>
        <w:tc>
          <w:tcPr>
            <w:tcW w:w="3111" w:type="dxa"/>
            <w:gridSpan w:val="5"/>
            <w:shd w:val="clear" w:color="auto" w:fill="F2F2F2"/>
            <w:vAlign w:val="center"/>
          </w:tcPr>
          <w:p w14:paraId="489425E8">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eastAsia="宋体" w:cs="宋体"/>
                <w:b/>
                <w:sz w:val="21"/>
              </w:rPr>
              <w:t>球囊长度（mm）</w:t>
            </w:r>
          </w:p>
        </w:tc>
      </w:tr>
      <w:tr w14:paraId="211D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Merge w:val="continue"/>
            <w:shd w:val="clear" w:color="auto" w:fill="F2F2F2"/>
            <w:vAlign w:val="center"/>
          </w:tcPr>
          <w:p w14:paraId="00F5C6A6">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shd w:val="clear" w:color="auto" w:fill="F2F2F2"/>
            <w:vAlign w:val="center"/>
          </w:tcPr>
          <w:p w14:paraId="6FD27B7C">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40</w:t>
            </w:r>
          </w:p>
        </w:tc>
        <w:tc>
          <w:tcPr>
            <w:tcW w:w="622" w:type="dxa"/>
            <w:shd w:val="clear" w:color="auto" w:fill="F2F2F2"/>
            <w:vAlign w:val="center"/>
          </w:tcPr>
          <w:p w14:paraId="78D83231">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60</w:t>
            </w:r>
          </w:p>
        </w:tc>
        <w:tc>
          <w:tcPr>
            <w:tcW w:w="622" w:type="dxa"/>
            <w:shd w:val="clear" w:color="auto" w:fill="F2F2F2"/>
            <w:vAlign w:val="center"/>
          </w:tcPr>
          <w:p w14:paraId="190A67A2">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80</w:t>
            </w:r>
          </w:p>
        </w:tc>
        <w:tc>
          <w:tcPr>
            <w:tcW w:w="622" w:type="dxa"/>
            <w:shd w:val="clear" w:color="auto" w:fill="F2F2F2"/>
            <w:vAlign w:val="center"/>
          </w:tcPr>
          <w:p w14:paraId="3F365FA2">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100</w:t>
            </w:r>
          </w:p>
        </w:tc>
        <w:tc>
          <w:tcPr>
            <w:tcW w:w="623" w:type="dxa"/>
            <w:shd w:val="clear" w:color="auto" w:fill="F2F2F2"/>
            <w:vAlign w:val="center"/>
          </w:tcPr>
          <w:p w14:paraId="23FFA305">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120</w:t>
            </w:r>
          </w:p>
        </w:tc>
      </w:tr>
      <w:tr w14:paraId="4032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shd w:val="clear" w:color="auto" w:fill="F2F2F2"/>
            <w:vAlign w:val="center"/>
          </w:tcPr>
          <w:p w14:paraId="0AFB06D6">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4.0</w:t>
            </w:r>
          </w:p>
        </w:tc>
        <w:tc>
          <w:tcPr>
            <w:tcW w:w="622" w:type="dxa"/>
            <w:vAlign w:val="center"/>
          </w:tcPr>
          <w:p w14:paraId="5B41E43B">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622" w:type="dxa"/>
            <w:vAlign w:val="center"/>
          </w:tcPr>
          <w:p w14:paraId="09DD96E2">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14F221B7">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28041324">
            <w:pPr>
              <w:adjustRightInd w:val="0"/>
              <w:snapToGrid w:val="0"/>
              <w:spacing w:before="36" w:beforeLines="15" w:line="276" w:lineRule="auto"/>
              <w:jc w:val="center"/>
              <w:rPr>
                <w:rFonts w:ascii="Times New Roman" w:hAnsi="Times New Roman" w:cs="Times New Roman"/>
                <w:snapToGrid w:val="0"/>
                <w:sz w:val="21"/>
                <w:szCs w:val="21"/>
              </w:rPr>
            </w:pPr>
          </w:p>
        </w:tc>
        <w:tc>
          <w:tcPr>
            <w:tcW w:w="623" w:type="dxa"/>
            <w:vAlign w:val="center"/>
          </w:tcPr>
          <w:p w14:paraId="3F5F259E">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r w14:paraId="531F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shd w:val="clear" w:color="auto" w:fill="F2F2F2"/>
            <w:vAlign w:val="center"/>
          </w:tcPr>
          <w:p w14:paraId="7EC329D2">
            <w:pPr>
              <w:adjustRightInd w:val="0"/>
              <w:snapToGrid w:val="0"/>
              <w:spacing w:before="36" w:beforeLines="15" w:line="276" w:lineRule="auto"/>
              <w:jc w:val="center"/>
              <w:rPr>
                <w:rFonts w:ascii="Times New Roman" w:hAnsi="Times New Roman" w:cs="Times New Roman"/>
                <w:b/>
                <w:bCs/>
                <w:snapToGrid w:val="0"/>
                <w:sz w:val="21"/>
                <w:szCs w:val="21"/>
              </w:rPr>
            </w:pPr>
            <w:r>
              <w:rPr>
                <w:rFonts w:ascii="Times New Roman" w:hAnsi="Times New Roman" w:cs="Times New Roman"/>
                <w:b/>
                <w:snapToGrid w:val="0"/>
                <w:sz w:val="21"/>
                <w:szCs w:val="21"/>
              </w:rPr>
              <w:t>4.5</w:t>
            </w:r>
          </w:p>
        </w:tc>
        <w:tc>
          <w:tcPr>
            <w:tcW w:w="622" w:type="dxa"/>
            <w:vAlign w:val="center"/>
          </w:tcPr>
          <w:p w14:paraId="20285062">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45A07314">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376B97F0">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35B0AB94">
            <w:pPr>
              <w:adjustRightInd w:val="0"/>
              <w:snapToGrid w:val="0"/>
              <w:spacing w:before="36" w:beforeLines="15" w:line="276" w:lineRule="auto"/>
              <w:jc w:val="center"/>
              <w:rPr>
                <w:rFonts w:ascii="Times New Roman" w:hAnsi="Times New Roman" w:cs="Times New Roman"/>
                <w:snapToGrid w:val="0"/>
                <w:sz w:val="21"/>
                <w:szCs w:val="21"/>
              </w:rPr>
            </w:pPr>
          </w:p>
        </w:tc>
        <w:tc>
          <w:tcPr>
            <w:tcW w:w="623" w:type="dxa"/>
            <w:vAlign w:val="center"/>
          </w:tcPr>
          <w:p w14:paraId="55B31AFD">
            <w:pPr>
              <w:adjustRightInd w:val="0"/>
              <w:snapToGrid w:val="0"/>
              <w:spacing w:before="36" w:beforeLines="15" w:line="276" w:lineRule="auto"/>
              <w:jc w:val="center"/>
              <w:rPr>
                <w:rFonts w:ascii="Times New Roman" w:hAnsi="Times New Roman" w:cs="Times New Roman"/>
                <w:snapToGrid w:val="0"/>
                <w:sz w:val="21"/>
                <w:szCs w:val="21"/>
              </w:rPr>
            </w:pPr>
          </w:p>
        </w:tc>
      </w:tr>
      <w:tr w14:paraId="738D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shd w:val="clear" w:color="auto" w:fill="F2F2F2"/>
            <w:vAlign w:val="center"/>
          </w:tcPr>
          <w:p w14:paraId="73012E84">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5.0</w:t>
            </w:r>
          </w:p>
        </w:tc>
        <w:tc>
          <w:tcPr>
            <w:tcW w:w="622" w:type="dxa"/>
            <w:vAlign w:val="center"/>
          </w:tcPr>
          <w:p w14:paraId="0F628534">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519CCA1F">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0702E3E0">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14ECCF56">
            <w:pPr>
              <w:adjustRightInd w:val="0"/>
              <w:snapToGrid w:val="0"/>
              <w:spacing w:before="36" w:beforeLines="15" w:line="276" w:lineRule="auto"/>
              <w:jc w:val="center"/>
              <w:rPr>
                <w:rFonts w:ascii="Times New Roman" w:hAnsi="Times New Roman" w:cs="Times New Roman"/>
                <w:snapToGrid w:val="0"/>
                <w:sz w:val="21"/>
                <w:szCs w:val="21"/>
              </w:rPr>
            </w:pPr>
          </w:p>
        </w:tc>
        <w:tc>
          <w:tcPr>
            <w:tcW w:w="623" w:type="dxa"/>
            <w:vAlign w:val="center"/>
          </w:tcPr>
          <w:p w14:paraId="5BDACA3E">
            <w:pPr>
              <w:adjustRightInd w:val="0"/>
              <w:snapToGrid w:val="0"/>
              <w:spacing w:before="36" w:beforeLines="15" w:line="276" w:lineRule="auto"/>
              <w:jc w:val="center"/>
              <w:rPr>
                <w:rFonts w:ascii="Times New Roman" w:hAnsi="Times New Roman" w:cs="Times New Roman"/>
                <w:snapToGrid w:val="0"/>
                <w:sz w:val="21"/>
                <w:szCs w:val="21"/>
              </w:rPr>
            </w:pPr>
          </w:p>
        </w:tc>
      </w:tr>
      <w:tr w14:paraId="6059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shd w:val="clear" w:color="auto" w:fill="F2F2F2"/>
            <w:vAlign w:val="center"/>
          </w:tcPr>
          <w:p w14:paraId="17BEAB94">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5.5</w:t>
            </w:r>
          </w:p>
        </w:tc>
        <w:tc>
          <w:tcPr>
            <w:tcW w:w="622" w:type="dxa"/>
            <w:vAlign w:val="center"/>
          </w:tcPr>
          <w:p w14:paraId="08C91D9E">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2681E980">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60E7A8B1">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323F7C4C">
            <w:pPr>
              <w:adjustRightInd w:val="0"/>
              <w:snapToGrid w:val="0"/>
              <w:spacing w:before="36" w:beforeLines="15" w:line="276" w:lineRule="auto"/>
              <w:jc w:val="center"/>
              <w:rPr>
                <w:rFonts w:ascii="Times New Roman" w:hAnsi="Times New Roman" w:cs="Times New Roman"/>
                <w:snapToGrid w:val="0"/>
                <w:sz w:val="21"/>
                <w:szCs w:val="21"/>
              </w:rPr>
            </w:pPr>
          </w:p>
        </w:tc>
        <w:tc>
          <w:tcPr>
            <w:tcW w:w="623" w:type="dxa"/>
            <w:vAlign w:val="center"/>
          </w:tcPr>
          <w:p w14:paraId="48903BF6">
            <w:pPr>
              <w:adjustRightInd w:val="0"/>
              <w:snapToGrid w:val="0"/>
              <w:spacing w:before="36" w:beforeLines="15" w:line="276" w:lineRule="auto"/>
              <w:jc w:val="center"/>
              <w:rPr>
                <w:rFonts w:ascii="Times New Roman" w:hAnsi="Times New Roman" w:cs="Times New Roman"/>
                <w:snapToGrid w:val="0"/>
                <w:sz w:val="21"/>
                <w:szCs w:val="21"/>
              </w:rPr>
            </w:pPr>
          </w:p>
        </w:tc>
      </w:tr>
      <w:tr w14:paraId="7FF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shd w:val="clear" w:color="auto" w:fill="F2F2F2"/>
            <w:vAlign w:val="center"/>
          </w:tcPr>
          <w:p w14:paraId="57A2AAD9">
            <w:pPr>
              <w:adjustRightInd w:val="0"/>
              <w:snapToGrid w:val="0"/>
              <w:spacing w:before="36" w:beforeLines="15" w:line="276" w:lineRule="auto"/>
              <w:jc w:val="center"/>
              <w:rPr>
                <w:rFonts w:ascii="Times New Roman" w:hAnsi="Times New Roman" w:cs="Times New Roman"/>
                <w:b/>
                <w:bCs/>
                <w:snapToGrid w:val="0"/>
                <w:sz w:val="21"/>
                <w:szCs w:val="21"/>
              </w:rPr>
            </w:pPr>
            <w:r>
              <w:rPr>
                <w:rFonts w:ascii="Times New Roman" w:hAnsi="Times New Roman" w:cs="Times New Roman"/>
                <w:b/>
                <w:bCs/>
                <w:snapToGrid w:val="0"/>
                <w:sz w:val="21"/>
                <w:szCs w:val="21"/>
              </w:rPr>
              <w:t>6.0</w:t>
            </w:r>
          </w:p>
        </w:tc>
        <w:tc>
          <w:tcPr>
            <w:tcW w:w="622" w:type="dxa"/>
            <w:vAlign w:val="center"/>
          </w:tcPr>
          <w:p w14:paraId="16811E5A">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72761C2A">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38235D50">
            <w:pPr>
              <w:adjustRightInd w:val="0"/>
              <w:snapToGrid w:val="0"/>
              <w:spacing w:before="36" w:beforeLines="15" w:line="276" w:lineRule="auto"/>
              <w:jc w:val="center"/>
              <w:rPr>
                <w:rFonts w:ascii="Times New Roman" w:hAnsi="Times New Roman" w:cs="Times New Roman"/>
                <w:snapToGrid w:val="0"/>
                <w:sz w:val="21"/>
                <w:szCs w:val="21"/>
              </w:rPr>
            </w:pPr>
          </w:p>
        </w:tc>
        <w:tc>
          <w:tcPr>
            <w:tcW w:w="622" w:type="dxa"/>
            <w:vAlign w:val="center"/>
          </w:tcPr>
          <w:p w14:paraId="3FBF88D3">
            <w:pPr>
              <w:adjustRightInd w:val="0"/>
              <w:snapToGrid w:val="0"/>
              <w:spacing w:before="36" w:beforeLines="15" w:line="276" w:lineRule="auto"/>
              <w:jc w:val="center"/>
              <w:rPr>
                <w:rFonts w:ascii="Times New Roman" w:hAnsi="Times New Roman" w:cs="Times New Roman"/>
                <w:snapToGrid w:val="0"/>
                <w:sz w:val="21"/>
                <w:szCs w:val="21"/>
              </w:rPr>
            </w:pPr>
          </w:p>
        </w:tc>
        <w:tc>
          <w:tcPr>
            <w:tcW w:w="623" w:type="dxa"/>
            <w:vAlign w:val="center"/>
          </w:tcPr>
          <w:p w14:paraId="31F0DA6C">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bl>
    <w:p w14:paraId="716C54A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建议试验不受任何试验夹具（如管道）约束的球囊，并逐步扩张球囊，直到球囊达到RBP。对于每个样品，建议保持RBP 30秒（或使用说明中规定的时间），回缩球囊，然后再次扩张至RBP，总共循环20次（或提供科学依据以支持最差情况下使用的循环次数）。建议进行20次循环，以确保试验在最差情况下进行，并为临床使用提供足够的安全裕度，因为PTA导管和其他专用导管可能会多次扩张。请注意，ISO 10555-4建议扩张10次。如果用于本试验的循环少于FDA建议的20个循环，建议提供支持所用方法的临床依据。建议将任何压力损失（无论是由于球囊、管身或近端或远端密封失效）报告为测试失败。建议记录所有失效模式，并且结果应表明90%的球囊将以至少95%的置信度通过试验。</w:t>
      </w:r>
    </w:p>
    <w:p w14:paraId="63F8ADA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562A22C0">
      <w:pPr>
        <w:numPr>
          <w:ilvl w:val="2"/>
          <w:numId w:val="3"/>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球囊</w:t>
      </w:r>
      <w:r>
        <w:rPr>
          <w:rFonts w:hint="eastAsia" w:ascii="Times New Roman" w:hAnsi="Times New Roman" w:eastAsia="宋体" w:cs="宋体"/>
          <w:b/>
          <w:sz w:val="24"/>
          <w:lang w:eastAsia="zh-CN"/>
        </w:rPr>
        <w:t>顺应性</w:t>
      </w:r>
      <w:r>
        <w:rPr>
          <w:rFonts w:ascii="Times New Roman" w:hAnsi="Times New Roman" w:eastAsia="宋体" w:cs="宋体"/>
          <w:b/>
          <w:sz w:val="24"/>
          <w:lang w:eastAsia="zh-CN"/>
        </w:rPr>
        <w:t>（直径与压力）</w:t>
      </w:r>
    </w:p>
    <w:p w14:paraId="2984061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：展开PTA球囊的直径随扩张压力而变化。标签说明书中的顺应性图表显示球囊直径与球囊压力之间的联系，指导导管尺寸的选择，以适合靶血管部位。导管尺寸选择不当可能导致器械故障或血管损伤。</w:t>
      </w:r>
    </w:p>
    <w:p w14:paraId="48EAF1E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：建议在进行该试验时遵循ISO 10555-4附录D</w:t>
      </w:r>
      <w:r>
        <w:rPr>
          <w:rFonts w:hint="eastAsia" w:ascii="Times New Roman" w:hAnsi="Times New Roman" w:eastAsia="宋体" w:cs="宋体"/>
          <w:sz w:val="24"/>
          <w:lang w:eastAsia="zh-CN"/>
        </w:rPr>
        <w:t>的要求</w:t>
      </w:r>
      <w:r>
        <w:rPr>
          <w:rFonts w:ascii="Times New Roman" w:hAnsi="Times New Roman" w:eastAsia="宋体" w:cs="宋体"/>
          <w:sz w:val="24"/>
          <w:lang w:eastAsia="zh-CN"/>
        </w:rPr>
        <w:t>。除本标准所述内容外，还应考虑以下内容。</w:t>
      </w:r>
    </w:p>
    <w:p w14:paraId="7850132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试验球囊尺寸，如表2所示，并试验多个产品批次。建议在建议扩张直径的整个范围内包含显示扩张压力与球囊直径的数据，并在使用说明、外包装标签说明书或两者中报告结果。标签说明书中应包括图形或表格（即顺应性图表）。建议标明标称扩张压力和RBP。如果提供的数据和统计数据表明99%的球囊以95%的置信度不会在列出的压力下发生故障，则顺应性图表可包括高于RBP（但不超过）25%的压力。此外，建议描述是否已执行任何数据舍入以及执行的方式，并显示所有实例（如果适用）。顺应性图表不应统一化（即，以任何方式进行修改，以确保在标签说明书显示的标称压力下准确实现标称直径）或基于有限试验进行计算。表4</w:t>
      </w:r>
      <w:r>
        <w:rPr>
          <w:rFonts w:hint="eastAsia" w:ascii="Times New Roman" w:hAnsi="Times New Roman" w:eastAsia="宋体" w:cs="宋体"/>
          <w:sz w:val="24"/>
          <w:lang w:eastAsia="zh-CN"/>
        </w:rPr>
        <w:t>所示为</w:t>
      </w:r>
      <w:r>
        <w:rPr>
          <w:rFonts w:ascii="Times New Roman" w:hAnsi="Times New Roman" w:eastAsia="宋体" w:cs="宋体"/>
          <w:sz w:val="24"/>
          <w:lang w:eastAsia="zh-CN"/>
        </w:rPr>
        <w:t>直径4.0 mm至6.0 mm</w:t>
      </w:r>
      <w:r>
        <w:rPr>
          <w:rFonts w:hint="eastAsia" w:ascii="Times New Roman" w:hAnsi="Times New Roman" w:eastAsia="宋体" w:cs="宋体"/>
          <w:sz w:val="24"/>
          <w:lang w:eastAsia="zh-CN"/>
        </w:rPr>
        <w:t>的球囊，在</w:t>
      </w:r>
      <w:r>
        <w:rPr>
          <w:rFonts w:ascii="Times New Roman" w:hAnsi="Times New Roman" w:eastAsia="宋体" w:cs="宋体"/>
          <w:sz w:val="24"/>
          <w:lang w:eastAsia="zh-CN"/>
        </w:rPr>
        <w:t>9 atm标称压力</w:t>
      </w:r>
      <w:r>
        <w:rPr>
          <w:rFonts w:hint="eastAsia" w:ascii="Times New Roman" w:hAnsi="Times New Roman" w:eastAsia="宋体" w:cs="宋体"/>
          <w:sz w:val="24"/>
          <w:lang w:eastAsia="zh-CN"/>
        </w:rPr>
        <w:t>下表现出不同</w:t>
      </w:r>
      <w:r>
        <w:rPr>
          <w:rFonts w:ascii="Times New Roman" w:hAnsi="Times New Roman" w:eastAsia="宋体" w:cs="宋体"/>
          <w:sz w:val="24"/>
          <w:lang w:eastAsia="zh-CN"/>
        </w:rPr>
        <w:t>RBP的顺应性图表示例。</w:t>
      </w:r>
    </w:p>
    <w:p w14:paraId="32FC656A">
      <w:pPr>
        <w:adjustRightInd w:val="0"/>
        <w:snapToGrid w:val="0"/>
        <w:spacing w:before="120" w:beforeLines="50" w:line="300" w:lineRule="auto"/>
        <w:jc w:val="center"/>
        <w:rPr>
          <w:rFonts w:ascii="Times New Roman" w:hAnsi="Times New Roman" w:cs="Times New Roman"/>
          <w:b/>
          <w:bCs/>
          <w:snapToGrid w:val="0"/>
          <w:sz w:val="24"/>
          <w:szCs w:val="28"/>
          <w:lang w:eastAsia="zh-CN"/>
        </w:rPr>
      </w:pPr>
      <w:r>
        <w:rPr>
          <w:rFonts w:ascii="Times New Roman" w:hAnsi="Times New Roman" w:eastAsia="宋体" w:cs="宋体"/>
          <w:b/>
          <w:sz w:val="24"/>
          <w:lang w:eastAsia="zh-CN"/>
        </w:rPr>
        <w:t>表4：球囊顺应性图表示例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179"/>
        <w:gridCol w:w="1179"/>
        <w:gridCol w:w="1179"/>
        <w:gridCol w:w="1179"/>
        <w:gridCol w:w="1179"/>
      </w:tblGrid>
      <w:tr w14:paraId="70CF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44" w:type="dxa"/>
            <w:vMerge w:val="restart"/>
            <w:shd w:val="clear" w:color="auto" w:fill="F2F2F2"/>
            <w:vAlign w:val="center"/>
          </w:tcPr>
          <w:p w14:paraId="17CB52AD">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eastAsia="宋体" w:cs="宋体"/>
                <w:b/>
                <w:sz w:val="21"/>
              </w:rPr>
              <w:t>压力（atm）</w:t>
            </w:r>
          </w:p>
        </w:tc>
        <w:tc>
          <w:tcPr>
            <w:tcW w:w="5895" w:type="dxa"/>
            <w:gridSpan w:val="5"/>
            <w:shd w:val="clear" w:color="auto" w:fill="F2F2F2"/>
            <w:vAlign w:val="center"/>
          </w:tcPr>
          <w:p w14:paraId="6E2F6F0B">
            <w:pPr>
              <w:adjustRightInd w:val="0"/>
              <w:snapToGrid w:val="0"/>
              <w:spacing w:before="36" w:beforeLines="15" w:line="276" w:lineRule="auto"/>
              <w:jc w:val="center"/>
              <w:rPr>
                <w:rFonts w:ascii="Times New Roman" w:hAnsi="Times New Roman" w:cs="Times New Roman"/>
                <w:b/>
                <w:bCs/>
                <w:snapToGrid w:val="0"/>
                <w:sz w:val="21"/>
                <w:szCs w:val="21"/>
                <w:lang w:eastAsia="zh-CN"/>
              </w:rPr>
            </w:pPr>
            <w:r>
              <w:rPr>
                <w:rFonts w:ascii="Times New Roman" w:hAnsi="Times New Roman" w:eastAsia="宋体" w:cs="宋体"/>
                <w:b/>
                <w:sz w:val="21"/>
                <w:lang w:eastAsia="zh-CN"/>
              </w:rPr>
              <w:t>球囊标称直径（mm）</w:t>
            </w:r>
          </w:p>
          <w:p w14:paraId="2CC3DBAE">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ascii="Times New Roman" w:hAnsi="Times New Roman" w:eastAsia="宋体" w:cs="宋体"/>
                <w:b/>
                <w:sz w:val="21"/>
                <w:lang w:eastAsia="zh-CN"/>
              </w:rPr>
              <w:t>（X =给定压力下的球囊直径）</w:t>
            </w:r>
          </w:p>
        </w:tc>
      </w:tr>
      <w:tr w14:paraId="11F7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644" w:type="dxa"/>
            <w:vMerge w:val="continue"/>
            <w:shd w:val="clear" w:color="auto" w:fill="F2F2F2"/>
            <w:vAlign w:val="center"/>
          </w:tcPr>
          <w:p w14:paraId="5E5EC3DD">
            <w:pPr>
              <w:adjustRightInd w:val="0"/>
              <w:snapToGrid w:val="0"/>
              <w:spacing w:before="36" w:beforeLines="15" w:line="276" w:lineRule="auto"/>
              <w:jc w:val="center"/>
              <w:rPr>
                <w:rFonts w:ascii="Times New Roman" w:hAnsi="Times New Roman" w:cs="Times New Roman"/>
                <w:snapToGrid w:val="0"/>
                <w:sz w:val="21"/>
                <w:szCs w:val="21"/>
                <w:lang w:eastAsia="zh-CN"/>
              </w:rPr>
            </w:pPr>
          </w:p>
        </w:tc>
        <w:tc>
          <w:tcPr>
            <w:tcW w:w="1179" w:type="dxa"/>
            <w:shd w:val="clear" w:color="auto" w:fill="auto"/>
            <w:vAlign w:val="center"/>
          </w:tcPr>
          <w:p w14:paraId="748CEB98">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b/>
                <w:bCs/>
                <w:snapToGrid w:val="0"/>
                <w:sz w:val="21"/>
                <w:szCs w:val="21"/>
                <w:lang w:eastAsia="zh-CN"/>
              </w:rPr>
              <w:t>4.0</w:t>
            </w:r>
          </w:p>
        </w:tc>
        <w:tc>
          <w:tcPr>
            <w:tcW w:w="1179" w:type="dxa"/>
            <w:shd w:val="clear" w:color="auto" w:fill="auto"/>
            <w:vAlign w:val="center"/>
          </w:tcPr>
          <w:p w14:paraId="5D371F27">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b/>
                <w:bCs/>
                <w:snapToGrid w:val="0"/>
                <w:sz w:val="21"/>
                <w:szCs w:val="21"/>
                <w:lang w:eastAsia="zh-CN"/>
              </w:rPr>
              <w:t>4.5</w:t>
            </w:r>
          </w:p>
        </w:tc>
        <w:tc>
          <w:tcPr>
            <w:tcW w:w="1179" w:type="dxa"/>
            <w:shd w:val="clear" w:color="auto" w:fill="auto"/>
            <w:vAlign w:val="center"/>
          </w:tcPr>
          <w:p w14:paraId="26B2FB9A">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b/>
                <w:bCs/>
                <w:snapToGrid w:val="0"/>
                <w:sz w:val="21"/>
                <w:szCs w:val="21"/>
                <w:lang w:eastAsia="zh-CN"/>
              </w:rPr>
              <w:t>5.0</w:t>
            </w:r>
          </w:p>
        </w:tc>
        <w:tc>
          <w:tcPr>
            <w:tcW w:w="1179" w:type="dxa"/>
            <w:shd w:val="clear" w:color="auto" w:fill="auto"/>
            <w:vAlign w:val="center"/>
          </w:tcPr>
          <w:p w14:paraId="3B6B1405">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b/>
                <w:bCs/>
                <w:snapToGrid w:val="0"/>
                <w:sz w:val="21"/>
                <w:szCs w:val="21"/>
                <w:lang w:eastAsia="zh-CN"/>
              </w:rPr>
              <w:t>5.5</w:t>
            </w:r>
          </w:p>
        </w:tc>
        <w:tc>
          <w:tcPr>
            <w:tcW w:w="1179" w:type="dxa"/>
            <w:shd w:val="clear" w:color="auto" w:fill="auto"/>
            <w:vAlign w:val="center"/>
          </w:tcPr>
          <w:p w14:paraId="15EBCBD3">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b/>
                <w:bCs/>
                <w:snapToGrid w:val="0"/>
                <w:sz w:val="21"/>
                <w:szCs w:val="21"/>
                <w:lang w:eastAsia="zh-CN"/>
              </w:rPr>
              <w:t>6.0</w:t>
            </w:r>
          </w:p>
        </w:tc>
      </w:tr>
      <w:tr w14:paraId="7B71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4" w:type="dxa"/>
            <w:shd w:val="clear" w:color="auto" w:fill="auto"/>
            <w:vAlign w:val="center"/>
          </w:tcPr>
          <w:p w14:paraId="518C2BCD">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b/>
                <w:bCs/>
                <w:snapToGrid w:val="0"/>
                <w:sz w:val="21"/>
                <w:szCs w:val="21"/>
                <w:lang w:eastAsia="zh-CN"/>
              </w:rPr>
              <w:t>9.0*</w:t>
            </w:r>
          </w:p>
        </w:tc>
        <w:tc>
          <w:tcPr>
            <w:tcW w:w="1179" w:type="dxa"/>
            <w:vAlign w:val="center"/>
          </w:tcPr>
          <w:p w14:paraId="09793FA0">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0B8AA309">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609D55CD">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0EF188E5">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631D707D">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r w14:paraId="74CF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4" w:type="dxa"/>
            <w:shd w:val="clear" w:color="auto" w:fill="auto"/>
            <w:vAlign w:val="center"/>
          </w:tcPr>
          <w:p w14:paraId="43C5368F">
            <w:pPr>
              <w:adjustRightInd w:val="0"/>
              <w:snapToGrid w:val="0"/>
              <w:spacing w:before="36" w:beforeLines="15" w:line="276" w:lineRule="auto"/>
              <w:jc w:val="center"/>
              <w:rPr>
                <w:rFonts w:ascii="Times New Roman" w:hAnsi="Times New Roman" w:cs="Times New Roman"/>
                <w:b/>
                <w:bCs/>
                <w:snapToGrid w:val="0"/>
                <w:sz w:val="21"/>
                <w:szCs w:val="21"/>
                <w:lang w:eastAsia="zh-CN"/>
              </w:rPr>
            </w:pPr>
            <w:r>
              <w:rPr>
                <w:rFonts w:hint="eastAsia" w:ascii="Times New Roman" w:hAnsi="Times New Roman" w:cs="Times New Roman"/>
                <w:b/>
                <w:snapToGrid w:val="0"/>
                <w:sz w:val="21"/>
                <w:szCs w:val="21"/>
                <w:lang w:eastAsia="zh-CN"/>
              </w:rPr>
              <w:t>10.0</w:t>
            </w:r>
          </w:p>
        </w:tc>
        <w:tc>
          <w:tcPr>
            <w:tcW w:w="1179" w:type="dxa"/>
            <w:vAlign w:val="center"/>
          </w:tcPr>
          <w:p w14:paraId="7FCAED47">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26FDBB20">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6F0077B0">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7FFC9C8F">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190F2372">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r w14:paraId="6805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4" w:type="dxa"/>
            <w:shd w:val="clear" w:color="auto" w:fill="auto"/>
            <w:vAlign w:val="center"/>
          </w:tcPr>
          <w:p w14:paraId="59360ACE">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b/>
                <w:bCs/>
                <w:snapToGrid w:val="0"/>
                <w:sz w:val="21"/>
                <w:szCs w:val="21"/>
                <w:lang w:eastAsia="zh-CN"/>
              </w:rPr>
              <w:t>11.0</w:t>
            </w:r>
          </w:p>
        </w:tc>
        <w:tc>
          <w:tcPr>
            <w:tcW w:w="1179" w:type="dxa"/>
            <w:vAlign w:val="center"/>
          </w:tcPr>
          <w:p w14:paraId="0949798D">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62C8BB3C">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49C3E2A9">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7ADB3C84">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47AD8CF6">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r w14:paraId="79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4" w:type="dxa"/>
            <w:shd w:val="clear" w:color="auto" w:fill="auto"/>
            <w:vAlign w:val="center"/>
          </w:tcPr>
          <w:p w14:paraId="3AF292A6">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hint="eastAsia" w:ascii="Times New Roman" w:hAnsi="Times New Roman" w:cs="Times New Roman"/>
                <w:b/>
                <w:bCs/>
                <w:snapToGrid w:val="0"/>
                <w:sz w:val="21"/>
                <w:szCs w:val="21"/>
                <w:lang w:eastAsia="zh-CN"/>
              </w:rPr>
              <w:t>12.0</w:t>
            </w:r>
          </w:p>
        </w:tc>
        <w:tc>
          <w:tcPr>
            <w:tcW w:w="1179" w:type="dxa"/>
            <w:vAlign w:val="center"/>
          </w:tcPr>
          <w:p w14:paraId="06F0B6CF">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5BA1E822">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6D533E62">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2D8D343B">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1D199460">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r w14:paraId="5476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4" w:type="dxa"/>
            <w:shd w:val="clear" w:color="auto" w:fill="auto"/>
            <w:vAlign w:val="center"/>
          </w:tcPr>
          <w:p w14:paraId="240C7826">
            <w:pPr>
              <w:adjustRightInd w:val="0"/>
              <w:snapToGrid w:val="0"/>
              <w:spacing w:before="36" w:beforeLines="15" w:line="276" w:lineRule="auto"/>
              <w:jc w:val="center"/>
              <w:rPr>
                <w:rFonts w:ascii="Times New Roman" w:hAnsi="Times New Roman" w:cs="Times New Roman"/>
                <w:b/>
                <w:bCs/>
                <w:snapToGrid w:val="0"/>
                <w:sz w:val="21"/>
                <w:szCs w:val="21"/>
                <w:lang w:eastAsia="zh-CN"/>
              </w:rPr>
            </w:pPr>
            <w:r>
              <w:rPr>
                <w:rFonts w:hint="eastAsia" w:ascii="Times New Roman" w:hAnsi="Times New Roman" w:cs="Times New Roman"/>
                <w:b/>
                <w:bCs/>
                <w:snapToGrid w:val="0"/>
                <w:sz w:val="21"/>
                <w:szCs w:val="21"/>
                <w:lang w:eastAsia="zh-CN"/>
              </w:rPr>
              <w:t>13.0</w:t>
            </w:r>
          </w:p>
        </w:tc>
        <w:tc>
          <w:tcPr>
            <w:tcW w:w="1179" w:type="dxa"/>
            <w:vAlign w:val="center"/>
          </w:tcPr>
          <w:p w14:paraId="0D6A139D">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397F1E4A">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5CB9D5D2">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604CCA6E">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7CFEC270">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r w14:paraId="321D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4" w:type="dxa"/>
            <w:shd w:val="clear" w:color="auto" w:fill="auto"/>
            <w:vAlign w:val="center"/>
          </w:tcPr>
          <w:p w14:paraId="5586F24E">
            <w:pPr>
              <w:adjustRightInd w:val="0"/>
              <w:snapToGrid w:val="0"/>
              <w:spacing w:before="36" w:beforeLines="15" w:line="276" w:lineRule="auto"/>
              <w:jc w:val="center"/>
              <w:rPr>
                <w:rFonts w:ascii="Times New Roman" w:hAnsi="Times New Roman" w:cs="Times New Roman"/>
                <w:b/>
                <w:bCs/>
                <w:snapToGrid w:val="0"/>
                <w:sz w:val="21"/>
                <w:szCs w:val="21"/>
                <w:lang w:eastAsia="zh-CN"/>
              </w:rPr>
            </w:pPr>
            <w:r>
              <w:rPr>
                <w:rFonts w:hint="eastAsia" w:ascii="Times New Roman" w:hAnsi="Times New Roman" w:cs="Times New Roman"/>
                <w:b/>
                <w:bCs/>
                <w:snapToGrid w:val="0"/>
                <w:sz w:val="21"/>
                <w:szCs w:val="21"/>
                <w:lang w:eastAsia="zh-CN"/>
              </w:rPr>
              <w:t>14.0</w:t>
            </w:r>
          </w:p>
        </w:tc>
        <w:tc>
          <w:tcPr>
            <w:tcW w:w="1179" w:type="dxa"/>
            <w:vAlign w:val="center"/>
          </w:tcPr>
          <w:p w14:paraId="350A7766">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6D934E75">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4735C681">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750D2132">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ascii="Times New Roman" w:hAnsi="Times New Roman" w:cs="Times New Roman"/>
                <w:snapToGrid w:val="0"/>
                <w:sz w:val="21"/>
                <w:szCs w:val="21"/>
              </w:rPr>
              <w:t>X</w:t>
            </w:r>
            <w:r>
              <w:rPr>
                <w:rFonts w:hint="eastAsia" w:ascii="Times New Roman" w:hAnsi="Times New Roman" w:cs="Times New Roman"/>
                <w:snapToGrid w:val="0"/>
                <w:sz w:val="21"/>
                <w:szCs w:val="21"/>
                <w:lang w:eastAsia="zh-CN"/>
              </w:rPr>
              <w:t>**</w:t>
            </w:r>
          </w:p>
        </w:tc>
        <w:tc>
          <w:tcPr>
            <w:tcW w:w="1179" w:type="dxa"/>
            <w:vAlign w:val="center"/>
          </w:tcPr>
          <w:p w14:paraId="13BF6F4E">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ascii="Times New Roman" w:hAnsi="Times New Roman" w:cs="Times New Roman"/>
                <w:snapToGrid w:val="0"/>
                <w:sz w:val="21"/>
                <w:szCs w:val="21"/>
              </w:rPr>
              <w:t>X</w:t>
            </w:r>
            <w:r>
              <w:rPr>
                <w:rFonts w:hint="eastAsia" w:ascii="Times New Roman" w:hAnsi="Times New Roman" w:cs="Times New Roman"/>
                <w:snapToGrid w:val="0"/>
                <w:sz w:val="21"/>
                <w:szCs w:val="21"/>
                <w:lang w:eastAsia="zh-CN"/>
              </w:rPr>
              <w:t>**</w:t>
            </w:r>
          </w:p>
        </w:tc>
      </w:tr>
      <w:tr w14:paraId="72EF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4" w:type="dxa"/>
            <w:shd w:val="clear" w:color="auto" w:fill="auto"/>
            <w:vAlign w:val="center"/>
          </w:tcPr>
          <w:p w14:paraId="3C1FF706">
            <w:pPr>
              <w:adjustRightInd w:val="0"/>
              <w:snapToGrid w:val="0"/>
              <w:spacing w:before="36" w:beforeLines="15" w:line="276" w:lineRule="auto"/>
              <w:jc w:val="center"/>
              <w:rPr>
                <w:rFonts w:ascii="Times New Roman" w:hAnsi="Times New Roman" w:cs="Times New Roman"/>
                <w:b/>
                <w:bCs/>
                <w:snapToGrid w:val="0"/>
                <w:sz w:val="21"/>
                <w:szCs w:val="21"/>
                <w:lang w:eastAsia="zh-CN"/>
              </w:rPr>
            </w:pPr>
            <w:r>
              <w:rPr>
                <w:rFonts w:hint="eastAsia" w:ascii="Times New Roman" w:hAnsi="Times New Roman" w:cs="Times New Roman"/>
                <w:b/>
                <w:bCs/>
                <w:snapToGrid w:val="0"/>
                <w:sz w:val="21"/>
                <w:szCs w:val="21"/>
                <w:lang w:eastAsia="zh-CN"/>
              </w:rPr>
              <w:t>15.0</w:t>
            </w:r>
          </w:p>
        </w:tc>
        <w:tc>
          <w:tcPr>
            <w:tcW w:w="1179" w:type="dxa"/>
            <w:vAlign w:val="center"/>
          </w:tcPr>
          <w:p w14:paraId="31547793">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107C0671">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010FCDD5">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ascii="Times New Roman" w:hAnsi="Times New Roman" w:cs="Times New Roman"/>
                <w:snapToGrid w:val="0"/>
                <w:sz w:val="21"/>
                <w:szCs w:val="21"/>
              </w:rPr>
              <w:t>X</w:t>
            </w:r>
            <w:r>
              <w:rPr>
                <w:rFonts w:hint="eastAsia" w:ascii="Times New Roman" w:hAnsi="Times New Roman" w:cs="Times New Roman"/>
                <w:snapToGrid w:val="0"/>
                <w:sz w:val="21"/>
                <w:szCs w:val="21"/>
                <w:lang w:eastAsia="zh-CN"/>
              </w:rPr>
              <w:t>**</w:t>
            </w:r>
          </w:p>
        </w:tc>
        <w:tc>
          <w:tcPr>
            <w:tcW w:w="1179" w:type="dxa"/>
            <w:vAlign w:val="center"/>
          </w:tcPr>
          <w:p w14:paraId="5658215F">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0E050DD0">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r w14:paraId="795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4" w:type="dxa"/>
            <w:shd w:val="clear" w:color="auto" w:fill="auto"/>
            <w:vAlign w:val="center"/>
          </w:tcPr>
          <w:p w14:paraId="6A9D60D7">
            <w:pPr>
              <w:adjustRightInd w:val="0"/>
              <w:snapToGrid w:val="0"/>
              <w:spacing w:before="36" w:beforeLines="15" w:line="276" w:lineRule="auto"/>
              <w:jc w:val="center"/>
              <w:rPr>
                <w:rFonts w:ascii="Times New Roman" w:hAnsi="Times New Roman" w:cs="Times New Roman"/>
                <w:b/>
                <w:bCs/>
                <w:snapToGrid w:val="0"/>
                <w:sz w:val="21"/>
                <w:szCs w:val="21"/>
                <w:lang w:eastAsia="zh-CN"/>
              </w:rPr>
            </w:pPr>
            <w:r>
              <w:rPr>
                <w:rFonts w:hint="eastAsia" w:ascii="Times New Roman" w:hAnsi="Times New Roman" w:cs="Times New Roman"/>
                <w:b/>
                <w:bCs/>
                <w:snapToGrid w:val="0"/>
                <w:sz w:val="21"/>
                <w:szCs w:val="21"/>
                <w:lang w:eastAsia="zh-CN"/>
              </w:rPr>
              <w:t>16.0</w:t>
            </w:r>
          </w:p>
        </w:tc>
        <w:tc>
          <w:tcPr>
            <w:tcW w:w="1179" w:type="dxa"/>
            <w:vAlign w:val="center"/>
          </w:tcPr>
          <w:p w14:paraId="329906A0">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ascii="Times New Roman" w:hAnsi="Times New Roman" w:cs="Times New Roman"/>
                <w:snapToGrid w:val="0"/>
                <w:sz w:val="21"/>
                <w:szCs w:val="21"/>
              </w:rPr>
              <w:t>X</w:t>
            </w:r>
            <w:r>
              <w:rPr>
                <w:rFonts w:hint="eastAsia" w:ascii="Times New Roman" w:hAnsi="Times New Roman" w:cs="Times New Roman"/>
                <w:snapToGrid w:val="0"/>
                <w:sz w:val="21"/>
                <w:szCs w:val="21"/>
                <w:lang w:eastAsia="zh-CN"/>
              </w:rPr>
              <w:t>**</w:t>
            </w:r>
          </w:p>
        </w:tc>
        <w:tc>
          <w:tcPr>
            <w:tcW w:w="1179" w:type="dxa"/>
            <w:vAlign w:val="center"/>
          </w:tcPr>
          <w:p w14:paraId="339FFEE5">
            <w:pPr>
              <w:adjustRightInd w:val="0"/>
              <w:snapToGrid w:val="0"/>
              <w:spacing w:before="36" w:beforeLines="15" w:line="276" w:lineRule="auto"/>
              <w:jc w:val="center"/>
              <w:rPr>
                <w:rFonts w:ascii="Times New Roman" w:hAnsi="Times New Roman" w:cs="Times New Roman"/>
                <w:snapToGrid w:val="0"/>
                <w:sz w:val="21"/>
                <w:szCs w:val="21"/>
                <w:lang w:eastAsia="zh-CN"/>
              </w:rPr>
            </w:pPr>
            <w:r>
              <w:rPr>
                <w:rFonts w:ascii="Times New Roman" w:hAnsi="Times New Roman" w:cs="Times New Roman"/>
                <w:snapToGrid w:val="0"/>
                <w:sz w:val="21"/>
                <w:szCs w:val="21"/>
              </w:rPr>
              <w:t>X</w:t>
            </w:r>
            <w:r>
              <w:rPr>
                <w:rFonts w:hint="eastAsia" w:ascii="Times New Roman" w:hAnsi="Times New Roman" w:cs="Times New Roman"/>
                <w:snapToGrid w:val="0"/>
                <w:sz w:val="21"/>
                <w:szCs w:val="21"/>
                <w:lang w:eastAsia="zh-CN"/>
              </w:rPr>
              <w:t>**</w:t>
            </w:r>
          </w:p>
        </w:tc>
        <w:tc>
          <w:tcPr>
            <w:tcW w:w="1179" w:type="dxa"/>
            <w:vAlign w:val="center"/>
          </w:tcPr>
          <w:p w14:paraId="1C0257B5">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20EB7D4B">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1179" w:type="dxa"/>
            <w:vAlign w:val="center"/>
          </w:tcPr>
          <w:p w14:paraId="0532651D">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bl>
    <w:p w14:paraId="1E707383">
      <w:pPr>
        <w:adjustRightInd w:val="0"/>
        <w:snapToGrid w:val="0"/>
        <w:spacing w:before="120" w:beforeLines="50" w:line="300" w:lineRule="auto"/>
        <w:ind w:left="880" w:leftChars="400"/>
        <w:jc w:val="both"/>
        <w:rPr>
          <w:rFonts w:ascii="Times New Roman" w:hAnsi="Times New Roman" w:cs="Times New Roman"/>
          <w:snapToGrid w:val="0"/>
          <w:sz w:val="21"/>
          <w:szCs w:val="24"/>
        </w:rPr>
      </w:pPr>
      <w:r>
        <w:rPr>
          <w:rFonts w:ascii="Times New Roman" w:hAnsi="Times New Roman" w:eastAsia="宋体" w:cs="宋体"/>
          <w:sz w:val="21"/>
        </w:rPr>
        <w:t>*标称；**RBP</w:t>
      </w:r>
    </w:p>
    <w:p w14:paraId="5B0C231C">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br w:type="page"/>
      </w:r>
    </w:p>
    <w:p w14:paraId="7BABBDB0">
      <w:pPr>
        <w:numPr>
          <w:ilvl w:val="2"/>
          <w:numId w:val="3"/>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球囊扩张和回缩时间</w:t>
      </w:r>
    </w:p>
    <w:p w14:paraId="069904F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扩张时，球囊会闭塞靶血管并阻塞血液流动。扩张和回缩时间影响阻塞时间。球囊扩张或回缩过慢可能会导致长时间血流不足和下游组织受损。扩张和回缩时间都与评价相关，因为这两个属性都可能影响器械性能，并可能导致长时间血流不足和下游组织受损。</w:t>
      </w:r>
    </w:p>
    <w:p w14:paraId="375F831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：建议按照ISO 10555-4附录C进行回缩时间试验。除本标准所述内容外，在进行球囊扩张和回缩时间试验时，还应考虑以下内容。</w:t>
      </w:r>
    </w:p>
    <w:p w14:paraId="6634042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建议使用说明书中</w:t>
      </w:r>
      <w:r>
        <w:rPr>
          <w:rFonts w:hint="eastAsia" w:ascii="Times New Roman" w:hAnsi="Times New Roman" w:eastAsia="宋体" w:cs="宋体"/>
          <w:sz w:val="24"/>
          <w:lang w:eastAsia="zh-CN"/>
        </w:rPr>
        <w:t>推荐</w:t>
      </w:r>
      <w:r>
        <w:rPr>
          <w:rFonts w:ascii="Times New Roman" w:hAnsi="Times New Roman" w:eastAsia="宋体" w:cs="宋体"/>
          <w:sz w:val="24"/>
          <w:lang w:eastAsia="zh-CN"/>
        </w:rPr>
        <w:t>的技术，证明球囊在可接受的时间内扩张和回缩，并为验收标准提供临床依据。建议试验最长球囊的最大直径，并根据风险分析评价</w:t>
      </w:r>
      <w:r>
        <w:rPr>
          <w:rFonts w:hint="eastAsia" w:ascii="Times New Roman" w:hAnsi="Times New Roman" w:eastAsia="宋体" w:cs="宋体"/>
          <w:sz w:val="24"/>
          <w:lang w:eastAsia="zh-CN"/>
        </w:rPr>
        <w:t>待</w:t>
      </w:r>
      <w:r>
        <w:rPr>
          <w:rFonts w:ascii="Times New Roman" w:hAnsi="Times New Roman" w:eastAsia="宋体" w:cs="宋体"/>
          <w:sz w:val="24"/>
          <w:lang w:eastAsia="zh-CN"/>
        </w:rPr>
        <w:t>试验的其他尺寸。此外，建议在标签说明书中标明回缩时间。</w:t>
      </w:r>
    </w:p>
    <w:p w14:paraId="748F67D6">
      <w:pPr>
        <w:numPr>
          <w:ilvl w:val="2"/>
          <w:numId w:val="3"/>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导管粘合强度</w:t>
      </w:r>
    </w:p>
    <w:p w14:paraId="3C8F74A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：导管粘合故障可能导致器械故障、血管损伤和/或因器械残留在血管系统内而导致栓塞风险。</w:t>
      </w:r>
    </w:p>
    <w:p w14:paraId="667A0FF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在使用粘合剂、热熔或其他连接方法粘合导管部件的所有位置试验粘合强度。粘合强度相邻的多个粘合点/接头不应一起测试，除非被物理接合在在同一位置。在评价抗拉强度之前，建议通过使导管穿过迂曲路径固定器械（如第III.G(1)b节所述）对导管进行预处理。建议试验证明所有粘合点/接头都能承受比临床使用期间可能承受的拉力更大的拉力。因此，本机构也建议提供粘合强度验收标准的临床依据（如文献、回缩力）。如上所述，模拟使用试验期间的插入力和回缩力评估也可用于支持粘合强度验收标准。涉及具有安全使用历史的合法上市同品种器械的比较试验也适用。请注意，ISO 10555-1：《血管内导管–无菌和一次性血管内导管–第1部分：一般要求》中确定的值不应单独用作验收标准的依据，因为尚未确定这些标准在</w:t>
      </w:r>
      <w:r>
        <w:rPr>
          <w:rFonts w:hint="eastAsia" w:ascii="Times New Roman" w:hAnsi="Times New Roman" w:eastAsia="宋体" w:cs="宋体"/>
          <w:sz w:val="24"/>
          <w:lang w:eastAsia="zh-CN"/>
        </w:rPr>
        <w:t>外周</w:t>
      </w:r>
      <w:r>
        <w:rPr>
          <w:rFonts w:ascii="Times New Roman" w:hAnsi="Times New Roman" w:eastAsia="宋体" w:cs="宋体"/>
          <w:sz w:val="24"/>
          <w:lang w:eastAsia="zh-CN"/>
        </w:rPr>
        <w:t>介入应用方面的临床相关性。该试验的试验方法/方案应清楚地描述所使用的方法，包括固定在每个夹具中的器械部分和拔出率。</w:t>
      </w:r>
    </w:p>
    <w:p w14:paraId="73C26704">
      <w:pPr>
        <w:numPr>
          <w:ilvl w:val="2"/>
          <w:numId w:val="3"/>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头端拉伸试验</w:t>
      </w:r>
    </w:p>
    <w:p w14:paraId="03F6F5D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：远端头端粘合故障可能导致器械故障、血管损伤和/或因器械残留在血管系统内而导致栓塞风险。</w:t>
      </w:r>
    </w:p>
    <w:p w14:paraId="34414C6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481C364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对于远端头端（如弹簧或鼻锥头端）有一个或多个接合点的器械，建议评价将远端头端与导管分离的拉力。在试验之前，建议在头端拉伸试验之前，通过迂曲路径固定器械（如第III.G(1)b节所述）跟踪导管，对导管进行预处理。请注意，无论头端长度如何，该试验应在通过任何方式接合或粘合到导管的所有头端上进行。如果头端的长度不足以夹紧进行抗拉试验，则应修改制造方法（即，使用相同方法接合更长头端）或试验方法（即，替换或修改夹具）。</w:t>
      </w:r>
    </w:p>
    <w:p w14:paraId="7D5BF49F">
      <w:pPr>
        <w:numPr>
          <w:ilvl w:val="2"/>
          <w:numId w:val="3"/>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柔顺性和扭结试验</w:t>
      </w:r>
    </w:p>
    <w:p w14:paraId="4BC470F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：导管在使用期间可能会受制于迂曲血管内的</w:t>
      </w:r>
      <w:r>
        <w:rPr>
          <w:rFonts w:hint="eastAsia" w:ascii="Times New Roman" w:hAnsi="Times New Roman" w:eastAsia="宋体" w:cs="宋体"/>
          <w:sz w:val="24"/>
          <w:lang w:eastAsia="zh-CN"/>
        </w:rPr>
        <w:t>较小角度</w:t>
      </w:r>
      <w:r>
        <w:rPr>
          <w:rFonts w:ascii="Times New Roman" w:hAnsi="Times New Roman" w:eastAsia="宋体" w:cs="宋体"/>
          <w:sz w:val="24"/>
          <w:lang w:eastAsia="zh-CN"/>
        </w:rPr>
        <w:t>。无法承受临床应用中常见的扭距力会导致器械失效或血管损伤。</w:t>
      </w:r>
    </w:p>
    <w:p w14:paraId="4A2FBC9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：建议进行可证明导管在适合预期解剖结构的弯曲半径处不会</w:t>
      </w:r>
      <w:r>
        <w:rPr>
          <w:rFonts w:hint="eastAsia" w:ascii="Times New Roman" w:hAnsi="Times New Roman" w:eastAsia="宋体" w:cs="宋体"/>
          <w:sz w:val="24"/>
          <w:lang w:eastAsia="zh-CN"/>
        </w:rPr>
        <w:t>发生</w:t>
      </w:r>
      <w:r>
        <w:rPr>
          <w:rFonts w:ascii="Times New Roman" w:hAnsi="Times New Roman" w:eastAsia="宋体" w:cs="宋体"/>
          <w:sz w:val="24"/>
          <w:lang w:eastAsia="zh-CN"/>
        </w:rPr>
        <w:t>扭结的试验。例如，建议考虑将导管包裹进一系列半径逐渐变小的心轴中，直到导管扭结，管腔塌陷，或者器械在半径小于所认为解剖结构的最差情况下没有扭结。本试验应在不使用导丝的情况下沿导管全长或代表性部分进行，因为</w:t>
      </w:r>
      <w:r>
        <w:rPr>
          <w:rFonts w:hint="eastAsia" w:ascii="Times New Roman" w:hAnsi="Times New Roman" w:eastAsia="宋体" w:cs="宋体"/>
          <w:sz w:val="24"/>
          <w:lang w:eastAsia="zh-CN"/>
        </w:rPr>
        <w:t>期</w:t>
      </w:r>
      <w:r>
        <w:rPr>
          <w:rFonts w:ascii="Times New Roman" w:hAnsi="Times New Roman" w:eastAsia="宋体" w:cs="宋体"/>
          <w:sz w:val="24"/>
          <w:lang w:eastAsia="zh-CN"/>
        </w:rPr>
        <w:t>代表最差情况（或如果使用导丝，应提供依据）。此外，建议提供验收标准的临床依据。可能包括证明拟用标准适用于预期解剖结构的代表性成角的文献或试验。仅在模拟使用期间器械的</w:t>
      </w:r>
      <w:r>
        <w:rPr>
          <w:rFonts w:hint="eastAsia" w:ascii="Times New Roman" w:hAnsi="Times New Roman" w:eastAsia="宋体" w:cs="宋体"/>
          <w:sz w:val="24"/>
          <w:lang w:eastAsia="zh-CN"/>
        </w:rPr>
        <w:t>抗</w:t>
      </w:r>
      <w:r>
        <w:rPr>
          <w:rFonts w:ascii="Times New Roman" w:hAnsi="Times New Roman" w:eastAsia="宋体" w:cs="宋体"/>
          <w:sz w:val="24"/>
          <w:lang w:eastAsia="zh-CN"/>
        </w:rPr>
        <w:t>扭结</w:t>
      </w:r>
      <w:r>
        <w:rPr>
          <w:rFonts w:hint="eastAsia" w:ascii="Times New Roman" w:hAnsi="Times New Roman" w:eastAsia="宋体" w:cs="宋体"/>
          <w:sz w:val="24"/>
          <w:lang w:eastAsia="zh-CN"/>
        </w:rPr>
        <w:t>性评估</w:t>
      </w:r>
      <w:r>
        <w:rPr>
          <w:rFonts w:ascii="Times New Roman" w:hAnsi="Times New Roman" w:eastAsia="宋体" w:cs="宋体"/>
          <w:sz w:val="24"/>
          <w:lang w:eastAsia="zh-CN"/>
        </w:rPr>
        <w:t>不被视为最差情况评估，因为不会</w:t>
      </w:r>
      <w:r>
        <w:rPr>
          <w:rFonts w:hint="eastAsia" w:ascii="Times New Roman" w:hAnsi="Times New Roman" w:eastAsia="宋体" w:cs="宋体"/>
          <w:sz w:val="24"/>
          <w:lang w:eastAsia="zh-CN"/>
        </w:rPr>
        <w:t>造成</w:t>
      </w:r>
      <w:r>
        <w:rPr>
          <w:rFonts w:ascii="Times New Roman" w:hAnsi="Times New Roman" w:eastAsia="宋体" w:cs="宋体"/>
          <w:sz w:val="24"/>
          <w:lang w:eastAsia="zh-CN"/>
        </w:rPr>
        <w:t>器械故障。应视为支持信息。</w:t>
      </w:r>
    </w:p>
    <w:p w14:paraId="246260B8">
      <w:pPr>
        <w:numPr>
          <w:ilvl w:val="2"/>
          <w:numId w:val="3"/>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抗扭强度</w:t>
      </w:r>
    </w:p>
    <w:p w14:paraId="6D253C5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：支架输送系统在使用期间可能遭受扭距力。如果发生头端意外卡住支架、钙化病变等，即使是非固定导丝导管也会经受扭距力。无法承受临床应用中常见的扭距力会导致器械失效或血管损伤。</w:t>
      </w:r>
    </w:p>
    <w:p w14:paraId="4889037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通过旋转导管近端直至导管发生故障以评估导管在远端头端无法自由旋转时承受扭距力的能力。建议在评价抗扭强度之前，通过迂曲路径固定器械对导管进行预处理，如第III.G(1)b节所述。本机构也建议通过跟踪夹具，然后夹紧远端并旋转近端，在模拟使用夹具中试验导管的抗扭强度。建议报告每个试验样品的故障旋转次数和失效模式。或者，如果预先确定的验收标准确立为与临床使用相比的最差情况，则可以将器械试验到特定的圈数（即，不发生故障）。</w:t>
      </w:r>
    </w:p>
    <w:p w14:paraId="4B55C91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351126D1">
      <w:pPr>
        <w:numPr>
          <w:ilvl w:val="2"/>
          <w:numId w:val="3"/>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射线不透性</w:t>
      </w:r>
    </w:p>
    <w:p w14:paraId="6E0AEC2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：由于球囊在使用过程中无法清晰可见，因此，射线不透性不足可能会妨碍安全可靠地将球囊</w:t>
      </w:r>
      <w:r>
        <w:rPr>
          <w:rFonts w:hint="eastAsia" w:ascii="Times New Roman" w:hAnsi="Times New Roman" w:eastAsia="宋体" w:cs="宋体"/>
          <w:sz w:val="24"/>
          <w:lang w:eastAsia="zh-CN"/>
        </w:rPr>
        <w:t>输送</w:t>
      </w:r>
      <w:r>
        <w:rPr>
          <w:rFonts w:ascii="Times New Roman" w:hAnsi="Times New Roman" w:eastAsia="宋体" w:cs="宋体"/>
          <w:sz w:val="24"/>
          <w:lang w:eastAsia="zh-CN"/>
        </w:rPr>
        <w:t>至预定位置。</w:t>
      </w:r>
    </w:p>
    <w:p w14:paraId="34117D6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证明在典型的透视方法下可以看到球囊导管上的不透射线标记物/材料。建议提供放射性的定性或定量测量，其中球囊导管使用实时平片x射线时可见。可以提供来自动物研究、体外模型或等效模型的图像，以支持器械的</w:t>
      </w:r>
      <w:r>
        <w:rPr>
          <w:rFonts w:hint="eastAsia" w:ascii="Times New Roman" w:hAnsi="Times New Roman" w:eastAsia="宋体" w:cs="宋体"/>
          <w:sz w:val="24"/>
          <w:lang w:eastAsia="zh-CN"/>
        </w:rPr>
        <w:t>可视性</w:t>
      </w:r>
      <w:r>
        <w:rPr>
          <w:rFonts w:ascii="Times New Roman" w:hAnsi="Times New Roman" w:eastAsia="宋体" w:cs="宋体"/>
          <w:sz w:val="24"/>
          <w:lang w:eastAsia="zh-CN"/>
        </w:rPr>
        <w:t>/</w:t>
      </w:r>
      <w:r>
        <w:rPr>
          <w:rFonts w:hint="eastAsia" w:ascii="Times New Roman" w:hAnsi="Times New Roman" w:eastAsia="宋体" w:cs="宋体"/>
          <w:sz w:val="24"/>
          <w:lang w:eastAsia="zh-CN"/>
        </w:rPr>
        <w:t>射线不透性</w:t>
      </w:r>
      <w:r>
        <w:rPr>
          <w:rFonts w:ascii="Times New Roman" w:hAnsi="Times New Roman" w:eastAsia="宋体" w:cs="宋体"/>
          <w:sz w:val="24"/>
          <w:lang w:eastAsia="zh-CN"/>
        </w:rPr>
        <w:t>。如果这些数据来自动物或台架试验，请在提交时提供图像位置的参考。ASTM F640-12：《用于测定医用放射性的标准试验方法》中描述的方法通常是可接受的。</w:t>
      </w:r>
    </w:p>
    <w:p w14:paraId="1E0513AB">
      <w:pPr>
        <w:numPr>
          <w:ilvl w:val="2"/>
          <w:numId w:val="3"/>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涂层完整性</w:t>
      </w:r>
    </w:p>
    <w:p w14:paraId="43D0378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：涂层旨在提高器械的性能。涂层的分层或降解可能会降低其益处或对其临床性能和患者安全产生负面影响，例如，导致下游栓塞。</w:t>
      </w:r>
    </w:p>
    <w:p w14:paraId="25EEF68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：如果器械沿导管长度和/或器械球囊部分有任何涂层，则应进行涂层完整性试验。建议针对应用于产品表面的任何涂层，解决以下方面的问题。</w:t>
      </w:r>
    </w:p>
    <w:p w14:paraId="5B758E7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涂层描述</w:t>
      </w:r>
    </w:p>
    <w:p w14:paraId="47E8104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建议描述该涂层的临床用途和预期功能，例如增强的射线不透性、抗血栓形成性或润滑性。本机构也建议描述涂层的物理结构，如涂层厚度，并说明其化学标识。</w:t>
      </w:r>
    </w:p>
    <w:p w14:paraId="2CC5367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供试品</w:t>
      </w:r>
    </w:p>
    <w:p w14:paraId="24C7D97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对经过所有制造过程（包括灭菌过程）的成品进行所有试验。为每个试验的样本量提供科学或统计学上的根据。建议实施抽样计划，以检查多批次产品（不少于3次）来评估批次间和批次内的可变性。应对提议的整个产品矩阵的</w:t>
      </w:r>
      <w:r>
        <w:rPr>
          <w:rFonts w:hint="eastAsia" w:ascii="Times New Roman" w:hAnsi="Times New Roman" w:eastAsia="宋体" w:cs="宋体"/>
          <w:sz w:val="24"/>
          <w:lang w:eastAsia="zh-CN"/>
        </w:rPr>
        <w:t>极值</w:t>
      </w:r>
      <w:r>
        <w:rPr>
          <w:rFonts w:ascii="Times New Roman" w:hAnsi="Times New Roman" w:eastAsia="宋体" w:cs="宋体"/>
          <w:sz w:val="24"/>
          <w:lang w:eastAsia="zh-CN"/>
        </w:rPr>
        <w:t>（即“四角”）和适当的中间尺寸进行试验，如表5所示。</w:t>
      </w:r>
    </w:p>
    <w:p w14:paraId="21EF4AD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7417811B">
      <w:pPr>
        <w:adjustRightInd w:val="0"/>
        <w:snapToGrid w:val="0"/>
        <w:spacing w:before="120" w:beforeLines="50" w:line="300" w:lineRule="auto"/>
        <w:jc w:val="center"/>
        <w:rPr>
          <w:rFonts w:ascii="Times New Roman" w:hAnsi="Times New Roman" w:cs="Times New Roman"/>
          <w:b/>
          <w:bCs/>
          <w:snapToGrid w:val="0"/>
          <w:sz w:val="24"/>
          <w:szCs w:val="28"/>
          <w:lang w:eastAsia="zh-CN"/>
        </w:rPr>
      </w:pPr>
      <w:r>
        <w:rPr>
          <w:rFonts w:ascii="Times New Roman" w:hAnsi="Times New Roman" w:eastAsia="宋体" w:cs="宋体"/>
          <w:b/>
          <w:sz w:val="24"/>
          <w:lang w:eastAsia="zh-CN"/>
        </w:rPr>
        <w:t>表5：“四角加中间”试验矩阵示例</w:t>
      </w:r>
    </w:p>
    <w:tbl>
      <w:tblPr>
        <w:tblStyle w:val="8"/>
        <w:tblW w:w="0" w:type="auto"/>
        <w:jc w:val="center"/>
        <w:tblLayout w:type="fixed"/>
        <w:tblCellMar>
          <w:top w:w="0" w:type="dxa"/>
          <w:left w:w="108" w:type="dxa"/>
          <w:bottom w:w="0" w:type="dxa"/>
          <w:right w:w="108" w:type="dxa"/>
        </w:tblCellMar>
      </w:tblPr>
      <w:tblGrid>
        <w:gridCol w:w="2700"/>
        <w:gridCol w:w="688"/>
        <w:gridCol w:w="524"/>
        <w:gridCol w:w="576"/>
        <w:gridCol w:w="576"/>
        <w:gridCol w:w="576"/>
      </w:tblGrid>
      <w:tr w14:paraId="374F0D15">
        <w:tblPrEx>
          <w:tblCellMar>
            <w:top w:w="0" w:type="dxa"/>
            <w:left w:w="108" w:type="dxa"/>
            <w:bottom w:w="0" w:type="dxa"/>
            <w:right w:w="108" w:type="dxa"/>
          </w:tblCellMar>
        </w:tblPrEx>
        <w:trPr>
          <w:jc w:val="center"/>
        </w:trPr>
        <w:tc>
          <w:tcPr>
            <w:tcW w:w="2700" w:type="dxa"/>
            <w:vMerge w:val="restart"/>
            <w:tcBorders>
              <w:top w:val="single" w:color="000000" w:sz="4" w:space="0"/>
              <w:left w:val="single" w:color="000000" w:sz="4" w:space="0"/>
              <w:right w:val="single" w:color="000000" w:sz="4" w:space="0"/>
            </w:tcBorders>
            <w:shd w:val="clear" w:color="auto" w:fill="F5F5F5"/>
            <w:vAlign w:val="center"/>
          </w:tcPr>
          <w:p w14:paraId="44C0E8F0">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eastAsia="宋体" w:cs="宋体"/>
                <w:b/>
                <w:sz w:val="21"/>
              </w:rPr>
              <w:t>球囊直径（mm）</w:t>
            </w:r>
          </w:p>
        </w:tc>
        <w:tc>
          <w:tcPr>
            <w:tcW w:w="2940" w:type="dxa"/>
            <w:gridSpan w:val="5"/>
            <w:tcBorders>
              <w:top w:val="single" w:color="000000" w:sz="4" w:space="0"/>
              <w:left w:val="single" w:color="000000" w:sz="4" w:space="0"/>
              <w:bottom w:val="single" w:color="000000" w:sz="4" w:space="0"/>
              <w:right w:val="single" w:color="000000" w:sz="4" w:space="0"/>
            </w:tcBorders>
            <w:shd w:val="clear" w:color="auto" w:fill="F5F5F5"/>
            <w:vAlign w:val="center"/>
          </w:tcPr>
          <w:p w14:paraId="37B50A0B">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eastAsia="宋体" w:cs="宋体"/>
                <w:b/>
                <w:sz w:val="21"/>
              </w:rPr>
              <w:t>球囊长度（mm）</w:t>
            </w:r>
          </w:p>
        </w:tc>
      </w:tr>
      <w:tr w14:paraId="47E8E243">
        <w:tblPrEx>
          <w:tblCellMar>
            <w:top w:w="0" w:type="dxa"/>
            <w:left w:w="108" w:type="dxa"/>
            <w:bottom w:w="0" w:type="dxa"/>
            <w:right w:w="108" w:type="dxa"/>
          </w:tblCellMar>
        </w:tblPrEx>
        <w:trPr>
          <w:jc w:val="center"/>
        </w:trPr>
        <w:tc>
          <w:tcPr>
            <w:tcW w:w="2700" w:type="dxa"/>
            <w:vMerge w:val="continue"/>
            <w:tcBorders>
              <w:left w:val="single" w:color="000000" w:sz="4" w:space="0"/>
              <w:bottom w:val="single" w:color="000000" w:sz="4" w:space="0"/>
              <w:right w:val="single" w:color="000000" w:sz="4" w:space="0"/>
            </w:tcBorders>
            <w:shd w:val="clear" w:color="auto" w:fill="F5F5F5"/>
            <w:vAlign w:val="center"/>
          </w:tcPr>
          <w:p w14:paraId="6EB5A43C">
            <w:pPr>
              <w:adjustRightInd w:val="0"/>
              <w:snapToGrid w:val="0"/>
              <w:spacing w:before="36" w:beforeLines="15" w:line="276" w:lineRule="auto"/>
              <w:jc w:val="center"/>
              <w:rPr>
                <w:rFonts w:ascii="Times New Roman" w:hAnsi="Times New Roman" w:cs="Times New Roman"/>
                <w:snapToGrid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496A882F">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40</w:t>
            </w:r>
          </w:p>
        </w:tc>
        <w:tc>
          <w:tcPr>
            <w:tcW w:w="524"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16F74C9E">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2842FF33">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80</w:t>
            </w:r>
          </w:p>
        </w:tc>
        <w:tc>
          <w:tcPr>
            <w:tcW w:w="576"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2D450B0A">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4CC54B5C">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120</w:t>
            </w:r>
          </w:p>
        </w:tc>
      </w:tr>
      <w:tr w14:paraId="7A5D69E6">
        <w:tblPrEx>
          <w:tblCellMar>
            <w:top w:w="0" w:type="dxa"/>
            <w:left w:w="108" w:type="dxa"/>
            <w:bottom w:w="0" w:type="dxa"/>
            <w:right w:w="108" w:type="dxa"/>
          </w:tblCellMar>
        </w:tblPrEx>
        <w:trPr>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4C3CF603">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4.0</w:t>
            </w:r>
          </w:p>
        </w:tc>
        <w:tc>
          <w:tcPr>
            <w:tcW w:w="688" w:type="dxa"/>
            <w:tcBorders>
              <w:top w:val="single" w:color="000000" w:sz="4" w:space="0"/>
              <w:left w:val="single" w:color="000000" w:sz="4" w:space="0"/>
              <w:bottom w:val="single" w:color="000000" w:sz="4" w:space="0"/>
              <w:right w:val="single" w:color="000000" w:sz="4" w:space="0"/>
            </w:tcBorders>
            <w:vAlign w:val="center"/>
          </w:tcPr>
          <w:p w14:paraId="59B6AA7A">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524" w:type="dxa"/>
            <w:tcBorders>
              <w:top w:val="single" w:color="000000" w:sz="4" w:space="0"/>
              <w:left w:val="single" w:color="000000" w:sz="4" w:space="0"/>
              <w:bottom w:val="single" w:color="000000" w:sz="4" w:space="0"/>
              <w:right w:val="single" w:color="000000" w:sz="4" w:space="0"/>
            </w:tcBorders>
            <w:vAlign w:val="center"/>
          </w:tcPr>
          <w:p w14:paraId="4FB6FEE8">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3A5DFC66">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42A8A108">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5A3690CA">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r w14:paraId="741B08D0">
        <w:tblPrEx>
          <w:tblCellMar>
            <w:top w:w="0" w:type="dxa"/>
            <w:left w:w="108" w:type="dxa"/>
            <w:bottom w:w="0" w:type="dxa"/>
            <w:right w:w="108" w:type="dxa"/>
          </w:tblCellMar>
        </w:tblPrEx>
        <w:trPr>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6CB4988F">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4.5</w:t>
            </w:r>
          </w:p>
        </w:tc>
        <w:tc>
          <w:tcPr>
            <w:tcW w:w="688" w:type="dxa"/>
            <w:tcBorders>
              <w:top w:val="single" w:color="000000" w:sz="4" w:space="0"/>
              <w:left w:val="single" w:color="000000" w:sz="4" w:space="0"/>
              <w:bottom w:val="single" w:color="000000" w:sz="4" w:space="0"/>
              <w:right w:val="single" w:color="000000" w:sz="4" w:space="0"/>
            </w:tcBorders>
            <w:vAlign w:val="center"/>
          </w:tcPr>
          <w:p w14:paraId="674D9777">
            <w:pPr>
              <w:adjustRightInd w:val="0"/>
              <w:snapToGrid w:val="0"/>
              <w:spacing w:before="36" w:beforeLines="15" w:line="276" w:lineRule="auto"/>
              <w:jc w:val="center"/>
              <w:rPr>
                <w:rFonts w:ascii="Times New Roman" w:hAnsi="Times New Roman" w:cs="Times New Roman"/>
                <w:snapToGrid w:val="0"/>
                <w:sz w:val="21"/>
                <w:szCs w:val="21"/>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26B89144">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11A999CC">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327DF483">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251A116B">
            <w:pPr>
              <w:adjustRightInd w:val="0"/>
              <w:snapToGrid w:val="0"/>
              <w:spacing w:before="36" w:beforeLines="15" w:line="276" w:lineRule="auto"/>
              <w:jc w:val="center"/>
              <w:rPr>
                <w:rFonts w:ascii="Times New Roman" w:hAnsi="Times New Roman" w:cs="Times New Roman"/>
                <w:snapToGrid w:val="0"/>
                <w:sz w:val="21"/>
                <w:szCs w:val="21"/>
              </w:rPr>
            </w:pPr>
          </w:p>
        </w:tc>
      </w:tr>
      <w:tr w14:paraId="522C0239">
        <w:tblPrEx>
          <w:tblCellMar>
            <w:top w:w="0" w:type="dxa"/>
            <w:left w:w="108" w:type="dxa"/>
            <w:bottom w:w="0" w:type="dxa"/>
            <w:right w:w="108" w:type="dxa"/>
          </w:tblCellMar>
        </w:tblPrEx>
        <w:trPr>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4C2E16B0">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5.0</w:t>
            </w:r>
          </w:p>
        </w:tc>
        <w:tc>
          <w:tcPr>
            <w:tcW w:w="688" w:type="dxa"/>
            <w:tcBorders>
              <w:top w:val="single" w:color="000000" w:sz="4" w:space="0"/>
              <w:left w:val="single" w:color="000000" w:sz="4" w:space="0"/>
              <w:bottom w:val="single" w:color="000000" w:sz="4" w:space="0"/>
              <w:right w:val="single" w:color="000000" w:sz="4" w:space="0"/>
            </w:tcBorders>
            <w:vAlign w:val="center"/>
          </w:tcPr>
          <w:p w14:paraId="1F2932FC">
            <w:pPr>
              <w:adjustRightInd w:val="0"/>
              <w:snapToGrid w:val="0"/>
              <w:spacing w:before="36" w:beforeLines="15" w:line="276" w:lineRule="auto"/>
              <w:jc w:val="center"/>
              <w:rPr>
                <w:rFonts w:ascii="Times New Roman" w:hAnsi="Times New Roman" w:cs="Times New Roman"/>
                <w:snapToGrid w:val="0"/>
                <w:sz w:val="21"/>
                <w:szCs w:val="21"/>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0A95A73F">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2A3DCA1E">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576" w:type="dxa"/>
            <w:tcBorders>
              <w:top w:val="single" w:color="000000" w:sz="4" w:space="0"/>
              <w:left w:val="single" w:color="000000" w:sz="4" w:space="0"/>
              <w:bottom w:val="single" w:color="000000" w:sz="4" w:space="0"/>
              <w:right w:val="single" w:color="000000" w:sz="4" w:space="0"/>
            </w:tcBorders>
            <w:vAlign w:val="center"/>
          </w:tcPr>
          <w:p w14:paraId="1F7FBD83">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0296118D">
            <w:pPr>
              <w:adjustRightInd w:val="0"/>
              <w:snapToGrid w:val="0"/>
              <w:spacing w:before="36" w:beforeLines="15" w:line="276" w:lineRule="auto"/>
              <w:jc w:val="center"/>
              <w:rPr>
                <w:rFonts w:ascii="Times New Roman" w:hAnsi="Times New Roman" w:cs="Times New Roman"/>
                <w:snapToGrid w:val="0"/>
                <w:sz w:val="21"/>
                <w:szCs w:val="21"/>
              </w:rPr>
            </w:pPr>
          </w:p>
        </w:tc>
      </w:tr>
      <w:tr w14:paraId="17435C33">
        <w:tblPrEx>
          <w:tblCellMar>
            <w:top w:w="0" w:type="dxa"/>
            <w:left w:w="108" w:type="dxa"/>
            <w:bottom w:w="0" w:type="dxa"/>
            <w:right w:w="108" w:type="dxa"/>
          </w:tblCellMar>
        </w:tblPrEx>
        <w:trPr>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7D5E20CB">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5.5</w:t>
            </w:r>
          </w:p>
        </w:tc>
        <w:tc>
          <w:tcPr>
            <w:tcW w:w="688" w:type="dxa"/>
            <w:tcBorders>
              <w:top w:val="single" w:color="000000" w:sz="4" w:space="0"/>
              <w:left w:val="single" w:color="000000" w:sz="4" w:space="0"/>
              <w:bottom w:val="single" w:color="000000" w:sz="4" w:space="0"/>
              <w:right w:val="single" w:color="000000" w:sz="4" w:space="0"/>
            </w:tcBorders>
            <w:vAlign w:val="center"/>
          </w:tcPr>
          <w:p w14:paraId="1F1D05A8">
            <w:pPr>
              <w:adjustRightInd w:val="0"/>
              <w:snapToGrid w:val="0"/>
              <w:spacing w:before="36" w:beforeLines="15" w:line="276" w:lineRule="auto"/>
              <w:jc w:val="center"/>
              <w:rPr>
                <w:rFonts w:ascii="Times New Roman" w:hAnsi="Times New Roman" w:cs="Times New Roman"/>
                <w:snapToGrid w:val="0"/>
                <w:sz w:val="21"/>
                <w:szCs w:val="21"/>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376EC5E3">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2FAA76B9">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39996835">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4D3F7A4B">
            <w:pPr>
              <w:adjustRightInd w:val="0"/>
              <w:snapToGrid w:val="0"/>
              <w:spacing w:before="36" w:beforeLines="15" w:line="276" w:lineRule="auto"/>
              <w:jc w:val="center"/>
              <w:rPr>
                <w:rFonts w:ascii="Times New Roman" w:hAnsi="Times New Roman" w:cs="Times New Roman"/>
                <w:snapToGrid w:val="0"/>
                <w:sz w:val="21"/>
                <w:szCs w:val="21"/>
              </w:rPr>
            </w:pPr>
          </w:p>
        </w:tc>
      </w:tr>
      <w:tr w14:paraId="325D6770">
        <w:tblPrEx>
          <w:tblCellMar>
            <w:top w:w="0" w:type="dxa"/>
            <w:left w:w="108" w:type="dxa"/>
            <w:bottom w:w="0" w:type="dxa"/>
            <w:right w:w="108" w:type="dxa"/>
          </w:tblCellMar>
        </w:tblPrEx>
        <w:trPr>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0E34D8E9">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b/>
                <w:bCs/>
                <w:snapToGrid w:val="0"/>
                <w:sz w:val="21"/>
                <w:szCs w:val="21"/>
              </w:rPr>
              <w:t>6.0</w:t>
            </w:r>
          </w:p>
        </w:tc>
        <w:tc>
          <w:tcPr>
            <w:tcW w:w="688" w:type="dxa"/>
            <w:tcBorders>
              <w:top w:val="single" w:color="000000" w:sz="4" w:space="0"/>
              <w:left w:val="single" w:color="000000" w:sz="4" w:space="0"/>
              <w:bottom w:val="single" w:color="000000" w:sz="4" w:space="0"/>
              <w:right w:val="single" w:color="000000" w:sz="4" w:space="0"/>
            </w:tcBorders>
            <w:vAlign w:val="center"/>
          </w:tcPr>
          <w:p w14:paraId="1C7227F5">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c>
          <w:tcPr>
            <w:tcW w:w="524" w:type="dxa"/>
            <w:tcBorders>
              <w:top w:val="single" w:color="000000" w:sz="4" w:space="0"/>
              <w:left w:val="single" w:color="000000" w:sz="4" w:space="0"/>
              <w:bottom w:val="single" w:color="000000" w:sz="4" w:space="0"/>
              <w:right w:val="single" w:color="000000" w:sz="4" w:space="0"/>
            </w:tcBorders>
            <w:vAlign w:val="center"/>
          </w:tcPr>
          <w:p w14:paraId="62739627">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07544032">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462F7277">
            <w:pPr>
              <w:adjustRightInd w:val="0"/>
              <w:snapToGrid w:val="0"/>
              <w:spacing w:before="36" w:beforeLines="15" w:line="276" w:lineRule="auto"/>
              <w:jc w:val="center"/>
              <w:rPr>
                <w:rFonts w:ascii="Times New Roman" w:hAnsi="Times New Roman" w:cs="Times New Roman"/>
                <w:snapToGrid w:val="0"/>
                <w:sz w:val="21"/>
                <w:szCs w:val="21"/>
              </w:rPr>
            </w:pPr>
          </w:p>
        </w:tc>
        <w:tc>
          <w:tcPr>
            <w:tcW w:w="576" w:type="dxa"/>
            <w:tcBorders>
              <w:top w:val="single" w:color="000000" w:sz="4" w:space="0"/>
              <w:left w:val="single" w:color="000000" w:sz="4" w:space="0"/>
              <w:bottom w:val="single" w:color="000000" w:sz="4" w:space="0"/>
              <w:right w:val="single" w:color="000000" w:sz="4" w:space="0"/>
            </w:tcBorders>
            <w:vAlign w:val="center"/>
          </w:tcPr>
          <w:p w14:paraId="254710D4">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cs="Times New Roman"/>
                <w:snapToGrid w:val="0"/>
                <w:sz w:val="21"/>
                <w:szCs w:val="21"/>
              </w:rPr>
              <w:t>X</w:t>
            </w:r>
          </w:p>
        </w:tc>
      </w:tr>
    </w:tbl>
    <w:p w14:paraId="4456060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可以将涂层完整性试验和颗粒评价（第III.G(1)m节）与模拟使用试验（第III.G(1)b节）结合起来，但应注意确保涂层完整性评价只需对样品进行最低限度的其他处理，以确保不会丢失或产生颗粒。</w:t>
      </w:r>
    </w:p>
    <w:p w14:paraId="333252A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数据解读</w:t>
      </w:r>
    </w:p>
    <w:p w14:paraId="2C9979C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涂层完整性被视为一项表征试验。虽然验收标准不需要包含在上市前申请中，但应提供评估可视化标准的描述（例如，无空隙、无裂缝）。此外，</w:t>
      </w:r>
      <w:r>
        <w:rPr>
          <w:rFonts w:hint="eastAsia" w:ascii="Times New Roman" w:hAnsi="Times New Roman" w:eastAsia="宋体" w:cs="宋体"/>
          <w:sz w:val="24"/>
          <w:lang w:eastAsia="zh-CN"/>
        </w:rPr>
        <w:t>还</w:t>
      </w:r>
      <w:r>
        <w:rPr>
          <w:rFonts w:ascii="Times New Roman" w:hAnsi="Times New Roman" w:eastAsia="宋体" w:cs="宋体"/>
          <w:sz w:val="24"/>
          <w:lang w:eastAsia="zh-CN"/>
        </w:rPr>
        <w:t>应该提供该分析的解读。</w:t>
      </w:r>
    </w:p>
    <w:p w14:paraId="16E2A2F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试验报告应包括涂层表面形态的详细论述。如果观察到大量缺陷，使用显微镜对缺陷进行量化可能会有所帮助。这可能包括计算每单位面积的总缺陷数量或测量总代表性缺陷面积。应使用具有代表性的彩色图像支持论述，包括观察到缺陷的任何区域，并以足够的放大率来描述缺陷。可以保证多次放大，</w:t>
      </w:r>
      <w:r>
        <w:rPr>
          <w:rFonts w:hint="eastAsia" w:ascii="Times New Roman" w:hAnsi="Times New Roman" w:eastAsia="宋体" w:cs="宋体"/>
          <w:sz w:val="24"/>
          <w:lang w:eastAsia="zh-CN"/>
        </w:rPr>
        <w:t>实现</w:t>
      </w:r>
      <w:r>
        <w:rPr>
          <w:rFonts w:ascii="Times New Roman" w:hAnsi="Times New Roman" w:eastAsia="宋体" w:cs="宋体"/>
          <w:sz w:val="24"/>
          <w:lang w:eastAsia="zh-CN"/>
        </w:rPr>
        <w:t>可视化</w:t>
      </w:r>
      <w:r>
        <w:rPr>
          <w:rFonts w:hint="eastAsia" w:ascii="Times New Roman" w:hAnsi="Times New Roman" w:eastAsia="宋体" w:cs="宋体"/>
          <w:sz w:val="24"/>
          <w:lang w:eastAsia="zh-CN"/>
        </w:rPr>
        <w:t>以及</w:t>
      </w:r>
      <w:r>
        <w:rPr>
          <w:rFonts w:ascii="Times New Roman" w:hAnsi="Times New Roman" w:eastAsia="宋体" w:cs="宋体"/>
          <w:sz w:val="24"/>
          <w:lang w:eastAsia="zh-CN"/>
        </w:rPr>
        <w:t>充分描述产品。如果涂层可视化</w:t>
      </w:r>
      <w:r>
        <w:rPr>
          <w:rFonts w:hint="eastAsia" w:ascii="Times New Roman" w:hAnsi="Times New Roman" w:eastAsia="宋体" w:cs="宋体"/>
          <w:sz w:val="24"/>
          <w:lang w:eastAsia="zh-CN"/>
        </w:rPr>
        <w:t>有困难</w:t>
      </w:r>
      <w:r>
        <w:rPr>
          <w:rFonts w:ascii="Times New Roman" w:hAnsi="Times New Roman" w:eastAsia="宋体" w:cs="宋体"/>
          <w:sz w:val="24"/>
          <w:lang w:eastAsia="zh-CN"/>
        </w:rPr>
        <w:t>（例如，透明亲水涂层），应采取措施以确保适当的可视化（例如，染色）。可接受涂层完整性的讨论应包括一个依据，即观察到的缺陷数量、大小和/或总面积不会影响临床性能或安全性。使用同品种器械进行并行试验可能有助于支持510(k)器械的实质等同性。</w:t>
      </w:r>
    </w:p>
    <w:p w14:paraId="0F928A0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建议针对应用于产品表面的任何涂层，解决以下方面的问题。</w:t>
      </w:r>
    </w:p>
    <w:p w14:paraId="03C57C5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基线涂层完整性</w:t>
      </w:r>
    </w:p>
    <w:p w14:paraId="4A3FFAF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对最终导管的所有适当表面上的涂层完整性进行目视评估以建立基线，以便在模拟使用后进行试验后与涂层特性进行比较。如果球囊表面存在涂层，则可能需要展开或部分膨胀器械，以表征不同位置的涂层。如上文所述，建议适当量化涂层中的连续性和空隙等特征。</w:t>
      </w:r>
    </w:p>
    <w:p w14:paraId="138C662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0C386A8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模拟使用涂层完整性</w:t>
      </w:r>
    </w:p>
    <w:p w14:paraId="6B5C380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建议在模拟使用后通过目视评估评价涂层完整性。导管应通过水性迂曲路径固定器械（如第III.G(1)b节所述）进行跟踪，然后在水介质中膨胀至目视检查前使用说明中所述的最大标记直径。</w:t>
      </w:r>
    </w:p>
    <w:p w14:paraId="4BDF379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建议在最差使用条件下试验涂层完整性。例如，对于用于ISR或展开后支架扩张的球囊，建议在通过迂曲路径固定器械跟踪器械并在已部署在模拟血管中的支架内扩张至最大标记直径后，评价涂层完整性。</w:t>
      </w:r>
    </w:p>
    <w:p w14:paraId="4D64993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功能试验</w:t>
      </w:r>
    </w:p>
    <w:p w14:paraId="2756820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证明涂层可实现其预期功能。例如，如果涂层旨在为导管提供润滑性，则有助于证明摩擦力减小或至少相当于具有类似涂层的类似产品。对于此种类型的评估，建议在根据使用说明制备样品后描述涂层的拖曳力（例如，夹点试验）。</w:t>
      </w:r>
    </w:p>
    <w:p w14:paraId="3CC76FCE">
      <w:pPr>
        <w:numPr>
          <w:ilvl w:val="2"/>
          <w:numId w:val="3"/>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微粒评价（仅涂层器械）</w:t>
      </w:r>
    </w:p>
    <w:p w14:paraId="4A19183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制造过程、环境、导管上任何涂层（如亲水涂层）的破裂或器械包装都可能会产生颗粒。如果在血管成形术过程中颗粒进入血流，可能会给患者带来栓塞风险。测量器械可能产生的颗粒总量和大小是栓塞风险的指标。由于与其他血管相比，外周器械的栓塞风险较低，如果涂层和基质不新颖，且涂层完整性试验结果可接受，则可能不需要颗粒评价。但是，如果未满足这些因素，则应进行此试验，或进一步支持器械的涂层完整性。</w:t>
      </w:r>
    </w:p>
    <w:p w14:paraId="3FC1C7E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：建议测量模拟使用器械过程中产生的颗粒总量和大小，解决以下问题。</w:t>
      </w:r>
    </w:p>
    <w:p w14:paraId="081F847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供试品</w:t>
      </w:r>
    </w:p>
    <w:p w14:paraId="3C28EFD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对经过所有制造过程（包括灭菌）的成品进行所有试验。应提供样本量的科学或统计学依据。建议实施抽样计划，以检查多批次产品（不少于3次）来评估批次间和批次内的可变性。应对提议的整个产品矩阵（即“四角”和中间尺寸矩阵；见表5）的极值和适当的中间尺寸进行试验。</w:t>
      </w:r>
    </w:p>
    <w:p w14:paraId="0985F09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可以将颗粒评价和模拟使用涂层完整性试验（第III.G(1)1节）与模拟使用试验（第III.G(1)b节）结合，但应注意确保涂层完整性评价只需对样品进行最低限度的其他处理，以确保不会丢失或产生颗粒。</w:t>
      </w:r>
    </w:p>
    <w:p w14:paraId="726A758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792C15E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数据解读</w:t>
      </w:r>
    </w:p>
    <w:p w14:paraId="2B5253C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颗粒试验应作为设计验证试验的一部分进行，不应仅用于表征。还应提供所用标准的依据以及对结果的讨论。可接受颗粒评价的讨论应包括颗粒数量和大小不会影响安全性或临床性能的依据。这可能包括参考任何适用标准或使用合法上市的器械（例如，同品种器械）进行并行试验，以证明等效结果。</w:t>
      </w:r>
    </w:p>
    <w:p w14:paraId="1063FC8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试验方法</w:t>
      </w:r>
    </w:p>
    <w:p w14:paraId="66DC036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评价整个PTA系统产生的颗粒，包括临床操作过程中预期使用的附件器械。导管应通过水性迂曲路径固定器械（如第III.G(1)b节所述）进行跟踪，然后在水介质中膨胀至目视检查前使用说明中所述的最大标记直径。展开时，球囊应与模拟容器直接接触，球囊与模拟容器之间不使用其他涂层、润滑剂、护套或保护性包装。为确保测量可能进入血流的颗粒总数，导管应插入试验夹具至其在临床使用中插入的程度。应在以下三个尺寸范围内分别报告微粒总数，包括导管和附件器械产生的微粒：不小于10 µm和不小于 25µm的尺寸，且确认产生的最大尺寸不小于75%回收率。最大尺寸应不小于50 µm。应采取适当的预防措施，确保在颗粒计数和尺寸确定的取样过程中悬浮颗粒，以尽量减少测试系统的伪影。</w:t>
      </w:r>
    </w:p>
    <w:p w14:paraId="217BC5B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建议在最差使用条件下进行颗粒评价。例如，对于预期用于ISR或展开后支架扩张的球囊，建议评价通过迂曲路径固定器械跟踪器械产生的微粒数量和大小（如第III.G(1)b节所述）并在已</w:t>
      </w:r>
      <w:r>
        <w:rPr>
          <w:rFonts w:hint="eastAsia" w:ascii="Times New Roman" w:hAnsi="Times New Roman" w:eastAsia="宋体" w:cs="宋体"/>
          <w:sz w:val="24"/>
          <w:lang w:eastAsia="zh-CN"/>
        </w:rPr>
        <w:t>展开</w:t>
      </w:r>
      <w:r>
        <w:rPr>
          <w:rFonts w:ascii="Times New Roman" w:hAnsi="Times New Roman" w:eastAsia="宋体" w:cs="宋体"/>
          <w:sz w:val="24"/>
          <w:lang w:eastAsia="zh-CN"/>
        </w:rPr>
        <w:t>在模拟血管中的支架内扩张至最大标记直径。</w:t>
      </w:r>
    </w:p>
    <w:p w14:paraId="245CA68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方法确认</w:t>
      </w:r>
    </w:p>
    <w:p w14:paraId="116DEAA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该描述并验证粒子计数和大小调整方法。应使用已知数量和尺寸的颗粒标准进行确认。应该以与临床上使用的器械类似的方式引入到模型和计数器械中。应确定回收率或准确度，并满足上述标准。对于被视为已验证的系统，应证明不小于90%回收率的产品尺寸处于10µm到25µm的尺寸范围内。请注意，远高于100%的回收率将被视为无效。</w:t>
      </w:r>
      <w:r>
        <w:rPr>
          <w:rFonts w:ascii="Times New Roman" w:hAnsi="Times New Roman" w:eastAsia="宋体" w:cs="宋体"/>
          <w:sz w:val="24"/>
          <w:lang w:eastAsia="zh-CN"/>
        </w:rPr>
        <w:br w:type="page"/>
      </w:r>
    </w:p>
    <w:p w14:paraId="40CFDF6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验收标准</w:t>
      </w:r>
    </w:p>
    <w:p w14:paraId="01BB8C3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颗粒试验应作为设计验证试验的一部分进行，不应仅用于表征。因此，应制定、证明和满足具体标准。如果大量微粒被排出，则证明与合法上市的用于同一靶血管系统的同品种器械具有可比性或者通过动物研究（具有适当的下游评估）提供安全性证据可能很重要。应提供科学依据，以支持所使用的微粒物验收标准。</w:t>
      </w:r>
    </w:p>
    <w:p w14:paraId="12FE696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u w:val="single"/>
          <w:lang w:eastAsia="zh-CN"/>
        </w:rPr>
        <w:t>颗粒物化学鉴定</w:t>
      </w:r>
    </w:p>
    <w:p w14:paraId="451F5FD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颗粒物可由多种来源产生，包括制造过程和/或环境污染、导管上任何涂层的破裂或器械包装产生。如上所述，必须确定大量颗粒物不是从其他非预期来源引入的，因为这可能会造成栓塞风险。因此，如果器械中有大量颗粒物流出，可能需要进行其他分析，如颗粒物的化学特性分析，以确定其来源。对于该试验，FDA建议对代表性颗粒群进行化学鉴定，并以相对数量（百分比）报告结果。可通过多种方法完成采集颗粒物的化学特性鉴定，包括能量色散x射线光谱（EDX）、傅里叶变换红外光谱（FTIR）、拉曼光谱、质谱或衍射技术。</w:t>
      </w:r>
    </w:p>
    <w:p w14:paraId="5FAC21B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对代表性颗粒物材料进行化学鉴定时，应说明分析方法和样品的合理性。样品应足够大，以确保评估的颗粒物代表器械</w:t>
      </w:r>
      <w:r>
        <w:rPr>
          <w:rFonts w:hint="eastAsia" w:ascii="Times New Roman" w:hAnsi="Times New Roman" w:eastAsia="宋体" w:cs="宋体"/>
          <w:sz w:val="24"/>
          <w:lang w:eastAsia="zh-CN"/>
        </w:rPr>
        <w:t>展开</w:t>
      </w:r>
      <w:r>
        <w:rPr>
          <w:rFonts w:ascii="Times New Roman" w:hAnsi="Times New Roman" w:eastAsia="宋体" w:cs="宋体"/>
          <w:sz w:val="24"/>
          <w:lang w:eastAsia="zh-CN"/>
        </w:rPr>
        <w:t>期间产生的颗粒物。所用方法应能够且足以进行化学鉴定。应提供颗粒物采集和分析的具体细节（例如，如何过滤样品、过滤器的彩色图像、如何选择样品、与过滤的总颗粒物相比分析的颗粒物数量的细节）。</w:t>
      </w:r>
    </w:p>
    <w:p w14:paraId="6995E07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在某些情况下，当提供其他的支持分析时，可能会减少（例如，较小的样本量、较少的分析颗粒物）或忽略化学鉴定试验。支持性分析可包括以下任何或所有内容：</w:t>
      </w:r>
    </w:p>
    <w:p w14:paraId="35D1FD0B">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采用与涂层器械相同方式制造的未涂层球囊导管进行颗粒物定量研究（但包括潜在的“虚拟”涂层工艺），证明颗粒物量足够低；</w:t>
      </w:r>
    </w:p>
    <w:p w14:paraId="53E55C79">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讨论涂层（包括所有组件）与导管材料的潜在相互作用，以及它们将一些导管可提取物/可浸出物引入颗粒物的可能性；</w:t>
      </w:r>
    </w:p>
    <w:p w14:paraId="211960C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65A19AF0">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在整个过滤器上采集颗粒物的代表性彩色图像未显示任何相关信息（例如，意外外观）；</w:t>
      </w:r>
    </w:p>
    <w:p w14:paraId="03C1C654">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关于潜在污染物和涂层化学成分的风险评定；</w:t>
      </w:r>
    </w:p>
    <w:p w14:paraId="3BE22F86">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对动物研究数据的讨论表明无有关下游或栓塞事件；以及</w:t>
      </w:r>
    </w:p>
    <w:p w14:paraId="6F460B8E">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讨论和参考任何表明与栓塞事件无关的历史临床数据。</w:t>
      </w:r>
    </w:p>
    <w:p w14:paraId="6D364BA8">
      <w:pPr>
        <w:numPr>
          <w:ilvl w:val="0"/>
          <w:numId w:val="4"/>
        </w:numPr>
        <w:tabs>
          <w:tab w:val="left" w:pos="839"/>
        </w:tabs>
        <w:adjustRightInd w:val="0"/>
        <w:snapToGrid w:val="0"/>
        <w:spacing w:before="120" w:beforeLines="50" w:line="300" w:lineRule="auto"/>
        <w:ind w:left="2483" w:leftChars="800" w:hanging="723" w:hangingChars="300"/>
        <w:jc w:val="both"/>
        <w:outlineLvl w:val="2"/>
        <w:rPr>
          <w:rFonts w:ascii="Times New Roman" w:hAnsi="Times New Roman" w:cs="Times New Roman"/>
          <w:snapToGrid w:val="0"/>
          <w:sz w:val="24"/>
          <w:szCs w:val="24"/>
          <w:lang w:eastAsia="zh-CN"/>
        </w:rPr>
      </w:pPr>
      <w:bookmarkStart w:id="17" w:name="_Toc94218313"/>
      <w:r>
        <w:rPr>
          <w:rFonts w:ascii="Times New Roman" w:hAnsi="Times New Roman" w:eastAsia="宋体" w:cs="宋体"/>
          <w:b/>
          <w:sz w:val="24"/>
          <w:lang w:eastAsia="zh-CN"/>
        </w:rPr>
        <w:t>用于注射造影剂或其他液体的导管的其他试验</w:t>
      </w:r>
      <w:bookmarkEnd w:id="17"/>
    </w:p>
    <w:p w14:paraId="57015CA6">
      <w:pPr>
        <w:numPr>
          <w:ilvl w:val="0"/>
          <w:numId w:val="5"/>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管体爆破压力</w:t>
      </w:r>
    </w:p>
    <w:p w14:paraId="6A4C267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w:t>
      </w:r>
      <w:r>
        <w:rPr>
          <w:rFonts w:hint="eastAsia" w:ascii="Times New Roman" w:hAnsi="Times New Roman" w:eastAsia="宋体" w:cs="宋体"/>
          <w:sz w:val="24"/>
          <w:lang w:eastAsia="zh-CN"/>
        </w:rPr>
        <w:t>导管主体</w:t>
      </w:r>
      <w:r>
        <w:rPr>
          <w:rFonts w:ascii="Times New Roman" w:hAnsi="Times New Roman" w:eastAsia="宋体" w:cs="宋体"/>
          <w:sz w:val="24"/>
          <w:lang w:eastAsia="zh-CN"/>
        </w:rPr>
        <w:t>的设计应能承受达到临床实践中使用造影剂流速所需的压力。无法承受临床应用中常见的压力会导致器械失效或血管损伤。</w:t>
      </w:r>
    </w:p>
    <w:p w14:paraId="066BAA9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：建议确定注射期间导管</w:t>
      </w:r>
      <w:r>
        <w:rPr>
          <w:rFonts w:hint="eastAsia" w:ascii="Times New Roman" w:hAnsi="Times New Roman" w:eastAsia="宋体" w:cs="宋体"/>
          <w:sz w:val="24"/>
          <w:lang w:eastAsia="zh-CN"/>
        </w:rPr>
        <w:t>主体</w:t>
      </w:r>
      <w:r>
        <w:rPr>
          <w:rFonts w:ascii="Times New Roman" w:hAnsi="Times New Roman" w:eastAsia="宋体" w:cs="宋体"/>
          <w:sz w:val="24"/>
          <w:lang w:eastAsia="zh-CN"/>
        </w:rPr>
        <w:t>能够承受的最大压力。建议在临床使用条件下进行试验（即，包括使用注射器、自动注射器</w:t>
      </w:r>
      <w:r>
        <w:rPr>
          <w:rFonts w:hint="eastAsia" w:ascii="Times New Roman" w:hAnsi="Times New Roman" w:eastAsia="宋体" w:cs="宋体"/>
          <w:sz w:val="24"/>
          <w:lang w:eastAsia="zh-CN"/>
        </w:rPr>
        <w:t>具</w:t>
      </w:r>
      <w:r>
        <w:rPr>
          <w:rFonts w:ascii="Times New Roman" w:hAnsi="Times New Roman" w:eastAsia="宋体" w:cs="宋体"/>
          <w:sz w:val="24"/>
          <w:lang w:eastAsia="zh-CN"/>
        </w:rPr>
        <w:t>）。造影剂或液体应能代表最差的临床条件。本机构还建议为验收标准提供临床依据。</w:t>
      </w:r>
    </w:p>
    <w:p w14:paraId="6B7C787C">
      <w:pPr>
        <w:numPr>
          <w:ilvl w:val="0"/>
          <w:numId w:val="5"/>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输液流速</w:t>
      </w:r>
    </w:p>
    <w:p w14:paraId="2127232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：导管的设计应达到临床可接受的造影剂流速。无法达到可接受的流速可能导致用户错误和不良临床后果。</w:t>
      </w:r>
    </w:p>
    <w:p w14:paraId="757BB36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进行试验，证明导管能够达到临床可接受的造影剂流速。建议在最大导管爆破压力（如第III.G(2)a节所述）以及临床使用的典型压力下进行试验。建议在器械标签说明书中报告最大流速。本机构还建议为验收标准提供临床依据。</w:t>
      </w:r>
    </w:p>
    <w:p w14:paraId="259D7CE3">
      <w:pPr>
        <w:numPr>
          <w:ilvl w:val="0"/>
          <w:numId w:val="4"/>
        </w:numPr>
        <w:tabs>
          <w:tab w:val="left" w:pos="839"/>
        </w:tabs>
        <w:adjustRightInd w:val="0"/>
        <w:snapToGrid w:val="0"/>
        <w:spacing w:before="120" w:beforeLines="50" w:line="300" w:lineRule="auto"/>
        <w:ind w:left="2483" w:leftChars="800" w:hanging="723" w:hangingChars="300"/>
        <w:jc w:val="both"/>
        <w:outlineLvl w:val="2"/>
        <w:rPr>
          <w:rFonts w:ascii="Times New Roman" w:hAnsi="Times New Roman" w:cs="Times New Roman"/>
          <w:b/>
          <w:bCs/>
          <w:snapToGrid w:val="0"/>
          <w:sz w:val="24"/>
          <w:szCs w:val="24"/>
          <w:lang w:eastAsia="zh-CN"/>
        </w:rPr>
      </w:pPr>
      <w:bookmarkStart w:id="18" w:name="_Toc94218314"/>
      <w:r>
        <w:rPr>
          <w:rFonts w:ascii="Times New Roman" w:hAnsi="Times New Roman" w:eastAsia="宋体" w:cs="宋体"/>
          <w:b/>
          <w:sz w:val="24"/>
          <w:lang w:eastAsia="zh-CN"/>
        </w:rPr>
        <w:t>用于支架内再狭窄（ISR）或支架展开后支架扩张的导管的其他试验</w:t>
      </w:r>
      <w:bookmarkEnd w:id="18"/>
    </w:p>
    <w:p w14:paraId="25CCD2A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将PTA导管标记为ISR使用或支架展开后立即进行支架扩张（为了将支架固定到血管壁并确保支架完全展开），建议在扩张支架内进行球囊额定爆破压力和疲劳试验（见第III.G(1)c和III.G(1)d节）。如果球囊上有涂层，本机构还建议在包括扩张支架的模拟使用模型中进行涂层完整性和微粒试验（见第III.G(1)1和III.G(1)m节）。</w:t>
      </w:r>
    </w:p>
    <w:p w14:paraId="3DB92CE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03FB64AC">
      <w:pPr>
        <w:numPr>
          <w:ilvl w:val="0"/>
          <w:numId w:val="4"/>
        </w:numPr>
        <w:tabs>
          <w:tab w:val="left" w:pos="839"/>
        </w:tabs>
        <w:adjustRightInd w:val="0"/>
        <w:snapToGrid w:val="0"/>
        <w:spacing w:before="120" w:beforeLines="50" w:line="300" w:lineRule="auto"/>
        <w:ind w:left="2483" w:leftChars="800" w:hanging="723" w:hangingChars="300"/>
        <w:jc w:val="both"/>
        <w:outlineLvl w:val="2"/>
        <w:rPr>
          <w:rFonts w:ascii="Times New Roman" w:hAnsi="Times New Roman" w:cs="Times New Roman"/>
          <w:b/>
          <w:bCs/>
          <w:snapToGrid w:val="0"/>
          <w:sz w:val="24"/>
          <w:szCs w:val="24"/>
          <w:lang w:eastAsia="zh-CN"/>
        </w:rPr>
      </w:pPr>
      <w:bookmarkStart w:id="19" w:name="_Toc94218315"/>
      <w:r>
        <w:rPr>
          <w:rFonts w:ascii="Times New Roman" w:hAnsi="Times New Roman" w:eastAsia="宋体" w:cs="宋体"/>
          <w:b/>
          <w:sz w:val="24"/>
          <w:lang w:eastAsia="zh-CN"/>
        </w:rPr>
        <w:t>刻痕/切割球囊的其他试验</w:t>
      </w:r>
      <w:bookmarkEnd w:id="19"/>
    </w:p>
    <w:p w14:paraId="5E51BF0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刻痕和切割球囊将膨胀力集中在刻痕元件或球囊上。由于其他设计特点，除标准PTA导管外，对于刻痕和切割球囊还有其他考虑。</w:t>
      </w:r>
    </w:p>
    <w:p w14:paraId="011B21C7">
      <w:pPr>
        <w:numPr>
          <w:ilvl w:val="0"/>
          <w:numId w:val="6"/>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刻痕/切割机制稳定性</w:t>
      </w:r>
    </w:p>
    <w:p w14:paraId="08EB90C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：刻痕/切割机制的分离，无论是导丝还是粥样硬化切割刀，都可能导致器械故障、血管损伤和/或因器械在血管系统内残留而导致栓塞风险。</w:t>
      </w:r>
    </w:p>
    <w:p w14:paraId="501E190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：建议确定刻痕/切割机制粘合失效时的力（例如拉伸、剪切）。建议提供基于风险类型和级别的试验方法和验收标准的临床依据。</w:t>
      </w:r>
    </w:p>
    <w:p w14:paraId="2DB40F9B">
      <w:pPr>
        <w:numPr>
          <w:ilvl w:val="0"/>
          <w:numId w:val="6"/>
        </w:numPr>
        <w:tabs>
          <w:tab w:val="left" w:pos="839"/>
        </w:tabs>
        <w:adjustRightInd w:val="0"/>
        <w:snapToGrid w:val="0"/>
        <w:spacing w:before="120" w:beforeLines="50" w:line="300" w:lineRule="auto"/>
        <w:ind w:firstLine="0"/>
        <w:jc w:val="center"/>
        <w:rPr>
          <w:rFonts w:ascii="Times New Roman" w:hAnsi="Times New Roman" w:cs="Times New Roman"/>
          <w:b/>
          <w:bCs/>
          <w:snapToGrid w:val="0"/>
          <w:sz w:val="24"/>
          <w:szCs w:val="24"/>
        </w:rPr>
      </w:pPr>
      <w:r>
        <w:rPr>
          <w:rFonts w:ascii="Times New Roman" w:hAnsi="Times New Roman" w:eastAsia="宋体" w:cs="宋体"/>
          <w:b/>
          <w:sz w:val="24"/>
        </w:rPr>
        <w:t>刻痕/切割性能</w:t>
      </w:r>
    </w:p>
    <w:p w14:paraId="6FC7837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：与标准PTA导管相比，该器械的刻痕/切割机制会带来其他风险，如血管损伤。未能获得充分的刻痕或切割可能导致器械无法按预期运行。</w:t>
      </w:r>
    </w:p>
    <w:p w14:paraId="540BB4D0">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证明该器械可以按照预期对病变进行评分。应在钙化实验室模型、有钙化病变的动物模型、尸体模型和/或临床研究中评价器械的性能，并与合法上市的同品种器械进行比较。本机构鼓励尽早联系FDA，讨论评价刻痕/切割性能的拟议模型（参见FDA指南《</w:t>
      </w:r>
      <w:r>
        <w:fldChar w:fldCharType="begin"/>
      </w:r>
      <w:r>
        <w:rPr>
          <w:lang w:eastAsia="zh-CN"/>
        </w:rP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4"/>
          <w:szCs w:val="24"/>
          <w:u w:val="single"/>
          <w:lang w:eastAsia="zh-CN"/>
        </w:rPr>
        <w:t>医疗器械提交反馈和会议请求：Q</w:t>
      </w:r>
      <w:r>
        <w:rPr>
          <w:rFonts w:ascii="Times New Roman" w:hAnsi="Times New Roman" w:eastAsia="宋体" w:cs="宋体"/>
          <w:snapToGrid w:val="0"/>
          <w:color w:val="0000FF"/>
          <w:sz w:val="24"/>
          <w:szCs w:val="24"/>
          <w:u w:val="single"/>
          <w:lang w:eastAsia="zh-CN"/>
        </w:rPr>
        <w:fldChar w:fldCharType="end"/>
      </w:r>
      <w:r>
        <w:rPr>
          <w:rFonts w:hint="eastAsia" w:ascii="Times New Roman" w:hAnsi="Times New Roman" w:eastAsia="宋体" w:cs="宋体"/>
          <w:snapToGrid w:val="0"/>
          <w:color w:val="0000FF"/>
          <w:sz w:val="24"/>
          <w:szCs w:val="24"/>
          <w:u w:val="single"/>
          <w:lang w:eastAsia="zh-CN"/>
        </w:rPr>
        <w:t>-申请计划</w:t>
      </w:r>
      <w:r>
        <w:rPr>
          <w:rFonts w:ascii="Times New Roman" w:hAnsi="Times New Roman" w:eastAsia="宋体" w:cs="宋体"/>
          <w:sz w:val="24"/>
          <w:lang w:eastAsia="zh-CN"/>
        </w:rPr>
        <w:t>》）。</w:t>
      </w:r>
      <w:r>
        <w:rPr>
          <w:rFonts w:ascii="Times New Roman" w:hAnsi="Times New Roman" w:eastAsia="宋体" w:cs="宋体"/>
          <w:color w:val="000000"/>
          <w:sz w:val="24"/>
        </w:rPr>
        <w:t>”</w:t>
      </w:r>
      <w:r>
        <w:fldChar w:fldCharType="begin"/>
      </w:r>
      <w:r>
        <w:instrText xml:space="preserve"> HYPERLINK \l "_bookmark33" </w:instrText>
      </w:r>
      <w:r>
        <w:fldChar w:fldCharType="separate"/>
      </w:r>
      <w:r>
        <w:rPr>
          <w:rFonts w:ascii="Times New Roman" w:hAnsi="Times New Roman" w:eastAsia="宋体" w:cs="宋体"/>
          <w:snapToGrid w:val="0"/>
          <w:color w:val="000000"/>
          <w:sz w:val="24"/>
          <w:szCs w:val="24"/>
          <w:vertAlign w:val="superscript"/>
        </w:rPr>
        <w:t>10</w:t>
      </w:r>
      <w:r>
        <w:rPr>
          <w:rFonts w:ascii="Times New Roman" w:hAnsi="Times New Roman" w:eastAsia="宋体" w:cs="宋体"/>
          <w:snapToGrid w:val="0"/>
          <w:color w:val="000000"/>
          <w:sz w:val="24"/>
          <w:szCs w:val="24"/>
          <w:vertAlign w:val="superscript"/>
        </w:rPr>
        <w:fldChar w:fldCharType="end"/>
      </w:r>
    </w:p>
    <w:p w14:paraId="60247324">
      <w:pPr>
        <w:numPr>
          <w:ilvl w:val="0"/>
          <w:numId w:val="6"/>
        </w:numPr>
        <w:tabs>
          <w:tab w:val="left" w:pos="839"/>
        </w:tabs>
        <w:adjustRightInd w:val="0"/>
        <w:snapToGrid w:val="0"/>
        <w:spacing w:before="120" w:beforeLines="50" w:line="300" w:lineRule="auto"/>
        <w:ind w:left="3457" w:leftChars="1197" w:hanging="824" w:hangingChars="342"/>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实质等同的安全结果（证明无附加风险）</w:t>
      </w:r>
    </w:p>
    <w:p w14:paraId="7162154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：如果刻痕/切割球囊导管具有新的技术特征（即刻痕/切割机制不同于标准刻痕导丝或切割同品种器械的动脉粥样硬化切割刀），则可能会出现其他的安全问题，例如增加血管剥离或穿孔的风险。</w:t>
      </w:r>
    </w:p>
    <w:p w14:paraId="5AD71F8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：如果使用与同品种器械不同的技术特征来实现预期功能，建议评估器械的安全结果（即刻痕深度、穿孔/解剖率）是否与已</w:t>
      </w:r>
      <w:r>
        <w:rPr>
          <w:rFonts w:hint="eastAsia" w:ascii="Times New Roman" w:hAnsi="Times New Roman" w:eastAsia="宋体" w:cs="宋体"/>
          <w:sz w:val="24"/>
          <w:lang w:eastAsia="zh-CN"/>
        </w:rPr>
        <w:t>确认</w:t>
      </w:r>
      <w:r>
        <w:rPr>
          <w:rFonts w:ascii="Times New Roman" w:hAnsi="Times New Roman" w:eastAsia="宋体" w:cs="宋体"/>
          <w:sz w:val="24"/>
          <w:lang w:eastAsia="zh-CN"/>
        </w:rPr>
        <w:t>同品种器械的安全结果基本相同，在动物模型和/或临床研究中使用同品种器械作为对照。</w:t>
      </w:r>
    </w:p>
    <w:p w14:paraId="09E17D0D">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A870AA1">
      <w:pPr>
        <w:adjustRightInd w:val="0"/>
        <w:snapToGrid w:val="0"/>
        <w:spacing w:before="1800" w:beforeLines="7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w:t>
      </w:r>
    </w:p>
    <w:p w14:paraId="19AF9117">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rPr>
      </w:pPr>
      <w:bookmarkStart w:id="20" w:name="_bookmark33"/>
      <w:bookmarkEnd w:id="20"/>
      <w:r>
        <w:rPr>
          <w:rFonts w:ascii="Times New Roman" w:hAnsi="Times New Roman" w:cs="Times New Roman"/>
          <w:snapToGrid w:val="0"/>
          <w:color w:val="0000FF"/>
          <w:sz w:val="21"/>
          <w:szCs w:val="21"/>
          <w:u w:val="single" w:color="0000FF"/>
        </w:rPr>
        <w:fldChar w:fldCharType="begin"/>
      </w:r>
      <w:r>
        <w:rPr>
          <w:rFonts w:ascii="Times New Roman" w:hAnsi="Times New Roman" w:cs="Times New Roman"/>
          <w:snapToGrid w:val="0"/>
          <w:color w:val="0000FF"/>
          <w:sz w:val="21"/>
          <w:szCs w:val="21"/>
          <w:u w:val="single" w:color="0000FF"/>
        </w:rPr>
        <w:instrText xml:space="preserve"> HYPERLINK "https://www.fda.gov/regulatory-information/search-fda-guidance-documents/requests-feedback-and-meetings-" </w:instrText>
      </w:r>
      <w:r>
        <w:rPr>
          <w:rFonts w:ascii="Times New Roman" w:hAnsi="Times New Roman" w:cs="Times New Roman"/>
          <w:snapToGrid w:val="0"/>
          <w:color w:val="0000FF"/>
          <w:sz w:val="21"/>
          <w:szCs w:val="21"/>
          <w:u w:val="single" w:color="0000FF"/>
        </w:rPr>
        <w:fldChar w:fldCharType="separate"/>
      </w:r>
      <w:r>
        <w:rPr>
          <w:rStyle w:val="11"/>
          <w:rFonts w:ascii="Times New Roman" w:hAnsi="Times New Roman" w:cs="Times New Roman"/>
          <w:snapToGrid w:val="0"/>
          <w:sz w:val="21"/>
          <w:szCs w:val="21"/>
          <w:u w:color="0000FF"/>
        </w:rPr>
        <w:t>https://www.fda.gov/regulatory-information/search-fda-guidance-documents/requests-feedback-and-meetings-</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cs="Times New Roman"/>
          <w:snapToGrid w:val="0"/>
          <w:color w:val="0000FF"/>
          <w:sz w:val="21"/>
          <w:szCs w:val="21"/>
          <w:u w:val="single" w:color="0000FF"/>
        </w:rPr>
        <w:t>medical-device-submissions-q-submission-program</w:t>
      </w:r>
      <w:r>
        <w:rPr>
          <w:rFonts w:ascii="Times New Roman" w:hAnsi="Times New Roman" w:cs="Times New Roman"/>
          <w:snapToGrid w:val="0"/>
          <w:color w:val="0000FF"/>
          <w:sz w:val="21"/>
          <w:szCs w:val="21"/>
          <w:u w:val="single" w:color="0000FF"/>
        </w:rPr>
        <w:fldChar w:fldCharType="end"/>
      </w:r>
      <w:r>
        <w:rPr>
          <w:rFonts w:ascii="Times New Roman" w:hAnsi="Times New Roman" w:eastAsia="宋体" w:cs="宋体"/>
          <w:sz w:val="21"/>
          <w:szCs w:val="21"/>
        </w:rPr>
        <w:br w:type="page"/>
      </w:r>
    </w:p>
    <w:p w14:paraId="7F5DE795">
      <w:pPr>
        <w:numPr>
          <w:ilvl w:val="1"/>
          <w:numId w:val="3"/>
        </w:numPr>
        <w:tabs>
          <w:tab w:val="left" w:pos="1560"/>
        </w:tabs>
        <w:adjustRightInd w:val="0"/>
        <w:snapToGrid w:val="0"/>
        <w:spacing w:before="120" w:beforeLines="50" w:line="300" w:lineRule="auto"/>
        <w:ind w:left="1723" w:leftChars="400" w:hanging="843" w:hangingChars="300"/>
        <w:jc w:val="both"/>
        <w:outlineLvl w:val="1"/>
        <w:rPr>
          <w:rFonts w:ascii="Times New Roman" w:hAnsi="Times New Roman" w:cs="Times New Roman"/>
          <w:b/>
          <w:bCs/>
          <w:snapToGrid w:val="0"/>
          <w:sz w:val="28"/>
          <w:szCs w:val="28"/>
        </w:rPr>
      </w:pPr>
      <w:bookmarkStart w:id="21" w:name="_Toc94218316"/>
      <w:r>
        <w:rPr>
          <w:rFonts w:ascii="Times New Roman" w:hAnsi="Times New Roman" w:eastAsia="宋体" w:cs="宋体"/>
          <w:b/>
          <w:sz w:val="28"/>
        </w:rPr>
        <w:t>动物安全和性能试验</w:t>
      </w:r>
      <w:bookmarkEnd w:id="21"/>
    </w:p>
    <w:p w14:paraId="508A433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：通常建议进行动物试验，以评价某些专用导管和潜在PTA球囊导管的体内安全性，尤其是对于新设计、重大器械修改和新的适用范围。带有新切割机制的刻痕球囊就是一个例子。</w:t>
      </w:r>
    </w:p>
    <w:p w14:paraId="6341EAE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：PTA球囊导管和专用导管的动物试验应解决无法通过台架试验或临床研究评价的因素。研究设计和终点应基于器械的作用机制和风险缓解。</w:t>
      </w:r>
    </w:p>
    <w:p w14:paraId="72DD69C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FDA支持“3R”原则，即在可行情况下减少、改进和取代试验中的动物使用。应考虑制定、开展和展示动物研究的最佳规范，同时纳入现代动物护理和使用策略。</w:t>
      </w:r>
    </w:p>
    <w:p w14:paraId="333094B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本机构鼓励制造商利用Q-申请计划，以确保动物研究方案解决安全问题，并包含适用于监管提交的要素（例如，研究应根据21 CFR 58中所述的质量管理规范（GLP）、在具有相应的许可证和认证的动物研究机构中进行）。</w:t>
      </w:r>
      <w:r>
        <w:rPr>
          <w:rFonts w:ascii="Times New Roman" w:hAnsi="Times New Roman" w:eastAsia="宋体" w:cs="宋体"/>
          <w:sz w:val="24"/>
          <w:vertAlign w:val="superscript"/>
          <w:lang w:eastAsia="zh-CN"/>
        </w:rPr>
        <w:t>11</w:t>
      </w:r>
      <w:r>
        <w:rPr>
          <w:rFonts w:ascii="Times New Roman" w:hAnsi="Times New Roman" w:eastAsia="宋体" w:cs="宋体"/>
          <w:sz w:val="24"/>
          <w:lang w:eastAsia="zh-CN"/>
        </w:rPr>
        <w:t>此外，如果建议使用</w:t>
      </w:r>
      <w:r>
        <w:rPr>
          <w:rFonts w:hint="eastAsia" w:ascii="Times New Roman" w:hAnsi="Times New Roman" w:eastAsia="宋体" w:cs="宋体"/>
          <w:sz w:val="24"/>
          <w:lang w:eastAsia="zh-CN"/>
        </w:rPr>
        <w:t>您</w:t>
      </w:r>
      <w:r>
        <w:rPr>
          <w:rFonts w:ascii="Times New Roman" w:hAnsi="Times New Roman" w:eastAsia="宋体" w:cs="宋体"/>
          <w:sz w:val="24"/>
          <w:lang w:eastAsia="zh-CN"/>
        </w:rPr>
        <w:t>认为合适、充分、有效且可行的非动物试验方法，建议使用Q-申请计划讨论该建议。本机构将考虑这种备选方法是否可被评估为等同于动物试验方法。有关Q-申请计划的详细信息，请参阅指南《</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hint="eastAsia" w:ascii="Times New Roman" w:hAnsi="Times New Roman" w:eastAsia="宋体" w:cs="宋体"/>
          <w:snapToGrid w:val="0"/>
          <w:color w:val="0000FF"/>
          <w:sz w:val="24"/>
          <w:szCs w:val="24"/>
          <w:u w:val="single"/>
          <w:lang w:eastAsia="zh-CN"/>
        </w:rPr>
        <w:t>医疗器械提交反馈和会议请求：</w:t>
      </w:r>
      <w:r>
        <w:rPr>
          <w:rFonts w:ascii="Times New Roman" w:hAnsi="Times New Roman" w:eastAsia="宋体" w:cs="宋体"/>
          <w:snapToGrid w:val="0"/>
          <w:color w:val="0000FF"/>
          <w:sz w:val="24"/>
          <w:szCs w:val="24"/>
          <w:u w:val="single"/>
          <w:lang w:eastAsia="zh-CN"/>
        </w:rPr>
        <w:t>Q-</w:t>
      </w:r>
      <w:r>
        <w:rPr>
          <w:rFonts w:hint="eastAsia" w:ascii="Times New Roman" w:hAnsi="Times New Roman" w:eastAsia="宋体" w:cs="宋体"/>
          <w:snapToGrid w:val="0"/>
          <w:color w:val="0000FF"/>
          <w:sz w:val="24"/>
          <w:szCs w:val="24"/>
          <w:u w:val="single"/>
          <w:lang w:eastAsia="zh-CN"/>
        </w:rPr>
        <w:t>申请计划</w:t>
      </w:r>
      <w:r>
        <w:rPr>
          <w:rFonts w:hint="eastAsia"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color w:val="000000"/>
          <w:sz w:val="24"/>
          <w:lang w:eastAsia="zh-CN"/>
        </w:rPr>
        <w:t>》。</w:t>
      </w:r>
      <w:r>
        <w:rPr>
          <w:rFonts w:ascii="Times New Roman" w:hAnsi="Times New Roman" w:eastAsia="宋体" w:cs="宋体"/>
          <w:sz w:val="24"/>
          <w:vertAlign w:val="superscript"/>
          <w:lang w:eastAsia="zh-CN"/>
        </w:rPr>
        <w:t>12</w:t>
      </w:r>
    </w:p>
    <w:p w14:paraId="69C5458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对于与合法上市的PTA器械（例如，新适用范围、设计、技术）有显著差异的器械，建议进行动物试验，以确认程序的安全性，评价器械设计的功能特征，并评估PTA或专用导管的性能。</w:t>
      </w:r>
    </w:p>
    <w:p w14:paraId="500A511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刻痕球囊，本机构强烈建议进行动物试验，以证明所有刻痕/切割器械与其同品种器械相比具有同等的安全性，尤其是在技术特征不同的情况下。建议在适当的动物模型中评价这些器械，该模型应与该器械在人体中的预期用途非常接近，并在提交</w:t>
      </w:r>
      <w:r>
        <w:rPr>
          <w:rFonts w:hint="eastAsia" w:ascii="Times New Roman" w:hAnsi="Times New Roman" w:eastAsia="宋体" w:cs="宋体"/>
          <w:sz w:val="24"/>
          <w:lang w:eastAsia="zh-CN"/>
        </w:rPr>
        <w:t>资料</w:t>
      </w:r>
      <w:r>
        <w:rPr>
          <w:rFonts w:ascii="Times New Roman" w:hAnsi="Times New Roman" w:eastAsia="宋体" w:cs="宋体"/>
          <w:sz w:val="24"/>
          <w:lang w:eastAsia="zh-CN"/>
        </w:rPr>
        <w:t>中应提供所选动物模型的支持依据。在这些研究中，同品种器械应作为对照。本机构强烈建议按照CFR第21篇第58部分进行这些研究，或解释不符合项不会影响为支持实质等同性确定而提供研究数据有效性</w:t>
      </w:r>
      <w:r>
        <w:rPr>
          <w:rFonts w:hint="eastAsia" w:ascii="Times New Roman" w:hAnsi="Times New Roman" w:eastAsia="宋体" w:cs="宋体"/>
          <w:sz w:val="24"/>
          <w:lang w:eastAsia="zh-CN"/>
        </w:rPr>
        <w:t>的原因</w:t>
      </w:r>
      <w:r>
        <w:rPr>
          <w:rFonts w:ascii="Times New Roman" w:hAnsi="Times New Roman" w:eastAsia="宋体" w:cs="宋体"/>
          <w:sz w:val="24"/>
          <w:lang w:eastAsia="zh-CN"/>
        </w:rPr>
        <w:t>。</w:t>
      </w:r>
    </w:p>
    <w:p w14:paraId="36D4FC60">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3E2CABD">
      <w:pPr>
        <w:adjustRightInd w:val="0"/>
        <w:snapToGrid w:val="0"/>
        <w:spacing w:before="720" w:beforeLines="3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____________________________</w:t>
      </w:r>
    </w:p>
    <w:p w14:paraId="4E8882A9">
      <w:pPr>
        <w:numPr>
          <w:ilvl w:val="1"/>
          <w:numId w:val="2"/>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另参见FDA指南《心血管器械动物研究的一般注意事项》（</w:t>
      </w:r>
      <w:r>
        <w:fldChar w:fldCharType="begin"/>
      </w:r>
      <w:r>
        <w:instrText xml:space="preserve"> HYPERLINK "https://www.fda.gov/regulatory-information/search-fda-guidance-documents/general-considerations-animal-studies-cardiovascular-devices-guidance-industry-and-fda-staff" </w:instrText>
      </w:r>
      <w:r>
        <w:fldChar w:fldCharType="separate"/>
      </w:r>
      <w:r>
        <w:rPr>
          <w:rStyle w:val="11"/>
          <w:rFonts w:ascii="Times New Roman" w:hAnsi="Times New Roman" w:eastAsia="宋体" w:cs="宋体"/>
          <w:snapToGrid w:val="0"/>
          <w:sz w:val="21"/>
          <w:szCs w:val="21"/>
          <w:u w:color="0000FF"/>
        </w:rPr>
        <w:t>https://www.fda.gov/regulatory-information/search-fda-guidance-documents/general-considerations-animal-studies-cardiovascular-devices-guidance-industry-and-fda-staff</w:t>
      </w:r>
      <w:r>
        <w:rPr>
          <w:rStyle w:val="11"/>
          <w:rFonts w:ascii="Times New Roman" w:hAnsi="Times New Roman" w:eastAsia="宋体" w:cs="宋体"/>
          <w:snapToGrid w:val="0"/>
          <w:sz w:val="21"/>
          <w:szCs w:val="21"/>
          <w:u w:color="0000FF"/>
        </w:rPr>
        <w:fldChar w:fldCharType="end"/>
      </w:r>
      <w:r>
        <w:rPr>
          <w:rFonts w:ascii="Times New Roman" w:hAnsi="Times New Roman" w:eastAsia="宋体" w:cs="宋体"/>
          <w:color w:val="000000"/>
          <w:sz w:val="21"/>
        </w:rPr>
        <w:t>）。</w:t>
      </w:r>
    </w:p>
    <w:p w14:paraId="66096A9A">
      <w:pPr>
        <w:adjustRightInd w:val="0"/>
        <w:snapToGrid w:val="0"/>
        <w:spacing w:before="120" w:beforeLines="50" w:line="300" w:lineRule="auto"/>
        <w:jc w:val="both"/>
        <w:rPr>
          <w:rFonts w:ascii="Times New Roman" w:hAnsi="Times New Roman" w:cs="Times New Roman"/>
          <w:snapToGrid w:val="0"/>
          <w:sz w:val="24"/>
          <w:szCs w:val="24"/>
        </w:rPr>
      </w:pPr>
      <w:bookmarkStart w:id="22" w:name="_bookmark36"/>
      <w:bookmarkEnd w:id="22"/>
      <w:r>
        <w:rPr>
          <w:rFonts w:ascii="Times New Roman" w:hAnsi="Times New Roman" w:cs="Times New Roman"/>
          <w:snapToGrid w:val="0"/>
          <w:sz w:val="21"/>
          <w:szCs w:val="21"/>
          <w:vertAlign w:val="superscript"/>
        </w:rPr>
        <w:t>12</w:t>
      </w:r>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"http://www.fda.gov/regulatory-information/search-fda-guidance-documents/requests-feedback-and-meetings-"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www.fda.gov/regulatory-information/search-fda-guidance-documents/requests-feedback-and-meetings-</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rPr>
          <w:rFonts w:ascii="Times New Roman" w:hAnsi="Times New Roman" w:cs="Times New Roman"/>
          <w:snapToGrid w:val="0"/>
          <w:color w:val="0000FF"/>
          <w:sz w:val="21"/>
          <w:szCs w:val="21"/>
          <w:u w:val="single" w:color="0000FF"/>
        </w:rPr>
        <w:t>medical-device-submissions-q-submission-program</w:t>
      </w:r>
      <w:r>
        <w:rPr>
          <w:rFonts w:hint="eastAsia" w:ascii="Times New Roman" w:hAnsi="Times New Roman" w:cs="Times New Roman"/>
          <w:snapToGrid w:val="0"/>
          <w:color w:val="000000" w:themeColor="text1"/>
          <w:sz w:val="21"/>
          <w:szCs w:val="21"/>
          <w:u w:val="single" w:color="0000FF"/>
          <w:lang w:eastAsia="zh-CN"/>
          <w14:textFill>
            <w14:solidFill>
              <w14:schemeClr w14:val="tx1"/>
            </w14:solidFill>
          </w14:textFill>
        </w:rPr>
        <w:t>。</w:t>
      </w:r>
      <w:r>
        <w:rPr>
          <w:rFonts w:ascii="Times New Roman" w:hAnsi="Times New Roman" w:cs="Times New Roman"/>
          <w:snapToGrid w:val="0"/>
          <w:sz w:val="24"/>
          <w:szCs w:val="24"/>
        </w:rPr>
        <w:br w:type="page"/>
      </w:r>
    </w:p>
    <w:p w14:paraId="124B94A7">
      <w:pPr>
        <w:numPr>
          <w:ilvl w:val="0"/>
          <w:numId w:val="7"/>
        </w:numPr>
        <w:tabs>
          <w:tab w:val="left" w:pos="1560"/>
        </w:tabs>
        <w:adjustRightInd w:val="0"/>
        <w:snapToGrid w:val="0"/>
        <w:spacing w:before="120" w:beforeLines="50" w:line="300" w:lineRule="auto"/>
        <w:ind w:left="1723" w:leftChars="400" w:hanging="843" w:hangingChars="300"/>
        <w:jc w:val="both"/>
        <w:outlineLvl w:val="1"/>
        <w:rPr>
          <w:rFonts w:ascii="Times New Roman" w:hAnsi="Times New Roman" w:cs="Times New Roman"/>
          <w:b/>
          <w:bCs/>
          <w:snapToGrid w:val="0"/>
          <w:sz w:val="28"/>
          <w:szCs w:val="28"/>
        </w:rPr>
      </w:pPr>
      <w:r>
        <w:rPr>
          <w:rFonts w:ascii="Times New Roman" w:hAnsi="Times New Roman" w:eastAsia="宋体" w:cs="宋体"/>
          <w:b/>
          <w:sz w:val="28"/>
        </w:rPr>
        <w:t>临床性能试验</w:t>
      </w:r>
    </w:p>
    <w:p w14:paraId="7892840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大多数PTA球囊和专用导管通常不需要临床证据；但是，在以下情况下可能会要求进行此类试验：</w:t>
      </w:r>
    </w:p>
    <w:p w14:paraId="27E138E6">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与合法上市的同类器械不同的适用范围（例如，治疗特定疾病或病变类型）；</w:t>
      </w:r>
    </w:p>
    <w:p w14:paraId="0650965E">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新技术（即，与合法上市的同类型器械不同的技术）；和</w:t>
      </w:r>
    </w:p>
    <w:p w14:paraId="5CA53A36">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工程和/或动物试验引起的问题需要临床证据进一步评价的案例。</w:t>
      </w:r>
    </w:p>
    <w:p w14:paraId="7FE08D6D">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lang w:eastAsia="zh-CN"/>
        </w:rPr>
        <w:t>如果需要临床研究来证实实质等同性，例如在获得器械510(k)许可前进行，则必须按照CFR第21篇第812部分的临床试验用器械豁免（IDE）规则进行研究。一般而言，本机构认为本指导文件所述PTA球囊导管和专用导管是符合CFR第21篇第812部分所有要求的重大风险器械。请参见FDA指南《</w:t>
      </w:r>
      <w:r>
        <w:fldChar w:fldCharType="begin"/>
      </w:r>
      <w:r>
        <w:rPr>
          <w:lang w:eastAsia="zh-CN"/>
        </w:rPr>
        <w:instrText xml:space="preserve"> HYPERLINK "https://www.fda.gov/regulatory-information/search-fda-guidance-documents/significant-risk-and-nonsignificant-risk-medical-device-studies" \h </w:instrText>
      </w:r>
      <w:r>
        <w:fldChar w:fldCharType="separate"/>
      </w:r>
      <w:r>
        <w:rPr>
          <w:rFonts w:ascii="Times New Roman" w:hAnsi="Times New Roman" w:eastAsia="宋体" w:cs="宋体"/>
          <w:snapToGrid w:val="0"/>
          <w:color w:val="0000FF"/>
          <w:sz w:val="24"/>
          <w:szCs w:val="24"/>
          <w:u w:val="single"/>
          <w:lang w:eastAsia="zh-CN"/>
        </w:rPr>
        <w:t>重大风险和非重大风险医疗器械研究</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13</w:t>
      </w:r>
      <w:r>
        <w:rPr>
          <w:rFonts w:ascii="Times New Roman" w:hAnsi="Times New Roman" w:eastAsia="宋体" w:cs="宋体"/>
          <w:color w:val="000000"/>
          <w:sz w:val="24"/>
          <w:lang w:eastAsia="zh-CN"/>
        </w:rPr>
        <w:t>除了CFR第21篇第812部分的要求，该实验的申请人必须服从管理机构审查委员会（CFR第21篇第56部分）的规则并知情同意（CFR第21篇第50部分）。当PTA和专用导管在美国境外进行临床研究</w:t>
      </w:r>
      <w:r>
        <w:rPr>
          <w:rFonts w:hint="eastAsia" w:ascii="Times New Roman" w:hAnsi="Times New Roman" w:eastAsia="宋体" w:cs="宋体"/>
          <w:color w:val="000000"/>
          <w:sz w:val="24"/>
          <w:lang w:eastAsia="zh-CN"/>
        </w:rPr>
        <w:t>的</w:t>
      </w:r>
      <w:r>
        <w:rPr>
          <w:rFonts w:ascii="Times New Roman" w:hAnsi="Times New Roman" w:eastAsia="宋体" w:cs="宋体"/>
          <w:color w:val="000000"/>
          <w:sz w:val="24"/>
          <w:lang w:eastAsia="zh-CN"/>
        </w:rPr>
        <w:t>数据提交给FDA时，21 CFR 812.28的要求可能适用。</w:t>
      </w:r>
      <w:r>
        <w:rPr>
          <w:rFonts w:ascii="Times New Roman" w:hAnsi="Times New Roman" w:eastAsia="宋体" w:cs="宋体"/>
          <w:sz w:val="24"/>
          <w:vertAlign w:val="superscript"/>
          <w:lang w:eastAsia="zh-CN"/>
        </w:rPr>
        <w:t xml:space="preserve">14 </w:t>
      </w:r>
      <w:r>
        <w:rPr>
          <w:rFonts w:ascii="Times New Roman" w:hAnsi="Times New Roman" w:eastAsia="宋体" w:cs="宋体"/>
          <w:sz w:val="24"/>
          <w:lang w:eastAsia="zh-CN"/>
        </w:rPr>
        <w:t>21 CFR 812.28概述了FDA接受在美国境外进行的临床研究的数据以支持上市前申请的条件。更多信息，请参见FDA指南，《</w:t>
      </w:r>
      <w:r>
        <w:fldChar w:fldCharType="begin"/>
      </w:r>
      <w:r>
        <w:rPr>
          <w:lang w:eastAsia="zh-CN"/>
        </w:rPr>
        <w:instrText xml:space="preserve"> HYPERLINK "https://www.fda.gov/regulatory-information/search-fda-guidance-documents/acceptance-clinical-data-support-medical-device-applications-and-submissions-frequently-asked" \h </w:instrText>
      </w:r>
      <w:r>
        <w:fldChar w:fldCharType="separate"/>
      </w:r>
      <w:r>
        <w:rPr>
          <w:rFonts w:ascii="Times New Roman" w:hAnsi="Times New Roman" w:eastAsia="宋体" w:cs="宋体"/>
          <w:snapToGrid w:val="0"/>
          <w:color w:val="0000FF"/>
          <w:sz w:val="24"/>
          <w:szCs w:val="24"/>
          <w:u w:val="single"/>
          <w:lang w:eastAsia="zh-CN"/>
        </w:rPr>
        <w:t>接受临床数据以支持医疗器械应用和提交：常见问题</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rPr>
        <w:t>15</w:t>
      </w:r>
    </w:p>
    <w:p w14:paraId="649E9145">
      <w:pPr>
        <w:adjustRightInd w:val="0"/>
        <w:snapToGrid w:val="0"/>
        <w:spacing w:before="3240" w:beforeLines="13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_____________________________</w:t>
      </w:r>
    </w:p>
    <w:p w14:paraId="3237FBE1">
      <w:pPr>
        <w:numPr>
          <w:ilvl w:val="0"/>
          <w:numId w:val="8"/>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rPr>
      </w:pPr>
      <w:bookmarkStart w:id="23" w:name="_bookmark38"/>
      <w:bookmarkEnd w:id="23"/>
      <w:r>
        <w:rPr>
          <w:rFonts w:ascii="Times New Roman" w:hAnsi="Times New Roman" w:cs="Times New Roman"/>
          <w:snapToGrid w:val="0"/>
          <w:color w:val="0000FF"/>
          <w:sz w:val="21"/>
          <w:szCs w:val="21"/>
          <w:u w:val="single" w:color="0000FF"/>
        </w:rPr>
        <w:fldChar w:fldCharType="begin"/>
      </w:r>
      <w:r>
        <w:rPr>
          <w:rFonts w:ascii="Times New Roman" w:hAnsi="Times New Roman" w:cs="Times New Roman"/>
          <w:snapToGrid w:val="0"/>
          <w:color w:val="0000FF"/>
          <w:sz w:val="21"/>
          <w:szCs w:val="21"/>
          <w:u w:val="single" w:color="0000FF"/>
        </w:rPr>
        <w:instrText xml:space="preserve"> HYPERLINK "https://www.fda.gov/regulatory-information/search-fda-guidance-documents/significant-risk-and-nonsignificant-" </w:instrText>
      </w:r>
      <w:r>
        <w:rPr>
          <w:rFonts w:ascii="Times New Roman" w:hAnsi="Times New Roman" w:cs="Times New Roman"/>
          <w:snapToGrid w:val="0"/>
          <w:color w:val="0000FF"/>
          <w:sz w:val="21"/>
          <w:szCs w:val="21"/>
          <w:u w:val="single" w:color="0000FF"/>
        </w:rPr>
        <w:fldChar w:fldCharType="separate"/>
      </w:r>
      <w:r>
        <w:rPr>
          <w:rStyle w:val="11"/>
          <w:rFonts w:ascii="Times New Roman" w:hAnsi="Times New Roman" w:cs="Times New Roman"/>
          <w:snapToGrid w:val="0"/>
          <w:sz w:val="21"/>
          <w:szCs w:val="21"/>
          <w:u w:color="0000FF"/>
        </w:rPr>
        <w:t>https://www.fda.gov/regulatory-information/search-fda-guidance-documents/significant-risk-and-nonsignificant-</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"https://www.fda.gov/regulatory-information/search-fda-guidance-documents/significant-risk-and-nonsignificant-risk-medical-device-studies" \h </w:instrText>
      </w:r>
      <w:r>
        <w:fldChar w:fldCharType="separate"/>
      </w:r>
      <w:r>
        <w:rPr>
          <w:rFonts w:ascii="Times New Roman" w:hAnsi="Times New Roman" w:cs="Times New Roman"/>
          <w:snapToGrid w:val="0"/>
          <w:color w:val="0000FF"/>
          <w:sz w:val="21"/>
          <w:szCs w:val="21"/>
          <w:u w:val="single" w:color="0000FF"/>
        </w:rPr>
        <w:t>risk-medical-device-studies</w:t>
      </w:r>
      <w:r>
        <w:rPr>
          <w:rFonts w:ascii="Times New Roman" w:hAnsi="Times New Roman" w:cs="Times New Roman"/>
          <w:snapToGrid w:val="0"/>
          <w:color w:val="0000FF"/>
          <w:sz w:val="21"/>
          <w:szCs w:val="21"/>
          <w:u w:val="single" w:color="0000FF"/>
        </w:rPr>
        <w:fldChar w:fldCharType="end"/>
      </w:r>
    </w:p>
    <w:p w14:paraId="28C6AB39">
      <w:pPr>
        <w:numPr>
          <w:ilvl w:val="0"/>
          <w:numId w:val="8"/>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适用于2019年2月21日当天或之后开始并提交以支持上市前申请的临床调查数据，包括IDE、PMA和510(k)。</w:t>
      </w:r>
    </w:p>
    <w:p w14:paraId="68A3844B">
      <w:pPr>
        <w:numPr>
          <w:ilvl w:val="0"/>
          <w:numId w:val="8"/>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rPr>
      </w:pPr>
      <w:bookmarkStart w:id="24" w:name="_bookmark40"/>
      <w:bookmarkEnd w:id="24"/>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"http://www.fda.gov/regulatory-information/search-fda-guidance-documents/acceptance-clinical-data-support-"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www.fda.gov/regulatory-information/search-fda-guidance-documents/acceptance-clinical-data-support-</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rPr>
          <w:rFonts w:ascii="Times New Roman" w:hAnsi="Times New Roman" w:cs="Times New Roman"/>
          <w:snapToGrid w:val="0"/>
          <w:color w:val="0000FF"/>
          <w:sz w:val="21"/>
          <w:szCs w:val="21"/>
          <w:u w:val="single" w:color="0000FF"/>
        </w:rPr>
        <w:t>medical-device-applications-and-submissions-frequently-asked</w:t>
      </w:r>
      <w:r>
        <w:rPr>
          <w:rFonts w:ascii="Times New Roman" w:hAnsi="Times New Roman" w:eastAsia="宋体" w:cs="宋体"/>
          <w:sz w:val="24"/>
        </w:rPr>
        <w:br w:type="page"/>
      </w:r>
    </w:p>
    <w:p w14:paraId="6417223C">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lang w:eastAsia="zh-CN"/>
        </w:rPr>
        <w:t>在某些情况下，“真实世界数据”（RWD）可用于支持已获得510(k)批准器械的适应症扩展。对于已合法上市器械，收集RWD是否需要IDE则取决于具体情况。具体来讲，如果是在正常医疗实践中使用批准器械，则可能无需IDE。有关此主题的更多信息，请参见FDA指南《</w:t>
      </w:r>
      <w:r>
        <w:fldChar w:fldCharType="begin"/>
      </w:r>
      <w:r>
        <w:rPr>
          <w:lang w:eastAsia="zh-CN"/>
        </w:rPr>
        <w:instrText xml:space="preserve"> HYPERLINK "https://www.fda.gov/regulatory-information/search-fda-guidance-documents/use-real-world-evidence-support-regulatory-decision-making-medical-devices" \h </w:instrText>
      </w:r>
      <w:r>
        <w:fldChar w:fldCharType="separate"/>
      </w:r>
      <w:r>
        <w:rPr>
          <w:rFonts w:ascii="Times New Roman" w:hAnsi="Times New Roman" w:eastAsia="宋体" w:cs="宋体"/>
          <w:snapToGrid w:val="0"/>
          <w:color w:val="0000FF"/>
          <w:sz w:val="24"/>
          <w:szCs w:val="24"/>
          <w:u w:val="single" w:color="0000FF"/>
          <w:lang w:eastAsia="zh-CN"/>
        </w:rPr>
        <w:t>使用真实世界证据支持医疗器械监管决策</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color w:val="000000"/>
          <w:sz w:val="24"/>
        </w:rPr>
        <w:t>”</w:t>
      </w:r>
      <w:r>
        <w:fldChar w:fldCharType="begin"/>
      </w:r>
      <w:r>
        <w:instrText xml:space="preserve"> HYPERLINK \l "_bookmark43" </w:instrText>
      </w:r>
      <w:r>
        <w:fldChar w:fldCharType="separate"/>
      </w:r>
      <w:r>
        <w:rPr>
          <w:rFonts w:ascii="Times New Roman" w:hAnsi="Times New Roman" w:eastAsia="宋体" w:cs="宋体"/>
          <w:snapToGrid w:val="0"/>
          <w:color w:val="000000"/>
          <w:sz w:val="24"/>
          <w:szCs w:val="24"/>
          <w:vertAlign w:val="superscript"/>
        </w:rPr>
        <w:t>16</w:t>
      </w:r>
      <w:r>
        <w:rPr>
          <w:rFonts w:ascii="Times New Roman" w:hAnsi="Times New Roman" w:eastAsia="宋体" w:cs="宋体"/>
          <w:snapToGrid w:val="0"/>
          <w:color w:val="000000"/>
          <w:sz w:val="24"/>
          <w:szCs w:val="24"/>
          <w:vertAlign w:val="superscript"/>
        </w:rPr>
        <w:fldChar w:fldCharType="end"/>
      </w:r>
    </w:p>
    <w:p w14:paraId="668954B3">
      <w:pPr>
        <w:numPr>
          <w:ilvl w:val="0"/>
          <w:numId w:val="7"/>
        </w:numPr>
        <w:adjustRightInd w:val="0"/>
        <w:snapToGrid w:val="0"/>
        <w:spacing w:before="120" w:beforeLines="50" w:line="300" w:lineRule="auto"/>
        <w:ind w:left="1723" w:leftChars="400" w:hanging="843" w:hangingChars="300"/>
        <w:jc w:val="both"/>
        <w:outlineLvl w:val="1"/>
        <w:rPr>
          <w:rFonts w:ascii="Times New Roman" w:hAnsi="Times New Roman" w:cs="Times New Roman"/>
          <w:b/>
          <w:bCs/>
          <w:snapToGrid w:val="0"/>
          <w:sz w:val="28"/>
          <w:szCs w:val="28"/>
        </w:rPr>
      </w:pPr>
      <w:r>
        <w:rPr>
          <w:rFonts w:hint="eastAsia" w:ascii="Times New Roman" w:hAnsi="Times New Roman" w:eastAsia="宋体" w:cs="宋体"/>
          <w:b/>
          <w:sz w:val="28"/>
          <w:lang w:eastAsia="zh-CN"/>
        </w:rPr>
        <w:t>标签说明书</w:t>
      </w:r>
    </w:p>
    <w:p w14:paraId="3D834F5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监管提交文件必须包含足够详细的建议标签说明书，以满足21 CFR 807.87(e)中关于上市前通知的要求和21 CFR 814.20(b)(10)中关于上市前批准申请的要求。PTA球囊导管和专用球囊的标签说明书应包括所有适用信息，包括适应症、禁忌症、警告、产品信息、临床数据摘要（如适用）和使用说明。</w:t>
      </w:r>
    </w:p>
    <w:p w14:paraId="718871A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根据《联邦食品、药品和化妆品法案》《FD&amp;C法案》（21 U.S.C.352(f)(1)）第502(f)(1)节的规定，PTA球囊和专用导管作为处方器械，只要满足21 CFR 801.109中的条件，就可免于提供充分的非专业使用说明。例如，标签说明书必须包括执业医师使用器械的充分信息，包括适应症、作用、途径、方法、频率和持续时间以及任何相关</w:t>
      </w:r>
      <w:r>
        <w:rPr>
          <w:rFonts w:hint="eastAsia" w:ascii="Times New Roman" w:hAnsi="Times New Roman" w:eastAsia="宋体" w:cs="宋体"/>
          <w:sz w:val="24"/>
          <w:lang w:eastAsia="zh-CN"/>
        </w:rPr>
        <w:t>危险</w:t>
      </w:r>
      <w:r>
        <w:rPr>
          <w:rFonts w:ascii="Times New Roman" w:hAnsi="Times New Roman" w:eastAsia="宋体" w:cs="宋体"/>
          <w:sz w:val="24"/>
          <w:lang w:eastAsia="zh-CN"/>
        </w:rPr>
        <w:t>、禁忌症、副作用和注意事项。</w:t>
      </w:r>
      <w:r>
        <w:rPr>
          <w:rFonts w:hint="eastAsia" w:ascii="Times New Roman" w:hAnsi="Times New Roman" w:eastAsia="宋体" w:cs="宋体"/>
          <w:sz w:val="24"/>
          <w:lang w:eastAsia="zh-CN"/>
        </w:rPr>
        <w:t>（</w:t>
      </w:r>
      <w:r>
        <w:rPr>
          <w:rFonts w:ascii="Times New Roman" w:hAnsi="Times New Roman" w:eastAsia="宋体" w:cs="宋体"/>
          <w:sz w:val="24"/>
          <w:lang w:eastAsia="zh-CN"/>
        </w:rPr>
        <w:t>21 CFR 801.109(d)</w:t>
      </w:r>
      <w:r>
        <w:rPr>
          <w:rFonts w:hint="eastAsia" w:ascii="Times New Roman" w:hAnsi="Times New Roman" w:eastAsia="宋体" w:cs="宋体"/>
          <w:sz w:val="24"/>
          <w:lang w:eastAsia="zh-CN"/>
        </w:rPr>
        <w:t>）</w:t>
      </w:r>
    </w:p>
    <w:p w14:paraId="1A7E2AAE">
      <w:pPr>
        <w:numPr>
          <w:ilvl w:val="0"/>
          <w:numId w:val="7"/>
        </w:numPr>
        <w:adjustRightInd w:val="0"/>
        <w:snapToGrid w:val="0"/>
        <w:spacing w:before="120" w:beforeLines="50" w:line="300" w:lineRule="auto"/>
        <w:ind w:left="1723" w:leftChars="400" w:hanging="843" w:hangingChars="300"/>
        <w:jc w:val="both"/>
        <w:outlineLvl w:val="1"/>
        <w:rPr>
          <w:rFonts w:ascii="Times New Roman" w:hAnsi="Times New Roman" w:cs="Times New Roman"/>
          <w:b/>
          <w:bCs/>
          <w:snapToGrid w:val="0"/>
          <w:sz w:val="28"/>
          <w:szCs w:val="28"/>
        </w:rPr>
      </w:pPr>
      <w:bookmarkStart w:id="25" w:name="_Toc94218319"/>
      <w:r>
        <w:rPr>
          <w:rFonts w:ascii="Times New Roman" w:hAnsi="Times New Roman" w:eastAsia="宋体" w:cs="宋体"/>
          <w:b/>
          <w:sz w:val="28"/>
        </w:rPr>
        <w:t>修改</w:t>
      </w:r>
      <w:bookmarkEnd w:id="25"/>
    </w:p>
    <w:p w14:paraId="75382276">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lang w:eastAsia="zh-CN"/>
        </w:rPr>
        <w:t>根据21 CFR 807.81(a)(3)，器械变更或修改“可能显著影响器械的安全性或有效性”或代表“器械预期用途的重大变更或修改”需要新的510(k)。下列变更或修改可能需要提交新的510(k)。注意，该列表并非详尽列表，但提供了可能需要提交新510(k)的修改示例。更多详情，请参见指南《</w:t>
      </w:r>
      <w:r>
        <w:fldChar w:fldCharType="begin"/>
      </w:r>
      <w:r>
        <w:rPr>
          <w:lang w:eastAsia="zh-CN"/>
        </w:rPr>
        <w:instrText xml:space="preserve"> HYPERLINK "https://www.fda.gov/regulatory-information/search-fda-guidance-documents/deciding-when-submit-510k-change-existing-device" \h </w:instrText>
      </w:r>
      <w:r>
        <w:fldChar w:fldCharType="separate"/>
      </w:r>
      <w:r>
        <w:rPr>
          <w:rFonts w:ascii="Times New Roman" w:hAnsi="Times New Roman" w:eastAsia="宋体" w:cs="宋体"/>
          <w:snapToGrid w:val="0"/>
          <w:color w:val="0000FF"/>
          <w:sz w:val="24"/>
          <w:szCs w:val="24"/>
          <w:u w:val="single"/>
          <w:lang w:eastAsia="zh-CN"/>
        </w:rPr>
        <w:t>决定何时就现有器械变更提交510(k)</w:t>
      </w:r>
      <w:r>
        <w:rPr>
          <w:rFonts w:ascii="Times New Roman" w:hAnsi="Times New Roman" w:eastAsia="宋体" w:cs="宋体"/>
          <w:snapToGrid w:val="0"/>
          <w:color w:val="0000FF"/>
          <w:sz w:val="24"/>
          <w:szCs w:val="24"/>
          <w:u w:val="single"/>
          <w:lang w:eastAsia="zh-CN"/>
        </w:rPr>
        <w:fldChar w:fldCharType="end"/>
      </w:r>
      <w:r>
        <w:rPr>
          <w:rFonts w:ascii="Times New Roman" w:hAnsi="Times New Roman" w:eastAsia="宋体" w:cs="宋体"/>
          <w:sz w:val="24"/>
          <w:lang w:eastAsia="zh-CN"/>
        </w:rPr>
        <w:t>》。</w:t>
      </w:r>
      <w:r>
        <w:rPr>
          <w:rFonts w:ascii="Times New Roman" w:hAnsi="Times New Roman" w:eastAsia="宋体" w:cs="宋体"/>
          <w:color w:val="000000"/>
          <w:sz w:val="24"/>
        </w:rPr>
        <w:t>”</w:t>
      </w:r>
      <w:r>
        <w:fldChar w:fldCharType="begin"/>
      </w:r>
      <w:r>
        <w:instrText xml:space="preserve"> HYPERLINK \l "_bookmark44" </w:instrText>
      </w:r>
      <w:r>
        <w:fldChar w:fldCharType="separate"/>
      </w:r>
      <w:r>
        <w:rPr>
          <w:rFonts w:ascii="Times New Roman" w:hAnsi="Times New Roman" w:eastAsia="宋体" w:cs="宋体"/>
          <w:snapToGrid w:val="0"/>
          <w:color w:val="000000"/>
          <w:sz w:val="24"/>
          <w:szCs w:val="24"/>
          <w:vertAlign w:val="superscript"/>
        </w:rPr>
        <w:t>17</w:t>
      </w:r>
      <w:r>
        <w:rPr>
          <w:rFonts w:ascii="Times New Roman" w:hAnsi="Times New Roman" w:eastAsia="宋体" w:cs="宋体"/>
          <w:snapToGrid w:val="0"/>
          <w:color w:val="000000"/>
          <w:sz w:val="24"/>
          <w:szCs w:val="24"/>
          <w:vertAlign w:val="superscript"/>
        </w:rPr>
        <w:fldChar w:fldCharType="end"/>
      </w:r>
    </w:p>
    <w:p w14:paraId="058EED20">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t>此类变更或修改包括：</w:t>
      </w:r>
    </w:p>
    <w:p w14:paraId="572B9999">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lang w:eastAsia="zh-CN"/>
        </w:rPr>
        <w:t>器械尺寸的变更：FDA认为这一变更是对设计的修改。FDA已经确定，这一变更可能会显著影响器械的安全性和有效性，因为它可能会改变器械的性能。因此，如果尺寸变更不在先前批准的范围内，则可能需要进行试验以支持该变更。</w:t>
      </w:r>
      <w:r>
        <w:rPr>
          <w:rFonts w:ascii="Times New Roman" w:hAnsi="Times New Roman" w:eastAsia="宋体" w:cs="宋体"/>
          <w:sz w:val="24"/>
        </w:rPr>
        <w:t>应考虑修改尺寸的大小和临界性。</w:t>
      </w:r>
    </w:p>
    <w:p w14:paraId="3EB06C88">
      <w:pPr>
        <w:adjustRightInd w:val="0"/>
        <w:snapToGrid w:val="0"/>
        <w:spacing w:before="960" w:beforeLines="4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_____________________________</w:t>
      </w:r>
    </w:p>
    <w:p w14:paraId="1140711B">
      <w:pPr>
        <w:numPr>
          <w:ilvl w:val="0"/>
          <w:numId w:val="8"/>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rPr>
      </w:pPr>
      <w:bookmarkStart w:id="26" w:name="_bookmark43"/>
      <w:bookmarkEnd w:id="26"/>
      <w:r>
        <w:rPr>
          <w:rFonts w:ascii="Times New Roman" w:hAnsi="Times New Roman" w:cs="Times New Roman"/>
          <w:snapToGrid w:val="0"/>
          <w:color w:val="0000FF"/>
          <w:sz w:val="21"/>
          <w:szCs w:val="21"/>
          <w:u w:val="single" w:color="0000FF"/>
        </w:rPr>
        <w:fldChar w:fldCharType="begin"/>
      </w:r>
      <w:r>
        <w:rPr>
          <w:rFonts w:ascii="Times New Roman" w:hAnsi="Times New Roman" w:cs="Times New Roman"/>
          <w:snapToGrid w:val="0"/>
          <w:color w:val="0000FF"/>
          <w:sz w:val="21"/>
          <w:szCs w:val="21"/>
          <w:u w:val="single" w:color="0000FF"/>
        </w:rPr>
        <w:instrText xml:space="preserve"> HYPERLINK "https://www.fda.gov/regulatory-information/search-fda-guidance-documents/use-real-world-evidence-support-" </w:instrText>
      </w:r>
      <w:r>
        <w:rPr>
          <w:rFonts w:ascii="Times New Roman" w:hAnsi="Times New Roman" w:cs="Times New Roman"/>
          <w:snapToGrid w:val="0"/>
          <w:color w:val="0000FF"/>
          <w:sz w:val="21"/>
          <w:szCs w:val="21"/>
          <w:u w:val="single" w:color="0000FF"/>
        </w:rPr>
        <w:fldChar w:fldCharType="separate"/>
      </w:r>
      <w:r>
        <w:rPr>
          <w:rStyle w:val="11"/>
          <w:rFonts w:ascii="Times New Roman" w:hAnsi="Times New Roman" w:cs="Times New Roman"/>
          <w:snapToGrid w:val="0"/>
          <w:sz w:val="21"/>
          <w:szCs w:val="21"/>
          <w:u w:color="0000FF"/>
        </w:rPr>
        <w:t>https://www.fda.gov/regulatory-information/search-fda-guidance-documents/use-real-world-evidence-support-</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"https://www.fda.gov/regulatory-information/search-fda-guidance-documents/use-real-world-evidence-support-regulatory-decision-making-medical-devices" \h </w:instrText>
      </w:r>
      <w:r>
        <w:fldChar w:fldCharType="separate"/>
      </w:r>
      <w:r>
        <w:rPr>
          <w:rFonts w:ascii="Times New Roman" w:hAnsi="Times New Roman" w:cs="Times New Roman"/>
          <w:snapToGrid w:val="0"/>
          <w:color w:val="0000FF"/>
          <w:sz w:val="21"/>
          <w:szCs w:val="21"/>
          <w:u w:val="single" w:color="0000FF"/>
        </w:rPr>
        <w:t>regulatory-decision-making-medical-devices</w:t>
      </w:r>
      <w:r>
        <w:rPr>
          <w:rFonts w:ascii="Times New Roman" w:hAnsi="Times New Roman" w:cs="Times New Roman"/>
          <w:snapToGrid w:val="0"/>
          <w:color w:val="0000FF"/>
          <w:sz w:val="21"/>
          <w:szCs w:val="21"/>
          <w:u w:val="single" w:color="0000FF"/>
        </w:rPr>
        <w:fldChar w:fldCharType="end"/>
      </w:r>
    </w:p>
    <w:p w14:paraId="703FC829">
      <w:pPr>
        <w:numPr>
          <w:ilvl w:val="0"/>
          <w:numId w:val="8"/>
        </w:numPr>
        <w:tabs>
          <w:tab w:val="left" w:pos="284"/>
          <w:tab w:val="left" w:pos="1003"/>
        </w:tabs>
        <w:adjustRightInd w:val="0"/>
        <w:snapToGrid w:val="0"/>
        <w:spacing w:before="120" w:beforeLines="50" w:line="300" w:lineRule="auto"/>
        <w:ind w:firstLine="0"/>
        <w:jc w:val="both"/>
        <w:rPr>
          <w:rFonts w:ascii="Times New Roman" w:hAnsi="Times New Roman" w:cs="Times New Roman"/>
          <w:snapToGrid w:val="0"/>
          <w:sz w:val="24"/>
          <w:szCs w:val="24"/>
        </w:rPr>
      </w:pPr>
      <w:r>
        <w:fldChar w:fldCharType="begin"/>
      </w:r>
      <w:r>
        <w:instrText xml:space="preserve"> HYPERLINK "https://www.fda.gov/regulatory-information/search-fda-guidance-documents/deciding-when-submit-510k-change-existing-device" \h </w:instrText>
      </w:r>
      <w:r>
        <w:fldChar w:fldCharType="separate"/>
      </w:r>
      <w:bookmarkStart w:id="27" w:name="_bookmark44"/>
      <w:bookmarkEnd w:id="27"/>
      <w:r>
        <w:rPr>
          <w:rFonts w:ascii="Times New Roman" w:hAnsi="Times New Roman" w:cs="Times New Roman"/>
          <w:snapToGrid w:val="0"/>
          <w:color w:val="0000FF"/>
          <w:sz w:val="21"/>
          <w:szCs w:val="21"/>
          <w:u w:val="single" w:color="0000FF"/>
        </w:rPr>
        <w:t xml:space="preserve"> https://www.fda.gov/regulatory-information/search-fda-guidance-documents/deciding-when-submit-510k-</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"https://www.fda.gov/regulatory-information/search-fda-guidance-documents/deciding-when-submit-510k-change-existing-device" \h </w:instrText>
      </w:r>
      <w:r>
        <w:fldChar w:fldCharType="separate"/>
      </w:r>
      <w:r>
        <w:rPr>
          <w:rFonts w:ascii="Times New Roman" w:hAnsi="Times New Roman" w:cs="Times New Roman"/>
          <w:snapToGrid w:val="0"/>
          <w:color w:val="0000FF"/>
          <w:sz w:val="21"/>
          <w:szCs w:val="21"/>
          <w:u w:val="single" w:color="0000FF"/>
        </w:rPr>
        <w:t>change-existing-device</w:t>
      </w:r>
      <w:r>
        <w:rPr>
          <w:rFonts w:ascii="Times New Roman" w:hAnsi="Times New Roman" w:cs="Times New Roman"/>
          <w:snapToGrid w:val="0"/>
          <w:color w:val="0000FF"/>
          <w:sz w:val="21"/>
          <w:szCs w:val="21"/>
          <w:u w:val="single" w:color="0000FF"/>
        </w:rPr>
        <w:fldChar w:fldCharType="end"/>
      </w:r>
      <w:r>
        <w:rPr>
          <w:rFonts w:ascii="Times New Roman" w:hAnsi="Times New Roman" w:eastAsia="宋体" w:cs="宋体"/>
          <w:sz w:val="24"/>
        </w:rPr>
        <w:br w:type="page"/>
      </w:r>
    </w:p>
    <w:p w14:paraId="59EEC54E">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间接或直接接触血液成分的变化：FDA认为这种变更是对材料的修改。FDA已确定，这一变更可能通过改变工程属性和/或引入不同类型或数量的化学残留物，从而显著影响器械的安全性和有效性，从而导致毒性反应。因此，材料的变更可能会影响器械性能和生物相容性，从而影响患者安全。</w:t>
      </w:r>
    </w:p>
    <w:p w14:paraId="38141748">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灭菌技术的变化：FDA认为这是一项重大变化。FDA已确定，这一变更可能会显著影响器械的安全性和有效性，因为它可能会影响器械的无菌性和生物相容性。例如，环氧乙烷灭菌过程的变更可能会导致环氧乙烷残留量增加。此外，灭菌的变更可能会无意中影响器械材料，从而影响器械的安全性和/或性能。</w:t>
      </w:r>
    </w:p>
    <w:p w14:paraId="75CDE5B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可能需要新的510(k)的器械适用范围变更或修改的示例如下：</w:t>
      </w:r>
    </w:p>
    <w:p w14:paraId="76F399E3">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特定病变特征的变化（例如，慢性完全闭塞</w:t>
      </w:r>
      <w:r>
        <w:rPr>
          <w:rFonts w:hint="eastAsia" w:ascii="Times New Roman" w:hAnsi="Times New Roman" w:eastAsia="宋体" w:cs="宋体"/>
          <w:sz w:val="24"/>
          <w:lang w:eastAsia="zh-CN"/>
        </w:rPr>
        <w:t>、</w:t>
      </w:r>
      <w:r>
        <w:rPr>
          <w:rFonts w:ascii="Times New Roman" w:hAnsi="Times New Roman" w:eastAsia="宋体" w:cs="宋体"/>
          <w:sz w:val="24"/>
          <w:lang w:eastAsia="zh-CN"/>
        </w:rPr>
        <w:t>ISR）；以及</w:t>
      </w:r>
    </w:p>
    <w:p w14:paraId="7A63A102">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其他技术成果改进的主张（例如，使用刻痕球囊进行预处理可改进药物涂层球囊的成果）。</w:t>
      </w:r>
    </w:p>
    <w:p w14:paraId="5B24BA3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本机构认为，以下修改可能不需要提交新的510(k)：</w:t>
      </w:r>
    </w:p>
    <w:p w14:paraId="2B07DC5E">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包装上的微小变更：包装上的微小变更（例如，用电子版本替换硬拷贝使用说明，更新至有效期）预计不会影响器械的安全性和性能。</w:t>
      </w:r>
    </w:p>
    <w:p w14:paraId="679DD192">
      <w:pPr>
        <w:numPr>
          <w:ilvl w:val="0"/>
          <w:numId w:val="1"/>
        </w:numPr>
        <w:tabs>
          <w:tab w:val="left" w:pos="479"/>
        </w:tabs>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延长货架寿命：只要先前提交的测试方案已经过审查和接受，器械货架寿命的延长预计不会影响器械的安全性和性能。此外，试验结果应符合先前认为可接受的验收标准。</w:t>
      </w:r>
    </w:p>
    <w:p w14:paraId="53397C19">
      <w:pPr>
        <w:pBdr>
          <w:bottom w:val="single" w:color="auto" w:sz="4" w:space="1"/>
        </w:pBdr>
        <w:tabs>
          <w:tab w:val="left" w:pos="731"/>
        </w:tabs>
        <w:adjustRightInd w:val="0"/>
        <w:snapToGrid w:val="0"/>
        <w:spacing w:before="120" w:beforeLines="50" w:line="300" w:lineRule="auto"/>
        <w:jc w:val="center"/>
        <w:rPr>
          <w:rFonts w:hint="eastAsia" w:eastAsia="宋体"/>
          <w:lang w:eastAsia="zh-CN"/>
        </w:rPr>
      </w:pPr>
    </w:p>
    <w:p w14:paraId="446519D1">
      <w:pPr>
        <w:pBdr>
          <w:bottom w:val="single" w:color="auto" w:sz="4" w:space="1"/>
        </w:pBdr>
        <w:tabs>
          <w:tab w:val="left" w:pos="731"/>
        </w:tabs>
        <w:adjustRightInd w:val="0"/>
        <w:snapToGrid w:val="0"/>
        <w:spacing w:before="120" w:beforeLines="50" w:line="300" w:lineRule="auto"/>
        <w:jc w:val="center"/>
        <w:rPr>
          <w:rFonts w:hint="eastAsia" w:eastAsia="宋体"/>
          <w:lang w:eastAsia="zh-CN"/>
        </w:rPr>
      </w:pPr>
    </w:p>
    <w:p w14:paraId="7DFF5E94">
      <w:pPr>
        <w:pBdr>
          <w:bottom w:val="single" w:color="auto" w:sz="4" w:space="1"/>
        </w:pBdr>
        <w:tabs>
          <w:tab w:val="left" w:pos="731"/>
        </w:tabs>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40"/>
      <w:pgMar w:top="1418" w:right="1418" w:bottom="1418" w:left="1418" w:header="720" w:footer="720" w:gutter="0"/>
      <w:pgNumType w:start="1"/>
      <w:cols w:space="599"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47971">
    <w:pPr>
      <w:pStyle w:val="4"/>
      <w:jc w:val="right"/>
      <w:rPr>
        <w:rFonts w:ascii="Times New Roman" w:hAnsi="Times New Roman" w:cs="Times New Roman"/>
        <w:sz w:val="21"/>
        <w:szCs w:val="21"/>
        <w:lang w:eastAsia="zh-CN"/>
      </w:rPr>
    </w:pPr>
    <w:r>
      <w:rPr>
        <w:rFonts w:ascii="Times New Roman" w:hAnsi="Times New Roman" w:cs="Times New Roman"/>
        <w:sz w:val="21"/>
        <w:szCs w:val="21"/>
        <w:lang w:eastAsia="zh-CN"/>
      </w:rPr>
      <w:fldChar w:fldCharType="begin"/>
    </w:r>
    <w:r>
      <w:rPr>
        <w:rFonts w:ascii="Times New Roman" w:hAnsi="Times New Roman" w:cs="Times New Roman"/>
        <w:sz w:val="21"/>
        <w:szCs w:val="21"/>
        <w:lang w:eastAsia="zh-CN"/>
      </w:rPr>
      <w:instrText xml:space="preserve"> PAGE   \* MERGEFORMAT </w:instrText>
    </w:r>
    <w:r>
      <w:rPr>
        <w:rFonts w:ascii="Times New Roman" w:hAnsi="Times New Roman" w:cs="Times New Roman"/>
        <w:sz w:val="21"/>
        <w:szCs w:val="21"/>
        <w:lang w:eastAsia="zh-CN"/>
      </w:rPr>
      <w:fldChar w:fldCharType="separate"/>
    </w:r>
    <w:r>
      <w:rPr>
        <w:rFonts w:ascii="Times New Roman" w:hAnsi="Times New Roman" w:cs="Times New Roman"/>
        <w:sz w:val="21"/>
        <w:szCs w:val="21"/>
        <w:lang w:val="zh-CN" w:eastAsia="zh-CN"/>
      </w:rPr>
      <w:t>25</w:t>
    </w:r>
    <w:r>
      <w:rPr>
        <w:rFonts w:ascii="Times New Roman" w:hAnsi="Times New Roman" w:cs="Times New Roman"/>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5BBD">
    <w:pPr>
      <w:pStyle w:val="5"/>
      <w:pBdr>
        <w:bottom w:val="none" w:color="auto" w:sz="0" w:space="0"/>
      </w:pBdr>
      <w:adjustRightInd w:val="0"/>
      <w:spacing w:before="120" w:beforeLines="50" w:line="300" w:lineRule="auto"/>
      <w:rPr>
        <w:rFonts w:ascii="Times New Roman" w:hAnsi="Times New Roman" w:cs="Times New Roman"/>
        <w:b/>
        <w:bCs/>
        <w:i/>
        <w:iCs/>
        <w:sz w:val="21"/>
        <w:szCs w:val="21"/>
        <w:lang w:eastAsia="zh-CN"/>
      </w:rPr>
    </w:pPr>
    <w:r>
      <w:rPr>
        <w:rFonts w:hint="eastAsia" w:ascii="Times New Roman" w:hAnsi="Times New Roman" w:eastAsia="宋体" w:cs="宋体"/>
        <w:b/>
        <w:i/>
        <w:sz w:val="21"/>
        <w:lang w:eastAsia="zh-CN"/>
      </w:rPr>
      <w:t>所含建议不具有约束力</w:t>
    </w:r>
  </w:p>
  <w:p w14:paraId="7E4B4B3B">
    <w:pPr>
      <w:pStyle w:val="5"/>
      <w:pBdr>
        <w:bottom w:val="none" w:color="auto" w:sz="0" w:space="0"/>
      </w:pBdr>
      <w:adjustRightInd w:val="0"/>
      <w:spacing w:before="120" w:beforeLines="50" w:line="300" w:lineRule="auto"/>
      <w:rPr>
        <w:rFonts w:ascii="Times New Roman" w:hAnsi="Times New Roman" w:cs="Times New Roman"/>
        <w:b/>
        <w:bCs/>
        <w:i/>
        <w:iCs/>
        <w:sz w:val="21"/>
        <w:szCs w:val="21"/>
        <w:lang w:eastAsia="zh-CN"/>
      </w:rPr>
    </w:pPr>
    <w:r>
      <w:rPr>
        <w:rFonts w:ascii="Times New Roman" w:hAnsi="Times New Roman" w:eastAsia="宋体" w:cs="宋体"/>
        <w:b/>
        <w:i/>
        <w:sz w:val="21"/>
        <w:lang w:eastAsia="zh-CN"/>
      </w:rPr>
      <w:t>草案–非执行版</w:t>
    </w:r>
  </w:p>
  <w:p w14:paraId="29921417">
    <w:pPr>
      <w:pStyle w:val="5"/>
      <w:pBdr>
        <w:bottom w:val="none" w:color="auto" w:sz="0" w:space="0"/>
      </w:pBdr>
      <w:adjustRightInd w:val="0"/>
      <w:spacing w:before="120" w:beforeLines="50" w:line="300" w:lineRule="auto"/>
      <w:rPr>
        <w:rFonts w:ascii="Times New Roman"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75844"/>
    <w:multiLevelType w:val="multilevel"/>
    <w:tmpl w:val="27F75844"/>
    <w:lvl w:ilvl="0" w:tentative="0">
      <w:start w:val="1"/>
      <w:numFmt w:val="lowerLetter"/>
      <w:lvlText w:val="%1."/>
      <w:lvlJc w:val="left"/>
      <w:pPr>
        <w:ind w:hanging="720"/>
      </w:pPr>
      <w:rPr>
        <w:rFonts w:hint="default" w:ascii="Times New Roman" w:hAnsi="Times New Roman" w:eastAsia="Times New Roman"/>
        <w:b/>
        <w:bCs/>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
    <w:nsid w:val="36E23276"/>
    <w:multiLevelType w:val="multilevel"/>
    <w:tmpl w:val="36E23276"/>
    <w:lvl w:ilvl="0" w:tentative="0">
      <w:start w:val="2"/>
      <w:numFmt w:val="decimal"/>
      <w:lvlText w:val="(%1)"/>
      <w:lvlJc w:val="left"/>
      <w:pPr>
        <w:ind w:hanging="720"/>
      </w:pPr>
      <w:rPr>
        <w:rFonts w:hint="default" w:ascii="Times New Roman" w:hAnsi="Times New Roman" w:eastAsia="Times New Roman"/>
        <w:b/>
        <w:bCs/>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2">
    <w:nsid w:val="3C350811"/>
    <w:multiLevelType w:val="multilevel"/>
    <w:tmpl w:val="3C350811"/>
    <w:lvl w:ilvl="0" w:tentative="0">
      <w:start w:val="1"/>
      <w:numFmt w:val="lowerLetter"/>
      <w:lvlText w:val="%1."/>
      <w:lvlJc w:val="left"/>
      <w:pPr>
        <w:ind w:hanging="720"/>
      </w:pPr>
      <w:rPr>
        <w:rFonts w:hint="default" w:ascii="Times New Roman" w:hAnsi="Times New Roman" w:eastAsia="Times New Roman"/>
        <w:b/>
        <w:bCs/>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3">
    <w:nsid w:val="408A40C0"/>
    <w:multiLevelType w:val="multilevel"/>
    <w:tmpl w:val="408A40C0"/>
    <w:lvl w:ilvl="0" w:tentative="0">
      <w:start w:val="89"/>
      <w:numFmt w:val="decimal"/>
      <w:lvlText w:val="%1"/>
      <w:lvlJc w:val="left"/>
      <w:pPr>
        <w:ind w:hanging="600"/>
      </w:pPr>
      <w:rPr>
        <w:rFonts w:hint="default" w:ascii="Times New Roman" w:hAnsi="Times New Roman" w:eastAsia="Times New Roman"/>
        <w:sz w:val="24"/>
        <w:szCs w:val="24"/>
      </w:rPr>
    </w:lvl>
    <w:lvl w:ilvl="1" w:tentative="0">
      <w:start w:val="2"/>
      <w:numFmt w:val="decimal"/>
      <w:lvlText w:val="%2"/>
      <w:lvlJc w:val="left"/>
      <w:pPr>
        <w:ind w:hanging="142"/>
      </w:pPr>
      <w:rPr>
        <w:rFonts w:hint="default" w:ascii="Times New Roman" w:hAnsi="Times New Roman" w:eastAsia="Times New Roman"/>
        <w:position w:val="0"/>
        <w:sz w:val="21"/>
        <w:szCs w:val="21"/>
        <w:vertAlign w:val="superscrip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4">
    <w:nsid w:val="4DA33C62"/>
    <w:multiLevelType w:val="multilevel"/>
    <w:tmpl w:val="4DA33C62"/>
    <w:lvl w:ilvl="0" w:tentative="0">
      <w:start w:val="1"/>
      <w:numFmt w:val="bullet"/>
      <w:lvlText w:val="•"/>
      <w:lvlJc w:val="left"/>
      <w:pPr>
        <w:ind w:hanging="360"/>
      </w:pPr>
      <w:rPr>
        <w:rFonts w:hint="default" w:ascii="Arial" w:hAnsi="Arial" w:eastAsia="Arial"/>
        <w:w w:val="100"/>
        <w:sz w:val="24"/>
        <w:szCs w:val="24"/>
      </w:rPr>
    </w:lvl>
    <w:lvl w:ilvl="1" w:tentative="0">
      <w:start w:val="2"/>
      <w:numFmt w:val="upperLetter"/>
      <w:lvlText w:val="%2."/>
      <w:lvlJc w:val="left"/>
      <w:pPr>
        <w:ind w:hanging="720"/>
        <w:jc w:val="right"/>
      </w:pPr>
      <w:rPr>
        <w:rFonts w:hint="default" w:ascii="Times New Roman" w:hAnsi="Times New Roman" w:eastAsia="Times New Roman"/>
        <w:b/>
        <w:bCs/>
        <w:w w:val="100"/>
        <w:sz w:val="28"/>
        <w:szCs w:val="28"/>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
    <w:nsid w:val="6F2644CA"/>
    <w:multiLevelType w:val="multilevel"/>
    <w:tmpl w:val="6F2644CA"/>
    <w:lvl w:ilvl="0" w:tentative="0">
      <w:start w:val="13"/>
      <w:numFmt w:val="decimal"/>
      <w:lvlText w:val="%1"/>
      <w:lvlJc w:val="left"/>
      <w:pPr>
        <w:ind w:hanging="224"/>
      </w:pPr>
      <w:rPr>
        <w:rFonts w:hint="default" w:ascii="Times New Roman" w:hAnsi="Times New Roman" w:eastAsia="Times New Roman"/>
        <w:spacing w:val="0"/>
        <w:position w:val="0"/>
        <w:sz w:val="21"/>
        <w:szCs w:val="21"/>
        <w:vertAlign w:val="superscript"/>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6">
    <w:nsid w:val="742A3A82"/>
    <w:multiLevelType w:val="multilevel"/>
    <w:tmpl w:val="742A3A82"/>
    <w:lvl w:ilvl="0" w:tentative="0">
      <w:start w:val="1"/>
      <w:numFmt w:val="bullet"/>
      <w:lvlText w:val="o"/>
      <w:lvlJc w:val="left"/>
      <w:pPr>
        <w:ind w:hanging="360"/>
      </w:pPr>
      <w:rPr>
        <w:rFonts w:hint="default" w:ascii="Courier New" w:hAnsi="Courier New" w:eastAsia="Courier New"/>
        <w:sz w:val="24"/>
        <w:szCs w:val="24"/>
      </w:rPr>
    </w:lvl>
    <w:lvl w:ilvl="1" w:tentative="0">
      <w:start w:val="4"/>
      <w:numFmt w:val="upperLetter"/>
      <w:lvlText w:val="%2."/>
      <w:lvlJc w:val="left"/>
      <w:pPr>
        <w:ind w:hanging="720"/>
        <w:jc w:val="right"/>
      </w:pPr>
      <w:rPr>
        <w:rFonts w:hint="default" w:ascii="Times New Roman" w:hAnsi="Times New Roman" w:eastAsia="Times New Roman"/>
        <w:b/>
        <w:bCs/>
        <w:w w:val="100"/>
        <w:sz w:val="28"/>
        <w:szCs w:val="28"/>
      </w:rPr>
    </w:lvl>
    <w:lvl w:ilvl="2" w:tentative="0">
      <w:start w:val="1"/>
      <w:numFmt w:val="lowerLetter"/>
      <w:lvlText w:val="%3."/>
      <w:lvlJc w:val="left"/>
      <w:pPr>
        <w:ind w:hanging="720"/>
        <w:jc w:val="right"/>
      </w:pPr>
      <w:rPr>
        <w:rFonts w:hint="default" w:ascii="Times New Roman" w:hAnsi="Times New Roman" w:eastAsia="Times New Roman"/>
        <w:b/>
        <w:bCs/>
        <w:sz w:val="24"/>
        <w:szCs w:val="24"/>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7">
    <w:nsid w:val="7C313AC9"/>
    <w:multiLevelType w:val="multilevel"/>
    <w:tmpl w:val="7C313AC9"/>
    <w:lvl w:ilvl="0" w:tentative="0">
      <w:start w:val="9"/>
      <w:numFmt w:val="upperLetter"/>
      <w:lvlText w:val="%1."/>
      <w:lvlJc w:val="left"/>
      <w:pPr>
        <w:ind w:hanging="721"/>
      </w:pPr>
      <w:rPr>
        <w:rFonts w:hint="default" w:ascii="Times New Roman" w:hAnsi="Times New Roman" w:eastAsia="Times New Roman"/>
        <w:b/>
        <w:bCs/>
        <w:w w:val="99"/>
        <w:sz w:val="28"/>
        <w:szCs w:val="28"/>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817"/>
    <w:rsid w:val="00067C57"/>
    <w:rsid w:val="0009209B"/>
    <w:rsid w:val="000D37D2"/>
    <w:rsid w:val="000E0ED7"/>
    <w:rsid w:val="000F6449"/>
    <w:rsid w:val="00150276"/>
    <w:rsid w:val="001524AF"/>
    <w:rsid w:val="00161CFD"/>
    <w:rsid w:val="00164B12"/>
    <w:rsid w:val="00173C40"/>
    <w:rsid w:val="00190BD9"/>
    <w:rsid w:val="001A0B9D"/>
    <w:rsid w:val="001B4C20"/>
    <w:rsid w:val="001B5270"/>
    <w:rsid w:val="001D5FED"/>
    <w:rsid w:val="001F676B"/>
    <w:rsid w:val="00215775"/>
    <w:rsid w:val="002225D3"/>
    <w:rsid w:val="00225F10"/>
    <w:rsid w:val="00227837"/>
    <w:rsid w:val="0024264A"/>
    <w:rsid w:val="002A618C"/>
    <w:rsid w:val="002A7C20"/>
    <w:rsid w:val="002B2BED"/>
    <w:rsid w:val="002E1168"/>
    <w:rsid w:val="002E4117"/>
    <w:rsid w:val="002F6767"/>
    <w:rsid w:val="00343ACF"/>
    <w:rsid w:val="003551F2"/>
    <w:rsid w:val="003725B1"/>
    <w:rsid w:val="00374D5B"/>
    <w:rsid w:val="0037503E"/>
    <w:rsid w:val="00383189"/>
    <w:rsid w:val="00384B92"/>
    <w:rsid w:val="003B547E"/>
    <w:rsid w:val="003B7A79"/>
    <w:rsid w:val="003C686B"/>
    <w:rsid w:val="003C7AD8"/>
    <w:rsid w:val="003E0226"/>
    <w:rsid w:val="00400BE5"/>
    <w:rsid w:val="00430022"/>
    <w:rsid w:val="00450025"/>
    <w:rsid w:val="00464A9C"/>
    <w:rsid w:val="00487659"/>
    <w:rsid w:val="00494166"/>
    <w:rsid w:val="004A27A4"/>
    <w:rsid w:val="00501A98"/>
    <w:rsid w:val="00510C8C"/>
    <w:rsid w:val="00515C8E"/>
    <w:rsid w:val="00523FDE"/>
    <w:rsid w:val="00544EF6"/>
    <w:rsid w:val="00560308"/>
    <w:rsid w:val="00581760"/>
    <w:rsid w:val="00586B48"/>
    <w:rsid w:val="00586C1E"/>
    <w:rsid w:val="005A2614"/>
    <w:rsid w:val="005A526A"/>
    <w:rsid w:val="005B4840"/>
    <w:rsid w:val="005F3E77"/>
    <w:rsid w:val="00600AB9"/>
    <w:rsid w:val="00606604"/>
    <w:rsid w:val="00622412"/>
    <w:rsid w:val="00632464"/>
    <w:rsid w:val="0066485B"/>
    <w:rsid w:val="006A0E91"/>
    <w:rsid w:val="006B305B"/>
    <w:rsid w:val="006E4DF2"/>
    <w:rsid w:val="007004B3"/>
    <w:rsid w:val="0072104A"/>
    <w:rsid w:val="00740A42"/>
    <w:rsid w:val="007451BB"/>
    <w:rsid w:val="00785721"/>
    <w:rsid w:val="007B3C92"/>
    <w:rsid w:val="007C4153"/>
    <w:rsid w:val="007D407E"/>
    <w:rsid w:val="00805E27"/>
    <w:rsid w:val="00843F9F"/>
    <w:rsid w:val="008452E2"/>
    <w:rsid w:val="008734AA"/>
    <w:rsid w:val="008A1583"/>
    <w:rsid w:val="008A46D5"/>
    <w:rsid w:val="008C55CB"/>
    <w:rsid w:val="008D37EE"/>
    <w:rsid w:val="008F29F3"/>
    <w:rsid w:val="00906653"/>
    <w:rsid w:val="009151F4"/>
    <w:rsid w:val="00934764"/>
    <w:rsid w:val="009444A5"/>
    <w:rsid w:val="00982817"/>
    <w:rsid w:val="00985090"/>
    <w:rsid w:val="009A616E"/>
    <w:rsid w:val="009A650C"/>
    <w:rsid w:val="009B2484"/>
    <w:rsid w:val="009D50F0"/>
    <w:rsid w:val="009F3643"/>
    <w:rsid w:val="00A16668"/>
    <w:rsid w:val="00A33D1B"/>
    <w:rsid w:val="00A74F8A"/>
    <w:rsid w:val="00AF0501"/>
    <w:rsid w:val="00B049B5"/>
    <w:rsid w:val="00B1217F"/>
    <w:rsid w:val="00B161CB"/>
    <w:rsid w:val="00B250FB"/>
    <w:rsid w:val="00B63397"/>
    <w:rsid w:val="00B66659"/>
    <w:rsid w:val="00B9549F"/>
    <w:rsid w:val="00BB274E"/>
    <w:rsid w:val="00BB4461"/>
    <w:rsid w:val="00BD0702"/>
    <w:rsid w:val="00BD0A5F"/>
    <w:rsid w:val="00BD7ED2"/>
    <w:rsid w:val="00BE55E2"/>
    <w:rsid w:val="00C01415"/>
    <w:rsid w:val="00C235D4"/>
    <w:rsid w:val="00C27A25"/>
    <w:rsid w:val="00C57D31"/>
    <w:rsid w:val="00C63E8B"/>
    <w:rsid w:val="00C90BEC"/>
    <w:rsid w:val="00C92D3C"/>
    <w:rsid w:val="00C97876"/>
    <w:rsid w:val="00CC5FF1"/>
    <w:rsid w:val="00CD34C4"/>
    <w:rsid w:val="00CD7131"/>
    <w:rsid w:val="00CE28B8"/>
    <w:rsid w:val="00CF3205"/>
    <w:rsid w:val="00CF6C4D"/>
    <w:rsid w:val="00CF7526"/>
    <w:rsid w:val="00D020AB"/>
    <w:rsid w:val="00D25FDB"/>
    <w:rsid w:val="00D345CD"/>
    <w:rsid w:val="00D8342B"/>
    <w:rsid w:val="00D86AB5"/>
    <w:rsid w:val="00E42FCC"/>
    <w:rsid w:val="00E43F85"/>
    <w:rsid w:val="00E57D30"/>
    <w:rsid w:val="00E66CE8"/>
    <w:rsid w:val="00E74D6D"/>
    <w:rsid w:val="00E968E2"/>
    <w:rsid w:val="00EA01EC"/>
    <w:rsid w:val="00EB7F29"/>
    <w:rsid w:val="00F0658E"/>
    <w:rsid w:val="00F40DD8"/>
    <w:rsid w:val="00F44239"/>
    <w:rsid w:val="00F84E21"/>
    <w:rsid w:val="00FD2BBE"/>
    <w:rsid w:val="79B03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unhideWhenUsed/>
    <w:qFormat/>
    <w:uiPriority w:val="39"/>
    <w:pPr>
      <w:adjustRightInd w:val="0"/>
      <w:snapToGrid w:val="0"/>
      <w:spacing w:beforeLines="50" w:line="300" w:lineRule="auto"/>
      <w:ind w:left="500" w:leftChars="200" w:hanging="300" w:hangingChars="300"/>
    </w:pPr>
    <w:rPr>
      <w:rFonts w:ascii="Times New Roman" w:hAnsi="Times New Roman"/>
      <w:sz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adjustRightInd w:val="0"/>
      <w:snapToGrid w:val="0"/>
      <w:spacing w:beforeLines="50" w:line="300" w:lineRule="auto"/>
      <w:ind w:left="300" w:hanging="300" w:hangingChars="300"/>
    </w:pPr>
    <w:rPr>
      <w:rFonts w:ascii="Times New Roman" w:hAnsi="Times New Roman"/>
      <w:sz w:val="24"/>
    </w:rPr>
  </w:style>
  <w:style w:type="paragraph" w:styleId="7">
    <w:name w:val="toc 2"/>
    <w:basedOn w:val="1"/>
    <w:next w:val="1"/>
    <w:autoRedefine/>
    <w:unhideWhenUsed/>
    <w:uiPriority w:val="39"/>
    <w:pPr>
      <w:adjustRightInd w:val="0"/>
      <w:snapToGrid w:val="0"/>
      <w:spacing w:beforeLines="50" w:line="300" w:lineRule="auto"/>
      <w:ind w:left="300" w:leftChars="100" w:hanging="200" w:hangingChars="200"/>
    </w:pPr>
    <w:rPr>
      <w:rFonts w:ascii="Times New Roman" w:hAnsi="Times New Roman"/>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批注框文本 Char"/>
    <w:basedOn w:val="10"/>
    <w:link w:val="3"/>
    <w:semiHidden/>
    <w:qFormat/>
    <w:uiPriority w:val="99"/>
    <w:rPr>
      <w:sz w:val="18"/>
      <w:szCs w:val="18"/>
    </w:rPr>
  </w:style>
  <w:style w:type="paragraph" w:customStyle="1" w:styleId="1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paragraph" w:customStyle="1" w:styleId="16">
    <w:name w:val="Revision"/>
    <w:hidden/>
    <w:semiHidden/>
    <w:uiPriority w:val="99"/>
    <w:pPr>
      <w:widowControl/>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A9397-26A7-4A01-9715-73D96069684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8117</Words>
  <Characters>10660</Characters>
  <Lines>199</Lines>
  <Paragraphs>56</Paragraphs>
  <TotalTime>34</TotalTime>
  <ScaleCrop>false</ScaleCrop>
  <LinksUpToDate>false</LinksUpToDate>
  <CharactersWithSpaces>10766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2022-03-10T08:18:00Z</dcterms:created>
  <dc:creator>ann</dc:creator>
  <cp:lastModifiedBy>太极箫客</cp:lastModifiedBy>
  <dcterms:modified xsi:type="dcterms:W3CDTF">2025-08-14T06:48:36Z</dcterms:modified>
  <dc:title>Attachment E CDRH Final Guidance Cover Sheet</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LastSaved">
    <vt:filetime>2021-11-09T00:00:00Z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84544E7D0ECD4E83BEE9A1C1D5F25608_12</vt:lpwstr>
  </property>
</Properties>
</file>