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A00F">
      <w:pPr>
        <w:pStyle w:val="2"/>
        <w:pBdr>
          <w:bottom w:val="single" w:color="auto" w:sz="4" w:space="1"/>
        </w:pBdr>
        <w:adjustRightInd w:val="0"/>
        <w:snapToGrid w:val="0"/>
        <w:spacing w:before="120" w:beforeLines="50" w:line="300" w:lineRule="auto"/>
        <w:ind w:left="0" w:firstLine="0"/>
        <w:jc w:val="center"/>
        <w:rPr>
          <w:rFonts w:eastAsia="宋体" w:cs="Times New Roman"/>
          <w:b w:val="0"/>
          <w:bCs w:val="0"/>
          <w:snapToGrid w:val="0"/>
          <w:sz w:val="44"/>
          <w:szCs w:val="44"/>
          <w:lang w:eastAsia="zh-CN"/>
        </w:rPr>
      </w:pPr>
      <w:bookmarkStart w:id="9" w:name="_GoBack"/>
      <w:bookmarkEnd w:id="9"/>
      <w:r>
        <w:rPr>
          <w:rFonts w:eastAsia="宋体" w:cs="宋体"/>
          <w:sz w:val="44"/>
          <w:lang w:eastAsia="zh-CN"/>
        </w:rPr>
        <w:t>基于安全性和性能的途径</w:t>
      </w:r>
    </w:p>
    <w:p w14:paraId="63CD3850">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美国食品药品监督管理局指南</w:t>
      </w:r>
    </w:p>
    <w:p w14:paraId="52F63F3C">
      <w:pPr>
        <w:adjustRightInd w:val="0"/>
        <w:snapToGrid w:val="0"/>
        <w:spacing w:before="120" w:beforeLines="50" w:line="300" w:lineRule="auto"/>
        <w:jc w:val="center"/>
        <w:rPr>
          <w:rFonts w:ascii="Times New Roman" w:hAnsi="Times New Roman" w:eastAsia="宋体" w:cs="Times New Roman"/>
          <w:b/>
          <w:bCs/>
          <w:snapToGrid w:val="0"/>
          <w:sz w:val="24"/>
          <w:szCs w:val="24"/>
          <w:lang w:eastAsia="zh-CN"/>
        </w:rPr>
      </w:pPr>
      <w:r>
        <w:rPr>
          <w:rFonts w:ascii="Times New Roman" w:hAnsi="Times New Roman" w:eastAsia="宋体" w:cs="宋体"/>
          <w:b/>
          <w:sz w:val="24"/>
          <w:lang w:eastAsia="zh-CN"/>
        </w:rPr>
        <w:t>文件发布日期：2019年9月20日</w:t>
      </w:r>
    </w:p>
    <w:p w14:paraId="4BE4C965">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文件初始发布日期：2019年2月1日</w:t>
      </w:r>
    </w:p>
    <w:p w14:paraId="230F1769">
      <w:pPr>
        <w:adjustRightInd w:val="0"/>
        <w:snapToGrid w:val="0"/>
        <w:spacing w:before="120" w:beforeLines="50" w:line="300" w:lineRule="auto"/>
        <w:jc w:val="center"/>
        <w:rPr>
          <w:rFonts w:ascii="Times New Roman" w:hAnsi="Times New Roman" w:eastAsia="宋体" w:cs="Times New Roman"/>
          <w:snapToGrid w:val="0"/>
          <w:sz w:val="24"/>
          <w:szCs w:val="24"/>
          <w:lang w:eastAsia="zh-CN"/>
        </w:rPr>
      </w:pPr>
      <w:r>
        <w:rPr>
          <w:rFonts w:ascii="Times New Roman" w:hAnsi="Times New Roman" w:eastAsia="宋体" w:cs="宋体"/>
          <w:b/>
          <w:sz w:val="24"/>
          <w:lang w:eastAsia="zh-CN"/>
        </w:rPr>
        <w:t>本文件草案《简化510(k)项目的扩展：通过性能标准证明实质等同性》发布日期为2018年4月12日</w:t>
      </w:r>
    </w:p>
    <w:p w14:paraId="1501EA5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586F0BC">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如对本文件有关CDRH监管器械的内容有任何疑问，请联系ORP：监管项目办公室/DRP1：申报支持部/上市前通知和分类小组，发送电子邮件至</w:t>
      </w:r>
      <w:r>
        <w:fldChar w:fldCharType="begin"/>
      </w:r>
      <w:r>
        <w:instrText xml:space="preserve"> HYPERLINK "mailto:510K_Program@fda.hhs.gov" \h </w:instrText>
      </w:r>
      <w:r>
        <w:fldChar w:fldCharType="separate"/>
      </w:r>
      <w:r>
        <w:rPr>
          <w:rFonts w:ascii="Times New Roman" w:hAnsi="Times New Roman" w:eastAsia="宋体" w:cs="宋体"/>
          <w:snapToGrid w:val="0"/>
          <w:color w:val="0000FF"/>
          <w:sz w:val="24"/>
          <w:szCs w:val="24"/>
          <w:u w:val="single" w:color="0000FF"/>
        </w:rPr>
        <w:t>510K_Program@fda.hhs.gov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color w:val="000000"/>
          <w:sz w:val="24"/>
        </w:rPr>
        <w:t>或致电301-796-5640。对于本文件中与CBER监管器械相关的问题，请发送电子邮件至</w:t>
      </w:r>
      <w:r>
        <w:fldChar w:fldCharType="begin"/>
      </w:r>
      <w:r>
        <w:instrText xml:space="preserve"> HYPERLINK "mailto:ocod@fda.hhs.gov" \h </w:instrText>
      </w:r>
      <w:r>
        <w:fldChar w:fldCharType="separate"/>
      </w:r>
      <w:r>
        <w:rPr>
          <w:rFonts w:ascii="Times New Roman" w:hAnsi="Times New Roman" w:eastAsia="宋体" w:cs="宋体"/>
          <w:snapToGrid w:val="0"/>
          <w:color w:val="0000FF"/>
          <w:sz w:val="24"/>
          <w:szCs w:val="24"/>
          <w:u w:val="single" w:color="0000FF"/>
        </w:rPr>
        <w:t>ocod@fda.hhs.gov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color w:val="000000"/>
          <w:sz w:val="24"/>
        </w:rPr>
        <w:t>或致电800-835-4709或240-402-8010联系交流、外联和发展办公室（OCOD）。</w:t>
      </w:r>
    </w:p>
    <w:p w14:paraId="24CDFE7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DA7EE7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7E74909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7198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58DBDBA1">
            <w:pPr>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宋体" w:hAnsi="宋体" w:eastAsia="宋体" w:cs="宋体"/>
                <w:sz w:val="21"/>
                <w:lang w:eastAsia="zh-CN"/>
              </w:rPr>
              <w:drawing>
                <wp:inline distT="0" distB="0" distL="0" distR="0">
                  <wp:extent cx="2476500" cy="514350"/>
                  <wp:effectExtent l="0" t="0" r="0" b="0"/>
                  <wp:docPr id="1" name="图片 1"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ood and Drug Administra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76500" cy="514350"/>
                          </a:xfrm>
                          <a:prstGeom prst="rect">
                            <a:avLst/>
                          </a:prstGeom>
                          <a:noFill/>
                          <a:ln>
                            <a:noFill/>
                          </a:ln>
                        </pic:spPr>
                      </pic:pic>
                    </a:graphicData>
                  </a:graphic>
                </wp:inline>
              </w:drawing>
            </w:r>
          </w:p>
        </w:tc>
        <w:tc>
          <w:tcPr>
            <w:tcW w:w="4644" w:type="dxa"/>
          </w:tcPr>
          <w:p w14:paraId="05858330">
            <w:pPr>
              <w:pStyle w:val="5"/>
              <w:adjustRightInd w:val="0"/>
              <w:snapToGrid w:val="0"/>
              <w:spacing w:line="300" w:lineRule="auto"/>
              <w:ind w:left="0"/>
              <w:jc w:val="right"/>
              <w:rPr>
                <w:rFonts w:eastAsia="宋体" w:cs="Times New Roman"/>
                <w:b w:val="0"/>
                <w:bCs w:val="0"/>
                <w:snapToGrid w:val="0"/>
                <w:sz w:val="21"/>
                <w:szCs w:val="21"/>
                <w:lang w:eastAsia="zh-CN"/>
              </w:rPr>
            </w:pPr>
            <w:r>
              <w:rPr>
                <w:rFonts w:eastAsia="宋体" w:cs="宋体"/>
                <w:sz w:val="21"/>
                <w:lang w:eastAsia="zh-CN"/>
              </w:rPr>
              <w:t>美国卫生与公共服务部</w:t>
            </w:r>
          </w:p>
          <w:p w14:paraId="6E0677CA">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092E78CC">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医疗器械和辐射健康中心</w:t>
            </w:r>
          </w:p>
          <w:p w14:paraId="56DCD9B0">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生物制品评价与研究中心</w:t>
            </w:r>
          </w:p>
        </w:tc>
      </w:tr>
    </w:tbl>
    <w:p w14:paraId="7372C35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14BC7510">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CE3B0EB">
      <w:pPr>
        <w:adjustRightInd w:val="0"/>
        <w:snapToGrid w:val="0"/>
        <w:spacing w:before="120" w:beforeLines="50" w:line="300" w:lineRule="auto"/>
        <w:jc w:val="center"/>
        <w:rPr>
          <w:rFonts w:ascii="Times New Roman" w:hAnsi="Times New Roman" w:eastAsia="宋体" w:cs="Times New Roman"/>
          <w:snapToGrid w:val="0"/>
          <w:sz w:val="32"/>
          <w:szCs w:val="32"/>
        </w:rPr>
      </w:pPr>
      <w:r>
        <w:rPr>
          <w:rFonts w:ascii="Times New Roman" w:hAnsi="Times New Roman" w:eastAsia="宋体" w:cs="宋体"/>
          <w:b/>
          <w:sz w:val="32"/>
        </w:rPr>
        <w:t>前言</w:t>
      </w:r>
    </w:p>
    <w:p w14:paraId="6606F37F">
      <w:pPr>
        <w:adjustRightInd w:val="0"/>
        <w:snapToGrid w:val="0"/>
        <w:spacing w:before="120" w:beforeLines="50" w:line="300" w:lineRule="auto"/>
        <w:jc w:val="both"/>
        <w:rPr>
          <w:rFonts w:ascii="Times New Roman" w:hAnsi="Times New Roman" w:eastAsia="宋体" w:cs="Times New Roman"/>
          <w:snapToGrid w:val="0"/>
          <w:sz w:val="32"/>
          <w:szCs w:val="32"/>
        </w:rPr>
      </w:pPr>
      <w:r>
        <w:rPr>
          <w:rFonts w:ascii="Times New Roman" w:hAnsi="Times New Roman" w:eastAsia="宋体" w:cs="宋体"/>
          <w:b/>
          <w:sz w:val="32"/>
        </w:rPr>
        <w:t>公众意见</w:t>
      </w:r>
    </w:p>
    <w:p w14:paraId="33B83DF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rPr>
        <w:t>电子版意见和建议可随时提交至</w:t>
      </w:r>
      <w:r>
        <w:rPr>
          <w:rFonts w:hint="eastAsia" w:ascii="Times New Roman" w:hAnsi="Times New Roman" w:eastAsia="宋体" w:cs="宋体"/>
          <w:snapToGrid w:val="0"/>
          <w:color w:val="0000FF"/>
          <w:sz w:val="24"/>
          <w:szCs w:val="24"/>
          <w:u w:val="single" w:color="0000FF"/>
          <w:lang w:eastAsia="zh-CN"/>
        </w:rPr>
        <w:t>http://www.regulations.gov</w:t>
      </w:r>
      <w:r>
        <w:rPr>
          <w:rFonts w:hint="eastAsia" w:ascii="Times New Roman" w:hAnsi="Times New Roman" w:eastAsia="宋体" w:cs="宋体"/>
          <w:sz w:val="24"/>
        </w:rPr>
        <w:t>，供FDA审议。可将书面意见提交至：美国食品药品监督管理局备案文件管理部，地址为5630 Fishers Lane, Room 1061, (HFA-305), Rockville, MD 20852。所有意见或建议均应注明备案文件编号FDA-2018-D-</w:t>
      </w:r>
      <w:r>
        <w:rPr>
          <w:rFonts w:hint="eastAsia" w:ascii="Times New Roman" w:hAnsi="Times New Roman" w:eastAsia="宋体" w:cs="宋体"/>
          <w:sz w:val="24"/>
          <w:lang w:eastAsia="zh-CN"/>
        </w:rPr>
        <w:t>1387</w:t>
      </w:r>
      <w:r>
        <w:rPr>
          <w:rFonts w:hint="eastAsia" w:ascii="Times New Roman" w:hAnsi="Times New Roman" w:eastAsia="宋体" w:cs="宋体"/>
          <w:sz w:val="24"/>
        </w:rPr>
        <w:t>。</w:t>
      </w:r>
      <w:r>
        <w:rPr>
          <w:rFonts w:hint="eastAsia" w:ascii="Times New Roman" w:hAnsi="Times New Roman" w:eastAsia="宋体" w:cs="宋体"/>
          <w:sz w:val="24"/>
          <w:lang w:eastAsia="zh-CN"/>
        </w:rPr>
        <w:t>下次修订或更新本文件时，FDA将考虑实施该意见</w:t>
      </w:r>
      <w:r>
        <w:rPr>
          <w:rFonts w:ascii="Times New Roman" w:hAnsi="Times New Roman" w:eastAsia="宋体" w:cs="宋体"/>
          <w:color w:val="000000"/>
          <w:sz w:val="24"/>
          <w:lang w:eastAsia="zh-CN"/>
        </w:rPr>
        <w:t>。</w:t>
      </w:r>
    </w:p>
    <w:p w14:paraId="3E2DAC48">
      <w:pPr>
        <w:adjustRightInd w:val="0"/>
        <w:snapToGrid w:val="0"/>
        <w:spacing w:before="120" w:beforeLines="50" w:line="300" w:lineRule="auto"/>
        <w:jc w:val="both"/>
        <w:rPr>
          <w:rFonts w:ascii="Times New Roman" w:hAnsi="Times New Roman" w:eastAsia="宋体" w:cs="Times New Roman"/>
          <w:b/>
          <w:bCs/>
          <w:snapToGrid w:val="0"/>
          <w:sz w:val="32"/>
          <w:szCs w:val="32"/>
          <w:lang w:eastAsia="zh-CN"/>
        </w:rPr>
      </w:pPr>
      <w:r>
        <w:rPr>
          <w:rFonts w:ascii="Times New Roman" w:hAnsi="Times New Roman" w:eastAsia="宋体" w:cs="宋体"/>
          <w:b/>
          <w:sz w:val="32"/>
          <w:lang w:eastAsia="zh-CN"/>
        </w:rPr>
        <w:t>更多副本</w:t>
      </w:r>
    </w:p>
    <w:p w14:paraId="79371C8C">
      <w:pPr>
        <w:adjustRightInd w:val="0"/>
        <w:snapToGrid w:val="0"/>
        <w:spacing w:before="120" w:beforeLines="50" w:line="300" w:lineRule="auto"/>
        <w:jc w:val="both"/>
        <w:rPr>
          <w:rFonts w:ascii="Times New Roman" w:hAnsi="Times New Roman" w:eastAsia="宋体" w:cs="Times New Roman"/>
          <w:snapToGrid w:val="0"/>
          <w:sz w:val="32"/>
          <w:szCs w:val="32"/>
          <w:lang w:eastAsia="zh-CN"/>
        </w:rPr>
      </w:pPr>
      <w:r>
        <w:rPr>
          <w:rFonts w:ascii="Times New Roman" w:hAnsi="Times New Roman" w:eastAsia="宋体" w:cs="宋体"/>
          <w:b/>
          <w:sz w:val="32"/>
          <w:lang w:eastAsia="zh-CN"/>
        </w:rPr>
        <w:t>CDRH</w:t>
      </w:r>
    </w:p>
    <w:p w14:paraId="524F114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。也可以通过电子邮件发送</w:t>
      </w:r>
      <w:r>
        <w:rPr>
          <w:rFonts w:hint="eastAsia" w:ascii="Times New Roman" w:hAnsi="Times New Roman" w:eastAsia="宋体" w:cs="宋体"/>
          <w:sz w:val="24"/>
          <w:lang w:eastAsia="zh-CN"/>
        </w:rPr>
        <w:t>请求</w:t>
      </w:r>
      <w:r>
        <w:rPr>
          <w:rFonts w:ascii="Times New Roman" w:hAnsi="Times New Roman" w:eastAsia="宋体" w:cs="宋体"/>
          <w:sz w:val="24"/>
          <w:lang w:eastAsia="zh-CN"/>
        </w:rPr>
        <w:t>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w:t>
      </w:r>
      <w:r>
        <w:rPr>
          <w:rFonts w:ascii="Times New Roman" w:hAnsi="Times New Roman" w:eastAsia="宋体" w:cs="宋体"/>
          <w:sz w:val="24"/>
          <w:lang w:eastAsia="zh-CN"/>
        </w:rPr>
        <w:t>。</w:t>
      </w:r>
      <w:r>
        <w:rPr>
          <w:rFonts w:ascii="Times New Roman" w:hAnsi="Times New Roman" w:eastAsia="宋体" w:cs="宋体"/>
          <w:color w:val="000000"/>
          <w:sz w:val="24"/>
          <w:lang w:eastAsia="zh-CN"/>
        </w:rPr>
        <w:t>请在</w:t>
      </w:r>
      <w:r>
        <w:rPr>
          <w:rFonts w:hint="eastAsia" w:ascii="Times New Roman" w:hAnsi="Times New Roman" w:eastAsia="宋体" w:cs="宋体"/>
          <w:color w:val="000000"/>
          <w:sz w:val="24"/>
          <w:lang w:eastAsia="zh-CN"/>
        </w:rPr>
        <w:t>请求</w:t>
      </w:r>
      <w:r>
        <w:rPr>
          <w:rFonts w:ascii="Times New Roman" w:hAnsi="Times New Roman" w:eastAsia="宋体" w:cs="宋体"/>
          <w:color w:val="000000"/>
          <w:sz w:val="24"/>
          <w:lang w:eastAsia="zh-CN"/>
        </w:rPr>
        <w:t>中注明</w:t>
      </w:r>
      <w:r>
        <w:rPr>
          <w:rFonts w:hint="eastAsia" w:ascii="Times New Roman" w:hAnsi="Times New Roman" w:eastAsia="宋体" w:cs="宋体"/>
          <w:color w:val="000000"/>
          <w:sz w:val="24"/>
          <w:lang w:eastAsia="zh-CN"/>
        </w:rPr>
        <w:t>文件编号1</w:t>
      </w:r>
      <w:r>
        <w:rPr>
          <w:rFonts w:ascii="Times New Roman" w:hAnsi="Times New Roman" w:eastAsia="宋体" w:cs="宋体"/>
          <w:color w:val="000000"/>
          <w:sz w:val="24"/>
          <w:lang w:eastAsia="zh-CN"/>
        </w:rPr>
        <w:t>7046和完整</w:t>
      </w:r>
      <w:r>
        <w:rPr>
          <w:rFonts w:hint="eastAsia" w:ascii="Times New Roman" w:hAnsi="Times New Roman" w:eastAsia="宋体" w:cs="宋体"/>
          <w:color w:val="000000"/>
          <w:sz w:val="24"/>
          <w:lang w:eastAsia="zh-CN"/>
        </w:rPr>
        <w:t>指南</w:t>
      </w:r>
      <w:r>
        <w:rPr>
          <w:rFonts w:ascii="Times New Roman" w:hAnsi="Times New Roman" w:eastAsia="宋体" w:cs="宋体"/>
          <w:color w:val="000000"/>
          <w:sz w:val="24"/>
          <w:lang w:eastAsia="zh-CN"/>
        </w:rPr>
        <w:t>标题。</w:t>
      </w:r>
    </w:p>
    <w:p w14:paraId="3E55E81E">
      <w:pPr>
        <w:pStyle w:val="3"/>
        <w:adjustRightInd w:val="0"/>
        <w:snapToGrid w:val="0"/>
        <w:spacing w:before="120" w:beforeLines="50" w:line="300" w:lineRule="auto"/>
        <w:ind w:left="0"/>
        <w:jc w:val="both"/>
        <w:rPr>
          <w:rFonts w:eastAsia="宋体" w:cs="Times New Roman"/>
          <w:b w:val="0"/>
          <w:bCs w:val="0"/>
          <w:snapToGrid w:val="0"/>
          <w:sz w:val="32"/>
          <w:szCs w:val="32"/>
          <w:lang w:eastAsia="zh-CN"/>
        </w:rPr>
      </w:pPr>
      <w:r>
        <w:rPr>
          <w:rFonts w:eastAsia="宋体" w:cs="宋体"/>
          <w:sz w:val="32"/>
          <w:lang w:eastAsia="zh-CN"/>
        </w:rPr>
        <w:t>CBER</w:t>
      </w:r>
    </w:p>
    <w:p w14:paraId="00B6AA42">
      <w:pPr>
        <w:adjustRightInd w:val="0"/>
        <w:snapToGrid w:val="0"/>
        <w:spacing w:before="120" w:beforeLines="50" w:line="300" w:lineRule="auto"/>
        <w:jc w:val="both"/>
        <w:rPr>
          <w:rFonts w:ascii="Times New Roman" w:hAnsi="Times New Roman" w:eastAsia="宋体" w:cs="Times New Roman"/>
          <w:snapToGrid w:val="0"/>
          <w:color w:val="000000"/>
          <w:sz w:val="24"/>
          <w:szCs w:val="24"/>
          <w:lang w:eastAsia="zh-CN"/>
        </w:rPr>
      </w:pPr>
      <w:r>
        <w:rPr>
          <w:rFonts w:ascii="Times New Roman" w:hAnsi="Times New Roman" w:eastAsia="宋体" w:cs="宋体"/>
          <w:sz w:val="24"/>
        </w:rPr>
        <w:t>可通过以下方式获取更多指南副本：寄送信函至：生物制品评价与研究中心（CBER），交流、外联和发展办公室（OCOD），地址为10903 New Hampshire Ave., Bldg. 71, Room 3128, Silver Spring, MD 20993-0002，或者拨打1-800-835-4709或240-402-8010，或发送电子邮件至</w:t>
      </w:r>
      <w:r>
        <w:fldChar w:fldCharType="begin"/>
      </w:r>
      <w:r>
        <w:instrText xml:space="preserve"> HYPERLINK "mailto:ocod@fda.hhs.gov" \h </w:instrText>
      </w:r>
      <w:r>
        <w:fldChar w:fldCharType="separate"/>
      </w:r>
      <w:r>
        <w:rPr>
          <w:rFonts w:ascii="Times New Roman" w:hAnsi="Times New Roman" w:eastAsia="宋体" w:cs="宋体"/>
          <w:snapToGrid w:val="0"/>
          <w:color w:val="0000FF"/>
          <w:sz w:val="24"/>
          <w:szCs w:val="24"/>
          <w:u w:val="single" w:color="0000FF"/>
        </w:rPr>
        <w:t>ocod@fda.hhs.gov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r>
        <w:rPr>
          <w:rFonts w:ascii="Times New Roman" w:hAnsi="Times New Roman" w:eastAsia="宋体" w:cs="宋体"/>
          <w:color w:val="000000"/>
          <w:sz w:val="24"/>
        </w:rPr>
        <w:t>或者登录以下网址获取：</w:t>
      </w:r>
      <w:r>
        <w:fldChar w:fldCharType="begin"/>
      </w:r>
      <w:r>
        <w:instrText xml:space="preserve"> HYPERLINK "https://www.fda.gov/vaccines-blood-biologics/guidance-compliance-regulatory-information-biologics/biologics-guidances" </w:instrText>
      </w:r>
      <w:r>
        <w:fldChar w:fldCharType="separate"/>
      </w:r>
      <w:r>
        <w:rPr>
          <w:rStyle w:val="15"/>
          <w:rFonts w:ascii="Times New Roman" w:hAnsi="Times New Roman" w:eastAsia="宋体" w:cs="宋体"/>
          <w:snapToGrid w:val="0"/>
          <w:sz w:val="24"/>
          <w:szCs w:val="24"/>
          <w:u w:color="0000FF"/>
        </w:rPr>
        <w:t>https://www.fda.gov/vaccines-blood-biologics/guidance-compliance-regulatory-information-biologics/biologics-guidances</w:t>
      </w:r>
      <w:r>
        <w:rPr>
          <w:rStyle w:val="15"/>
          <w:rFonts w:ascii="Times New Roman" w:hAnsi="Times New Roman" w:eastAsia="宋体" w:cs="宋体"/>
          <w:snapToGrid w:val="0"/>
          <w:sz w:val="24"/>
          <w:szCs w:val="24"/>
          <w:u w:color="0000FF"/>
        </w:rPr>
        <w:fldChar w:fldCharType="end"/>
      </w:r>
      <w:r>
        <w:rPr>
          <w:rFonts w:ascii="Times New Roman" w:hAnsi="Times New Roman" w:eastAsia="宋体" w:cs="宋体"/>
          <w:sz w:val="24"/>
        </w:rPr>
        <w:t>。</w:t>
      </w:r>
    </w:p>
    <w:p w14:paraId="7AAE53E8">
      <w:pPr>
        <w:rPr>
          <w:rFonts w:ascii="Times New Roman" w:hAnsi="Times New Roman" w:eastAsia="宋体" w:cs="Times New Roman"/>
          <w:snapToGrid w:val="0"/>
          <w:color w:val="000000"/>
          <w:sz w:val="24"/>
          <w:szCs w:val="24"/>
          <w:lang w:eastAsia="zh-CN"/>
        </w:rPr>
      </w:pPr>
      <w:r>
        <w:rPr>
          <w:rFonts w:ascii="Times New Roman" w:hAnsi="Times New Roman" w:eastAsia="宋体" w:cs="宋体"/>
          <w:color w:val="000000"/>
          <w:sz w:val="24"/>
        </w:rPr>
        <w:br w:type="page"/>
      </w:r>
    </w:p>
    <w:p w14:paraId="0CD5D263">
      <w:pPr>
        <w:pStyle w:val="3"/>
        <w:adjustRightInd w:val="0"/>
        <w:snapToGrid w:val="0"/>
        <w:spacing w:before="120" w:beforeLines="50" w:line="300" w:lineRule="auto"/>
        <w:ind w:left="0"/>
        <w:jc w:val="center"/>
        <w:rPr>
          <w:rFonts w:eastAsia="宋体" w:cs="Times New Roman"/>
          <w:b w:val="0"/>
          <w:bCs w:val="0"/>
          <w:snapToGrid w:val="0"/>
          <w:sz w:val="32"/>
          <w:szCs w:val="32"/>
        </w:rPr>
      </w:pPr>
      <w:r>
        <w:rPr>
          <w:rFonts w:eastAsia="宋体" w:cs="宋体"/>
          <w:sz w:val="32"/>
        </w:rPr>
        <w:t>目录</w:t>
      </w:r>
    </w:p>
    <w:p w14:paraId="3B6B8230">
      <w:pPr>
        <w:pStyle w:val="10"/>
        <w:tabs>
          <w:tab w:val="left" w:pos="760"/>
          <w:tab w:val="right" w:leader="dot" w:pos="9061"/>
        </w:tabs>
        <w:rPr>
          <w:rFonts w:asciiTheme="minorHAnsi" w:hAnsiTheme="minorHAnsi" w:eastAsiaTheme="minorEastAsia"/>
          <w:b w:val="0"/>
          <w:bCs w:val="0"/>
          <w:kern w:val="2"/>
          <w:sz w:val="21"/>
          <w:szCs w:val="22"/>
          <w:lang w:eastAsia="zh-CN"/>
        </w:rPr>
      </w:pPr>
      <w:r>
        <w:rPr>
          <w:rFonts w:eastAsia="宋体" w:cs="Times New Roman"/>
          <w:b w:val="0"/>
          <w:snapToGrid w:val="0"/>
          <w:sz w:val="24"/>
          <w:szCs w:val="24"/>
          <w:lang w:eastAsia="zh-CN"/>
        </w:rPr>
        <w:fldChar w:fldCharType="begin"/>
      </w:r>
      <w:r>
        <w:rPr>
          <w:rFonts w:eastAsia="宋体" w:cs="Times New Roman"/>
          <w:b w:val="0"/>
          <w:snapToGrid w:val="0"/>
          <w:sz w:val="24"/>
          <w:szCs w:val="24"/>
          <w:lang w:eastAsia="zh-CN"/>
        </w:rPr>
        <w:instrText xml:space="preserve"> TOC \h \z \t "样式1,1,样式2,2" </w:instrText>
      </w:r>
      <w:r>
        <w:rPr>
          <w:rFonts w:eastAsia="宋体" w:cs="Times New Roman"/>
          <w:b w:val="0"/>
          <w:snapToGrid w:val="0"/>
          <w:sz w:val="24"/>
          <w:szCs w:val="24"/>
          <w:lang w:eastAsia="zh-CN"/>
        </w:rPr>
        <w:fldChar w:fldCharType="separate"/>
      </w:r>
      <w:r>
        <w:fldChar w:fldCharType="begin"/>
      </w:r>
      <w:r>
        <w:instrText xml:space="preserve"> HYPERLINK \l "_Toc92204038" </w:instrText>
      </w:r>
      <w:r>
        <w:fldChar w:fldCharType="separate"/>
      </w:r>
      <w:r>
        <w:rPr>
          <w:rStyle w:val="15"/>
          <w:rFonts w:eastAsia="宋体" w:cs="宋体"/>
          <w:lang w:eastAsia="zh-CN"/>
        </w:rPr>
        <w:t>I.</w:t>
      </w:r>
      <w:r>
        <w:rPr>
          <w:rFonts w:asciiTheme="minorHAnsi" w:hAnsiTheme="minorHAnsi" w:eastAsiaTheme="minorEastAsia"/>
          <w:b w:val="0"/>
          <w:bCs w:val="0"/>
          <w:kern w:val="2"/>
          <w:sz w:val="21"/>
          <w:szCs w:val="22"/>
          <w:lang w:eastAsia="zh-CN"/>
        </w:rPr>
        <w:tab/>
      </w:r>
      <w:r>
        <w:rPr>
          <w:rStyle w:val="15"/>
          <w:rFonts w:eastAsia="宋体" w:cs="宋体"/>
          <w:lang w:eastAsia="zh-CN"/>
        </w:rPr>
        <w:t>引言</w:t>
      </w:r>
      <w:r>
        <w:tab/>
      </w:r>
      <w:r>
        <w:fldChar w:fldCharType="begin"/>
      </w:r>
      <w:r>
        <w:instrText xml:space="preserve"> PAGEREF _Toc92204038 \h </w:instrText>
      </w:r>
      <w:r>
        <w:fldChar w:fldCharType="separate"/>
      </w:r>
      <w:r>
        <w:t>4</w:t>
      </w:r>
      <w:r>
        <w:fldChar w:fldCharType="end"/>
      </w:r>
      <w:r>
        <w:fldChar w:fldCharType="end"/>
      </w:r>
    </w:p>
    <w:p w14:paraId="266E5192">
      <w:pPr>
        <w:pStyle w:val="10"/>
        <w:tabs>
          <w:tab w:val="left" w:pos="760"/>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"_Toc92204039" </w:instrText>
      </w:r>
      <w:r>
        <w:fldChar w:fldCharType="separate"/>
      </w:r>
      <w:r>
        <w:rPr>
          <w:rStyle w:val="15"/>
          <w:rFonts w:eastAsia="宋体" w:cs="宋体"/>
          <w:lang w:eastAsia="zh-CN"/>
        </w:rPr>
        <w:t>II.</w:t>
      </w:r>
      <w:r>
        <w:rPr>
          <w:rFonts w:asciiTheme="minorHAnsi" w:hAnsiTheme="minorHAnsi" w:eastAsiaTheme="minorEastAsia"/>
          <w:b w:val="0"/>
          <w:bCs w:val="0"/>
          <w:kern w:val="2"/>
          <w:sz w:val="21"/>
          <w:szCs w:val="22"/>
          <w:lang w:eastAsia="zh-CN"/>
        </w:rPr>
        <w:tab/>
      </w:r>
      <w:r>
        <w:rPr>
          <w:rStyle w:val="15"/>
          <w:rFonts w:eastAsia="宋体" w:cs="宋体"/>
          <w:lang w:eastAsia="zh-CN"/>
        </w:rPr>
        <w:t>背景</w:t>
      </w:r>
      <w:r>
        <w:tab/>
      </w:r>
      <w:r>
        <w:fldChar w:fldCharType="begin"/>
      </w:r>
      <w:r>
        <w:instrText xml:space="preserve"> PAGEREF _Toc92204039 \h </w:instrText>
      </w:r>
      <w:r>
        <w:fldChar w:fldCharType="separate"/>
      </w:r>
      <w:r>
        <w:t>4</w:t>
      </w:r>
      <w:r>
        <w:fldChar w:fldCharType="end"/>
      </w:r>
      <w:r>
        <w:fldChar w:fldCharType="end"/>
      </w:r>
    </w:p>
    <w:p w14:paraId="713C0841">
      <w:pPr>
        <w:pStyle w:val="10"/>
        <w:tabs>
          <w:tab w:val="left" w:pos="760"/>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"_Toc92204040" </w:instrText>
      </w:r>
      <w:r>
        <w:fldChar w:fldCharType="separate"/>
      </w:r>
      <w:r>
        <w:rPr>
          <w:rStyle w:val="15"/>
          <w:rFonts w:eastAsia="宋体" w:cs="宋体"/>
          <w:lang w:eastAsia="zh-CN"/>
        </w:rPr>
        <w:t>III.</w:t>
      </w:r>
      <w:r>
        <w:rPr>
          <w:rFonts w:asciiTheme="minorHAnsi" w:hAnsiTheme="minorHAnsi" w:eastAsiaTheme="minorEastAsia"/>
          <w:b w:val="0"/>
          <w:bCs w:val="0"/>
          <w:kern w:val="2"/>
          <w:sz w:val="21"/>
          <w:szCs w:val="22"/>
          <w:lang w:eastAsia="zh-CN"/>
        </w:rPr>
        <w:tab/>
      </w:r>
      <w:r>
        <w:rPr>
          <w:rStyle w:val="15"/>
          <w:rFonts w:eastAsia="宋体" w:cs="宋体"/>
          <w:lang w:eastAsia="zh-CN"/>
        </w:rPr>
        <w:t>政策</w:t>
      </w:r>
      <w:r>
        <w:tab/>
      </w:r>
      <w:r>
        <w:fldChar w:fldCharType="begin"/>
      </w:r>
      <w:r>
        <w:instrText xml:space="preserve"> PAGEREF _Toc92204040 \h </w:instrText>
      </w:r>
      <w:r>
        <w:fldChar w:fldCharType="separate"/>
      </w:r>
      <w:r>
        <w:t>6</w:t>
      </w:r>
      <w:r>
        <w:fldChar w:fldCharType="end"/>
      </w:r>
      <w:r>
        <w:fldChar w:fldCharType="end"/>
      </w:r>
    </w:p>
    <w:p w14:paraId="2715AAFD">
      <w:pPr>
        <w:pStyle w:val="11"/>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"_Toc92204041" </w:instrText>
      </w:r>
      <w:r>
        <w:fldChar w:fldCharType="separate"/>
      </w:r>
      <w:r>
        <w:rPr>
          <w:rStyle w:val="15"/>
          <w:rFonts w:eastAsia="宋体" w:cs="宋体"/>
          <w:lang w:eastAsia="zh-CN"/>
        </w:rPr>
        <w:t>A.</w:t>
      </w:r>
      <w:r>
        <w:rPr>
          <w:rFonts w:asciiTheme="minorHAnsi" w:hAnsiTheme="minorHAnsi" w:eastAsiaTheme="minorEastAsia"/>
          <w:kern w:val="2"/>
          <w:sz w:val="21"/>
          <w:szCs w:val="22"/>
          <w:lang w:eastAsia="zh-CN"/>
        </w:rPr>
        <w:tab/>
      </w:r>
      <w:r>
        <w:rPr>
          <w:rStyle w:val="15"/>
          <w:rFonts w:eastAsia="宋体" w:cs="宋体"/>
          <w:lang w:eastAsia="zh-CN"/>
        </w:rPr>
        <w:t>适用于基于安全性和性能的途径的器械：预期用途和技术特征</w:t>
      </w:r>
      <w:r>
        <w:tab/>
      </w:r>
      <w:r>
        <w:fldChar w:fldCharType="begin"/>
      </w:r>
      <w:r>
        <w:instrText xml:space="preserve"> PAGEREF _Toc92204041 \h </w:instrText>
      </w:r>
      <w:r>
        <w:fldChar w:fldCharType="separate"/>
      </w:r>
      <w:r>
        <w:t>7</w:t>
      </w:r>
      <w:r>
        <w:fldChar w:fldCharType="end"/>
      </w:r>
      <w:r>
        <w:fldChar w:fldCharType="end"/>
      </w:r>
    </w:p>
    <w:p w14:paraId="054D6BAE">
      <w:pPr>
        <w:pStyle w:val="11"/>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"_Toc92204042" </w:instrText>
      </w:r>
      <w:r>
        <w:fldChar w:fldCharType="separate"/>
      </w:r>
      <w:r>
        <w:rPr>
          <w:rStyle w:val="15"/>
          <w:rFonts w:eastAsia="宋体" w:cs="宋体"/>
          <w:lang w:eastAsia="zh-CN"/>
        </w:rPr>
        <w:t>B.</w:t>
      </w:r>
      <w:r>
        <w:rPr>
          <w:rFonts w:asciiTheme="minorHAnsi" w:hAnsiTheme="minorHAnsi" w:eastAsiaTheme="minorEastAsia"/>
          <w:kern w:val="2"/>
          <w:sz w:val="21"/>
          <w:szCs w:val="22"/>
          <w:lang w:eastAsia="zh-CN"/>
        </w:rPr>
        <w:tab/>
      </w:r>
      <w:r>
        <w:rPr>
          <w:rStyle w:val="15"/>
          <w:rFonts w:eastAsia="宋体" w:cs="宋体"/>
          <w:lang w:eastAsia="zh-CN"/>
        </w:rPr>
        <w:t>性能标准的确定</w:t>
      </w:r>
      <w:r>
        <w:tab/>
      </w:r>
      <w:r>
        <w:fldChar w:fldCharType="begin"/>
      </w:r>
      <w:r>
        <w:instrText xml:space="preserve"> PAGEREF _Toc92204042 \h </w:instrText>
      </w:r>
      <w:r>
        <w:fldChar w:fldCharType="separate"/>
      </w:r>
      <w:r>
        <w:t>8</w:t>
      </w:r>
      <w:r>
        <w:fldChar w:fldCharType="end"/>
      </w:r>
      <w:r>
        <w:fldChar w:fldCharType="end"/>
      </w:r>
    </w:p>
    <w:p w14:paraId="0628956E">
      <w:pPr>
        <w:pStyle w:val="11"/>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"_Toc92204043" </w:instrText>
      </w:r>
      <w:r>
        <w:fldChar w:fldCharType="separate"/>
      </w:r>
      <w:r>
        <w:rPr>
          <w:rStyle w:val="15"/>
          <w:rFonts w:eastAsia="宋体" w:cs="宋体"/>
        </w:rPr>
        <w:t>C.</w:t>
      </w:r>
      <w:r>
        <w:rPr>
          <w:rFonts w:asciiTheme="minorHAnsi" w:hAnsiTheme="minorHAnsi" w:eastAsiaTheme="minorEastAsia"/>
          <w:kern w:val="2"/>
          <w:sz w:val="21"/>
          <w:szCs w:val="22"/>
          <w:lang w:eastAsia="zh-CN"/>
        </w:rPr>
        <w:tab/>
      </w:r>
      <w:r>
        <w:rPr>
          <w:rStyle w:val="15"/>
          <w:rFonts w:eastAsia="宋体" w:cs="宋体"/>
        </w:rPr>
        <w:t>FDA数据审查</w:t>
      </w:r>
      <w:r>
        <w:tab/>
      </w:r>
      <w:r>
        <w:fldChar w:fldCharType="begin"/>
      </w:r>
      <w:r>
        <w:instrText xml:space="preserve"> PAGEREF _Toc92204043 \h </w:instrText>
      </w:r>
      <w:r>
        <w:fldChar w:fldCharType="separate"/>
      </w:r>
      <w:r>
        <w:t>8</w:t>
      </w:r>
      <w:r>
        <w:fldChar w:fldCharType="end"/>
      </w:r>
      <w:r>
        <w:fldChar w:fldCharType="end"/>
      </w:r>
    </w:p>
    <w:p w14:paraId="5DF95EAC">
      <w:pPr>
        <w:pStyle w:val="11"/>
        <w:tabs>
          <w:tab w:val="right" w:leader="dot" w:pos="9061"/>
        </w:tabs>
        <w:rPr>
          <w:rFonts w:asciiTheme="minorHAnsi" w:hAnsiTheme="minorHAnsi" w:eastAsiaTheme="minorEastAsia"/>
          <w:kern w:val="2"/>
          <w:sz w:val="21"/>
          <w:szCs w:val="22"/>
          <w:lang w:eastAsia="zh-CN"/>
        </w:rPr>
      </w:pPr>
      <w:r>
        <w:fldChar w:fldCharType="begin"/>
      </w:r>
      <w:r>
        <w:instrText xml:space="preserve"> HYPERLINK \l "_Toc92204044" </w:instrText>
      </w:r>
      <w:r>
        <w:fldChar w:fldCharType="separate"/>
      </w:r>
      <w:r>
        <w:rPr>
          <w:rStyle w:val="15"/>
          <w:rFonts w:eastAsia="宋体" w:cs="宋体"/>
        </w:rPr>
        <w:t>D.</w:t>
      </w:r>
      <w:r>
        <w:rPr>
          <w:rFonts w:asciiTheme="minorHAnsi" w:hAnsiTheme="minorHAnsi" w:eastAsiaTheme="minorEastAsia"/>
          <w:kern w:val="2"/>
          <w:sz w:val="21"/>
          <w:szCs w:val="22"/>
          <w:lang w:eastAsia="zh-CN"/>
        </w:rPr>
        <w:tab/>
      </w:r>
      <w:r>
        <w:rPr>
          <w:rStyle w:val="15"/>
          <w:rFonts w:eastAsia="宋体" w:cs="宋体"/>
        </w:rPr>
        <w:t>对列表的修改</w:t>
      </w:r>
      <w:r>
        <w:tab/>
      </w:r>
      <w:r>
        <w:fldChar w:fldCharType="begin"/>
      </w:r>
      <w:r>
        <w:instrText xml:space="preserve"> PAGEREF _Toc92204044 \h </w:instrText>
      </w:r>
      <w:r>
        <w:fldChar w:fldCharType="separate"/>
      </w:r>
      <w:r>
        <w:t>10</w:t>
      </w:r>
      <w:r>
        <w:fldChar w:fldCharType="end"/>
      </w:r>
      <w:r>
        <w:fldChar w:fldCharType="end"/>
      </w:r>
    </w:p>
    <w:p w14:paraId="42B1D1CA">
      <w:pPr>
        <w:pStyle w:val="10"/>
        <w:tabs>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"_Toc92204045" </w:instrText>
      </w:r>
      <w:r>
        <w:fldChar w:fldCharType="separate"/>
      </w:r>
      <w:r>
        <w:rPr>
          <w:rStyle w:val="15"/>
          <w:rFonts w:eastAsia="宋体" w:cs="宋体"/>
          <w:lang w:eastAsia="zh-CN"/>
        </w:rPr>
        <w:t>附录：基于安全性和性能的途径中的510(k)申请建议</w:t>
      </w:r>
      <w:r>
        <w:tab/>
      </w:r>
      <w:r>
        <w:fldChar w:fldCharType="begin"/>
      </w:r>
      <w:r>
        <w:instrText xml:space="preserve"> PAGEREF _Toc92204045 \h </w:instrText>
      </w:r>
      <w:r>
        <w:fldChar w:fldCharType="separate"/>
      </w:r>
      <w:r>
        <w:t>12</w:t>
      </w:r>
      <w:r>
        <w:fldChar w:fldCharType="end"/>
      </w:r>
      <w:r>
        <w:fldChar w:fldCharType="end"/>
      </w:r>
    </w:p>
    <w:p w14:paraId="5B9BD61A">
      <w:pPr>
        <w:pStyle w:val="11"/>
        <w:tabs>
          <w:tab w:val="left" w:pos="567"/>
          <w:tab w:val="left" w:pos="709"/>
          <w:tab w:val="right" w:leader="dot" w:pos="9450"/>
        </w:tabs>
        <w:adjustRightInd w:val="0"/>
        <w:snapToGrid w:val="0"/>
        <w:spacing w:before="120" w:beforeLines="50" w:line="300" w:lineRule="auto"/>
        <w:ind w:left="0" w:firstLine="0"/>
        <w:jc w:val="both"/>
        <w:rPr>
          <w:rFonts w:eastAsia="宋体" w:cs="Times New Roman"/>
          <w:snapToGrid w:val="0"/>
          <w:sz w:val="24"/>
          <w:szCs w:val="24"/>
          <w:lang w:eastAsia="zh-CN"/>
        </w:rPr>
      </w:pPr>
      <w:r>
        <w:rPr>
          <w:rFonts w:eastAsia="宋体" w:cs="Times New Roman"/>
          <w:snapToGrid w:val="0"/>
          <w:sz w:val="24"/>
          <w:szCs w:val="24"/>
          <w:lang w:eastAsia="zh-CN"/>
        </w:rPr>
        <w:fldChar w:fldCharType="end"/>
      </w:r>
    </w:p>
    <w:p w14:paraId="04718C46">
      <w:pPr>
        <w:pStyle w:val="11"/>
        <w:tabs>
          <w:tab w:val="left" w:pos="759"/>
          <w:tab w:val="right" w:leader="dot" w:pos="9450"/>
        </w:tabs>
        <w:adjustRightInd w:val="0"/>
        <w:snapToGrid w:val="0"/>
        <w:spacing w:before="120" w:beforeLines="50" w:line="300" w:lineRule="auto"/>
        <w:ind w:left="0" w:firstLine="0"/>
        <w:jc w:val="both"/>
        <w:rPr>
          <w:rFonts w:eastAsia="宋体" w:cs="Times New Roman"/>
          <w:snapToGrid w:val="0"/>
          <w:sz w:val="24"/>
          <w:szCs w:val="24"/>
          <w:lang w:eastAsia="zh-CN"/>
        </w:rPr>
      </w:pPr>
    </w:p>
    <w:p w14:paraId="131F1154">
      <w:pPr>
        <w:rPr>
          <w:rFonts w:ascii="Times New Roman" w:hAnsi="Times New Roman" w:eastAsia="宋体" w:cs="Times New Roman"/>
          <w:snapToGrid w:val="0"/>
          <w:sz w:val="24"/>
          <w:szCs w:val="24"/>
          <w:lang w:eastAsia="zh-CN"/>
        </w:rPr>
      </w:pPr>
      <w:r>
        <w:rPr>
          <w:rFonts w:ascii="Times New Roman" w:hAnsi="Times New Roman" w:eastAsia="宋体" w:cs="宋体"/>
          <w:sz w:val="24"/>
        </w:rPr>
        <w:br w:type="page"/>
      </w:r>
    </w:p>
    <w:p w14:paraId="29E88A53">
      <w:pPr>
        <w:pBdr>
          <w:bottom w:val="single" w:color="auto" w:sz="4" w:space="1"/>
        </w:pBd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基于安全性和性能的途径</w:t>
      </w:r>
    </w:p>
    <w:p w14:paraId="590F5E94">
      <w:pPr>
        <w:adjustRightInd w:val="0"/>
        <w:snapToGrid w:val="0"/>
        <w:spacing w:before="120" w:beforeLines="50" w:line="300" w:lineRule="auto"/>
        <w:jc w:val="center"/>
        <w:rPr>
          <w:rFonts w:ascii="Times New Roman" w:hAnsi="Times New Roman" w:eastAsia="宋体"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tbl>
      <w:tblPr>
        <w:tblStyle w:val="16"/>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12F0D2E1">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3DAC3818">
            <w:pPr>
              <w:pStyle w:val="18"/>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hint="eastAsia" w:ascii="Times New Roman" w:hAnsi="Times New Roman" w:eastAsia="宋体" w:cs="宋体"/>
                <w:b/>
                <w:i/>
                <w:sz w:val="21"/>
                <w:lang w:eastAsia="zh-CN"/>
              </w:rPr>
              <w:t>本指南的定稿将代表美国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3BD6B34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36A81404">
      <w:pPr>
        <w:pStyle w:val="22"/>
        <w:rPr>
          <w:rFonts w:eastAsia="宋体"/>
          <w:lang w:eastAsia="zh-CN"/>
        </w:rPr>
      </w:pPr>
      <w:bookmarkStart w:id="0" w:name="_Toc92204038"/>
      <w:r>
        <w:rPr>
          <w:rFonts w:eastAsia="宋体" w:cs="宋体"/>
          <w:lang w:eastAsia="zh-CN"/>
        </w:rPr>
        <w:t>I.</w:t>
      </w:r>
      <w:r>
        <w:rPr>
          <w:rFonts w:eastAsia="宋体" w:cs="宋体"/>
          <w:lang w:eastAsia="zh-CN"/>
        </w:rPr>
        <w:tab/>
      </w:r>
      <w:r>
        <w:rPr>
          <w:rFonts w:eastAsia="宋体" w:cs="宋体"/>
          <w:lang w:eastAsia="zh-CN"/>
        </w:rPr>
        <w:t>引言</w:t>
      </w:r>
      <w:bookmarkEnd w:id="0"/>
    </w:p>
    <w:p w14:paraId="6914AEE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为了证明上市前通知（510(k)）申请的实质等同性，本指南提供了FDA目前关于扩展简化510(k)计划概念的观点。本指南旨在描述某些众所周知的器械类型的可选途径 – 基于安全性和性能的途径，其中，提交人将证明新器械符合FDA确定的性能标准，从而证明该器械与合法上市器械一样安全有效。</w:t>
      </w:r>
    </w:p>
    <w:p w14:paraId="598698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p>
    <w:p w14:paraId="1B918202">
      <w:pPr>
        <w:pStyle w:val="22"/>
        <w:rPr>
          <w:rFonts w:eastAsia="宋体"/>
          <w:lang w:eastAsia="zh-CN"/>
        </w:rPr>
      </w:pPr>
      <w:bookmarkStart w:id="1" w:name="_Toc92204039"/>
      <w:r>
        <w:rPr>
          <w:rFonts w:eastAsia="宋体" w:cs="宋体"/>
          <w:lang w:eastAsia="zh-CN"/>
        </w:rPr>
        <w:t>II.</w:t>
      </w:r>
      <w:r>
        <w:rPr>
          <w:rFonts w:eastAsia="宋体" w:cs="宋体"/>
          <w:lang w:eastAsia="zh-CN"/>
        </w:rPr>
        <w:tab/>
      </w:r>
      <w:r>
        <w:rPr>
          <w:rFonts w:eastAsia="宋体" w:cs="宋体"/>
          <w:lang w:eastAsia="zh-CN"/>
        </w:rPr>
        <w:t>背景</w:t>
      </w:r>
      <w:bookmarkEnd w:id="1"/>
    </w:p>
    <w:p w14:paraId="3835515B">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为确定实质等同性，《联邦食品、药品和化妆品法案》（《FD&amp;C法案》）第513(i)(1)(A)节规定：</w:t>
      </w:r>
    </w:p>
    <w:p w14:paraId="707EE699">
      <w:pPr>
        <w:adjustRightInd w:val="0"/>
        <w:snapToGrid w:val="0"/>
        <w:spacing w:before="120" w:beforeLines="50" w:line="300" w:lineRule="auto"/>
        <w:ind w:left="440" w:left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 xml:space="preserve">关于与同品种器械进行比较的器械，该器械与同品种器械具有相同的预期用途，且美国卫生与公众服务部部长通过指令认定该器械 – </w:t>
      </w:r>
    </w:p>
    <w:p w14:paraId="4F6173EB">
      <w:pPr>
        <w:tabs>
          <w:tab w:val="left" w:pos="1667"/>
        </w:tabs>
        <w:adjustRightInd w:val="0"/>
        <w:snapToGrid w:val="0"/>
        <w:spacing w:before="120" w:beforeLines="50" w:line="300" w:lineRule="auto"/>
        <w:ind w:left="880" w:leftChars="400"/>
        <w:jc w:val="both"/>
        <w:rPr>
          <w:rFonts w:ascii="Times New Roman" w:hAnsi="Times New Roman" w:eastAsia="宋体" w:cs="Times New Roman"/>
          <w:snapToGrid w:val="0"/>
          <w:sz w:val="24"/>
          <w:szCs w:val="24"/>
          <w:lang w:eastAsia="zh-CN"/>
        </w:rPr>
      </w:pPr>
      <w:r>
        <w:rPr>
          <w:rFonts w:ascii="Times New Roman" w:hAnsi="Times New Roman" w:eastAsia="宋体" w:cs="Times New Roman"/>
          <w:sz w:val="24"/>
          <w:lang w:eastAsia="zh-CN"/>
        </w:rPr>
        <w:t>（i）</w:t>
      </w:r>
      <w:r>
        <w:rPr>
          <w:rFonts w:ascii="Times New Roman" w:hAnsi="Times New Roman" w:eastAsia="宋体" w:cs="宋体"/>
          <w:sz w:val="24"/>
          <w:lang w:eastAsia="zh-CN"/>
        </w:rPr>
        <w:t>与同品种器械拥有相同的技术特征；或</w:t>
      </w:r>
    </w:p>
    <w:p w14:paraId="68A8CD6B">
      <w:pPr>
        <w:tabs>
          <w:tab w:val="left" w:pos="1734"/>
        </w:tabs>
        <w:adjustRightInd w:val="0"/>
        <w:snapToGrid w:val="0"/>
        <w:spacing w:before="120" w:beforeLines="50" w:line="300" w:lineRule="auto"/>
        <w:ind w:left="880" w:leftChars="400"/>
        <w:jc w:val="both"/>
        <w:rPr>
          <w:rFonts w:ascii="Times New Roman" w:hAnsi="Times New Roman" w:eastAsia="宋体" w:cs="Times New Roman"/>
          <w:snapToGrid w:val="0"/>
          <w:sz w:val="24"/>
          <w:szCs w:val="24"/>
          <w:lang w:eastAsia="zh-CN"/>
        </w:rPr>
      </w:pPr>
      <w:r>
        <w:rPr>
          <w:rFonts w:ascii="Times New Roman" w:hAnsi="Times New Roman" w:eastAsia="宋体" w:cs="Times New Roman"/>
          <w:snapToGrid w:val="0"/>
          <w:sz w:val="24"/>
          <w:szCs w:val="24"/>
          <w:lang w:eastAsia="zh-CN"/>
        </w:rPr>
        <w:t>（ii）–</w:t>
      </w:r>
    </w:p>
    <w:p w14:paraId="2EDD73EA">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6F7229DB">
      <w:pPr>
        <w:tabs>
          <w:tab w:val="left" w:pos="1840"/>
        </w:tabs>
        <w:adjustRightInd w:val="0"/>
        <w:snapToGrid w:val="0"/>
        <w:spacing w:before="120" w:beforeLines="50" w:line="300" w:lineRule="auto"/>
        <w:ind w:left="1276" w:leftChars="580"/>
        <w:jc w:val="both"/>
        <w:rPr>
          <w:rFonts w:ascii="Times New Roman" w:hAnsi="Times New Roman" w:eastAsia="宋体" w:cs="宋体"/>
          <w:sz w:val="24"/>
          <w:lang w:eastAsia="zh-CN"/>
        </w:rPr>
      </w:pPr>
      <w:r>
        <w:rPr>
          <w:rFonts w:ascii="Times New Roman" w:hAnsi="Times New Roman" w:eastAsia="宋体" w:cs="宋体"/>
          <w:sz w:val="24"/>
          <w:lang w:eastAsia="zh-CN"/>
        </w:rPr>
        <w:t>（I）</w:t>
      </w:r>
      <w:r>
        <w:rPr>
          <w:rFonts w:ascii="Times New Roman" w:hAnsi="Times New Roman" w:eastAsia="宋体" w:cs="宋体"/>
          <w:sz w:val="24"/>
          <w:lang w:eastAsia="zh-CN"/>
        </w:rPr>
        <w:tab/>
      </w:r>
      <w:r>
        <w:rPr>
          <w:rFonts w:ascii="Times New Roman" w:hAnsi="Times New Roman" w:eastAsia="宋体" w:cs="宋体"/>
          <w:sz w:val="24"/>
          <w:lang w:eastAsia="zh-CN"/>
        </w:rPr>
        <w:t>具有不同的技术</w:t>
      </w:r>
      <w:r>
        <w:rPr>
          <w:rFonts w:hint="eastAsia" w:ascii="Times New Roman" w:hAnsi="Times New Roman" w:eastAsia="宋体" w:cs="宋体"/>
          <w:sz w:val="24"/>
          <w:lang w:eastAsia="zh-CN"/>
        </w:rPr>
        <w:t>性能</w:t>
      </w:r>
      <w:r>
        <w:rPr>
          <w:rFonts w:ascii="Times New Roman" w:hAnsi="Times New Roman" w:eastAsia="宋体" w:cs="宋体"/>
          <w:sz w:val="24"/>
          <w:lang w:eastAsia="zh-CN"/>
        </w:rPr>
        <w:t>，</w:t>
      </w:r>
      <w:r>
        <w:rPr>
          <w:rFonts w:hint="eastAsia" w:ascii="Times New Roman" w:hAnsi="Times New Roman" w:eastAsia="宋体" w:cs="宋体"/>
          <w:sz w:val="24"/>
          <w:lang w:eastAsia="zh-CN"/>
        </w:rPr>
        <w:t>但</w:t>
      </w:r>
      <w:r>
        <w:rPr>
          <w:rFonts w:ascii="Times New Roman" w:hAnsi="Times New Roman" w:eastAsia="宋体" w:cs="宋体"/>
          <w:sz w:val="24"/>
          <w:lang w:eastAsia="zh-CN"/>
        </w:rPr>
        <w:t>提交的信息表明该器械与同品种器械具有实质等同性，证明该器械与</w:t>
      </w:r>
      <w:r>
        <w:rPr>
          <w:rFonts w:hint="eastAsia" w:ascii="Times New Roman" w:hAnsi="Times New Roman" w:eastAsia="宋体" w:cs="宋体"/>
          <w:sz w:val="24"/>
          <w:lang w:eastAsia="zh-CN"/>
        </w:rPr>
        <w:t>一</w:t>
      </w:r>
      <w:r>
        <w:rPr>
          <w:rFonts w:ascii="Times New Roman" w:hAnsi="Times New Roman" w:eastAsia="宋体" w:cs="宋体"/>
          <w:sz w:val="24"/>
          <w:lang w:eastAsia="zh-CN"/>
        </w:rPr>
        <w:t>合法上市器械</w:t>
      </w:r>
      <w:r>
        <w:rPr>
          <w:rFonts w:hint="eastAsia" w:ascii="Times New Roman" w:hAnsi="Times New Roman" w:eastAsia="宋体" w:cs="宋体"/>
          <w:sz w:val="24"/>
          <w:lang w:eastAsia="zh-CN"/>
        </w:rPr>
        <w:t>同等</w:t>
      </w:r>
      <w:r>
        <w:rPr>
          <w:rFonts w:ascii="Times New Roman" w:hAnsi="Times New Roman" w:eastAsia="宋体" w:cs="宋体"/>
          <w:sz w:val="24"/>
          <w:lang w:eastAsia="zh-CN"/>
        </w:rPr>
        <w:t>安全有效</w:t>
      </w:r>
      <w:r>
        <w:rPr>
          <w:rFonts w:hint="eastAsia" w:ascii="Times New Roman" w:hAnsi="Times New Roman" w:eastAsia="宋体" w:cs="宋体"/>
          <w:sz w:val="24"/>
          <w:lang w:eastAsia="zh-CN"/>
        </w:rPr>
        <w:t>。提交的</w:t>
      </w:r>
      <w:r>
        <w:rPr>
          <w:rFonts w:ascii="Times New Roman" w:hAnsi="Times New Roman" w:eastAsia="宋体" w:cs="宋体"/>
          <w:sz w:val="24"/>
          <w:lang w:eastAsia="zh-CN"/>
        </w:rPr>
        <w:t>信息包括相应的临床数据</w:t>
      </w:r>
      <w:r>
        <w:rPr>
          <w:rFonts w:hint="eastAsia" w:ascii="Times New Roman" w:hAnsi="Times New Roman" w:eastAsia="宋体" w:cs="宋体"/>
          <w:sz w:val="24"/>
          <w:lang w:eastAsia="zh-CN"/>
        </w:rPr>
        <w:t>，</w:t>
      </w:r>
      <w:r>
        <w:rPr>
          <w:rFonts w:ascii="Times New Roman" w:hAnsi="Times New Roman" w:eastAsia="宋体" w:cs="宋体"/>
          <w:sz w:val="24"/>
          <w:lang w:eastAsia="zh-CN"/>
        </w:rPr>
        <w:t>公众服务部部长或根据第523节</w:t>
      </w:r>
      <w:r>
        <w:rPr>
          <w:rFonts w:hint="eastAsia" w:ascii="Times New Roman" w:hAnsi="Times New Roman" w:eastAsia="宋体" w:cs="宋体"/>
          <w:sz w:val="24"/>
          <w:lang w:eastAsia="zh-CN"/>
        </w:rPr>
        <w:t>定义</w:t>
      </w:r>
      <w:r>
        <w:rPr>
          <w:rFonts w:ascii="Times New Roman" w:hAnsi="Times New Roman" w:eastAsia="宋体" w:cs="宋体"/>
          <w:sz w:val="24"/>
          <w:lang w:eastAsia="zh-CN"/>
        </w:rPr>
        <w:t>的人员认为必要</w:t>
      </w:r>
      <w:r>
        <w:rPr>
          <w:rFonts w:hint="eastAsia" w:ascii="Times New Roman" w:hAnsi="Times New Roman" w:eastAsia="宋体" w:cs="宋体"/>
          <w:sz w:val="24"/>
          <w:lang w:eastAsia="zh-CN"/>
        </w:rPr>
        <w:t>的技术</w:t>
      </w:r>
      <w:r>
        <w:rPr>
          <w:rFonts w:ascii="Times New Roman" w:hAnsi="Times New Roman" w:eastAsia="宋体" w:cs="宋体"/>
          <w:sz w:val="24"/>
          <w:lang w:eastAsia="zh-CN"/>
        </w:rPr>
        <w:t>数据，且</w:t>
      </w:r>
    </w:p>
    <w:p w14:paraId="00B49D05">
      <w:pPr>
        <w:tabs>
          <w:tab w:val="left" w:pos="1840"/>
        </w:tabs>
        <w:adjustRightInd w:val="0"/>
        <w:snapToGrid w:val="0"/>
        <w:spacing w:before="120" w:beforeLines="50" w:line="300" w:lineRule="auto"/>
        <w:ind w:left="1276" w:leftChars="58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（II）不会产生与同品种器械不同的安全和有效性问题。</w:t>
      </w:r>
    </w:p>
    <w:p w14:paraId="2BF8877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FDA已</w:t>
      </w:r>
      <w:r>
        <w:rPr>
          <w:rFonts w:hint="eastAsia" w:ascii="Times New Roman" w:hAnsi="Times New Roman" w:eastAsia="宋体" w:cs="宋体"/>
          <w:sz w:val="24"/>
          <w:lang w:eastAsia="zh-CN"/>
        </w:rPr>
        <w:t>通过指南</w:t>
      </w:r>
      <w:r>
        <w:rPr>
          <w:rFonts w:ascii="Times New Roman" w:hAnsi="Times New Roman" w:eastAsia="宋体" w:cs="宋体"/>
          <w:sz w:val="24"/>
          <w:vertAlign w:val="superscript"/>
          <w:lang w:eastAsia="zh-CN"/>
        </w:rPr>
        <w:t>1</w:t>
      </w:r>
      <w:r>
        <w:rPr>
          <w:rFonts w:hint="eastAsia" w:ascii="Times New Roman" w:hAnsi="Times New Roman" w:eastAsia="宋体" w:cs="宋体"/>
          <w:sz w:val="24"/>
          <w:lang w:eastAsia="zh-CN"/>
        </w:rPr>
        <w:t>，</w:t>
      </w:r>
      <w:r>
        <w:rPr>
          <w:rFonts w:ascii="Times New Roman" w:hAnsi="Times New Roman" w:eastAsia="宋体" w:cs="宋体"/>
          <w:sz w:val="24"/>
          <w:lang w:eastAsia="zh-CN"/>
        </w:rPr>
        <w:t>解释并阐明了如何做出实质等同性决策。如该指南所述，510(k)</w:t>
      </w:r>
      <w:r>
        <w:rPr>
          <w:rFonts w:hint="eastAsia" w:ascii="Times New Roman" w:hAnsi="Times New Roman" w:eastAsia="宋体" w:cs="宋体"/>
          <w:sz w:val="24"/>
          <w:lang w:eastAsia="zh-CN"/>
        </w:rPr>
        <w:t>项目</w:t>
      </w:r>
      <w:r>
        <w:rPr>
          <w:rFonts w:ascii="Times New Roman" w:hAnsi="Times New Roman" w:eastAsia="宋体" w:cs="宋体"/>
          <w:sz w:val="24"/>
          <w:lang w:eastAsia="zh-CN"/>
        </w:rPr>
        <w:t>自启动以来经历了多次法定变更，FDA根据不断变更的法定要求和不断</w:t>
      </w:r>
      <w:r>
        <w:rPr>
          <w:rFonts w:hint="eastAsia" w:ascii="Times New Roman" w:hAnsi="Times New Roman" w:eastAsia="宋体" w:cs="宋体"/>
          <w:sz w:val="24"/>
          <w:lang w:eastAsia="zh-CN"/>
        </w:rPr>
        <w:t>发展</w:t>
      </w:r>
      <w:r>
        <w:rPr>
          <w:rFonts w:ascii="Times New Roman" w:hAnsi="Times New Roman" w:eastAsia="宋体" w:cs="宋体"/>
          <w:sz w:val="24"/>
          <w:lang w:eastAsia="zh-CN"/>
        </w:rPr>
        <w:t>的医疗器械情况调整了该</w:t>
      </w:r>
      <w:r>
        <w:rPr>
          <w:rFonts w:hint="eastAsia" w:ascii="Times New Roman" w:hAnsi="Times New Roman" w:eastAsia="宋体" w:cs="宋体"/>
          <w:sz w:val="24"/>
          <w:lang w:eastAsia="zh-CN"/>
        </w:rPr>
        <w:t>项目</w:t>
      </w:r>
      <w:r>
        <w:rPr>
          <w:rFonts w:ascii="Times New Roman" w:hAnsi="Times New Roman" w:eastAsia="宋体" w:cs="宋体"/>
          <w:sz w:val="24"/>
          <w:lang w:eastAsia="zh-CN"/>
        </w:rPr>
        <w:t>的实施。例如，FDA制定了证明实质等同性的</w:t>
      </w:r>
      <w:r>
        <w:rPr>
          <w:rFonts w:hint="eastAsia" w:ascii="Times New Roman" w:hAnsi="Times New Roman" w:eastAsia="宋体" w:cs="宋体"/>
          <w:sz w:val="24"/>
          <w:lang w:eastAsia="zh-CN"/>
        </w:rPr>
        <w:t>替代</w:t>
      </w:r>
      <w:r>
        <w:rPr>
          <w:rFonts w:ascii="Times New Roman" w:hAnsi="Times New Roman" w:eastAsia="宋体" w:cs="宋体"/>
          <w:sz w:val="24"/>
          <w:lang w:eastAsia="zh-CN"/>
        </w:rPr>
        <w:t>方案：特殊510(k)和简化510(k)。简化510(k)</w:t>
      </w:r>
      <w:r>
        <w:rPr>
          <w:rFonts w:ascii="Times New Roman" w:hAnsi="Times New Roman" w:eastAsia="宋体" w:cs="宋体"/>
          <w:sz w:val="24"/>
          <w:vertAlign w:val="superscript"/>
          <w:lang w:eastAsia="zh-CN"/>
        </w:rPr>
        <w:t xml:space="preserve"> 2</w:t>
      </w:r>
      <w:r>
        <w:rPr>
          <w:rFonts w:ascii="Times New Roman" w:hAnsi="Times New Roman" w:eastAsia="宋体" w:cs="宋体"/>
          <w:sz w:val="24"/>
          <w:lang w:eastAsia="zh-CN"/>
        </w:rPr>
        <w:t>申请项目依赖于使用指南文件、特殊控制和FDA认可标准</w:t>
      </w:r>
      <w:r>
        <w:rPr>
          <w:rFonts w:hint="eastAsia" w:ascii="Times New Roman" w:hAnsi="Times New Roman" w:eastAsia="宋体" w:cs="宋体"/>
          <w:sz w:val="24"/>
          <w:lang w:eastAsia="zh-CN"/>
        </w:rPr>
        <w:t>以助于</w:t>
      </w:r>
      <w:r>
        <w:rPr>
          <w:rFonts w:ascii="Times New Roman" w:hAnsi="Times New Roman" w:eastAsia="宋体" w:cs="宋体"/>
          <w:sz w:val="24"/>
          <w:lang w:eastAsia="zh-CN"/>
        </w:rPr>
        <w:t>510(k)审查。</w:t>
      </w:r>
      <w:r>
        <w:rPr>
          <w:rFonts w:hint="eastAsia" w:ascii="Times New Roman" w:hAnsi="Times New Roman" w:eastAsia="宋体" w:cs="宋体"/>
          <w:sz w:val="24"/>
          <w:lang w:eastAsia="zh-CN"/>
        </w:rPr>
        <w:t>现行</w:t>
      </w:r>
      <w:r>
        <w:rPr>
          <w:rFonts w:ascii="Times New Roman" w:hAnsi="Times New Roman" w:eastAsia="宋体" w:cs="宋体"/>
          <w:sz w:val="24"/>
          <w:lang w:eastAsia="zh-CN"/>
        </w:rPr>
        <w:t>的510(k)项目反映了</w:t>
      </w:r>
      <w:r>
        <w:rPr>
          <w:rFonts w:hint="eastAsia" w:ascii="Times New Roman" w:hAnsi="Times New Roman" w:eastAsia="宋体" w:cs="宋体"/>
          <w:sz w:val="24"/>
          <w:lang w:eastAsia="zh-CN"/>
        </w:rPr>
        <w:t>当前</w:t>
      </w:r>
      <w:r>
        <w:rPr>
          <w:rFonts w:ascii="Times New Roman" w:hAnsi="Times New Roman" w:eastAsia="宋体" w:cs="宋体"/>
          <w:sz w:val="24"/>
          <w:lang w:eastAsia="zh-CN"/>
        </w:rPr>
        <w:t>的法定框架</w:t>
      </w:r>
      <w:r>
        <w:rPr>
          <w:rFonts w:hint="eastAsia" w:ascii="Times New Roman" w:hAnsi="Times New Roman" w:eastAsia="宋体" w:cs="宋体"/>
          <w:sz w:val="24"/>
          <w:lang w:eastAsia="zh-CN"/>
        </w:rPr>
        <w:t>以及</w:t>
      </w:r>
      <w:r>
        <w:rPr>
          <w:rFonts w:ascii="Times New Roman" w:hAnsi="Times New Roman" w:eastAsia="宋体" w:cs="宋体"/>
          <w:sz w:val="24"/>
          <w:lang w:eastAsia="zh-CN"/>
        </w:rPr>
        <w:t>FDA通过法规、指南和行政惯例实施该框架。</w:t>
      </w:r>
    </w:p>
    <w:p w14:paraId="287159D6">
      <w:pPr>
        <w:adjustRightInd w:val="0"/>
        <w:snapToGrid w:val="0"/>
        <w:spacing w:before="120" w:beforeLines="50" w:line="300" w:lineRule="auto"/>
        <w:jc w:val="both"/>
        <w:rPr>
          <w:rFonts w:asciiTheme="minorEastAsia" w:hAnsiTheme="minorEastAsia"/>
          <w:sz w:val="24"/>
          <w:szCs w:val="24"/>
          <w:lang w:eastAsia="zh-CN"/>
        </w:rPr>
      </w:pPr>
      <w:r>
        <w:rPr>
          <w:rFonts w:cs="宋体" w:asciiTheme="minorEastAsia" w:hAnsiTheme="minorEastAsia"/>
          <w:sz w:val="24"/>
          <w:szCs w:val="24"/>
          <w:lang w:eastAsia="zh-CN"/>
        </w:rPr>
        <w:t>美国国会还对《FD&amp;C法案》进行了修订，增加了所谓的医疗器械“最小负担”条款</w:t>
      </w:r>
      <w:r>
        <w:rPr>
          <w:rFonts w:cs="宋体" w:asciiTheme="minorEastAsia" w:hAnsiTheme="minorEastAsia"/>
          <w:sz w:val="24"/>
          <w:szCs w:val="24"/>
          <w:vertAlign w:val="superscript"/>
          <w:lang w:eastAsia="zh-CN"/>
        </w:rPr>
        <w:t>3</w:t>
      </w:r>
      <w:r>
        <w:rPr>
          <w:rFonts w:cs="宋体" w:asciiTheme="minorEastAsia" w:hAnsiTheme="minorEastAsia"/>
          <w:sz w:val="24"/>
          <w:szCs w:val="24"/>
          <w:lang w:eastAsia="zh-CN"/>
        </w:rPr>
        <w:t>，其中包括针对于510(k)流程的部分条款</w:t>
      </w:r>
      <w:r>
        <w:rPr>
          <w:rFonts w:cs="宋体" w:asciiTheme="minorEastAsia" w:hAnsiTheme="minorEastAsia"/>
          <w:sz w:val="24"/>
          <w:szCs w:val="24"/>
          <w:vertAlign w:val="superscript"/>
          <w:lang w:eastAsia="zh-CN"/>
        </w:rPr>
        <w:t>4</w:t>
      </w:r>
      <w:r>
        <w:rPr>
          <w:rFonts w:cs="宋体" w:asciiTheme="minorEastAsia" w:hAnsiTheme="minorEastAsia"/>
          <w:sz w:val="24"/>
          <w:szCs w:val="24"/>
          <w:lang w:eastAsia="zh-CN"/>
        </w:rPr>
        <w:t>。其</w:t>
      </w:r>
      <w:r>
        <w:rPr>
          <w:rFonts w:hint="eastAsia" w:cs="宋体" w:asciiTheme="minorEastAsia" w:hAnsiTheme="minorEastAsia"/>
          <w:sz w:val="24"/>
          <w:szCs w:val="24"/>
          <w:lang w:eastAsia="zh-CN"/>
        </w:rPr>
        <w:t>主要</w:t>
      </w:r>
      <w:r>
        <w:rPr>
          <w:rFonts w:cs="宋体" w:asciiTheme="minorEastAsia" w:hAnsiTheme="minorEastAsia"/>
          <w:sz w:val="24"/>
          <w:szCs w:val="24"/>
          <w:lang w:eastAsia="zh-CN"/>
        </w:rPr>
        <w:t>目的是确保</w:t>
      </w:r>
      <w:r>
        <w:rPr>
          <w:rFonts w:hint="eastAsia" w:asciiTheme="minorEastAsia" w:hAnsiTheme="minorEastAsia"/>
          <w:sz w:val="24"/>
          <w:szCs w:val="24"/>
          <w:lang w:eastAsia="zh-CN"/>
        </w:rPr>
        <w:t>通过最有效的方式及时解决决法规问题或疑虑，即，</w:t>
      </w:r>
      <w:r>
        <w:rPr>
          <w:rFonts w:asciiTheme="minorEastAsia" w:hAnsiTheme="minorEastAsia"/>
          <w:sz w:val="24"/>
          <w:szCs w:val="24"/>
          <w:lang w:eastAsia="zh-CN"/>
        </w:rPr>
        <w:t>FDA</w:t>
      </w:r>
      <w:r>
        <w:rPr>
          <w:rFonts w:hint="eastAsia" w:asciiTheme="minorEastAsia" w:hAnsiTheme="minorEastAsia"/>
          <w:sz w:val="24"/>
          <w:szCs w:val="24"/>
          <w:lang w:eastAsia="zh-CN"/>
        </w:rPr>
        <w:t>仅要求解决该问题所需的必要信息</w:t>
      </w:r>
      <w:r>
        <w:rPr>
          <w:rFonts w:cs="宋体" w:asciiTheme="minorEastAsia" w:hAnsiTheme="minorEastAsia"/>
          <w:sz w:val="24"/>
          <w:szCs w:val="24"/>
          <w:vertAlign w:val="superscript"/>
          <w:lang w:eastAsia="zh-CN"/>
        </w:rPr>
        <w:t>5</w:t>
      </w:r>
      <w:r>
        <w:rPr>
          <w:rFonts w:hint="eastAsia" w:asciiTheme="minorEastAsia" w:hAnsiTheme="minorEastAsia"/>
          <w:sz w:val="24"/>
          <w:szCs w:val="24"/>
          <w:lang w:eastAsia="zh-CN"/>
        </w:rPr>
        <w:t>。</w:t>
      </w:r>
    </w:p>
    <w:p w14:paraId="31A22FF9">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本指南重点关注实质等同性分析的决策点，要求510(k)提交人证明，尽管存在技术差异，但其器械与</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w:t>
      </w:r>
      <w:r>
        <w:rPr>
          <w:rFonts w:hint="eastAsia" w:ascii="Times New Roman" w:hAnsi="Times New Roman" w:eastAsia="宋体" w:cs="宋体"/>
          <w:sz w:val="24"/>
          <w:lang w:eastAsia="zh-CN"/>
        </w:rPr>
        <w:t>的</w:t>
      </w:r>
      <w:r>
        <w:rPr>
          <w:rFonts w:ascii="Times New Roman" w:hAnsi="Times New Roman" w:eastAsia="宋体" w:cs="宋体"/>
          <w:sz w:val="24"/>
          <w:lang w:eastAsia="zh-CN"/>
        </w:rPr>
        <w:t>器械同样安全有效。FDA意识到，在某些情况下，与采用替代</w:t>
      </w:r>
      <w:r>
        <w:rPr>
          <w:rFonts w:hint="eastAsia" w:ascii="Times New Roman" w:hAnsi="Times New Roman" w:eastAsia="宋体" w:cs="宋体"/>
          <w:sz w:val="24"/>
          <w:lang w:eastAsia="zh-CN"/>
        </w:rPr>
        <w:t>方案</w:t>
      </w:r>
      <w:r>
        <w:rPr>
          <w:rFonts w:ascii="Times New Roman" w:hAnsi="Times New Roman" w:eastAsia="宋体" w:cs="宋体"/>
          <w:sz w:val="24"/>
          <w:lang w:eastAsia="zh-CN"/>
        </w:rPr>
        <w:t>相比（例如本指南所述的</w:t>
      </w:r>
      <w:r>
        <w:rPr>
          <w:rFonts w:hint="eastAsia" w:ascii="Times New Roman" w:hAnsi="Times New Roman" w:eastAsia="宋体" w:cs="宋体"/>
          <w:sz w:val="24"/>
          <w:lang w:eastAsia="zh-CN"/>
        </w:rPr>
        <w:t>方案</w:t>
      </w:r>
      <w:r>
        <w:rPr>
          <w:rFonts w:ascii="Times New Roman" w:hAnsi="Times New Roman" w:eastAsia="宋体" w:cs="宋体"/>
          <w:sz w:val="24"/>
          <w:lang w:eastAsia="zh-CN"/>
        </w:rPr>
        <w:t>（如适用）），通过直接比较检测证明这一点可能会给510(k)提交人带来更大负担。例如，在某些情况下，对提交人来说，针对相应同品种器械进行检测以证明必要的性能和技术特征的等同性，可能比证明其器械符合FDA制定的相应性能标准更加繁重。</w:t>
      </w:r>
    </w:p>
    <w:p w14:paraId="36172B77">
      <w:pPr>
        <w:adjustRightInd w:val="0"/>
        <w:snapToGrid w:val="0"/>
        <w:spacing w:before="120" w:beforeLines="50" w:line="300" w:lineRule="auto"/>
        <w:jc w:val="both"/>
        <w:rPr>
          <w:rFonts w:ascii="Times New Roman" w:hAnsi="Times New Roman" w:eastAsia="宋体" w:cs="宋体"/>
          <w:sz w:val="24"/>
          <w:lang w:eastAsia="zh-CN"/>
        </w:rPr>
      </w:pPr>
    </w:p>
    <w:p w14:paraId="31EB3D1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w:t>
      </w:r>
    </w:p>
    <w:p w14:paraId="28925792">
      <w:pPr>
        <w:tabs>
          <w:tab w:val="left" w:pos="215"/>
        </w:tabs>
        <w:adjustRightInd w:val="0"/>
        <w:snapToGrid w:val="0"/>
        <w:spacing w:before="36" w:beforeLines="15" w:line="276" w:lineRule="auto"/>
        <w:jc w:val="both"/>
        <w:rPr>
          <w:rFonts w:ascii="Times New Roman" w:hAnsi="Times New Roman" w:eastAsia="宋体" w:cs="Times New Roman"/>
          <w:snapToGrid w:val="0"/>
          <w:color w:val="0000FF"/>
          <w:sz w:val="21"/>
          <w:szCs w:val="21"/>
          <w:u w:val="single"/>
        </w:rPr>
      </w:pPr>
      <w:r>
        <w:rPr>
          <w:rFonts w:ascii="Times New Roman" w:hAnsi="Times New Roman" w:eastAsia="宋体" w:cs="宋体"/>
          <w:vertAlign w:val="superscript"/>
        </w:rPr>
        <w:t>1</w:t>
      </w:r>
      <w:r>
        <w:rPr>
          <w:rFonts w:ascii="Times New Roman" w:hAnsi="Times New Roman" w:eastAsia="宋体" w:cs="宋体"/>
        </w:rPr>
        <w:t xml:space="preserve"> 参</w:t>
      </w:r>
      <w:r>
        <w:rPr>
          <w:rFonts w:ascii="Times New Roman" w:hAnsi="Times New Roman" w:eastAsia="宋体" w:cs="宋体"/>
          <w:sz w:val="21"/>
          <w:lang w:eastAsia="zh-CN"/>
        </w:rPr>
        <w:t>见《510(k)项目：评价上市前通知[510(k)]中的实质等同性-面向行业和美国食品药品监督管理局工作人员的指南》，可登录以下网址获取</w:t>
      </w:r>
      <w:r>
        <w:rPr>
          <w:rFonts w:ascii="Times New Roman" w:hAnsi="Times New Roman" w:eastAsia="宋体" w:cs="宋体"/>
        </w:rPr>
        <w:t>：</w:t>
      </w:r>
      <w:r>
        <w:fldChar w:fldCharType="begin"/>
      </w:r>
      <w:r>
        <w:instrText xml:space="preserve"> HYPERLINK "https://www.fda.gov/regulatory-information/search-fda-guidance-documents/510k-program-evaluating-substantial-equivalence-premarket-%20notifications-510k" </w:instrText>
      </w:r>
      <w:r>
        <w:fldChar w:fldCharType="separate"/>
      </w:r>
      <w:r>
        <w:rPr>
          <w:rStyle w:val="15"/>
          <w:rFonts w:ascii="Times New Roman" w:hAnsi="Times New Roman" w:eastAsia="宋体" w:cs="宋体"/>
          <w:snapToGrid w:val="0"/>
          <w:sz w:val="21"/>
          <w:szCs w:val="21"/>
        </w:rPr>
        <w:t>https://www.fda.gov/regulatory-information/search-fda-guidance-documents/510k-program-evaluating-substantial-equivalence-premarket- notifications-510k</w:t>
      </w:r>
      <w:r>
        <w:rPr>
          <w:rStyle w:val="15"/>
          <w:rFonts w:ascii="Times New Roman" w:hAnsi="Times New Roman" w:eastAsia="宋体" w:cs="宋体"/>
          <w:snapToGrid w:val="0"/>
          <w:sz w:val="21"/>
          <w:szCs w:val="21"/>
        </w:rPr>
        <w:fldChar w:fldCharType="end"/>
      </w:r>
      <w:r>
        <w:rPr>
          <w:rFonts w:ascii="Times New Roman" w:hAnsi="Times New Roman" w:eastAsia="宋体" w:cs="宋体"/>
        </w:rPr>
        <w:t>。</w:t>
      </w:r>
    </w:p>
    <w:p w14:paraId="11363DD4">
      <w:pPr>
        <w:tabs>
          <w:tab w:val="left" w:pos="215"/>
        </w:tabs>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2</w:t>
      </w:r>
      <w:r>
        <w:rPr>
          <w:rFonts w:ascii="Times New Roman" w:hAnsi="Times New Roman" w:eastAsia="宋体" w:cs="宋体"/>
          <w:sz w:val="21"/>
        </w:rPr>
        <w:t xml:space="preserve"> 参见《简化510(k)项目》最终指南，可登录以下网址获取：</w:t>
      </w:r>
      <w:r>
        <w:fldChar w:fldCharType="begin"/>
      </w:r>
      <w:r>
        <w:instrText xml:space="preserve"> HYPERLINK "https://www.fda.gov/regulatory-information/search-fda-guidance-documents/abbreviated-510k-program" \h </w:instrText>
      </w:r>
      <w:r>
        <w:fldChar w:fldCharType="separate"/>
      </w:r>
      <w:r>
        <w:rPr>
          <w:rFonts w:ascii="Times New Roman" w:hAnsi="Times New Roman" w:eastAsia="宋体" w:cs="宋体"/>
          <w:snapToGrid w:val="0"/>
          <w:color w:val="0000FF"/>
          <w:sz w:val="21"/>
          <w:szCs w:val="21"/>
          <w:u w:val="single" w:color="0000FF"/>
        </w:rPr>
        <w:t>https://www.fda.gov/regulatory- information/search-fda-guidance-documents/abbreviated-510k-program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68EEB3EC">
      <w:pPr>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宋体"/>
          <w:sz w:val="21"/>
          <w:vertAlign w:val="superscript"/>
        </w:rPr>
        <w:t>3</w:t>
      </w:r>
      <w:r>
        <w:rPr>
          <w:rFonts w:ascii="Times New Roman" w:hAnsi="Times New Roman" w:eastAsia="宋体" w:cs="宋体"/>
          <w:sz w:val="21"/>
        </w:rPr>
        <w:t xml:space="preserve"> 参见《FD&amp;C法案》（21 U.S.C.§360c和§360e）第513(I)(1)(D)(I)–(iii)、513(A)(3)(D)(iii)–(iv)和515(c)(5)(A)–(D)节，该条款由《1997年美国食品药品监督管理局现代化法案》(FDAMA）进行制定（</w:t>
      </w:r>
      <w:r>
        <w:rPr>
          <w:rFonts w:hint="eastAsia" w:ascii="Times New Roman" w:hAnsi="Times New Roman" w:eastAsia="宋体" w:cs="宋体"/>
          <w:sz w:val="21"/>
          <w:lang w:eastAsia="zh-CN"/>
        </w:rPr>
        <w:t>公法</w:t>
      </w:r>
      <w:r>
        <w:rPr>
          <w:rFonts w:ascii="Times New Roman" w:hAnsi="Times New Roman" w:eastAsia="宋体" w:cs="宋体"/>
          <w:sz w:val="21"/>
        </w:rPr>
        <w:t>105-115）。</w:t>
      </w:r>
    </w:p>
    <w:p w14:paraId="287950A2">
      <w:pPr>
        <w:tabs>
          <w:tab w:val="left" w:pos="2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4</w:t>
      </w:r>
      <w:r>
        <w:rPr>
          <w:rFonts w:ascii="Times New Roman" w:hAnsi="Times New Roman" w:eastAsia="宋体" w:cs="宋体"/>
          <w:sz w:val="21"/>
          <w:lang w:eastAsia="zh-CN"/>
        </w:rPr>
        <w:t xml:space="preserve"> 参见《FD&amp;C法案》（21 U.S.C.§360c和§360e）第513(i)(1)(D)(i)-(iii)节，该条款由FDAMA（P.L.105-115）进行制定并由美国国会通过《美国食品药品监督管理局安全和创新法案》（公法112-144）(FDASIA）和《21世纪治愈法案》（公法114-255）（《治愈法案》）进行修订。</w:t>
      </w:r>
    </w:p>
    <w:p w14:paraId="51171FE8">
      <w:pPr>
        <w:tabs>
          <w:tab w:val="left" w:pos="215"/>
        </w:tabs>
        <w:adjustRightInd w:val="0"/>
        <w:snapToGrid w:val="0"/>
        <w:spacing w:before="36" w:beforeLines="15" w:line="276" w:lineRule="auto"/>
        <w:jc w:val="both"/>
        <w:rPr>
          <w:rFonts w:ascii="Times New Roman" w:hAnsi="Times New Roman" w:eastAsia="宋体" w:cs="Times New Roman"/>
          <w:snapToGrid w:val="0"/>
          <w:sz w:val="21"/>
          <w:szCs w:val="21"/>
          <w:lang w:eastAsia="zh-CN"/>
        </w:rPr>
      </w:pPr>
      <w:r>
        <w:rPr>
          <w:rFonts w:ascii="Times New Roman" w:hAnsi="Times New Roman" w:eastAsia="宋体" w:cs="宋体"/>
          <w:sz w:val="21"/>
          <w:vertAlign w:val="superscript"/>
          <w:lang w:eastAsia="zh-CN"/>
        </w:rPr>
        <w:t>5</w:t>
      </w:r>
      <w:r>
        <w:rPr>
          <w:rFonts w:ascii="Times New Roman" w:hAnsi="Times New Roman" w:eastAsia="宋体" w:cs="宋体"/>
          <w:sz w:val="21"/>
          <w:lang w:eastAsia="zh-CN"/>
        </w:rPr>
        <w:t xml:space="preserve"> 参见FDA指南《最小负担概念和原则》，其中描述了FDA工作人员和行业在应用最小负担原则时的指导原则和建议方法。可登录以下网址获取：</w:t>
      </w:r>
      <w:r>
        <w:fldChar w:fldCharType="begin"/>
      </w:r>
      <w:r>
        <w:rPr>
          <w:lang w:eastAsia="zh-CN"/>
        </w:rPr>
        <w:instrText xml:space="preserve"> HYPERLINK "https://www.fda.gov/regulatory-information/search-fda-guidance-documents/least-burdensome-provisions-concept-and-principles" \h </w:instrText>
      </w:r>
      <w:r>
        <w:fldChar w:fldCharType="separate"/>
      </w:r>
      <w:r>
        <w:rPr>
          <w:rFonts w:ascii="Times New Roman" w:hAnsi="Times New Roman" w:eastAsia="宋体" w:cs="宋体"/>
          <w:snapToGrid w:val="0"/>
          <w:color w:val="0000FF"/>
          <w:sz w:val="21"/>
          <w:szCs w:val="21"/>
          <w:u w:val="single" w:color="0000FF"/>
          <w:lang w:eastAsia="zh-CN"/>
        </w:rPr>
        <w:t>https://www.fda.gov/regulatory-information/search-fda-guidance-documents/least-burdensome-provisions-concept-and-principles</w:t>
      </w:r>
      <w:r>
        <w:rPr>
          <w:rFonts w:ascii="宋体" w:hAnsi="宋体" w:eastAsia="宋体" w:cs="宋体"/>
          <w:snapToGrid w:val="0"/>
          <w:color w:val="0000FF"/>
          <w:sz w:val="21"/>
          <w:szCs w:val="21"/>
          <w:u w:val="single" w:color="0000FF"/>
        </w:rPr>
        <w:fldChar w:fldCharType="end"/>
      </w:r>
      <w:r>
        <w:rPr>
          <w:rFonts w:ascii="Times New Roman" w:hAnsi="Times New Roman" w:eastAsia="宋体" w:cs="宋体"/>
          <w:sz w:val="21"/>
          <w:lang w:eastAsia="zh-CN"/>
        </w:rPr>
        <w:t>。</w:t>
      </w:r>
    </w:p>
    <w:p w14:paraId="6B6ECD56">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r>
        <w:rPr>
          <w:rFonts w:ascii="Times New Roman" w:hAnsi="Times New Roman" w:eastAsia="宋体" w:cs="Times New Roman"/>
          <w:snapToGrid w:val="0"/>
          <w:sz w:val="24"/>
          <w:szCs w:val="24"/>
          <w:lang w:eastAsia="zh-CN"/>
        </w:rPr>
        <w:t>因此，根据FDA在《FD&amp;C法案》第513(i)(1)(D)节中的要求，即考虑证明实质等同性的最小负担方法，本指南通过解释如何以负担最小但</w:t>
      </w:r>
      <w:r>
        <w:rPr>
          <w:rFonts w:hint="eastAsia" w:ascii="Times New Roman" w:hAnsi="Times New Roman" w:eastAsia="宋体" w:cs="Times New Roman"/>
          <w:snapToGrid w:val="0"/>
          <w:sz w:val="24"/>
          <w:szCs w:val="24"/>
          <w:lang w:eastAsia="zh-CN"/>
        </w:rPr>
        <w:t>同样全面</w:t>
      </w:r>
      <w:r>
        <w:rPr>
          <w:rFonts w:ascii="Times New Roman" w:hAnsi="Times New Roman" w:eastAsia="宋体" w:cs="Times New Roman"/>
          <w:snapToGrid w:val="0"/>
          <w:sz w:val="24"/>
          <w:szCs w:val="24"/>
          <w:lang w:eastAsia="zh-CN"/>
        </w:rPr>
        <w:t>的方式证明</w:t>
      </w:r>
      <w:r>
        <w:rPr>
          <w:rFonts w:hint="eastAsia" w:ascii="Times New Roman" w:hAnsi="Times New Roman" w:eastAsia="宋体" w:cs="Times New Roman"/>
          <w:snapToGrid w:val="0"/>
          <w:sz w:val="24"/>
          <w:szCs w:val="24"/>
          <w:lang w:eastAsia="zh-CN"/>
        </w:rPr>
        <w:t>特定</w:t>
      </w:r>
      <w:r>
        <w:rPr>
          <w:rFonts w:ascii="Times New Roman" w:hAnsi="Times New Roman" w:eastAsia="宋体" w:cs="Times New Roman"/>
          <w:snapToGrid w:val="0"/>
          <w:sz w:val="24"/>
          <w:szCs w:val="24"/>
          <w:lang w:eastAsia="zh-CN"/>
        </w:rPr>
        <w:t>器械类型的实质等同性，扩展了简化510(k)项目的概念。使用该</w:t>
      </w:r>
      <w:r>
        <w:rPr>
          <w:rFonts w:hint="eastAsia" w:ascii="Times New Roman" w:hAnsi="Times New Roman" w:eastAsia="宋体" w:cs="Times New Roman"/>
          <w:snapToGrid w:val="0"/>
          <w:sz w:val="24"/>
          <w:szCs w:val="24"/>
          <w:lang w:eastAsia="zh-CN"/>
        </w:rPr>
        <w:t>新增</w:t>
      </w:r>
      <w:r>
        <w:rPr>
          <w:rFonts w:ascii="Times New Roman" w:hAnsi="Times New Roman" w:eastAsia="宋体" w:cs="Times New Roman"/>
          <w:snapToGrid w:val="0"/>
          <w:sz w:val="24"/>
          <w:szCs w:val="24"/>
          <w:lang w:eastAsia="zh-CN"/>
        </w:rPr>
        <w:t>项目也可使对510(k)申请的审查效率更高，从而减少对本机构的负担，并可能减少单个申请的审查时间。同时，该方法符合证明实质等同性的法定标准。</w:t>
      </w:r>
    </w:p>
    <w:p w14:paraId="14C849B7">
      <w:pPr>
        <w:pStyle w:val="22"/>
        <w:rPr>
          <w:rFonts w:eastAsia="宋体"/>
          <w:lang w:eastAsia="zh-CN"/>
        </w:rPr>
      </w:pPr>
      <w:bookmarkStart w:id="2" w:name="_Toc92204040"/>
      <w:r>
        <w:rPr>
          <w:rFonts w:eastAsia="宋体" w:cs="宋体"/>
          <w:lang w:eastAsia="zh-CN"/>
        </w:rPr>
        <w:t>III.</w:t>
      </w:r>
      <w:r>
        <w:rPr>
          <w:rFonts w:eastAsia="宋体" w:cs="宋体"/>
          <w:lang w:eastAsia="zh-CN"/>
        </w:rPr>
        <w:tab/>
      </w:r>
      <w:r>
        <w:rPr>
          <w:rFonts w:eastAsia="宋体" w:cs="宋体"/>
          <w:lang w:eastAsia="zh-CN"/>
        </w:rPr>
        <w:t>政策</w:t>
      </w:r>
      <w:bookmarkEnd w:id="2"/>
    </w:p>
    <w:p w14:paraId="41B27C5A">
      <w:pPr>
        <w:adjustRightInd w:val="0"/>
        <w:snapToGrid w:val="0"/>
        <w:spacing w:before="120" w:beforeLines="50" w:line="276" w:lineRule="auto"/>
        <w:jc w:val="both"/>
        <w:rPr>
          <w:rFonts w:ascii="Times New Roman" w:hAnsi="Times New Roman" w:eastAsia="宋体" w:cs="宋体"/>
          <w:sz w:val="24"/>
          <w:lang w:eastAsia="zh-CN"/>
        </w:rPr>
      </w:pPr>
      <w:r>
        <w:rPr>
          <w:rFonts w:ascii="Times New Roman" w:hAnsi="Times New Roman" w:eastAsia="宋体" w:cs="宋体"/>
          <w:sz w:val="24"/>
          <w:lang w:eastAsia="zh-CN"/>
        </w:rPr>
        <w:t>根据《FD&amp;C法案》第513(i)(1)(A)节，实质等同性</w:t>
      </w:r>
      <w:r>
        <w:rPr>
          <w:rFonts w:hint="eastAsia" w:ascii="Times New Roman" w:hAnsi="Times New Roman" w:eastAsia="宋体" w:cs="宋体"/>
          <w:sz w:val="24"/>
          <w:lang w:eastAsia="zh-CN"/>
        </w:rPr>
        <w:t>依据于</w:t>
      </w:r>
      <w:r>
        <w:rPr>
          <w:rFonts w:ascii="Times New Roman" w:hAnsi="Times New Roman" w:eastAsia="宋体" w:cs="宋体"/>
          <w:sz w:val="24"/>
          <w:lang w:eastAsia="zh-CN"/>
        </w:rPr>
        <w:t>新器械与同品种器械之间的比较。然而，《FD&amp;C法案》并不排除FDA使用性能标准</w:t>
      </w:r>
      <w:r>
        <w:rPr>
          <w:rFonts w:hint="eastAsia" w:ascii="Times New Roman" w:hAnsi="Times New Roman" w:eastAsia="宋体" w:cs="宋体"/>
          <w:sz w:val="24"/>
          <w:lang w:eastAsia="zh-CN"/>
        </w:rPr>
        <w:t>以助于</w:t>
      </w:r>
      <w:r>
        <w:rPr>
          <w:rFonts w:ascii="Times New Roman" w:hAnsi="Times New Roman" w:eastAsia="宋体" w:cs="宋体"/>
          <w:sz w:val="24"/>
          <w:lang w:eastAsia="zh-CN"/>
        </w:rPr>
        <w:t>这一比较。如果合法上市器械在其安全性和有效性方面达到了一定的水平，且新器械在相同的特性方面达到了这些性能水平，则FDA可认为，新器械与合法上市器械一样安全有效。</w:t>
      </w:r>
      <w:r>
        <w:rPr>
          <w:rFonts w:hint="eastAsia" w:ascii="Times New Roman" w:hAnsi="Times New Roman" w:eastAsia="宋体" w:cs="宋体"/>
          <w:sz w:val="24"/>
          <w:lang w:eastAsia="zh-CN"/>
        </w:rPr>
        <w:t>F</w:t>
      </w:r>
      <w:r>
        <w:rPr>
          <w:rFonts w:ascii="Times New Roman" w:hAnsi="Times New Roman" w:eastAsia="宋体" w:cs="宋体"/>
          <w:sz w:val="24"/>
          <w:lang w:eastAsia="zh-CN"/>
        </w:rPr>
        <w:t>DA</w:t>
      </w:r>
      <w:r>
        <w:rPr>
          <w:rFonts w:hint="eastAsia" w:ascii="Times New Roman" w:hAnsi="Times New Roman" w:eastAsia="宋体" w:cs="宋体"/>
          <w:sz w:val="24"/>
          <w:lang w:eastAsia="zh-CN"/>
        </w:rPr>
        <w:t>不是通过对两种器械之间直接比较检测数据进行审查，而是通过</w:t>
      </w:r>
      <w:r>
        <w:rPr>
          <w:rFonts w:ascii="Times New Roman" w:hAnsi="Times New Roman" w:eastAsia="宋体" w:cs="宋体"/>
          <w:sz w:val="24"/>
          <w:lang w:eastAsia="zh-CN"/>
        </w:rPr>
        <w:t>新器械符合相应同品种器械的性能水平</w:t>
      </w:r>
      <w:r>
        <w:rPr>
          <w:rFonts w:hint="eastAsia" w:ascii="Times New Roman" w:hAnsi="Times New Roman" w:eastAsia="宋体" w:cs="宋体"/>
          <w:sz w:val="24"/>
          <w:lang w:eastAsia="zh-CN"/>
        </w:rPr>
        <w:t>的支持数据，做出实质等同性的结论。</w:t>
      </w:r>
    </w:p>
    <w:p w14:paraId="16304134">
      <w:pPr>
        <w:adjustRightInd w:val="0"/>
        <w:snapToGrid w:val="0"/>
        <w:spacing w:before="120" w:beforeLines="50" w:line="276" w:lineRule="auto"/>
        <w:jc w:val="both"/>
        <w:rPr>
          <w:rFonts w:ascii="Times New Roman" w:hAnsi="Times New Roman" w:eastAsia="宋体" w:cs="宋体"/>
          <w:sz w:val="24"/>
          <w:vertAlign w:val="superscript"/>
          <w:lang w:eastAsia="zh-CN"/>
        </w:rPr>
      </w:pPr>
      <w:r>
        <w:rPr>
          <w:rFonts w:ascii="Times New Roman" w:hAnsi="Times New Roman" w:eastAsia="宋体" w:cs="宋体"/>
          <w:sz w:val="24"/>
          <w:lang w:eastAsia="zh-CN"/>
        </w:rPr>
        <w:t>根据本指南中</w:t>
      </w:r>
      <w:r>
        <w:rPr>
          <w:rFonts w:hint="eastAsia" w:ascii="Times New Roman" w:hAnsi="Times New Roman" w:eastAsia="宋体" w:cs="宋体"/>
          <w:sz w:val="24"/>
          <w:lang w:eastAsia="zh-CN"/>
        </w:rPr>
        <w:t>新增</w:t>
      </w:r>
      <w:r>
        <w:rPr>
          <w:rFonts w:ascii="Times New Roman" w:hAnsi="Times New Roman" w:eastAsia="宋体" w:cs="宋体"/>
          <w:sz w:val="24"/>
          <w:lang w:eastAsia="zh-CN"/>
        </w:rPr>
        <w:t>的方法，提交人可通过证明该器械性能符合既定性能标准等方式来满足将其器械与</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合法上市器械进行比较的要求</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w:t>
      </w:r>
      <w:r>
        <w:rPr>
          <w:rFonts w:hint="eastAsia" w:ascii="Times New Roman" w:hAnsi="Times New Roman" w:eastAsia="宋体" w:cs="宋体"/>
          <w:sz w:val="24"/>
          <w:lang w:eastAsia="zh-CN"/>
        </w:rPr>
        <w:t>性能要求可在</w:t>
      </w:r>
      <w:r>
        <w:rPr>
          <w:rFonts w:ascii="Times New Roman" w:hAnsi="Times New Roman" w:eastAsia="宋体" w:cs="宋体"/>
          <w:sz w:val="24"/>
          <w:lang w:eastAsia="zh-CN"/>
        </w:rPr>
        <w:t>FDA指南、FDA认可标准</w:t>
      </w:r>
      <w:r>
        <w:rPr>
          <w:rFonts w:ascii="Times New Roman" w:hAnsi="Times New Roman" w:eastAsia="宋体" w:cs="宋体"/>
          <w:sz w:val="24"/>
          <w:vertAlign w:val="superscript"/>
          <w:lang w:eastAsia="zh-CN"/>
        </w:rPr>
        <w:t>7</w:t>
      </w:r>
      <w:r>
        <w:rPr>
          <w:rFonts w:ascii="Times New Roman" w:hAnsi="Times New Roman" w:eastAsia="宋体" w:cs="宋体"/>
          <w:sz w:val="24"/>
          <w:lang w:eastAsia="zh-CN"/>
        </w:rPr>
        <w:t>和/或特殊控制</w:t>
      </w:r>
      <w:r>
        <w:rPr>
          <w:rFonts w:ascii="Times New Roman" w:hAnsi="Times New Roman" w:eastAsia="宋体" w:cs="宋体"/>
          <w:sz w:val="24"/>
          <w:vertAlign w:val="superscript"/>
          <w:lang w:eastAsia="zh-CN"/>
        </w:rPr>
        <w:t>8</w:t>
      </w:r>
      <w:r>
        <w:rPr>
          <w:rFonts w:hint="eastAsia" w:ascii="Times New Roman" w:hAnsi="Times New Roman" w:eastAsia="宋体" w:cs="宋体"/>
          <w:sz w:val="24"/>
          <w:lang w:eastAsia="zh-CN"/>
        </w:rPr>
        <w:t>中定义。</w:t>
      </w:r>
    </w:p>
    <w:p w14:paraId="62C0B37E">
      <w:pPr>
        <w:adjustRightInd w:val="0"/>
        <w:snapToGrid w:val="0"/>
        <w:spacing w:before="120" w:beforeLines="50"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某些情况下，可明确定义这些性能标准，而在其他情况下，可定性描述可接受的结果，例如生物相容性。除了适用于基于安全性和性能的途径（参见第III.A节）之外，符合第三方审查的器械类型仍有资格参与510(k)第三方审查项目</w:t>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w:t>
      </w:r>
    </w:p>
    <w:p w14:paraId="0715ACD2">
      <w:pPr>
        <w:adjustRightInd w:val="0"/>
        <w:snapToGrid w:val="0"/>
        <w:spacing w:before="120" w:beforeLines="50" w:line="276" w:lineRule="auto"/>
        <w:jc w:val="both"/>
        <w:rPr>
          <w:rFonts w:ascii="Times New Roman" w:hAnsi="Times New Roman" w:eastAsia="宋体" w:cs="宋体"/>
          <w:sz w:val="24"/>
          <w:lang w:eastAsia="zh-CN"/>
        </w:rPr>
      </w:pPr>
      <w:r>
        <w:rPr>
          <w:rFonts w:hint="eastAsia" w:ascii="Times New Roman" w:hAnsi="Times New Roman" w:eastAsia="宋体" w:cs="宋体"/>
          <w:sz w:val="24"/>
          <w:lang w:eastAsia="zh-CN"/>
        </w:rPr>
        <w:t>为了制定一组能够满足提交人对特定产品类别的相应同品种器械进行比较的性能标准</w:t>
      </w:r>
      <w:r>
        <w:rPr>
          <w:rFonts w:ascii="Times New Roman" w:hAnsi="Times New Roman" w:eastAsia="宋体" w:cs="宋体"/>
          <w:sz w:val="24"/>
          <w:lang w:eastAsia="zh-CN"/>
        </w:rPr>
        <w:t>，FDA将确保这些性能标准能够代表符合该器械类型的一种或多种现有、</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合法上市器械性能的性能。</w:t>
      </w:r>
    </w:p>
    <w:p w14:paraId="06063108">
      <w:pPr>
        <w:adjustRightInd w:val="0"/>
        <w:snapToGrid w:val="0"/>
        <w:spacing w:before="120" w:beforeLines="50" w:line="276"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因此，根据《FD&amp;C法案》第513(i)(1)(a)(ii)(i)节和513(i)(1)(D)节的规定，通过证明新器械符合已确定的性能标准，提交人可证明这款新器械至少与</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合法上市器械一样安全有效。请注意，在传统或特殊的510(k)途径下，仍然</w:t>
      </w:r>
      <w:r>
        <w:rPr>
          <w:rFonts w:hint="eastAsia" w:ascii="Times New Roman" w:hAnsi="Times New Roman" w:eastAsia="宋体" w:cs="宋体"/>
          <w:sz w:val="24"/>
          <w:lang w:eastAsia="zh-CN"/>
        </w:rPr>
        <w:t>可对</w:t>
      </w:r>
      <w:r>
        <w:rPr>
          <w:rFonts w:ascii="Times New Roman" w:hAnsi="Times New Roman" w:eastAsia="宋体" w:cs="宋体"/>
          <w:sz w:val="24"/>
          <w:lang w:eastAsia="zh-CN"/>
        </w:rPr>
        <w:t>新器械与</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合法上市的器械</w:t>
      </w:r>
      <w:r>
        <w:rPr>
          <w:rFonts w:hint="eastAsia" w:ascii="Times New Roman" w:hAnsi="Times New Roman" w:eastAsia="宋体" w:cs="宋体"/>
          <w:sz w:val="24"/>
          <w:lang w:eastAsia="zh-CN"/>
        </w:rPr>
        <w:t>进行</w:t>
      </w:r>
      <w:r>
        <w:rPr>
          <w:rFonts w:ascii="Times New Roman" w:hAnsi="Times New Roman" w:eastAsia="宋体" w:cs="宋体"/>
          <w:sz w:val="24"/>
          <w:lang w:eastAsia="zh-CN"/>
        </w:rPr>
        <w:t>直接比较（如适用），包括也符合510(k)第三方审查项目的器械。____________________</w:t>
      </w:r>
    </w:p>
    <w:p w14:paraId="3693A3B9">
      <w:pPr>
        <w:pStyle w:val="25"/>
        <w:rPr>
          <w:rFonts w:eastAsia="宋体"/>
          <w:lang w:eastAsia="zh-CN"/>
        </w:rPr>
      </w:pPr>
      <w:r>
        <w:rPr>
          <w:rFonts w:eastAsia="宋体" w:cs="宋体"/>
          <w:vertAlign w:val="superscript"/>
          <w:lang w:eastAsia="zh-CN"/>
        </w:rPr>
        <w:t>6</w:t>
      </w:r>
      <w:r>
        <w:rPr>
          <w:rFonts w:hint="eastAsia" w:eastAsia="宋体" w:cs="宋体"/>
          <w:vertAlign w:val="superscript"/>
          <w:lang w:eastAsia="zh-CN"/>
        </w:rPr>
        <w:t xml:space="preserve"> </w:t>
      </w:r>
      <w:r>
        <w:rPr>
          <w:rFonts w:eastAsia="宋体" w:cs="宋体"/>
          <w:lang w:eastAsia="zh-CN"/>
        </w:rPr>
        <w:t>参见21 CFR 807.87(f)。</w:t>
      </w:r>
    </w:p>
    <w:p w14:paraId="58FCC34D">
      <w:pPr>
        <w:pStyle w:val="25"/>
        <w:rPr>
          <w:rFonts w:eastAsia="宋体"/>
          <w:lang w:eastAsia="zh-CN"/>
        </w:rPr>
      </w:pPr>
      <w:r>
        <w:rPr>
          <w:rFonts w:eastAsia="宋体" w:cs="宋体"/>
          <w:vertAlign w:val="superscript"/>
          <w:lang w:eastAsia="zh-CN"/>
        </w:rPr>
        <w:t>7</w:t>
      </w:r>
      <w:r>
        <w:rPr>
          <w:rFonts w:eastAsia="宋体" w:cs="宋体"/>
          <w:lang w:eastAsia="zh-CN"/>
        </w:rPr>
        <w:t xml:space="preserve"> 提交人可根据内部进行的测试和分析，或由第三方（如检测实验室或认证机构）进行的测试作为符合性声明的依据。参见FDA指南《在医疗器械上市前申请中适当使用自愿共识标准》，可登录以下网址获取：</w:t>
      </w:r>
      <w:r>
        <w:rPr>
          <w:rFonts w:eastAsia="宋体" w:cs="宋体"/>
          <w:color w:val="0000FF"/>
          <w:u w:val="single" w:color="0000FF"/>
        </w:rPr>
        <w:fldChar w:fldCharType="begin"/>
      </w:r>
      <w:r>
        <w:rPr>
          <w:rFonts w:eastAsia="宋体" w:cs="宋体"/>
          <w:color w:val="0000FF"/>
          <w:u w:val="single" w:color="0000FF"/>
          <w:lang w:eastAsia="zh-CN"/>
        </w:rPr>
        <w:instrText xml:space="preserve"> HYPERLINK "https://www.fda.gov/regulatory-information/search-fda-guidance-documents/appropriate-use-voluntary-consensus-standards-premarket-submissions-medical-devices" </w:instrText>
      </w:r>
      <w:r>
        <w:rPr>
          <w:rFonts w:eastAsia="宋体" w:cs="宋体"/>
          <w:color w:val="0000FF"/>
          <w:u w:val="single" w:color="0000FF"/>
        </w:rPr>
        <w:fldChar w:fldCharType="separate"/>
      </w:r>
      <w:r>
        <w:rPr>
          <w:rStyle w:val="15"/>
          <w:rFonts w:eastAsia="宋体" w:cs="宋体"/>
          <w:u w:color="0000FF"/>
          <w:lang w:eastAsia="zh-CN"/>
        </w:rPr>
        <w:t>https://www.fda.gov/regulatory-information/search-fda-guidance-documents/appropriate-use-voluntary-consensus-standards-premarket-submissions-medical-devices</w:t>
      </w:r>
      <w:r>
        <w:rPr>
          <w:rFonts w:eastAsia="宋体" w:cs="宋体"/>
          <w:color w:val="0000FF"/>
          <w:u w:val="single" w:color="0000FF"/>
        </w:rPr>
        <w:fldChar w:fldCharType="end"/>
      </w:r>
      <w:r>
        <w:rPr>
          <w:rFonts w:eastAsia="宋体" w:cs="宋体"/>
          <w:lang w:eastAsia="zh-CN"/>
        </w:rPr>
        <w:t>。</w:t>
      </w:r>
    </w:p>
    <w:p w14:paraId="73DD4BAB">
      <w:pPr>
        <w:pStyle w:val="25"/>
        <w:rPr>
          <w:rFonts w:eastAsia="宋体"/>
          <w:lang w:eastAsia="zh-CN"/>
        </w:rPr>
      </w:pPr>
      <w:r>
        <w:rPr>
          <w:rFonts w:eastAsia="宋体" w:cs="宋体"/>
          <w:vertAlign w:val="superscript"/>
          <w:lang w:eastAsia="zh-CN"/>
        </w:rPr>
        <w:t>8</w:t>
      </w:r>
      <w:r>
        <w:rPr>
          <w:rFonts w:eastAsia="宋体" w:cs="宋体"/>
          <w:lang w:eastAsia="zh-CN"/>
        </w:rPr>
        <w:t xml:space="preserve"> 无论采用哪种510(k)途径，器械必须符合任何适用的特殊控制措施（参见《FD&amp;C法案》第513(a)(1)(B)节），但在某些情况下，符合特殊控制措施、FDA认可的标准和/或FDA制定的标准也足以证明器械与合法上市的器械一样安全有效。</w:t>
      </w:r>
    </w:p>
    <w:p w14:paraId="0BACD224">
      <w:pPr>
        <w:pStyle w:val="25"/>
        <w:rPr>
          <w:rFonts w:eastAsia="宋体"/>
          <w:sz w:val="24"/>
          <w:szCs w:val="24"/>
          <w:lang w:eastAsia="zh-CN"/>
        </w:rPr>
      </w:pPr>
      <w:r>
        <w:rPr>
          <w:rFonts w:eastAsia="宋体" w:cs="宋体"/>
          <w:vertAlign w:val="superscript"/>
        </w:rPr>
        <w:t>9</w:t>
      </w:r>
      <w:r>
        <w:rPr>
          <w:rFonts w:eastAsia="宋体" w:cs="宋体"/>
        </w:rPr>
        <w:t xml:space="preserve"> 510(k)第三方审查项目详见以下网站：</w:t>
      </w:r>
      <w:r>
        <w:fldChar w:fldCharType="begin"/>
      </w:r>
      <w:r>
        <w:instrText xml:space="preserve"> HYPERLINK "http://www.fda.gov/medical-" \h </w:instrText>
      </w:r>
      <w:r>
        <w:fldChar w:fldCharType="separate"/>
      </w:r>
      <w:r>
        <w:rPr>
          <w:rFonts w:eastAsia="宋体" w:cs="宋体"/>
          <w:color w:val="0000FF"/>
          <w:u w:val="single" w:color="0000FF"/>
        </w:rPr>
        <w:t>httpswww.fda.gov/medical- devices/premarket-submissions/510k-third-party-review-program</w:t>
      </w:r>
      <w:r>
        <w:rPr>
          <w:rFonts w:eastAsia="宋体" w:cs="宋体"/>
          <w:color w:val="0000FF"/>
          <w:u w:val="single" w:color="0000FF"/>
        </w:rPr>
        <w:fldChar w:fldCharType="end"/>
      </w:r>
      <w:r>
        <w:rPr>
          <w:rFonts w:eastAsia="宋体" w:cs="宋体"/>
        </w:rPr>
        <w:t>。</w:t>
      </w:r>
      <w:r>
        <w:rPr>
          <w:rFonts w:eastAsia="宋体" w:cs="宋体"/>
          <w:color w:val="000000"/>
        </w:rPr>
        <w:t>有关符合第三方审查条件的器械清单，可登录以下网址获取：</w:t>
      </w:r>
      <w:r>
        <w:fldChar w:fldCharType="begin"/>
      </w:r>
      <w:r>
        <w:instrText xml:space="preserve"> HYPERLINK "https://www.accessdata.fda.gov/scripts/cdrh/cfdocs/cfThirdParty/current.cfm" \h </w:instrText>
      </w:r>
      <w:r>
        <w:fldChar w:fldCharType="separate"/>
      </w:r>
      <w:r>
        <w:rPr>
          <w:rFonts w:eastAsia="宋体" w:cs="宋体"/>
          <w:color w:val="0000FF"/>
          <w:u w:val="single" w:color="0000FF"/>
        </w:rPr>
        <w:t>https://www.accessdata.fda.gov/scripts/cdrh/cfdocs/cfThirdParty/current.cfm#4</w:t>
      </w:r>
      <w:r>
        <w:rPr>
          <w:rFonts w:eastAsia="宋体" w:cs="宋体"/>
          <w:color w:val="0000FF"/>
          <w:u w:val="single" w:color="0000FF"/>
        </w:rPr>
        <w:fldChar w:fldCharType="end"/>
      </w:r>
      <w:r>
        <w:rPr>
          <w:rFonts w:eastAsia="宋体" w:cs="宋体"/>
        </w:rPr>
        <w:t>。</w:t>
      </w:r>
      <w:r>
        <w:rPr>
          <w:rFonts w:eastAsia="宋体" w:cs="宋体"/>
          <w:sz w:val="24"/>
        </w:rPr>
        <w:br w:type="page"/>
      </w:r>
    </w:p>
    <w:p w14:paraId="00065BA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本指南中的政策系FDA长期以来通过简化510(k)项目所用方法的扩展。当提交简化510(k)时，</w:t>
      </w:r>
      <w:r>
        <w:rPr>
          <w:rFonts w:hint="eastAsia" w:ascii="Times New Roman" w:hAnsi="Times New Roman" w:eastAsia="宋体" w:cs="宋体"/>
          <w:sz w:val="24"/>
          <w:lang w:eastAsia="zh-CN"/>
        </w:rPr>
        <w:t>与作出实质等同性结论有关的性能特征，</w:t>
      </w:r>
      <w:r>
        <w:rPr>
          <w:rFonts w:ascii="Times New Roman" w:hAnsi="Times New Roman" w:eastAsia="宋体" w:cs="宋体"/>
          <w:sz w:val="24"/>
          <w:lang w:eastAsia="zh-CN"/>
        </w:rPr>
        <w:t>提交人</w:t>
      </w:r>
      <w:r>
        <w:rPr>
          <w:rFonts w:hint="eastAsia" w:ascii="Times New Roman" w:hAnsi="Times New Roman" w:eastAsia="宋体" w:cs="宋体"/>
          <w:sz w:val="24"/>
          <w:lang w:eastAsia="zh-CN"/>
        </w:rPr>
        <w:t>可</w:t>
      </w:r>
      <w:r>
        <w:rPr>
          <w:rFonts w:ascii="Times New Roman" w:hAnsi="Times New Roman" w:eastAsia="宋体" w:cs="宋体"/>
          <w:sz w:val="24"/>
          <w:lang w:eastAsia="zh-CN"/>
        </w:rPr>
        <w:t>通过</w:t>
      </w:r>
      <w:r>
        <w:rPr>
          <w:rFonts w:hint="eastAsia" w:ascii="Times New Roman" w:hAnsi="Times New Roman" w:eastAsia="宋体" w:cs="宋体"/>
          <w:sz w:val="24"/>
          <w:lang w:eastAsia="zh-CN"/>
        </w:rPr>
        <w:t>符合</w:t>
      </w:r>
      <w:r>
        <w:rPr>
          <w:rFonts w:ascii="Times New Roman" w:hAnsi="Times New Roman" w:eastAsia="宋体" w:cs="宋体"/>
          <w:sz w:val="24"/>
          <w:lang w:eastAsia="zh-CN"/>
        </w:rPr>
        <w:t>FDA认可标准、FDA指南和/或特殊控制措施</w:t>
      </w:r>
      <w:r>
        <w:rPr>
          <w:rFonts w:hint="eastAsia" w:ascii="Times New Roman" w:hAnsi="Times New Roman" w:eastAsia="宋体" w:cs="宋体"/>
          <w:sz w:val="24"/>
          <w:lang w:eastAsia="zh-CN"/>
        </w:rPr>
        <w:t>来证明</w:t>
      </w:r>
      <w:r>
        <w:rPr>
          <w:rFonts w:ascii="Times New Roman" w:hAnsi="Times New Roman" w:eastAsia="宋体" w:cs="宋体"/>
          <w:sz w:val="24"/>
          <w:lang w:eastAsia="zh-CN"/>
        </w:rPr>
        <w:t>。在此处所述的可选项目（基于安全性和性能的途径）中，提交人将采用这些相同机制的</w:t>
      </w:r>
      <w:r>
        <w:rPr>
          <w:rFonts w:hint="eastAsia" w:ascii="Times New Roman" w:hAnsi="Times New Roman" w:eastAsia="宋体" w:cs="宋体"/>
          <w:sz w:val="24"/>
          <w:lang w:eastAsia="zh-CN"/>
        </w:rPr>
        <w:t>全面</w:t>
      </w:r>
      <w:r>
        <w:rPr>
          <w:rFonts w:ascii="Times New Roman" w:hAnsi="Times New Roman" w:eastAsia="宋体" w:cs="宋体"/>
          <w:sz w:val="24"/>
          <w:lang w:eastAsia="zh-CN"/>
        </w:rPr>
        <w:t>版本，其中包含</w:t>
      </w:r>
      <w:r>
        <w:rPr>
          <w:rFonts w:hint="eastAsia" w:ascii="Times New Roman" w:hAnsi="Times New Roman" w:eastAsia="宋体" w:cs="宋体"/>
          <w:sz w:val="24"/>
          <w:lang w:eastAsia="zh-CN"/>
        </w:rPr>
        <w:t>证明该类</w:t>
      </w:r>
      <w:r>
        <w:rPr>
          <w:rFonts w:ascii="Times New Roman" w:hAnsi="Times New Roman" w:eastAsia="宋体" w:cs="宋体"/>
          <w:sz w:val="24"/>
          <w:lang w:eastAsia="zh-CN"/>
        </w:rPr>
        <w:t>器械实质等同性所需的所有性能特征，而不是采用</w:t>
      </w:r>
      <w:r>
        <w:rPr>
          <w:rFonts w:hint="eastAsia" w:ascii="Times New Roman" w:hAnsi="Times New Roman" w:eastAsia="宋体" w:cs="宋体"/>
          <w:sz w:val="24"/>
          <w:lang w:eastAsia="zh-CN"/>
        </w:rPr>
        <w:t>与</w:t>
      </w:r>
      <w:r>
        <w:rPr>
          <w:rFonts w:ascii="Times New Roman" w:hAnsi="Times New Roman" w:eastAsia="宋体" w:cs="宋体"/>
          <w:sz w:val="24"/>
          <w:lang w:eastAsia="zh-CN"/>
        </w:rPr>
        <w:t>同品种</w:t>
      </w:r>
      <w:r>
        <w:rPr>
          <w:rFonts w:hint="eastAsia" w:ascii="Times New Roman" w:hAnsi="Times New Roman" w:eastAsia="宋体" w:cs="宋体"/>
          <w:sz w:val="24"/>
          <w:lang w:eastAsia="zh-CN"/>
        </w:rPr>
        <w:t>直接进行</w:t>
      </w:r>
      <w:r>
        <w:rPr>
          <w:rFonts w:ascii="Times New Roman" w:hAnsi="Times New Roman" w:eastAsia="宋体" w:cs="宋体"/>
          <w:sz w:val="24"/>
          <w:lang w:eastAsia="zh-CN"/>
        </w:rPr>
        <w:t>比较来</w:t>
      </w:r>
      <w:r>
        <w:rPr>
          <w:rFonts w:hint="eastAsia" w:ascii="Times New Roman" w:hAnsi="Times New Roman" w:eastAsia="宋体" w:cs="宋体"/>
          <w:sz w:val="24"/>
          <w:lang w:eastAsia="zh-CN"/>
        </w:rPr>
        <w:t>证明相关技术特征的实质等同性</w:t>
      </w:r>
      <w:r>
        <w:rPr>
          <w:rFonts w:ascii="Times New Roman" w:hAnsi="Times New Roman" w:eastAsia="宋体" w:cs="宋体"/>
          <w:sz w:val="24"/>
          <w:lang w:eastAsia="zh-CN"/>
        </w:rPr>
        <w:t>。</w:t>
      </w:r>
    </w:p>
    <w:p w14:paraId="0FD24780">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FDA认为，只有在FDA确定出现以下情况下才适合使用性能标准：（1）新器械的适用范围和</w:t>
      </w:r>
      <w:r>
        <w:rPr>
          <w:rFonts w:hint="eastAsia" w:ascii="Times New Roman" w:hAnsi="Times New Roman" w:eastAsia="宋体" w:cs="宋体"/>
          <w:sz w:val="24"/>
          <w:lang w:eastAsia="zh-CN"/>
        </w:rPr>
        <w:t>技术特征</w:t>
      </w:r>
      <w:r>
        <w:rPr>
          <w:rFonts w:ascii="Times New Roman" w:hAnsi="Times New Roman" w:eastAsia="宋体" w:cs="宋体"/>
          <w:sz w:val="24"/>
          <w:lang w:eastAsia="zh-CN"/>
        </w:rPr>
        <w:t>不会引起与同品种器械不同的安全性和有效性问题，（2）性能标准与一个或多个</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与新器械相同类型的）器械的性能一致，且（3）新器械符合所有性能标准。虽然FDA可能会推荐性能标准检测方法，但提交人可选择采用指定或推荐以外的相应检测方法来证明性能特征。（参见第III.C节关于FDA在这类情况下审查方案和基础数据的讨论）。</w:t>
      </w:r>
      <w:r>
        <w:rPr>
          <w:rFonts w:hint="eastAsia" w:ascii="Times New Roman" w:hAnsi="Times New Roman" w:eastAsia="宋体" w:cs="宋体"/>
          <w:sz w:val="24"/>
          <w:lang w:eastAsia="zh-CN"/>
        </w:rPr>
        <w:t>所有用以</w:t>
      </w:r>
      <w:r>
        <w:rPr>
          <w:rFonts w:eastAsia="宋体" w:cs="宋体"/>
          <w:lang w:eastAsia="zh-CN"/>
        </w:rPr>
        <w:t>基于安全性和性能的途径</w:t>
      </w:r>
      <w:r>
        <w:rPr>
          <w:rFonts w:hint="eastAsia" w:eastAsia="宋体" w:cs="宋体"/>
          <w:lang w:eastAsia="zh-CN"/>
        </w:rPr>
        <w:t>的</w:t>
      </w:r>
      <w:r>
        <w:rPr>
          <w:rFonts w:hint="eastAsia" w:ascii="Times New Roman" w:hAnsi="Times New Roman" w:eastAsia="宋体" w:cs="宋体"/>
          <w:sz w:val="24"/>
          <w:lang w:eastAsia="zh-CN"/>
        </w:rPr>
        <w:t>性能标准，都在相关的F</w:t>
      </w:r>
      <w:r>
        <w:rPr>
          <w:rFonts w:ascii="Times New Roman" w:hAnsi="Times New Roman" w:eastAsia="宋体" w:cs="宋体"/>
          <w:sz w:val="24"/>
          <w:lang w:eastAsia="zh-CN"/>
        </w:rPr>
        <w:t>DA</w:t>
      </w:r>
      <w:r>
        <w:rPr>
          <w:rFonts w:hint="eastAsia" w:ascii="Times New Roman" w:hAnsi="Times New Roman" w:eastAsia="宋体" w:cs="宋体"/>
          <w:sz w:val="24"/>
          <w:lang w:eastAsia="zh-CN"/>
        </w:rPr>
        <w:t>指南定义，其中可能会参考引用</w:t>
      </w:r>
      <w:r>
        <w:rPr>
          <w:rFonts w:ascii="Times New Roman" w:hAnsi="Times New Roman" w:eastAsia="宋体" w:cs="宋体"/>
          <w:sz w:val="24"/>
          <w:lang w:eastAsia="zh-CN"/>
        </w:rPr>
        <w:t>FDA认可标准、FDA指南和特殊控制措施</w:t>
      </w:r>
      <w:r>
        <w:rPr>
          <w:rFonts w:hint="eastAsia" w:ascii="Times New Roman" w:hAnsi="Times New Roman" w:eastAsia="宋体" w:cs="宋体"/>
          <w:sz w:val="24"/>
          <w:lang w:eastAsia="zh-CN"/>
        </w:rPr>
        <w:t>。</w:t>
      </w:r>
    </w:p>
    <w:p w14:paraId="0EF73F2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如果器械不能完全依赖FDA确定的性能标准来证明其申请</w:t>
      </w:r>
      <w:r>
        <w:rPr>
          <w:rFonts w:hint="eastAsia" w:ascii="Times New Roman" w:hAnsi="Times New Roman" w:eastAsia="宋体" w:cs="宋体"/>
          <w:sz w:val="24"/>
          <w:lang w:eastAsia="zh-CN"/>
        </w:rPr>
        <w:t>产品</w:t>
      </w:r>
      <w:r>
        <w:rPr>
          <w:rFonts w:ascii="Times New Roman" w:hAnsi="Times New Roman" w:eastAsia="宋体" w:cs="宋体"/>
          <w:sz w:val="24"/>
          <w:lang w:eastAsia="zh-CN"/>
        </w:rPr>
        <w:t>的实质等同性，则不适用于本项目；但是，本机构强调，</w:t>
      </w:r>
      <w:r>
        <w:rPr>
          <w:rFonts w:hint="eastAsia" w:ascii="Times New Roman" w:hAnsi="Times New Roman" w:eastAsia="宋体" w:cs="宋体"/>
          <w:sz w:val="24"/>
          <w:lang w:eastAsia="zh-CN"/>
        </w:rPr>
        <w:t>提交人仍可选择</w:t>
      </w:r>
      <w:r>
        <w:rPr>
          <w:rFonts w:ascii="Times New Roman" w:hAnsi="Times New Roman" w:eastAsia="宋体" w:cs="宋体"/>
          <w:sz w:val="24"/>
          <w:lang w:eastAsia="zh-CN"/>
        </w:rPr>
        <w:t>先前既定</w:t>
      </w:r>
      <w:r>
        <w:rPr>
          <w:rFonts w:hint="eastAsia" w:ascii="Times New Roman" w:hAnsi="Times New Roman" w:eastAsia="宋体" w:cs="宋体"/>
          <w:sz w:val="24"/>
          <w:lang w:eastAsia="zh-CN"/>
        </w:rPr>
        <w:t>的</w:t>
      </w:r>
      <w:r>
        <w:rPr>
          <w:rFonts w:ascii="Times New Roman" w:hAnsi="Times New Roman" w:eastAsia="宋体" w:cs="宋体"/>
          <w:sz w:val="24"/>
          <w:lang w:eastAsia="zh-CN"/>
        </w:rPr>
        <w:t>510(k)项目（包括传统510(k)，特殊510(k)和简化510(k)），依据相应同品种器械进行直接性能比较。</w:t>
      </w:r>
    </w:p>
    <w:p w14:paraId="3E3EB66D">
      <w:pPr>
        <w:pStyle w:val="26"/>
        <w:rPr>
          <w:rFonts w:eastAsia="宋体"/>
          <w:lang w:eastAsia="zh-CN"/>
        </w:rPr>
      </w:pPr>
      <w:bookmarkStart w:id="3" w:name="_Toc92204041"/>
      <w:r>
        <w:rPr>
          <w:rFonts w:eastAsia="宋体" w:cs="宋体"/>
          <w:lang w:eastAsia="zh-CN"/>
        </w:rPr>
        <w:t>A.</w:t>
      </w:r>
      <w:r>
        <w:rPr>
          <w:rFonts w:eastAsia="宋体" w:cs="宋体"/>
          <w:lang w:eastAsia="zh-CN"/>
        </w:rPr>
        <w:tab/>
      </w:r>
      <w:r>
        <w:rPr>
          <w:rFonts w:eastAsia="宋体" w:cs="宋体"/>
          <w:lang w:eastAsia="zh-CN"/>
        </w:rPr>
        <w:t>适用于基于安全性和性能的途径的器械：预期用途和技术特征</w:t>
      </w:r>
      <w:bookmarkEnd w:id="3"/>
    </w:p>
    <w:p w14:paraId="06E95361">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FDA计划提供关于器械类型的信息，（制定性能标准的）指南中的性能标准将适用于此类器械类型。此类信息可包括相关产品代码、</w:t>
      </w:r>
      <w:r>
        <w:rPr>
          <w:rFonts w:hint="eastAsia" w:ascii="Times New Roman" w:hAnsi="Times New Roman" w:eastAsia="宋体" w:cs="宋体"/>
          <w:sz w:val="24"/>
          <w:lang w:eastAsia="zh-CN"/>
        </w:rPr>
        <w:t>适用</w:t>
      </w:r>
      <w:r>
        <w:rPr>
          <w:rFonts w:ascii="Times New Roman" w:hAnsi="Times New Roman" w:eastAsia="宋体" w:cs="宋体"/>
          <w:sz w:val="24"/>
          <w:lang w:eastAsia="zh-CN"/>
        </w:rPr>
        <w:t>的预期用途以及适用范围。FDA还将在其网站上维护适用于基于安全性和性能的途径的器械类型清单（更多信息见III.B节）。此外，在基于安全性和性能的途径的</w:t>
      </w:r>
      <w:r>
        <w:rPr>
          <w:rFonts w:hint="eastAsia" w:ascii="Times New Roman" w:hAnsi="Times New Roman" w:eastAsia="宋体" w:cs="宋体"/>
          <w:sz w:val="24"/>
          <w:lang w:eastAsia="zh-CN"/>
        </w:rPr>
        <w:t>单个</w:t>
      </w:r>
      <w:r>
        <w:rPr>
          <w:rFonts w:ascii="Times New Roman" w:hAnsi="Times New Roman" w:eastAsia="宋体" w:cs="宋体"/>
          <w:sz w:val="24"/>
          <w:lang w:eastAsia="zh-CN"/>
        </w:rPr>
        <w:t>申请中，</w:t>
      </w:r>
      <w:r>
        <w:rPr>
          <w:rFonts w:hint="eastAsia" w:ascii="Times New Roman" w:hAnsi="Times New Roman" w:eastAsia="宋体" w:cs="宋体"/>
          <w:sz w:val="24"/>
          <w:lang w:eastAsia="zh-CN"/>
        </w:rPr>
        <w:t>FDA仍旧要求识别同品种器械的预期用途和技术特征决策点，用于实质等同性分析。</w:t>
      </w:r>
      <w:r>
        <w:rPr>
          <w:rFonts w:ascii="Times New Roman" w:hAnsi="Times New Roman" w:eastAsia="宋体" w:cs="宋体"/>
          <w:sz w:val="24"/>
          <w:lang w:eastAsia="zh-CN"/>
        </w:rPr>
        <w:t>。</w:t>
      </w:r>
      <w:r>
        <w:rPr>
          <w:rFonts w:hint="eastAsia" w:ascii="Times New Roman" w:hAnsi="Times New Roman" w:eastAsia="宋体" w:cs="宋体"/>
          <w:sz w:val="24"/>
          <w:lang w:eastAsia="zh-CN"/>
        </w:rPr>
        <w:t>确定某类器械在相关指南有对应的性能标准，并且提交者已确定同品种器械为同类医疗器械，</w:t>
      </w:r>
      <w:r>
        <w:rPr>
          <w:rFonts w:ascii="Times New Roman" w:hAnsi="Times New Roman" w:eastAsia="宋体" w:cs="宋体"/>
          <w:sz w:val="24"/>
          <w:lang w:eastAsia="zh-CN"/>
        </w:rPr>
        <w:t>将有助于确保使用该项目的新器械（1）</w:t>
      </w:r>
      <w:r>
        <w:rPr>
          <w:rFonts w:hint="eastAsia" w:ascii="Times New Roman" w:hAnsi="Times New Roman" w:eastAsia="宋体" w:cs="宋体"/>
          <w:sz w:val="24"/>
          <w:lang w:eastAsia="zh-CN"/>
        </w:rPr>
        <w:t>具有</w:t>
      </w:r>
      <w:r>
        <w:rPr>
          <w:rFonts w:ascii="Times New Roman" w:hAnsi="Times New Roman" w:eastAsia="宋体" w:cs="宋体"/>
          <w:sz w:val="24"/>
          <w:lang w:eastAsia="zh-CN"/>
        </w:rPr>
        <w:t>与之相同的预期用途以及（2）技术特征不会引发与同品种器械不同的安全性和有效性问题。</w:t>
      </w:r>
    </w:p>
    <w:p w14:paraId="40306118">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B0999AE">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对新器械是否属于FDA确定的适用于基于安全性和性能的途径的类型有任何疑问，更确切地说（1）新器械是否在FDA确定的性能标准适用的器械范围内，或（2）其适用范围或技术特征是否会引发与同品种器械不同的安全性和有效性问题，本机构建议就使用性能标准是否合适向相关办公室或部门征求反馈意见。FDA认为，只要该器械明显属于FDA确定的适合使用该项目的类型，通常在不需要审查数据的情况下就能做出此类决定。但是，如果FDA确定做出此类决定需要其他数据时，则本机构可根据具体情况对数据进行审查，然后再确定该器械是否适用于此基于安全性和性能的途径。</w:t>
      </w:r>
    </w:p>
    <w:p w14:paraId="5A597862">
      <w:pPr>
        <w:pStyle w:val="26"/>
        <w:rPr>
          <w:rFonts w:eastAsia="宋体"/>
          <w:lang w:eastAsia="zh-CN"/>
        </w:rPr>
      </w:pPr>
      <w:bookmarkStart w:id="4" w:name="_Toc92204042"/>
      <w:r>
        <w:rPr>
          <w:rFonts w:eastAsia="宋体" w:cs="宋体"/>
          <w:lang w:eastAsia="zh-CN"/>
        </w:rPr>
        <w:t>B.</w:t>
      </w:r>
      <w:r>
        <w:rPr>
          <w:rFonts w:eastAsia="宋体" w:cs="宋体"/>
          <w:lang w:eastAsia="zh-CN"/>
        </w:rPr>
        <w:tab/>
      </w:r>
      <w:r>
        <w:rPr>
          <w:rFonts w:eastAsia="宋体" w:cs="宋体"/>
          <w:lang w:eastAsia="zh-CN"/>
        </w:rPr>
        <w:t>性能标准的确定</w:t>
      </w:r>
      <w:bookmarkEnd w:id="4"/>
    </w:p>
    <w:p w14:paraId="1B0DFE3B">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针对基于安全性和性能的途径，FDA计划在其网站上维护一份适用于基于安全性和性能的途径的器械类型表</w:t>
      </w:r>
      <w:r>
        <w:rPr>
          <w:rFonts w:ascii="Times New Roman" w:hAnsi="Times New Roman" w:eastAsia="宋体" w:cs="宋体"/>
          <w:sz w:val="24"/>
          <w:vertAlign w:val="superscript"/>
          <w:lang w:eastAsia="zh-CN"/>
        </w:rPr>
        <w:t>10</w:t>
      </w:r>
      <w:r>
        <w:rPr>
          <w:rFonts w:ascii="Times New Roman" w:hAnsi="Times New Roman" w:eastAsia="宋体" w:cs="宋体"/>
          <w:sz w:val="24"/>
          <w:lang w:eastAsia="zh-CN"/>
        </w:rPr>
        <w:t>，并随附</w:t>
      </w:r>
      <w:r>
        <w:rPr>
          <w:rFonts w:hint="eastAsia" w:ascii="Times New Roman" w:hAnsi="Times New Roman" w:eastAsia="宋体" w:cs="宋体"/>
          <w:sz w:val="24"/>
          <w:lang w:eastAsia="zh-CN"/>
        </w:rPr>
        <w:t>定义</w:t>
      </w:r>
      <w:r>
        <w:rPr>
          <w:rFonts w:ascii="Times New Roman" w:hAnsi="Times New Roman" w:eastAsia="宋体" w:cs="宋体"/>
          <w:sz w:val="24"/>
          <w:lang w:eastAsia="zh-CN"/>
        </w:rPr>
        <w:t>各器械类型性能标准的指南文件，以及指南中推荐的检测方法（如可行）和其他相关资料。这些指南文件可</w:t>
      </w:r>
      <w:r>
        <w:rPr>
          <w:rFonts w:hint="eastAsia" w:ascii="Times New Roman" w:hAnsi="Times New Roman" w:eastAsia="宋体" w:cs="宋体"/>
          <w:sz w:val="24"/>
          <w:lang w:eastAsia="zh-CN"/>
        </w:rPr>
        <w:t>能会</w:t>
      </w:r>
      <w:r>
        <w:rPr>
          <w:rFonts w:ascii="Times New Roman" w:hAnsi="Times New Roman" w:eastAsia="宋体" w:cs="宋体"/>
          <w:sz w:val="24"/>
          <w:lang w:eastAsia="zh-CN"/>
        </w:rPr>
        <w:t>参考</w:t>
      </w:r>
      <w:r>
        <w:rPr>
          <w:rFonts w:hint="eastAsia" w:ascii="Times New Roman" w:hAnsi="Times New Roman" w:eastAsia="宋体" w:cs="宋体"/>
          <w:sz w:val="24"/>
          <w:lang w:eastAsia="zh-CN"/>
        </w:rPr>
        <w:t>引用</w:t>
      </w:r>
      <w:r>
        <w:rPr>
          <w:rFonts w:ascii="Times New Roman" w:hAnsi="Times New Roman" w:eastAsia="宋体" w:cs="宋体"/>
          <w:sz w:val="24"/>
          <w:lang w:eastAsia="zh-CN"/>
        </w:rPr>
        <w:t>FDA根据《FD&amp;C法案》第514节认可的标准或部分标准，以及</w:t>
      </w:r>
      <w:r>
        <w:rPr>
          <w:rFonts w:hint="eastAsia" w:ascii="Times New Roman" w:hAnsi="Times New Roman" w:eastAsia="宋体" w:cs="宋体"/>
          <w:sz w:val="24"/>
          <w:lang w:eastAsia="zh-CN"/>
        </w:rPr>
        <w:t>特定器械类型的</w:t>
      </w:r>
      <w:r>
        <w:rPr>
          <w:rFonts w:ascii="Times New Roman" w:hAnsi="Times New Roman" w:eastAsia="宋体" w:cs="宋体"/>
          <w:sz w:val="24"/>
          <w:lang w:eastAsia="zh-CN"/>
        </w:rPr>
        <w:t>特殊控制措施</w:t>
      </w:r>
      <w:r>
        <w:rPr>
          <w:rFonts w:hint="eastAsia" w:ascii="Times New Roman" w:hAnsi="Times New Roman" w:eastAsia="宋体" w:cs="宋体"/>
          <w:sz w:val="24"/>
          <w:lang w:eastAsia="zh-CN"/>
        </w:rPr>
        <w:t>，</w:t>
      </w:r>
      <w:r>
        <w:rPr>
          <w:rFonts w:ascii="Times New Roman" w:hAnsi="Times New Roman" w:eastAsia="宋体" w:cs="宋体"/>
          <w:sz w:val="24"/>
          <w:lang w:eastAsia="zh-CN"/>
        </w:rPr>
        <w:t>和相关FDA指南。如果FDA认可标准中的性能标准尚未在FDA指南中确定</w:t>
      </w:r>
      <w:r>
        <w:rPr>
          <w:rFonts w:hint="eastAsia" w:ascii="Times New Roman" w:hAnsi="Times New Roman" w:eastAsia="宋体" w:cs="宋体"/>
          <w:sz w:val="24"/>
          <w:lang w:eastAsia="zh-CN"/>
        </w:rPr>
        <w:t>可</w:t>
      </w:r>
      <w:r>
        <w:rPr>
          <w:rFonts w:ascii="Times New Roman" w:hAnsi="Times New Roman" w:eastAsia="宋体" w:cs="宋体"/>
          <w:sz w:val="24"/>
          <w:lang w:eastAsia="zh-CN"/>
        </w:rPr>
        <w:t>用于基于安全和性能的途径，则本项目中不得使用该性能标准。</w:t>
      </w:r>
      <w:r>
        <w:rPr>
          <w:rFonts w:hint="eastAsia"/>
          <w:lang w:eastAsia="zh-CN"/>
        </w:rPr>
        <w:t>不管是在标准或指南中选择既定的性能标准和测试方法，还是通过指南制定新的性能标准和测试方法，</w:t>
      </w:r>
      <w:r>
        <w:rPr>
          <w:lang w:eastAsia="zh-CN"/>
        </w:rPr>
        <w:t>FDA</w:t>
      </w:r>
      <w:r>
        <w:rPr>
          <w:rFonts w:hint="eastAsia"/>
          <w:lang w:eastAsia="zh-CN"/>
        </w:rPr>
        <w:t>都依赖于</w:t>
      </w:r>
      <w:r>
        <w:rPr>
          <w:rFonts w:ascii="Times New Roman" w:hAnsi="Times New Roman" w:eastAsia="宋体" w:cs="宋体"/>
          <w:sz w:val="24"/>
          <w:lang w:eastAsia="zh-CN"/>
        </w:rPr>
        <w:t>FDA工作人员的经验和专业知识、文献信息、以及FDA可用的某一器械类型中对现有器械的数据分析，来确定性能标准和相关</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方法，从而</w:t>
      </w:r>
      <w:r>
        <w:rPr>
          <w:rFonts w:hint="eastAsia" w:ascii="Times New Roman" w:hAnsi="Times New Roman" w:eastAsia="宋体" w:cs="宋体"/>
          <w:sz w:val="24"/>
          <w:lang w:eastAsia="zh-CN"/>
        </w:rPr>
        <w:t>对特定</w:t>
      </w:r>
      <w:r>
        <w:rPr>
          <w:rFonts w:ascii="Times New Roman" w:hAnsi="Times New Roman" w:eastAsia="宋体" w:cs="宋体"/>
          <w:sz w:val="24"/>
          <w:lang w:eastAsia="zh-CN"/>
        </w:rPr>
        <w:t>器械类型</w:t>
      </w:r>
      <w:r>
        <w:rPr>
          <w:rFonts w:hint="eastAsia" w:ascii="Times New Roman" w:hAnsi="Times New Roman" w:eastAsia="宋体" w:cs="宋体"/>
          <w:sz w:val="24"/>
          <w:lang w:eastAsia="zh-CN"/>
        </w:rPr>
        <w:t>做出</w:t>
      </w:r>
      <w:r>
        <w:rPr>
          <w:rFonts w:ascii="Times New Roman" w:hAnsi="Times New Roman" w:eastAsia="宋体" w:cs="宋体"/>
          <w:sz w:val="24"/>
          <w:lang w:eastAsia="zh-CN"/>
        </w:rPr>
        <w:t>实质等同性的结论。FDA将确保这些标准代表的性能水平至少等同于其适用类型的</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合法上市器械的性能。本机构再次强调，</w:t>
      </w:r>
      <w:r>
        <w:rPr>
          <w:rFonts w:hint="eastAsia" w:ascii="Times New Roman" w:hAnsi="Times New Roman" w:eastAsia="宋体" w:cs="宋体"/>
          <w:sz w:val="24"/>
          <w:lang w:eastAsia="zh-CN"/>
        </w:rPr>
        <w:t>如使用，提交人仍可选择</w:t>
      </w:r>
      <w:r>
        <w:rPr>
          <w:rFonts w:ascii="Times New Roman" w:hAnsi="Times New Roman" w:eastAsia="宋体" w:cs="宋体"/>
          <w:sz w:val="24"/>
          <w:lang w:eastAsia="zh-CN"/>
        </w:rPr>
        <w:t>先前既定</w:t>
      </w:r>
      <w:r>
        <w:rPr>
          <w:rFonts w:hint="eastAsia" w:ascii="Times New Roman" w:hAnsi="Times New Roman" w:eastAsia="宋体" w:cs="宋体"/>
          <w:sz w:val="24"/>
          <w:lang w:eastAsia="zh-CN"/>
        </w:rPr>
        <w:t>的</w:t>
      </w:r>
      <w:r>
        <w:rPr>
          <w:rFonts w:ascii="Times New Roman" w:hAnsi="Times New Roman" w:eastAsia="宋体" w:cs="宋体"/>
          <w:sz w:val="24"/>
          <w:lang w:eastAsia="zh-CN"/>
        </w:rPr>
        <w:t>510(k)项目（包括传统510(k)，特殊510(k)和简化510(k)），依据相应同品种器械进行直接性能比较。</w:t>
      </w:r>
    </w:p>
    <w:p w14:paraId="3B196F51">
      <w:pPr>
        <w:adjustRightInd w:val="0"/>
        <w:snapToGrid w:val="0"/>
        <w:spacing w:before="120" w:beforeLines="50" w:line="300" w:lineRule="auto"/>
        <w:jc w:val="both"/>
        <w:rPr>
          <w:rFonts w:ascii="Times New Roman" w:hAnsi="Times New Roman" w:eastAsia="宋体" w:cs="宋体"/>
          <w:sz w:val="24"/>
          <w:lang w:eastAsia="zh-CN"/>
        </w:rPr>
      </w:pPr>
    </w:p>
    <w:p w14:paraId="1256E630">
      <w:pPr>
        <w:pStyle w:val="26"/>
        <w:rPr>
          <w:rFonts w:eastAsia="宋体"/>
        </w:rPr>
      </w:pPr>
      <w:bookmarkStart w:id="5" w:name="_Toc92204043"/>
      <w:r>
        <w:rPr>
          <w:rFonts w:eastAsia="宋体" w:cs="宋体"/>
        </w:rPr>
        <w:t>C.</w:t>
      </w:r>
      <w:r>
        <w:rPr>
          <w:rFonts w:eastAsia="宋体" w:cs="宋体"/>
        </w:rPr>
        <w:tab/>
      </w:r>
      <w:r>
        <w:rPr>
          <w:rFonts w:eastAsia="宋体" w:cs="宋体"/>
        </w:rPr>
        <w:t>FDA数据审查</w:t>
      </w:r>
      <w:bookmarkEnd w:id="5"/>
    </w:p>
    <w:p w14:paraId="2AC983B3">
      <w:pPr>
        <w:tabs>
          <w:tab w:val="left" w:pos="280"/>
        </w:tabs>
        <w:adjustRightInd w:val="0"/>
        <w:snapToGrid w:val="0"/>
        <w:spacing w:before="120" w:beforeLines="50" w:line="300" w:lineRule="auto"/>
        <w:jc w:val="both"/>
        <w:rPr>
          <w:rFonts w:ascii="Times New Roman" w:hAnsi="Times New Roman" w:eastAsia="宋体" w:cs="宋体"/>
          <w:sz w:val="24"/>
          <w:lang w:eastAsia="zh-CN"/>
        </w:rPr>
      </w:pPr>
    </w:p>
    <w:p w14:paraId="0FCE2FB7">
      <w:pPr>
        <w:tabs>
          <w:tab w:val="left" w:pos="280"/>
        </w:tabs>
        <w:adjustRightInd w:val="0"/>
        <w:snapToGrid w:val="0"/>
        <w:spacing w:before="120" w:beforeLines="50" w:line="300" w:lineRule="auto"/>
        <w:jc w:val="both"/>
        <w:rPr>
          <w:rFonts w:ascii="Times New Roman" w:hAnsi="Times New Roman" w:eastAsia="宋体" w:cs="宋体"/>
          <w:sz w:val="24"/>
          <w:lang w:eastAsia="zh-CN"/>
        </w:rPr>
      </w:pPr>
    </w:p>
    <w:p w14:paraId="7409301B">
      <w:pPr>
        <w:tabs>
          <w:tab w:val="left" w:pos="280"/>
        </w:tabs>
        <w:adjustRightInd w:val="0"/>
        <w:snapToGrid w:val="0"/>
        <w:spacing w:before="120" w:beforeLines="50" w:line="300" w:lineRule="auto"/>
        <w:jc w:val="both"/>
        <w:rPr>
          <w:rFonts w:ascii="Times New Roman" w:hAnsi="Times New Roman" w:eastAsia="宋体" w:cs="宋体"/>
          <w:sz w:val="24"/>
          <w:lang w:eastAsia="zh-CN"/>
        </w:rPr>
      </w:pPr>
    </w:p>
    <w:p w14:paraId="1F877798">
      <w:pPr>
        <w:tabs>
          <w:tab w:val="left" w:pos="280"/>
        </w:tabs>
        <w:adjustRightInd w:val="0"/>
        <w:snapToGrid w:val="0"/>
        <w:spacing w:before="120" w:beforeLines="50" w:line="300" w:lineRule="auto"/>
        <w:jc w:val="both"/>
        <w:rPr>
          <w:rFonts w:ascii="Times New Roman" w:hAnsi="Times New Roman" w:eastAsia="宋体" w:cs="宋体"/>
          <w:sz w:val="24"/>
          <w:lang w:eastAsia="zh-CN"/>
        </w:rPr>
      </w:pPr>
    </w:p>
    <w:p w14:paraId="2B03B865">
      <w:pPr>
        <w:tabs>
          <w:tab w:val="left" w:pos="280"/>
        </w:tabs>
        <w:adjustRightInd w:val="0"/>
        <w:snapToGrid w:val="0"/>
        <w:spacing w:before="120" w:beforeLines="50" w:line="300" w:lineRule="auto"/>
        <w:jc w:val="both"/>
        <w:rPr>
          <w:rFonts w:ascii="Times New Roman" w:hAnsi="Times New Roman" w:eastAsia="宋体" w:cs="宋体"/>
          <w:sz w:val="24"/>
          <w:lang w:eastAsia="zh-CN"/>
        </w:rPr>
      </w:pPr>
    </w:p>
    <w:p w14:paraId="48C5BAAE">
      <w:pPr>
        <w:tabs>
          <w:tab w:val="left" w:pos="280"/>
        </w:tabs>
        <w:adjustRightInd w:val="0"/>
        <w:snapToGrid w:val="0"/>
        <w:spacing w:before="120" w:beforeLines="50" w:line="300" w:lineRule="auto"/>
        <w:jc w:val="both"/>
        <w:rPr>
          <w:rFonts w:ascii="Times New Roman" w:hAnsi="Times New Roman" w:eastAsia="宋体" w:cs="宋体"/>
          <w:sz w:val="24"/>
          <w:lang w:eastAsia="zh-CN"/>
        </w:rPr>
      </w:pPr>
    </w:p>
    <w:p w14:paraId="649783B2">
      <w:pPr>
        <w:tabs>
          <w:tab w:val="left" w:pos="28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w:t>
      </w:r>
    </w:p>
    <w:p w14:paraId="23A41F61">
      <w:pPr>
        <w:pStyle w:val="25"/>
        <w:rPr>
          <w:rFonts w:ascii="宋体" w:hAnsi="宋体" w:eastAsia="宋体" w:cs="宋体"/>
          <w:color w:val="0000FF"/>
          <w:u w:val="single" w:color="0000FF"/>
          <w:lang w:eastAsia="zh-CN"/>
        </w:rPr>
      </w:pPr>
      <w:r>
        <w:rPr>
          <w:rFonts w:eastAsia="宋体" w:cs="宋体"/>
          <w:vertAlign w:val="superscript"/>
        </w:rPr>
        <w:t>10</w:t>
      </w:r>
      <w:r>
        <w:rPr>
          <w:rFonts w:hint="eastAsia" w:eastAsia="宋体" w:cs="宋体"/>
          <w:vertAlign w:val="superscript"/>
          <w:lang w:eastAsia="zh-CN"/>
        </w:rPr>
        <w:t xml:space="preserve"> </w:t>
      </w:r>
      <w:r>
        <w:rPr>
          <w:rFonts w:eastAsia="宋体" w:cs="宋体"/>
        </w:rPr>
        <w:t>可登录以下网址获取：</w:t>
      </w:r>
      <w:r>
        <w:fldChar w:fldCharType="begin"/>
      </w:r>
      <w:r>
        <w:instrText xml:space="preserve"> HYPERLINK "https://www.fda.gov/medical-devices/premarket-notification-510k/framework-safety-and-performance-based-pathway" \h </w:instrText>
      </w:r>
      <w:r>
        <w:fldChar w:fldCharType="separate"/>
      </w:r>
      <w:r>
        <w:rPr>
          <w:rFonts w:eastAsia="宋体" w:cs="宋体"/>
          <w:color w:val="0000FF"/>
          <w:u w:val="single" w:color="0000FF"/>
        </w:rPr>
        <w:t>https://www.fda.gov/medical-devices/premarket-notification-510k/framework-safety-and- performance-based-pathway</w:t>
      </w:r>
      <w:r>
        <w:rPr>
          <w:rFonts w:eastAsia="宋体" w:cs="宋体"/>
          <w:color w:val="0000FF"/>
          <w:u w:val="single" w:color="0000FF"/>
        </w:rPr>
        <w:fldChar w:fldCharType="end"/>
      </w:r>
    </w:p>
    <w:p w14:paraId="6A548C4D">
      <w:pPr>
        <w:pStyle w:val="25"/>
        <w:rPr>
          <w:rFonts w:eastAsia="宋体"/>
          <w:color w:val="0000FF"/>
          <w:u w:val="single" w:color="0000FF"/>
        </w:rPr>
      </w:pPr>
      <w:r>
        <w:rPr>
          <w:rFonts w:eastAsia="宋体"/>
          <w:color w:val="0000FF"/>
        </w:rPr>
        <w:br w:type="page"/>
      </w:r>
    </w:p>
    <w:p w14:paraId="48974B6D">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表1概述了在基于安全性和性能的途径下支持实质等同性结论所需的信息数量和类型。为了支持FDA通过该项目得出实质等同性结论，FDA希望提交人通过提交FDA认可标准的符合性声明</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w:t>
      </w:r>
      <w:r>
        <w:rPr>
          <w:rFonts w:hint="eastAsia" w:ascii="Times New Roman" w:hAnsi="Times New Roman" w:eastAsia="宋体" w:cs="宋体"/>
          <w:sz w:val="24"/>
          <w:lang w:eastAsia="zh-CN"/>
        </w:rPr>
        <w:t>测试方案</w:t>
      </w:r>
      <w:r>
        <w:rPr>
          <w:rFonts w:ascii="Times New Roman" w:hAnsi="Times New Roman" w:eastAsia="宋体" w:cs="宋体"/>
          <w:sz w:val="24"/>
          <w:lang w:eastAsia="zh-CN"/>
        </w:rPr>
        <w:t>、</w:t>
      </w:r>
      <w:r>
        <w:rPr>
          <w:rFonts w:hint="eastAsia" w:ascii="Times New Roman" w:hAnsi="Times New Roman" w:eastAsia="宋体" w:cs="宋体"/>
          <w:sz w:val="24"/>
          <w:lang w:eastAsia="zh-CN"/>
        </w:rPr>
        <w:t>测试结果概述</w:t>
      </w:r>
      <w:r>
        <w:rPr>
          <w:rFonts w:ascii="Times New Roman" w:hAnsi="Times New Roman" w:eastAsia="宋体" w:cs="宋体"/>
          <w:sz w:val="24"/>
          <w:lang w:eastAsia="zh-CN"/>
        </w:rPr>
        <w:t>和/或基础数据（即，完整的检测报告）（若适用）</w:t>
      </w:r>
      <w:r>
        <w:rPr>
          <w:rFonts w:hint="eastAsia" w:ascii="Times New Roman" w:hAnsi="Times New Roman" w:eastAsia="宋体" w:cs="宋体"/>
          <w:sz w:val="24"/>
          <w:lang w:eastAsia="zh-CN"/>
        </w:rPr>
        <w:t>，以</w:t>
      </w:r>
      <w:r>
        <w:rPr>
          <w:rFonts w:ascii="Times New Roman" w:hAnsi="Times New Roman" w:eastAsia="宋体" w:cs="宋体"/>
          <w:sz w:val="24"/>
          <w:lang w:eastAsia="zh-CN"/>
        </w:rPr>
        <w:t>证明新器械符合FDA</w:t>
      </w:r>
      <w:r>
        <w:rPr>
          <w:rFonts w:hint="eastAsia" w:ascii="Times New Roman" w:hAnsi="Times New Roman" w:eastAsia="宋体" w:cs="宋体"/>
          <w:sz w:val="24"/>
          <w:lang w:eastAsia="zh-CN"/>
        </w:rPr>
        <w:t>要求的</w:t>
      </w:r>
      <w:r>
        <w:rPr>
          <w:rFonts w:ascii="Times New Roman" w:hAnsi="Times New Roman" w:eastAsia="宋体" w:cs="宋体"/>
          <w:sz w:val="24"/>
          <w:lang w:eastAsia="zh-CN"/>
        </w:rPr>
        <w:t>性能标准。</w:t>
      </w:r>
      <w:r>
        <w:rPr>
          <w:rFonts w:hint="eastAsia" w:ascii="Times New Roman" w:hAnsi="Times New Roman" w:eastAsia="宋体" w:cs="宋体"/>
          <w:sz w:val="24"/>
          <w:lang w:eastAsia="zh-CN"/>
        </w:rPr>
        <w:t>当F</w:t>
      </w:r>
      <w:r>
        <w:rPr>
          <w:rFonts w:ascii="Times New Roman" w:hAnsi="Times New Roman" w:eastAsia="宋体" w:cs="宋体"/>
          <w:sz w:val="24"/>
          <w:lang w:eastAsia="zh-CN"/>
        </w:rPr>
        <w:t>DA</w:t>
      </w:r>
      <w:r>
        <w:rPr>
          <w:rFonts w:hint="eastAsia" w:ascii="Times New Roman" w:hAnsi="Times New Roman" w:eastAsia="宋体" w:cs="宋体"/>
          <w:sz w:val="24"/>
          <w:lang w:eastAsia="zh-CN"/>
        </w:rPr>
        <w:t>认可标准中定义了性能标准和测试方法（</w:t>
      </w:r>
      <w:r>
        <w:rPr>
          <w:rFonts w:ascii="Times New Roman" w:hAnsi="Times New Roman" w:eastAsia="宋体" w:cs="宋体"/>
          <w:sz w:val="24"/>
          <w:lang w:eastAsia="zh-CN"/>
        </w:rPr>
        <w:t>在相关的FDA指南中</w:t>
      </w:r>
      <w:r>
        <w:rPr>
          <w:rFonts w:hint="eastAsia" w:ascii="Times New Roman" w:hAnsi="Times New Roman" w:eastAsia="宋体" w:cs="宋体"/>
          <w:sz w:val="24"/>
          <w:lang w:eastAsia="zh-CN"/>
        </w:rPr>
        <w:t>定义），且</w:t>
      </w:r>
      <w:r>
        <w:rPr>
          <w:rFonts w:hint="eastAsia"/>
          <w:lang w:eastAsia="zh-CN"/>
        </w:rPr>
        <w:t>提交人采用相应的方法来满足性能要求，</w:t>
      </w:r>
      <w:r>
        <w:rPr>
          <w:rFonts w:ascii="Times New Roman" w:hAnsi="Times New Roman" w:eastAsia="宋体" w:cs="宋体"/>
          <w:sz w:val="24"/>
          <w:lang w:eastAsia="zh-CN"/>
        </w:rPr>
        <w:t>符合性声明应足以支持实质等同性的结论，除非相关的基于安全性和性能的途径指南中另有说明。当FDA制定性能标准并推荐或规定使用FDA认可标准中的检测方法时，采用推荐或指定</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方法的提交人</w:t>
      </w:r>
      <w:r>
        <w:rPr>
          <w:rFonts w:hint="eastAsia" w:ascii="Times New Roman" w:hAnsi="Times New Roman" w:eastAsia="宋体" w:cs="宋体"/>
          <w:sz w:val="24"/>
          <w:lang w:eastAsia="zh-CN"/>
        </w:rPr>
        <w:t>，除了</w:t>
      </w:r>
      <w:r>
        <w:rPr>
          <w:rFonts w:ascii="Times New Roman" w:hAnsi="Times New Roman" w:eastAsia="宋体" w:cs="宋体"/>
          <w:sz w:val="24"/>
          <w:lang w:eastAsia="zh-CN"/>
        </w:rPr>
        <w:t>符合性声明外，</w:t>
      </w:r>
      <w:r>
        <w:rPr>
          <w:rFonts w:hint="eastAsia" w:ascii="Times New Roman" w:hAnsi="Times New Roman" w:eastAsia="宋体" w:cs="宋体"/>
          <w:sz w:val="24"/>
          <w:lang w:eastAsia="zh-CN"/>
        </w:rPr>
        <w:t>还</w:t>
      </w:r>
      <w:r>
        <w:rPr>
          <w:rFonts w:ascii="Times New Roman" w:hAnsi="Times New Roman" w:eastAsia="宋体" w:cs="宋体"/>
          <w:sz w:val="24"/>
          <w:lang w:eastAsia="zh-CN"/>
        </w:rPr>
        <w:t>应提供</w:t>
      </w:r>
      <w:r>
        <w:rPr>
          <w:rFonts w:hint="eastAsia" w:ascii="Times New Roman" w:hAnsi="Times New Roman" w:eastAsia="宋体" w:cs="宋体"/>
          <w:sz w:val="24"/>
          <w:lang w:eastAsia="zh-CN"/>
        </w:rPr>
        <w:t>测试结果概述，以证明符合</w:t>
      </w:r>
      <w:r>
        <w:rPr>
          <w:rFonts w:ascii="Times New Roman" w:hAnsi="Times New Roman" w:eastAsia="宋体" w:cs="宋体"/>
          <w:sz w:val="24"/>
          <w:lang w:eastAsia="zh-CN"/>
        </w:rPr>
        <w:t>FDA</w:t>
      </w:r>
      <w:r>
        <w:rPr>
          <w:rFonts w:hint="eastAsia" w:ascii="Times New Roman" w:hAnsi="Times New Roman" w:eastAsia="宋体" w:cs="宋体"/>
          <w:sz w:val="24"/>
          <w:lang w:eastAsia="zh-CN"/>
        </w:rPr>
        <w:t>要求</w:t>
      </w:r>
      <w:r>
        <w:rPr>
          <w:rFonts w:ascii="Times New Roman" w:hAnsi="Times New Roman" w:eastAsia="宋体" w:cs="宋体"/>
          <w:sz w:val="24"/>
          <w:lang w:eastAsia="zh-CN"/>
        </w:rPr>
        <w:t>的性能标准。当FDA制定</w:t>
      </w:r>
      <w:r>
        <w:rPr>
          <w:rFonts w:hint="eastAsia" w:ascii="Times New Roman" w:hAnsi="Times New Roman" w:eastAsia="宋体" w:cs="宋体"/>
          <w:sz w:val="24"/>
          <w:lang w:eastAsia="zh-CN"/>
        </w:rPr>
        <w:t>了</w:t>
      </w:r>
      <w:r>
        <w:rPr>
          <w:rFonts w:ascii="Times New Roman" w:hAnsi="Times New Roman" w:eastAsia="宋体" w:cs="宋体"/>
          <w:sz w:val="24"/>
          <w:lang w:eastAsia="zh-CN"/>
        </w:rPr>
        <w:t>性能标准</w:t>
      </w:r>
      <w:r>
        <w:rPr>
          <w:rFonts w:hint="eastAsia" w:ascii="Times New Roman" w:hAnsi="Times New Roman" w:eastAsia="宋体" w:cs="宋体"/>
          <w:sz w:val="24"/>
          <w:lang w:eastAsia="zh-CN"/>
        </w:rPr>
        <w:t>，</w:t>
      </w:r>
      <w:r>
        <w:rPr>
          <w:rFonts w:ascii="Times New Roman" w:hAnsi="Times New Roman" w:eastAsia="宋体" w:cs="宋体"/>
          <w:sz w:val="24"/>
          <w:lang w:eastAsia="zh-CN"/>
        </w:rPr>
        <w:t>推荐或指定</w:t>
      </w:r>
      <w:r>
        <w:rPr>
          <w:rFonts w:hint="eastAsia" w:ascii="Times New Roman" w:hAnsi="Times New Roman" w:eastAsia="宋体" w:cs="宋体"/>
          <w:sz w:val="24"/>
          <w:lang w:eastAsia="zh-CN"/>
        </w:rPr>
        <w:t>了测试方法，但是在</w:t>
      </w:r>
      <w:r>
        <w:rPr>
          <w:rFonts w:ascii="Times New Roman" w:hAnsi="Times New Roman" w:eastAsia="宋体" w:cs="宋体"/>
          <w:sz w:val="24"/>
          <w:lang w:eastAsia="zh-CN"/>
        </w:rPr>
        <w:t>现有FDA认可标准中未</w:t>
      </w:r>
      <w:r>
        <w:rPr>
          <w:rFonts w:hint="eastAsia" w:ascii="Times New Roman" w:hAnsi="Times New Roman" w:eastAsia="宋体" w:cs="宋体"/>
          <w:sz w:val="24"/>
          <w:lang w:eastAsia="zh-CN"/>
        </w:rPr>
        <w:t>包含测试方法</w:t>
      </w:r>
      <w:r>
        <w:rPr>
          <w:rFonts w:ascii="Times New Roman" w:hAnsi="Times New Roman" w:eastAsia="宋体" w:cs="宋体"/>
          <w:sz w:val="24"/>
          <w:lang w:eastAsia="zh-CN"/>
        </w:rPr>
        <w:t>，</w:t>
      </w:r>
      <w:r>
        <w:rPr>
          <w:rFonts w:hint="eastAsia" w:ascii="Times New Roman" w:hAnsi="Times New Roman" w:eastAsia="宋体" w:cs="宋体"/>
          <w:sz w:val="24"/>
          <w:lang w:eastAsia="zh-CN"/>
        </w:rPr>
        <w:t>采用了该测试方法的</w:t>
      </w:r>
      <w:r>
        <w:rPr>
          <w:rFonts w:ascii="Times New Roman" w:hAnsi="Times New Roman" w:eastAsia="宋体" w:cs="宋体"/>
          <w:sz w:val="24"/>
          <w:lang w:eastAsia="zh-CN"/>
        </w:rPr>
        <w:t>提交人，提交人还应提交说明</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方法的</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方案以及可证明符合FDA</w:t>
      </w:r>
      <w:r>
        <w:rPr>
          <w:rFonts w:hint="eastAsia" w:ascii="Times New Roman" w:hAnsi="Times New Roman" w:eastAsia="宋体" w:cs="宋体"/>
          <w:sz w:val="24"/>
          <w:lang w:eastAsia="zh-CN"/>
        </w:rPr>
        <w:t>要求</w:t>
      </w:r>
      <w:r>
        <w:rPr>
          <w:rFonts w:ascii="Times New Roman" w:hAnsi="Times New Roman" w:eastAsia="宋体" w:cs="宋体"/>
          <w:sz w:val="24"/>
          <w:lang w:eastAsia="zh-CN"/>
        </w:rPr>
        <w:t>的性能标准的</w:t>
      </w:r>
      <w:r>
        <w:rPr>
          <w:rFonts w:hint="eastAsia" w:ascii="Times New Roman" w:hAnsi="Times New Roman" w:eastAsia="宋体" w:cs="宋体"/>
          <w:sz w:val="24"/>
          <w:lang w:eastAsia="zh-CN"/>
        </w:rPr>
        <w:t>测试结果概述</w:t>
      </w:r>
      <w:r>
        <w:rPr>
          <w:rFonts w:ascii="Times New Roman" w:hAnsi="Times New Roman" w:eastAsia="宋体" w:cs="宋体"/>
          <w:sz w:val="24"/>
          <w:lang w:eastAsia="zh-CN"/>
        </w:rPr>
        <w:t>。当没有指定或推荐</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方法时，或提交人选择使用指定或推荐方法以外的</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方法时，提交人应向FDA提交完整的检测报告。</w:t>
      </w:r>
    </w:p>
    <w:p w14:paraId="6F356C3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按照FDA关于所有510(k)申请的政策，针对基于安全性和性能的途径的全部510(k)申请，</w:t>
      </w:r>
      <w:r>
        <w:rPr>
          <w:rFonts w:hint="eastAsia" w:ascii="Times New Roman" w:hAnsi="Times New Roman" w:eastAsia="宋体" w:cs="宋体"/>
          <w:sz w:val="24"/>
          <w:lang w:eastAsia="zh-CN"/>
        </w:rPr>
        <w:t>如必要，</w:t>
      </w:r>
      <w:r>
        <w:rPr>
          <w:rFonts w:ascii="Times New Roman" w:hAnsi="Times New Roman" w:eastAsia="宋体" w:cs="宋体"/>
          <w:sz w:val="24"/>
          <w:lang w:eastAsia="zh-CN"/>
        </w:rPr>
        <w:t>FDA可要求并审查基础数据，以证明新器械符合FDA确定的性能标准和</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w:t>
      </w:r>
    </w:p>
    <w:p w14:paraId="6F84543D">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如果提交人提供的数据未证明新器械符合FDA</w:t>
      </w:r>
      <w:r>
        <w:rPr>
          <w:rFonts w:hint="eastAsia" w:ascii="Times New Roman" w:hAnsi="Times New Roman" w:eastAsia="宋体" w:cs="宋体"/>
          <w:sz w:val="24"/>
          <w:lang w:eastAsia="zh-CN"/>
        </w:rPr>
        <w:t>该类</w:t>
      </w:r>
      <w:r>
        <w:rPr>
          <w:rFonts w:ascii="Times New Roman" w:hAnsi="Times New Roman" w:eastAsia="宋体" w:cs="宋体"/>
          <w:sz w:val="24"/>
          <w:lang w:eastAsia="zh-CN"/>
        </w:rPr>
        <w:t>器械类型</w:t>
      </w:r>
      <w:r>
        <w:rPr>
          <w:rFonts w:hint="eastAsia" w:ascii="Times New Roman" w:hAnsi="Times New Roman" w:eastAsia="宋体" w:cs="宋体"/>
          <w:sz w:val="24"/>
          <w:lang w:eastAsia="zh-CN"/>
        </w:rPr>
        <w:t>要求的</w:t>
      </w:r>
      <w:r>
        <w:rPr>
          <w:rFonts w:ascii="Times New Roman" w:hAnsi="Times New Roman" w:eastAsia="宋体" w:cs="宋体"/>
          <w:sz w:val="24"/>
          <w:lang w:eastAsia="zh-CN"/>
        </w:rPr>
        <w:t>性能标准，则FDA将无法通过该项目查明新器械具有实质等同性。如前所述，提交人仍可使用其他可用的510(k)项目来证明实质等同性。</w:t>
      </w:r>
    </w:p>
    <w:p w14:paraId="42A08A1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3DE7DC8">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98C2AF0">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158056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8D39CC1">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931604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647195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00A3C75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62433CC">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55E3D9FF">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p>
    <w:p w14:paraId="212EFC85">
      <w:pPr>
        <w:adjustRightInd w:val="0"/>
        <w:snapToGrid w:val="0"/>
        <w:spacing w:before="120" w:beforeLines="50" w:line="300" w:lineRule="auto"/>
        <w:jc w:val="both"/>
        <w:rPr>
          <w:rFonts w:ascii="Times New Roman" w:hAnsi="Times New Roman" w:eastAsia="宋体" w:cs="Times New Roman"/>
          <w:snapToGrid w:val="0"/>
          <w:sz w:val="24"/>
          <w:szCs w:val="24"/>
        </w:rPr>
      </w:pPr>
      <w:r>
        <w:rPr>
          <w:rFonts w:ascii="Times New Roman" w:hAnsi="Times New Roman" w:eastAsia="宋体" w:cs="宋体"/>
          <w:sz w:val="24"/>
        </w:rPr>
        <w:t>____________________</w:t>
      </w:r>
    </w:p>
    <w:p w14:paraId="229A3344">
      <w:pPr>
        <w:pStyle w:val="25"/>
        <w:rPr>
          <w:rFonts w:eastAsia="宋体"/>
        </w:rPr>
      </w:pPr>
      <w:r>
        <w:rPr>
          <w:rFonts w:eastAsia="宋体" w:cs="宋体"/>
          <w:vertAlign w:val="superscript"/>
        </w:rPr>
        <w:t>11</w:t>
      </w:r>
      <w:r>
        <w:rPr>
          <w:rFonts w:eastAsia="宋体" w:cs="宋体"/>
        </w:rPr>
        <w:t xml:space="preserve"> 参见《FD&amp;C法案》第514(c)(1)(B)节和FDA指南《</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cs="宋体"/>
          <w:color w:val="0000FF"/>
          <w:u w:val="single" w:color="0000FF"/>
        </w:rPr>
        <w:t>在医疗器械上市前申请中适当使用自愿共识标准</w:t>
      </w:r>
      <w:r>
        <w:rPr>
          <w:rFonts w:eastAsia="宋体" w:cs="宋体"/>
          <w:color w:val="0000FF"/>
          <w:u w:val="single" w:color="0000FF"/>
        </w:rPr>
        <w:fldChar w:fldCharType="end"/>
      </w:r>
      <w:r>
        <w:rPr>
          <w:rFonts w:eastAsia="宋体" w:cs="宋体"/>
        </w:rPr>
        <w:t>》（</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cs="宋体"/>
          <w:color w:val="0000FF"/>
          <w:u w:val="single" w:color="0000FF"/>
        </w:rPr>
        <w:t>https://www.fda.gov/regulatory- information/search-fda-guidance-documents/appropriate-use-voluntary-consensus-standards-premarket- submissions-medical-devices</w:t>
      </w:r>
      <w:r>
        <w:rPr>
          <w:rFonts w:eastAsia="宋体" w:cs="宋体"/>
          <w:color w:val="0000FF"/>
          <w:u w:val="single" w:color="0000FF"/>
        </w:rPr>
        <w:fldChar w:fldCharType="end"/>
      </w:r>
      <w:r>
        <w:rPr>
          <w:rFonts w:eastAsia="宋体" w:cs="宋体"/>
        </w:rPr>
        <w:t>）</w:t>
      </w:r>
    </w:p>
    <w:p w14:paraId="10AD6CFB">
      <w:pPr>
        <w:rPr>
          <w:rFonts w:ascii="Times New Roman" w:hAnsi="Times New Roman" w:eastAsia="宋体" w:cs="Times New Roman"/>
          <w:snapToGrid w:val="0"/>
          <w:sz w:val="24"/>
          <w:szCs w:val="24"/>
        </w:rPr>
      </w:pPr>
      <w:r>
        <w:rPr>
          <w:rFonts w:ascii="Times New Roman" w:hAnsi="Times New Roman" w:eastAsia="宋体" w:cs="宋体"/>
          <w:sz w:val="24"/>
        </w:rPr>
        <w:br w:type="page"/>
      </w:r>
    </w:p>
    <w:p w14:paraId="683A9247">
      <w:pPr>
        <w:pStyle w:val="5"/>
        <w:adjustRightInd w:val="0"/>
        <w:snapToGrid w:val="0"/>
        <w:spacing w:before="120" w:beforeLines="50" w:line="300" w:lineRule="auto"/>
        <w:ind w:left="0"/>
        <w:jc w:val="center"/>
        <w:rPr>
          <w:rFonts w:eastAsia="宋体" w:cs="Times New Roman"/>
          <w:bCs w:val="0"/>
          <w:snapToGrid w:val="0"/>
          <w:u w:val="single"/>
          <w:lang w:eastAsia="zh-CN"/>
        </w:rPr>
      </w:pPr>
      <w:r>
        <w:rPr>
          <w:rFonts w:eastAsia="宋体" w:cs="宋体"/>
          <w:u w:val="single"/>
          <w:lang w:eastAsia="zh-CN"/>
        </w:rPr>
        <w:t>表1.</w:t>
      </w:r>
      <w:r>
        <w:rPr>
          <w:rFonts w:hint="eastAsia" w:eastAsia="宋体" w:cs="宋体"/>
          <w:u w:val="single"/>
          <w:lang w:eastAsia="zh-CN"/>
        </w:rPr>
        <w:t xml:space="preserve"> </w:t>
      </w:r>
      <w:r>
        <w:rPr>
          <w:rFonts w:eastAsia="宋体" w:cs="宋体"/>
          <w:u w:val="single"/>
          <w:lang w:eastAsia="zh-CN"/>
        </w:rPr>
        <w:t>FDA</w:t>
      </w:r>
      <w:r>
        <w:rPr>
          <w:rFonts w:hint="eastAsia" w:eastAsia="宋体" w:cs="宋体"/>
          <w:u w:val="single"/>
          <w:lang w:eastAsia="zh-CN"/>
        </w:rPr>
        <w:t>对证明器械符合</w:t>
      </w:r>
      <w:r>
        <w:rPr>
          <w:rFonts w:eastAsia="宋体" w:cs="宋体"/>
          <w:u w:val="single"/>
          <w:lang w:eastAsia="zh-CN"/>
        </w:rPr>
        <w:t>FDA</w:t>
      </w:r>
      <w:r>
        <w:rPr>
          <w:rFonts w:hint="eastAsia" w:eastAsia="宋体" w:cs="宋体"/>
          <w:u w:val="single"/>
          <w:lang w:eastAsia="zh-CN"/>
        </w:rPr>
        <w:t>指南中规定的性能标准和方法的信息进行审查，以便使用基于安全性和性能的途径进行申请</w:t>
      </w:r>
    </w:p>
    <w:tbl>
      <w:tblPr>
        <w:tblStyle w:val="16"/>
        <w:tblW w:w="5000" w:type="pct"/>
        <w:tblInd w:w="0" w:type="dxa"/>
        <w:tblLayout w:type="autofit"/>
        <w:tblCellMar>
          <w:top w:w="0" w:type="dxa"/>
          <w:left w:w="108" w:type="dxa"/>
          <w:bottom w:w="0" w:type="dxa"/>
          <w:right w:w="108" w:type="dxa"/>
        </w:tblCellMar>
      </w:tblPr>
      <w:tblGrid>
        <w:gridCol w:w="2413"/>
        <w:gridCol w:w="2799"/>
        <w:gridCol w:w="4075"/>
      </w:tblGrid>
      <w:tr w14:paraId="6FDC821B">
        <w:tblPrEx>
          <w:tblCellMar>
            <w:top w:w="0" w:type="dxa"/>
            <w:left w:w="108" w:type="dxa"/>
            <w:bottom w:w="0" w:type="dxa"/>
            <w:right w:w="108" w:type="dxa"/>
          </w:tblCellMar>
        </w:tblPrEx>
        <w:tc>
          <w:tcPr>
            <w:tcW w:w="2806" w:type="pct"/>
            <w:gridSpan w:val="2"/>
            <w:tcBorders>
              <w:top w:val="single" w:color="000000" w:sz="4" w:space="0"/>
              <w:left w:val="single" w:color="000000" w:sz="4" w:space="0"/>
              <w:bottom w:val="single" w:color="000000" w:sz="4" w:space="0"/>
              <w:right w:val="single" w:color="000000" w:sz="4" w:space="0"/>
            </w:tcBorders>
          </w:tcPr>
          <w:p w14:paraId="2A0A975E">
            <w:pPr>
              <w:pStyle w:val="18"/>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FDA在相关的基于安全性和性能的途径指南中确定的性能标准和方法类型</w:t>
            </w:r>
          </w:p>
        </w:tc>
        <w:tc>
          <w:tcPr>
            <w:tcW w:w="2194" w:type="pct"/>
            <w:tcBorders>
              <w:top w:val="single" w:color="000000" w:sz="4" w:space="0"/>
              <w:left w:val="single" w:color="000000" w:sz="4" w:space="0"/>
              <w:bottom w:val="single" w:color="000000" w:sz="4" w:space="0"/>
              <w:right w:val="single" w:color="000000" w:sz="4" w:space="0"/>
            </w:tcBorders>
          </w:tcPr>
          <w:p w14:paraId="735DC85D">
            <w:pPr>
              <w:pStyle w:val="18"/>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b/>
                <w:sz w:val="21"/>
                <w:lang w:eastAsia="zh-CN"/>
              </w:rPr>
              <w:t>基于安全性和性能途径的510(k)申请应包括</w:t>
            </w:r>
          </w:p>
        </w:tc>
      </w:tr>
      <w:tr w14:paraId="4CD32177">
        <w:tblPrEx>
          <w:tblCellMar>
            <w:top w:w="0" w:type="dxa"/>
            <w:left w:w="108" w:type="dxa"/>
            <w:bottom w:w="0" w:type="dxa"/>
            <w:right w:w="108" w:type="dxa"/>
          </w:tblCellMar>
        </w:tblPrEx>
        <w:tc>
          <w:tcPr>
            <w:tcW w:w="1299" w:type="pct"/>
            <w:tcBorders>
              <w:top w:val="single" w:color="000000" w:sz="4" w:space="0"/>
              <w:left w:val="single" w:color="000000" w:sz="4" w:space="0"/>
              <w:bottom w:val="single" w:color="000000" w:sz="4" w:space="0"/>
              <w:right w:val="single" w:color="000000" w:sz="4" w:space="0"/>
            </w:tcBorders>
          </w:tcPr>
          <w:p w14:paraId="79783C6B">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i/>
                <w:sz w:val="21"/>
              </w:rPr>
              <w:t>性能标准</w:t>
            </w:r>
          </w:p>
        </w:tc>
        <w:tc>
          <w:tcPr>
            <w:tcW w:w="1506" w:type="pct"/>
            <w:tcBorders>
              <w:top w:val="single" w:color="000000" w:sz="4" w:space="0"/>
              <w:left w:val="single" w:color="000000" w:sz="4" w:space="0"/>
              <w:bottom w:val="single" w:color="000000" w:sz="4" w:space="0"/>
              <w:right w:val="single" w:color="000000" w:sz="4" w:space="0"/>
            </w:tcBorders>
          </w:tcPr>
          <w:p w14:paraId="14B2C365">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i/>
                <w:sz w:val="21"/>
              </w:rPr>
              <w:t>测试方法</w:t>
            </w:r>
          </w:p>
        </w:tc>
        <w:tc>
          <w:tcPr>
            <w:tcW w:w="2194" w:type="pct"/>
            <w:tcBorders>
              <w:top w:val="single" w:color="000000" w:sz="4" w:space="0"/>
              <w:left w:val="single" w:color="000000" w:sz="4" w:space="0"/>
              <w:bottom w:val="single" w:color="000000" w:sz="4" w:space="0"/>
              <w:right w:val="single" w:color="000000" w:sz="4" w:space="0"/>
            </w:tcBorders>
            <w:shd w:val="clear" w:color="auto" w:fill="D8D8D8"/>
          </w:tcPr>
          <w:p w14:paraId="28FEAA2C">
            <w:pPr>
              <w:adjustRightInd w:val="0"/>
              <w:snapToGrid w:val="0"/>
              <w:spacing w:before="36" w:beforeLines="15" w:line="276" w:lineRule="auto"/>
              <w:jc w:val="center"/>
              <w:rPr>
                <w:rFonts w:ascii="Times New Roman" w:hAnsi="Times New Roman" w:cs="Times New Roman"/>
                <w:snapToGrid w:val="0"/>
                <w:sz w:val="21"/>
                <w:szCs w:val="21"/>
              </w:rPr>
            </w:pPr>
          </w:p>
        </w:tc>
      </w:tr>
      <w:tr w14:paraId="268D658F">
        <w:tblPrEx>
          <w:tblCellMar>
            <w:top w:w="0" w:type="dxa"/>
            <w:left w:w="108" w:type="dxa"/>
            <w:bottom w:w="0" w:type="dxa"/>
            <w:right w:w="108" w:type="dxa"/>
          </w:tblCellMar>
        </w:tblPrEx>
        <w:tc>
          <w:tcPr>
            <w:tcW w:w="1299" w:type="pct"/>
            <w:tcBorders>
              <w:top w:val="single" w:color="000000" w:sz="4" w:space="0"/>
              <w:left w:val="single" w:color="000000" w:sz="4" w:space="0"/>
              <w:bottom w:val="single" w:color="000000" w:sz="4" w:space="0"/>
              <w:right w:val="single" w:color="000000" w:sz="4" w:space="0"/>
            </w:tcBorders>
          </w:tcPr>
          <w:p w14:paraId="5AB7B702">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FDA认可标准</w:t>
            </w:r>
            <w:r>
              <w:rPr>
                <w:rFonts w:ascii="Times New Roman" w:hAnsi="Times New Roman" w:eastAsia="宋体" w:cs="宋体"/>
                <w:sz w:val="21"/>
                <w:vertAlign w:val="superscript"/>
              </w:rPr>
              <w:t>12</w:t>
            </w:r>
          </w:p>
        </w:tc>
        <w:tc>
          <w:tcPr>
            <w:tcW w:w="1506" w:type="pct"/>
            <w:tcBorders>
              <w:top w:val="single" w:color="000000" w:sz="4" w:space="0"/>
              <w:left w:val="single" w:color="000000" w:sz="4" w:space="0"/>
              <w:bottom w:val="single" w:color="000000" w:sz="4" w:space="0"/>
              <w:right w:val="single" w:color="000000" w:sz="4" w:space="0"/>
            </w:tcBorders>
          </w:tcPr>
          <w:p w14:paraId="54F4AD54">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FDA认可标准</w:t>
            </w:r>
            <w:r>
              <w:rPr>
                <w:rFonts w:ascii="Times New Roman" w:hAnsi="Times New Roman" w:eastAsia="宋体" w:cs="宋体"/>
                <w:sz w:val="21"/>
                <w:vertAlign w:val="superscript"/>
              </w:rPr>
              <w:t>12</w:t>
            </w:r>
          </w:p>
        </w:tc>
        <w:tc>
          <w:tcPr>
            <w:tcW w:w="2194" w:type="pct"/>
            <w:tcBorders>
              <w:top w:val="single" w:color="000000" w:sz="4" w:space="0"/>
              <w:left w:val="single" w:color="000000" w:sz="4" w:space="0"/>
              <w:bottom w:val="single" w:color="000000" w:sz="4" w:space="0"/>
              <w:right w:val="single" w:color="000000" w:sz="4" w:space="0"/>
            </w:tcBorders>
          </w:tcPr>
          <w:p w14:paraId="49AA550B">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符合性声明</w:t>
            </w:r>
            <w:r>
              <w:rPr>
                <w:rFonts w:ascii="Times New Roman" w:hAnsi="Times New Roman" w:eastAsia="宋体" w:cs="宋体"/>
                <w:sz w:val="21"/>
                <w:vertAlign w:val="superscript"/>
              </w:rPr>
              <w:t>13</w:t>
            </w:r>
          </w:p>
        </w:tc>
      </w:tr>
      <w:tr w14:paraId="330B77A8">
        <w:tblPrEx>
          <w:tblCellMar>
            <w:top w:w="0" w:type="dxa"/>
            <w:left w:w="108" w:type="dxa"/>
            <w:bottom w:w="0" w:type="dxa"/>
            <w:right w:w="108" w:type="dxa"/>
          </w:tblCellMar>
        </w:tblPrEx>
        <w:tc>
          <w:tcPr>
            <w:tcW w:w="1299" w:type="pct"/>
            <w:tcBorders>
              <w:top w:val="single" w:color="000000" w:sz="4" w:space="0"/>
              <w:left w:val="single" w:color="000000" w:sz="4" w:space="0"/>
              <w:bottom w:val="single" w:color="000000" w:sz="4" w:space="0"/>
              <w:right w:val="single" w:color="000000" w:sz="4" w:space="0"/>
            </w:tcBorders>
          </w:tcPr>
          <w:p w14:paraId="197DDB45">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FDA制定的标准</w:t>
            </w:r>
          </w:p>
        </w:tc>
        <w:tc>
          <w:tcPr>
            <w:tcW w:w="1506" w:type="pct"/>
            <w:tcBorders>
              <w:top w:val="single" w:color="000000" w:sz="4" w:space="0"/>
              <w:left w:val="single" w:color="000000" w:sz="4" w:space="0"/>
              <w:bottom w:val="single" w:color="000000" w:sz="4" w:space="0"/>
              <w:right w:val="single" w:color="000000" w:sz="4" w:space="0"/>
            </w:tcBorders>
          </w:tcPr>
          <w:p w14:paraId="0C51A203">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FDA认可标准</w:t>
            </w:r>
            <w:r>
              <w:rPr>
                <w:rFonts w:ascii="Times New Roman" w:hAnsi="Times New Roman" w:eastAsia="宋体" w:cs="宋体"/>
                <w:sz w:val="21"/>
                <w:vertAlign w:val="superscript"/>
              </w:rPr>
              <w:t>12</w:t>
            </w:r>
          </w:p>
        </w:tc>
        <w:tc>
          <w:tcPr>
            <w:tcW w:w="2194" w:type="pct"/>
            <w:tcBorders>
              <w:top w:val="single" w:color="000000" w:sz="4" w:space="0"/>
              <w:left w:val="single" w:color="000000" w:sz="4" w:space="0"/>
              <w:bottom w:val="single" w:color="000000" w:sz="4" w:space="0"/>
              <w:right w:val="single" w:color="000000" w:sz="4" w:space="0"/>
            </w:tcBorders>
          </w:tcPr>
          <w:p w14:paraId="32C10C8E">
            <w:pPr>
              <w:pStyle w:val="18"/>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hint="eastAsia" w:ascii="Times New Roman" w:hAnsi="Times New Roman" w:eastAsia="宋体" w:cs="宋体"/>
                <w:sz w:val="21"/>
                <w:lang w:eastAsia="zh-CN"/>
              </w:rPr>
              <w:t>测试结果概述</w:t>
            </w:r>
            <w:r>
              <w:rPr>
                <w:rFonts w:ascii="Times New Roman" w:hAnsi="Times New Roman" w:eastAsia="宋体" w:cs="宋体"/>
                <w:sz w:val="21"/>
                <w:vertAlign w:val="superscript"/>
                <w:lang w:eastAsia="zh-CN"/>
              </w:rPr>
              <w:t>14</w:t>
            </w:r>
            <w:r>
              <w:rPr>
                <w:rFonts w:ascii="Times New Roman" w:hAnsi="Times New Roman" w:eastAsia="宋体" w:cs="宋体"/>
                <w:sz w:val="21"/>
                <w:lang w:eastAsia="zh-CN"/>
              </w:rPr>
              <w:t>和符合性声明</w:t>
            </w:r>
            <w:r>
              <w:rPr>
                <w:rFonts w:ascii="Times New Roman" w:hAnsi="Times New Roman" w:eastAsia="宋体" w:cs="宋体"/>
                <w:sz w:val="21"/>
                <w:vertAlign w:val="superscript"/>
                <w:lang w:eastAsia="zh-CN"/>
              </w:rPr>
              <w:t>13</w:t>
            </w:r>
          </w:p>
        </w:tc>
      </w:tr>
      <w:tr w14:paraId="09EBC85A">
        <w:tblPrEx>
          <w:tblCellMar>
            <w:top w:w="0" w:type="dxa"/>
            <w:left w:w="108" w:type="dxa"/>
            <w:bottom w:w="0" w:type="dxa"/>
            <w:right w:w="108" w:type="dxa"/>
          </w:tblCellMar>
        </w:tblPrEx>
        <w:tc>
          <w:tcPr>
            <w:tcW w:w="1299" w:type="pct"/>
            <w:tcBorders>
              <w:top w:val="single" w:color="000000" w:sz="4" w:space="0"/>
              <w:left w:val="single" w:color="000000" w:sz="4" w:space="0"/>
              <w:bottom w:val="single" w:color="000000" w:sz="4" w:space="0"/>
              <w:right w:val="single" w:color="000000" w:sz="4" w:space="0"/>
            </w:tcBorders>
          </w:tcPr>
          <w:p w14:paraId="59FA3A3A">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FDA制定的标准</w:t>
            </w:r>
          </w:p>
        </w:tc>
        <w:tc>
          <w:tcPr>
            <w:tcW w:w="1506" w:type="pct"/>
            <w:tcBorders>
              <w:top w:val="single" w:color="000000" w:sz="4" w:space="0"/>
              <w:left w:val="single" w:color="000000" w:sz="4" w:space="0"/>
              <w:bottom w:val="single" w:color="000000" w:sz="4" w:space="0"/>
              <w:right w:val="single" w:color="000000" w:sz="4" w:space="0"/>
            </w:tcBorders>
          </w:tcPr>
          <w:p w14:paraId="6F98A6DF">
            <w:pPr>
              <w:pStyle w:val="18"/>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FDA推荐或指定的标准</w:t>
            </w:r>
          </w:p>
        </w:tc>
        <w:tc>
          <w:tcPr>
            <w:tcW w:w="2194" w:type="pct"/>
            <w:tcBorders>
              <w:top w:val="single" w:color="000000" w:sz="4" w:space="0"/>
              <w:left w:val="single" w:color="000000" w:sz="4" w:space="0"/>
              <w:bottom w:val="single" w:color="000000" w:sz="4" w:space="0"/>
              <w:right w:val="single" w:color="000000" w:sz="4" w:space="0"/>
            </w:tcBorders>
          </w:tcPr>
          <w:p w14:paraId="4E46B71E">
            <w:pPr>
              <w:pStyle w:val="18"/>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hint="eastAsia" w:ascii="Times New Roman" w:hAnsi="Times New Roman" w:eastAsia="宋体" w:cs="宋体"/>
                <w:sz w:val="21"/>
                <w:lang w:eastAsia="zh-CN"/>
              </w:rPr>
              <w:t>测试结果概述</w:t>
            </w:r>
            <w:r>
              <w:rPr>
                <w:rFonts w:ascii="Times New Roman" w:hAnsi="Times New Roman" w:eastAsia="宋体" w:cs="宋体"/>
                <w:sz w:val="21"/>
                <w:vertAlign w:val="superscript"/>
                <w:lang w:eastAsia="zh-CN"/>
              </w:rPr>
              <w:t>14</w:t>
            </w:r>
            <w:r>
              <w:rPr>
                <w:rFonts w:ascii="Times New Roman" w:hAnsi="Times New Roman" w:eastAsia="宋体" w:cs="宋体"/>
                <w:sz w:val="21"/>
                <w:lang w:eastAsia="zh-CN"/>
              </w:rPr>
              <w:t>和测试方案</w:t>
            </w:r>
            <w:r>
              <w:rPr>
                <w:rFonts w:ascii="Times New Roman" w:hAnsi="Times New Roman" w:eastAsia="宋体" w:cs="宋体"/>
                <w:sz w:val="21"/>
                <w:vertAlign w:val="superscript"/>
                <w:lang w:eastAsia="zh-CN"/>
              </w:rPr>
              <w:t>15</w:t>
            </w:r>
          </w:p>
        </w:tc>
      </w:tr>
      <w:tr w14:paraId="3AAD56E9">
        <w:tblPrEx>
          <w:tblCellMar>
            <w:top w:w="0" w:type="dxa"/>
            <w:left w:w="108" w:type="dxa"/>
            <w:bottom w:w="0" w:type="dxa"/>
            <w:right w:w="108" w:type="dxa"/>
          </w:tblCellMar>
        </w:tblPrEx>
        <w:tc>
          <w:tcPr>
            <w:tcW w:w="1299" w:type="pct"/>
            <w:tcBorders>
              <w:top w:val="single" w:color="000000" w:sz="4" w:space="0"/>
              <w:left w:val="single" w:color="000000" w:sz="4" w:space="0"/>
              <w:bottom w:val="single" w:color="000000" w:sz="4" w:space="0"/>
              <w:right w:val="single" w:color="000000" w:sz="4" w:space="0"/>
            </w:tcBorders>
          </w:tcPr>
          <w:p w14:paraId="3571DEFE">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FDA制定的标准</w:t>
            </w:r>
          </w:p>
        </w:tc>
        <w:tc>
          <w:tcPr>
            <w:tcW w:w="1506" w:type="pct"/>
            <w:tcBorders>
              <w:top w:val="single" w:color="000000" w:sz="4" w:space="0"/>
              <w:left w:val="single" w:color="000000" w:sz="4" w:space="0"/>
              <w:bottom w:val="single" w:color="000000" w:sz="4" w:space="0"/>
              <w:right w:val="single" w:color="000000" w:sz="4" w:space="0"/>
            </w:tcBorders>
          </w:tcPr>
          <w:p w14:paraId="6C8475E3">
            <w:pPr>
              <w:pStyle w:val="18"/>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sz w:val="21"/>
                <w:lang w:eastAsia="zh-CN"/>
              </w:rPr>
              <w:t>没有指定/推荐方法或使用FDA指定方法的替代方法</w:t>
            </w:r>
          </w:p>
        </w:tc>
        <w:tc>
          <w:tcPr>
            <w:tcW w:w="2194" w:type="pct"/>
            <w:tcBorders>
              <w:top w:val="single" w:color="000000" w:sz="4" w:space="0"/>
              <w:left w:val="single" w:color="000000" w:sz="4" w:space="0"/>
              <w:bottom w:val="single" w:color="000000" w:sz="4" w:space="0"/>
              <w:right w:val="single" w:color="000000" w:sz="4" w:space="0"/>
            </w:tcBorders>
          </w:tcPr>
          <w:p w14:paraId="30AB6779">
            <w:pPr>
              <w:pStyle w:val="18"/>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sz w:val="21"/>
              </w:rPr>
              <w:t>完整的测试报告</w:t>
            </w:r>
            <w:r>
              <w:rPr>
                <w:rFonts w:ascii="Times New Roman" w:hAnsi="Times New Roman" w:eastAsia="宋体" w:cs="宋体"/>
                <w:sz w:val="21"/>
                <w:vertAlign w:val="superscript"/>
              </w:rPr>
              <w:t>16</w:t>
            </w:r>
          </w:p>
        </w:tc>
      </w:tr>
    </w:tbl>
    <w:p w14:paraId="48C32E3A">
      <w:pPr>
        <w:pStyle w:val="26"/>
        <w:rPr>
          <w:rFonts w:eastAsia="宋体"/>
        </w:rPr>
      </w:pPr>
      <w:bookmarkStart w:id="6" w:name="_Toc92204044"/>
      <w:r>
        <w:rPr>
          <w:rFonts w:eastAsia="宋体" w:cs="宋体"/>
        </w:rPr>
        <w:t>D.</w:t>
      </w:r>
      <w:r>
        <w:rPr>
          <w:rFonts w:eastAsia="宋体" w:cs="宋体"/>
        </w:rPr>
        <w:tab/>
      </w:r>
      <w:r>
        <w:rPr>
          <w:rFonts w:eastAsia="宋体" w:cs="宋体"/>
        </w:rPr>
        <w:t>对列表的修改</w:t>
      </w:r>
      <w:bookmarkEnd w:id="6"/>
    </w:p>
    <w:p w14:paraId="455A98BB">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如上所述，FDA打算在其网站上</w:t>
      </w:r>
      <w:r>
        <w:rPr>
          <w:rFonts w:hint="eastAsia" w:ascii="Times New Roman" w:hAnsi="Times New Roman" w:eastAsia="宋体" w:cs="宋体"/>
          <w:sz w:val="24"/>
          <w:lang w:eastAsia="zh-CN"/>
        </w:rPr>
        <w:t>维护</w:t>
      </w:r>
      <w:r>
        <w:rPr>
          <w:rFonts w:ascii="Times New Roman" w:hAnsi="Times New Roman" w:eastAsia="宋体" w:cs="宋体"/>
          <w:sz w:val="24"/>
          <w:lang w:eastAsia="zh-CN"/>
        </w:rPr>
        <w:t>一份适用于基于安全性和性能的途径的器械类型表，并随附确定各种器械推荐的性能标准和测试方法的指南以及任何其他相关信息。FDA将</w:t>
      </w:r>
      <w:r>
        <w:rPr>
          <w:rFonts w:hint="eastAsia" w:ascii="Times New Roman" w:hAnsi="Times New Roman" w:eastAsia="宋体" w:cs="宋体"/>
          <w:sz w:val="24"/>
          <w:lang w:eastAsia="zh-CN"/>
        </w:rPr>
        <w:t>维护</w:t>
      </w:r>
      <w:r>
        <w:rPr>
          <w:rFonts w:ascii="Times New Roman" w:hAnsi="Times New Roman" w:eastAsia="宋体" w:cs="宋体"/>
          <w:sz w:val="24"/>
          <w:lang w:eastAsia="zh-CN"/>
        </w:rPr>
        <w:t>其网站上相应的器械类型表，增加器械类型，</w:t>
      </w:r>
      <w:r>
        <w:rPr>
          <w:rFonts w:hint="eastAsia" w:ascii="Times New Roman" w:hAnsi="Times New Roman" w:eastAsia="宋体" w:cs="宋体"/>
          <w:sz w:val="24"/>
          <w:lang w:eastAsia="zh-CN"/>
        </w:rPr>
        <w:t>并可能</w:t>
      </w:r>
      <w:r>
        <w:rPr>
          <w:rFonts w:ascii="Times New Roman" w:hAnsi="Times New Roman" w:eastAsia="宋体" w:cs="宋体"/>
          <w:sz w:val="24"/>
          <w:lang w:eastAsia="zh-CN"/>
        </w:rPr>
        <w:t>根据FDA的良好指导实践（21 CFR 10.115）</w:t>
      </w:r>
      <w:r>
        <w:rPr>
          <w:rFonts w:hint="eastAsia" w:ascii="Times New Roman" w:hAnsi="Times New Roman" w:eastAsia="宋体" w:cs="宋体"/>
          <w:sz w:val="24"/>
          <w:lang w:eastAsia="zh-CN"/>
        </w:rPr>
        <w:t>适时</w:t>
      </w:r>
      <w:r>
        <w:rPr>
          <w:rFonts w:ascii="Times New Roman" w:hAnsi="Times New Roman" w:eastAsia="宋体" w:cs="宋体"/>
          <w:sz w:val="24"/>
          <w:lang w:eastAsia="zh-CN"/>
        </w:rPr>
        <w:t>修改指导中相应性能标准和测试方法。FDA将定期审查适用的标准和指南，以确保其仍适用于此类器械。FDA可修改或删除列表中的条目，尤其是新信息表明确定指南中的性能标准不能完全支持实质等同性判定的情况。在这种情况下，本机构将从列表中删除该器械类型，或在列表中注明在</w:t>
      </w:r>
      <w:r>
        <w:rPr>
          <w:rFonts w:hint="eastAsia" w:ascii="Times New Roman" w:hAnsi="Times New Roman" w:eastAsia="宋体" w:cs="宋体"/>
          <w:sz w:val="24"/>
          <w:lang w:eastAsia="zh-CN"/>
        </w:rPr>
        <w:t>当</w:t>
      </w:r>
      <w:r>
        <w:rPr>
          <w:rFonts w:ascii="Times New Roman" w:hAnsi="Times New Roman" w:eastAsia="宋体" w:cs="宋体"/>
          <w:sz w:val="24"/>
          <w:lang w:eastAsia="zh-CN"/>
        </w:rPr>
        <w:t>性能标准的基本来源</w:t>
      </w:r>
      <w:r>
        <w:rPr>
          <w:rFonts w:hint="eastAsia" w:ascii="Times New Roman" w:hAnsi="Times New Roman" w:eastAsia="宋体" w:cs="宋体"/>
          <w:sz w:val="24"/>
          <w:lang w:eastAsia="zh-CN"/>
        </w:rPr>
        <w:t>更新时，</w:t>
      </w:r>
      <w:r>
        <w:rPr>
          <w:rFonts w:ascii="Times New Roman" w:hAnsi="Times New Roman" w:eastAsia="宋体" w:cs="宋体"/>
          <w:sz w:val="24"/>
          <w:lang w:eastAsia="zh-CN"/>
        </w:rPr>
        <w:t>可能需要进行</w:t>
      </w:r>
      <w:r>
        <w:rPr>
          <w:rFonts w:hint="eastAsia" w:ascii="Times New Roman" w:hAnsi="Times New Roman" w:eastAsia="宋体" w:cs="宋体"/>
          <w:sz w:val="24"/>
          <w:lang w:eastAsia="zh-CN"/>
        </w:rPr>
        <w:t>额外</w:t>
      </w:r>
      <w:r>
        <w:rPr>
          <w:rFonts w:ascii="Times New Roman" w:hAnsi="Times New Roman" w:eastAsia="宋体" w:cs="宋体"/>
          <w:sz w:val="24"/>
          <w:lang w:eastAsia="zh-CN"/>
        </w:rPr>
        <w:t>测试。列表变更适用于尚未提交510(k)的器械</w:t>
      </w:r>
      <w:r>
        <w:rPr>
          <w:rFonts w:hint="eastAsia" w:ascii="Times New Roman" w:hAnsi="Times New Roman" w:eastAsia="宋体" w:cs="宋体"/>
          <w:sz w:val="24"/>
          <w:lang w:eastAsia="zh-CN"/>
        </w:rPr>
        <w:t>，</w:t>
      </w:r>
      <w:r>
        <w:rPr>
          <w:rFonts w:ascii="Times New Roman" w:hAnsi="Times New Roman" w:eastAsia="宋体" w:cs="宋体"/>
          <w:sz w:val="24"/>
          <w:lang w:eastAsia="zh-CN"/>
        </w:rPr>
        <w:t>例如，当从列表中删除某一器械类型或</w:t>
      </w:r>
      <w:r>
        <w:rPr>
          <w:rFonts w:hint="eastAsia" w:ascii="Times New Roman" w:hAnsi="Times New Roman" w:eastAsia="宋体" w:cs="宋体"/>
          <w:sz w:val="24"/>
          <w:lang w:eastAsia="zh-CN"/>
        </w:rPr>
        <w:t>正式发布了</w:t>
      </w:r>
      <w:r>
        <w:rPr>
          <w:rFonts w:ascii="Times New Roman" w:hAnsi="Times New Roman" w:eastAsia="宋体" w:cs="宋体"/>
          <w:sz w:val="24"/>
          <w:lang w:eastAsia="zh-CN"/>
        </w:rPr>
        <w:t>更新指南。在从相应器械类型列表中删除器械类型之前，已通过基于安全性和性能的途径获批器械的批准不会受到列表变更的影响。此类器械可能受其他措施约束（如适当），以说明修改或从列表中删除的原因，例如，在存在安全性问题的情况下。</w:t>
      </w:r>
    </w:p>
    <w:p w14:paraId="2FBCF7DA">
      <w:pPr>
        <w:tabs>
          <w:tab w:val="left" w:pos="280"/>
        </w:tabs>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w:t>
      </w:r>
    </w:p>
    <w:p w14:paraId="7F7D3F0F">
      <w:pPr>
        <w:pStyle w:val="25"/>
        <w:rPr>
          <w:rFonts w:eastAsia="宋体"/>
          <w:lang w:eastAsia="zh-CN"/>
        </w:rPr>
      </w:pPr>
      <w:r>
        <w:rPr>
          <w:rFonts w:eastAsia="宋体" w:cs="宋体"/>
          <w:vertAlign w:val="superscript"/>
          <w:lang w:eastAsia="zh-CN"/>
        </w:rPr>
        <w:t>12</w:t>
      </w:r>
      <w:r>
        <w:rPr>
          <w:rFonts w:eastAsia="宋体" w:cs="宋体"/>
          <w:lang w:eastAsia="zh-CN"/>
        </w:rPr>
        <w:t xml:space="preserve"> 这里指FDA认可的共识标准，该标准在相关的基于安全性和性能的途径指南中予以指出，用于特定的设备类型。如第III.B节所述，如果FDA认可的共识标准中的性能标准尚未在FDA指南中确定用于基于安全和性能的途径，则本项目中不得使用该性能标准。</w:t>
      </w:r>
    </w:p>
    <w:p w14:paraId="02E90CA0">
      <w:pPr>
        <w:pStyle w:val="25"/>
        <w:rPr>
          <w:rFonts w:eastAsia="宋体"/>
        </w:rPr>
      </w:pPr>
      <w:r>
        <w:rPr>
          <w:rFonts w:eastAsia="宋体" w:cs="宋体"/>
          <w:vertAlign w:val="superscript"/>
        </w:rPr>
        <w:t>13</w:t>
      </w:r>
      <w:r>
        <w:rPr>
          <w:rFonts w:eastAsia="宋体" w:cs="宋体"/>
        </w:rPr>
        <w:t xml:space="preserve"> </w:t>
      </w:r>
      <w:r>
        <w:rPr>
          <w:rFonts w:eastAsia="宋体" w:cs="宋体"/>
        </w:rPr>
        <w:tab/>
      </w:r>
      <w:r>
        <w:rPr>
          <w:rFonts w:eastAsia="宋体" w:cs="宋体"/>
          <w:color w:val="000000"/>
        </w:rPr>
        <w:t>有关FDA符合性声明审查和补充备案文件的详细信息，参见FDA指南</w:t>
      </w:r>
      <w:r>
        <w:rPr>
          <w:rFonts w:eastAsia="宋体" w:cs="宋体"/>
        </w:rPr>
        <w:t>《</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cs="宋体"/>
          <w:color w:val="0000FF"/>
          <w:u w:val="single" w:color="0000FF"/>
        </w:rPr>
        <w:t>医疗器械上市前申请中适当使用自愿性共识标准</w:t>
      </w:r>
      <w:r>
        <w:rPr>
          <w:rFonts w:eastAsia="宋体" w:cs="宋体"/>
          <w:color w:val="0000FF"/>
          <w:u w:val="single" w:color="0000FF"/>
        </w:rPr>
        <w:fldChar w:fldCharType="end"/>
      </w:r>
      <w:r>
        <w:rPr>
          <w:rFonts w:eastAsia="宋体" w:cs="宋体"/>
        </w:rPr>
        <w:t>》（</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cs="宋体"/>
          <w:color w:val="0000FF"/>
          <w:u w:val="single" w:color="0000FF"/>
        </w:rPr>
        <w:t>https://www.fda.gov/regulatory-information/search-fda-guidance-documents/appropriate-use-voluntary-consensus-standards-premarket-submissions-medical-devices</w:t>
      </w:r>
      <w:r>
        <w:rPr>
          <w:rFonts w:eastAsia="宋体" w:cs="宋体"/>
          <w:color w:val="0000FF"/>
          <w:u w:val="single" w:color="0000FF"/>
        </w:rPr>
        <w:fldChar w:fldCharType="end"/>
      </w:r>
      <w:r>
        <w:rPr>
          <w:rFonts w:eastAsia="宋体" w:cs="宋体"/>
        </w:rPr>
        <w:t>）</w:t>
      </w:r>
      <w:r>
        <w:rPr>
          <w:rFonts w:eastAsia="宋体" w:cs="宋体"/>
          <w:color w:val="000000"/>
        </w:rPr>
        <w:t>表1。</w:t>
      </w:r>
    </w:p>
    <w:p w14:paraId="41961870">
      <w:pPr>
        <w:pStyle w:val="25"/>
        <w:rPr>
          <w:rFonts w:eastAsia="宋体"/>
        </w:rPr>
      </w:pPr>
      <w:r>
        <w:rPr>
          <w:rFonts w:eastAsia="宋体" w:cs="宋体"/>
          <w:vertAlign w:val="superscript"/>
        </w:rPr>
        <w:t>14</w:t>
      </w:r>
      <w:r>
        <w:rPr>
          <w:rFonts w:eastAsia="宋体" w:cs="宋体"/>
        </w:rPr>
        <w:t xml:space="preserve"> 请参见FDA指南《</w:t>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rFonts w:eastAsia="宋体" w:cs="宋体"/>
          <w:color w:val="0000FF"/>
          <w:u w:val="single" w:color="0000FF"/>
        </w:rPr>
        <w:t>上市前申请中非临床试验台性能测试信息的建议内容和格式</w:t>
      </w:r>
      <w:r>
        <w:rPr>
          <w:rFonts w:eastAsia="宋体" w:cs="宋体"/>
          <w:color w:val="0000FF"/>
          <w:u w:val="single" w:color="0000FF"/>
        </w:rPr>
        <w:fldChar w:fldCharType="end"/>
      </w:r>
      <w:r>
        <w:rPr>
          <w:rFonts w:eastAsia="宋体" w:cs="宋体"/>
        </w:rPr>
        <w:t>》（</w:t>
      </w:r>
      <w:r>
        <w:fldChar w:fldCharType="begin"/>
      </w:r>
      <w:r>
        <w:instrText xml:space="preserve"> HYPERLINK "https://www.fda.gov/regulatory-information/search-fda-guidance-documents/recommended-content-and-format-non-clinical-bench-performance-%20testing-information-premarket" </w:instrText>
      </w:r>
      <w:r>
        <w:fldChar w:fldCharType="separate"/>
      </w:r>
      <w:r>
        <w:rPr>
          <w:rStyle w:val="15"/>
          <w:rFonts w:eastAsia="宋体" w:cs="宋体"/>
          <w:u w:color="0000FF"/>
        </w:rPr>
        <w:t>https://www.fda.gov/regulatory-information/search-fda-guidance-documents/recommended-content-and-format-non-clinical-bench-performance- testing-information-premarket</w:t>
      </w:r>
      <w:r>
        <w:rPr>
          <w:rStyle w:val="15"/>
          <w:rFonts w:eastAsia="宋体" w:cs="宋体"/>
          <w:u w:color="0000FF"/>
        </w:rPr>
        <w:fldChar w:fldCharType="end"/>
      </w:r>
      <w:r>
        <w:rPr>
          <w:rFonts w:eastAsia="宋体" w:cs="宋体"/>
        </w:rPr>
        <w:t>）第II.A.5节结果总结的描述。</w:t>
      </w:r>
    </w:p>
    <w:p w14:paraId="36345104">
      <w:pPr>
        <w:pStyle w:val="25"/>
        <w:rPr>
          <w:rFonts w:eastAsia="宋体"/>
          <w:lang w:eastAsia="zh-CN"/>
        </w:rPr>
      </w:pPr>
      <w:r>
        <w:rPr>
          <w:rFonts w:eastAsia="宋体" w:cs="宋体"/>
          <w:vertAlign w:val="superscript"/>
          <w:lang w:eastAsia="zh-CN"/>
        </w:rPr>
        <w:t>15</w:t>
      </w:r>
      <w:r>
        <w:rPr>
          <w:rFonts w:eastAsia="宋体" w:cs="宋体"/>
          <w:lang w:eastAsia="zh-CN"/>
        </w:rPr>
        <w:t xml:space="preserve"> 请参见FDA指南《</w:t>
      </w:r>
      <w:r>
        <w:fldChar w:fldCharType="begin"/>
      </w:r>
      <w:r>
        <w:rPr>
          <w:lang w:eastAsia="zh-CN"/>
        </w:rPr>
        <w:instrText xml:space="preserve"> HYPERLINK "https://www.fda.gov/regulatory-information/search-fda-guidance-documents/recommended-content-and-format-non-clinical-bench-performance-testing-information-premarket" \h </w:instrText>
      </w:r>
      <w:r>
        <w:fldChar w:fldCharType="separate"/>
      </w:r>
      <w:r>
        <w:rPr>
          <w:rFonts w:eastAsia="宋体" w:cs="宋体"/>
          <w:color w:val="0000FF"/>
          <w:u w:val="single" w:color="0000FF"/>
          <w:lang w:eastAsia="zh-CN"/>
        </w:rPr>
        <w:t>上市前申请中非临床试验台性能测试信息的建议内容和格式</w:t>
      </w:r>
      <w:r>
        <w:rPr>
          <w:rFonts w:ascii="宋体" w:hAnsi="宋体" w:eastAsia="宋体" w:cs="宋体"/>
          <w:color w:val="0000FF"/>
          <w:u w:val="single" w:color="0000FF"/>
        </w:rPr>
        <w:fldChar w:fldCharType="end"/>
      </w:r>
      <w:r>
        <w:rPr>
          <w:rFonts w:eastAsia="宋体" w:cs="宋体"/>
          <w:lang w:eastAsia="zh-CN"/>
        </w:rPr>
        <w:t>》第II.C节测试方案的描述。</w:t>
      </w:r>
    </w:p>
    <w:p w14:paraId="170717DD">
      <w:pPr>
        <w:pStyle w:val="25"/>
        <w:rPr>
          <w:rFonts w:eastAsia="宋体"/>
          <w:lang w:eastAsia="zh-CN"/>
        </w:rPr>
      </w:pPr>
      <w:r>
        <w:rPr>
          <w:rFonts w:eastAsia="宋体" w:cs="宋体"/>
          <w:vertAlign w:val="superscript"/>
          <w:lang w:eastAsia="zh-CN"/>
        </w:rPr>
        <w:t>16</w:t>
      </w:r>
      <w:r>
        <w:rPr>
          <w:rFonts w:eastAsia="宋体" w:cs="宋体"/>
          <w:lang w:eastAsia="zh-CN"/>
        </w:rPr>
        <w:t xml:space="preserve"> 请参见FDA指南《</w:t>
      </w:r>
      <w:r>
        <w:fldChar w:fldCharType="begin"/>
      </w:r>
      <w:r>
        <w:rPr>
          <w:lang w:eastAsia="zh-CN"/>
        </w:rPr>
        <w:instrText xml:space="preserve"> HYPERLINK "https://www.fda.gov/regulatory-information/search-fda-guidance-documents/recommended-content-and-format-non-clinical-bench-performance-testing-information-premarket" \h </w:instrText>
      </w:r>
      <w:r>
        <w:fldChar w:fldCharType="separate"/>
      </w:r>
      <w:r>
        <w:rPr>
          <w:rFonts w:eastAsia="宋体" w:cs="宋体"/>
          <w:color w:val="0000FF"/>
          <w:u w:val="single" w:color="0000FF"/>
          <w:lang w:eastAsia="zh-CN"/>
        </w:rPr>
        <w:t>上市前申请中非临床试验台性能测试信息的建议内容和格式</w:t>
      </w:r>
      <w:r>
        <w:rPr>
          <w:rFonts w:ascii="宋体" w:hAnsi="宋体" w:eastAsia="宋体" w:cs="宋体"/>
          <w:color w:val="0000FF"/>
          <w:u w:val="single" w:color="0000FF"/>
        </w:rPr>
        <w:fldChar w:fldCharType="end"/>
      </w:r>
      <w:r>
        <w:rPr>
          <w:rFonts w:eastAsia="宋体" w:cs="宋体"/>
          <w:lang w:eastAsia="zh-CN"/>
        </w:rPr>
        <w:t>》第II.B节完整测试报告的描述。</w:t>
      </w:r>
    </w:p>
    <w:p w14:paraId="5897DE4C">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5537FD26">
      <w:pPr>
        <w:pStyle w:val="22"/>
        <w:rPr>
          <w:rFonts w:eastAsia="宋体"/>
          <w:lang w:eastAsia="zh-CN"/>
        </w:rPr>
      </w:pPr>
      <w:bookmarkStart w:id="7" w:name="_Toc92204045"/>
      <w:r>
        <w:rPr>
          <w:rFonts w:eastAsia="宋体" w:cs="宋体"/>
          <w:lang w:eastAsia="zh-CN"/>
        </w:rPr>
        <w:t>附录：基于安全性和性能途径中的510(k)申请建议</w:t>
      </w:r>
      <w:bookmarkEnd w:id="7"/>
    </w:p>
    <w:p w14:paraId="5FF7781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基于安全和性能的510(k)必须符合21 CFR 807.87中为支持实质等同性决定而提交的上市前通知的内容要求。本附录就如何将一般510(k)格式指南中的建议应用于采用本指南所述方法的基于安全性和性能的510(k)格式和内容提供了建议。这些建议也旨在确保将FDA指南《</w:t>
      </w:r>
      <w:r>
        <w:fldChar w:fldCharType="begin"/>
      </w:r>
      <w:r>
        <w:rPr>
          <w:lang w:eastAsia="zh-CN"/>
        </w:rPr>
        <w:instrText xml:space="preserve"> HYPERLINK "https://www.fda.gov/regulatory-information/search-fda-guidance-documents/refuse-accept-policy-510ks" \h </w:instrText>
      </w:r>
      <w:r>
        <w:fldChar w:fldCharType="separate"/>
      </w:r>
      <w:r>
        <w:rPr>
          <w:rFonts w:ascii="Times New Roman" w:hAnsi="Times New Roman" w:eastAsia="宋体" w:cs="宋体"/>
          <w:snapToGrid w:val="0"/>
          <w:color w:val="0000FF"/>
          <w:sz w:val="24"/>
          <w:szCs w:val="24"/>
          <w:u w:val="single" w:color="0000FF"/>
          <w:lang w:eastAsia="zh-CN"/>
        </w:rPr>
        <w:t>510(k)拒绝受理政策</w:t>
      </w:r>
      <w:r>
        <w:rPr>
          <w:rFonts w:ascii="宋体" w:hAnsi="宋体" w:eastAsia="宋体" w:cs="宋体"/>
          <w:snapToGrid w:val="0"/>
          <w:color w:val="0000FF"/>
          <w:sz w:val="24"/>
          <w:szCs w:val="24"/>
          <w:u w:val="single" w:color="0000FF"/>
        </w:rPr>
        <w:fldChar w:fldCharType="end"/>
      </w:r>
      <w:r>
        <w:rPr>
          <w:rFonts w:ascii="Times New Roman" w:hAnsi="Times New Roman" w:eastAsia="宋体" w:cs="宋体"/>
          <w:sz w:val="24"/>
          <w:lang w:eastAsia="zh-CN"/>
        </w:rPr>
        <w:t>》（</w:t>
      </w:r>
      <w:r>
        <w:rPr>
          <w:rFonts w:ascii="Times New Roman" w:hAnsi="Times New Roman" w:eastAsia="宋体" w:cs="宋体"/>
          <w:color w:val="000000"/>
          <w:sz w:val="24"/>
          <w:lang w:eastAsia="zh-CN"/>
        </w:rPr>
        <w:t>RTA政策指南）</w:t>
      </w:r>
      <w:r>
        <w:rPr>
          <w:rFonts w:ascii="Times New Roman" w:hAnsi="Times New Roman" w:eastAsia="宋体" w:cs="宋体"/>
          <w:color w:val="000000"/>
          <w:sz w:val="24"/>
          <w:vertAlign w:val="superscript"/>
          <w:lang w:eastAsia="zh-CN"/>
        </w:rPr>
        <w:t>17</w:t>
      </w:r>
      <w:r>
        <w:rPr>
          <w:rFonts w:ascii="Times New Roman" w:hAnsi="Times New Roman" w:eastAsia="宋体" w:cs="宋体"/>
          <w:color w:val="000000"/>
          <w:sz w:val="24"/>
          <w:lang w:eastAsia="zh-CN"/>
        </w:rPr>
        <w:t>中建议的要素适当纳入提交资料中。</w:t>
      </w:r>
    </w:p>
    <w:p w14:paraId="33C6E9A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根据RTA政策指南，本机构建议在根据本指南提交基于安全性和性能的510(k)时纳入下列章节标题，最好按照以下顺序列出。在某些情况下，特定章节中的信息可能不适用于</w:t>
      </w:r>
      <w:r>
        <w:rPr>
          <w:rFonts w:hint="eastAsia" w:ascii="Times New Roman" w:hAnsi="Times New Roman" w:eastAsia="宋体" w:cs="宋体"/>
          <w:sz w:val="24"/>
          <w:lang w:eastAsia="zh-CN"/>
        </w:rPr>
        <w:t>该</w:t>
      </w:r>
      <w:r>
        <w:rPr>
          <w:rFonts w:ascii="Times New Roman" w:hAnsi="Times New Roman" w:eastAsia="宋体" w:cs="宋体"/>
          <w:sz w:val="24"/>
          <w:lang w:eastAsia="zh-CN"/>
        </w:rPr>
        <w:t>器械。为了帮助审查人员，本机构建议按照所列顺序保留该节标题。如果认为某一章节不适用，本机构建议纳入该节并在该标题下注明“本章节不适用”或“N/A”，并说明本节不适用的原因。例如，如果器械不包含任何软件，本机构建议在第16节“软件”中说明“本节不适用，因为该申报器械不包含软件”。</w:t>
      </w:r>
    </w:p>
    <w:p w14:paraId="70FEFA64">
      <w:pPr>
        <w:adjustRightInd w:val="0"/>
        <w:snapToGrid w:val="0"/>
        <w:spacing w:before="120" w:beforeLines="50"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sz w:val="24"/>
          <w:lang w:eastAsia="zh-CN"/>
        </w:rPr>
        <w:t>医疗器械用户</w:t>
      </w:r>
      <w:r>
        <w:rPr>
          <w:rFonts w:hint="eastAsia" w:ascii="Times New Roman" w:hAnsi="Times New Roman" w:eastAsia="宋体" w:cs="宋体"/>
          <w:sz w:val="24"/>
          <w:lang w:eastAsia="zh-CN"/>
        </w:rPr>
        <w:t>费用</w:t>
      </w:r>
      <w:r>
        <w:rPr>
          <w:rFonts w:ascii="Times New Roman" w:hAnsi="Times New Roman" w:eastAsia="宋体" w:cs="宋体"/>
          <w:sz w:val="24"/>
          <w:lang w:eastAsia="zh-CN"/>
        </w:rPr>
        <w:t>封页（表格FDA 3601）</w:t>
      </w:r>
    </w:p>
    <w:p w14:paraId="00D8D427">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2.</w:t>
      </w:r>
      <w:r>
        <w:rPr>
          <w:rFonts w:ascii="Times New Roman" w:hAnsi="Times New Roman" w:eastAsia="宋体" w:cs="宋体"/>
          <w:sz w:val="24"/>
          <w:lang w:eastAsia="zh-CN"/>
        </w:rPr>
        <w:tab/>
      </w:r>
      <w:r>
        <w:rPr>
          <w:rFonts w:ascii="Times New Roman" w:hAnsi="Times New Roman" w:eastAsia="宋体" w:cs="宋体"/>
          <w:sz w:val="24"/>
          <w:lang w:eastAsia="zh-CN"/>
        </w:rPr>
        <w:t>CDRH上市前审评申报资料封页（表格FDA 3514）</w:t>
      </w:r>
    </w:p>
    <w:p w14:paraId="194F9F88">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3.</w:t>
      </w:r>
      <w:r>
        <w:rPr>
          <w:rFonts w:ascii="Times New Roman" w:hAnsi="Times New Roman" w:eastAsia="宋体" w:cs="宋体"/>
          <w:sz w:val="24"/>
          <w:lang w:eastAsia="zh-CN"/>
        </w:rPr>
        <w:tab/>
      </w:r>
      <w:r>
        <w:rPr>
          <w:rFonts w:ascii="Times New Roman" w:hAnsi="Times New Roman" w:eastAsia="宋体" w:cs="宋体"/>
          <w:sz w:val="24"/>
          <w:lang w:eastAsia="zh-CN"/>
        </w:rPr>
        <w:t>510(k)附函</w:t>
      </w:r>
    </w:p>
    <w:p w14:paraId="1EA7E333">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4.</w:t>
      </w:r>
      <w:r>
        <w:rPr>
          <w:rFonts w:ascii="Times New Roman" w:hAnsi="Times New Roman" w:eastAsia="宋体" w:cs="宋体"/>
          <w:sz w:val="24"/>
          <w:lang w:eastAsia="zh-CN"/>
        </w:rPr>
        <w:tab/>
      </w:r>
      <w:r>
        <w:rPr>
          <w:rFonts w:ascii="Times New Roman" w:hAnsi="Times New Roman" w:eastAsia="宋体" w:cs="宋体"/>
          <w:sz w:val="24"/>
          <w:lang w:eastAsia="zh-CN"/>
        </w:rPr>
        <w:t>适用范围声明（FDA表格3881）</w:t>
      </w:r>
    </w:p>
    <w:p w14:paraId="29C3E2C0">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5.</w:t>
      </w:r>
      <w:r>
        <w:rPr>
          <w:rFonts w:ascii="Times New Roman" w:hAnsi="Times New Roman" w:eastAsia="宋体" w:cs="宋体"/>
          <w:sz w:val="24"/>
          <w:lang w:eastAsia="zh-CN"/>
        </w:rPr>
        <w:tab/>
      </w:r>
      <w:r>
        <w:rPr>
          <w:rFonts w:ascii="Times New Roman" w:hAnsi="Times New Roman" w:eastAsia="宋体" w:cs="宋体"/>
          <w:sz w:val="24"/>
          <w:lang w:eastAsia="zh-CN"/>
        </w:rPr>
        <w:t>510(k)概要或510(k)声明</w:t>
      </w:r>
    </w:p>
    <w:p w14:paraId="5ADE98F5">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6.</w:t>
      </w:r>
      <w:r>
        <w:rPr>
          <w:rFonts w:ascii="Times New Roman" w:hAnsi="Times New Roman" w:eastAsia="宋体" w:cs="宋体"/>
          <w:sz w:val="24"/>
          <w:lang w:eastAsia="zh-CN"/>
        </w:rPr>
        <w:tab/>
      </w:r>
      <w:r>
        <w:rPr>
          <w:rFonts w:ascii="Times New Roman" w:hAnsi="Times New Roman" w:eastAsia="宋体" w:cs="宋体"/>
          <w:sz w:val="24"/>
          <w:lang w:eastAsia="zh-CN"/>
        </w:rPr>
        <w:t>真实性和准确性声明</w:t>
      </w:r>
    </w:p>
    <w:p w14:paraId="289ECFDA">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7.</w:t>
      </w:r>
      <w:r>
        <w:rPr>
          <w:rFonts w:ascii="Times New Roman" w:hAnsi="Times New Roman" w:eastAsia="宋体" w:cs="宋体"/>
          <w:sz w:val="24"/>
          <w:lang w:eastAsia="zh-CN"/>
        </w:rPr>
        <w:tab/>
      </w:r>
      <w:r>
        <w:rPr>
          <w:rFonts w:ascii="Times New Roman" w:hAnsi="Times New Roman" w:eastAsia="宋体" w:cs="宋体"/>
          <w:sz w:val="24"/>
          <w:lang w:eastAsia="zh-CN"/>
        </w:rPr>
        <w:t>第III类器械概要与认证</w:t>
      </w:r>
    </w:p>
    <w:p w14:paraId="6F989C15">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8.</w:t>
      </w:r>
      <w:r>
        <w:rPr>
          <w:rFonts w:ascii="Times New Roman" w:hAnsi="Times New Roman" w:eastAsia="宋体" w:cs="宋体"/>
          <w:sz w:val="24"/>
          <w:lang w:eastAsia="zh-CN"/>
        </w:rPr>
        <w:tab/>
      </w:r>
      <w:r>
        <w:rPr>
          <w:rFonts w:ascii="Times New Roman" w:hAnsi="Times New Roman" w:eastAsia="宋体" w:cs="宋体"/>
          <w:sz w:val="24"/>
          <w:lang w:eastAsia="zh-CN"/>
        </w:rPr>
        <w:t>财务证明和/或披露声明（表FDA 3454和表FDA 3455）</w:t>
      </w:r>
    </w:p>
    <w:p w14:paraId="4CA8D32E">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9.</w:t>
      </w:r>
      <w:r>
        <w:rPr>
          <w:rFonts w:ascii="Times New Roman" w:hAnsi="Times New Roman" w:eastAsia="宋体" w:cs="宋体"/>
          <w:sz w:val="24"/>
          <w:lang w:eastAsia="zh-CN"/>
        </w:rPr>
        <w:tab/>
      </w:r>
      <w:r>
        <w:rPr>
          <w:rFonts w:ascii="Times New Roman" w:hAnsi="Times New Roman" w:eastAsia="宋体" w:cs="宋体"/>
          <w:sz w:val="24"/>
          <w:lang w:eastAsia="zh-CN"/>
        </w:rPr>
        <w:t>符合性声明和总结报告</w:t>
      </w:r>
    </w:p>
    <w:p w14:paraId="03BA67CD">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10.</w:t>
      </w:r>
      <w:r>
        <w:rPr>
          <w:rFonts w:ascii="Times New Roman" w:hAnsi="Times New Roman" w:eastAsia="宋体" w:cs="宋体"/>
          <w:sz w:val="24"/>
          <w:lang w:eastAsia="zh-CN"/>
        </w:rPr>
        <w:tab/>
      </w:r>
      <w:r>
        <w:rPr>
          <w:rFonts w:ascii="Times New Roman" w:hAnsi="Times New Roman" w:eastAsia="宋体" w:cs="宋体"/>
          <w:sz w:val="24"/>
          <w:lang w:eastAsia="zh-CN"/>
        </w:rPr>
        <w:t>器械描述</w:t>
      </w:r>
    </w:p>
    <w:p w14:paraId="212CE004">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11.</w:t>
      </w:r>
      <w:r>
        <w:rPr>
          <w:rFonts w:ascii="Times New Roman" w:hAnsi="Times New Roman" w:eastAsia="宋体" w:cs="宋体"/>
          <w:sz w:val="24"/>
          <w:lang w:eastAsia="zh-CN"/>
        </w:rPr>
        <w:tab/>
      </w:r>
      <w:r>
        <w:rPr>
          <w:rFonts w:ascii="Times New Roman" w:hAnsi="Times New Roman" w:eastAsia="宋体" w:cs="宋体"/>
          <w:sz w:val="24"/>
          <w:lang w:eastAsia="zh-CN"/>
        </w:rPr>
        <w:t>执行摘要/同品种器械对比</w:t>
      </w:r>
    </w:p>
    <w:p w14:paraId="519ACA4D">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12.</w:t>
      </w:r>
      <w:r>
        <w:rPr>
          <w:rFonts w:ascii="Times New Roman" w:hAnsi="Times New Roman" w:eastAsia="宋体" w:cs="宋体"/>
          <w:sz w:val="24"/>
          <w:lang w:eastAsia="zh-CN"/>
        </w:rPr>
        <w:tab/>
      </w:r>
      <w:r>
        <w:rPr>
          <w:rFonts w:ascii="Times New Roman" w:hAnsi="Times New Roman" w:eastAsia="宋体" w:cs="宋体"/>
          <w:sz w:val="24"/>
          <w:lang w:eastAsia="zh-CN"/>
        </w:rPr>
        <w:t>实质等同性讨论</w:t>
      </w:r>
    </w:p>
    <w:p w14:paraId="3A4FC570">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13.</w:t>
      </w:r>
      <w:r>
        <w:rPr>
          <w:rFonts w:ascii="Times New Roman" w:hAnsi="Times New Roman" w:eastAsia="宋体" w:cs="宋体"/>
          <w:sz w:val="24"/>
          <w:lang w:eastAsia="zh-CN"/>
        </w:rPr>
        <w:tab/>
      </w:r>
      <w:r>
        <w:rPr>
          <w:rFonts w:ascii="Times New Roman" w:hAnsi="Times New Roman" w:eastAsia="宋体" w:cs="宋体"/>
          <w:sz w:val="24"/>
          <w:lang w:eastAsia="zh-CN"/>
        </w:rPr>
        <w:t>申报标签</w:t>
      </w:r>
    </w:p>
    <w:p w14:paraId="21562EE2">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14.</w:t>
      </w:r>
      <w:r>
        <w:rPr>
          <w:rFonts w:ascii="Times New Roman" w:hAnsi="Times New Roman" w:eastAsia="宋体" w:cs="宋体"/>
          <w:sz w:val="24"/>
          <w:lang w:eastAsia="zh-CN"/>
        </w:rPr>
        <w:tab/>
      </w:r>
      <w:r>
        <w:rPr>
          <w:rFonts w:ascii="Times New Roman" w:hAnsi="Times New Roman" w:eastAsia="宋体" w:cs="宋体"/>
          <w:sz w:val="24"/>
          <w:lang w:eastAsia="zh-CN"/>
        </w:rPr>
        <w:t>灭菌和</w:t>
      </w:r>
      <w:r>
        <w:rPr>
          <w:rFonts w:hint="eastAsia" w:ascii="Times New Roman" w:hAnsi="Times New Roman" w:eastAsia="宋体" w:cs="宋体"/>
          <w:sz w:val="24"/>
          <w:lang w:eastAsia="zh-CN"/>
        </w:rPr>
        <w:t>货架有效期</w:t>
      </w:r>
    </w:p>
    <w:p w14:paraId="02515BBD">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15.</w:t>
      </w:r>
      <w:r>
        <w:rPr>
          <w:rFonts w:ascii="Times New Roman" w:hAnsi="Times New Roman" w:eastAsia="宋体" w:cs="宋体"/>
          <w:sz w:val="24"/>
          <w:lang w:eastAsia="zh-CN"/>
        </w:rPr>
        <w:tab/>
      </w:r>
      <w:r>
        <w:rPr>
          <w:rFonts w:ascii="Times New Roman" w:hAnsi="Times New Roman" w:eastAsia="宋体" w:cs="宋体"/>
          <w:sz w:val="24"/>
          <w:lang w:eastAsia="zh-CN"/>
        </w:rPr>
        <w:t>生物</w:t>
      </w:r>
      <w:r>
        <w:rPr>
          <w:rFonts w:hint="eastAsia" w:ascii="Times New Roman" w:hAnsi="Times New Roman" w:eastAsia="宋体" w:cs="宋体"/>
          <w:sz w:val="24"/>
          <w:lang w:eastAsia="zh-CN"/>
        </w:rPr>
        <w:t>相</w:t>
      </w:r>
      <w:r>
        <w:rPr>
          <w:rFonts w:ascii="Times New Roman" w:hAnsi="Times New Roman" w:eastAsia="宋体" w:cs="宋体"/>
          <w:sz w:val="24"/>
          <w:lang w:eastAsia="zh-CN"/>
        </w:rPr>
        <w:t>容性</w:t>
      </w:r>
    </w:p>
    <w:p w14:paraId="063907A7">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16.</w:t>
      </w:r>
      <w:r>
        <w:rPr>
          <w:rFonts w:ascii="Times New Roman" w:hAnsi="Times New Roman" w:eastAsia="宋体" w:cs="宋体"/>
          <w:sz w:val="24"/>
          <w:lang w:eastAsia="zh-CN"/>
        </w:rPr>
        <w:tab/>
      </w:r>
      <w:r>
        <w:rPr>
          <w:rFonts w:ascii="Times New Roman" w:hAnsi="Times New Roman" w:eastAsia="宋体" w:cs="宋体"/>
          <w:sz w:val="24"/>
          <w:lang w:eastAsia="zh-CN"/>
        </w:rPr>
        <w:t>软件</w:t>
      </w:r>
    </w:p>
    <w:p w14:paraId="54E748AB">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17.</w:t>
      </w:r>
      <w:r>
        <w:rPr>
          <w:rFonts w:ascii="Times New Roman" w:hAnsi="Times New Roman" w:eastAsia="宋体" w:cs="宋体"/>
          <w:sz w:val="24"/>
          <w:lang w:eastAsia="zh-CN"/>
        </w:rPr>
        <w:tab/>
      </w:r>
      <w:r>
        <w:rPr>
          <w:rFonts w:ascii="Times New Roman" w:hAnsi="Times New Roman" w:eastAsia="宋体" w:cs="宋体"/>
          <w:sz w:val="24"/>
          <w:lang w:eastAsia="zh-CN"/>
        </w:rPr>
        <w:t>电磁兼容性和电气安全</w:t>
      </w:r>
    </w:p>
    <w:p w14:paraId="47DB9F07">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18.</w:t>
      </w:r>
      <w:r>
        <w:rPr>
          <w:rFonts w:ascii="Times New Roman" w:hAnsi="Times New Roman" w:eastAsia="宋体" w:cs="宋体"/>
          <w:sz w:val="24"/>
          <w:lang w:eastAsia="zh-CN"/>
        </w:rPr>
        <w:tab/>
      </w:r>
      <w:r>
        <w:rPr>
          <w:rFonts w:ascii="Times New Roman" w:hAnsi="Times New Roman" w:eastAsia="宋体" w:cs="宋体"/>
          <w:sz w:val="24"/>
          <w:lang w:eastAsia="zh-CN"/>
        </w:rPr>
        <w:t xml:space="preserve">性能测试 – </w:t>
      </w:r>
      <w:r>
        <w:rPr>
          <w:rFonts w:hint="eastAsia" w:ascii="Times New Roman" w:hAnsi="Times New Roman" w:eastAsia="宋体" w:cs="宋体"/>
          <w:sz w:val="24"/>
          <w:lang w:eastAsia="zh-CN"/>
        </w:rPr>
        <w:t>基础性能</w:t>
      </w:r>
    </w:p>
    <w:p w14:paraId="4F70B512">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19.</w:t>
      </w:r>
      <w:r>
        <w:rPr>
          <w:rFonts w:ascii="Times New Roman" w:hAnsi="Times New Roman" w:eastAsia="宋体" w:cs="宋体"/>
          <w:sz w:val="24"/>
          <w:lang w:eastAsia="zh-CN"/>
        </w:rPr>
        <w:tab/>
      </w:r>
      <w:r>
        <w:rPr>
          <w:rFonts w:ascii="Times New Roman" w:hAnsi="Times New Roman" w:eastAsia="宋体" w:cs="宋体"/>
          <w:sz w:val="24"/>
          <w:lang w:eastAsia="zh-CN"/>
        </w:rPr>
        <w:t>性能测试 – 动物</w:t>
      </w:r>
    </w:p>
    <w:p w14:paraId="31DF521A">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20.</w:t>
      </w:r>
      <w:r>
        <w:rPr>
          <w:rFonts w:ascii="Times New Roman" w:hAnsi="Times New Roman" w:eastAsia="宋体" w:cs="宋体"/>
          <w:sz w:val="24"/>
          <w:lang w:eastAsia="zh-CN"/>
        </w:rPr>
        <w:tab/>
      </w:r>
      <w:r>
        <w:rPr>
          <w:rFonts w:ascii="Times New Roman" w:hAnsi="Times New Roman" w:eastAsia="宋体" w:cs="宋体"/>
          <w:sz w:val="24"/>
          <w:lang w:eastAsia="zh-CN"/>
        </w:rPr>
        <w:t>性能测试 – 临床</w:t>
      </w:r>
    </w:p>
    <w:p w14:paraId="5F5D6BC3">
      <w:pPr>
        <w:adjustRightInd w:val="0"/>
        <w:snapToGrid w:val="0"/>
        <w:spacing w:line="276" w:lineRule="auto"/>
        <w:ind w:left="920" w:leftChars="200" w:hanging="480" w:hangingChars="200"/>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21.</w:t>
      </w:r>
      <w:r>
        <w:rPr>
          <w:rFonts w:ascii="Times New Roman" w:hAnsi="Times New Roman" w:eastAsia="宋体" w:cs="宋体"/>
          <w:sz w:val="24"/>
          <w:lang w:eastAsia="zh-CN"/>
        </w:rPr>
        <w:tab/>
      </w:r>
      <w:r>
        <w:rPr>
          <w:rFonts w:ascii="Times New Roman" w:hAnsi="Times New Roman" w:eastAsia="宋体" w:cs="宋体"/>
          <w:sz w:val="24"/>
          <w:lang w:eastAsia="zh-CN"/>
        </w:rPr>
        <w:t>其他</w:t>
      </w:r>
    </w:p>
    <w:p w14:paraId="1DFBFA2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____________________</w:t>
      </w:r>
    </w:p>
    <w:p w14:paraId="66B84344">
      <w:pPr>
        <w:pStyle w:val="25"/>
        <w:rPr>
          <w:rFonts w:eastAsia="宋体"/>
          <w:lang w:eastAsia="zh-CN"/>
        </w:rPr>
      </w:pPr>
      <w:r>
        <w:rPr>
          <w:rFonts w:eastAsia="宋体"/>
          <w:vertAlign w:val="superscript"/>
          <w:lang w:eastAsia="zh-CN"/>
        </w:rPr>
        <w:t>17</w:t>
      </w:r>
      <w:r>
        <w:rPr>
          <w:rFonts w:eastAsia="宋体"/>
          <w:lang w:eastAsia="zh-CN"/>
        </w:rPr>
        <w:t xml:space="preserve"> </w:t>
      </w:r>
      <w:r>
        <w:fldChar w:fldCharType="begin"/>
      </w:r>
      <w:r>
        <w:instrText xml:space="preserve"> HYPERLINK "https://www.fda.gov/regulatory-information/search-fda-guidance-documents/refuse-accept-policy-510ks" \h </w:instrText>
      </w:r>
      <w:r>
        <w:fldChar w:fldCharType="separate"/>
      </w:r>
      <w:bookmarkStart w:id="8" w:name="_bookmark24"/>
      <w:bookmarkEnd w:id="8"/>
      <w:r>
        <w:rPr>
          <w:rFonts w:eastAsia="宋体"/>
          <w:color w:val="0000FF"/>
          <w:u w:val="single" w:color="0000FF"/>
          <w:lang w:eastAsia="zh-CN"/>
        </w:rPr>
        <w:t>https://www.fda.gov/regulatory-information/search-fda-guidance-documents/refuse-accept-policy-510ks</w:t>
      </w:r>
      <w:r>
        <w:rPr>
          <w:rFonts w:eastAsia="宋体"/>
          <w:color w:val="0000FF"/>
          <w:u w:val="single" w:color="0000FF"/>
          <w:lang w:eastAsia="zh-CN"/>
        </w:rPr>
        <w:fldChar w:fldCharType="end"/>
      </w:r>
    </w:p>
    <w:p w14:paraId="45F98223">
      <w:pPr>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br w:type="page"/>
      </w:r>
    </w:p>
    <w:p w14:paraId="10024AEA">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RTA政策指南针对各节分别提供了建议。此外，本机构</w:t>
      </w:r>
      <w:r>
        <w:rPr>
          <w:rFonts w:hint="eastAsia" w:ascii="Times New Roman" w:hAnsi="Times New Roman" w:eastAsia="宋体" w:cs="宋体"/>
          <w:sz w:val="24"/>
          <w:lang w:eastAsia="zh-CN"/>
        </w:rPr>
        <w:t>对</w:t>
      </w:r>
      <w:r>
        <w:rPr>
          <w:rFonts w:ascii="Times New Roman" w:hAnsi="Times New Roman" w:eastAsia="宋体" w:cs="宋体"/>
          <w:sz w:val="24"/>
          <w:lang w:eastAsia="zh-CN"/>
        </w:rPr>
        <w:t>第9节、第12节和13-20节提供以下建议：</w:t>
      </w:r>
    </w:p>
    <w:p w14:paraId="4300B073">
      <w:pPr>
        <w:pStyle w:val="5"/>
        <w:tabs>
          <w:tab w:val="left" w:pos="340"/>
        </w:tabs>
        <w:adjustRightInd w:val="0"/>
        <w:snapToGrid w:val="0"/>
        <w:spacing w:before="120" w:beforeLines="50" w:line="300" w:lineRule="auto"/>
        <w:ind w:left="0"/>
        <w:jc w:val="both"/>
        <w:rPr>
          <w:rFonts w:eastAsia="宋体" w:cs="Times New Roman"/>
          <w:b w:val="0"/>
          <w:bCs w:val="0"/>
          <w:snapToGrid w:val="0"/>
          <w:lang w:eastAsia="zh-CN"/>
        </w:rPr>
      </w:pPr>
      <w:r>
        <w:rPr>
          <w:rFonts w:eastAsia="宋体" w:cs="宋体"/>
          <w:lang w:eastAsia="zh-CN"/>
        </w:rPr>
        <w:t>9.符合性声明和总结报告</w:t>
      </w:r>
    </w:p>
    <w:p w14:paraId="0C7E0386">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为了证明器械符合相关的性能标准，根据第III.C.节所述情况，应纳入：</w:t>
      </w:r>
    </w:p>
    <w:p w14:paraId="5959D3B1">
      <w:pPr>
        <w:pStyle w:val="17"/>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ascii="Times New Roman" w:hAnsi="Times New Roman" w:eastAsia="宋体" w:cs="宋体"/>
          <w:sz w:val="24"/>
        </w:rPr>
        <w:t>标准的符合性声明</w:t>
      </w:r>
      <w:r>
        <w:rPr>
          <w:rFonts w:ascii="Times New Roman" w:hAnsi="Times New Roman" w:eastAsia="宋体" w:cs="宋体"/>
          <w:sz w:val="24"/>
          <w:vertAlign w:val="superscript"/>
        </w:rPr>
        <w:t>18</w:t>
      </w:r>
      <w:r>
        <w:rPr>
          <w:rFonts w:ascii="Times New Roman" w:hAnsi="Times New Roman" w:eastAsia="宋体" w:cs="宋体"/>
          <w:sz w:val="24"/>
        </w:rPr>
        <w:t>；</w:t>
      </w:r>
    </w:p>
    <w:p w14:paraId="661B06FD">
      <w:pPr>
        <w:pStyle w:val="17"/>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hint="eastAsia" w:ascii="Times New Roman" w:hAnsi="Times New Roman" w:eastAsia="宋体" w:cs="宋体"/>
          <w:sz w:val="24"/>
          <w:lang w:eastAsia="zh-CN"/>
        </w:rPr>
        <w:t>测试结果概述</w:t>
      </w:r>
      <w:r>
        <w:rPr>
          <w:rFonts w:ascii="Times New Roman" w:hAnsi="Times New Roman" w:eastAsia="宋体" w:cs="宋体"/>
          <w:sz w:val="24"/>
          <w:lang w:eastAsia="zh-CN"/>
        </w:rPr>
        <w:t>或总结报告（任何相关的器械指南中如有推荐）；</w:t>
      </w:r>
    </w:p>
    <w:p w14:paraId="35E80202">
      <w:pPr>
        <w:pStyle w:val="17"/>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rPr>
      </w:pPr>
      <w:r>
        <w:rPr>
          <w:rFonts w:hint="eastAsia" w:ascii="Times New Roman" w:hAnsi="Times New Roman" w:eastAsia="宋体" w:cs="宋体"/>
          <w:sz w:val="24"/>
          <w:lang w:eastAsia="zh-CN"/>
        </w:rPr>
        <w:t>测试</w:t>
      </w:r>
      <w:r>
        <w:rPr>
          <w:rFonts w:ascii="Times New Roman" w:hAnsi="Times New Roman" w:eastAsia="宋体" w:cs="宋体"/>
          <w:sz w:val="24"/>
        </w:rPr>
        <w:t>方案；和/或</w:t>
      </w:r>
    </w:p>
    <w:p w14:paraId="20A1E85C">
      <w:pPr>
        <w:pStyle w:val="17"/>
        <w:numPr>
          <w:ilvl w:val="0"/>
          <w:numId w:val="1"/>
        </w:numPr>
        <w:adjustRightInd w:val="0"/>
        <w:snapToGrid w:val="0"/>
        <w:spacing w:before="120" w:beforeLines="50" w:line="300" w:lineRule="auto"/>
        <w:ind w:left="851"/>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完整的测试报告，证明新器械符合FDA</w:t>
      </w:r>
      <w:r>
        <w:rPr>
          <w:rFonts w:hint="eastAsia" w:ascii="Times New Roman" w:hAnsi="Times New Roman" w:eastAsia="宋体" w:cs="宋体"/>
          <w:sz w:val="24"/>
          <w:lang w:eastAsia="zh-CN"/>
        </w:rPr>
        <w:t>要求</w:t>
      </w:r>
      <w:r>
        <w:rPr>
          <w:rFonts w:ascii="Times New Roman" w:hAnsi="Times New Roman" w:eastAsia="宋体" w:cs="宋体"/>
          <w:sz w:val="24"/>
          <w:lang w:eastAsia="zh-CN"/>
        </w:rPr>
        <w:t>的性能标准。</w:t>
      </w:r>
    </w:p>
    <w:p w14:paraId="7E5BDEE5">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这类方法中哪种方法适用将取决于性能标准和</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方法的</w:t>
      </w:r>
      <w:r>
        <w:rPr>
          <w:rFonts w:hint="eastAsia" w:ascii="Times New Roman" w:hAnsi="Times New Roman" w:eastAsia="宋体" w:cs="宋体"/>
          <w:sz w:val="24"/>
          <w:lang w:eastAsia="zh-CN"/>
        </w:rPr>
        <w:t>基本来源</w:t>
      </w:r>
      <w:r>
        <w:rPr>
          <w:rFonts w:ascii="Times New Roman" w:hAnsi="Times New Roman" w:eastAsia="宋体" w:cs="宋体"/>
          <w:sz w:val="24"/>
          <w:lang w:eastAsia="zh-CN"/>
        </w:rPr>
        <w:t>，包括相关的基于安全性和性能的途径指南中确定的FDA认可标准中，或FDA在此类指南中指定或推荐/指定的标准中是否含有这些方法（见表1）。</w:t>
      </w:r>
    </w:p>
    <w:p w14:paraId="2582F05A">
      <w:pPr>
        <w:pStyle w:val="5"/>
        <w:adjustRightInd w:val="0"/>
        <w:snapToGrid w:val="0"/>
        <w:spacing w:before="120" w:beforeLines="50" w:line="300" w:lineRule="auto"/>
        <w:ind w:left="0"/>
        <w:jc w:val="both"/>
        <w:rPr>
          <w:rFonts w:eastAsia="宋体" w:cs="Times New Roman"/>
          <w:b w:val="0"/>
          <w:bCs w:val="0"/>
          <w:snapToGrid w:val="0"/>
          <w:lang w:eastAsia="zh-CN"/>
        </w:rPr>
      </w:pPr>
      <w:r>
        <w:rPr>
          <w:rFonts w:eastAsia="宋体" w:cs="宋体"/>
          <w:lang w:eastAsia="zh-CN"/>
        </w:rPr>
        <w:t>12.实质等同性讨论</w:t>
      </w:r>
    </w:p>
    <w:p w14:paraId="2B4B7B9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在“实质等同性”章节中，本机构仍然建议通过提供商品名、型号、510(k)提交人/持有人名称和510(k)编号（如可用）来注明实质等同器械。</w:t>
      </w:r>
    </w:p>
    <w:p w14:paraId="09D15A54">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本机构建议提供该器械与同品种器械在适用范围和技术方面的比较。</w:t>
      </w:r>
    </w:p>
    <w:p w14:paraId="3F82EF67">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如果选择采用基于安全性和性能的途径，本机构不</w:t>
      </w:r>
      <w:r>
        <w:rPr>
          <w:rFonts w:hint="eastAsia" w:ascii="Times New Roman" w:hAnsi="Times New Roman" w:eastAsia="宋体" w:cs="宋体"/>
          <w:sz w:val="24"/>
          <w:lang w:eastAsia="zh-CN"/>
        </w:rPr>
        <w:t>要求</w:t>
      </w:r>
      <w:r>
        <w:rPr>
          <w:rFonts w:ascii="Times New Roman" w:hAnsi="Times New Roman" w:eastAsia="宋体" w:cs="宋体"/>
          <w:sz w:val="24"/>
          <w:lang w:eastAsia="zh-CN"/>
        </w:rPr>
        <w:t>将该器械与</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合法上市器械进行性能规格的直接比较测试。根据标准或指南进行的任何测试的介绍见第9节、第12节以及13-20节（如适用）。</w:t>
      </w:r>
    </w:p>
    <w:p w14:paraId="1D2726AD">
      <w:pPr>
        <w:pStyle w:val="5"/>
        <w:adjustRightInd w:val="0"/>
        <w:snapToGrid w:val="0"/>
        <w:spacing w:before="120" w:beforeLines="50" w:line="300" w:lineRule="auto"/>
        <w:ind w:left="0"/>
        <w:jc w:val="both"/>
        <w:rPr>
          <w:rFonts w:eastAsia="宋体" w:cs="Times New Roman"/>
          <w:b w:val="0"/>
          <w:bCs w:val="0"/>
          <w:snapToGrid w:val="0"/>
          <w:lang w:eastAsia="zh-CN"/>
        </w:rPr>
      </w:pPr>
      <w:r>
        <w:rPr>
          <w:rFonts w:eastAsia="宋体" w:cs="宋体"/>
          <w:lang w:eastAsia="zh-CN"/>
        </w:rPr>
        <w:t>13 - 20.</w:t>
      </w:r>
      <w:r>
        <w:rPr>
          <w:rFonts w:hint="eastAsia" w:eastAsia="宋体" w:cs="宋体"/>
          <w:lang w:eastAsia="zh-CN"/>
        </w:rPr>
        <w:t xml:space="preserve"> </w:t>
      </w:r>
      <w:r>
        <w:rPr>
          <w:rFonts w:eastAsia="宋体" w:cs="宋体"/>
          <w:lang w:eastAsia="zh-CN"/>
        </w:rPr>
        <w:t>申报标签、灭菌和有效期、生物相容性、软件、电磁兼容性和电气安全以及性能测试-</w:t>
      </w:r>
      <w:r>
        <w:rPr>
          <w:rFonts w:hint="eastAsia" w:eastAsia="宋体" w:cs="宋体"/>
          <w:lang w:eastAsia="zh-CN"/>
        </w:rPr>
        <w:t>基础性能</w:t>
      </w:r>
      <w:r>
        <w:rPr>
          <w:rFonts w:eastAsia="宋体" w:cs="宋体"/>
          <w:lang w:eastAsia="zh-CN"/>
        </w:rPr>
        <w:t>、动物和临床（如适用）</w:t>
      </w:r>
    </w:p>
    <w:p w14:paraId="2499BC99">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lang w:eastAsia="zh-CN"/>
        </w:rPr>
        <w:t>除FDA不期望该信息描述与同品种器械进行的直接比较测试外，本机构</w:t>
      </w:r>
      <w:r>
        <w:rPr>
          <w:rFonts w:hint="eastAsia" w:ascii="Times New Roman" w:hAnsi="Times New Roman" w:eastAsia="宋体" w:cs="宋体"/>
          <w:sz w:val="24"/>
          <w:lang w:eastAsia="zh-CN"/>
        </w:rPr>
        <w:t>仍旧</w:t>
      </w:r>
      <w:r>
        <w:rPr>
          <w:rFonts w:ascii="Times New Roman" w:hAnsi="Times New Roman" w:eastAsia="宋体" w:cs="宋体"/>
          <w:sz w:val="24"/>
          <w:lang w:eastAsia="zh-CN"/>
        </w:rPr>
        <w:t>建议510(k)提交人通过基于安全性和性能的途径提供信息，</w:t>
      </w:r>
      <w:r>
        <w:rPr>
          <w:rFonts w:hint="eastAsia" w:ascii="Times New Roman" w:hAnsi="Times New Roman" w:eastAsia="宋体" w:cs="宋体"/>
          <w:sz w:val="24"/>
          <w:lang w:eastAsia="zh-CN"/>
        </w:rPr>
        <w:t>其中</w:t>
      </w:r>
      <w:r>
        <w:rPr>
          <w:rFonts w:ascii="Times New Roman" w:hAnsi="Times New Roman" w:eastAsia="宋体" w:cs="宋体"/>
          <w:sz w:val="24"/>
          <w:lang w:eastAsia="zh-CN"/>
        </w:rPr>
        <w:t>申报标签、灭菌和</w:t>
      </w:r>
      <w:r>
        <w:rPr>
          <w:rFonts w:hint="eastAsia" w:ascii="Times New Roman" w:hAnsi="Times New Roman" w:eastAsia="宋体" w:cs="宋体"/>
          <w:sz w:val="24"/>
          <w:lang w:eastAsia="zh-CN"/>
        </w:rPr>
        <w:t>货架</w:t>
      </w:r>
      <w:r>
        <w:rPr>
          <w:rFonts w:ascii="Times New Roman" w:hAnsi="Times New Roman" w:eastAsia="宋体" w:cs="宋体"/>
          <w:sz w:val="24"/>
          <w:lang w:eastAsia="zh-CN"/>
        </w:rPr>
        <w:t>有效期、生物</w:t>
      </w:r>
      <w:r>
        <w:rPr>
          <w:rFonts w:hint="eastAsia" w:ascii="Times New Roman" w:hAnsi="Times New Roman" w:eastAsia="宋体" w:cs="宋体"/>
          <w:sz w:val="24"/>
          <w:lang w:eastAsia="zh-CN"/>
        </w:rPr>
        <w:t>相</w:t>
      </w:r>
      <w:r>
        <w:rPr>
          <w:rFonts w:ascii="Times New Roman" w:hAnsi="Times New Roman" w:eastAsia="宋体" w:cs="宋体"/>
          <w:sz w:val="24"/>
          <w:lang w:eastAsia="zh-CN"/>
        </w:rPr>
        <w:t>容性、软件、电磁兼容性和电气安全以及性能检测部分</w:t>
      </w:r>
      <w:r>
        <w:rPr>
          <w:rFonts w:hint="eastAsia" w:ascii="Times New Roman" w:hAnsi="Times New Roman" w:eastAsia="宋体" w:cs="宋体"/>
          <w:sz w:val="24"/>
          <w:lang w:eastAsia="zh-CN"/>
        </w:rPr>
        <w:t>与</w:t>
      </w:r>
      <w:r>
        <w:rPr>
          <w:rFonts w:ascii="Times New Roman" w:hAnsi="Times New Roman" w:eastAsia="宋体" w:cs="宋体"/>
          <w:sz w:val="24"/>
          <w:lang w:eastAsia="zh-CN"/>
        </w:rPr>
        <w:t>传统510(k)</w:t>
      </w:r>
      <w:r>
        <w:rPr>
          <w:rFonts w:hint="eastAsia" w:ascii="Times New Roman" w:hAnsi="Times New Roman" w:eastAsia="宋体" w:cs="宋体"/>
          <w:sz w:val="24"/>
          <w:lang w:eastAsia="zh-CN"/>
        </w:rPr>
        <w:t>中要求的相同，但</w:t>
      </w:r>
      <w:r>
        <w:rPr>
          <w:rFonts w:ascii="Times New Roman" w:hAnsi="Times New Roman" w:eastAsia="宋体" w:cs="宋体"/>
          <w:sz w:val="24"/>
          <w:lang w:eastAsia="zh-CN"/>
        </w:rPr>
        <w:t>不</w:t>
      </w:r>
      <w:r>
        <w:rPr>
          <w:rFonts w:hint="eastAsia" w:ascii="Times New Roman" w:hAnsi="Times New Roman" w:eastAsia="宋体" w:cs="宋体"/>
          <w:sz w:val="24"/>
          <w:lang w:eastAsia="zh-CN"/>
        </w:rPr>
        <w:t>要求提供</w:t>
      </w:r>
      <w:r>
        <w:rPr>
          <w:rFonts w:ascii="Times New Roman" w:hAnsi="Times New Roman" w:eastAsia="宋体" w:cs="宋体"/>
          <w:sz w:val="24"/>
          <w:lang w:eastAsia="zh-CN"/>
        </w:rPr>
        <w:t>与</w:t>
      </w:r>
      <w:r>
        <w:rPr>
          <w:rFonts w:hint="eastAsia" w:ascii="Times New Roman" w:hAnsi="Times New Roman" w:eastAsia="宋体" w:cs="宋体"/>
          <w:sz w:val="24"/>
          <w:lang w:eastAsia="zh-CN"/>
        </w:rPr>
        <w:t>已</w:t>
      </w:r>
      <w:r>
        <w:rPr>
          <w:rFonts w:ascii="Times New Roman" w:hAnsi="Times New Roman" w:eastAsia="宋体" w:cs="宋体"/>
          <w:sz w:val="24"/>
          <w:lang w:eastAsia="zh-CN"/>
        </w:rPr>
        <w:t>合法上市器械性能规格进行直接比较测试</w:t>
      </w:r>
      <w:r>
        <w:rPr>
          <w:rFonts w:hint="eastAsia" w:ascii="Times New Roman" w:hAnsi="Times New Roman" w:eastAsia="宋体" w:cs="宋体"/>
          <w:sz w:val="24"/>
          <w:lang w:eastAsia="zh-CN"/>
        </w:rPr>
        <w:t>的信息</w:t>
      </w:r>
      <w:r>
        <w:rPr>
          <w:rFonts w:ascii="Times New Roman" w:hAnsi="Times New Roman" w:eastAsia="宋体" w:cs="宋体"/>
          <w:sz w:val="24"/>
          <w:lang w:eastAsia="zh-CN"/>
        </w:rPr>
        <w:t>。</w:t>
      </w:r>
      <w:r>
        <w:rPr>
          <w:rFonts w:hint="eastAsia" w:ascii="Times New Roman" w:hAnsi="Times New Roman" w:eastAsia="宋体" w:cs="宋体"/>
          <w:sz w:val="24"/>
          <w:lang w:eastAsia="zh-CN"/>
        </w:rPr>
        <w:t>但是</w:t>
      </w:r>
      <w:r>
        <w:rPr>
          <w:rFonts w:ascii="Times New Roman" w:hAnsi="Times New Roman" w:eastAsia="宋体" w:cs="宋体"/>
          <w:sz w:val="24"/>
          <w:lang w:eastAsia="zh-CN"/>
        </w:rPr>
        <w:t>，FDA建议</w:t>
      </w:r>
      <w:r>
        <w:rPr>
          <w:rFonts w:hint="eastAsia" w:ascii="Times New Roman" w:hAnsi="Times New Roman" w:eastAsia="宋体" w:cs="宋体"/>
          <w:sz w:val="24"/>
          <w:lang w:eastAsia="zh-CN"/>
        </w:rPr>
        <w:t>，根据适用情况，</w:t>
      </w:r>
      <w:r>
        <w:rPr>
          <w:rFonts w:ascii="Times New Roman" w:hAnsi="Times New Roman" w:eastAsia="宋体" w:cs="宋体"/>
          <w:sz w:val="24"/>
          <w:lang w:eastAsia="zh-CN"/>
        </w:rPr>
        <w:t>纳入符合性声明、</w:t>
      </w:r>
      <w:r>
        <w:rPr>
          <w:rFonts w:hint="eastAsia" w:ascii="Times New Roman" w:hAnsi="Times New Roman" w:eastAsia="宋体" w:cs="宋体"/>
          <w:sz w:val="24"/>
          <w:lang w:eastAsia="zh-CN"/>
        </w:rPr>
        <w:t>测试结果概述</w:t>
      </w:r>
      <w:r>
        <w:rPr>
          <w:rFonts w:ascii="Times New Roman" w:hAnsi="Times New Roman" w:eastAsia="宋体" w:cs="宋体"/>
          <w:sz w:val="24"/>
          <w:lang w:eastAsia="zh-CN"/>
        </w:rPr>
        <w:t>、</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方案和/或完整的</w:t>
      </w:r>
      <w:r>
        <w:rPr>
          <w:rFonts w:hint="eastAsia" w:ascii="Times New Roman" w:hAnsi="Times New Roman" w:eastAsia="宋体" w:cs="宋体"/>
          <w:sz w:val="24"/>
          <w:lang w:eastAsia="zh-CN"/>
        </w:rPr>
        <w:t>测试</w:t>
      </w:r>
      <w:r>
        <w:rPr>
          <w:rFonts w:ascii="Times New Roman" w:hAnsi="Times New Roman" w:eastAsia="宋体" w:cs="宋体"/>
          <w:sz w:val="24"/>
          <w:lang w:eastAsia="zh-CN"/>
        </w:rPr>
        <w:t>报告，证明新器械使用适当的测试方法</w:t>
      </w:r>
      <w:r>
        <w:rPr>
          <w:rFonts w:hint="eastAsia" w:ascii="Times New Roman" w:hAnsi="Times New Roman" w:eastAsia="宋体" w:cs="宋体"/>
          <w:sz w:val="24"/>
          <w:lang w:eastAsia="zh-CN"/>
        </w:rPr>
        <w:t>以</w:t>
      </w:r>
      <w:r>
        <w:rPr>
          <w:rFonts w:ascii="Times New Roman" w:hAnsi="Times New Roman" w:eastAsia="宋体" w:cs="宋体"/>
          <w:sz w:val="24"/>
          <w:lang w:eastAsia="zh-CN"/>
        </w:rPr>
        <w:t>符合性能标准。</w:t>
      </w:r>
    </w:p>
    <w:p w14:paraId="38E4EF62">
      <w:pPr>
        <w:adjustRightInd w:val="0"/>
        <w:snapToGrid w:val="0"/>
        <w:spacing w:before="120" w:beforeLines="50" w:line="300" w:lineRule="auto"/>
        <w:jc w:val="both"/>
        <w:rPr>
          <w:rFonts w:ascii="Times New Roman" w:hAnsi="Times New Roman" w:eastAsia="宋体" w:cs="Times New Roman"/>
          <w:snapToGrid w:val="0"/>
          <w:sz w:val="24"/>
          <w:szCs w:val="24"/>
          <w:lang w:eastAsia="zh-CN"/>
        </w:rPr>
      </w:pPr>
      <w:r>
        <w:rPr>
          <w:rFonts w:ascii="Times New Roman" w:hAnsi="Times New Roman" w:eastAsia="宋体" w:cs="宋体"/>
          <w:sz w:val="24"/>
        </w:rPr>
        <w:t>____________________</w:t>
      </w:r>
    </w:p>
    <w:p w14:paraId="41C0461D">
      <w:pPr>
        <w:pStyle w:val="25"/>
        <w:jc w:val="left"/>
        <w:rPr>
          <w:rFonts w:eastAsia="宋体"/>
        </w:rPr>
      </w:pPr>
      <w:r>
        <w:rPr>
          <w:rFonts w:eastAsia="宋体" w:cs="宋体"/>
          <w:vertAlign w:val="superscript"/>
        </w:rPr>
        <w:t>18</w:t>
      </w:r>
      <w:r>
        <w:rPr>
          <w:rFonts w:eastAsia="宋体" w:cs="宋体"/>
        </w:rPr>
        <w:t xml:space="preserve"> 参见FDA指南《</w:t>
      </w:r>
      <w:r>
        <w:fldChar w:fldCharType="begin"/>
      </w:r>
      <w:r>
        <w:instrText xml:space="preserve"> HYPERLINK "http://www.fda.gov/regulatory-information/search-fda-guidance-documents/appropriate-use-voluntary-" \h </w:instrText>
      </w:r>
      <w:r>
        <w:fldChar w:fldCharType="separate"/>
      </w:r>
      <w:r>
        <w:rPr>
          <w:rFonts w:eastAsia="宋体" w:cs="宋体"/>
          <w:color w:val="0000FF"/>
          <w:u w:val="single" w:color="0000FF"/>
        </w:rPr>
        <w:t>在医疗器械上市前申请中适当使用自愿共识标准</w:t>
      </w:r>
      <w:r>
        <w:rPr>
          <w:rFonts w:eastAsia="宋体" w:cs="宋体"/>
          <w:color w:val="0000FF"/>
          <w:u w:val="single" w:color="0000FF"/>
        </w:rPr>
        <w:fldChar w:fldCharType="end"/>
      </w:r>
      <w:r>
        <w:rPr>
          <w:rFonts w:eastAsia="宋体" w:cs="宋体"/>
        </w:rPr>
        <w:t>》（</w:t>
      </w:r>
      <w:r>
        <w:rPr>
          <w:rFonts w:eastAsia="宋体" w:cs="宋体"/>
          <w:color w:val="0000FF"/>
          <w:u w:val="single"/>
        </w:rPr>
        <w:t>https://www.fda.gov/regulatory-information/search-fda-guidance-documents/appropriate-use-voluntary- consensus-standards-premarket-submissions-medical-devices</w:t>
      </w:r>
      <w:r>
        <w:rPr>
          <w:rFonts w:eastAsia="宋体" w:cs="宋体"/>
        </w:rPr>
        <w:t>）。</w:t>
      </w:r>
    </w:p>
    <w:p w14:paraId="084E9344">
      <w:pPr>
        <w:rPr>
          <w:rFonts w:ascii="Times New Roman" w:hAnsi="Times New Roman" w:eastAsia="宋体" w:cs="Times New Roman"/>
          <w:snapToGrid w:val="0"/>
          <w:sz w:val="24"/>
          <w:szCs w:val="24"/>
          <w:lang w:eastAsia="zh-CN"/>
        </w:rPr>
      </w:pPr>
    </w:p>
    <w:p w14:paraId="48862EA9">
      <w:pPr>
        <w:pStyle w:val="2"/>
        <w:pBdr>
          <w:bottom w:val="single" w:color="auto" w:sz="4" w:space="1"/>
        </w:pBdr>
        <w:adjustRightInd w:val="0"/>
        <w:snapToGrid w:val="0"/>
        <w:spacing w:before="120" w:beforeLines="50" w:line="300" w:lineRule="auto"/>
        <w:ind w:left="0" w:firstLine="0"/>
        <w:jc w:val="center"/>
        <w:rPr>
          <w:rFonts w:hint="eastAsia" w:eastAsia="宋体"/>
          <w:lang w:eastAsia="zh-CN"/>
        </w:rPr>
      </w:pPr>
    </w:p>
    <w:p w14:paraId="34E22FA0">
      <w:pPr>
        <w:pStyle w:val="2"/>
        <w:pBdr>
          <w:bottom w:val="single" w:color="auto" w:sz="4" w:space="1"/>
        </w:pBdr>
        <w:adjustRightInd w:val="0"/>
        <w:snapToGrid w:val="0"/>
        <w:spacing w:before="120" w:beforeLines="50" w:line="300" w:lineRule="auto"/>
        <w:ind w:left="0" w:firstLine="0"/>
        <w:jc w:val="center"/>
        <w:rPr>
          <w:rFonts w:hint="eastAsia" w:eastAsia="宋体"/>
          <w:lang w:eastAsia="zh-CN"/>
        </w:rPr>
      </w:pPr>
    </w:p>
    <w:p w14:paraId="7D01EA0C">
      <w:pPr>
        <w:pStyle w:val="2"/>
        <w:pBdr>
          <w:bottom w:val="single" w:color="auto" w:sz="4" w:space="1"/>
        </w:pBdr>
        <w:adjustRightInd w:val="0"/>
        <w:snapToGrid w:val="0"/>
        <w:spacing w:before="120" w:beforeLines="50" w:line="300" w:lineRule="auto"/>
        <w:ind w:lef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18" w:right="1418" w:bottom="1418" w:left="141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CB14">
    <w:pPr>
      <w:pStyle w:val="8"/>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eastAsia="zh-CN"/>
      </w:rPr>
      <w:t>12</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FAD2">
    <w:pPr>
      <w:pStyle w:val="9"/>
      <w:pBdr>
        <w:bottom w:val="none" w:color="auto" w:sz="0" w:space="0"/>
      </w:pBdr>
      <w:rPr>
        <w:rFonts w:ascii="Times New Roman" w:hAnsi="Times New Roman" w:eastAsia="宋体" w:cs="Times New Roman"/>
        <w:sz w:val="21"/>
        <w:szCs w:val="21"/>
        <w:lang w:eastAsia="zh-CN"/>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E3BDF"/>
    <w:multiLevelType w:val="multilevel"/>
    <w:tmpl w:val="109E3B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85"/>
    <w:rsid w:val="00011C3F"/>
    <w:rsid w:val="00037E49"/>
    <w:rsid w:val="0005327E"/>
    <w:rsid w:val="000724AE"/>
    <w:rsid w:val="00076D62"/>
    <w:rsid w:val="000B1378"/>
    <w:rsid w:val="000C5772"/>
    <w:rsid w:val="000E20FC"/>
    <w:rsid w:val="00124DE7"/>
    <w:rsid w:val="001544B0"/>
    <w:rsid w:val="00191730"/>
    <w:rsid w:val="001B56DC"/>
    <w:rsid w:val="001C46C6"/>
    <w:rsid w:val="001D77EC"/>
    <w:rsid w:val="00236774"/>
    <w:rsid w:val="00243C20"/>
    <w:rsid w:val="00260180"/>
    <w:rsid w:val="00265523"/>
    <w:rsid w:val="002B78CA"/>
    <w:rsid w:val="002C2C95"/>
    <w:rsid w:val="002D1EBA"/>
    <w:rsid w:val="002D4916"/>
    <w:rsid w:val="002E5260"/>
    <w:rsid w:val="003068A7"/>
    <w:rsid w:val="00316248"/>
    <w:rsid w:val="00323E65"/>
    <w:rsid w:val="00331ED1"/>
    <w:rsid w:val="003906FD"/>
    <w:rsid w:val="003B27BA"/>
    <w:rsid w:val="003B4FF6"/>
    <w:rsid w:val="003C3828"/>
    <w:rsid w:val="003D017C"/>
    <w:rsid w:val="003F53BF"/>
    <w:rsid w:val="00431342"/>
    <w:rsid w:val="00510C96"/>
    <w:rsid w:val="00513462"/>
    <w:rsid w:val="0058580B"/>
    <w:rsid w:val="005C0E7B"/>
    <w:rsid w:val="005C35D3"/>
    <w:rsid w:val="005F3168"/>
    <w:rsid w:val="00615BD9"/>
    <w:rsid w:val="00622572"/>
    <w:rsid w:val="00646D68"/>
    <w:rsid w:val="00653856"/>
    <w:rsid w:val="00664725"/>
    <w:rsid w:val="00672975"/>
    <w:rsid w:val="00676EF1"/>
    <w:rsid w:val="006B64FE"/>
    <w:rsid w:val="006D0DD7"/>
    <w:rsid w:val="00732ECB"/>
    <w:rsid w:val="007333FD"/>
    <w:rsid w:val="007759CA"/>
    <w:rsid w:val="00780B9E"/>
    <w:rsid w:val="007C065A"/>
    <w:rsid w:val="007D2EF4"/>
    <w:rsid w:val="00800F41"/>
    <w:rsid w:val="00813BCE"/>
    <w:rsid w:val="00854D2A"/>
    <w:rsid w:val="00863014"/>
    <w:rsid w:val="00866AAC"/>
    <w:rsid w:val="008B4186"/>
    <w:rsid w:val="008C6979"/>
    <w:rsid w:val="00901409"/>
    <w:rsid w:val="00903968"/>
    <w:rsid w:val="009B061D"/>
    <w:rsid w:val="009B2C49"/>
    <w:rsid w:val="009D1622"/>
    <w:rsid w:val="009E7588"/>
    <w:rsid w:val="00A2774D"/>
    <w:rsid w:val="00A33639"/>
    <w:rsid w:val="00A40E85"/>
    <w:rsid w:val="00A420E5"/>
    <w:rsid w:val="00A50AB8"/>
    <w:rsid w:val="00A72179"/>
    <w:rsid w:val="00AA046E"/>
    <w:rsid w:val="00B4238E"/>
    <w:rsid w:val="00B51B70"/>
    <w:rsid w:val="00B5366A"/>
    <w:rsid w:val="00BB0A23"/>
    <w:rsid w:val="00BB436F"/>
    <w:rsid w:val="00BC0E3F"/>
    <w:rsid w:val="00BC6070"/>
    <w:rsid w:val="00BE2872"/>
    <w:rsid w:val="00BF015D"/>
    <w:rsid w:val="00C00DCB"/>
    <w:rsid w:val="00C0374A"/>
    <w:rsid w:val="00C14B46"/>
    <w:rsid w:val="00C1794E"/>
    <w:rsid w:val="00C50D41"/>
    <w:rsid w:val="00C72F5A"/>
    <w:rsid w:val="00CA4153"/>
    <w:rsid w:val="00CB2BA1"/>
    <w:rsid w:val="00CC46EA"/>
    <w:rsid w:val="00CC5DB0"/>
    <w:rsid w:val="00CC6BD4"/>
    <w:rsid w:val="00CD217C"/>
    <w:rsid w:val="00CE5FF1"/>
    <w:rsid w:val="00CE6F37"/>
    <w:rsid w:val="00CF3AC9"/>
    <w:rsid w:val="00D22115"/>
    <w:rsid w:val="00D8514F"/>
    <w:rsid w:val="00DB24F7"/>
    <w:rsid w:val="00DB5C36"/>
    <w:rsid w:val="00DB7427"/>
    <w:rsid w:val="00DD6482"/>
    <w:rsid w:val="00DE106C"/>
    <w:rsid w:val="00E03963"/>
    <w:rsid w:val="00E2122F"/>
    <w:rsid w:val="00E21D88"/>
    <w:rsid w:val="00E43DBB"/>
    <w:rsid w:val="00E54DA3"/>
    <w:rsid w:val="00E81316"/>
    <w:rsid w:val="00E97DF3"/>
    <w:rsid w:val="00EB4104"/>
    <w:rsid w:val="00F10741"/>
    <w:rsid w:val="00F139D2"/>
    <w:rsid w:val="00F5225D"/>
    <w:rsid w:val="00F53C1B"/>
    <w:rsid w:val="00F7557A"/>
    <w:rsid w:val="00FD508F"/>
    <w:rsid w:val="00FE2895"/>
    <w:rsid w:val="0D77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28"/>
      <w:ind w:left="607" w:hanging="2637"/>
      <w:outlineLvl w:val="0"/>
    </w:pPr>
    <w:rPr>
      <w:rFonts w:ascii="Times New Roman" w:hAnsi="Times New Roman" w:eastAsia="Times New Roman"/>
      <w:b/>
      <w:bCs/>
      <w:sz w:val="56"/>
      <w:szCs w:val="56"/>
    </w:rPr>
  </w:style>
  <w:style w:type="paragraph" w:styleId="3">
    <w:name w:val="heading 2"/>
    <w:basedOn w:val="1"/>
    <w:link w:val="23"/>
    <w:qFormat/>
    <w:uiPriority w:val="1"/>
    <w:pPr>
      <w:ind w:left="100"/>
      <w:outlineLvl w:val="1"/>
    </w:pPr>
    <w:rPr>
      <w:rFonts w:ascii="Times New Roman" w:hAnsi="Times New Roman" w:eastAsia="Times New Roman"/>
      <w:b/>
      <w:bCs/>
      <w:sz w:val="36"/>
      <w:szCs w:val="36"/>
    </w:rPr>
  </w:style>
  <w:style w:type="paragraph" w:styleId="4">
    <w:name w:val="heading 3"/>
    <w:basedOn w:val="1"/>
    <w:qFormat/>
    <w:uiPriority w:val="1"/>
    <w:pPr>
      <w:ind w:left="820"/>
      <w:outlineLvl w:val="2"/>
    </w:pPr>
    <w:rPr>
      <w:rFonts w:ascii="Times New Roman" w:hAnsi="Times New Roman" w:eastAsia="Times New Roman"/>
      <w:b/>
      <w:bCs/>
      <w:sz w:val="32"/>
      <w:szCs w:val="32"/>
    </w:rPr>
  </w:style>
  <w:style w:type="paragraph" w:styleId="5">
    <w:name w:val="heading 4"/>
    <w:basedOn w:val="1"/>
    <w:qFormat/>
    <w:uiPriority w:val="1"/>
    <w:pPr>
      <w:ind w:left="100"/>
      <w:outlineLvl w:val="3"/>
    </w:pPr>
    <w:rPr>
      <w:rFonts w:ascii="Times New Roman" w:hAnsi="Times New Roman" w:eastAsia="Times New Roman"/>
      <w:b/>
      <w:bCs/>
      <w:sz w:val="24"/>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qFormat/>
    <w:uiPriority w:val="1"/>
    <w:pPr>
      <w:spacing w:before="100"/>
      <w:ind w:left="760" w:hanging="460"/>
    </w:pPr>
    <w:rPr>
      <w:rFonts w:ascii="Times New Roman" w:hAnsi="Times New Roman" w:eastAsia="Times New Roman"/>
      <w:sz w:val="20"/>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spacing w:before="99"/>
      <w:ind w:left="100"/>
    </w:pPr>
    <w:rPr>
      <w:rFonts w:ascii="Times New Roman" w:hAnsi="Times New Roman" w:eastAsia="Times New Roman"/>
      <w:b/>
      <w:bCs/>
      <w:sz w:val="20"/>
      <w:szCs w:val="20"/>
    </w:rPr>
  </w:style>
  <w:style w:type="paragraph" w:styleId="11">
    <w:name w:val="toc 2"/>
    <w:basedOn w:val="1"/>
    <w:qFormat/>
    <w:uiPriority w:val="39"/>
    <w:pPr>
      <w:spacing w:before="100"/>
      <w:ind w:left="760" w:hanging="660"/>
    </w:pPr>
    <w:rPr>
      <w:rFonts w:ascii="Times New Roman" w:hAnsi="Times New Roman" w:eastAsia="Times New Roman"/>
      <w:sz w:val="2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4"/>
    <w:link w:val="7"/>
    <w:semiHidden/>
    <w:qFormat/>
    <w:uiPriority w:val="99"/>
    <w:rPr>
      <w:sz w:val="18"/>
      <w:szCs w:val="18"/>
    </w:rPr>
  </w:style>
  <w:style w:type="character" w:customStyle="1" w:styleId="20">
    <w:name w:val="页眉 Char"/>
    <w:basedOn w:val="14"/>
    <w:link w:val="9"/>
    <w:qFormat/>
    <w:uiPriority w:val="99"/>
    <w:rPr>
      <w:sz w:val="18"/>
      <w:szCs w:val="18"/>
    </w:rPr>
  </w:style>
  <w:style w:type="character" w:customStyle="1" w:styleId="21">
    <w:name w:val="页脚 Char"/>
    <w:basedOn w:val="14"/>
    <w:link w:val="8"/>
    <w:qFormat/>
    <w:uiPriority w:val="99"/>
    <w:rPr>
      <w:sz w:val="18"/>
      <w:szCs w:val="18"/>
    </w:rPr>
  </w:style>
  <w:style w:type="paragraph" w:customStyle="1" w:styleId="22">
    <w:name w:val="样式1"/>
    <w:basedOn w:val="3"/>
    <w:link w:val="24"/>
    <w:qFormat/>
    <w:uiPriority w:val="1"/>
    <w:pPr>
      <w:tabs>
        <w:tab w:val="left" w:pos="567"/>
      </w:tabs>
      <w:adjustRightInd w:val="0"/>
      <w:snapToGrid w:val="0"/>
      <w:spacing w:before="120" w:beforeLines="50" w:line="300" w:lineRule="auto"/>
      <w:ind w:left="0"/>
      <w:jc w:val="both"/>
    </w:pPr>
    <w:rPr>
      <w:rFonts w:cs="Times New Roman"/>
      <w:snapToGrid w:val="0"/>
      <w:sz w:val="32"/>
      <w:szCs w:val="32"/>
    </w:rPr>
  </w:style>
  <w:style w:type="character" w:customStyle="1" w:styleId="23">
    <w:name w:val="标题 2 Char"/>
    <w:basedOn w:val="14"/>
    <w:link w:val="3"/>
    <w:uiPriority w:val="1"/>
    <w:rPr>
      <w:rFonts w:ascii="Times New Roman" w:hAnsi="Times New Roman" w:eastAsia="Times New Roman"/>
      <w:b/>
      <w:bCs/>
      <w:sz w:val="36"/>
      <w:szCs w:val="36"/>
    </w:rPr>
  </w:style>
  <w:style w:type="character" w:customStyle="1" w:styleId="24">
    <w:name w:val="样式1 Char"/>
    <w:basedOn w:val="23"/>
    <w:link w:val="22"/>
    <w:qFormat/>
    <w:uiPriority w:val="1"/>
    <w:rPr>
      <w:rFonts w:ascii="Times New Roman" w:hAnsi="Times New Roman" w:eastAsia="Times New Roman" w:cs="Times New Roman"/>
      <w:snapToGrid w:val="0"/>
      <w:sz w:val="32"/>
      <w:szCs w:val="32"/>
    </w:rPr>
  </w:style>
  <w:style w:type="paragraph" w:customStyle="1" w:styleId="25">
    <w:name w:val="脚注"/>
    <w:basedOn w:val="1"/>
    <w:link w:val="27"/>
    <w:qFormat/>
    <w:uiPriority w:val="1"/>
    <w:pPr>
      <w:tabs>
        <w:tab w:val="left" w:pos="215"/>
      </w:tabs>
      <w:adjustRightInd w:val="0"/>
      <w:snapToGrid w:val="0"/>
      <w:spacing w:before="36" w:beforeLines="15" w:line="276" w:lineRule="auto"/>
      <w:jc w:val="both"/>
    </w:pPr>
    <w:rPr>
      <w:rFonts w:ascii="Times New Roman" w:hAnsi="Times New Roman" w:eastAsia="Times New Roman" w:cs="Times New Roman"/>
      <w:snapToGrid w:val="0"/>
      <w:sz w:val="21"/>
      <w:szCs w:val="21"/>
    </w:rPr>
  </w:style>
  <w:style w:type="paragraph" w:customStyle="1" w:styleId="26">
    <w:name w:val="样式2"/>
    <w:basedOn w:val="22"/>
    <w:link w:val="28"/>
    <w:qFormat/>
    <w:uiPriority w:val="1"/>
    <w:pPr>
      <w:tabs>
        <w:tab w:val="left" w:pos="1134"/>
        <w:tab w:val="clear" w:pos="567"/>
      </w:tabs>
      <w:ind w:left="565" w:leftChars="257"/>
    </w:pPr>
    <w:rPr>
      <w:sz w:val="28"/>
      <w:szCs w:val="28"/>
    </w:rPr>
  </w:style>
  <w:style w:type="character" w:customStyle="1" w:styleId="27">
    <w:name w:val="脚注 Char"/>
    <w:basedOn w:val="14"/>
    <w:link w:val="25"/>
    <w:qFormat/>
    <w:uiPriority w:val="1"/>
    <w:rPr>
      <w:rFonts w:ascii="Times New Roman" w:hAnsi="Times New Roman" w:eastAsia="Times New Roman" w:cs="Times New Roman"/>
      <w:snapToGrid w:val="0"/>
      <w:sz w:val="21"/>
      <w:szCs w:val="21"/>
    </w:rPr>
  </w:style>
  <w:style w:type="character" w:customStyle="1" w:styleId="28">
    <w:name w:val="样式2 Char"/>
    <w:basedOn w:val="24"/>
    <w:link w:val="26"/>
    <w:qFormat/>
    <w:uiPriority w:val="1"/>
    <w:rPr>
      <w:rFonts w:ascii="Times New Roman" w:hAnsi="Times New Roman" w:eastAsia="Times New Roman" w:cs="Times New Roman"/>
      <w:snapToGrid w:val="0"/>
      <w:sz w:val="28"/>
      <w:szCs w:val="28"/>
    </w:rPr>
  </w:style>
  <w:style w:type="paragraph" w:customStyle="1" w:styleId="29">
    <w:name w:val="Revision"/>
    <w:hidden/>
    <w:semiHidden/>
    <w:qFormat/>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A3E3-0DC9-42E7-BDB3-AEA9CB0E090D}">
  <ds:schemaRefs/>
</ds:datastoreItem>
</file>

<file path=docProps/app.xml><?xml version="1.0" encoding="utf-8"?>
<Properties xmlns="http://schemas.openxmlformats.org/officeDocument/2006/extended-properties" xmlns:vt="http://schemas.openxmlformats.org/officeDocument/2006/docPropsVTypes">
  <Template>Normal</Template>
  <Pages>12</Pages>
  <Words>7496</Words>
  <Characters>10511</Characters>
  <Lines>101</Lines>
  <Paragraphs>28</Paragraphs>
  <TotalTime>1982</TotalTime>
  <ScaleCrop>false</ScaleCrop>
  <LinksUpToDate>false</LinksUpToDate>
  <CharactersWithSpaces>10628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2022-03-02T13:11:00Z</dcterms:created>
  <dc:creator>CDRH CBER</dc:creator>
  <cp:lastModifiedBy>太极箫客</cp:lastModifiedBy>
  <dcterms:modified xsi:type="dcterms:W3CDTF">2025-08-14T06:47:36Z</dcterms:modified>
  <dc:title>Safety and Performance Based Pathway - Guidance for Industry and Food and Drug Administration</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2021-11-10T00:00:00Z</vt:filetime>
  </property>
  <property fmtid="{D5CDD505-2E9C-101B-9397-08002B2CF9AE}" pid="4" name="_NewReviewCycle">
    <vt:lpwstr/>
  </property>
  <property fmtid="{D5CDD505-2E9C-101B-9397-08002B2CF9AE}" pid="5" name="MSIP_Label_ff6dbec8-95a8-4638-9f5f-bd076536645c_Enabled">
    <vt:lpwstr>true</vt:lpwstr>
  </property>
  <property fmtid="{D5CDD505-2E9C-101B-9397-08002B2CF9AE}" pid="6" name="MSIP_Label_ff6dbec8-95a8-4638-9f5f-bd076536645c_SetDate">
    <vt:lpwstr>2022-03-02T11:41:17Z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73bc7f00-f771-4320-8b58-6ee8b9d8a11e</vt:lpwstr>
  </property>
  <property fmtid="{D5CDD505-2E9C-101B-9397-08002B2CF9AE}" pid="11" name="MSIP_Label_ff6dbec8-95a8-4638-9f5f-bd076536645c_ContentBits">
    <vt:lpwstr>0</vt:lpwstr>
  </property>
  <property fmtid="{D5CDD505-2E9C-101B-9397-08002B2CF9AE}" pid="12" name="_AdHocReviewCycleID">
    <vt:i4>-1880046733</vt:i4>
  </property>
  <property fmtid="{D5CDD505-2E9C-101B-9397-08002B2CF9AE}" pid="13" name="_EmailSubject">
    <vt:lpwstr>Proofreading &gt; CMDE &gt; Proofreading on Guidance of FDA &gt; Due to March 4 Friday</vt:lpwstr>
  </property>
  <property fmtid="{D5CDD505-2E9C-101B-9397-08002B2CF9AE}" pid="14" name="_AuthorEmail">
    <vt:lpwstr>yamei.jiang@siemens-healthineers.com</vt:lpwstr>
  </property>
  <property fmtid="{D5CDD505-2E9C-101B-9397-08002B2CF9AE}" pid="15" name="_AuthorEmailDisplayName">
    <vt:lpwstr>Jiang, Ya Mei</vt:lpwstr>
  </property>
  <property fmtid="{D5CDD505-2E9C-101B-9397-08002B2CF9AE}" pid="16" name="_ReviewingToolsShownOnce">
    <vt:lpwstr/>
  </property>
  <property fmtid="{D5CDD505-2E9C-101B-9397-08002B2CF9AE}" pid="17" name="KSOTemplateDocerSaveRecord">
    <vt:lpwstr>eyJoZGlkIjoiMDJiMzI3ODBiNTFmMWRjNDUyMjM1ZmZjODY5NDc2MWMiLCJ1c2VySWQiOiI0NTQ4Nzg1NzAifQ==</vt:lpwstr>
  </property>
  <property fmtid="{D5CDD505-2E9C-101B-9397-08002B2CF9AE}" pid="18" name="KSOProductBuildVer">
    <vt:lpwstr>2052-12.1.0.21915</vt:lpwstr>
  </property>
  <property fmtid="{D5CDD505-2E9C-101B-9397-08002B2CF9AE}" pid="19" name="ICV">
    <vt:lpwstr>0F652766B2A442B0BC5407E57496DD69_12</vt:lpwstr>
  </property>
</Properties>
</file>