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BC78C">
      <w:pPr>
        <w:pStyle w:val="8"/>
        <w:spacing w:before="144"/>
      </w:pPr>
      <w:bookmarkStart w:id="38" w:name="_GoBack"/>
      <w:bookmarkEnd w:id="38"/>
    </w:p>
    <w:p w14:paraId="2D348AAB">
      <w:pPr>
        <w:pStyle w:val="8"/>
        <w:pBdr>
          <w:bottom w:val="single" w:color="auto" w:sz="4" w:space="1"/>
        </w:pBdr>
        <w:spacing w:before="144"/>
        <w:jc w:val="center"/>
        <w:rPr>
          <w:b/>
          <w:sz w:val="52"/>
          <w:szCs w:val="52"/>
          <w:lang w:eastAsia="zh-CN"/>
        </w:rPr>
      </w:pPr>
      <w:r>
        <w:rPr>
          <w:rFonts w:hint="eastAsia"/>
          <w:b/>
          <w:sz w:val="52"/>
          <w:szCs w:val="52"/>
          <w:lang w:eastAsia="zh-CN"/>
        </w:rPr>
        <w:t>行业和FDA工作人员指南草案</w:t>
      </w:r>
    </w:p>
    <w:p w14:paraId="154200D7">
      <w:pPr>
        <w:pStyle w:val="8"/>
        <w:spacing w:before="144"/>
        <w:jc w:val="center"/>
        <w:rPr>
          <w:b/>
          <w:sz w:val="36"/>
          <w:szCs w:val="36"/>
          <w:lang w:eastAsia="zh-CN"/>
        </w:rPr>
      </w:pPr>
      <w:r>
        <w:rPr>
          <w:rFonts w:hint="eastAsia"/>
          <w:b/>
          <w:sz w:val="36"/>
          <w:szCs w:val="36"/>
          <w:lang w:eastAsia="zh-CN"/>
        </w:rPr>
        <w:t>基于培养基的器械确定用于检测耐甲氧西林金黄色葡萄球菌（MRSA）的体外诊断器械的性能特性</w:t>
      </w:r>
    </w:p>
    <w:p w14:paraId="28634F7A">
      <w:pPr>
        <w:pStyle w:val="8"/>
        <w:spacing w:before="144"/>
        <w:rPr>
          <w:lang w:eastAsia="zh-CN"/>
        </w:rPr>
      </w:pPr>
    </w:p>
    <w:p w14:paraId="637B484D">
      <w:pPr>
        <w:pStyle w:val="8"/>
        <w:spacing w:before="144"/>
        <w:jc w:val="center"/>
        <w:rPr>
          <w:b/>
          <w:lang w:eastAsia="zh-CN"/>
        </w:rPr>
      </w:pPr>
      <w:r>
        <w:rPr>
          <w:rFonts w:hint="eastAsia"/>
          <w:b/>
          <w:lang w:eastAsia="zh-CN"/>
        </w:rPr>
        <w:t>指南草案</w:t>
      </w:r>
    </w:p>
    <w:p w14:paraId="02317E1A">
      <w:pPr>
        <w:pStyle w:val="8"/>
        <w:spacing w:before="144"/>
        <w:jc w:val="center"/>
        <w:rPr>
          <w:b/>
          <w:lang w:eastAsia="zh-CN"/>
        </w:rPr>
      </w:pPr>
      <w:r>
        <w:rPr>
          <w:b/>
          <w:lang w:eastAsia="zh-CN"/>
        </w:rPr>
        <w:t>本指导性文件公布仅用于征询</w:t>
      </w:r>
      <w:r>
        <w:rPr>
          <w:rFonts w:hint="eastAsia"/>
          <w:b/>
          <w:lang w:eastAsia="zh-CN"/>
        </w:rPr>
        <w:t>评论</w:t>
      </w:r>
      <w:r>
        <w:rPr>
          <w:b/>
          <w:lang w:eastAsia="zh-CN"/>
        </w:rPr>
        <w:t>目的。</w:t>
      </w:r>
    </w:p>
    <w:p w14:paraId="467659F6">
      <w:pPr>
        <w:pStyle w:val="8"/>
        <w:spacing w:before="144"/>
        <w:jc w:val="center"/>
        <w:rPr>
          <w:b/>
          <w:lang w:eastAsia="zh-CN"/>
        </w:rPr>
      </w:pPr>
      <w:r>
        <w:rPr>
          <w:rFonts w:hint="eastAsia"/>
          <w:b/>
          <w:lang w:eastAsia="zh-CN"/>
        </w:rPr>
        <w:t>文件发布日期：2011年6月15日</w:t>
      </w:r>
    </w:p>
    <w:p w14:paraId="7CFF2649">
      <w:pPr>
        <w:pStyle w:val="8"/>
        <w:spacing w:before="144"/>
        <w:rPr>
          <w:lang w:eastAsia="zh-CN"/>
        </w:rPr>
      </w:pPr>
    </w:p>
    <w:p w14:paraId="26A1889F">
      <w:pPr>
        <w:pStyle w:val="8"/>
        <w:spacing w:before="144"/>
        <w:rPr>
          <w:lang w:eastAsia="zh-CN"/>
        </w:rPr>
      </w:pPr>
      <w:r>
        <w:rPr>
          <w:rFonts w:hint="eastAsia"/>
          <w:lang w:eastAsia="zh-CN"/>
        </w:rPr>
        <w:t>贵公司应在联邦公报发布通告宣布提供指南草案后</w:t>
      </w:r>
      <w:r>
        <w:rPr>
          <w:lang w:eastAsia="zh-CN"/>
        </w:rPr>
        <w:t>90</w:t>
      </w:r>
      <w:r>
        <w:rPr>
          <w:rFonts w:hint="eastAsia"/>
          <w:lang w:eastAsia="zh-CN"/>
        </w:rPr>
        <w:t>天内提交关于本文件草案的评论和建议。书面评论请提交至食品药品监督管理局，文档管理部</w:t>
      </w:r>
      <w:r>
        <w:rPr>
          <w:lang w:eastAsia="zh-CN"/>
        </w:rPr>
        <w:t>（HFA-305），5630 Fishers Lane，rm. 1061，Rockville MD 20852</w:t>
      </w:r>
      <w:r>
        <w:rPr>
          <w:rFonts w:hint="eastAsia"/>
          <w:lang w:eastAsia="zh-CN"/>
        </w:rPr>
        <w:t>。电子评论请提交至</w:t>
      </w:r>
      <w:r>
        <w:fldChar w:fldCharType="begin"/>
      </w:r>
      <w:r>
        <w:rPr>
          <w:lang w:eastAsia="zh-CN"/>
        </w:rPr>
        <w:instrText xml:space="preserve"> HYPERLINK "http://www.regulations.gov" </w:instrText>
      </w:r>
      <w:r>
        <w:fldChar w:fldCharType="separate"/>
      </w:r>
      <w:r>
        <w:rPr>
          <w:rStyle w:val="19"/>
          <w:lang w:eastAsia="zh-CN"/>
        </w:rPr>
        <w:t>http：//www.regulations.gov</w:t>
      </w:r>
      <w:r>
        <w:rPr>
          <w:rStyle w:val="19"/>
        </w:rPr>
        <w:fldChar w:fldCharType="end"/>
      </w:r>
      <w:r>
        <w:rPr>
          <w:rFonts w:hint="eastAsia"/>
          <w:lang w:eastAsia="zh-CN"/>
        </w:rPr>
        <w:t>。所有评论应注明文档编号，该编号位于宣布提供指南的联邦公报通告中。</w:t>
      </w:r>
    </w:p>
    <w:p w14:paraId="5D229AAF">
      <w:pPr>
        <w:pStyle w:val="8"/>
        <w:spacing w:before="144"/>
        <w:rPr>
          <w:lang w:eastAsia="zh-CN"/>
        </w:rPr>
      </w:pPr>
    </w:p>
    <w:p w14:paraId="432BBFF6">
      <w:pPr>
        <w:pStyle w:val="8"/>
        <w:spacing w:before="144"/>
        <w:rPr>
          <w:lang w:eastAsia="zh-CN"/>
        </w:rPr>
      </w:pPr>
      <w:r>
        <w:rPr>
          <w:rFonts w:hint="eastAsia"/>
          <w:lang w:eastAsia="zh-CN"/>
        </w:rPr>
        <w:t>有关本文件的问题，请联系Alexandra Wong，电话：301-796-6210，或电子邮件：alexandra.wong@fda.hhs.gov。</w:t>
      </w:r>
    </w:p>
    <w:p w14:paraId="3ADDA2D8">
      <w:pPr>
        <w:pStyle w:val="8"/>
        <w:spacing w:before="144"/>
        <w:rPr>
          <w:lang w:eastAsia="zh-CN"/>
        </w:rPr>
      </w:pPr>
    </w:p>
    <w:p w14:paraId="1E3B1D63">
      <w:pPr>
        <w:pStyle w:val="8"/>
        <w:spacing w:before="144"/>
        <w:jc w:val="right"/>
        <w:rPr>
          <w:b/>
          <w:lang w:eastAsia="zh-CN"/>
        </w:rPr>
      </w:pPr>
      <w:r>
        <w:rPr>
          <w:b/>
          <w:lang w:eastAsia="zh-CN"/>
        </w:rPr>
        <w:drawing>
          <wp:anchor distT="0" distB="0" distL="114300" distR="114300" simplePos="0" relativeHeight="251659264" behindDoc="0" locked="0" layoutInCell="1" allowOverlap="1">
            <wp:simplePos x="0" y="0"/>
            <wp:positionH relativeFrom="page">
              <wp:posOffset>1126490</wp:posOffset>
            </wp:positionH>
            <wp:positionV relativeFrom="paragraph">
              <wp:posOffset>-79375</wp:posOffset>
            </wp:positionV>
            <wp:extent cx="914400" cy="952500"/>
            <wp:effectExtent l="0" t="0" r="0" b="0"/>
            <wp:wrapNone/>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hint="eastAsia"/>
          <w:b/>
          <w:lang w:eastAsia="zh-CN"/>
        </w:rPr>
        <w:t>美国卫生与公众服务部</w:t>
      </w:r>
      <w:r>
        <w:rPr>
          <w:b/>
          <w:lang w:eastAsia="zh-CN"/>
        </w:rPr>
        <w:br w:type="textWrapping"/>
      </w:r>
      <w:r>
        <w:rPr>
          <w:rFonts w:hint="eastAsia"/>
          <w:b/>
          <w:lang w:eastAsia="zh-CN"/>
        </w:rPr>
        <w:t>食品药品监督管理局</w:t>
      </w:r>
      <w:r>
        <w:rPr>
          <w:b/>
          <w:lang w:eastAsia="zh-CN"/>
        </w:rPr>
        <w:br w:type="textWrapping"/>
      </w:r>
      <w:r>
        <w:rPr>
          <w:b/>
          <w:lang w:eastAsia="zh-CN"/>
        </w:rPr>
        <w:t xml:space="preserve"> </w:t>
      </w:r>
      <w:r>
        <w:rPr>
          <w:rFonts w:hint="eastAsia"/>
          <w:b/>
          <w:lang w:eastAsia="zh-CN"/>
        </w:rPr>
        <w:t>器械与放射健康中心</w:t>
      </w:r>
      <w:r>
        <w:rPr>
          <w:b/>
          <w:lang w:eastAsia="zh-CN"/>
        </w:rPr>
        <w:br w:type="textWrapping"/>
      </w:r>
      <w:r>
        <w:rPr>
          <w:rFonts w:hint="eastAsia"/>
          <w:b/>
          <w:lang w:eastAsia="zh-CN"/>
        </w:rPr>
        <w:t>体外诊断和放射卫生办公室</w:t>
      </w:r>
      <w:r>
        <w:rPr>
          <w:b/>
          <w:lang w:eastAsia="zh-CN"/>
        </w:rPr>
        <w:br w:type="textWrapping"/>
      </w:r>
      <w:r>
        <w:rPr>
          <w:rFonts w:hint="eastAsia"/>
          <w:b/>
          <w:lang w:eastAsia="zh-CN"/>
        </w:rPr>
        <w:t>微生物学器械部</w:t>
      </w:r>
    </w:p>
    <w:p w14:paraId="131DAF53">
      <w:pPr>
        <w:pStyle w:val="8"/>
        <w:spacing w:before="144"/>
        <w:rPr>
          <w:lang w:eastAsia="zh-CN"/>
        </w:rPr>
      </w:pPr>
      <w:r>
        <w:rPr>
          <w:lang w:eastAsia="zh-CN"/>
        </w:rPr>
        <w:br w:type="page"/>
      </w:r>
    </w:p>
    <w:p w14:paraId="7A922E12">
      <w:pPr>
        <w:pStyle w:val="8"/>
        <w:spacing w:before="144"/>
        <w:jc w:val="center"/>
        <w:rPr>
          <w:b/>
          <w:sz w:val="44"/>
          <w:szCs w:val="44"/>
          <w:lang w:eastAsia="zh-CN"/>
        </w:rPr>
      </w:pPr>
      <w:r>
        <w:rPr>
          <w:rFonts w:hint="eastAsia"/>
          <w:b/>
          <w:sz w:val="44"/>
          <w:szCs w:val="44"/>
          <w:lang w:eastAsia="zh-CN"/>
        </w:rPr>
        <w:t>前言</w:t>
      </w:r>
    </w:p>
    <w:p w14:paraId="208A5B6C">
      <w:pPr>
        <w:pStyle w:val="8"/>
        <w:spacing w:before="144"/>
        <w:rPr>
          <w:lang w:eastAsia="zh-CN"/>
        </w:rPr>
      </w:pPr>
    </w:p>
    <w:p w14:paraId="4F9B3F8D">
      <w:pPr>
        <w:pStyle w:val="8"/>
        <w:spacing w:before="144"/>
        <w:rPr>
          <w:b/>
          <w:sz w:val="30"/>
          <w:szCs w:val="30"/>
          <w:lang w:eastAsia="zh-CN"/>
        </w:rPr>
      </w:pPr>
      <w:r>
        <w:rPr>
          <w:rFonts w:hint="eastAsia"/>
          <w:b/>
          <w:sz w:val="30"/>
          <w:szCs w:val="30"/>
          <w:lang w:eastAsia="zh-CN"/>
        </w:rPr>
        <w:t>其他副本</w:t>
      </w:r>
    </w:p>
    <w:p w14:paraId="698E7C1B">
      <w:pPr>
        <w:pStyle w:val="8"/>
        <w:spacing w:before="144"/>
        <w:rPr>
          <w:lang w:eastAsia="zh-CN"/>
        </w:rPr>
      </w:pPr>
      <w:r>
        <w:rPr>
          <w:rFonts w:hint="eastAsia"/>
          <w:lang w:eastAsia="zh-CN"/>
        </w:rPr>
        <w:t>其他副本可从互联网获得。贵公司还可以向dsmica@fda.hhs.gov发送电子邮件请求，接收本指南的电子副本，或向301-827-8149发送传真请求接收硬拷贝。请使用文件编号1729来标识贵公司所要求获得的指南。</w:t>
      </w:r>
    </w:p>
    <w:p w14:paraId="25C90427">
      <w:pPr>
        <w:pStyle w:val="8"/>
        <w:spacing w:before="144"/>
        <w:rPr>
          <w:lang w:eastAsia="zh-CN"/>
        </w:rPr>
      </w:pPr>
      <w:r>
        <w:rPr>
          <w:lang w:eastAsia="zh-CN"/>
        </w:rPr>
        <w:br w:type="page"/>
      </w:r>
    </w:p>
    <w:p w14:paraId="6C87F29C">
      <w:pPr>
        <w:pStyle w:val="8"/>
        <w:spacing w:before="144"/>
        <w:jc w:val="center"/>
        <w:rPr>
          <w:b/>
          <w:sz w:val="30"/>
          <w:szCs w:val="30"/>
        </w:rPr>
      </w:pPr>
      <w:r>
        <w:rPr>
          <w:rFonts w:hint="eastAsia"/>
          <w:b/>
          <w:sz w:val="30"/>
          <w:szCs w:val="30"/>
        </w:rPr>
        <w:t>目录</w:t>
      </w:r>
    </w:p>
    <w:p w14:paraId="2A58EE3D">
      <w:pPr>
        <w:pStyle w:val="13"/>
        <w:spacing w:before="96"/>
        <w:ind w:right="440"/>
        <w:rPr>
          <w:rFonts w:asciiTheme="minorHAnsi" w:hAnsiTheme="minorHAnsi" w:eastAsiaTheme="minorEastAsia"/>
          <w:bCs w:val="0"/>
          <w:kern w:val="2"/>
          <w:sz w:val="21"/>
          <w:szCs w:val="22"/>
          <w:lang w:eastAsia="zh-CN"/>
        </w:rPr>
      </w:pPr>
      <w:r>
        <w:rPr>
          <w:lang w:eastAsia="zh-CN"/>
        </w:rPr>
        <w:fldChar w:fldCharType="begin"/>
      </w:r>
      <w:r>
        <w:rPr>
          <w:lang w:eastAsia="zh-CN"/>
        </w:rPr>
        <w:instrText xml:space="preserve"> </w:instrText>
      </w:r>
      <w:r>
        <w:rPr>
          <w:rFonts w:hint="eastAsia"/>
          <w:lang w:eastAsia="zh-CN"/>
        </w:rPr>
        <w:instrText xml:space="preserve">TOC \o "1-2" \h \z \u</w:instrText>
      </w:r>
      <w:r>
        <w:rPr>
          <w:lang w:eastAsia="zh-CN"/>
        </w:rPr>
        <w:instrText xml:space="preserve"> </w:instrText>
      </w:r>
      <w:r>
        <w:rPr>
          <w:lang w:eastAsia="zh-CN"/>
        </w:rPr>
        <w:fldChar w:fldCharType="separate"/>
      </w:r>
      <w:r>
        <w:fldChar w:fldCharType="begin"/>
      </w:r>
      <w:r>
        <w:instrText xml:space="preserve"> HYPERLINK \l "_Toc479513555" </w:instrText>
      </w:r>
      <w:r>
        <w:fldChar w:fldCharType="separate"/>
      </w:r>
      <w:r>
        <w:rPr>
          <w:rStyle w:val="19"/>
        </w:rPr>
        <w:t>I.</w:t>
      </w:r>
      <w:r>
        <w:rPr>
          <w:rFonts w:asciiTheme="minorHAnsi" w:hAnsiTheme="minorHAnsi" w:eastAsiaTheme="minorEastAsia"/>
          <w:bCs w:val="0"/>
          <w:kern w:val="2"/>
          <w:sz w:val="21"/>
          <w:szCs w:val="22"/>
          <w:lang w:eastAsia="zh-CN"/>
        </w:rPr>
        <w:tab/>
      </w:r>
      <w:r>
        <w:rPr>
          <w:rStyle w:val="19"/>
          <w:rFonts w:hint="eastAsia"/>
        </w:rPr>
        <w:t>引言</w:t>
      </w:r>
      <w:r>
        <w:tab/>
      </w:r>
      <w:r>
        <w:fldChar w:fldCharType="begin"/>
      </w:r>
      <w:r>
        <w:instrText xml:space="preserve"> PAGEREF _Toc479513555 \h </w:instrText>
      </w:r>
      <w:r>
        <w:fldChar w:fldCharType="separate"/>
      </w:r>
      <w:r>
        <w:t>4</w:t>
      </w:r>
      <w:r>
        <w:fldChar w:fldCharType="end"/>
      </w:r>
      <w:r>
        <w:fldChar w:fldCharType="end"/>
      </w:r>
    </w:p>
    <w:p w14:paraId="6799DAE0">
      <w:pPr>
        <w:pStyle w:val="13"/>
        <w:spacing w:before="96"/>
        <w:ind w:right="440"/>
        <w:rPr>
          <w:rFonts w:asciiTheme="minorHAnsi" w:hAnsiTheme="minorHAnsi" w:eastAsiaTheme="minorEastAsia"/>
          <w:bCs w:val="0"/>
          <w:kern w:val="2"/>
          <w:sz w:val="21"/>
          <w:szCs w:val="22"/>
          <w:lang w:eastAsia="zh-CN"/>
        </w:rPr>
      </w:pPr>
      <w:r>
        <w:fldChar w:fldCharType="begin"/>
      </w:r>
      <w:r>
        <w:instrText xml:space="preserve"> HYPERLINK \l "_Toc479513556" </w:instrText>
      </w:r>
      <w:r>
        <w:fldChar w:fldCharType="separate"/>
      </w:r>
      <w:r>
        <w:rPr>
          <w:rStyle w:val="19"/>
        </w:rPr>
        <w:t>II.</w:t>
      </w:r>
      <w:r>
        <w:rPr>
          <w:rFonts w:asciiTheme="minorHAnsi" w:hAnsiTheme="minorHAnsi" w:eastAsiaTheme="minorEastAsia"/>
          <w:bCs w:val="0"/>
          <w:kern w:val="2"/>
          <w:sz w:val="21"/>
          <w:szCs w:val="22"/>
          <w:lang w:eastAsia="zh-CN"/>
        </w:rPr>
        <w:tab/>
      </w:r>
      <w:r>
        <w:rPr>
          <w:rStyle w:val="19"/>
          <w:rFonts w:hint="eastAsia"/>
        </w:rPr>
        <w:t>背景</w:t>
      </w:r>
      <w:r>
        <w:tab/>
      </w:r>
      <w:r>
        <w:fldChar w:fldCharType="begin"/>
      </w:r>
      <w:r>
        <w:instrText xml:space="preserve"> PAGEREF _Toc479513556 \h </w:instrText>
      </w:r>
      <w:r>
        <w:fldChar w:fldCharType="separate"/>
      </w:r>
      <w:r>
        <w:t>5</w:t>
      </w:r>
      <w:r>
        <w:fldChar w:fldCharType="end"/>
      </w:r>
      <w:r>
        <w:fldChar w:fldCharType="end"/>
      </w:r>
    </w:p>
    <w:p w14:paraId="77AA1F22">
      <w:pPr>
        <w:pStyle w:val="13"/>
        <w:spacing w:before="96"/>
        <w:ind w:right="440"/>
        <w:rPr>
          <w:rFonts w:asciiTheme="minorHAnsi" w:hAnsiTheme="minorHAnsi" w:eastAsiaTheme="minorEastAsia"/>
          <w:bCs w:val="0"/>
          <w:kern w:val="2"/>
          <w:sz w:val="21"/>
          <w:szCs w:val="22"/>
          <w:lang w:eastAsia="zh-CN"/>
        </w:rPr>
      </w:pPr>
      <w:r>
        <w:fldChar w:fldCharType="begin"/>
      </w:r>
      <w:r>
        <w:instrText xml:space="preserve"> HYPERLINK \l "_Toc479513557" </w:instrText>
      </w:r>
      <w:r>
        <w:fldChar w:fldCharType="separate"/>
      </w:r>
      <w:r>
        <w:rPr>
          <w:rStyle w:val="19"/>
        </w:rPr>
        <w:t>III.</w:t>
      </w:r>
      <w:r>
        <w:rPr>
          <w:rFonts w:asciiTheme="minorHAnsi" w:hAnsiTheme="minorHAnsi" w:eastAsiaTheme="minorEastAsia"/>
          <w:bCs w:val="0"/>
          <w:kern w:val="2"/>
          <w:sz w:val="21"/>
          <w:szCs w:val="22"/>
          <w:lang w:eastAsia="zh-CN"/>
        </w:rPr>
        <w:tab/>
      </w:r>
      <w:r>
        <w:rPr>
          <w:rStyle w:val="19"/>
          <w:rFonts w:hint="eastAsia"/>
        </w:rPr>
        <w:t>范围</w:t>
      </w:r>
      <w:r>
        <w:tab/>
      </w:r>
      <w:r>
        <w:fldChar w:fldCharType="begin"/>
      </w:r>
      <w:r>
        <w:instrText xml:space="preserve"> PAGEREF _Toc479513557 \h </w:instrText>
      </w:r>
      <w:r>
        <w:fldChar w:fldCharType="separate"/>
      </w:r>
      <w:r>
        <w:t>6</w:t>
      </w:r>
      <w:r>
        <w:fldChar w:fldCharType="end"/>
      </w:r>
      <w:r>
        <w:fldChar w:fldCharType="end"/>
      </w:r>
    </w:p>
    <w:p w14:paraId="3AB7FDD8">
      <w:pPr>
        <w:pStyle w:val="13"/>
        <w:spacing w:before="96"/>
        <w:ind w:right="440"/>
        <w:rPr>
          <w:rFonts w:asciiTheme="minorHAnsi" w:hAnsiTheme="minorHAnsi" w:eastAsiaTheme="minorEastAsia"/>
          <w:bCs w:val="0"/>
          <w:kern w:val="2"/>
          <w:sz w:val="21"/>
          <w:szCs w:val="22"/>
          <w:lang w:eastAsia="zh-CN"/>
        </w:rPr>
      </w:pPr>
      <w:r>
        <w:fldChar w:fldCharType="begin"/>
      </w:r>
      <w:r>
        <w:instrText xml:space="preserve"> HYPERLINK \l "_Toc479513558" </w:instrText>
      </w:r>
      <w:r>
        <w:fldChar w:fldCharType="separate"/>
      </w:r>
      <w:r>
        <w:rPr>
          <w:rStyle w:val="19"/>
        </w:rPr>
        <w:t>IV.</w:t>
      </w:r>
      <w:r>
        <w:rPr>
          <w:rFonts w:asciiTheme="minorHAnsi" w:hAnsiTheme="minorHAnsi" w:eastAsiaTheme="minorEastAsia"/>
          <w:bCs w:val="0"/>
          <w:kern w:val="2"/>
          <w:sz w:val="21"/>
          <w:szCs w:val="22"/>
          <w:lang w:eastAsia="zh-CN"/>
        </w:rPr>
        <w:tab/>
      </w:r>
      <w:r>
        <w:rPr>
          <w:rStyle w:val="19"/>
          <w:rFonts w:hint="eastAsia"/>
        </w:rPr>
        <w:t>器械描述</w:t>
      </w:r>
      <w:r>
        <w:tab/>
      </w:r>
      <w:r>
        <w:fldChar w:fldCharType="begin"/>
      </w:r>
      <w:r>
        <w:instrText xml:space="preserve"> PAGEREF _Toc479513558 \h </w:instrText>
      </w:r>
      <w:r>
        <w:fldChar w:fldCharType="separate"/>
      </w:r>
      <w:r>
        <w:t>7</w:t>
      </w:r>
      <w:r>
        <w:fldChar w:fldCharType="end"/>
      </w:r>
      <w:r>
        <w:fldChar w:fldCharType="end"/>
      </w:r>
    </w:p>
    <w:p w14:paraId="21DD7437">
      <w:pPr>
        <w:pStyle w:val="13"/>
        <w:spacing w:before="96"/>
        <w:ind w:right="440"/>
        <w:rPr>
          <w:rFonts w:asciiTheme="minorHAnsi" w:hAnsiTheme="minorHAnsi" w:eastAsiaTheme="minorEastAsia"/>
          <w:bCs w:val="0"/>
          <w:kern w:val="2"/>
          <w:sz w:val="21"/>
          <w:szCs w:val="22"/>
          <w:lang w:eastAsia="zh-CN"/>
        </w:rPr>
      </w:pPr>
      <w:r>
        <w:fldChar w:fldCharType="begin"/>
      </w:r>
      <w:r>
        <w:instrText xml:space="preserve"> HYPERLINK \l "_Toc479513559" </w:instrText>
      </w:r>
      <w:r>
        <w:fldChar w:fldCharType="separate"/>
      </w:r>
      <w:r>
        <w:rPr>
          <w:rStyle w:val="19"/>
        </w:rPr>
        <w:t>V.</w:t>
      </w:r>
      <w:r>
        <w:rPr>
          <w:rFonts w:asciiTheme="minorHAnsi" w:hAnsiTheme="minorHAnsi" w:eastAsiaTheme="minorEastAsia"/>
          <w:bCs w:val="0"/>
          <w:kern w:val="2"/>
          <w:sz w:val="21"/>
          <w:szCs w:val="22"/>
          <w:lang w:eastAsia="zh-CN"/>
        </w:rPr>
        <w:tab/>
      </w:r>
      <w:r>
        <w:rPr>
          <w:rStyle w:val="19"/>
          <w:rFonts w:hint="eastAsia"/>
        </w:rPr>
        <w:t>健康风险</w:t>
      </w:r>
      <w:r>
        <w:tab/>
      </w:r>
      <w:r>
        <w:fldChar w:fldCharType="begin"/>
      </w:r>
      <w:r>
        <w:instrText xml:space="preserve"> PAGEREF _Toc479513559 \h </w:instrText>
      </w:r>
      <w:r>
        <w:fldChar w:fldCharType="separate"/>
      </w:r>
      <w:r>
        <w:t>7</w:t>
      </w:r>
      <w:r>
        <w:fldChar w:fldCharType="end"/>
      </w:r>
      <w:r>
        <w:fldChar w:fldCharType="end"/>
      </w:r>
    </w:p>
    <w:p w14:paraId="273ADB9C">
      <w:pPr>
        <w:pStyle w:val="13"/>
        <w:spacing w:before="96"/>
        <w:ind w:right="440"/>
        <w:rPr>
          <w:rFonts w:asciiTheme="minorHAnsi" w:hAnsiTheme="minorHAnsi" w:eastAsiaTheme="minorEastAsia"/>
          <w:bCs w:val="0"/>
          <w:kern w:val="2"/>
          <w:sz w:val="21"/>
          <w:szCs w:val="22"/>
          <w:lang w:eastAsia="zh-CN"/>
        </w:rPr>
      </w:pPr>
      <w:r>
        <w:fldChar w:fldCharType="begin"/>
      </w:r>
      <w:r>
        <w:instrText xml:space="preserve"> HYPERLINK \l "_Toc479513560" </w:instrText>
      </w:r>
      <w:r>
        <w:fldChar w:fldCharType="separate"/>
      </w:r>
      <w:r>
        <w:rPr>
          <w:rStyle w:val="19"/>
        </w:rPr>
        <w:t>VI.</w:t>
      </w:r>
      <w:r>
        <w:rPr>
          <w:rFonts w:asciiTheme="minorHAnsi" w:hAnsiTheme="minorHAnsi" w:eastAsiaTheme="minorEastAsia"/>
          <w:bCs w:val="0"/>
          <w:kern w:val="2"/>
          <w:sz w:val="21"/>
          <w:szCs w:val="22"/>
          <w:lang w:eastAsia="zh-CN"/>
        </w:rPr>
        <w:tab/>
      </w:r>
      <w:r>
        <w:rPr>
          <w:rStyle w:val="19"/>
          <w:rFonts w:hint="eastAsia"/>
        </w:rPr>
        <w:t>确定培养方法的性能特性</w:t>
      </w:r>
      <w:r>
        <w:tab/>
      </w:r>
      <w:r>
        <w:fldChar w:fldCharType="begin"/>
      </w:r>
      <w:r>
        <w:instrText xml:space="preserve"> PAGEREF _Toc479513560 \h </w:instrText>
      </w:r>
      <w:r>
        <w:fldChar w:fldCharType="separate"/>
      </w:r>
      <w:r>
        <w:t>8</w:t>
      </w:r>
      <w:r>
        <w:fldChar w:fldCharType="end"/>
      </w:r>
      <w:r>
        <w:fldChar w:fldCharType="end"/>
      </w:r>
    </w:p>
    <w:p w14:paraId="16D1BD80">
      <w:pPr>
        <w:pStyle w:val="15"/>
        <w:spacing w:before="96"/>
        <w:ind w:left="440" w:right="440"/>
        <w:rPr>
          <w:rFonts w:asciiTheme="minorHAnsi" w:hAnsiTheme="minorHAnsi" w:eastAsiaTheme="minorEastAsia"/>
          <w:bCs w:val="0"/>
          <w:kern w:val="2"/>
          <w:sz w:val="21"/>
          <w:szCs w:val="22"/>
          <w:lang w:eastAsia="zh-CN"/>
        </w:rPr>
      </w:pPr>
      <w:r>
        <w:fldChar w:fldCharType="begin"/>
      </w:r>
      <w:r>
        <w:instrText xml:space="preserve"> HYPERLINK \l "_Toc479513561" </w:instrText>
      </w:r>
      <w:r>
        <w:fldChar w:fldCharType="separate"/>
      </w:r>
      <w:r>
        <w:rPr>
          <w:rStyle w:val="19"/>
        </w:rPr>
        <w:t>A.</w:t>
      </w:r>
      <w:r>
        <w:rPr>
          <w:rFonts w:asciiTheme="minorHAnsi" w:hAnsiTheme="minorHAnsi" w:eastAsiaTheme="minorEastAsia"/>
          <w:bCs w:val="0"/>
          <w:kern w:val="2"/>
          <w:sz w:val="21"/>
          <w:szCs w:val="22"/>
          <w:lang w:eastAsia="zh-CN"/>
        </w:rPr>
        <w:tab/>
      </w:r>
      <w:r>
        <w:rPr>
          <w:rStyle w:val="19"/>
          <w:rFonts w:hint="eastAsia"/>
        </w:rPr>
        <w:t>控制</w:t>
      </w:r>
      <w:r>
        <w:tab/>
      </w:r>
      <w:r>
        <w:fldChar w:fldCharType="begin"/>
      </w:r>
      <w:r>
        <w:instrText xml:space="preserve"> PAGEREF _Toc479513561 \h </w:instrText>
      </w:r>
      <w:r>
        <w:fldChar w:fldCharType="separate"/>
      </w:r>
      <w:r>
        <w:t>8</w:t>
      </w:r>
      <w:r>
        <w:fldChar w:fldCharType="end"/>
      </w:r>
      <w:r>
        <w:fldChar w:fldCharType="end"/>
      </w:r>
    </w:p>
    <w:p w14:paraId="0FB785E5">
      <w:pPr>
        <w:pStyle w:val="15"/>
        <w:spacing w:before="96"/>
        <w:ind w:left="440" w:right="440"/>
        <w:rPr>
          <w:rFonts w:asciiTheme="minorHAnsi" w:hAnsiTheme="minorHAnsi" w:eastAsiaTheme="minorEastAsia"/>
          <w:bCs w:val="0"/>
          <w:kern w:val="2"/>
          <w:sz w:val="21"/>
          <w:szCs w:val="22"/>
          <w:lang w:eastAsia="zh-CN"/>
        </w:rPr>
      </w:pPr>
      <w:r>
        <w:fldChar w:fldCharType="begin"/>
      </w:r>
      <w:r>
        <w:instrText xml:space="preserve"> HYPERLINK \l "_Toc479513562" </w:instrText>
      </w:r>
      <w:r>
        <w:fldChar w:fldCharType="separate"/>
      </w:r>
      <w:r>
        <w:rPr>
          <w:rStyle w:val="19"/>
        </w:rPr>
        <w:t>B.</w:t>
      </w:r>
      <w:r>
        <w:rPr>
          <w:rFonts w:asciiTheme="minorHAnsi" w:hAnsiTheme="minorHAnsi" w:eastAsiaTheme="minorEastAsia"/>
          <w:bCs w:val="0"/>
          <w:kern w:val="2"/>
          <w:sz w:val="21"/>
          <w:szCs w:val="22"/>
          <w:lang w:eastAsia="zh-CN"/>
        </w:rPr>
        <w:tab/>
      </w:r>
      <w:r>
        <w:rPr>
          <w:rStyle w:val="19"/>
          <w:rFonts w:hint="eastAsia"/>
        </w:rPr>
        <w:t>性能研究</w:t>
      </w:r>
      <w:r>
        <w:tab/>
      </w:r>
      <w:r>
        <w:fldChar w:fldCharType="begin"/>
      </w:r>
      <w:r>
        <w:instrText xml:space="preserve"> PAGEREF _Toc479513562 \h </w:instrText>
      </w:r>
      <w:r>
        <w:fldChar w:fldCharType="separate"/>
      </w:r>
      <w:r>
        <w:t>8</w:t>
      </w:r>
      <w:r>
        <w:fldChar w:fldCharType="end"/>
      </w:r>
      <w:r>
        <w:fldChar w:fldCharType="end"/>
      </w:r>
    </w:p>
    <w:p w14:paraId="5ED90983">
      <w:pPr>
        <w:pStyle w:val="15"/>
        <w:spacing w:before="96"/>
        <w:ind w:left="440" w:right="440"/>
        <w:rPr>
          <w:rFonts w:asciiTheme="minorHAnsi" w:hAnsiTheme="minorHAnsi" w:eastAsiaTheme="minorEastAsia"/>
          <w:bCs w:val="0"/>
          <w:kern w:val="2"/>
          <w:sz w:val="21"/>
          <w:szCs w:val="22"/>
          <w:lang w:eastAsia="zh-CN"/>
        </w:rPr>
      </w:pPr>
      <w:r>
        <w:fldChar w:fldCharType="begin"/>
      </w:r>
      <w:r>
        <w:instrText xml:space="preserve"> HYPERLINK \l "_Toc479513563" </w:instrText>
      </w:r>
      <w:r>
        <w:fldChar w:fldCharType="separate"/>
      </w:r>
      <w:r>
        <w:rPr>
          <w:rStyle w:val="19"/>
        </w:rPr>
        <w:t>C.</w:t>
      </w:r>
      <w:r>
        <w:rPr>
          <w:rFonts w:asciiTheme="minorHAnsi" w:hAnsiTheme="minorHAnsi" w:eastAsiaTheme="minorEastAsia"/>
          <w:bCs w:val="0"/>
          <w:kern w:val="2"/>
          <w:sz w:val="21"/>
          <w:szCs w:val="22"/>
          <w:lang w:eastAsia="zh-CN"/>
        </w:rPr>
        <w:tab/>
      </w:r>
      <w:r>
        <w:rPr>
          <w:rStyle w:val="19"/>
        </w:rPr>
        <w:t xml:space="preserve">CLIA </w:t>
      </w:r>
      <w:r>
        <w:rPr>
          <w:rStyle w:val="19"/>
          <w:rFonts w:hint="eastAsia"/>
        </w:rPr>
        <w:t>豁免</w:t>
      </w:r>
      <w:r>
        <w:tab/>
      </w:r>
      <w:r>
        <w:fldChar w:fldCharType="begin"/>
      </w:r>
      <w:r>
        <w:instrText xml:space="preserve"> PAGEREF _Toc479513563 \h </w:instrText>
      </w:r>
      <w:r>
        <w:fldChar w:fldCharType="separate"/>
      </w:r>
      <w:r>
        <w:t>20</w:t>
      </w:r>
      <w:r>
        <w:fldChar w:fldCharType="end"/>
      </w:r>
      <w:r>
        <w:fldChar w:fldCharType="end"/>
      </w:r>
    </w:p>
    <w:p w14:paraId="4A42BE39">
      <w:pPr>
        <w:pStyle w:val="13"/>
        <w:spacing w:before="96"/>
        <w:ind w:right="440"/>
        <w:rPr>
          <w:rStyle w:val="19"/>
        </w:rPr>
      </w:pPr>
      <w:r>
        <w:fldChar w:fldCharType="begin"/>
      </w:r>
      <w:r>
        <w:instrText xml:space="preserve"> HYPERLINK \l "_Toc479513564" </w:instrText>
      </w:r>
      <w:r>
        <w:fldChar w:fldCharType="separate"/>
      </w:r>
      <w:r>
        <w:rPr>
          <w:rStyle w:val="19"/>
        </w:rPr>
        <w:t>VII.</w:t>
      </w:r>
      <w:r>
        <w:rPr>
          <w:rStyle w:val="19"/>
        </w:rPr>
        <w:tab/>
      </w:r>
      <w:r>
        <w:rPr>
          <w:rStyle w:val="19"/>
          <w:rFonts w:hint="eastAsia"/>
        </w:rPr>
        <w:t>参考文件</w:t>
      </w:r>
      <w:r>
        <w:rPr>
          <w:rStyle w:val="19"/>
        </w:rPr>
        <w:tab/>
      </w:r>
      <w:r>
        <w:rPr>
          <w:rStyle w:val="19"/>
        </w:rPr>
        <w:fldChar w:fldCharType="begin"/>
      </w:r>
      <w:r>
        <w:rPr>
          <w:rStyle w:val="19"/>
        </w:rPr>
        <w:instrText xml:space="preserve"> PAGEREF _Toc479513564 \h </w:instrText>
      </w:r>
      <w:r>
        <w:rPr>
          <w:rStyle w:val="19"/>
        </w:rPr>
        <w:fldChar w:fldCharType="separate"/>
      </w:r>
      <w:r>
        <w:rPr>
          <w:rStyle w:val="19"/>
        </w:rPr>
        <w:t>20</w:t>
      </w:r>
      <w:r>
        <w:rPr>
          <w:rStyle w:val="19"/>
        </w:rPr>
        <w:fldChar w:fldCharType="end"/>
      </w:r>
      <w:r>
        <w:rPr>
          <w:rStyle w:val="19"/>
        </w:rPr>
        <w:fldChar w:fldCharType="end"/>
      </w:r>
    </w:p>
    <w:p w14:paraId="1C885EDA">
      <w:pPr>
        <w:pStyle w:val="8"/>
        <w:spacing w:before="144"/>
        <w:rPr>
          <w:lang w:eastAsia="zh-CN"/>
        </w:rPr>
      </w:pPr>
      <w:r>
        <w:rPr>
          <w:lang w:eastAsia="zh-CN"/>
        </w:rPr>
        <w:fldChar w:fldCharType="end"/>
      </w:r>
    </w:p>
    <w:p w14:paraId="3805F9FB">
      <w:pPr>
        <w:pStyle w:val="8"/>
        <w:spacing w:before="144"/>
        <w:rPr>
          <w:lang w:eastAsia="zh-CN"/>
        </w:rPr>
      </w:pPr>
      <w:r>
        <w:rPr>
          <w:lang w:eastAsia="zh-CN"/>
        </w:rPr>
        <w:br w:type="page"/>
      </w:r>
    </w:p>
    <w:p w14:paraId="66E18184">
      <w:pPr>
        <w:pStyle w:val="8"/>
        <w:pBdr>
          <w:bottom w:val="single" w:color="auto" w:sz="6" w:space="1"/>
        </w:pBdr>
        <w:spacing w:before="144"/>
        <w:jc w:val="center"/>
        <w:rPr>
          <w:b/>
          <w:sz w:val="36"/>
          <w:szCs w:val="36"/>
          <w:lang w:eastAsia="zh-CN"/>
        </w:rPr>
      </w:pPr>
      <w:bookmarkStart w:id="0" w:name="_bookmark0"/>
      <w:bookmarkEnd w:id="0"/>
      <w:r>
        <w:rPr>
          <w:rFonts w:hint="eastAsia"/>
          <w:b/>
          <w:sz w:val="36"/>
          <w:szCs w:val="36"/>
          <w:lang w:eastAsia="zh-CN"/>
        </w:rPr>
        <w:t>行业和FDA工作人员指南草案</w:t>
      </w:r>
    </w:p>
    <w:p w14:paraId="728F5B13">
      <w:pPr>
        <w:pStyle w:val="8"/>
        <w:spacing w:before="144"/>
        <w:jc w:val="center"/>
        <w:rPr>
          <w:b/>
          <w:sz w:val="36"/>
          <w:szCs w:val="36"/>
          <w:lang w:eastAsia="zh-CN"/>
        </w:rPr>
      </w:pPr>
      <w:r>
        <w:rPr>
          <w:rFonts w:hint="eastAsia"/>
          <w:b/>
          <w:sz w:val="36"/>
          <w:szCs w:val="36"/>
          <w:lang w:eastAsia="zh-CN"/>
        </w:rPr>
        <w:t>基于培养基的器械确定用于检测耐甲氧西林金黄色葡萄球菌（MRSA）的体外诊断器械的性能特性</w:t>
      </w:r>
    </w:p>
    <w:p w14:paraId="1144EC6C">
      <w:pPr>
        <w:pStyle w:val="8"/>
        <w:spacing w:before="144"/>
        <w:rPr>
          <w:lang w:eastAsia="zh-CN"/>
        </w:rPr>
      </w:pPr>
    </w:p>
    <w:tbl>
      <w:tblPr>
        <w:tblStyle w:val="1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87"/>
      </w:tblGrid>
      <w:tr w14:paraId="76F52F70">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606" w:type="dxa"/>
          </w:tcPr>
          <w:p w14:paraId="3AAD573F">
            <w:pPr>
              <w:pStyle w:val="8"/>
              <w:spacing w:before="144"/>
              <w:rPr>
                <w:lang w:eastAsia="zh-CN"/>
              </w:rPr>
            </w:pPr>
            <w:r>
              <w:rPr>
                <w:rFonts w:hint="eastAsia" w:ascii="Times New Roman"/>
                <w:b/>
                <w:i/>
                <w:lang w:eastAsia="zh-CN"/>
              </w:rPr>
              <w:t>定稿时，本指南草案代表食品药品监督管理局（FDA）在这一主题上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0EC5B423">
      <w:pPr>
        <w:pStyle w:val="8"/>
        <w:spacing w:before="144"/>
        <w:rPr>
          <w:lang w:eastAsia="zh-CN"/>
        </w:rPr>
      </w:pPr>
    </w:p>
    <w:p w14:paraId="397EA629">
      <w:pPr>
        <w:pStyle w:val="8"/>
        <w:numPr>
          <w:ilvl w:val="0"/>
          <w:numId w:val="1"/>
        </w:numPr>
        <w:tabs>
          <w:tab w:val="left" w:pos="660"/>
        </w:tabs>
        <w:spacing w:before="240" w:beforeLines="100" w:after="120" w:afterLines="50"/>
        <w:ind w:left="0" w:firstLine="0"/>
        <w:outlineLvl w:val="0"/>
        <w:rPr>
          <w:b/>
          <w:sz w:val="30"/>
          <w:szCs w:val="30"/>
        </w:rPr>
      </w:pPr>
      <w:bookmarkStart w:id="1" w:name="I.___Introduction"/>
      <w:bookmarkEnd w:id="1"/>
      <w:bookmarkStart w:id="2" w:name="_Toc479513400"/>
      <w:bookmarkStart w:id="3" w:name="_Toc479513555"/>
      <w:r>
        <w:rPr>
          <w:rFonts w:hint="eastAsia"/>
          <w:b/>
          <w:sz w:val="30"/>
          <w:szCs w:val="30"/>
        </w:rPr>
        <w:t>引言</w:t>
      </w:r>
      <w:bookmarkEnd w:id="2"/>
      <w:bookmarkEnd w:id="3"/>
    </w:p>
    <w:p w14:paraId="7E495993">
      <w:pPr>
        <w:pStyle w:val="8"/>
        <w:spacing w:before="144"/>
        <w:rPr>
          <w:lang w:eastAsia="zh-CN"/>
        </w:rPr>
      </w:pPr>
      <w:r>
        <w:rPr>
          <w:rFonts w:hint="eastAsia"/>
          <w:lang w:eastAsia="zh-CN"/>
        </w:rPr>
        <w:t>FDA拟发布本指南草案，就使用基于培养基的方法确定旨在检测耐甲氧西林金黄色葡萄球菌（MRSA）的体外诊断器械（IVD）的分析和临床性能的研究为行业和本审查机构工作人员提供建议。这些器械用于帮助在医疗环境中预防和控制MRSA感染。</w:t>
      </w:r>
    </w:p>
    <w:p w14:paraId="43BE9476">
      <w:pPr>
        <w:pStyle w:val="8"/>
        <w:spacing w:before="144"/>
        <w:rPr>
          <w:lang w:eastAsia="zh-CN"/>
        </w:rPr>
      </w:pPr>
      <w:r>
        <w:rPr>
          <w:rFonts w:hint="eastAsia"/>
          <w:lang w:eastAsia="zh-CN"/>
        </w:rPr>
        <w:t>本指南提供有关FDA建议进行研究类型的详细信息，此类研究用于支持这些器械的II类上市前提交资料。本指南提供推荐用于分析灵敏度和包含性研究的MRSA</w:t>
      </w:r>
      <w:bookmarkStart w:id="4" w:name="OLE_LINK49"/>
      <w:bookmarkStart w:id="5" w:name="OLE_LINK50"/>
      <w:r>
        <w:rPr>
          <w:rFonts w:hint="eastAsia"/>
          <w:lang w:eastAsia="zh-CN"/>
        </w:rPr>
        <w:t>菌株</w:t>
      </w:r>
      <w:bookmarkEnd w:id="4"/>
      <w:bookmarkEnd w:id="5"/>
      <w:r>
        <w:rPr>
          <w:rFonts w:hint="eastAsia"/>
          <w:lang w:eastAsia="zh-CN"/>
        </w:rPr>
        <w:t>示例，以及推荐用于分析特异性研究的微生物示例。</w:t>
      </w:r>
    </w:p>
    <w:p w14:paraId="6D83F70B">
      <w:pPr>
        <w:pStyle w:val="8"/>
        <w:spacing w:before="144"/>
        <w:rPr>
          <w:lang w:eastAsia="zh-CN"/>
        </w:rPr>
      </w:pPr>
      <w:r>
        <w:rPr>
          <w:rFonts w:hint="eastAsia"/>
          <w:lang w:eastAsia="zh-CN"/>
        </w:rPr>
        <w:t>本文件仅限于确定通过培养基中的增长检测MRSA的器械或测试由mecA基因表达的蛋白质、青霉素结合蛋白2a（PBP2a或PBP2'）器械的性能特性研究。</w:t>
      </w:r>
    </w:p>
    <w:p w14:paraId="2E800424">
      <w:pPr>
        <w:pStyle w:val="8"/>
        <w:spacing w:before="144"/>
        <w:rPr>
          <w:lang w:eastAsia="zh-CN"/>
        </w:rPr>
      </w:pPr>
      <w:r>
        <w:rPr>
          <w:lang w:eastAsia="zh-CN"/>
        </w:rPr>
        <w:br w:type="page"/>
      </w:r>
    </w:p>
    <w:p w14:paraId="2EC9167A">
      <w:pPr>
        <w:pStyle w:val="8"/>
        <w:spacing w:before="144"/>
        <w:rPr>
          <w:lang w:eastAsia="zh-CN"/>
        </w:rPr>
      </w:pPr>
      <w:r>
        <w:rPr>
          <w:rFonts w:hint="eastAsia"/>
          <w:lang w:eastAsia="zh-CN"/>
        </w:rPr>
        <w:t>这包括使用选择性或显色培养基的基于培养基器械。本文件并不涉及检测宿主对MRSA抗原的血清学反应，也不涉及确定多分析物或多重核酸基器械的非MRSA组件的性能。</w:t>
      </w:r>
    </w:p>
    <w:p w14:paraId="38F38897">
      <w:pPr>
        <w:pStyle w:val="8"/>
        <w:spacing w:before="144"/>
        <w:rPr>
          <w:lang w:eastAsia="zh-CN"/>
        </w:rPr>
      </w:pPr>
      <w:r>
        <w:rPr>
          <w:rFonts w:hint="eastAsia"/>
          <w:lang w:eastAsia="zh-CN"/>
        </w:rPr>
        <w:t>FDA的指导性文件，包括本指南，不构成法律上可强制执行的责任。相反，指南说明本审查机构目前关于某一主题的见解，除非引用具体的法规或法定要求，否则应仅视为建议。在本审查机构指南中使用词语</w:t>
      </w:r>
      <w:r>
        <w:rPr>
          <w:rFonts w:asciiTheme="minorEastAsia" w:hAnsiTheme="minorEastAsia" w:eastAsiaTheme="minorEastAsia"/>
          <w:lang w:eastAsia="zh-CN"/>
        </w:rPr>
        <w:t>“</w:t>
      </w:r>
      <w:r>
        <w:rPr>
          <w:rFonts w:hint="eastAsia"/>
          <w:lang w:eastAsia="zh-CN"/>
        </w:rPr>
        <w:t>应</w:t>
      </w:r>
      <w:r>
        <w:rPr>
          <w:rFonts w:asciiTheme="minorEastAsia" w:hAnsiTheme="minorEastAsia" w:eastAsiaTheme="minorEastAsia"/>
          <w:lang w:eastAsia="zh-CN"/>
        </w:rPr>
        <w:t>”</w:t>
      </w:r>
      <w:r>
        <w:rPr>
          <w:rFonts w:hint="eastAsia"/>
          <w:lang w:eastAsia="zh-CN"/>
        </w:rPr>
        <w:t>是指建议或推荐进行某一事项，但非强制要求。</w:t>
      </w:r>
    </w:p>
    <w:p w14:paraId="42BB4EEF">
      <w:pPr>
        <w:pStyle w:val="8"/>
        <w:numPr>
          <w:ilvl w:val="0"/>
          <w:numId w:val="1"/>
        </w:numPr>
        <w:tabs>
          <w:tab w:val="left" w:pos="660"/>
        </w:tabs>
        <w:spacing w:before="240" w:beforeLines="100" w:after="120" w:afterLines="50"/>
        <w:ind w:left="0" w:firstLine="0"/>
        <w:outlineLvl w:val="0"/>
        <w:rPr>
          <w:b/>
          <w:sz w:val="30"/>
          <w:szCs w:val="30"/>
        </w:rPr>
      </w:pPr>
      <w:bookmarkStart w:id="6" w:name="II.__Background_"/>
      <w:bookmarkEnd w:id="6"/>
      <w:bookmarkStart w:id="7" w:name="_Toc479513401"/>
      <w:bookmarkStart w:id="8" w:name="_Toc479513556"/>
      <w:r>
        <w:rPr>
          <w:rFonts w:hint="eastAsia"/>
          <w:b/>
          <w:sz w:val="30"/>
          <w:szCs w:val="30"/>
        </w:rPr>
        <w:t>背景</w:t>
      </w:r>
      <w:bookmarkEnd w:id="7"/>
      <w:bookmarkEnd w:id="8"/>
    </w:p>
    <w:p w14:paraId="3140A985">
      <w:pPr>
        <w:pStyle w:val="8"/>
        <w:spacing w:before="144"/>
        <w:rPr>
          <w:lang w:eastAsia="zh-CN"/>
        </w:rPr>
      </w:pPr>
      <w:r>
        <w:rPr>
          <w:rFonts w:hint="eastAsia"/>
          <w:lang w:eastAsia="zh-CN"/>
        </w:rPr>
        <w:t>本文件对用于确定适用于检测MRSA的体外诊断器械的性能特性研究提供建议，包括用于检测或检测与分化人类样本中的MRSA与金黄色葡萄球菌（SA）或通过连续监测血培养系统检测的细菌增长的研究。FDA认为此类推荐研究将与特定试验可能需要的II类上市前提交（例如，510（k）或重新分类申请）相关。</w:t>
      </w:r>
    </w:p>
    <w:p w14:paraId="3C128D70">
      <w:pPr>
        <w:pStyle w:val="8"/>
        <w:spacing w:before="144"/>
        <w:rPr>
          <w:lang w:eastAsia="zh-CN"/>
        </w:rPr>
      </w:pPr>
      <w:r>
        <w:rPr>
          <w:rFonts w:hint="eastAsia"/>
          <w:lang w:eastAsia="zh-CN"/>
        </w:rPr>
        <w:t>拟销售用于检测MRSA的体外诊断器械的制造商应当遵守联邦食品、药品和化妆品法案（FD＆C Act）的一般控制，并且在销售器械之前获得上市前许可或批准（该法案第510（k）、513、515节； 21 U.S.C. 360（k）、360c、360e）。</w:t>
      </w:r>
    </w:p>
    <w:p w14:paraId="59EB6F6F">
      <w:pPr>
        <w:pStyle w:val="8"/>
        <w:spacing w:before="144"/>
      </w:pPr>
      <w:r>
        <w:rPr>
          <w:rFonts w:hint="eastAsia"/>
        </w:rPr>
        <w:t>本文件旨在补充21 CFR 807.87（上市前通告中需要的信息）和其他FDA资源，例如CDRH的器械建议网页</w:t>
      </w:r>
      <w:r>
        <w:rPr>
          <w:rFonts w:asciiTheme="minorEastAsia" w:hAnsiTheme="minorEastAsia" w:eastAsiaTheme="minorEastAsia"/>
        </w:rPr>
        <w:t>“</w:t>
      </w:r>
      <w:r>
        <w:rPr>
          <w:rFonts w:hint="eastAsia"/>
        </w:rPr>
        <w:t>上市前通告510（k）</w:t>
      </w:r>
      <w:r>
        <w:rPr>
          <w:rFonts w:asciiTheme="minorEastAsia" w:hAnsiTheme="minorEastAsia" w:eastAsiaTheme="minorEastAsia"/>
        </w:rPr>
        <w:t>”</w:t>
      </w:r>
      <w:r>
        <w:rPr>
          <w:rFonts w:hint="eastAsia"/>
        </w:rPr>
        <w:t>，其网址为：http：//www.fda.gov/MedicalDevices/DeviceRegulationandGuidance / HowtoMarketYour Device / PremarketSubmissions / PremarketNotification510k / default.htm。关于简化和传统510（k）内容和格式的指南可在标题为</w:t>
      </w:r>
      <w:r>
        <w:rPr>
          <w:rFonts w:asciiTheme="minorEastAsia" w:hAnsiTheme="minorEastAsia" w:eastAsiaTheme="minorEastAsia"/>
        </w:rPr>
        <w:t>“</w:t>
      </w:r>
      <w:r>
        <w:rPr>
          <w:rFonts w:hint="eastAsia"/>
        </w:rPr>
        <w:t>传统和简化510（k）的格式</w:t>
      </w:r>
      <w:r>
        <w:rPr>
          <w:rFonts w:asciiTheme="minorEastAsia" w:hAnsiTheme="minorEastAsia" w:eastAsiaTheme="minorEastAsia"/>
        </w:rPr>
        <w:t>”</w:t>
      </w:r>
      <w:r>
        <w:rPr>
          <w:rFonts w:hint="eastAsia"/>
        </w:rPr>
        <w:t>的指南中找到，其网址为：http：//www.fda.gov/downloads/MedicalDevices/ DeviceRegulationandGuidance / Guidanc eDocuments / ucm084396.pdf。</w:t>
      </w:r>
    </w:p>
    <w:p w14:paraId="5B134541">
      <w:pPr>
        <w:pStyle w:val="8"/>
        <w:spacing w:before="144"/>
        <w:rPr>
          <w:lang w:eastAsia="zh-CN"/>
        </w:rPr>
      </w:pPr>
      <w:r>
        <w:rPr>
          <w:rFonts w:hint="eastAsia"/>
          <w:lang w:eastAsia="zh-CN"/>
        </w:rPr>
        <w:t>有关器械试验的更多信息，请参见标题为</w:t>
      </w:r>
      <w:r>
        <w:rPr>
          <w:rFonts w:asciiTheme="minorEastAsia" w:hAnsiTheme="minorEastAsia" w:eastAsiaTheme="minorEastAsia"/>
          <w:lang w:eastAsia="zh-CN"/>
        </w:rPr>
        <w:t>“</w:t>
      </w:r>
      <w:r>
        <w:rPr>
          <w:rFonts w:hint="eastAsia"/>
          <w:lang w:eastAsia="zh-CN"/>
        </w:rPr>
        <w:t>体外诊断（IVD）器械研究 - 常见问题</w:t>
      </w:r>
      <w:r>
        <w:rPr>
          <w:rFonts w:asciiTheme="minorEastAsia" w:hAnsiTheme="minorEastAsia" w:eastAsiaTheme="minorEastAsia"/>
          <w:lang w:eastAsia="zh-CN"/>
        </w:rPr>
        <w:t>”</w:t>
      </w:r>
      <w:r>
        <w:rPr>
          <w:rFonts w:hint="eastAsia"/>
          <w:lang w:eastAsia="zh-CN"/>
        </w:rPr>
        <w:t>的指南（其网址为：</w:t>
      </w:r>
      <w:r>
        <w:fldChar w:fldCharType="begin"/>
      </w:r>
      <w:r>
        <w:rPr>
          <w:lang w:eastAsia="zh-CN"/>
        </w:rPr>
        <w:instrText xml:space="preserve"> HYPERLINK "</w:instrText>
      </w:r>
      <w:r>
        <w:rPr>
          <w:rFonts w:hint="eastAsia"/>
          <w:lang w:eastAsia="zh-CN"/>
        </w:rPr>
        <w:instrText xml:space="preserve">http://www.fda.gov/downloads/MedicalDevices/DeviceRegulationandGuidance/Guidanc eDocuments / ucm071230.pdf</w:instrText>
      </w:r>
      <w:r>
        <w:rPr>
          <w:lang w:eastAsia="zh-CN"/>
        </w:rPr>
        <w:instrText xml:space="preserve">" </w:instrText>
      </w:r>
      <w:r>
        <w:fldChar w:fldCharType="separate"/>
      </w:r>
      <w:r>
        <w:rPr>
          <w:rStyle w:val="19"/>
          <w:rFonts w:hint="eastAsia"/>
          <w:lang w:eastAsia="zh-CN"/>
        </w:rPr>
        <w:t>http：//www.fda.gov/downloads/MedicalDevices/DeviceRegulationandGuidance/Guidanc eDocuments / ucm071230.pdf</w:t>
      </w:r>
      <w:r>
        <w:fldChar w:fldCharType="end"/>
      </w:r>
      <w:r>
        <w:rPr>
          <w:rFonts w:hint="eastAsia"/>
          <w:lang w:eastAsia="zh-CN"/>
        </w:rPr>
        <w:t>）以及标题为</w:t>
      </w:r>
      <w:r>
        <w:rPr>
          <w:rFonts w:asciiTheme="minorEastAsia" w:hAnsiTheme="minorEastAsia" w:eastAsiaTheme="minorEastAsia"/>
          <w:lang w:eastAsia="zh-CN"/>
        </w:rPr>
        <w:t>“</w:t>
      </w:r>
      <w:r>
        <w:rPr>
          <w:rFonts w:hint="eastAsia"/>
          <w:lang w:eastAsia="zh-CN"/>
        </w:rPr>
        <w:t>使用无法单独识别的残留人体样本进行体外诊断器械研究的知情同意指南</w:t>
      </w:r>
      <w:r>
        <w:rPr>
          <w:rFonts w:asciiTheme="minorEastAsia" w:hAnsiTheme="minorEastAsia" w:eastAsiaTheme="minorEastAsia"/>
          <w:lang w:eastAsia="zh-CN"/>
        </w:rPr>
        <w:t>”</w:t>
      </w:r>
      <w:r>
        <w:rPr>
          <w:rFonts w:hint="eastAsia"/>
          <w:lang w:eastAsia="zh-CN"/>
        </w:rPr>
        <w:t xml:space="preserve"> （其网址为：</w:t>
      </w:r>
      <w:r>
        <w:fldChar w:fldCharType="begin"/>
      </w:r>
      <w:r>
        <w:rPr>
          <w:lang w:eastAsia="zh-CN"/>
        </w:rPr>
        <w:instrText xml:space="preserve"> HYPERLINK "</w:instrText>
      </w:r>
      <w:r>
        <w:rPr>
          <w:rFonts w:hint="eastAsia"/>
          <w:lang w:eastAsia="zh-CN"/>
        </w:rPr>
        <w:instrText xml:space="preserve">http://www.fda.gov/downloads/MedicalDevices/DeviceRegulationandGuidance/Guidanc eDocuments / ucm071265.pdf</w:instrText>
      </w:r>
      <w:r>
        <w:rPr>
          <w:lang w:eastAsia="zh-CN"/>
        </w:rPr>
        <w:instrText xml:space="preserve">" </w:instrText>
      </w:r>
      <w:r>
        <w:fldChar w:fldCharType="separate"/>
      </w:r>
      <w:r>
        <w:rPr>
          <w:rStyle w:val="19"/>
          <w:rFonts w:hint="eastAsia"/>
          <w:lang w:eastAsia="zh-CN"/>
        </w:rPr>
        <w:t>http：//www.fda.gov/downloads/MedicalDevices/DeviceRegulationandGuidance/Guidanc eDocuments / ucm071265.pdf</w:t>
      </w:r>
      <w:r>
        <w:fldChar w:fldCharType="end"/>
      </w:r>
      <w:r>
        <w:rPr>
          <w:rFonts w:hint="eastAsia"/>
          <w:lang w:eastAsia="zh-CN"/>
        </w:rPr>
        <w:t>）。</w:t>
      </w:r>
    </w:p>
    <w:p w14:paraId="2BDAD90F">
      <w:pPr>
        <w:pStyle w:val="8"/>
        <w:spacing w:before="144"/>
        <w:rPr>
          <w:lang w:eastAsia="zh-CN"/>
        </w:rPr>
      </w:pPr>
      <w:r>
        <w:rPr>
          <w:lang w:eastAsia="zh-CN"/>
        </w:rPr>
        <w:br w:type="page"/>
      </w:r>
    </w:p>
    <w:p w14:paraId="0E34F70D">
      <w:pPr>
        <w:pStyle w:val="8"/>
        <w:numPr>
          <w:ilvl w:val="0"/>
          <w:numId w:val="1"/>
        </w:numPr>
        <w:tabs>
          <w:tab w:val="left" w:pos="660"/>
        </w:tabs>
        <w:spacing w:before="240" w:beforeLines="100" w:after="120" w:afterLines="50"/>
        <w:ind w:left="0" w:firstLine="0"/>
        <w:outlineLvl w:val="0"/>
        <w:rPr>
          <w:b/>
          <w:sz w:val="30"/>
          <w:szCs w:val="30"/>
        </w:rPr>
      </w:pPr>
      <w:bookmarkStart w:id="9" w:name="_bookmark2"/>
      <w:bookmarkEnd w:id="9"/>
      <w:bookmarkStart w:id="10" w:name="III._Scope"/>
      <w:bookmarkEnd w:id="10"/>
      <w:bookmarkStart w:id="11" w:name="_Toc479513557"/>
      <w:bookmarkStart w:id="12" w:name="_Toc479513402"/>
      <w:r>
        <w:rPr>
          <w:rFonts w:hint="eastAsia"/>
          <w:b/>
          <w:sz w:val="30"/>
          <w:szCs w:val="30"/>
        </w:rPr>
        <w:t>范围</w:t>
      </w:r>
      <w:bookmarkEnd w:id="11"/>
      <w:bookmarkEnd w:id="12"/>
    </w:p>
    <w:p w14:paraId="3AEA9E6D">
      <w:pPr>
        <w:pStyle w:val="8"/>
        <w:spacing w:before="144"/>
        <w:rPr>
          <w:lang w:eastAsia="zh-CN"/>
        </w:rPr>
      </w:pPr>
      <w:r>
        <w:rPr>
          <w:rFonts w:hint="eastAsia"/>
          <w:lang w:eastAsia="zh-CN"/>
        </w:rPr>
        <w:t>如前所述，本文件对用于确定适用于检测MRSA的体外诊断器械的性能特性的研究提供建议，包括用于检测或检测与分化人类样本中的MRSA与金黄色葡萄球菌（SA）或通过连续监测血培养系统检测的细菌增长的研究。本文件仅限于旨在确定通过培养基中的增长检测MRSA的器械或测试由mecA基因表达的蛋白质、青霉素结合蛋白2a（PBP2a或PBP2'）器械性能特性的研究。本文件包括使用选择性或显色培养基的基于培养基的器械。本指南并不涉及检测宿主对MRSA抗原的血清学反应，也不涉及确定多分析物或多重核酸基器械的非MRSA组件的性能。</w:t>
      </w:r>
    </w:p>
    <w:p w14:paraId="0AA41982">
      <w:pPr>
        <w:pStyle w:val="8"/>
        <w:spacing w:before="144"/>
        <w:rPr>
          <w:lang w:eastAsia="zh-CN"/>
        </w:rPr>
      </w:pPr>
      <w:r>
        <w:rPr>
          <w:rFonts w:hint="eastAsia"/>
          <w:lang w:eastAsia="zh-CN"/>
        </w:rPr>
        <w:t>本文件的范围限于现有分类中所述的以下器械，如下所示。本指南中包含的建议还可以帮助未来MRSA诊断器械的制造商（其中，此类器械可能不属于这些现有分类范围内）遵守适用于其器械的要求，包括受制于根据该法案第513（f）（2）节（</w:t>
      </w:r>
      <w:r>
        <w:rPr>
          <w:rFonts w:asciiTheme="minorEastAsia" w:hAnsiTheme="minorEastAsia" w:eastAsiaTheme="minorEastAsia"/>
          <w:lang w:eastAsia="zh-CN"/>
        </w:rPr>
        <w:t>“</w:t>
      </w:r>
      <w:r>
        <w:rPr>
          <w:rFonts w:hint="eastAsia"/>
          <w:lang w:eastAsia="zh-CN"/>
        </w:rPr>
        <w:t>重新分类</w:t>
      </w:r>
      <w:r>
        <w:rPr>
          <w:rFonts w:asciiTheme="minorEastAsia" w:hAnsiTheme="minorEastAsia" w:eastAsiaTheme="minorEastAsia"/>
          <w:lang w:eastAsia="zh-CN"/>
        </w:rPr>
        <w:t>”</w:t>
      </w:r>
      <w:r>
        <w:rPr>
          <w:rFonts w:hint="eastAsia"/>
          <w:lang w:eastAsia="zh-CN"/>
        </w:rPr>
        <w:t>）提出的初始分类申请的器械，以及尝试测定与未来重新许可器械的实质等同性的后续器械。</w:t>
      </w:r>
    </w:p>
    <w:p w14:paraId="68FB86A9">
      <w:pPr>
        <w:pStyle w:val="8"/>
        <w:spacing w:before="144"/>
        <w:rPr>
          <w:lang w:eastAsia="zh-CN"/>
        </w:rPr>
      </w:pPr>
      <w:r>
        <w:rPr>
          <w:rFonts w:hint="eastAsia"/>
          <w:lang w:eastAsia="zh-CN"/>
        </w:rPr>
        <w:t>此类器械的制造商应联系FDA，解释本指南中的建议如何适用于其器械。</w:t>
      </w:r>
    </w:p>
    <w:p w14:paraId="132FD942">
      <w:pPr>
        <w:pStyle w:val="8"/>
        <w:spacing w:before="144"/>
        <w:rPr>
          <w:lang w:eastAsia="zh-CN"/>
        </w:rPr>
      </w:pPr>
      <w:r>
        <w:rPr>
          <w:rFonts w:hint="eastAsia"/>
          <w:lang w:eastAsia="zh-CN"/>
        </w:rPr>
        <w:t>以下是现有的MRSA检测IVD分类法规，其分别归属于产品代码JSO和MYI：</w:t>
      </w:r>
    </w:p>
    <w:p w14:paraId="4F39F1E2">
      <w:pPr>
        <w:pStyle w:val="8"/>
        <w:spacing w:before="144"/>
        <w:ind w:left="660" w:leftChars="300"/>
        <w:rPr>
          <w:b/>
          <w:lang w:eastAsia="zh-CN"/>
        </w:rPr>
      </w:pPr>
      <w:r>
        <w:rPr>
          <w:rFonts w:hint="eastAsia"/>
          <w:b/>
          <w:lang w:eastAsia="zh-CN"/>
        </w:rPr>
        <w:t>21 CFR 866.1700药敏试验培养基：</w:t>
      </w:r>
    </w:p>
    <w:p w14:paraId="6CBFCC24">
      <w:pPr>
        <w:pStyle w:val="8"/>
        <w:spacing w:before="144"/>
        <w:ind w:left="660" w:leftChars="300"/>
        <w:rPr>
          <w:lang w:eastAsia="zh-CN"/>
        </w:rPr>
      </w:pPr>
      <w:r>
        <w:rPr>
          <w:rFonts w:hint="eastAsia"/>
          <w:lang w:eastAsia="zh-CN"/>
        </w:rPr>
        <w:t>（a）用于药敏试验的培养基是用于医学目的的器械，其由能够支持许多经受药敏试验的细菌病原体生长的任何培养基组成。培养基应当不含与在疾病治疗中经受药敏试验的普通试剂对抗的已知组分。</w:t>
      </w:r>
    </w:p>
    <w:p w14:paraId="25C33968">
      <w:pPr>
        <w:pStyle w:val="8"/>
        <w:spacing w:before="144"/>
        <w:ind w:left="660" w:leftChars="300"/>
        <w:rPr>
          <w:lang w:eastAsia="zh-CN"/>
        </w:rPr>
      </w:pPr>
      <w:r>
        <w:rPr>
          <w:rFonts w:hint="eastAsia"/>
          <w:lang w:eastAsia="zh-CN"/>
        </w:rPr>
        <w:t>（b）分类。II类（性能标准）。</w:t>
      </w:r>
    </w:p>
    <w:p w14:paraId="7CC06AED">
      <w:pPr>
        <w:pStyle w:val="8"/>
        <w:spacing w:before="144"/>
        <w:ind w:left="660" w:leftChars="300"/>
        <w:rPr>
          <w:b/>
          <w:lang w:eastAsia="zh-CN"/>
        </w:rPr>
      </w:pPr>
      <w:r>
        <w:rPr>
          <w:rFonts w:hint="eastAsia"/>
          <w:b/>
          <w:lang w:eastAsia="zh-CN"/>
        </w:rPr>
        <w:t>21 CFR 866.1640药敏试验散剂：</w:t>
      </w:r>
    </w:p>
    <w:p w14:paraId="7773973F">
      <w:pPr>
        <w:pStyle w:val="8"/>
        <w:spacing w:before="144"/>
        <w:ind w:left="660" w:leftChars="300"/>
        <w:rPr>
          <w:lang w:eastAsia="zh-CN"/>
        </w:rPr>
      </w:pPr>
      <w:r>
        <w:rPr>
          <w:rFonts w:hint="eastAsia"/>
          <w:lang w:eastAsia="zh-CN"/>
        </w:rPr>
        <w:t>（a）标识。药敏试验散剂是由以特定量包装在药水瓶中的抗菌药散剂组成的器械，且其适用于在临床实验室中确定细菌病原体对这些治疗剂的体外灵敏度。试验结果可用于确定在细菌疾病治疗中的抗菌剂选择。</w:t>
      </w:r>
    </w:p>
    <w:p w14:paraId="3869AB65">
      <w:pPr>
        <w:pStyle w:val="8"/>
        <w:spacing w:before="144"/>
        <w:ind w:left="660" w:leftChars="300"/>
        <w:rPr>
          <w:lang w:eastAsia="zh-CN"/>
        </w:rPr>
      </w:pPr>
      <w:r>
        <w:rPr>
          <w:lang w:eastAsia="zh-CN"/>
        </w:rPr>
        <w:br w:type="page"/>
      </w:r>
    </w:p>
    <w:p w14:paraId="4C921E9A">
      <w:pPr>
        <w:pStyle w:val="8"/>
        <w:spacing w:before="144"/>
        <w:ind w:left="660" w:leftChars="300"/>
        <w:rPr>
          <w:lang w:eastAsia="zh-CN"/>
        </w:rPr>
      </w:pPr>
      <w:r>
        <w:rPr>
          <w:rFonts w:hint="eastAsia"/>
          <w:lang w:eastAsia="zh-CN"/>
        </w:rPr>
        <w:t>（b）分类。II类（性能标准）。</w:t>
      </w:r>
    </w:p>
    <w:p w14:paraId="105FA8A8">
      <w:pPr>
        <w:pStyle w:val="8"/>
        <w:numPr>
          <w:ilvl w:val="0"/>
          <w:numId w:val="1"/>
        </w:numPr>
        <w:tabs>
          <w:tab w:val="left" w:pos="660"/>
        </w:tabs>
        <w:spacing w:before="240" w:beforeLines="100" w:after="120" w:afterLines="50"/>
        <w:ind w:left="0" w:firstLine="0"/>
        <w:outlineLvl w:val="0"/>
        <w:rPr>
          <w:b/>
          <w:sz w:val="30"/>
          <w:szCs w:val="30"/>
        </w:rPr>
      </w:pPr>
      <w:bookmarkStart w:id="13" w:name="IV._Device_Description"/>
      <w:bookmarkEnd w:id="13"/>
      <w:bookmarkStart w:id="14" w:name="_Toc479513403"/>
      <w:bookmarkStart w:id="15" w:name="_Toc479513558"/>
      <w:r>
        <w:rPr>
          <w:rFonts w:hint="eastAsia"/>
          <w:b/>
          <w:sz w:val="30"/>
          <w:szCs w:val="30"/>
        </w:rPr>
        <w:t>器械描述</w:t>
      </w:r>
      <w:bookmarkEnd w:id="14"/>
      <w:bookmarkEnd w:id="15"/>
    </w:p>
    <w:p w14:paraId="08CD0783">
      <w:pPr>
        <w:pStyle w:val="8"/>
        <w:spacing w:before="144"/>
        <w:rPr>
          <w:lang w:eastAsia="zh-CN"/>
        </w:rPr>
      </w:pPr>
      <w:r>
        <w:rPr>
          <w:rFonts w:hint="eastAsia"/>
          <w:lang w:eastAsia="zh-CN"/>
        </w:rPr>
        <w:t>贵公司的上市前通告必须提供一份符合21 CFR 807.87（a）和（f）要求的器械描述。贵公司还应根据法规并使用产品代码标识贵公司的器械，并标识合法销售的比较器械。为快速审查贵公司的器械与比较器械相比的所有方面，贵公司应该提供表格概述比较器械与贵公司的器械之间的异同。</w:t>
      </w:r>
    </w:p>
    <w:p w14:paraId="295F1FC4">
      <w:pPr>
        <w:pStyle w:val="8"/>
        <w:numPr>
          <w:ilvl w:val="0"/>
          <w:numId w:val="1"/>
        </w:numPr>
        <w:tabs>
          <w:tab w:val="left" w:pos="660"/>
        </w:tabs>
        <w:spacing w:before="240" w:beforeLines="100" w:after="120" w:afterLines="50"/>
        <w:ind w:left="0" w:firstLine="0"/>
        <w:outlineLvl w:val="0"/>
        <w:rPr>
          <w:b/>
          <w:sz w:val="30"/>
          <w:szCs w:val="30"/>
        </w:rPr>
      </w:pPr>
      <w:bookmarkStart w:id="16" w:name="V._Risks_to_Health"/>
      <w:bookmarkEnd w:id="16"/>
      <w:bookmarkStart w:id="17" w:name="_Toc479513404"/>
      <w:bookmarkStart w:id="18" w:name="_Toc479513559"/>
      <w:r>
        <w:rPr>
          <w:rFonts w:hint="eastAsia"/>
          <w:b/>
          <w:sz w:val="30"/>
          <w:szCs w:val="30"/>
        </w:rPr>
        <w:t>健康风险</w:t>
      </w:r>
      <w:bookmarkEnd w:id="17"/>
      <w:bookmarkEnd w:id="18"/>
    </w:p>
    <w:p w14:paraId="1CE335FD">
      <w:pPr>
        <w:pStyle w:val="8"/>
        <w:spacing w:before="144"/>
        <w:rPr>
          <w:lang w:eastAsia="zh-CN"/>
        </w:rPr>
      </w:pPr>
      <w:r>
        <w:rPr>
          <w:rFonts w:hint="eastAsia"/>
          <w:lang w:eastAsia="zh-CN"/>
        </w:rPr>
        <w:t>MRSA是一种可引起葡萄球菌感染的细菌，其对使用常规抗生素进行的治疗有耐药性。感染在接受有创性医疗手术或者免疫系统受损并在医院和医疗机构（例如养老院和透析中心）中治疗的患者中最为常见。在医疗环境中，其通常可引起严重且潜在危及生命的感染，例如血流感染、手术部位感染或肺炎。</w:t>
      </w:r>
    </w:p>
    <w:p w14:paraId="23555FBC">
      <w:pPr>
        <w:pStyle w:val="8"/>
        <w:spacing w:before="144"/>
        <w:rPr>
          <w:lang w:eastAsia="zh-CN"/>
        </w:rPr>
      </w:pPr>
      <w:r>
        <w:rPr>
          <w:rFonts w:hint="eastAsia"/>
          <w:lang w:eastAsia="zh-CN"/>
        </w:rPr>
        <w:t>除医疗相关感染外，MRSA还可以感染整个社区中的健康人群，其具体表现为皮肤感染。这些皮肤感染可能看起来像粉刺或疙瘩，有时可能肿胀、疼痛并流脓。</w:t>
      </w:r>
    </w:p>
    <w:p w14:paraId="517CC570">
      <w:pPr>
        <w:pStyle w:val="8"/>
        <w:spacing w:before="144"/>
        <w:rPr>
          <w:lang w:eastAsia="zh-CN"/>
        </w:rPr>
      </w:pPr>
      <w:r>
        <w:rPr>
          <w:rFonts w:hint="eastAsia"/>
          <w:lang w:eastAsia="zh-CN"/>
        </w:rPr>
        <w:t>过去十年里，在美国的医疗环境中，由MRSA引起的感染的发病率逐渐增加。根据疾病控制和预防中心（CDC）的数据，耐抗菌剂的感染比例一直在增长。</w:t>
      </w:r>
    </w:p>
    <w:p w14:paraId="3A49A0EE">
      <w:pPr>
        <w:pStyle w:val="8"/>
        <w:spacing w:before="144"/>
        <w:rPr>
          <w:lang w:eastAsia="zh-CN"/>
        </w:rPr>
      </w:pPr>
      <w:bookmarkStart w:id="19" w:name="_bookmark4"/>
      <w:bookmarkEnd w:id="19"/>
      <w:r>
        <w:rPr>
          <w:rFonts w:hint="eastAsia"/>
          <w:lang w:eastAsia="zh-CN"/>
        </w:rPr>
        <w:t>用于检测和分化MRSA和SA的器械未能如预期地发挥性能或未能正确地解释结果也可能导致感染控制反应不当。如果在医疗环境中的对感染进行控制，假阴性报告可能使启动感染控制和预防措施的方面产生延迟（或未能启动）。假阳性报告可能导致采用不必要的控制和预防措施。因此，确定这些器械的性能并了解与使用这些器械相关的风险对于其安全有效使用来说至关重要。</w:t>
      </w:r>
    </w:p>
    <w:p w14:paraId="2AC71156">
      <w:pPr>
        <w:pStyle w:val="8"/>
        <w:spacing w:before="144"/>
        <w:rPr>
          <w:lang w:eastAsia="zh-CN"/>
        </w:rPr>
      </w:pPr>
      <w:r>
        <w:rPr>
          <w:lang w:eastAsia="zh-CN"/>
        </w:rPr>
        <w:br w:type="page"/>
      </w:r>
    </w:p>
    <w:p w14:paraId="1FA2CF04">
      <w:pPr>
        <w:pStyle w:val="8"/>
        <w:spacing w:before="144"/>
        <w:rPr>
          <w:lang w:eastAsia="zh-CN"/>
        </w:rPr>
      </w:pPr>
      <w:r>
        <w:rPr>
          <w:rFonts w:hint="eastAsia"/>
          <w:lang w:eastAsia="zh-CN"/>
        </w:rPr>
        <w:t>由制造商进行、用于确定基于核酸的MRSA / SA检测和分化器械的性能研究是确定这些器械的安全性和有效性或实质等同性的基础。</w:t>
      </w:r>
    </w:p>
    <w:p w14:paraId="3A040C80">
      <w:pPr>
        <w:pStyle w:val="8"/>
        <w:spacing w:before="144"/>
        <w:rPr>
          <w:lang w:eastAsia="zh-CN"/>
        </w:rPr>
      </w:pPr>
      <w:r>
        <w:rPr>
          <w:rFonts w:hint="eastAsia"/>
          <w:lang w:eastAsia="zh-CN"/>
        </w:rPr>
        <w:t>培养方法面临的挑战之一是准确检测因某一异质耐药性现象而引起的苯唑西林/甲氧西林耐药性。这可能是因为两种亚群（一种敏感和另一种耐药）共存于葡萄球菌培养基中（2）。培养基中的所有细胞可携带有关耐药性的遗传信息，然而，只有少数细胞可以在体外表达耐药性。这种现象可发生在耐青霉素酶稳定的青霉素（例如苯唑西林）的葡萄球菌中。表达异质耐药性的细胞的生长比苯唑西林敏感群体慢，并且在高于35℃的温度下或培养低于24小时时可能无法对其进行检测。</w:t>
      </w:r>
      <w:r>
        <w:rPr>
          <w:lang w:eastAsia="zh-CN"/>
        </w:rPr>
        <w:t>2</w:t>
      </w:r>
    </w:p>
    <w:p w14:paraId="4C3B0058">
      <w:pPr>
        <w:pStyle w:val="8"/>
        <w:spacing w:before="144"/>
        <w:rPr>
          <w:lang w:eastAsia="zh-CN"/>
        </w:rPr>
      </w:pPr>
      <w:r>
        <w:rPr>
          <w:rFonts w:hint="eastAsia"/>
          <w:lang w:eastAsia="zh-CN"/>
        </w:rPr>
        <w:t>因此，确定这些器械的性能并了解与使用这些器械相关的风险对于其安全有效使用来说至关重要。由制造商进行、用于确定基于核酸的MRSA / SA检测和分化器械的性能研究是确定这些器械的安全性和有效性或实质等同性的基础。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9"/>
        <w:gridCol w:w="4648"/>
      </w:tblGrid>
      <w:tr w14:paraId="493A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29BCB55D">
            <w:pPr>
              <w:pStyle w:val="8"/>
              <w:spacing w:before="48" w:beforeLines="20" w:after="48" w:afterLines="20" w:line="280" w:lineRule="exact"/>
              <w:rPr>
                <w:b/>
                <w:sz w:val="21"/>
                <w:szCs w:val="21"/>
              </w:rPr>
            </w:pPr>
            <w:r>
              <w:rPr>
                <w:rFonts w:hint="eastAsia"/>
                <w:b/>
                <w:sz w:val="21"/>
                <w:szCs w:val="21"/>
              </w:rPr>
              <w:t>已确定风险</w:t>
            </w:r>
          </w:p>
        </w:tc>
        <w:tc>
          <w:tcPr>
            <w:tcW w:w="4810" w:type="dxa"/>
          </w:tcPr>
          <w:p w14:paraId="12F48F6C">
            <w:pPr>
              <w:pStyle w:val="8"/>
              <w:spacing w:before="48" w:beforeLines="20" w:after="48" w:afterLines="20" w:line="280" w:lineRule="exact"/>
              <w:rPr>
                <w:b/>
                <w:sz w:val="21"/>
                <w:szCs w:val="21"/>
              </w:rPr>
            </w:pPr>
            <w:r>
              <w:rPr>
                <w:rFonts w:hint="eastAsia"/>
                <w:b/>
                <w:sz w:val="21"/>
                <w:szCs w:val="21"/>
              </w:rPr>
              <w:t>推荐缓解措施</w:t>
            </w:r>
          </w:p>
        </w:tc>
      </w:tr>
      <w:tr w14:paraId="66E5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023ED00E">
            <w:pPr>
              <w:pStyle w:val="8"/>
              <w:spacing w:before="48" w:beforeLines="20" w:after="48" w:afterLines="20" w:line="280" w:lineRule="exact"/>
              <w:rPr>
                <w:sz w:val="21"/>
                <w:szCs w:val="21"/>
              </w:rPr>
            </w:pPr>
            <w:r>
              <w:rPr>
                <w:rFonts w:hint="eastAsia"/>
                <w:sz w:val="21"/>
                <w:szCs w:val="21"/>
              </w:rPr>
              <w:t>患者管理不当</w:t>
            </w:r>
          </w:p>
        </w:tc>
        <w:tc>
          <w:tcPr>
            <w:tcW w:w="4810" w:type="dxa"/>
          </w:tcPr>
          <w:p w14:paraId="38696115">
            <w:pPr>
              <w:pStyle w:val="8"/>
              <w:spacing w:before="48" w:beforeLines="20" w:after="48" w:afterLines="20" w:line="280" w:lineRule="exact"/>
              <w:rPr>
                <w:sz w:val="21"/>
                <w:szCs w:val="21"/>
                <w:lang w:eastAsia="zh-CN"/>
              </w:rPr>
            </w:pPr>
            <w:r>
              <w:rPr>
                <w:rFonts w:hint="eastAsia"/>
                <w:sz w:val="21"/>
                <w:szCs w:val="21"/>
                <w:lang w:eastAsia="zh-CN"/>
              </w:rPr>
              <w:t>器械描述（第</w:t>
            </w:r>
            <w:r>
              <w:rPr>
                <w:sz w:val="21"/>
                <w:szCs w:val="21"/>
                <w:lang w:eastAsia="zh-CN"/>
              </w:rPr>
              <w:t>IV</w:t>
            </w:r>
            <w:r>
              <w:rPr>
                <w:rFonts w:hint="eastAsia"/>
                <w:sz w:val="21"/>
                <w:szCs w:val="21"/>
                <w:lang w:eastAsia="zh-CN"/>
              </w:rPr>
              <w:t>节）</w:t>
            </w:r>
          </w:p>
          <w:p w14:paraId="191FEFB4">
            <w:pPr>
              <w:pStyle w:val="8"/>
              <w:spacing w:before="48" w:beforeLines="20" w:after="48" w:afterLines="20" w:line="280" w:lineRule="exact"/>
              <w:rPr>
                <w:sz w:val="21"/>
                <w:szCs w:val="21"/>
                <w:lang w:eastAsia="zh-CN"/>
              </w:rPr>
            </w:pPr>
            <w:r>
              <w:rPr>
                <w:rFonts w:hint="eastAsia"/>
                <w:sz w:val="21"/>
                <w:szCs w:val="21"/>
                <w:lang w:eastAsia="zh-CN"/>
              </w:rPr>
              <w:t>性能特征（第</w:t>
            </w:r>
            <w:r>
              <w:rPr>
                <w:sz w:val="21"/>
                <w:szCs w:val="21"/>
                <w:lang w:eastAsia="zh-CN"/>
              </w:rPr>
              <w:t>VI</w:t>
            </w:r>
            <w:r>
              <w:rPr>
                <w:rFonts w:hint="eastAsia"/>
                <w:sz w:val="21"/>
                <w:szCs w:val="21"/>
                <w:lang w:eastAsia="zh-CN"/>
              </w:rPr>
              <w:t>节，第1-4段）</w:t>
            </w:r>
          </w:p>
          <w:p w14:paraId="02BBEAA3">
            <w:pPr>
              <w:pStyle w:val="8"/>
              <w:spacing w:before="48" w:beforeLines="20" w:after="48" w:afterLines="20" w:line="280" w:lineRule="exact"/>
              <w:rPr>
                <w:sz w:val="21"/>
                <w:szCs w:val="21"/>
                <w:lang w:eastAsia="zh-CN"/>
              </w:rPr>
            </w:pPr>
            <w:r>
              <w:rPr>
                <w:rFonts w:hint="eastAsia"/>
                <w:sz w:val="21"/>
                <w:szCs w:val="21"/>
                <w:lang w:eastAsia="zh-CN"/>
              </w:rPr>
              <w:t>标签（第</w:t>
            </w:r>
            <w:r>
              <w:rPr>
                <w:sz w:val="21"/>
                <w:szCs w:val="21"/>
                <w:lang w:eastAsia="zh-CN"/>
              </w:rPr>
              <w:t>VI</w:t>
            </w:r>
            <w:r>
              <w:rPr>
                <w:rFonts w:hint="eastAsia"/>
                <w:sz w:val="21"/>
                <w:szCs w:val="21"/>
                <w:lang w:eastAsia="zh-CN"/>
              </w:rPr>
              <w:t>节，第5段）</w:t>
            </w:r>
          </w:p>
        </w:tc>
      </w:tr>
    </w:tbl>
    <w:p w14:paraId="5497FC1E">
      <w:pPr>
        <w:pStyle w:val="8"/>
        <w:spacing w:before="144"/>
        <w:rPr>
          <w:lang w:eastAsia="zh-CN"/>
        </w:rPr>
      </w:pPr>
    </w:p>
    <w:p w14:paraId="5718284C">
      <w:pPr>
        <w:pStyle w:val="8"/>
        <w:numPr>
          <w:ilvl w:val="0"/>
          <w:numId w:val="1"/>
        </w:numPr>
        <w:tabs>
          <w:tab w:val="left" w:pos="660"/>
        </w:tabs>
        <w:spacing w:before="240" w:beforeLines="100" w:after="120" w:afterLines="50"/>
        <w:ind w:left="0" w:firstLine="0"/>
        <w:outlineLvl w:val="0"/>
        <w:rPr>
          <w:b/>
          <w:sz w:val="30"/>
          <w:szCs w:val="30"/>
          <w:lang w:eastAsia="zh-CN"/>
        </w:rPr>
      </w:pPr>
      <w:bookmarkStart w:id="20" w:name="VI._Establishing_Performance_Characteris"/>
      <w:bookmarkEnd w:id="20"/>
      <w:bookmarkStart w:id="21" w:name="_Toc479513405"/>
      <w:bookmarkStart w:id="22" w:name="_Toc479513560"/>
      <w:r>
        <w:rPr>
          <w:rFonts w:hint="eastAsia"/>
          <w:b/>
          <w:sz w:val="30"/>
          <w:szCs w:val="30"/>
          <w:lang w:eastAsia="zh-CN"/>
        </w:rPr>
        <w:t>确定培养方法的性能特性</w:t>
      </w:r>
      <w:bookmarkEnd w:id="21"/>
      <w:bookmarkEnd w:id="22"/>
    </w:p>
    <w:p w14:paraId="70244832">
      <w:pPr>
        <w:pStyle w:val="8"/>
        <w:numPr>
          <w:ilvl w:val="0"/>
          <w:numId w:val="2"/>
        </w:numPr>
        <w:tabs>
          <w:tab w:val="left" w:pos="440"/>
        </w:tabs>
        <w:spacing w:before="144"/>
        <w:ind w:left="0" w:firstLine="0"/>
        <w:outlineLvl w:val="1"/>
        <w:rPr>
          <w:b/>
        </w:rPr>
      </w:pPr>
      <w:bookmarkStart w:id="23" w:name="A.__Controls"/>
      <w:bookmarkEnd w:id="23"/>
      <w:bookmarkStart w:id="24" w:name="_Toc479513406"/>
      <w:bookmarkStart w:id="25" w:name="_Toc479513561"/>
      <w:r>
        <w:rPr>
          <w:rFonts w:hint="eastAsia"/>
          <w:b/>
        </w:rPr>
        <w:t>控制</w:t>
      </w:r>
      <w:bookmarkEnd w:id="24"/>
      <w:bookmarkEnd w:id="25"/>
    </w:p>
    <w:p w14:paraId="3A7D8688">
      <w:pPr>
        <w:pStyle w:val="8"/>
        <w:spacing w:before="144"/>
        <w:rPr>
          <w:lang w:eastAsia="zh-CN"/>
        </w:rPr>
      </w:pPr>
      <w:r>
        <w:rPr>
          <w:rFonts w:hint="eastAsia"/>
          <w:lang w:eastAsia="zh-CN"/>
        </w:rPr>
        <w:t>在进行下述性能研究时，我们建议贵公司在分析和临床研究期间每天进行适当的外部控制。以下部分将提供有关控制的具体信息。贵公司可以联系FDA，体外诊断器械评估和安全办公室（OIVD），微生物学器械部以解更多信息。</w:t>
      </w:r>
    </w:p>
    <w:p w14:paraId="23195B6F">
      <w:pPr>
        <w:pStyle w:val="8"/>
        <w:numPr>
          <w:ilvl w:val="0"/>
          <w:numId w:val="2"/>
        </w:numPr>
        <w:tabs>
          <w:tab w:val="left" w:pos="440"/>
        </w:tabs>
        <w:spacing w:before="144"/>
        <w:ind w:left="0" w:firstLine="0"/>
        <w:outlineLvl w:val="1"/>
        <w:rPr>
          <w:b/>
        </w:rPr>
      </w:pPr>
      <w:bookmarkStart w:id="26" w:name="B.__Performance_Studies"/>
      <w:bookmarkEnd w:id="26"/>
      <w:bookmarkStart w:id="27" w:name="_Toc479513407"/>
      <w:bookmarkStart w:id="28" w:name="_Toc479513562"/>
      <w:r>
        <w:rPr>
          <w:rFonts w:hint="eastAsia"/>
          <w:b/>
        </w:rPr>
        <w:t>性能研究</w:t>
      </w:r>
      <w:bookmarkEnd w:id="27"/>
      <w:bookmarkEnd w:id="28"/>
    </w:p>
    <w:p w14:paraId="1C8FDC36">
      <w:pPr>
        <w:pStyle w:val="8"/>
        <w:spacing w:before="144"/>
        <w:rPr>
          <w:lang w:eastAsia="zh-CN"/>
        </w:rPr>
      </w:pPr>
      <w:r>
        <w:rPr>
          <w:rFonts w:hint="eastAsia"/>
          <w:lang w:eastAsia="zh-CN"/>
        </w:rPr>
        <w:t>在贵公司的510（k）中，贵公司应就贵公司进行的研究提供详细的描述性信息，其中，研究用于确定如下所述的每个性能特性。我们建议贵公司进行前瞻性临床研究，确定贵公司的器械性能。一般来说，对于临床研究和分析精确性研究，我们建议贵公司在三个站点进行试验，此类站点应代表贵公司的预期用户站点（例如，临床实验室场所）。贵公司应针对贵公司推荐用于测定的每种样本类型评价贵公司测定的性能。</w:t>
      </w:r>
    </w:p>
    <w:p w14:paraId="7102A126">
      <w:pPr>
        <w:pStyle w:val="8"/>
        <w:spacing w:before="144"/>
        <w:rPr>
          <w:lang w:eastAsia="zh-CN"/>
        </w:rPr>
      </w:pPr>
      <w:r>
        <w:rPr>
          <w:lang w:eastAsia="zh-CN"/>
        </w:rPr>
        <w:br w:type="page"/>
      </w:r>
    </w:p>
    <w:p w14:paraId="3B1262B4">
      <w:pPr>
        <w:pStyle w:val="8"/>
        <w:spacing w:before="144"/>
        <w:rPr>
          <w:lang w:eastAsia="zh-CN"/>
        </w:rPr>
      </w:pPr>
      <w:r>
        <w:rPr>
          <w:rFonts w:hint="eastAsia"/>
          <w:lang w:eastAsia="zh-CN"/>
        </w:rPr>
        <w:t>为在FDA审查期间准确解读验收标准和数据摘要，我们建议贵公司提供有关试验方案的适当特定信息。这对于帮助用户理解标签中的信息来说也很重要。例如，提到临床和实验室标准研究所（CLSI）方案或指南时，我们建议贵公司指明贵公司遵循试验方案或指南的具体方面。</w:t>
      </w:r>
    </w:p>
    <w:p w14:paraId="5B4B36C9">
      <w:pPr>
        <w:pStyle w:val="8"/>
        <w:spacing w:before="144"/>
        <w:rPr>
          <w:lang w:eastAsia="zh-CN"/>
        </w:rPr>
      </w:pPr>
      <w:r>
        <w:rPr>
          <w:rFonts w:hint="eastAsia"/>
          <w:lang w:eastAsia="zh-CN"/>
        </w:rPr>
        <w:t>我们建议贵公司联系体外诊断器械评估和安全办公室（OIVD），微生物学器械部，获得有关贵公司的预期研究以及贵公司拟定支持的临床声明的反馈。</w:t>
      </w:r>
    </w:p>
    <w:p w14:paraId="2EE211DB">
      <w:pPr>
        <w:pStyle w:val="8"/>
        <w:numPr>
          <w:ilvl w:val="0"/>
          <w:numId w:val="3"/>
        </w:numPr>
        <w:tabs>
          <w:tab w:val="left" w:pos="440"/>
        </w:tabs>
        <w:spacing w:before="144"/>
        <w:ind w:left="0" w:firstLine="0"/>
        <w:rPr>
          <w:b/>
          <w:lang w:eastAsia="zh-CN"/>
        </w:rPr>
      </w:pPr>
      <w:bookmarkStart w:id="29" w:name="1._Analytical_Sensitivity"/>
      <w:bookmarkEnd w:id="29"/>
      <w:r>
        <w:rPr>
          <w:rFonts w:hint="eastAsia"/>
          <w:b/>
          <w:lang w:eastAsia="zh-CN"/>
        </w:rPr>
        <w:t>分析灵敏度</w:t>
      </w:r>
    </w:p>
    <w:p w14:paraId="72378172">
      <w:pPr>
        <w:pStyle w:val="8"/>
        <w:spacing w:before="144"/>
        <w:rPr>
          <w:b/>
          <w:i/>
          <w:lang w:eastAsia="zh-CN"/>
        </w:rPr>
      </w:pPr>
      <w:r>
        <w:rPr>
          <w:rFonts w:hint="eastAsia"/>
          <w:b/>
          <w:i/>
          <w:lang w:eastAsia="zh-CN"/>
        </w:rPr>
        <w:t>分析反应性/挑战</w:t>
      </w:r>
    </w:p>
    <w:p w14:paraId="5B0FCBBF">
      <w:pPr>
        <w:pStyle w:val="8"/>
        <w:spacing w:before="144"/>
        <w:rPr>
          <w:lang w:eastAsia="zh-CN"/>
        </w:rPr>
      </w:pPr>
      <w:r>
        <w:rPr>
          <w:rFonts w:hint="eastAsia"/>
          <w:lang w:eastAsia="zh-CN"/>
        </w:rPr>
        <w:t>贵公司应测试至少50个所选MRSA / SA菌株，其代表社区和全世界中的常见菌株。就本研究而言，我们建议贵公司从美国典型培养基保藏中心（ATCC），疾病控制和预防中心（CDC）或有关金黄色葡萄球菌抗菌耐药性的网络上（NARSA）获得分离株。请提供基因型（即脉冲场凝胶电泳）或表型信息，例如每个所测微生物的准确最低抑制浓度（MIC）值（以</w:t>
      </w:r>
      <w:r>
        <w:t>μ</w:t>
      </w:r>
      <w:r>
        <w:rPr>
          <w:rFonts w:hint="eastAsia"/>
          <w:lang w:eastAsia="zh-CN"/>
        </w:rPr>
        <w:t>g/ mL为单位）以及菌株的地理来源。所测细菌浓度应为贵公司的器械可回收的最低百分比水平或其附近。应确认所有MRSA分离株、亚型或组名称和浓度。</w:t>
      </w:r>
    </w:p>
    <w:p w14:paraId="31A4A6B6">
      <w:pPr>
        <w:pStyle w:val="8"/>
        <w:spacing w:before="144"/>
        <w:rPr>
          <w:lang w:eastAsia="zh-CN"/>
        </w:rPr>
      </w:pPr>
      <w:r>
        <w:rPr>
          <w:rFonts w:hint="eastAsia"/>
          <w:lang w:eastAsia="zh-CN"/>
        </w:rPr>
        <w:t>贵公司还可以使用内部分离株来扩大贵公司研究涉及的范围，但这些分离株不应超过所测总数的50％。内部分离株应具有良好特性，且贵公司的提交资料中应提供有关表征的信息。使用内部分离株时，贵公司应提供详细的特性说明，提供MIC结果和脉冲场凝胶电泳（例如，USA100、USA200、USA300、USA400、以及社区或医疗机构中存在的其他类型）。</w:t>
      </w:r>
    </w:p>
    <w:p w14:paraId="4825A183">
      <w:pPr>
        <w:pStyle w:val="8"/>
        <w:spacing w:before="144"/>
        <w:rPr>
          <w:lang w:eastAsia="zh-CN"/>
        </w:rPr>
      </w:pPr>
      <w:r>
        <w:rPr>
          <w:rFonts w:hint="eastAsia"/>
          <w:lang w:eastAsia="zh-CN"/>
        </w:rPr>
        <w:t>我们建议贵公司纳入毒性毒株USA300-114。</w:t>
      </w:r>
    </w:p>
    <w:p w14:paraId="52469ACE">
      <w:pPr>
        <w:pStyle w:val="8"/>
        <w:spacing w:before="144"/>
        <w:rPr>
          <w:lang w:eastAsia="zh-CN"/>
        </w:rPr>
      </w:pPr>
      <w:r>
        <w:rPr>
          <w:rFonts w:hint="eastAsia"/>
          <w:lang w:eastAsia="zh-CN"/>
        </w:rPr>
        <w:t>下表含有应纳入在分析反应性研究中的微生物示例。该列表可能未涵盖所有已知的MRSA分离株。</w:t>
      </w:r>
    </w:p>
    <w:p w14:paraId="6A9B4B26">
      <w:pPr>
        <w:pStyle w:val="8"/>
        <w:spacing w:before="144"/>
        <w:rPr>
          <w:b/>
          <w:lang w:eastAsia="zh-CN"/>
        </w:rPr>
      </w:pPr>
      <w:r>
        <w:rPr>
          <w:rFonts w:hint="eastAsia"/>
          <w:b/>
          <w:lang w:eastAsia="zh-CN"/>
        </w:rPr>
        <w:t>表1.须纳入分析反应性研究中的微生物示例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6"/>
        <w:gridCol w:w="4651"/>
      </w:tblGrid>
      <w:tr w14:paraId="6AB9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shd w:val="clear" w:color="auto" w:fill="D8D8D8" w:themeFill="background1" w:themeFillShade="D9"/>
          </w:tcPr>
          <w:p w14:paraId="222BF1F5">
            <w:pPr>
              <w:pStyle w:val="8"/>
              <w:spacing w:before="48" w:beforeLines="20" w:after="48" w:afterLines="20" w:line="260" w:lineRule="exact"/>
              <w:jc w:val="center"/>
              <w:rPr>
                <w:sz w:val="21"/>
                <w:szCs w:val="21"/>
              </w:rPr>
            </w:pPr>
            <w:r>
              <w:rPr>
                <w:rFonts w:hint="eastAsia"/>
                <w:sz w:val="21"/>
                <w:szCs w:val="21"/>
              </w:rPr>
              <w:t>细菌</w:t>
            </w:r>
          </w:p>
        </w:tc>
        <w:tc>
          <w:tcPr>
            <w:tcW w:w="4810" w:type="dxa"/>
            <w:shd w:val="clear" w:color="auto" w:fill="D8D8D8" w:themeFill="background1" w:themeFillShade="D9"/>
          </w:tcPr>
          <w:p w14:paraId="3B32C2E2">
            <w:pPr>
              <w:pStyle w:val="8"/>
              <w:spacing w:before="48" w:beforeLines="20" w:after="48" w:afterLines="20" w:line="260" w:lineRule="exact"/>
              <w:jc w:val="center"/>
              <w:rPr>
                <w:sz w:val="21"/>
                <w:szCs w:val="21"/>
              </w:rPr>
            </w:pPr>
            <w:r>
              <w:rPr>
                <w:rFonts w:hint="eastAsia"/>
                <w:sz w:val="21"/>
                <w:szCs w:val="21"/>
              </w:rPr>
              <w:t>细菌</w:t>
            </w:r>
          </w:p>
        </w:tc>
      </w:tr>
      <w:tr w14:paraId="118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2C3828C0">
            <w:pPr>
              <w:pStyle w:val="8"/>
              <w:spacing w:before="48" w:beforeLines="20" w:after="48" w:afterLines="20" w:line="260" w:lineRule="exact"/>
              <w:rPr>
                <w:sz w:val="21"/>
                <w:szCs w:val="21"/>
              </w:rPr>
            </w:pPr>
            <w:r>
              <w:rPr>
                <w:sz w:val="21"/>
                <w:szCs w:val="21"/>
              </w:rPr>
              <w:t>金黄色葡萄球菌  ATCC 33591</w:t>
            </w:r>
          </w:p>
        </w:tc>
        <w:tc>
          <w:tcPr>
            <w:tcW w:w="4810" w:type="dxa"/>
          </w:tcPr>
          <w:p w14:paraId="5FBB4629">
            <w:pPr>
              <w:pStyle w:val="8"/>
              <w:spacing w:before="48" w:beforeLines="20" w:after="48" w:afterLines="20" w:line="260" w:lineRule="exact"/>
              <w:rPr>
                <w:sz w:val="21"/>
                <w:szCs w:val="21"/>
              </w:rPr>
            </w:pPr>
            <w:r>
              <w:rPr>
                <w:sz w:val="21"/>
                <w:szCs w:val="21"/>
              </w:rPr>
              <w:t>金黄色葡萄球菌  NRS643（USA300）</w:t>
            </w:r>
          </w:p>
        </w:tc>
      </w:tr>
      <w:tr w14:paraId="74E2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7095793A">
            <w:pPr>
              <w:pStyle w:val="8"/>
              <w:spacing w:before="48" w:beforeLines="20" w:after="48" w:afterLines="20" w:line="260" w:lineRule="exact"/>
              <w:rPr>
                <w:sz w:val="21"/>
                <w:szCs w:val="21"/>
              </w:rPr>
            </w:pPr>
            <w:r>
              <w:rPr>
                <w:sz w:val="21"/>
                <w:szCs w:val="21"/>
              </w:rPr>
              <w:t>金黄色葡萄球菌  ATCC 33592</w:t>
            </w:r>
          </w:p>
        </w:tc>
        <w:tc>
          <w:tcPr>
            <w:tcW w:w="4810" w:type="dxa"/>
          </w:tcPr>
          <w:p w14:paraId="5B687EE4">
            <w:pPr>
              <w:pStyle w:val="8"/>
              <w:spacing w:before="48" w:beforeLines="20" w:after="48" w:afterLines="20" w:line="260" w:lineRule="exact"/>
              <w:rPr>
                <w:sz w:val="21"/>
                <w:szCs w:val="21"/>
              </w:rPr>
            </w:pPr>
            <w:r>
              <w:rPr>
                <w:sz w:val="21"/>
                <w:szCs w:val="21"/>
              </w:rPr>
              <w:t>金黄色葡萄球菌  NRS647（USA300）</w:t>
            </w:r>
          </w:p>
        </w:tc>
      </w:tr>
      <w:tr w14:paraId="2312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7AF9CE75">
            <w:pPr>
              <w:pStyle w:val="8"/>
              <w:spacing w:before="48" w:beforeLines="20" w:after="48" w:afterLines="20" w:line="260" w:lineRule="exact"/>
              <w:rPr>
                <w:sz w:val="21"/>
                <w:szCs w:val="21"/>
              </w:rPr>
            </w:pPr>
            <w:r>
              <w:rPr>
                <w:sz w:val="21"/>
                <w:szCs w:val="21"/>
              </w:rPr>
              <w:t>金黄色葡萄球菌  ATCC 49476</w:t>
            </w:r>
          </w:p>
        </w:tc>
        <w:tc>
          <w:tcPr>
            <w:tcW w:w="4810" w:type="dxa"/>
          </w:tcPr>
          <w:p w14:paraId="735C5662">
            <w:pPr>
              <w:pStyle w:val="8"/>
              <w:spacing w:before="48" w:beforeLines="20" w:after="48" w:afterLines="20" w:line="260" w:lineRule="exact"/>
              <w:rPr>
                <w:sz w:val="21"/>
                <w:szCs w:val="21"/>
              </w:rPr>
            </w:pPr>
            <w:r>
              <w:rPr>
                <w:sz w:val="21"/>
                <w:szCs w:val="21"/>
              </w:rPr>
              <w:t>金黄色葡萄球菌  NRS657（USA300）</w:t>
            </w:r>
          </w:p>
        </w:tc>
      </w:tr>
      <w:tr w14:paraId="42F3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4B866C22">
            <w:pPr>
              <w:pStyle w:val="8"/>
              <w:spacing w:before="48" w:beforeLines="20" w:after="48" w:afterLines="20" w:line="260" w:lineRule="exact"/>
              <w:rPr>
                <w:sz w:val="21"/>
                <w:szCs w:val="21"/>
              </w:rPr>
            </w:pPr>
            <w:r>
              <w:rPr>
                <w:sz w:val="21"/>
                <w:szCs w:val="21"/>
              </w:rPr>
              <w:t>金黄色葡萄球菌  ATCC 51153</w:t>
            </w:r>
          </w:p>
        </w:tc>
        <w:tc>
          <w:tcPr>
            <w:tcW w:w="4810" w:type="dxa"/>
          </w:tcPr>
          <w:p w14:paraId="2DDE9CD3">
            <w:pPr>
              <w:pStyle w:val="8"/>
              <w:spacing w:before="48" w:beforeLines="20" w:after="48" w:afterLines="20" w:line="260" w:lineRule="exact"/>
              <w:rPr>
                <w:sz w:val="21"/>
                <w:szCs w:val="21"/>
              </w:rPr>
            </w:pPr>
            <w:r>
              <w:rPr>
                <w:sz w:val="21"/>
                <w:szCs w:val="21"/>
              </w:rPr>
              <w:t>金黄色葡萄球菌  NRS658（USA100）</w:t>
            </w:r>
          </w:p>
        </w:tc>
      </w:tr>
      <w:tr w14:paraId="31F7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643A0614">
            <w:pPr>
              <w:pStyle w:val="8"/>
              <w:spacing w:before="48" w:beforeLines="20" w:after="48" w:afterLines="20" w:line="260" w:lineRule="exact"/>
              <w:rPr>
                <w:sz w:val="21"/>
                <w:szCs w:val="21"/>
              </w:rPr>
            </w:pPr>
            <w:r>
              <w:rPr>
                <w:sz w:val="21"/>
                <w:szCs w:val="21"/>
              </w:rPr>
              <w:t>金黄色葡萄球菌  ATCC 700698</w:t>
            </w:r>
          </w:p>
        </w:tc>
        <w:tc>
          <w:tcPr>
            <w:tcW w:w="4810" w:type="dxa"/>
          </w:tcPr>
          <w:p w14:paraId="14395094">
            <w:pPr>
              <w:pStyle w:val="8"/>
              <w:spacing w:before="48" w:beforeLines="20" w:after="48" w:afterLines="20" w:line="260" w:lineRule="exact"/>
              <w:rPr>
                <w:sz w:val="21"/>
                <w:szCs w:val="21"/>
              </w:rPr>
            </w:pPr>
            <w:r>
              <w:rPr>
                <w:sz w:val="21"/>
                <w:szCs w:val="21"/>
              </w:rPr>
              <w:t>金黄色葡萄球菌  NRS659（USA300）</w:t>
            </w:r>
          </w:p>
        </w:tc>
      </w:tr>
      <w:tr w14:paraId="33E5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407D9678">
            <w:pPr>
              <w:pStyle w:val="8"/>
              <w:spacing w:before="48" w:beforeLines="20" w:after="48" w:afterLines="20" w:line="260" w:lineRule="exact"/>
              <w:rPr>
                <w:sz w:val="21"/>
                <w:szCs w:val="21"/>
              </w:rPr>
            </w:pPr>
            <w:r>
              <w:rPr>
                <w:sz w:val="21"/>
                <w:szCs w:val="21"/>
              </w:rPr>
              <w:t>金黄色葡萄球菌  ATCC 700699</w:t>
            </w:r>
          </w:p>
        </w:tc>
        <w:tc>
          <w:tcPr>
            <w:tcW w:w="4810" w:type="dxa"/>
          </w:tcPr>
          <w:p w14:paraId="7AFBDD06">
            <w:pPr>
              <w:pStyle w:val="8"/>
              <w:spacing w:before="48" w:beforeLines="20" w:after="48" w:afterLines="20" w:line="260" w:lineRule="exact"/>
              <w:rPr>
                <w:sz w:val="21"/>
                <w:szCs w:val="21"/>
              </w:rPr>
            </w:pPr>
            <w:r>
              <w:rPr>
                <w:sz w:val="21"/>
                <w:szCs w:val="21"/>
              </w:rPr>
              <w:t>金黄色葡萄球菌  NRS660（USA100）</w:t>
            </w:r>
          </w:p>
        </w:tc>
      </w:tr>
      <w:tr w14:paraId="2D63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53DE380B">
            <w:pPr>
              <w:pStyle w:val="8"/>
              <w:spacing w:before="48" w:beforeLines="20" w:after="48" w:afterLines="20" w:line="260" w:lineRule="exact"/>
              <w:rPr>
                <w:sz w:val="21"/>
                <w:szCs w:val="21"/>
              </w:rPr>
            </w:pPr>
            <w:r>
              <w:rPr>
                <w:sz w:val="21"/>
                <w:szCs w:val="21"/>
              </w:rPr>
              <w:t>金黄色葡萄球菌  ATCC 700789</w:t>
            </w:r>
          </w:p>
        </w:tc>
        <w:tc>
          <w:tcPr>
            <w:tcW w:w="4810" w:type="dxa"/>
          </w:tcPr>
          <w:p w14:paraId="2AC2F262">
            <w:pPr>
              <w:pStyle w:val="8"/>
              <w:spacing w:before="48" w:beforeLines="20" w:after="48" w:afterLines="20" w:line="260" w:lineRule="exact"/>
              <w:rPr>
                <w:sz w:val="21"/>
                <w:szCs w:val="21"/>
              </w:rPr>
            </w:pPr>
            <w:r>
              <w:rPr>
                <w:sz w:val="21"/>
                <w:szCs w:val="21"/>
              </w:rPr>
              <w:t>金黄色葡萄球菌  NRS661（USA100）</w:t>
            </w:r>
          </w:p>
        </w:tc>
      </w:tr>
      <w:tr w14:paraId="371C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63540395">
            <w:pPr>
              <w:pStyle w:val="8"/>
              <w:spacing w:before="48" w:beforeLines="20" w:after="48" w:afterLines="20" w:line="260" w:lineRule="exact"/>
              <w:rPr>
                <w:sz w:val="21"/>
                <w:szCs w:val="21"/>
              </w:rPr>
            </w:pPr>
            <w:r>
              <w:rPr>
                <w:sz w:val="21"/>
                <w:szCs w:val="21"/>
              </w:rPr>
              <w:t>金黄色葡萄球菌  ATCC BAA1026</w:t>
            </w:r>
          </w:p>
        </w:tc>
        <w:tc>
          <w:tcPr>
            <w:tcW w:w="4810" w:type="dxa"/>
          </w:tcPr>
          <w:p w14:paraId="63A81CA9">
            <w:pPr>
              <w:pStyle w:val="8"/>
              <w:spacing w:before="48" w:beforeLines="20" w:after="48" w:afterLines="20" w:line="260" w:lineRule="exact"/>
              <w:rPr>
                <w:sz w:val="21"/>
                <w:szCs w:val="21"/>
              </w:rPr>
            </w:pPr>
            <w:r>
              <w:rPr>
                <w:sz w:val="21"/>
                <w:szCs w:val="21"/>
              </w:rPr>
              <w:t>金黄色葡萄球菌  NRS667（USA300）</w:t>
            </w:r>
          </w:p>
        </w:tc>
      </w:tr>
      <w:tr w14:paraId="162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3A1BDD0A">
            <w:pPr>
              <w:pStyle w:val="8"/>
              <w:spacing w:before="48" w:beforeLines="20" w:after="48" w:afterLines="20" w:line="260" w:lineRule="exact"/>
              <w:rPr>
                <w:sz w:val="21"/>
                <w:szCs w:val="21"/>
              </w:rPr>
            </w:pPr>
            <w:r>
              <w:rPr>
                <w:sz w:val="21"/>
                <w:szCs w:val="21"/>
              </w:rPr>
              <w:t>金黄色葡萄球菌  ATCC BAA38</w:t>
            </w:r>
          </w:p>
        </w:tc>
        <w:tc>
          <w:tcPr>
            <w:tcW w:w="4810" w:type="dxa"/>
          </w:tcPr>
          <w:p w14:paraId="0800AE0D">
            <w:pPr>
              <w:pStyle w:val="8"/>
              <w:spacing w:before="48" w:beforeLines="20" w:after="48" w:afterLines="20" w:line="260" w:lineRule="exact"/>
              <w:rPr>
                <w:sz w:val="21"/>
                <w:szCs w:val="21"/>
              </w:rPr>
            </w:pPr>
            <w:r>
              <w:rPr>
                <w:sz w:val="21"/>
                <w:szCs w:val="21"/>
              </w:rPr>
              <w:t>金黄色葡萄球菌  NRS670（USA100）</w:t>
            </w:r>
          </w:p>
        </w:tc>
      </w:tr>
      <w:tr w14:paraId="0F06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2673F27E">
            <w:pPr>
              <w:pStyle w:val="8"/>
              <w:spacing w:before="48" w:beforeLines="20" w:after="48" w:afterLines="20" w:line="260" w:lineRule="exact"/>
              <w:rPr>
                <w:sz w:val="21"/>
                <w:szCs w:val="21"/>
              </w:rPr>
            </w:pPr>
            <w:r>
              <w:rPr>
                <w:sz w:val="21"/>
                <w:szCs w:val="21"/>
              </w:rPr>
              <w:t>金黄色葡萄球菌  ATCC BAA39</w:t>
            </w:r>
          </w:p>
        </w:tc>
        <w:tc>
          <w:tcPr>
            <w:tcW w:w="4810" w:type="dxa"/>
          </w:tcPr>
          <w:p w14:paraId="6419E0EB">
            <w:pPr>
              <w:pStyle w:val="8"/>
              <w:spacing w:before="48" w:beforeLines="20" w:after="48" w:afterLines="20" w:line="260" w:lineRule="exact"/>
              <w:rPr>
                <w:sz w:val="21"/>
                <w:szCs w:val="21"/>
              </w:rPr>
            </w:pPr>
            <w:r>
              <w:rPr>
                <w:sz w:val="21"/>
                <w:szCs w:val="21"/>
              </w:rPr>
              <w:t>金黄色葡萄球菌  NRS671（USA100）</w:t>
            </w:r>
          </w:p>
        </w:tc>
      </w:tr>
      <w:tr w14:paraId="4CED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1DA26D3B">
            <w:pPr>
              <w:pStyle w:val="8"/>
              <w:spacing w:before="48" w:beforeLines="20" w:after="48" w:afterLines="20" w:line="260" w:lineRule="exact"/>
              <w:rPr>
                <w:sz w:val="21"/>
                <w:szCs w:val="21"/>
              </w:rPr>
            </w:pPr>
            <w:r>
              <w:rPr>
                <w:sz w:val="21"/>
                <w:szCs w:val="21"/>
              </w:rPr>
              <w:t>金黄色葡萄球菌  ATCC BAA41</w:t>
            </w:r>
          </w:p>
        </w:tc>
        <w:tc>
          <w:tcPr>
            <w:tcW w:w="4810" w:type="dxa"/>
          </w:tcPr>
          <w:p w14:paraId="43B900B9">
            <w:pPr>
              <w:pStyle w:val="8"/>
              <w:spacing w:before="48" w:beforeLines="20" w:after="48" w:afterLines="20" w:line="260" w:lineRule="exact"/>
              <w:rPr>
                <w:sz w:val="21"/>
                <w:szCs w:val="21"/>
              </w:rPr>
            </w:pPr>
            <w:r>
              <w:rPr>
                <w:sz w:val="21"/>
                <w:szCs w:val="21"/>
              </w:rPr>
              <w:t>金黄色葡萄球菌  NRS672（USA100）</w:t>
            </w:r>
          </w:p>
        </w:tc>
      </w:tr>
      <w:tr w14:paraId="791D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1FBA5DCC">
            <w:pPr>
              <w:pStyle w:val="8"/>
              <w:spacing w:before="48" w:beforeLines="20" w:after="48" w:afterLines="20" w:line="260" w:lineRule="exact"/>
              <w:rPr>
                <w:sz w:val="21"/>
                <w:szCs w:val="21"/>
              </w:rPr>
            </w:pPr>
            <w:r>
              <w:rPr>
                <w:sz w:val="21"/>
                <w:szCs w:val="21"/>
              </w:rPr>
              <w:t>金黄色葡萄球菌  ATCC BAA43</w:t>
            </w:r>
          </w:p>
        </w:tc>
        <w:tc>
          <w:tcPr>
            <w:tcW w:w="4810" w:type="dxa"/>
          </w:tcPr>
          <w:p w14:paraId="7E74B0AE">
            <w:pPr>
              <w:pStyle w:val="8"/>
              <w:spacing w:before="48" w:beforeLines="20" w:after="48" w:afterLines="20" w:line="260" w:lineRule="exact"/>
              <w:rPr>
                <w:sz w:val="21"/>
                <w:szCs w:val="21"/>
              </w:rPr>
            </w:pPr>
            <w:r>
              <w:rPr>
                <w:sz w:val="21"/>
                <w:szCs w:val="21"/>
              </w:rPr>
              <w:t>金黄色葡萄球菌  NRS673（USA100）</w:t>
            </w:r>
          </w:p>
        </w:tc>
      </w:tr>
      <w:tr w14:paraId="5B72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2B295C16">
            <w:pPr>
              <w:pStyle w:val="8"/>
              <w:spacing w:before="48" w:beforeLines="20" w:after="48" w:afterLines="20" w:line="260" w:lineRule="exact"/>
              <w:rPr>
                <w:sz w:val="21"/>
                <w:szCs w:val="21"/>
              </w:rPr>
            </w:pPr>
            <w:r>
              <w:rPr>
                <w:sz w:val="21"/>
                <w:szCs w:val="21"/>
              </w:rPr>
              <w:t>金黄色葡萄球菌  ATCC BAA44</w:t>
            </w:r>
          </w:p>
        </w:tc>
        <w:tc>
          <w:tcPr>
            <w:tcW w:w="4810" w:type="dxa"/>
          </w:tcPr>
          <w:p w14:paraId="62A77031">
            <w:pPr>
              <w:pStyle w:val="8"/>
              <w:spacing w:before="48" w:beforeLines="20" w:after="48" w:afterLines="20" w:line="260" w:lineRule="exact"/>
              <w:rPr>
                <w:sz w:val="21"/>
                <w:szCs w:val="21"/>
              </w:rPr>
            </w:pPr>
            <w:r>
              <w:rPr>
                <w:sz w:val="21"/>
                <w:szCs w:val="21"/>
              </w:rPr>
              <w:t>金黄色葡萄球菌  NRS674（USA100）</w:t>
            </w:r>
          </w:p>
        </w:tc>
      </w:tr>
      <w:tr w14:paraId="6134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1AEBDB74">
            <w:pPr>
              <w:pStyle w:val="8"/>
              <w:spacing w:before="48" w:beforeLines="20" w:after="48" w:afterLines="20" w:line="260" w:lineRule="exact"/>
              <w:rPr>
                <w:sz w:val="21"/>
                <w:szCs w:val="21"/>
              </w:rPr>
            </w:pPr>
            <w:r>
              <w:rPr>
                <w:sz w:val="21"/>
                <w:szCs w:val="21"/>
              </w:rPr>
              <w:t>金黄色葡萄球菌  NRS123（USA 400）</w:t>
            </w:r>
          </w:p>
        </w:tc>
        <w:tc>
          <w:tcPr>
            <w:tcW w:w="4810" w:type="dxa"/>
          </w:tcPr>
          <w:p w14:paraId="01FA65B5">
            <w:pPr>
              <w:pStyle w:val="8"/>
              <w:spacing w:before="48" w:beforeLines="20" w:after="48" w:afterLines="20" w:line="260" w:lineRule="exact"/>
              <w:rPr>
                <w:sz w:val="21"/>
                <w:szCs w:val="21"/>
              </w:rPr>
            </w:pPr>
            <w:r>
              <w:rPr>
                <w:sz w:val="21"/>
                <w:szCs w:val="21"/>
              </w:rPr>
              <w:t>金黄色葡萄球菌  NRS679（USA100）</w:t>
            </w:r>
          </w:p>
        </w:tc>
      </w:tr>
      <w:tr w14:paraId="4FB0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32F86461">
            <w:pPr>
              <w:pStyle w:val="8"/>
              <w:spacing w:before="48" w:beforeLines="20" w:after="48" w:afterLines="20" w:line="260" w:lineRule="exact"/>
              <w:rPr>
                <w:sz w:val="21"/>
                <w:szCs w:val="21"/>
              </w:rPr>
            </w:pPr>
            <w:r>
              <w:rPr>
                <w:sz w:val="21"/>
                <w:szCs w:val="21"/>
              </w:rPr>
              <w:t>金黄色葡萄球菌  NRS172</w:t>
            </w:r>
          </w:p>
        </w:tc>
        <w:tc>
          <w:tcPr>
            <w:tcW w:w="4810" w:type="dxa"/>
          </w:tcPr>
          <w:p w14:paraId="6608356E">
            <w:pPr>
              <w:pStyle w:val="8"/>
              <w:spacing w:before="48" w:beforeLines="20" w:after="48" w:afterLines="20" w:line="260" w:lineRule="exact"/>
              <w:rPr>
                <w:sz w:val="21"/>
                <w:szCs w:val="21"/>
              </w:rPr>
            </w:pPr>
            <w:r>
              <w:rPr>
                <w:sz w:val="21"/>
                <w:szCs w:val="21"/>
              </w:rPr>
              <w:t>金黄色葡萄球菌  NRS687（USA300）</w:t>
            </w:r>
          </w:p>
        </w:tc>
      </w:tr>
      <w:tr w14:paraId="063B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3E34A02B">
            <w:pPr>
              <w:pStyle w:val="8"/>
              <w:spacing w:before="48" w:beforeLines="20" w:after="48" w:afterLines="20" w:line="260" w:lineRule="exact"/>
              <w:rPr>
                <w:sz w:val="21"/>
                <w:szCs w:val="21"/>
              </w:rPr>
            </w:pPr>
            <w:r>
              <w:rPr>
                <w:sz w:val="21"/>
                <w:szCs w:val="21"/>
              </w:rPr>
              <w:t>金黄色葡萄球菌  NRS192</w:t>
            </w:r>
          </w:p>
        </w:tc>
        <w:tc>
          <w:tcPr>
            <w:tcW w:w="4810" w:type="dxa"/>
          </w:tcPr>
          <w:p w14:paraId="7DB12167">
            <w:pPr>
              <w:pStyle w:val="8"/>
              <w:spacing w:before="48" w:beforeLines="20" w:after="48" w:afterLines="20" w:line="260" w:lineRule="exact"/>
              <w:rPr>
                <w:sz w:val="21"/>
                <w:szCs w:val="21"/>
              </w:rPr>
            </w:pPr>
            <w:r>
              <w:rPr>
                <w:sz w:val="21"/>
                <w:szCs w:val="21"/>
              </w:rPr>
              <w:t>金黄色葡萄球菌  NRS688（USA300）</w:t>
            </w:r>
          </w:p>
        </w:tc>
      </w:tr>
      <w:tr w14:paraId="412A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7FC8E858">
            <w:pPr>
              <w:pStyle w:val="8"/>
              <w:spacing w:before="48" w:beforeLines="20" w:after="48" w:afterLines="20" w:line="260" w:lineRule="exact"/>
              <w:rPr>
                <w:sz w:val="21"/>
                <w:szCs w:val="21"/>
              </w:rPr>
            </w:pPr>
            <w:r>
              <w:rPr>
                <w:sz w:val="21"/>
                <w:szCs w:val="21"/>
              </w:rPr>
              <w:t>金黄色葡萄球菌  NRS193</w:t>
            </w:r>
          </w:p>
        </w:tc>
        <w:tc>
          <w:tcPr>
            <w:tcW w:w="4810" w:type="dxa"/>
          </w:tcPr>
          <w:p w14:paraId="385C033F">
            <w:pPr>
              <w:pStyle w:val="8"/>
              <w:spacing w:before="48" w:beforeLines="20" w:after="48" w:afterLines="20" w:line="260" w:lineRule="exact"/>
              <w:rPr>
                <w:sz w:val="21"/>
                <w:szCs w:val="21"/>
              </w:rPr>
            </w:pPr>
            <w:r>
              <w:rPr>
                <w:sz w:val="21"/>
                <w:szCs w:val="21"/>
              </w:rPr>
              <w:t>金黄色葡萄球菌  NRS693（USA300）</w:t>
            </w:r>
          </w:p>
        </w:tc>
      </w:tr>
      <w:tr w14:paraId="60DE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37D55DC8">
            <w:pPr>
              <w:pStyle w:val="8"/>
              <w:spacing w:before="48" w:beforeLines="20" w:after="48" w:afterLines="20" w:line="260" w:lineRule="exact"/>
              <w:rPr>
                <w:sz w:val="21"/>
                <w:szCs w:val="21"/>
              </w:rPr>
            </w:pPr>
            <w:r>
              <w:rPr>
                <w:sz w:val="21"/>
                <w:szCs w:val="21"/>
              </w:rPr>
              <w:t>金黄色葡萄球菌  NRS194</w:t>
            </w:r>
          </w:p>
        </w:tc>
        <w:tc>
          <w:tcPr>
            <w:tcW w:w="4810" w:type="dxa"/>
          </w:tcPr>
          <w:p w14:paraId="2DA80B63">
            <w:pPr>
              <w:pStyle w:val="8"/>
              <w:spacing w:before="48" w:beforeLines="20" w:after="48" w:afterLines="20" w:line="260" w:lineRule="exact"/>
              <w:rPr>
                <w:sz w:val="21"/>
                <w:szCs w:val="21"/>
              </w:rPr>
            </w:pPr>
            <w:r>
              <w:rPr>
                <w:sz w:val="21"/>
                <w:szCs w:val="21"/>
              </w:rPr>
              <w:t>金黄色葡萄球菌  NRS694（USA300）</w:t>
            </w:r>
          </w:p>
        </w:tc>
      </w:tr>
      <w:tr w14:paraId="4534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5105256E">
            <w:pPr>
              <w:pStyle w:val="8"/>
              <w:spacing w:before="48" w:beforeLines="20" w:after="48" w:afterLines="20" w:line="260" w:lineRule="exact"/>
              <w:rPr>
                <w:sz w:val="21"/>
                <w:szCs w:val="21"/>
              </w:rPr>
            </w:pPr>
            <w:r>
              <w:rPr>
                <w:sz w:val="21"/>
                <w:szCs w:val="21"/>
              </w:rPr>
              <w:t>金黄色葡萄球菌  NRS22（USA 600）</w:t>
            </w:r>
          </w:p>
        </w:tc>
        <w:tc>
          <w:tcPr>
            <w:tcW w:w="4810" w:type="dxa"/>
          </w:tcPr>
          <w:p w14:paraId="7B2EB53E">
            <w:pPr>
              <w:pStyle w:val="8"/>
              <w:spacing w:before="48" w:beforeLines="20" w:after="48" w:afterLines="20" w:line="260" w:lineRule="exact"/>
              <w:rPr>
                <w:sz w:val="21"/>
                <w:szCs w:val="21"/>
              </w:rPr>
            </w:pPr>
            <w:r>
              <w:rPr>
                <w:sz w:val="21"/>
                <w:szCs w:val="21"/>
              </w:rPr>
              <w:t>金黄色葡萄球菌  NRS697（USA100）</w:t>
            </w:r>
          </w:p>
        </w:tc>
      </w:tr>
      <w:tr w14:paraId="64D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7C6D6406">
            <w:pPr>
              <w:pStyle w:val="8"/>
              <w:spacing w:before="48" w:beforeLines="20" w:after="48" w:afterLines="20" w:line="260" w:lineRule="exact"/>
              <w:rPr>
                <w:sz w:val="21"/>
                <w:szCs w:val="21"/>
              </w:rPr>
            </w:pPr>
            <w:r>
              <w:rPr>
                <w:sz w:val="21"/>
                <w:szCs w:val="21"/>
              </w:rPr>
              <w:t>金黄色葡萄球菌  NRS241</w:t>
            </w:r>
          </w:p>
        </w:tc>
        <w:tc>
          <w:tcPr>
            <w:tcW w:w="4810" w:type="dxa"/>
          </w:tcPr>
          <w:p w14:paraId="0E901A57">
            <w:pPr>
              <w:pStyle w:val="8"/>
              <w:spacing w:before="48" w:beforeLines="20" w:after="48" w:afterLines="20" w:line="260" w:lineRule="exact"/>
              <w:rPr>
                <w:sz w:val="21"/>
                <w:szCs w:val="21"/>
              </w:rPr>
            </w:pPr>
            <w:r>
              <w:rPr>
                <w:sz w:val="21"/>
                <w:szCs w:val="21"/>
              </w:rPr>
              <w:t>金黄色葡萄球菌  NRS699（USA100）</w:t>
            </w:r>
          </w:p>
        </w:tc>
      </w:tr>
      <w:tr w14:paraId="3C9D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304A5A96">
            <w:pPr>
              <w:pStyle w:val="8"/>
              <w:spacing w:before="48" w:beforeLines="20" w:after="48" w:afterLines="20" w:line="260" w:lineRule="exact"/>
              <w:rPr>
                <w:sz w:val="21"/>
                <w:szCs w:val="21"/>
              </w:rPr>
            </w:pPr>
            <w:r>
              <w:rPr>
                <w:sz w:val="21"/>
                <w:szCs w:val="21"/>
              </w:rPr>
              <w:t>金黄色葡萄球菌  NRS245</w:t>
            </w:r>
          </w:p>
        </w:tc>
        <w:tc>
          <w:tcPr>
            <w:tcW w:w="4810" w:type="dxa"/>
          </w:tcPr>
          <w:p w14:paraId="07673B5E">
            <w:pPr>
              <w:pStyle w:val="8"/>
              <w:spacing w:before="48" w:beforeLines="20" w:after="48" w:afterLines="20" w:line="260" w:lineRule="exact"/>
              <w:rPr>
                <w:sz w:val="21"/>
                <w:szCs w:val="21"/>
              </w:rPr>
            </w:pPr>
            <w:r>
              <w:rPr>
                <w:sz w:val="21"/>
                <w:szCs w:val="21"/>
              </w:rPr>
              <w:t>金黄色葡萄球菌  NRS710（USA100）</w:t>
            </w:r>
          </w:p>
        </w:tc>
      </w:tr>
      <w:tr w14:paraId="02DB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001E5CBE">
            <w:pPr>
              <w:pStyle w:val="8"/>
              <w:spacing w:before="48" w:beforeLines="20" w:after="48" w:afterLines="20" w:line="260" w:lineRule="exact"/>
              <w:rPr>
                <w:sz w:val="21"/>
                <w:szCs w:val="21"/>
              </w:rPr>
            </w:pPr>
            <w:r>
              <w:rPr>
                <w:sz w:val="21"/>
                <w:szCs w:val="21"/>
              </w:rPr>
              <w:t>金黄色葡萄球菌  NRS248</w:t>
            </w:r>
          </w:p>
        </w:tc>
        <w:tc>
          <w:tcPr>
            <w:tcW w:w="4810" w:type="dxa"/>
          </w:tcPr>
          <w:p w14:paraId="77774163">
            <w:pPr>
              <w:pStyle w:val="8"/>
              <w:spacing w:before="48" w:beforeLines="20" w:after="48" w:afterLines="20" w:line="260" w:lineRule="exact"/>
              <w:rPr>
                <w:sz w:val="21"/>
                <w:szCs w:val="21"/>
              </w:rPr>
            </w:pPr>
            <w:r>
              <w:rPr>
                <w:sz w:val="21"/>
                <w:szCs w:val="21"/>
              </w:rPr>
              <w:t>金黄色葡萄球菌  NRS711（USA100）</w:t>
            </w:r>
          </w:p>
        </w:tc>
      </w:tr>
      <w:tr w14:paraId="0E8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67A82993">
            <w:pPr>
              <w:pStyle w:val="8"/>
              <w:spacing w:before="48" w:beforeLines="20" w:after="48" w:afterLines="20" w:line="260" w:lineRule="exact"/>
              <w:rPr>
                <w:sz w:val="21"/>
                <w:szCs w:val="21"/>
              </w:rPr>
            </w:pPr>
            <w:r>
              <w:rPr>
                <w:sz w:val="21"/>
                <w:szCs w:val="21"/>
              </w:rPr>
              <w:t>金黄色葡萄球菌  NRS249</w:t>
            </w:r>
          </w:p>
        </w:tc>
        <w:tc>
          <w:tcPr>
            <w:tcW w:w="4810" w:type="dxa"/>
          </w:tcPr>
          <w:p w14:paraId="0AA04502">
            <w:pPr>
              <w:pStyle w:val="8"/>
              <w:spacing w:before="48" w:beforeLines="20" w:after="48" w:afterLines="20" w:line="260" w:lineRule="exact"/>
              <w:rPr>
                <w:sz w:val="21"/>
                <w:szCs w:val="21"/>
              </w:rPr>
            </w:pPr>
            <w:r>
              <w:rPr>
                <w:sz w:val="21"/>
                <w:szCs w:val="21"/>
              </w:rPr>
              <w:t>金黄色葡萄球菌  NRS716（USA300）</w:t>
            </w:r>
          </w:p>
        </w:tc>
      </w:tr>
      <w:tr w14:paraId="5F75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55A81426">
            <w:pPr>
              <w:pStyle w:val="8"/>
              <w:spacing w:before="48" w:beforeLines="20" w:after="48" w:afterLines="20" w:line="260" w:lineRule="exact"/>
              <w:rPr>
                <w:sz w:val="21"/>
                <w:szCs w:val="21"/>
              </w:rPr>
            </w:pPr>
            <w:r>
              <w:rPr>
                <w:sz w:val="21"/>
                <w:szCs w:val="21"/>
              </w:rPr>
              <w:t>金黄色葡萄球菌  NRS382（USA 100）</w:t>
            </w:r>
          </w:p>
        </w:tc>
        <w:tc>
          <w:tcPr>
            <w:tcW w:w="4810" w:type="dxa"/>
          </w:tcPr>
          <w:p w14:paraId="6BF872BC">
            <w:pPr>
              <w:pStyle w:val="8"/>
              <w:spacing w:before="48" w:beforeLines="20" w:after="48" w:afterLines="20" w:line="260" w:lineRule="exact"/>
              <w:rPr>
                <w:sz w:val="21"/>
                <w:szCs w:val="21"/>
              </w:rPr>
            </w:pPr>
            <w:r>
              <w:rPr>
                <w:sz w:val="21"/>
                <w:szCs w:val="21"/>
              </w:rPr>
              <w:t>金黄色葡萄球菌  NRS717（USA100）</w:t>
            </w:r>
          </w:p>
        </w:tc>
      </w:tr>
      <w:tr w14:paraId="5495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58547A35">
            <w:pPr>
              <w:pStyle w:val="8"/>
              <w:spacing w:before="48" w:beforeLines="20" w:after="48" w:afterLines="20" w:line="260" w:lineRule="exact"/>
              <w:rPr>
                <w:sz w:val="21"/>
                <w:szCs w:val="21"/>
              </w:rPr>
            </w:pPr>
            <w:r>
              <w:rPr>
                <w:sz w:val="21"/>
                <w:szCs w:val="21"/>
              </w:rPr>
              <w:t>金黄色葡萄球菌  NRS383（USA 200）</w:t>
            </w:r>
          </w:p>
        </w:tc>
        <w:tc>
          <w:tcPr>
            <w:tcW w:w="4810" w:type="dxa"/>
          </w:tcPr>
          <w:p w14:paraId="601B80D6">
            <w:pPr>
              <w:pStyle w:val="8"/>
              <w:spacing w:before="48" w:beforeLines="20" w:after="48" w:afterLines="20" w:line="260" w:lineRule="exact"/>
              <w:rPr>
                <w:sz w:val="21"/>
                <w:szCs w:val="21"/>
              </w:rPr>
            </w:pPr>
            <w:r>
              <w:rPr>
                <w:sz w:val="21"/>
                <w:szCs w:val="21"/>
              </w:rPr>
              <w:t>金黄色葡萄球菌  NRS721（USA100）</w:t>
            </w:r>
          </w:p>
        </w:tc>
      </w:tr>
      <w:tr w14:paraId="774E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5B951066">
            <w:pPr>
              <w:pStyle w:val="8"/>
              <w:spacing w:before="48" w:beforeLines="20" w:after="48" w:afterLines="20" w:line="260" w:lineRule="exact"/>
              <w:rPr>
                <w:sz w:val="21"/>
                <w:szCs w:val="21"/>
              </w:rPr>
            </w:pPr>
            <w:r>
              <w:rPr>
                <w:sz w:val="21"/>
                <w:szCs w:val="21"/>
              </w:rPr>
              <w:t>金黄色葡萄球菌  NRS384（USA 300-0114）</w:t>
            </w:r>
          </w:p>
        </w:tc>
        <w:tc>
          <w:tcPr>
            <w:tcW w:w="4810" w:type="dxa"/>
          </w:tcPr>
          <w:p w14:paraId="3799D8F1">
            <w:pPr>
              <w:pStyle w:val="8"/>
              <w:spacing w:before="48" w:beforeLines="20" w:after="48" w:afterLines="20" w:line="260" w:lineRule="exact"/>
              <w:rPr>
                <w:sz w:val="21"/>
                <w:szCs w:val="21"/>
              </w:rPr>
            </w:pPr>
            <w:r>
              <w:rPr>
                <w:sz w:val="21"/>
                <w:szCs w:val="21"/>
              </w:rPr>
              <w:t>金黄色葡萄球菌  NRS725（USA300）</w:t>
            </w:r>
          </w:p>
        </w:tc>
      </w:tr>
      <w:tr w14:paraId="67B1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5E3B46AE">
            <w:pPr>
              <w:pStyle w:val="8"/>
              <w:spacing w:before="48" w:beforeLines="20" w:after="48" w:afterLines="20" w:line="260" w:lineRule="exact"/>
              <w:rPr>
                <w:sz w:val="21"/>
                <w:szCs w:val="21"/>
              </w:rPr>
            </w:pPr>
            <w:r>
              <w:rPr>
                <w:sz w:val="21"/>
                <w:szCs w:val="21"/>
              </w:rPr>
              <w:t>金黄色葡萄球菌  NRS385（USA 500）</w:t>
            </w:r>
          </w:p>
        </w:tc>
        <w:tc>
          <w:tcPr>
            <w:tcW w:w="4810" w:type="dxa"/>
          </w:tcPr>
          <w:p w14:paraId="52605BD9">
            <w:pPr>
              <w:pStyle w:val="8"/>
              <w:spacing w:before="48" w:beforeLines="20" w:after="48" w:afterLines="20" w:line="260" w:lineRule="exact"/>
              <w:rPr>
                <w:sz w:val="21"/>
                <w:szCs w:val="21"/>
              </w:rPr>
            </w:pPr>
            <w:r>
              <w:rPr>
                <w:sz w:val="21"/>
                <w:szCs w:val="21"/>
              </w:rPr>
              <w:t>金黄色葡萄球菌  NRS732（USA300）</w:t>
            </w:r>
          </w:p>
        </w:tc>
      </w:tr>
      <w:tr w14:paraId="0581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1E01CA55">
            <w:pPr>
              <w:pStyle w:val="8"/>
              <w:spacing w:before="48" w:beforeLines="20" w:after="48" w:afterLines="20" w:line="260" w:lineRule="exact"/>
              <w:rPr>
                <w:sz w:val="21"/>
                <w:szCs w:val="21"/>
              </w:rPr>
            </w:pPr>
            <w:r>
              <w:rPr>
                <w:sz w:val="21"/>
                <w:szCs w:val="21"/>
              </w:rPr>
              <w:t>金黄色葡萄球菌  NRS386（USA 700）</w:t>
            </w:r>
          </w:p>
        </w:tc>
        <w:tc>
          <w:tcPr>
            <w:tcW w:w="4810" w:type="dxa"/>
          </w:tcPr>
          <w:p w14:paraId="45258AC4">
            <w:pPr>
              <w:pStyle w:val="8"/>
              <w:spacing w:before="48" w:beforeLines="20" w:after="48" w:afterLines="20" w:line="260" w:lineRule="exact"/>
              <w:rPr>
                <w:sz w:val="21"/>
                <w:szCs w:val="21"/>
              </w:rPr>
            </w:pPr>
            <w:r>
              <w:rPr>
                <w:sz w:val="21"/>
                <w:szCs w:val="21"/>
              </w:rPr>
              <w:t>金黄色葡萄球菌  NRS733（USA300）</w:t>
            </w:r>
          </w:p>
        </w:tc>
      </w:tr>
      <w:tr w14:paraId="495D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030CCD9F">
            <w:pPr>
              <w:pStyle w:val="8"/>
              <w:spacing w:before="48" w:beforeLines="20" w:after="48" w:afterLines="20" w:line="260" w:lineRule="exact"/>
              <w:rPr>
                <w:sz w:val="21"/>
                <w:szCs w:val="21"/>
              </w:rPr>
            </w:pPr>
            <w:r>
              <w:rPr>
                <w:sz w:val="21"/>
                <w:szCs w:val="21"/>
              </w:rPr>
              <w:t>金黄色葡萄球菌  NRS387（USA 800）</w:t>
            </w:r>
          </w:p>
        </w:tc>
        <w:tc>
          <w:tcPr>
            <w:tcW w:w="4810" w:type="dxa"/>
          </w:tcPr>
          <w:p w14:paraId="1D6E631C">
            <w:pPr>
              <w:pStyle w:val="8"/>
              <w:spacing w:before="48" w:beforeLines="20" w:after="48" w:afterLines="20" w:line="260" w:lineRule="exact"/>
              <w:rPr>
                <w:sz w:val="21"/>
                <w:szCs w:val="21"/>
              </w:rPr>
            </w:pPr>
            <w:r>
              <w:rPr>
                <w:sz w:val="21"/>
                <w:szCs w:val="21"/>
              </w:rPr>
              <w:t>金黄色葡萄球菌  NRS736（USA300）</w:t>
            </w:r>
          </w:p>
        </w:tc>
      </w:tr>
      <w:tr w14:paraId="15C5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tcPr>
          <w:p w14:paraId="2538EA18">
            <w:pPr>
              <w:pStyle w:val="8"/>
              <w:spacing w:before="48" w:beforeLines="20" w:after="48" w:afterLines="20" w:line="260" w:lineRule="exact"/>
              <w:rPr>
                <w:sz w:val="21"/>
                <w:szCs w:val="21"/>
              </w:rPr>
            </w:pPr>
          </w:p>
        </w:tc>
        <w:tc>
          <w:tcPr>
            <w:tcW w:w="4810" w:type="dxa"/>
          </w:tcPr>
          <w:p w14:paraId="0447F061">
            <w:pPr>
              <w:pStyle w:val="8"/>
              <w:spacing w:before="48" w:beforeLines="20" w:after="48" w:afterLines="20" w:line="260" w:lineRule="exact"/>
              <w:rPr>
                <w:sz w:val="21"/>
                <w:szCs w:val="21"/>
              </w:rPr>
            </w:pPr>
            <w:r>
              <w:rPr>
                <w:sz w:val="21"/>
                <w:szCs w:val="21"/>
              </w:rPr>
              <w:t>金黄色葡萄球菌  NRS739（USA300）</w:t>
            </w:r>
          </w:p>
        </w:tc>
      </w:tr>
    </w:tbl>
    <w:p w14:paraId="7B69A2FF">
      <w:pPr>
        <w:pStyle w:val="8"/>
        <w:spacing w:before="144"/>
        <w:rPr>
          <w:lang w:eastAsia="zh-CN"/>
        </w:rPr>
      </w:pPr>
    </w:p>
    <w:p w14:paraId="659DB6BD">
      <w:pPr>
        <w:pStyle w:val="8"/>
        <w:spacing w:before="144"/>
        <w:rPr>
          <w:b/>
          <w:i/>
          <w:lang w:eastAsia="zh-CN"/>
        </w:rPr>
      </w:pPr>
      <w:r>
        <w:rPr>
          <w:rFonts w:hint="eastAsia"/>
          <w:b/>
          <w:i/>
          <w:lang w:eastAsia="zh-CN"/>
        </w:rPr>
        <w:t>耐药性表达</w:t>
      </w:r>
    </w:p>
    <w:p w14:paraId="08734F2B">
      <w:pPr>
        <w:pStyle w:val="8"/>
        <w:numPr>
          <w:ilvl w:val="1"/>
          <w:numId w:val="4"/>
        </w:numPr>
        <w:spacing w:before="144"/>
        <w:ind w:left="480" w:hanging="480" w:hangingChars="200"/>
        <w:rPr>
          <w:lang w:eastAsia="zh-CN"/>
        </w:rPr>
      </w:pPr>
      <w:r>
        <w:rPr>
          <w:rFonts w:hint="eastAsia"/>
          <w:lang w:eastAsia="zh-CN"/>
        </w:rPr>
        <w:t>我们建议贵公司证明至少10个高水平和低水平耐药性MRSA菌株在新器械上表达出耐药性，并与非选择性羊血琼脂平板进行比较。研究中使用的菌株应由CLSI推荐或得到同行审查的出版物公认。贵公司的研究应提供所测试的每个菌株的MIC值、mecA和类别（同质或异质），并且还应提供阳性和阴性控制。</w:t>
      </w:r>
    </w:p>
    <w:p w14:paraId="6BE42C49">
      <w:pPr>
        <w:pStyle w:val="8"/>
        <w:spacing w:before="144"/>
        <w:rPr>
          <w:lang w:eastAsia="zh-CN"/>
        </w:rPr>
      </w:pPr>
      <w:r>
        <w:rPr>
          <w:rFonts w:hint="eastAsia"/>
          <w:lang w:eastAsia="zh-CN"/>
        </w:rPr>
        <w:t>在行业的某一要求中，我们被问及提供此类信息的方法。</w:t>
      </w:r>
    </w:p>
    <w:p w14:paraId="3008ECB4">
      <w:pPr>
        <w:pStyle w:val="8"/>
        <w:spacing w:before="144"/>
        <w:rPr>
          <w:lang w:eastAsia="zh-CN"/>
        </w:rPr>
      </w:pPr>
      <w:r>
        <w:rPr>
          <w:rFonts w:hint="eastAsia"/>
          <w:lang w:eastAsia="zh-CN"/>
        </w:rPr>
        <w:t>表2是贵公司可用于辅助提供此类信息的格式。</w:t>
      </w:r>
    </w:p>
    <w:p w14:paraId="50395CFD">
      <w:pPr>
        <w:pStyle w:val="8"/>
        <w:spacing w:before="144"/>
        <w:rPr>
          <w:lang w:eastAsia="zh-CN"/>
        </w:rPr>
      </w:pPr>
      <w:r>
        <w:rPr>
          <w:lang w:eastAsia="zh-CN"/>
        </w:rPr>
        <w:br w:type="page"/>
      </w:r>
    </w:p>
    <w:p w14:paraId="35E1BC3D">
      <w:pPr>
        <w:pStyle w:val="8"/>
        <w:spacing w:before="144"/>
        <w:rPr>
          <w:b/>
          <w:lang w:eastAsia="zh-CN"/>
        </w:rPr>
      </w:pPr>
      <w:r>
        <w:rPr>
          <w:rFonts w:hint="eastAsia"/>
          <w:b/>
          <w:lang w:eastAsia="zh-CN"/>
        </w:rPr>
        <w:t>表2.耐药性表达研究的表格格式。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1518"/>
        <w:gridCol w:w="1127"/>
        <w:gridCol w:w="1557"/>
        <w:gridCol w:w="1541"/>
        <w:gridCol w:w="1541"/>
      </w:tblGrid>
      <w:tr w14:paraId="376B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0D2A6EE">
            <w:pPr>
              <w:pStyle w:val="8"/>
              <w:spacing w:before="48" w:beforeLines="20" w:after="48" w:afterLines="20" w:line="260" w:lineRule="exact"/>
              <w:rPr>
                <w:sz w:val="21"/>
                <w:szCs w:val="21"/>
                <w:lang w:eastAsia="zh-CN"/>
              </w:rPr>
            </w:pPr>
          </w:p>
        </w:tc>
        <w:tc>
          <w:tcPr>
            <w:tcW w:w="1559" w:type="dxa"/>
          </w:tcPr>
          <w:p w14:paraId="65345C0D">
            <w:pPr>
              <w:pStyle w:val="8"/>
              <w:spacing w:before="48" w:beforeLines="20" w:after="48" w:afterLines="20" w:line="260" w:lineRule="exact"/>
              <w:rPr>
                <w:sz w:val="21"/>
                <w:szCs w:val="21"/>
              </w:rPr>
            </w:pPr>
            <w:r>
              <w:rPr>
                <w:rFonts w:hint="eastAsia"/>
                <w:sz w:val="21"/>
                <w:szCs w:val="21"/>
              </w:rPr>
              <w:t>采集编号</w:t>
            </w:r>
          </w:p>
        </w:tc>
        <w:tc>
          <w:tcPr>
            <w:tcW w:w="1157" w:type="dxa"/>
          </w:tcPr>
          <w:p w14:paraId="07EF8750">
            <w:pPr>
              <w:pStyle w:val="8"/>
              <w:spacing w:before="48" w:beforeLines="20" w:after="48" w:afterLines="20" w:line="260" w:lineRule="exact"/>
              <w:jc w:val="center"/>
              <w:rPr>
                <w:sz w:val="21"/>
                <w:szCs w:val="21"/>
              </w:rPr>
            </w:pPr>
            <w:r>
              <w:rPr>
                <w:sz w:val="21"/>
                <w:szCs w:val="21"/>
              </w:rPr>
              <w:t>MIC</w:t>
            </w:r>
          </w:p>
        </w:tc>
        <w:tc>
          <w:tcPr>
            <w:tcW w:w="1603" w:type="dxa"/>
          </w:tcPr>
          <w:p w14:paraId="73742C25">
            <w:pPr>
              <w:pStyle w:val="8"/>
              <w:spacing w:before="48" w:beforeLines="20" w:after="48" w:afterLines="20" w:line="260" w:lineRule="exact"/>
              <w:jc w:val="center"/>
              <w:rPr>
                <w:sz w:val="21"/>
                <w:szCs w:val="21"/>
              </w:rPr>
            </w:pPr>
            <w:r>
              <w:rPr>
                <w:sz w:val="21"/>
                <w:szCs w:val="21"/>
              </w:rPr>
              <w:t>mecA</w:t>
            </w:r>
          </w:p>
        </w:tc>
        <w:tc>
          <w:tcPr>
            <w:tcW w:w="1604" w:type="dxa"/>
          </w:tcPr>
          <w:p w14:paraId="09263367">
            <w:pPr>
              <w:pStyle w:val="8"/>
              <w:spacing w:before="48" w:beforeLines="20" w:after="48" w:afterLines="20" w:line="260" w:lineRule="exact"/>
              <w:jc w:val="center"/>
              <w:rPr>
                <w:sz w:val="21"/>
                <w:szCs w:val="21"/>
              </w:rPr>
            </w:pPr>
            <w:r>
              <w:rPr>
                <w:rFonts w:hint="eastAsia"/>
                <w:sz w:val="21"/>
                <w:szCs w:val="21"/>
              </w:rPr>
              <w:t>类别</w:t>
            </w:r>
          </w:p>
        </w:tc>
        <w:tc>
          <w:tcPr>
            <w:tcW w:w="1604" w:type="dxa"/>
          </w:tcPr>
          <w:p w14:paraId="13395E21">
            <w:pPr>
              <w:pStyle w:val="8"/>
              <w:spacing w:before="48" w:beforeLines="20" w:after="48" w:afterLines="20" w:line="260" w:lineRule="exact"/>
              <w:jc w:val="center"/>
              <w:rPr>
                <w:sz w:val="21"/>
                <w:szCs w:val="21"/>
              </w:rPr>
            </w:pPr>
          </w:p>
        </w:tc>
      </w:tr>
      <w:tr w14:paraId="5050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E678FFE">
            <w:pPr>
              <w:pStyle w:val="8"/>
              <w:spacing w:before="48" w:beforeLines="20" w:after="48" w:afterLines="20" w:line="260" w:lineRule="exact"/>
              <w:rPr>
                <w:sz w:val="21"/>
                <w:szCs w:val="21"/>
              </w:rPr>
            </w:pPr>
          </w:p>
        </w:tc>
        <w:tc>
          <w:tcPr>
            <w:tcW w:w="1559" w:type="dxa"/>
          </w:tcPr>
          <w:p w14:paraId="759CEAC4">
            <w:pPr>
              <w:pStyle w:val="8"/>
              <w:spacing w:before="48" w:beforeLines="20" w:after="48" w:afterLines="20" w:line="260" w:lineRule="exact"/>
              <w:rPr>
                <w:sz w:val="21"/>
                <w:szCs w:val="21"/>
              </w:rPr>
            </w:pPr>
          </w:p>
        </w:tc>
        <w:tc>
          <w:tcPr>
            <w:tcW w:w="1157" w:type="dxa"/>
          </w:tcPr>
          <w:p w14:paraId="27F956C1">
            <w:pPr>
              <w:pStyle w:val="8"/>
              <w:spacing w:before="48" w:beforeLines="20" w:after="48" w:afterLines="20" w:line="260" w:lineRule="exact"/>
              <w:jc w:val="center"/>
              <w:rPr>
                <w:sz w:val="21"/>
                <w:szCs w:val="21"/>
              </w:rPr>
            </w:pPr>
            <w:r>
              <w:rPr>
                <w:rFonts w:hint="eastAsia"/>
                <w:sz w:val="21"/>
                <w:szCs w:val="21"/>
              </w:rPr>
              <w:t>低</w:t>
            </w:r>
          </w:p>
        </w:tc>
        <w:tc>
          <w:tcPr>
            <w:tcW w:w="1603" w:type="dxa"/>
          </w:tcPr>
          <w:p w14:paraId="4852C524">
            <w:pPr>
              <w:pStyle w:val="8"/>
              <w:spacing w:before="48" w:beforeLines="20" w:after="48" w:afterLines="20" w:line="260" w:lineRule="exact"/>
              <w:jc w:val="center"/>
              <w:rPr>
                <w:sz w:val="21"/>
                <w:szCs w:val="21"/>
              </w:rPr>
            </w:pPr>
            <w:r>
              <w:rPr>
                <w:rFonts w:hint="eastAsia"/>
                <w:sz w:val="21"/>
                <w:szCs w:val="21"/>
              </w:rPr>
              <w:t>高</w:t>
            </w:r>
          </w:p>
        </w:tc>
        <w:tc>
          <w:tcPr>
            <w:tcW w:w="1604" w:type="dxa"/>
          </w:tcPr>
          <w:p w14:paraId="739612F7">
            <w:pPr>
              <w:pStyle w:val="8"/>
              <w:spacing w:before="48" w:beforeLines="20" w:after="48" w:afterLines="20" w:line="260" w:lineRule="exact"/>
              <w:jc w:val="center"/>
              <w:rPr>
                <w:sz w:val="21"/>
                <w:szCs w:val="21"/>
              </w:rPr>
            </w:pPr>
          </w:p>
        </w:tc>
        <w:tc>
          <w:tcPr>
            <w:tcW w:w="1604" w:type="dxa"/>
          </w:tcPr>
          <w:p w14:paraId="053B28B4">
            <w:pPr>
              <w:pStyle w:val="8"/>
              <w:spacing w:before="48" w:beforeLines="20" w:after="48" w:afterLines="20" w:line="260" w:lineRule="exact"/>
              <w:jc w:val="center"/>
              <w:rPr>
                <w:sz w:val="21"/>
                <w:szCs w:val="21"/>
              </w:rPr>
            </w:pPr>
          </w:p>
        </w:tc>
      </w:tr>
      <w:tr w14:paraId="2AC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AE1248C">
            <w:pPr>
              <w:pStyle w:val="8"/>
              <w:spacing w:before="48" w:beforeLines="20" w:after="48" w:afterLines="20" w:line="260" w:lineRule="exact"/>
              <w:rPr>
                <w:sz w:val="21"/>
                <w:szCs w:val="21"/>
              </w:rPr>
            </w:pPr>
            <w:r>
              <w:rPr>
                <w:sz w:val="21"/>
                <w:szCs w:val="21"/>
              </w:rPr>
              <w:t xml:space="preserve">金黄色葡萄球菌 </w:t>
            </w:r>
          </w:p>
        </w:tc>
        <w:tc>
          <w:tcPr>
            <w:tcW w:w="1559" w:type="dxa"/>
          </w:tcPr>
          <w:p w14:paraId="7A535093">
            <w:pPr>
              <w:pStyle w:val="8"/>
              <w:spacing w:before="48" w:beforeLines="20" w:after="48" w:afterLines="20" w:line="260" w:lineRule="exact"/>
              <w:rPr>
                <w:sz w:val="21"/>
                <w:szCs w:val="21"/>
              </w:rPr>
            </w:pPr>
            <w:r>
              <w:rPr>
                <w:sz w:val="21"/>
                <w:szCs w:val="21"/>
              </w:rPr>
              <w:t>ATCC 43300</w:t>
            </w:r>
          </w:p>
        </w:tc>
        <w:tc>
          <w:tcPr>
            <w:tcW w:w="1157" w:type="dxa"/>
          </w:tcPr>
          <w:p w14:paraId="4B711C4F">
            <w:pPr>
              <w:pStyle w:val="8"/>
              <w:spacing w:before="48" w:beforeLines="20" w:after="48" w:afterLines="20" w:line="260" w:lineRule="exact"/>
              <w:jc w:val="center"/>
              <w:rPr>
                <w:sz w:val="21"/>
                <w:szCs w:val="21"/>
              </w:rPr>
            </w:pPr>
          </w:p>
        </w:tc>
        <w:tc>
          <w:tcPr>
            <w:tcW w:w="1603" w:type="dxa"/>
          </w:tcPr>
          <w:p w14:paraId="2FC0753F">
            <w:pPr>
              <w:pStyle w:val="8"/>
              <w:spacing w:before="48" w:beforeLines="20" w:after="48" w:afterLines="20" w:line="260" w:lineRule="exact"/>
              <w:jc w:val="center"/>
              <w:rPr>
                <w:sz w:val="21"/>
                <w:szCs w:val="21"/>
              </w:rPr>
            </w:pPr>
          </w:p>
        </w:tc>
        <w:tc>
          <w:tcPr>
            <w:tcW w:w="1604" w:type="dxa"/>
          </w:tcPr>
          <w:p w14:paraId="3E712B38">
            <w:pPr>
              <w:pStyle w:val="8"/>
              <w:spacing w:before="48" w:beforeLines="20" w:after="48" w:afterLines="20" w:line="260" w:lineRule="exact"/>
              <w:jc w:val="center"/>
              <w:rPr>
                <w:sz w:val="21"/>
                <w:szCs w:val="21"/>
              </w:rPr>
            </w:pPr>
          </w:p>
        </w:tc>
        <w:tc>
          <w:tcPr>
            <w:tcW w:w="1604" w:type="dxa"/>
          </w:tcPr>
          <w:p w14:paraId="466EC1AE">
            <w:pPr>
              <w:pStyle w:val="8"/>
              <w:spacing w:before="48" w:beforeLines="20" w:after="48" w:afterLines="20" w:line="260" w:lineRule="exact"/>
              <w:jc w:val="center"/>
              <w:rPr>
                <w:sz w:val="21"/>
                <w:szCs w:val="21"/>
              </w:rPr>
            </w:pPr>
            <w:r>
              <w:rPr>
                <w:rFonts w:hint="eastAsia"/>
                <w:sz w:val="21"/>
                <w:szCs w:val="21"/>
              </w:rPr>
              <w:t>异质</w:t>
            </w:r>
          </w:p>
        </w:tc>
      </w:tr>
    </w:tbl>
    <w:p w14:paraId="709D5342">
      <w:pPr>
        <w:pStyle w:val="8"/>
        <w:spacing w:before="144"/>
      </w:pPr>
    </w:p>
    <w:p w14:paraId="11CDE442">
      <w:pPr>
        <w:pStyle w:val="8"/>
        <w:numPr>
          <w:ilvl w:val="1"/>
          <w:numId w:val="4"/>
        </w:numPr>
        <w:spacing w:before="144"/>
        <w:ind w:left="480" w:hanging="480" w:hangingChars="200"/>
        <w:rPr>
          <w:lang w:eastAsia="zh-CN"/>
        </w:rPr>
      </w:pPr>
      <w:r>
        <w:rPr>
          <w:rFonts w:hint="eastAsia"/>
          <w:lang w:eastAsia="zh-CN"/>
        </w:rPr>
        <w:t>耐边缘苯唑西林的金黄色葡萄球菌（BORSA）</w:t>
      </w:r>
    </w:p>
    <w:p w14:paraId="7253AF83">
      <w:pPr>
        <w:pStyle w:val="8"/>
        <w:spacing w:before="144"/>
        <w:ind w:left="440" w:leftChars="200"/>
        <w:rPr>
          <w:lang w:eastAsia="zh-CN"/>
        </w:rPr>
      </w:pPr>
      <w:r>
        <w:rPr>
          <w:rFonts w:hint="eastAsia"/>
          <w:lang w:eastAsia="zh-CN"/>
        </w:rPr>
        <w:t>BORSA菌株通常缺少mec A基因，但可通过另一种耐药性机制表达对苯唑西林的耐药性。这些菌株中的苯唑西林MIC刚好高于敏感折点。</w:t>
      </w:r>
    </w:p>
    <w:p w14:paraId="650BB4D1">
      <w:pPr>
        <w:pStyle w:val="8"/>
        <w:spacing w:before="144"/>
        <w:ind w:left="440" w:leftChars="200"/>
        <w:rPr>
          <w:lang w:eastAsia="zh-CN"/>
        </w:rPr>
      </w:pPr>
      <w:r>
        <w:rPr>
          <w:rFonts w:hint="eastAsia"/>
          <w:lang w:eastAsia="zh-CN"/>
        </w:rPr>
        <w:t>我们建议贵公司使用至少五个BORSA分离株来评价贵公司新器械的性能。结果应以表格格式呈现。</w:t>
      </w:r>
    </w:p>
    <w:p w14:paraId="68E93FDF">
      <w:pPr>
        <w:pStyle w:val="8"/>
        <w:numPr>
          <w:ilvl w:val="1"/>
          <w:numId w:val="4"/>
        </w:numPr>
        <w:spacing w:before="144"/>
        <w:ind w:left="480" w:hanging="480" w:hangingChars="200"/>
        <w:rPr>
          <w:lang w:eastAsia="zh-CN"/>
        </w:rPr>
      </w:pPr>
      <w:r>
        <w:rPr>
          <w:rFonts w:hint="eastAsia"/>
          <w:lang w:eastAsia="zh-CN"/>
        </w:rPr>
        <w:t>甲氧西林耐药性有其它表现机制，例如产生改良的固有PBP（改良的金黄色葡萄球菌（MOD-SA）菌株），其对苯唑西林具有变异亲和；然而，MOD-SA的发生率极低。5如果这些菌株可用于试验，其也应纳入挑战组中。此外，如果MOD-SA菌株不能用于试验，则贵公司可以在贵公司的标签中提供局限性声明。</w:t>
      </w:r>
    </w:p>
    <w:p w14:paraId="5E425175">
      <w:pPr>
        <w:pStyle w:val="8"/>
        <w:spacing w:before="144"/>
        <w:rPr>
          <w:b/>
          <w:i/>
          <w:lang w:eastAsia="zh-CN"/>
        </w:rPr>
      </w:pPr>
      <w:r>
        <w:rPr>
          <w:rFonts w:hint="eastAsia"/>
          <w:b/>
          <w:i/>
          <w:lang w:eastAsia="zh-CN"/>
        </w:rPr>
        <w:t>混合感染研究</w:t>
      </w:r>
    </w:p>
    <w:p w14:paraId="37AABDB6">
      <w:pPr>
        <w:pStyle w:val="8"/>
        <w:spacing w:before="144"/>
        <w:rPr>
          <w:lang w:eastAsia="zh-CN"/>
        </w:rPr>
      </w:pPr>
      <w:r>
        <w:rPr>
          <w:rFonts w:hint="eastAsia"/>
          <w:lang w:eastAsia="zh-CN"/>
        </w:rPr>
        <w:t>贵公司还应该进行混合感染研究，评价贵公司的器械在存在高水平非靶微生物的情况下回收MRSA的性能，其中，此类评价应使用一个革兰氏阳性和一个革兰氏阴性分离株（例如，MRSA和甲氧西林敏感SA，或MRSA和甲氧西林耐药性凝固酶阴性葡萄球菌或MRSA和大肠杆菌）。贵公司应该以百分回收率测试靶标微生物（即MRSA）并以增加浓度下测试非靶微生物，并提供数据。在行业的某一要求中，我们被问及提供此类信息的方法。表3是贵公司可用于辅助提供此类信息的格式。</w:t>
      </w:r>
    </w:p>
    <w:p w14:paraId="4D675E28">
      <w:pPr>
        <w:pStyle w:val="8"/>
        <w:spacing w:before="144"/>
        <w:rPr>
          <w:b/>
          <w:lang w:eastAsia="zh-CN"/>
        </w:rPr>
      </w:pPr>
      <w:r>
        <w:rPr>
          <w:rFonts w:hint="eastAsia"/>
          <w:b/>
          <w:lang w:eastAsia="zh-CN"/>
        </w:rPr>
        <w:t>表3.混合感染研究表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3106"/>
        <w:gridCol w:w="3078"/>
      </w:tblGrid>
      <w:tr w14:paraId="7511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shd w:val="clear" w:color="auto" w:fill="D8D8D8" w:themeFill="background1" w:themeFillShade="D9"/>
          </w:tcPr>
          <w:p w14:paraId="1794ECF4">
            <w:pPr>
              <w:pStyle w:val="8"/>
              <w:spacing w:before="48" w:beforeLines="20" w:after="48" w:afterLines="20" w:line="260" w:lineRule="exact"/>
              <w:rPr>
                <w:sz w:val="21"/>
                <w:szCs w:val="21"/>
              </w:rPr>
            </w:pPr>
            <w:r>
              <w:rPr>
                <w:rFonts w:hint="eastAsia"/>
                <w:sz w:val="21"/>
                <w:szCs w:val="21"/>
              </w:rPr>
              <w:t>MRSA（*浓度保持恒定，回收率以CFU / mL表示）</w:t>
            </w:r>
          </w:p>
        </w:tc>
        <w:tc>
          <w:tcPr>
            <w:tcW w:w="3207" w:type="dxa"/>
            <w:shd w:val="clear" w:color="auto" w:fill="D8D8D8" w:themeFill="background1" w:themeFillShade="D9"/>
          </w:tcPr>
          <w:p w14:paraId="4C172CEE">
            <w:pPr>
              <w:pStyle w:val="8"/>
              <w:spacing w:before="48" w:beforeLines="20" w:after="48" w:afterLines="20" w:line="260" w:lineRule="exact"/>
              <w:rPr>
                <w:sz w:val="21"/>
                <w:szCs w:val="21"/>
                <w:lang w:eastAsia="zh-CN"/>
              </w:rPr>
            </w:pPr>
            <w:r>
              <w:rPr>
                <w:rFonts w:hint="eastAsia"/>
                <w:sz w:val="21"/>
                <w:szCs w:val="21"/>
                <w:lang w:eastAsia="zh-CN"/>
              </w:rPr>
              <w:t>MSSA或耐甲氧西林凝固酶阴性葡萄球菌或大肠杆菌</w:t>
            </w:r>
          </w:p>
        </w:tc>
        <w:tc>
          <w:tcPr>
            <w:tcW w:w="3207" w:type="dxa"/>
            <w:shd w:val="clear" w:color="auto" w:fill="D8D8D8" w:themeFill="background1" w:themeFillShade="D9"/>
          </w:tcPr>
          <w:p w14:paraId="09E0A6EA">
            <w:pPr>
              <w:pStyle w:val="8"/>
              <w:spacing w:before="48" w:beforeLines="20" w:after="48" w:afterLines="20" w:line="260" w:lineRule="exact"/>
              <w:rPr>
                <w:sz w:val="21"/>
                <w:szCs w:val="21"/>
              </w:rPr>
            </w:pPr>
            <w:r>
              <w:rPr>
                <w:rFonts w:hint="eastAsia"/>
                <w:sz w:val="21"/>
                <w:szCs w:val="21"/>
              </w:rPr>
              <w:t>MRSA结果</w:t>
            </w:r>
          </w:p>
        </w:tc>
      </w:tr>
      <w:tr w14:paraId="0D8B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Pr>
          <w:p w14:paraId="660F9336">
            <w:pPr>
              <w:pStyle w:val="8"/>
              <w:spacing w:before="48" w:beforeLines="20" w:after="48" w:afterLines="20" w:line="260" w:lineRule="exact"/>
              <w:jc w:val="center"/>
              <w:rPr>
                <w:sz w:val="21"/>
                <w:szCs w:val="21"/>
              </w:rPr>
            </w:pPr>
            <w:r>
              <w:rPr>
                <w:sz w:val="21"/>
                <w:szCs w:val="21"/>
              </w:rPr>
              <w:t>10*CFU/mL</w:t>
            </w:r>
          </w:p>
        </w:tc>
        <w:tc>
          <w:tcPr>
            <w:tcW w:w="3207" w:type="dxa"/>
          </w:tcPr>
          <w:p w14:paraId="083E9531">
            <w:pPr>
              <w:pStyle w:val="8"/>
              <w:spacing w:before="48" w:beforeLines="20" w:after="48" w:afterLines="20" w:line="260" w:lineRule="exact"/>
              <w:jc w:val="center"/>
              <w:rPr>
                <w:sz w:val="21"/>
                <w:szCs w:val="21"/>
              </w:rPr>
            </w:pPr>
            <w:r>
              <w:rPr>
                <w:sz w:val="21"/>
                <w:szCs w:val="21"/>
              </w:rPr>
              <w:t>108CFU/mL</w:t>
            </w:r>
          </w:p>
        </w:tc>
        <w:tc>
          <w:tcPr>
            <w:tcW w:w="3207" w:type="dxa"/>
          </w:tcPr>
          <w:p w14:paraId="1208D5A0">
            <w:pPr>
              <w:pStyle w:val="8"/>
              <w:spacing w:before="48" w:beforeLines="20" w:after="48" w:afterLines="20" w:line="260" w:lineRule="exact"/>
              <w:rPr>
                <w:sz w:val="21"/>
                <w:szCs w:val="21"/>
              </w:rPr>
            </w:pPr>
          </w:p>
        </w:tc>
      </w:tr>
      <w:tr w14:paraId="1018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Pr>
          <w:p w14:paraId="302DC103">
            <w:pPr>
              <w:pStyle w:val="8"/>
              <w:spacing w:before="48" w:beforeLines="20" w:after="48" w:afterLines="20" w:line="260" w:lineRule="exact"/>
              <w:jc w:val="center"/>
              <w:rPr>
                <w:sz w:val="21"/>
                <w:szCs w:val="21"/>
              </w:rPr>
            </w:pPr>
            <w:r>
              <w:rPr>
                <w:sz w:val="21"/>
                <w:szCs w:val="21"/>
              </w:rPr>
              <w:t>10*CFU/mL</w:t>
            </w:r>
          </w:p>
        </w:tc>
        <w:tc>
          <w:tcPr>
            <w:tcW w:w="3207" w:type="dxa"/>
          </w:tcPr>
          <w:p w14:paraId="41DADA0D">
            <w:pPr>
              <w:pStyle w:val="8"/>
              <w:spacing w:before="48" w:beforeLines="20" w:after="48" w:afterLines="20" w:line="260" w:lineRule="exact"/>
              <w:jc w:val="center"/>
              <w:rPr>
                <w:sz w:val="21"/>
                <w:szCs w:val="21"/>
              </w:rPr>
            </w:pPr>
            <w:r>
              <w:rPr>
                <w:sz w:val="21"/>
                <w:szCs w:val="21"/>
              </w:rPr>
              <w:t>109CFU/mL</w:t>
            </w:r>
          </w:p>
        </w:tc>
        <w:tc>
          <w:tcPr>
            <w:tcW w:w="3207" w:type="dxa"/>
          </w:tcPr>
          <w:p w14:paraId="3682F9A2">
            <w:pPr>
              <w:pStyle w:val="8"/>
              <w:spacing w:before="48" w:beforeLines="20" w:after="48" w:afterLines="20" w:line="260" w:lineRule="exact"/>
              <w:rPr>
                <w:sz w:val="21"/>
                <w:szCs w:val="21"/>
              </w:rPr>
            </w:pPr>
          </w:p>
        </w:tc>
      </w:tr>
    </w:tbl>
    <w:p w14:paraId="00EC11F2">
      <w:pPr>
        <w:pStyle w:val="8"/>
        <w:spacing w:before="144"/>
        <w:rPr>
          <w:b/>
        </w:rPr>
      </w:pPr>
      <w:r>
        <w:rPr>
          <w:rFonts w:hint="eastAsia"/>
          <w:b/>
        </w:rPr>
        <w:t>回收研究</w:t>
      </w:r>
    </w:p>
    <w:p w14:paraId="06E0A073">
      <w:pPr>
        <w:pStyle w:val="8"/>
        <w:spacing w:before="144"/>
        <w:rPr>
          <w:lang w:eastAsia="zh-CN"/>
        </w:rPr>
      </w:pPr>
      <w:r>
        <w:rPr>
          <w:rFonts w:hint="eastAsia"/>
          <w:lang w:eastAsia="zh-CN"/>
        </w:rPr>
        <w:t>我们建议贵公司的回收研究应使用以下方案</w:t>
      </w:r>
    </w:p>
    <w:p w14:paraId="08F3CC88">
      <w:pPr>
        <w:pStyle w:val="8"/>
        <w:numPr>
          <w:ilvl w:val="0"/>
          <w:numId w:val="5"/>
        </w:numPr>
        <w:spacing w:before="144"/>
        <w:ind w:left="920" w:leftChars="200" w:hanging="480" w:hangingChars="200"/>
        <w:rPr>
          <w:lang w:eastAsia="zh-CN"/>
        </w:rPr>
      </w:pPr>
      <w:r>
        <w:rPr>
          <w:rFonts w:hint="eastAsia"/>
          <w:lang w:eastAsia="zh-CN"/>
        </w:rPr>
        <w:t>研究应包括至少两个良好表征的公认MRSA菌株，其应取自ATCC、NARSA、CDC或其他参考实验室等公认培养基保藏中心，确定贵公司的新器械上MRSA菌落的百分比回收率。</w:t>
      </w:r>
    </w:p>
    <w:p w14:paraId="01F239B0">
      <w:pPr>
        <w:pStyle w:val="8"/>
        <w:numPr>
          <w:ilvl w:val="0"/>
          <w:numId w:val="5"/>
        </w:numPr>
        <w:spacing w:before="144"/>
        <w:ind w:left="920" w:leftChars="200" w:hanging="480" w:hangingChars="200"/>
        <w:rPr>
          <w:lang w:eastAsia="zh-CN"/>
        </w:rPr>
      </w:pPr>
      <w:r>
        <w:rPr>
          <w:rFonts w:hint="eastAsia"/>
          <w:lang w:eastAsia="zh-CN"/>
        </w:rPr>
        <w:t>应以6个连续稀释对每个菌株进行测试，其中，对每个菌株重复进行每个稀释两次。</w:t>
      </w:r>
    </w:p>
    <w:p w14:paraId="3B4E235C">
      <w:pPr>
        <w:pStyle w:val="8"/>
        <w:numPr>
          <w:ilvl w:val="0"/>
          <w:numId w:val="5"/>
        </w:numPr>
        <w:spacing w:before="144"/>
        <w:ind w:left="920" w:leftChars="200" w:hanging="480" w:hangingChars="200"/>
        <w:rPr>
          <w:lang w:eastAsia="zh-CN"/>
        </w:rPr>
      </w:pPr>
      <w:r>
        <w:rPr>
          <w:rFonts w:hint="eastAsia"/>
          <w:lang w:eastAsia="zh-CN"/>
        </w:rPr>
        <w:t>研究应由两名操作者在一个站点进行。</w:t>
      </w:r>
    </w:p>
    <w:p w14:paraId="599E13C7">
      <w:pPr>
        <w:pStyle w:val="8"/>
        <w:numPr>
          <w:ilvl w:val="0"/>
          <w:numId w:val="5"/>
        </w:numPr>
        <w:spacing w:before="144"/>
        <w:ind w:left="920" w:leftChars="200" w:hanging="480" w:hangingChars="200"/>
        <w:rPr>
          <w:lang w:eastAsia="zh-CN"/>
        </w:rPr>
      </w:pPr>
      <w:r>
        <w:rPr>
          <w:rFonts w:hint="eastAsia"/>
          <w:lang w:eastAsia="zh-CN"/>
        </w:rPr>
        <w:t>如果贵公司拟定对两种分析物进行声明，例如MRSA和SA，则应对每种分析物进行回收研究。</w:t>
      </w:r>
    </w:p>
    <w:p w14:paraId="67C853FB">
      <w:pPr>
        <w:pStyle w:val="8"/>
        <w:spacing w:before="144"/>
        <w:rPr>
          <w:lang w:eastAsia="zh-CN"/>
        </w:rPr>
      </w:pPr>
      <w:r>
        <w:rPr>
          <w:rFonts w:hint="eastAsia"/>
          <w:lang w:eastAsia="zh-CN"/>
        </w:rPr>
        <w:t>回收研究应包括至少6个连续稀释，以获得约等于10</w:t>
      </w:r>
      <w:r>
        <w:rPr>
          <w:rFonts w:hint="eastAsia"/>
          <w:vertAlign w:val="superscript"/>
          <w:lang w:eastAsia="zh-CN"/>
        </w:rPr>
        <w:t>6</w:t>
      </w:r>
      <w:r>
        <w:rPr>
          <w:rFonts w:hint="eastAsia"/>
          <w:lang w:eastAsia="zh-CN"/>
        </w:rPr>
        <w:t>、10</w:t>
      </w:r>
      <w:r>
        <w:rPr>
          <w:rFonts w:hint="eastAsia"/>
          <w:vertAlign w:val="superscript"/>
          <w:lang w:eastAsia="zh-CN"/>
        </w:rPr>
        <w:t>5</w:t>
      </w:r>
      <w:r>
        <w:rPr>
          <w:rFonts w:hint="eastAsia"/>
          <w:lang w:eastAsia="zh-CN"/>
        </w:rPr>
        <w:t>、10</w:t>
      </w:r>
      <w:r>
        <w:rPr>
          <w:rFonts w:hint="eastAsia"/>
          <w:vertAlign w:val="superscript"/>
          <w:lang w:eastAsia="zh-CN"/>
        </w:rPr>
        <w:t>4</w:t>
      </w:r>
      <w:r>
        <w:rPr>
          <w:rFonts w:hint="eastAsia"/>
          <w:lang w:eastAsia="zh-CN"/>
        </w:rPr>
        <w:t>、10</w:t>
      </w:r>
      <w:r>
        <w:rPr>
          <w:rFonts w:hint="eastAsia"/>
          <w:vertAlign w:val="superscript"/>
          <w:lang w:eastAsia="zh-CN"/>
        </w:rPr>
        <w:t>3</w:t>
      </w:r>
      <w:r>
        <w:rPr>
          <w:rFonts w:hint="eastAsia"/>
          <w:lang w:eastAsia="zh-CN"/>
        </w:rPr>
        <w:t>、10</w:t>
      </w:r>
      <w:r>
        <w:rPr>
          <w:rFonts w:hint="eastAsia"/>
          <w:vertAlign w:val="superscript"/>
          <w:lang w:eastAsia="zh-CN"/>
        </w:rPr>
        <w:t>2</w:t>
      </w:r>
      <w:r>
        <w:rPr>
          <w:rFonts w:hint="eastAsia"/>
          <w:lang w:eastAsia="zh-CN"/>
        </w:rPr>
        <w:t>和10CFU / mL的微生物浓度。将每种稀释液的等分试样涂布在新培养基的至少两个平板上以及用作控制的羊血琼脂平板（BAP）上。通过取每次稀释时从两个平板获得的CFU数量的平均值来计算每个培养基的百分比回收率。</w:t>
      </w:r>
    </w:p>
    <w:p w14:paraId="558F0499">
      <w:pPr>
        <w:pStyle w:val="8"/>
        <w:spacing w:before="144"/>
        <w:rPr>
          <w:lang w:eastAsia="zh-CN"/>
        </w:rPr>
      </w:pPr>
      <w:r>
        <w:rPr>
          <w:rFonts w:hint="eastAsia"/>
          <w:lang w:eastAsia="zh-CN"/>
        </w:rPr>
        <w:t>在行业的某一要求中，我们被问及提供此类信息的方法。</w:t>
      </w:r>
    </w:p>
    <w:p w14:paraId="4FA27949">
      <w:pPr>
        <w:pStyle w:val="8"/>
        <w:spacing w:before="144"/>
        <w:rPr>
          <w:lang w:eastAsia="zh-CN"/>
        </w:rPr>
      </w:pPr>
      <w:r>
        <w:rPr>
          <w:rFonts w:hint="eastAsia"/>
          <w:lang w:eastAsia="zh-CN"/>
        </w:rPr>
        <w:t>表4是贵公司可用于辅助提供此类信息的格式。</w:t>
      </w:r>
    </w:p>
    <w:p w14:paraId="4430AEAC">
      <w:pPr>
        <w:pStyle w:val="8"/>
        <w:spacing w:before="144"/>
        <w:rPr>
          <w:b/>
          <w:lang w:eastAsia="zh-CN"/>
        </w:rPr>
      </w:pPr>
      <w:r>
        <w:rPr>
          <w:rFonts w:hint="eastAsia"/>
          <w:b/>
          <w:lang w:eastAsia="zh-CN"/>
        </w:rPr>
        <w:t>表4.呈现回收研究的表格格式。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987"/>
        <w:gridCol w:w="1127"/>
        <w:gridCol w:w="1127"/>
        <w:gridCol w:w="1127"/>
        <w:gridCol w:w="1127"/>
        <w:gridCol w:w="1128"/>
        <w:gridCol w:w="1128"/>
      </w:tblGrid>
      <w:tr w14:paraId="3B66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right w:val="nil"/>
            </w:tcBorders>
          </w:tcPr>
          <w:p w14:paraId="42F55F05">
            <w:pPr>
              <w:pStyle w:val="8"/>
              <w:spacing w:before="48" w:beforeLines="20" w:after="48" w:afterLines="20" w:line="260" w:lineRule="exact"/>
              <w:rPr>
                <w:sz w:val="21"/>
                <w:szCs w:val="21"/>
                <w:lang w:eastAsia="zh-CN"/>
              </w:rPr>
            </w:pPr>
          </w:p>
        </w:tc>
        <w:tc>
          <w:tcPr>
            <w:tcW w:w="1084" w:type="dxa"/>
            <w:tcBorders>
              <w:top w:val="nil"/>
              <w:left w:val="nil"/>
            </w:tcBorders>
          </w:tcPr>
          <w:p w14:paraId="55D9FF64">
            <w:pPr>
              <w:pStyle w:val="8"/>
              <w:spacing w:before="48" w:beforeLines="20" w:after="48" w:afterLines="20" w:line="260" w:lineRule="exact"/>
              <w:rPr>
                <w:sz w:val="21"/>
                <w:szCs w:val="21"/>
                <w:lang w:eastAsia="zh-CN"/>
              </w:rPr>
            </w:pPr>
          </w:p>
        </w:tc>
        <w:tc>
          <w:tcPr>
            <w:tcW w:w="1146" w:type="dxa"/>
          </w:tcPr>
          <w:p w14:paraId="2E313CAB">
            <w:pPr>
              <w:pStyle w:val="8"/>
              <w:spacing w:before="48" w:beforeLines="20" w:after="48" w:afterLines="20" w:line="260" w:lineRule="exact"/>
              <w:jc w:val="center"/>
              <w:rPr>
                <w:b/>
                <w:sz w:val="21"/>
                <w:szCs w:val="21"/>
              </w:rPr>
            </w:pPr>
            <w:r>
              <w:rPr>
                <w:b/>
                <w:sz w:val="21"/>
                <w:szCs w:val="21"/>
              </w:rPr>
              <w:t>10</w:t>
            </w:r>
            <w:r>
              <w:rPr>
                <w:b/>
                <w:sz w:val="21"/>
                <w:szCs w:val="21"/>
                <w:vertAlign w:val="superscript"/>
              </w:rPr>
              <w:t>6</w:t>
            </w:r>
          </w:p>
          <w:p w14:paraId="3B6095A0">
            <w:pPr>
              <w:pStyle w:val="8"/>
              <w:spacing w:before="48" w:beforeLines="20" w:after="48" w:afterLines="20" w:line="260" w:lineRule="exact"/>
              <w:jc w:val="center"/>
              <w:rPr>
                <w:b/>
                <w:sz w:val="21"/>
                <w:szCs w:val="21"/>
              </w:rPr>
            </w:pPr>
            <w:r>
              <w:rPr>
                <w:b/>
                <w:sz w:val="21"/>
                <w:szCs w:val="21"/>
              </w:rPr>
              <w:t>CFU/mL</w:t>
            </w:r>
          </w:p>
        </w:tc>
        <w:tc>
          <w:tcPr>
            <w:tcW w:w="1146" w:type="dxa"/>
          </w:tcPr>
          <w:p w14:paraId="7671B256">
            <w:pPr>
              <w:pStyle w:val="8"/>
              <w:spacing w:before="48" w:beforeLines="20" w:after="48" w:afterLines="20" w:line="260" w:lineRule="exact"/>
              <w:jc w:val="center"/>
              <w:rPr>
                <w:b/>
                <w:sz w:val="21"/>
                <w:szCs w:val="21"/>
              </w:rPr>
            </w:pPr>
            <w:r>
              <w:rPr>
                <w:b/>
                <w:sz w:val="21"/>
                <w:szCs w:val="21"/>
              </w:rPr>
              <w:t>10</w:t>
            </w:r>
            <w:r>
              <w:rPr>
                <w:b/>
                <w:sz w:val="21"/>
                <w:szCs w:val="21"/>
                <w:vertAlign w:val="superscript"/>
              </w:rPr>
              <w:t>5</w:t>
            </w:r>
          </w:p>
          <w:p w14:paraId="28A62D2E">
            <w:pPr>
              <w:pStyle w:val="8"/>
              <w:spacing w:before="48" w:beforeLines="20" w:after="48" w:afterLines="20" w:line="260" w:lineRule="exact"/>
              <w:jc w:val="center"/>
              <w:rPr>
                <w:b/>
                <w:sz w:val="21"/>
                <w:szCs w:val="21"/>
              </w:rPr>
            </w:pPr>
            <w:r>
              <w:rPr>
                <w:b/>
                <w:sz w:val="21"/>
                <w:szCs w:val="21"/>
              </w:rPr>
              <w:t>CFU/mL</w:t>
            </w:r>
          </w:p>
        </w:tc>
        <w:tc>
          <w:tcPr>
            <w:tcW w:w="1146" w:type="dxa"/>
          </w:tcPr>
          <w:p w14:paraId="1DF80C23">
            <w:pPr>
              <w:pStyle w:val="8"/>
              <w:spacing w:before="48" w:beforeLines="20" w:after="48" w:afterLines="20" w:line="260" w:lineRule="exact"/>
              <w:jc w:val="center"/>
              <w:rPr>
                <w:b/>
                <w:sz w:val="21"/>
                <w:szCs w:val="21"/>
              </w:rPr>
            </w:pPr>
            <w:r>
              <w:rPr>
                <w:b/>
                <w:sz w:val="21"/>
                <w:szCs w:val="21"/>
              </w:rPr>
              <w:t>10</w:t>
            </w:r>
            <w:r>
              <w:rPr>
                <w:b/>
                <w:sz w:val="21"/>
                <w:szCs w:val="21"/>
                <w:vertAlign w:val="superscript"/>
              </w:rPr>
              <w:t>4</w:t>
            </w:r>
          </w:p>
          <w:p w14:paraId="406DAF4C">
            <w:pPr>
              <w:pStyle w:val="8"/>
              <w:spacing w:before="48" w:beforeLines="20" w:after="48" w:afterLines="20" w:line="260" w:lineRule="exact"/>
              <w:jc w:val="center"/>
              <w:rPr>
                <w:b/>
                <w:sz w:val="21"/>
                <w:szCs w:val="21"/>
              </w:rPr>
            </w:pPr>
            <w:r>
              <w:rPr>
                <w:b/>
                <w:sz w:val="21"/>
                <w:szCs w:val="21"/>
              </w:rPr>
              <w:t>CFU/mL</w:t>
            </w:r>
          </w:p>
        </w:tc>
        <w:tc>
          <w:tcPr>
            <w:tcW w:w="1146" w:type="dxa"/>
          </w:tcPr>
          <w:p w14:paraId="59D770E3">
            <w:pPr>
              <w:pStyle w:val="8"/>
              <w:spacing w:before="48" w:beforeLines="20" w:after="48" w:afterLines="20" w:line="260" w:lineRule="exact"/>
              <w:jc w:val="center"/>
              <w:rPr>
                <w:b/>
                <w:sz w:val="21"/>
                <w:szCs w:val="21"/>
              </w:rPr>
            </w:pPr>
            <w:r>
              <w:rPr>
                <w:b/>
                <w:sz w:val="21"/>
                <w:szCs w:val="21"/>
              </w:rPr>
              <w:t>10</w:t>
            </w:r>
            <w:r>
              <w:rPr>
                <w:b/>
                <w:sz w:val="21"/>
                <w:szCs w:val="21"/>
                <w:vertAlign w:val="superscript"/>
              </w:rPr>
              <w:t>3</w:t>
            </w:r>
          </w:p>
          <w:p w14:paraId="2E3FA1DF">
            <w:pPr>
              <w:pStyle w:val="8"/>
              <w:spacing w:before="48" w:beforeLines="20" w:after="48" w:afterLines="20" w:line="260" w:lineRule="exact"/>
              <w:jc w:val="center"/>
              <w:rPr>
                <w:b/>
                <w:sz w:val="21"/>
                <w:szCs w:val="21"/>
              </w:rPr>
            </w:pPr>
            <w:r>
              <w:rPr>
                <w:b/>
                <w:sz w:val="21"/>
                <w:szCs w:val="21"/>
              </w:rPr>
              <w:t>CFU/mL</w:t>
            </w:r>
          </w:p>
        </w:tc>
        <w:tc>
          <w:tcPr>
            <w:tcW w:w="1146" w:type="dxa"/>
          </w:tcPr>
          <w:p w14:paraId="615B1BEC">
            <w:pPr>
              <w:pStyle w:val="8"/>
              <w:spacing w:before="48" w:beforeLines="20" w:after="48" w:afterLines="20" w:line="260" w:lineRule="exact"/>
              <w:jc w:val="center"/>
              <w:rPr>
                <w:b/>
                <w:sz w:val="21"/>
                <w:szCs w:val="21"/>
              </w:rPr>
            </w:pPr>
            <w:r>
              <w:rPr>
                <w:b/>
                <w:sz w:val="21"/>
                <w:szCs w:val="21"/>
              </w:rPr>
              <w:t>10</w:t>
            </w:r>
            <w:r>
              <w:rPr>
                <w:b/>
                <w:sz w:val="21"/>
                <w:szCs w:val="21"/>
                <w:vertAlign w:val="superscript"/>
              </w:rPr>
              <w:t>2</w:t>
            </w:r>
          </w:p>
          <w:p w14:paraId="6C516AEF">
            <w:pPr>
              <w:pStyle w:val="8"/>
              <w:spacing w:before="48" w:beforeLines="20" w:after="48" w:afterLines="20" w:line="260" w:lineRule="exact"/>
              <w:jc w:val="center"/>
              <w:rPr>
                <w:b/>
                <w:sz w:val="21"/>
                <w:szCs w:val="21"/>
              </w:rPr>
            </w:pPr>
            <w:r>
              <w:rPr>
                <w:b/>
                <w:sz w:val="21"/>
                <w:szCs w:val="21"/>
              </w:rPr>
              <w:t>CFU/mL</w:t>
            </w:r>
          </w:p>
        </w:tc>
        <w:tc>
          <w:tcPr>
            <w:tcW w:w="1146" w:type="dxa"/>
          </w:tcPr>
          <w:p w14:paraId="1AE6EB0A">
            <w:pPr>
              <w:pStyle w:val="8"/>
              <w:spacing w:before="48" w:beforeLines="20" w:after="48" w:afterLines="20" w:line="260" w:lineRule="exact"/>
              <w:jc w:val="center"/>
              <w:rPr>
                <w:b/>
                <w:sz w:val="21"/>
                <w:szCs w:val="21"/>
              </w:rPr>
            </w:pPr>
            <w:r>
              <w:rPr>
                <w:b/>
                <w:sz w:val="21"/>
                <w:szCs w:val="21"/>
              </w:rPr>
              <w:t>10</w:t>
            </w:r>
          </w:p>
          <w:p w14:paraId="2E3B1095">
            <w:pPr>
              <w:pStyle w:val="8"/>
              <w:spacing w:before="48" w:beforeLines="20" w:after="48" w:afterLines="20" w:line="260" w:lineRule="exact"/>
              <w:jc w:val="center"/>
              <w:rPr>
                <w:b/>
                <w:sz w:val="21"/>
                <w:szCs w:val="21"/>
              </w:rPr>
            </w:pPr>
            <w:r>
              <w:rPr>
                <w:b/>
                <w:sz w:val="21"/>
                <w:szCs w:val="21"/>
              </w:rPr>
              <w:t>CFU/mL</w:t>
            </w:r>
          </w:p>
        </w:tc>
      </w:tr>
      <w:tr w14:paraId="2955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tcPr>
          <w:p w14:paraId="15907491">
            <w:pPr>
              <w:pStyle w:val="8"/>
              <w:spacing w:before="48" w:beforeLines="20" w:after="48" w:afterLines="20" w:line="260" w:lineRule="exact"/>
              <w:jc w:val="center"/>
              <w:rPr>
                <w:sz w:val="21"/>
                <w:szCs w:val="21"/>
              </w:rPr>
            </w:pPr>
            <w:r>
              <w:rPr>
                <w:sz w:val="21"/>
                <w:szCs w:val="21"/>
              </w:rPr>
              <w:t>MRSA</w:t>
            </w:r>
          </w:p>
          <w:p w14:paraId="0396A66C">
            <w:pPr>
              <w:pStyle w:val="8"/>
              <w:spacing w:before="48" w:beforeLines="20" w:after="48" w:afterLines="20" w:line="260" w:lineRule="exact"/>
              <w:jc w:val="center"/>
              <w:rPr>
                <w:sz w:val="21"/>
                <w:szCs w:val="21"/>
              </w:rPr>
            </w:pPr>
            <w:r>
              <w:rPr>
                <w:sz w:val="21"/>
                <w:szCs w:val="21"/>
              </w:rPr>
              <w:t>ATCC 43300</w:t>
            </w:r>
          </w:p>
        </w:tc>
        <w:tc>
          <w:tcPr>
            <w:tcW w:w="1084" w:type="dxa"/>
          </w:tcPr>
          <w:p w14:paraId="1C4B32FA">
            <w:pPr>
              <w:pStyle w:val="8"/>
              <w:spacing w:before="48" w:beforeLines="20" w:after="48" w:afterLines="20" w:line="260" w:lineRule="exact"/>
              <w:rPr>
                <w:sz w:val="21"/>
                <w:szCs w:val="21"/>
              </w:rPr>
            </w:pPr>
            <w:r>
              <w:rPr>
                <w:rFonts w:hint="eastAsia"/>
                <w:sz w:val="21"/>
                <w:szCs w:val="21"/>
              </w:rPr>
              <w:t>平板</w:t>
            </w:r>
            <w:r>
              <w:rPr>
                <w:sz w:val="21"/>
                <w:szCs w:val="21"/>
              </w:rPr>
              <w:t xml:space="preserve"> 1</w:t>
            </w:r>
          </w:p>
        </w:tc>
        <w:tc>
          <w:tcPr>
            <w:tcW w:w="1146" w:type="dxa"/>
          </w:tcPr>
          <w:p w14:paraId="30EB79CC">
            <w:pPr>
              <w:pStyle w:val="8"/>
              <w:spacing w:before="48" w:beforeLines="20" w:after="48" w:afterLines="20" w:line="260" w:lineRule="exact"/>
              <w:jc w:val="center"/>
              <w:rPr>
                <w:sz w:val="21"/>
                <w:szCs w:val="21"/>
              </w:rPr>
            </w:pPr>
            <w:r>
              <w:rPr>
                <w:sz w:val="21"/>
                <w:szCs w:val="21"/>
              </w:rPr>
              <w:t>&gt; 300</w:t>
            </w:r>
          </w:p>
        </w:tc>
        <w:tc>
          <w:tcPr>
            <w:tcW w:w="1146" w:type="dxa"/>
          </w:tcPr>
          <w:p w14:paraId="27E00628">
            <w:pPr>
              <w:pStyle w:val="8"/>
              <w:spacing w:before="48" w:beforeLines="20" w:after="48" w:afterLines="20" w:line="260" w:lineRule="exact"/>
              <w:jc w:val="center"/>
              <w:rPr>
                <w:sz w:val="21"/>
                <w:szCs w:val="21"/>
              </w:rPr>
            </w:pPr>
            <w:r>
              <w:rPr>
                <w:sz w:val="21"/>
                <w:szCs w:val="21"/>
              </w:rPr>
              <w:t>&gt; 300</w:t>
            </w:r>
          </w:p>
        </w:tc>
        <w:tc>
          <w:tcPr>
            <w:tcW w:w="1146" w:type="dxa"/>
          </w:tcPr>
          <w:p w14:paraId="15A4B11A">
            <w:pPr>
              <w:pStyle w:val="8"/>
              <w:spacing w:before="48" w:beforeLines="20" w:after="48" w:afterLines="20" w:line="260" w:lineRule="exact"/>
              <w:jc w:val="center"/>
              <w:rPr>
                <w:sz w:val="21"/>
                <w:szCs w:val="21"/>
              </w:rPr>
            </w:pPr>
            <w:r>
              <w:rPr>
                <w:sz w:val="21"/>
                <w:szCs w:val="21"/>
              </w:rPr>
              <w:t>121</w:t>
            </w:r>
          </w:p>
        </w:tc>
        <w:tc>
          <w:tcPr>
            <w:tcW w:w="1146" w:type="dxa"/>
          </w:tcPr>
          <w:p w14:paraId="191212A3">
            <w:pPr>
              <w:pStyle w:val="8"/>
              <w:spacing w:before="48" w:beforeLines="20" w:after="48" w:afterLines="20" w:line="260" w:lineRule="exact"/>
              <w:jc w:val="center"/>
              <w:rPr>
                <w:sz w:val="21"/>
                <w:szCs w:val="21"/>
              </w:rPr>
            </w:pPr>
            <w:r>
              <w:rPr>
                <w:sz w:val="21"/>
                <w:szCs w:val="21"/>
              </w:rPr>
              <w:t>11</w:t>
            </w:r>
          </w:p>
        </w:tc>
        <w:tc>
          <w:tcPr>
            <w:tcW w:w="1146" w:type="dxa"/>
          </w:tcPr>
          <w:p w14:paraId="3D883D20">
            <w:pPr>
              <w:pStyle w:val="8"/>
              <w:spacing w:before="48" w:beforeLines="20" w:after="48" w:afterLines="20" w:line="260" w:lineRule="exact"/>
              <w:jc w:val="center"/>
              <w:rPr>
                <w:sz w:val="21"/>
                <w:szCs w:val="21"/>
              </w:rPr>
            </w:pPr>
            <w:r>
              <w:rPr>
                <w:sz w:val="21"/>
                <w:szCs w:val="21"/>
              </w:rPr>
              <w:t>4</w:t>
            </w:r>
          </w:p>
        </w:tc>
        <w:tc>
          <w:tcPr>
            <w:tcW w:w="1146" w:type="dxa"/>
          </w:tcPr>
          <w:p w14:paraId="0148C60F">
            <w:pPr>
              <w:pStyle w:val="8"/>
              <w:spacing w:before="48" w:beforeLines="20" w:after="48" w:afterLines="20" w:line="260" w:lineRule="exact"/>
              <w:jc w:val="center"/>
              <w:rPr>
                <w:sz w:val="21"/>
                <w:szCs w:val="21"/>
              </w:rPr>
            </w:pPr>
            <w:r>
              <w:rPr>
                <w:sz w:val="21"/>
                <w:szCs w:val="21"/>
              </w:rPr>
              <w:t>0</w:t>
            </w:r>
          </w:p>
        </w:tc>
      </w:tr>
      <w:tr w14:paraId="275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tcPr>
          <w:p w14:paraId="51717B0F">
            <w:pPr>
              <w:pStyle w:val="8"/>
              <w:spacing w:before="48" w:beforeLines="20" w:after="48" w:afterLines="20" w:line="260" w:lineRule="exact"/>
              <w:rPr>
                <w:sz w:val="21"/>
                <w:szCs w:val="21"/>
              </w:rPr>
            </w:pPr>
          </w:p>
        </w:tc>
        <w:tc>
          <w:tcPr>
            <w:tcW w:w="1084" w:type="dxa"/>
          </w:tcPr>
          <w:p w14:paraId="0BC64E67">
            <w:pPr>
              <w:pStyle w:val="8"/>
              <w:spacing w:before="48" w:beforeLines="20" w:after="48" w:afterLines="20" w:line="260" w:lineRule="exact"/>
              <w:rPr>
                <w:sz w:val="21"/>
                <w:szCs w:val="21"/>
              </w:rPr>
            </w:pPr>
            <w:r>
              <w:rPr>
                <w:rFonts w:hint="eastAsia"/>
                <w:sz w:val="21"/>
                <w:szCs w:val="21"/>
              </w:rPr>
              <w:t>平板</w:t>
            </w:r>
            <w:r>
              <w:rPr>
                <w:sz w:val="21"/>
                <w:szCs w:val="21"/>
              </w:rPr>
              <w:t>2</w:t>
            </w:r>
          </w:p>
        </w:tc>
        <w:tc>
          <w:tcPr>
            <w:tcW w:w="1146" w:type="dxa"/>
          </w:tcPr>
          <w:p w14:paraId="46C27011">
            <w:pPr>
              <w:pStyle w:val="8"/>
              <w:spacing w:before="48" w:beforeLines="20" w:after="48" w:afterLines="20" w:line="260" w:lineRule="exact"/>
              <w:jc w:val="center"/>
              <w:rPr>
                <w:sz w:val="21"/>
                <w:szCs w:val="21"/>
              </w:rPr>
            </w:pPr>
            <w:r>
              <w:rPr>
                <w:sz w:val="21"/>
                <w:szCs w:val="21"/>
              </w:rPr>
              <w:t>&gt; 300</w:t>
            </w:r>
          </w:p>
        </w:tc>
        <w:tc>
          <w:tcPr>
            <w:tcW w:w="1146" w:type="dxa"/>
          </w:tcPr>
          <w:p w14:paraId="6E75FBC1">
            <w:pPr>
              <w:pStyle w:val="8"/>
              <w:spacing w:before="48" w:beforeLines="20" w:after="48" w:afterLines="20" w:line="260" w:lineRule="exact"/>
              <w:jc w:val="center"/>
              <w:rPr>
                <w:sz w:val="21"/>
                <w:szCs w:val="21"/>
              </w:rPr>
            </w:pPr>
            <w:r>
              <w:rPr>
                <w:sz w:val="21"/>
                <w:szCs w:val="21"/>
              </w:rPr>
              <w:t>&gt; 300</w:t>
            </w:r>
          </w:p>
        </w:tc>
        <w:tc>
          <w:tcPr>
            <w:tcW w:w="1146" w:type="dxa"/>
          </w:tcPr>
          <w:p w14:paraId="2395FF3A">
            <w:pPr>
              <w:pStyle w:val="8"/>
              <w:spacing w:before="48" w:beforeLines="20" w:after="48" w:afterLines="20" w:line="260" w:lineRule="exact"/>
              <w:jc w:val="center"/>
              <w:rPr>
                <w:sz w:val="21"/>
                <w:szCs w:val="21"/>
              </w:rPr>
            </w:pPr>
            <w:r>
              <w:rPr>
                <w:sz w:val="21"/>
                <w:szCs w:val="21"/>
              </w:rPr>
              <w:t>122</w:t>
            </w:r>
          </w:p>
        </w:tc>
        <w:tc>
          <w:tcPr>
            <w:tcW w:w="1146" w:type="dxa"/>
          </w:tcPr>
          <w:p w14:paraId="72C2B1AF">
            <w:pPr>
              <w:pStyle w:val="8"/>
              <w:spacing w:before="48" w:beforeLines="20" w:after="48" w:afterLines="20" w:line="260" w:lineRule="exact"/>
              <w:jc w:val="center"/>
              <w:rPr>
                <w:sz w:val="21"/>
                <w:szCs w:val="21"/>
              </w:rPr>
            </w:pPr>
            <w:r>
              <w:rPr>
                <w:sz w:val="21"/>
                <w:szCs w:val="21"/>
              </w:rPr>
              <w:t>12</w:t>
            </w:r>
          </w:p>
        </w:tc>
        <w:tc>
          <w:tcPr>
            <w:tcW w:w="1146" w:type="dxa"/>
          </w:tcPr>
          <w:p w14:paraId="75E29818">
            <w:pPr>
              <w:pStyle w:val="8"/>
              <w:spacing w:before="48" w:beforeLines="20" w:after="48" w:afterLines="20" w:line="260" w:lineRule="exact"/>
              <w:jc w:val="center"/>
              <w:rPr>
                <w:sz w:val="21"/>
                <w:szCs w:val="21"/>
              </w:rPr>
            </w:pPr>
            <w:r>
              <w:rPr>
                <w:sz w:val="21"/>
                <w:szCs w:val="21"/>
              </w:rPr>
              <w:t>1</w:t>
            </w:r>
          </w:p>
        </w:tc>
        <w:tc>
          <w:tcPr>
            <w:tcW w:w="1146" w:type="dxa"/>
          </w:tcPr>
          <w:p w14:paraId="1E67BD93">
            <w:pPr>
              <w:pStyle w:val="8"/>
              <w:spacing w:before="48" w:beforeLines="20" w:after="48" w:afterLines="20" w:line="260" w:lineRule="exact"/>
              <w:jc w:val="center"/>
              <w:rPr>
                <w:sz w:val="21"/>
                <w:szCs w:val="21"/>
              </w:rPr>
            </w:pPr>
            <w:r>
              <w:rPr>
                <w:sz w:val="21"/>
                <w:szCs w:val="21"/>
              </w:rPr>
              <w:t>0</w:t>
            </w:r>
          </w:p>
        </w:tc>
      </w:tr>
      <w:tr w14:paraId="4371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E348D4A">
            <w:pPr>
              <w:pStyle w:val="8"/>
              <w:spacing w:before="48" w:beforeLines="20" w:after="48" w:afterLines="20" w:line="260" w:lineRule="exact"/>
              <w:rPr>
                <w:sz w:val="21"/>
                <w:szCs w:val="21"/>
              </w:rPr>
            </w:pPr>
          </w:p>
        </w:tc>
        <w:tc>
          <w:tcPr>
            <w:tcW w:w="1084" w:type="dxa"/>
          </w:tcPr>
          <w:p w14:paraId="4A5E3D60">
            <w:pPr>
              <w:pStyle w:val="8"/>
              <w:spacing w:before="48" w:beforeLines="20" w:after="48" w:afterLines="20" w:line="260" w:lineRule="exact"/>
              <w:rPr>
                <w:b/>
                <w:sz w:val="21"/>
                <w:szCs w:val="21"/>
              </w:rPr>
            </w:pPr>
            <w:r>
              <w:rPr>
                <w:rFonts w:hint="eastAsia"/>
                <w:b/>
                <w:sz w:val="21"/>
                <w:szCs w:val="21"/>
              </w:rPr>
              <w:t>平均值</w:t>
            </w:r>
          </w:p>
        </w:tc>
        <w:tc>
          <w:tcPr>
            <w:tcW w:w="1146" w:type="dxa"/>
          </w:tcPr>
          <w:p w14:paraId="630FA564">
            <w:pPr>
              <w:pStyle w:val="8"/>
              <w:spacing w:before="48" w:beforeLines="20" w:after="48" w:afterLines="20" w:line="260" w:lineRule="exact"/>
              <w:jc w:val="center"/>
              <w:rPr>
                <w:sz w:val="21"/>
                <w:szCs w:val="21"/>
              </w:rPr>
            </w:pPr>
            <w:r>
              <w:rPr>
                <w:sz w:val="21"/>
                <w:szCs w:val="21"/>
              </w:rPr>
              <w:t>&gt; 300</w:t>
            </w:r>
          </w:p>
        </w:tc>
        <w:tc>
          <w:tcPr>
            <w:tcW w:w="1146" w:type="dxa"/>
          </w:tcPr>
          <w:p w14:paraId="7B9642DA">
            <w:pPr>
              <w:pStyle w:val="8"/>
              <w:spacing w:before="48" w:beforeLines="20" w:after="48" w:afterLines="20" w:line="260" w:lineRule="exact"/>
              <w:jc w:val="center"/>
              <w:rPr>
                <w:b/>
                <w:sz w:val="21"/>
                <w:szCs w:val="21"/>
              </w:rPr>
            </w:pPr>
            <w:r>
              <w:rPr>
                <w:b/>
                <w:sz w:val="21"/>
                <w:szCs w:val="21"/>
              </w:rPr>
              <w:t>&gt; 300</w:t>
            </w:r>
          </w:p>
        </w:tc>
        <w:tc>
          <w:tcPr>
            <w:tcW w:w="1146" w:type="dxa"/>
          </w:tcPr>
          <w:p w14:paraId="30DAF0B5">
            <w:pPr>
              <w:pStyle w:val="8"/>
              <w:spacing w:before="48" w:beforeLines="20" w:after="48" w:afterLines="20" w:line="260" w:lineRule="exact"/>
              <w:jc w:val="center"/>
              <w:rPr>
                <w:b/>
                <w:sz w:val="21"/>
                <w:szCs w:val="21"/>
              </w:rPr>
            </w:pPr>
            <w:r>
              <w:rPr>
                <w:b/>
                <w:sz w:val="21"/>
                <w:szCs w:val="21"/>
              </w:rPr>
              <w:t>121</w:t>
            </w:r>
          </w:p>
        </w:tc>
        <w:tc>
          <w:tcPr>
            <w:tcW w:w="1146" w:type="dxa"/>
          </w:tcPr>
          <w:p w14:paraId="0B1FD01C">
            <w:pPr>
              <w:pStyle w:val="8"/>
              <w:spacing w:before="48" w:beforeLines="20" w:after="48" w:afterLines="20" w:line="260" w:lineRule="exact"/>
              <w:jc w:val="center"/>
              <w:rPr>
                <w:b/>
                <w:sz w:val="21"/>
                <w:szCs w:val="21"/>
              </w:rPr>
            </w:pPr>
            <w:r>
              <w:rPr>
                <w:b/>
                <w:sz w:val="21"/>
                <w:szCs w:val="21"/>
              </w:rPr>
              <w:t>11</w:t>
            </w:r>
          </w:p>
        </w:tc>
        <w:tc>
          <w:tcPr>
            <w:tcW w:w="1146" w:type="dxa"/>
          </w:tcPr>
          <w:p w14:paraId="7D42B1B4">
            <w:pPr>
              <w:pStyle w:val="8"/>
              <w:spacing w:before="48" w:beforeLines="20" w:after="48" w:afterLines="20" w:line="260" w:lineRule="exact"/>
              <w:jc w:val="center"/>
              <w:rPr>
                <w:b/>
                <w:sz w:val="21"/>
                <w:szCs w:val="21"/>
              </w:rPr>
            </w:pPr>
            <w:r>
              <w:rPr>
                <w:b/>
                <w:sz w:val="21"/>
                <w:szCs w:val="21"/>
              </w:rPr>
              <w:t>2</w:t>
            </w:r>
          </w:p>
        </w:tc>
        <w:tc>
          <w:tcPr>
            <w:tcW w:w="1146" w:type="dxa"/>
          </w:tcPr>
          <w:p w14:paraId="194B374A">
            <w:pPr>
              <w:pStyle w:val="8"/>
              <w:spacing w:before="48" w:beforeLines="20" w:after="48" w:afterLines="20" w:line="260" w:lineRule="exact"/>
              <w:jc w:val="center"/>
              <w:rPr>
                <w:b/>
                <w:sz w:val="21"/>
                <w:szCs w:val="21"/>
              </w:rPr>
            </w:pPr>
            <w:r>
              <w:rPr>
                <w:b/>
                <w:sz w:val="21"/>
                <w:szCs w:val="21"/>
              </w:rPr>
              <w:t>0</w:t>
            </w:r>
          </w:p>
        </w:tc>
      </w:tr>
      <w:tr w14:paraId="6654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15823AE">
            <w:pPr>
              <w:pStyle w:val="8"/>
              <w:spacing w:before="48" w:beforeLines="20" w:after="48" w:afterLines="20" w:line="260" w:lineRule="exact"/>
              <w:jc w:val="center"/>
              <w:rPr>
                <w:sz w:val="21"/>
                <w:szCs w:val="21"/>
                <w:lang w:eastAsia="zh-CN"/>
              </w:rPr>
            </w:pPr>
            <w:r>
              <w:rPr>
                <w:rFonts w:hint="eastAsia"/>
                <w:sz w:val="21"/>
                <w:szCs w:val="21"/>
                <w:lang w:eastAsia="zh-CN"/>
              </w:rPr>
              <w:t>控制（非选择性培养基）</w:t>
            </w:r>
          </w:p>
        </w:tc>
        <w:tc>
          <w:tcPr>
            <w:tcW w:w="1084" w:type="dxa"/>
          </w:tcPr>
          <w:p w14:paraId="7F2E9542">
            <w:pPr>
              <w:pStyle w:val="8"/>
              <w:spacing w:before="48" w:beforeLines="20" w:after="48" w:afterLines="20" w:line="260" w:lineRule="exact"/>
              <w:rPr>
                <w:sz w:val="21"/>
                <w:szCs w:val="21"/>
                <w:lang w:eastAsia="zh-CN"/>
              </w:rPr>
            </w:pPr>
          </w:p>
        </w:tc>
        <w:tc>
          <w:tcPr>
            <w:tcW w:w="1146" w:type="dxa"/>
          </w:tcPr>
          <w:p w14:paraId="63676298">
            <w:pPr>
              <w:pStyle w:val="8"/>
              <w:spacing w:before="48" w:beforeLines="20" w:after="48" w:afterLines="20" w:line="260" w:lineRule="exact"/>
              <w:rPr>
                <w:sz w:val="21"/>
                <w:szCs w:val="21"/>
                <w:lang w:eastAsia="zh-CN"/>
              </w:rPr>
            </w:pPr>
          </w:p>
        </w:tc>
        <w:tc>
          <w:tcPr>
            <w:tcW w:w="1146" w:type="dxa"/>
          </w:tcPr>
          <w:p w14:paraId="78F8ABA8">
            <w:pPr>
              <w:pStyle w:val="8"/>
              <w:spacing w:before="48" w:beforeLines="20" w:after="48" w:afterLines="20" w:line="260" w:lineRule="exact"/>
              <w:rPr>
                <w:sz w:val="21"/>
                <w:szCs w:val="21"/>
                <w:lang w:eastAsia="zh-CN"/>
              </w:rPr>
            </w:pPr>
          </w:p>
        </w:tc>
        <w:tc>
          <w:tcPr>
            <w:tcW w:w="1146" w:type="dxa"/>
          </w:tcPr>
          <w:p w14:paraId="12049AAF">
            <w:pPr>
              <w:pStyle w:val="8"/>
              <w:spacing w:before="48" w:beforeLines="20" w:after="48" w:afterLines="20" w:line="260" w:lineRule="exact"/>
              <w:rPr>
                <w:sz w:val="21"/>
                <w:szCs w:val="21"/>
                <w:lang w:eastAsia="zh-CN"/>
              </w:rPr>
            </w:pPr>
          </w:p>
        </w:tc>
        <w:tc>
          <w:tcPr>
            <w:tcW w:w="1146" w:type="dxa"/>
          </w:tcPr>
          <w:p w14:paraId="419D8B8B">
            <w:pPr>
              <w:pStyle w:val="8"/>
              <w:spacing w:before="48" w:beforeLines="20" w:after="48" w:afterLines="20" w:line="260" w:lineRule="exact"/>
              <w:rPr>
                <w:sz w:val="21"/>
                <w:szCs w:val="21"/>
                <w:lang w:eastAsia="zh-CN"/>
              </w:rPr>
            </w:pPr>
          </w:p>
        </w:tc>
        <w:tc>
          <w:tcPr>
            <w:tcW w:w="1146" w:type="dxa"/>
          </w:tcPr>
          <w:p w14:paraId="3A9950FF">
            <w:pPr>
              <w:pStyle w:val="8"/>
              <w:spacing w:before="48" w:beforeLines="20" w:after="48" w:afterLines="20" w:line="260" w:lineRule="exact"/>
              <w:rPr>
                <w:sz w:val="21"/>
                <w:szCs w:val="21"/>
                <w:lang w:eastAsia="zh-CN"/>
              </w:rPr>
            </w:pPr>
          </w:p>
        </w:tc>
        <w:tc>
          <w:tcPr>
            <w:tcW w:w="1146" w:type="dxa"/>
          </w:tcPr>
          <w:p w14:paraId="55D40462">
            <w:pPr>
              <w:pStyle w:val="8"/>
              <w:spacing w:before="48" w:beforeLines="20" w:after="48" w:afterLines="20" w:line="260" w:lineRule="exact"/>
              <w:rPr>
                <w:sz w:val="21"/>
                <w:szCs w:val="21"/>
                <w:lang w:eastAsia="zh-CN"/>
              </w:rPr>
            </w:pPr>
          </w:p>
        </w:tc>
      </w:tr>
    </w:tbl>
    <w:p w14:paraId="531DC907">
      <w:pPr>
        <w:pStyle w:val="8"/>
        <w:spacing w:before="144"/>
        <w:rPr>
          <w:lang w:eastAsia="zh-CN"/>
        </w:rPr>
      </w:pPr>
    </w:p>
    <w:p w14:paraId="5FF16896">
      <w:pPr>
        <w:pStyle w:val="8"/>
        <w:numPr>
          <w:ilvl w:val="0"/>
          <w:numId w:val="3"/>
        </w:numPr>
        <w:tabs>
          <w:tab w:val="left" w:pos="440"/>
        </w:tabs>
        <w:spacing w:before="144"/>
        <w:ind w:left="0" w:firstLine="0"/>
        <w:rPr>
          <w:b/>
          <w:lang w:eastAsia="zh-CN"/>
        </w:rPr>
      </w:pPr>
      <w:r>
        <w:rPr>
          <w:rFonts w:hint="eastAsia"/>
          <w:b/>
          <w:lang w:eastAsia="zh-CN"/>
        </w:rPr>
        <w:t>分析特异性</w:t>
      </w:r>
    </w:p>
    <w:p w14:paraId="07F4B929">
      <w:pPr>
        <w:pStyle w:val="8"/>
        <w:spacing w:before="144"/>
      </w:pPr>
      <w:r>
        <w:rPr>
          <w:rFonts w:hint="eastAsia"/>
        </w:rPr>
        <w:t>交叉反应性</w:t>
      </w:r>
    </w:p>
    <w:p w14:paraId="466E714B">
      <w:pPr>
        <w:pStyle w:val="8"/>
        <w:spacing w:before="144"/>
        <w:rPr>
          <w:lang w:eastAsia="zh-CN"/>
        </w:rPr>
      </w:pPr>
      <w:r>
        <w:rPr>
          <w:rFonts w:hint="eastAsia"/>
          <w:lang w:eastAsia="zh-CN"/>
        </w:rPr>
        <w:t>贵公司应针对在系统发生与SA有关或可能出现在根据预期用途或医院环境声明的样本类型中的菌株对贵公司器械进行的性能评价。划分分离物来观察分离菌落的菌落形态和颜色强度。此外，所测试的细菌浓度应当为10</w:t>
      </w:r>
      <w:r>
        <w:rPr>
          <w:vertAlign w:val="superscript"/>
          <w:lang w:eastAsia="zh-CN"/>
        </w:rPr>
        <w:t>6</w:t>
      </w:r>
      <w:r>
        <w:rPr>
          <w:rFonts w:hint="eastAsia"/>
          <w:lang w:eastAsia="zh-CN"/>
        </w:rPr>
        <w:t xml:space="preserve"> CFU / mL或以上的水平。我们建议贵公司确认非选择性琼脂培养基平板上的微生物特性和浓度。</w:t>
      </w:r>
    </w:p>
    <w:p w14:paraId="41409754">
      <w:pPr>
        <w:pStyle w:val="8"/>
        <w:spacing w:before="144"/>
        <w:rPr>
          <w:lang w:eastAsia="zh-CN"/>
        </w:rPr>
      </w:pPr>
      <w:r>
        <w:rPr>
          <w:lang w:eastAsia="zh-CN"/>
        </w:rPr>
        <w:br w:type="page"/>
      </w:r>
    </w:p>
    <w:p w14:paraId="68F504EE">
      <w:pPr>
        <w:pStyle w:val="8"/>
        <w:spacing w:before="144"/>
        <w:rPr>
          <w:lang w:eastAsia="zh-CN"/>
        </w:rPr>
      </w:pPr>
      <w:r>
        <w:rPr>
          <w:rFonts w:hint="eastAsia"/>
          <w:lang w:eastAsia="zh-CN"/>
        </w:rPr>
        <w:t>我们理解，可能存在难以获得以用于试验的微生物。在这种情况下，贵公司可能在贵公司的包装说明书中提供局限性声明，即这些微生物无法用于试验。</w:t>
      </w:r>
    </w:p>
    <w:p w14:paraId="6A3304CC">
      <w:pPr>
        <w:pStyle w:val="8"/>
        <w:spacing w:before="144"/>
        <w:rPr>
          <w:b/>
          <w:i/>
          <w:lang w:eastAsia="zh-CN"/>
        </w:rPr>
      </w:pPr>
      <w:r>
        <w:rPr>
          <w:rFonts w:hint="eastAsia"/>
          <w:b/>
          <w:i/>
          <w:lang w:eastAsia="zh-CN"/>
        </w:rPr>
        <w:t>干扰</w:t>
      </w:r>
    </w:p>
    <w:p w14:paraId="382CACC3">
      <w:pPr>
        <w:pStyle w:val="8"/>
        <w:spacing w:before="144"/>
        <w:rPr>
          <w:lang w:eastAsia="zh-CN"/>
        </w:rPr>
      </w:pPr>
      <w:r>
        <w:rPr>
          <w:rFonts w:hint="eastAsia"/>
          <w:lang w:eastAsia="zh-CN"/>
        </w:rPr>
        <w:t>贵公司应该对潜在干扰物质进行测试，即可能存在于贵公司的样本类型中的外源性和内源性。我们建议贵公司提供一个BAP作为控制。此外，贵公司还应该考虑将增长减少视为干扰的另一个指标。</w:t>
      </w:r>
    </w:p>
    <w:p w14:paraId="59177F99">
      <w:pPr>
        <w:pStyle w:val="8"/>
        <w:spacing w:before="144"/>
        <w:rPr>
          <w:lang w:eastAsia="zh-CN"/>
        </w:rPr>
      </w:pPr>
      <w:r>
        <w:rPr>
          <w:rFonts w:hint="eastAsia"/>
          <w:lang w:eastAsia="zh-CN"/>
        </w:rPr>
        <w:t>样本类型（如前鼻孔，血液和皮肤以及软组织感染）中的常见干扰物质的示例见表5-7。这些并不是排他性列表。</w:t>
      </w:r>
    </w:p>
    <w:p w14:paraId="16AD2FE1">
      <w:pPr>
        <w:pStyle w:val="8"/>
        <w:spacing w:before="144"/>
        <w:rPr>
          <w:lang w:eastAsia="zh-CN"/>
        </w:rPr>
      </w:pPr>
      <w:r>
        <w:rPr>
          <w:rFonts w:hint="eastAsia"/>
          <w:lang w:eastAsia="zh-CN"/>
        </w:rPr>
        <w:t>此外，我们建议贵公司测试各种血培养瓶类型、拭子和运送培养基，确定其是否可支持贵公司的靶标生物的生长。或者，贵公司可以在包装说明书中为未经测试的血培养瓶类型、拭子和运送培养基提供局限性声明。</w:t>
      </w:r>
    </w:p>
    <w:p w14:paraId="19FE283C">
      <w:pPr>
        <w:pStyle w:val="8"/>
        <w:spacing w:before="144"/>
        <w:jc w:val="center"/>
        <w:rPr>
          <w:b/>
          <w:lang w:eastAsia="zh-CN"/>
        </w:rPr>
      </w:pPr>
      <w:r>
        <w:rPr>
          <w:rFonts w:hint="eastAsia"/>
          <w:b/>
          <w:lang w:eastAsia="zh-CN"/>
        </w:rPr>
        <w:t>表5.推荐用于鼻拭子样本干扰研究的物质示例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3338"/>
      </w:tblGrid>
      <w:tr w14:paraId="3581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shd w:val="clear" w:color="auto" w:fill="D8D8D8" w:themeFill="background1" w:themeFillShade="D9"/>
          </w:tcPr>
          <w:p w14:paraId="3B2640A3">
            <w:pPr>
              <w:pStyle w:val="8"/>
              <w:spacing w:before="72" w:beforeLines="30" w:after="72" w:afterLines="30" w:line="280" w:lineRule="exact"/>
              <w:rPr>
                <w:b/>
                <w:sz w:val="21"/>
                <w:szCs w:val="21"/>
                <w:lang w:eastAsia="zh-CN"/>
              </w:rPr>
            </w:pPr>
            <w:r>
              <w:rPr>
                <w:rFonts w:hint="eastAsia"/>
                <w:b/>
                <w:sz w:val="21"/>
                <w:szCs w:val="21"/>
                <w:lang w:eastAsia="zh-CN"/>
              </w:rPr>
              <w:t>物质</w:t>
            </w:r>
          </w:p>
        </w:tc>
        <w:tc>
          <w:tcPr>
            <w:tcW w:w="3338" w:type="dxa"/>
            <w:shd w:val="clear" w:color="auto" w:fill="D8D8D8" w:themeFill="background1" w:themeFillShade="D9"/>
          </w:tcPr>
          <w:p w14:paraId="151B4CBD">
            <w:pPr>
              <w:pStyle w:val="8"/>
              <w:spacing w:before="72" w:beforeLines="30" w:after="72" w:afterLines="30" w:line="280" w:lineRule="exact"/>
              <w:rPr>
                <w:b/>
                <w:sz w:val="21"/>
                <w:szCs w:val="21"/>
                <w:lang w:eastAsia="zh-CN"/>
              </w:rPr>
            </w:pPr>
            <w:r>
              <w:rPr>
                <w:rFonts w:hint="eastAsia"/>
                <w:b/>
                <w:sz w:val="21"/>
                <w:szCs w:val="21"/>
                <w:lang w:eastAsia="zh-CN"/>
              </w:rPr>
              <w:t>有效成分</w:t>
            </w:r>
          </w:p>
        </w:tc>
      </w:tr>
      <w:tr w14:paraId="721A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5AC5914D">
            <w:pPr>
              <w:pStyle w:val="8"/>
              <w:spacing w:before="72" w:beforeLines="30" w:after="72" w:afterLines="30" w:line="280" w:lineRule="exact"/>
              <w:rPr>
                <w:sz w:val="21"/>
                <w:szCs w:val="21"/>
                <w:lang w:eastAsia="zh-CN"/>
              </w:rPr>
            </w:pPr>
            <w:r>
              <w:rPr>
                <w:rFonts w:hint="eastAsia"/>
                <w:sz w:val="21"/>
                <w:szCs w:val="21"/>
                <w:lang w:eastAsia="zh-CN"/>
              </w:rPr>
              <w:t>血液（人）</w:t>
            </w:r>
          </w:p>
        </w:tc>
        <w:tc>
          <w:tcPr>
            <w:tcW w:w="3338" w:type="dxa"/>
          </w:tcPr>
          <w:p w14:paraId="6ECFB5F4">
            <w:pPr>
              <w:pStyle w:val="8"/>
              <w:spacing w:before="72" w:beforeLines="30" w:after="72" w:afterLines="30" w:line="280" w:lineRule="exact"/>
              <w:rPr>
                <w:sz w:val="21"/>
                <w:szCs w:val="21"/>
                <w:lang w:eastAsia="zh-CN"/>
              </w:rPr>
            </w:pPr>
          </w:p>
        </w:tc>
      </w:tr>
      <w:tr w14:paraId="1F91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2E80525E">
            <w:pPr>
              <w:pStyle w:val="8"/>
              <w:spacing w:before="72" w:beforeLines="30" w:after="72" w:afterLines="30" w:line="280" w:lineRule="exact"/>
              <w:rPr>
                <w:sz w:val="21"/>
                <w:szCs w:val="21"/>
                <w:lang w:eastAsia="zh-CN"/>
              </w:rPr>
            </w:pPr>
            <w:r>
              <w:rPr>
                <w:rFonts w:hint="eastAsia"/>
                <w:sz w:val="21"/>
                <w:szCs w:val="21"/>
                <w:lang w:eastAsia="zh-CN"/>
              </w:rPr>
              <w:t>鼻喷雾剂或滴剂</w:t>
            </w:r>
          </w:p>
        </w:tc>
        <w:tc>
          <w:tcPr>
            <w:tcW w:w="3338" w:type="dxa"/>
          </w:tcPr>
          <w:p w14:paraId="1BB175A8">
            <w:pPr>
              <w:pStyle w:val="8"/>
              <w:spacing w:before="72" w:beforeLines="30" w:after="72" w:afterLines="30" w:line="280" w:lineRule="exact"/>
              <w:rPr>
                <w:sz w:val="21"/>
                <w:szCs w:val="21"/>
                <w:lang w:eastAsia="zh-CN"/>
              </w:rPr>
            </w:pPr>
            <w:r>
              <w:rPr>
                <w:rFonts w:hint="eastAsia"/>
                <w:sz w:val="21"/>
                <w:szCs w:val="21"/>
                <w:lang w:eastAsia="zh-CN"/>
              </w:rPr>
              <w:t>去氧肾上腺素、羟甲唑啉、氯化钠与防腐剂、苯扎氯铵、磷酸钠、苯甲醇、丙二醇、山梨醇、苄醇、乙二胺四乙酸二钠、羟丙甲纤维素、磷酸</w:t>
            </w:r>
          </w:p>
        </w:tc>
      </w:tr>
      <w:tr w14:paraId="0DED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64AC1B69">
            <w:pPr>
              <w:pStyle w:val="8"/>
              <w:spacing w:before="72" w:beforeLines="30" w:after="72" w:afterLines="30" w:line="280" w:lineRule="exact"/>
              <w:rPr>
                <w:sz w:val="21"/>
                <w:szCs w:val="21"/>
                <w:lang w:eastAsia="zh-CN"/>
              </w:rPr>
            </w:pPr>
            <w:r>
              <w:rPr>
                <w:rFonts w:hint="eastAsia"/>
                <w:sz w:val="21"/>
                <w:szCs w:val="21"/>
                <w:lang w:eastAsia="zh-CN"/>
              </w:rPr>
              <w:t>鼻皮质类固醇</w:t>
            </w:r>
          </w:p>
        </w:tc>
        <w:tc>
          <w:tcPr>
            <w:tcW w:w="3338" w:type="dxa"/>
          </w:tcPr>
          <w:p w14:paraId="6E50E1D7">
            <w:pPr>
              <w:pStyle w:val="8"/>
              <w:spacing w:before="72" w:beforeLines="30" w:after="72" w:afterLines="30" w:line="280" w:lineRule="exact"/>
              <w:rPr>
                <w:sz w:val="21"/>
                <w:szCs w:val="21"/>
                <w:lang w:eastAsia="zh-CN"/>
              </w:rPr>
            </w:pPr>
            <w:r>
              <w:rPr>
                <w:rFonts w:hint="eastAsia"/>
                <w:sz w:val="21"/>
                <w:szCs w:val="21"/>
                <w:lang w:eastAsia="zh-CN"/>
              </w:rPr>
              <w:t>倍氯米松、地塞米松、氟尼缩松、曲安奈德、布地奈德、莫米松、氟替卡松</w:t>
            </w:r>
          </w:p>
        </w:tc>
      </w:tr>
      <w:tr w14:paraId="73EF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026BA975">
            <w:pPr>
              <w:pStyle w:val="8"/>
              <w:spacing w:before="72" w:beforeLines="30" w:after="72" w:afterLines="30" w:line="280" w:lineRule="exact"/>
              <w:rPr>
                <w:sz w:val="21"/>
                <w:szCs w:val="21"/>
                <w:lang w:eastAsia="zh-CN"/>
              </w:rPr>
            </w:pPr>
            <w:r>
              <w:rPr>
                <w:rFonts w:hint="eastAsia"/>
                <w:sz w:val="21"/>
                <w:szCs w:val="21"/>
                <w:lang w:eastAsia="zh-CN"/>
              </w:rPr>
              <w:t>鼻凝胶</w:t>
            </w:r>
          </w:p>
        </w:tc>
        <w:tc>
          <w:tcPr>
            <w:tcW w:w="3338" w:type="dxa"/>
          </w:tcPr>
          <w:p w14:paraId="2B073CFF">
            <w:pPr>
              <w:pStyle w:val="8"/>
              <w:spacing w:before="72" w:beforeLines="30" w:after="72" w:afterLines="30" w:line="280" w:lineRule="exact"/>
              <w:rPr>
                <w:sz w:val="21"/>
                <w:szCs w:val="21"/>
                <w:lang w:eastAsia="zh-CN"/>
              </w:rPr>
            </w:pPr>
            <w:r>
              <w:rPr>
                <w:sz w:val="21"/>
                <w:szCs w:val="21"/>
                <w:lang w:eastAsia="zh-CN"/>
              </w:rPr>
              <w:t>具盖丝瓜</w:t>
            </w:r>
            <w:r>
              <w:rPr>
                <w:rFonts w:hint="eastAsia"/>
                <w:sz w:val="21"/>
                <w:szCs w:val="21"/>
                <w:lang w:eastAsia="zh-CN"/>
              </w:rPr>
              <w:t>、硫磺</w:t>
            </w:r>
          </w:p>
        </w:tc>
      </w:tr>
      <w:tr w14:paraId="23B8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04602836">
            <w:pPr>
              <w:pStyle w:val="8"/>
              <w:spacing w:before="72" w:beforeLines="30" w:after="72" w:afterLines="30" w:line="280" w:lineRule="exact"/>
              <w:rPr>
                <w:sz w:val="21"/>
                <w:szCs w:val="21"/>
                <w:lang w:eastAsia="zh-CN"/>
              </w:rPr>
            </w:pPr>
            <w:r>
              <w:rPr>
                <w:rFonts w:hint="eastAsia"/>
                <w:sz w:val="21"/>
                <w:szCs w:val="21"/>
                <w:lang w:eastAsia="zh-CN"/>
              </w:rPr>
              <w:t>顺势疗法过敏救济药</w:t>
            </w:r>
          </w:p>
        </w:tc>
        <w:tc>
          <w:tcPr>
            <w:tcW w:w="3338" w:type="dxa"/>
          </w:tcPr>
          <w:p w14:paraId="34332583">
            <w:pPr>
              <w:pStyle w:val="8"/>
              <w:spacing w:before="72" w:beforeLines="30" w:after="72" w:afterLines="30" w:line="280" w:lineRule="exact"/>
              <w:rPr>
                <w:sz w:val="21"/>
                <w:szCs w:val="21"/>
                <w:lang w:eastAsia="zh-CN"/>
              </w:rPr>
            </w:pPr>
            <w:r>
              <w:rPr>
                <w:sz w:val="21"/>
                <w:szCs w:val="21"/>
                <w:lang w:eastAsia="zh-CN"/>
              </w:rPr>
              <w:t>粉花金虎科， 盐酸组胺</w:t>
            </w:r>
          </w:p>
        </w:tc>
      </w:tr>
      <w:tr w14:paraId="595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35E89382">
            <w:pPr>
              <w:pStyle w:val="8"/>
              <w:spacing w:before="72" w:beforeLines="30" w:after="72" w:afterLines="30" w:line="280" w:lineRule="exact"/>
              <w:rPr>
                <w:sz w:val="21"/>
                <w:szCs w:val="21"/>
                <w:lang w:eastAsia="zh-CN"/>
              </w:rPr>
            </w:pPr>
            <w:r>
              <w:rPr>
                <w:sz w:val="21"/>
                <w:szCs w:val="21"/>
                <w:lang w:eastAsia="zh-CN"/>
              </w:rPr>
              <w:t>FluMist©</w:t>
            </w:r>
          </w:p>
        </w:tc>
        <w:tc>
          <w:tcPr>
            <w:tcW w:w="3338" w:type="dxa"/>
          </w:tcPr>
          <w:p w14:paraId="1F0F3028">
            <w:pPr>
              <w:pStyle w:val="8"/>
              <w:spacing w:before="72" w:beforeLines="30" w:after="72" w:afterLines="30" w:line="280" w:lineRule="exact"/>
              <w:rPr>
                <w:sz w:val="21"/>
                <w:szCs w:val="21"/>
                <w:lang w:eastAsia="zh-CN"/>
              </w:rPr>
            </w:pPr>
            <w:r>
              <w:rPr>
                <w:rFonts w:hint="eastAsia"/>
                <w:sz w:val="21"/>
                <w:szCs w:val="21"/>
                <w:lang w:eastAsia="zh-CN"/>
              </w:rPr>
              <w:t>活鼻内流感病毒疫苗</w:t>
            </w:r>
          </w:p>
        </w:tc>
      </w:tr>
      <w:tr w14:paraId="21EB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1C3FDD60">
            <w:pPr>
              <w:pStyle w:val="8"/>
              <w:spacing w:before="72" w:beforeLines="30" w:after="72" w:afterLines="30" w:line="280" w:lineRule="exact"/>
              <w:rPr>
                <w:sz w:val="21"/>
                <w:szCs w:val="21"/>
                <w:lang w:eastAsia="zh-CN"/>
              </w:rPr>
            </w:pPr>
            <w:r>
              <w:rPr>
                <w:rFonts w:hint="eastAsia"/>
                <w:sz w:val="21"/>
                <w:szCs w:val="21"/>
                <w:lang w:eastAsia="zh-CN"/>
              </w:rPr>
              <w:t>咽喉锭剂、口服麻醉剂和镇痛药</w:t>
            </w:r>
          </w:p>
        </w:tc>
        <w:tc>
          <w:tcPr>
            <w:tcW w:w="3338" w:type="dxa"/>
          </w:tcPr>
          <w:p w14:paraId="3CE68E5C">
            <w:pPr>
              <w:pStyle w:val="8"/>
              <w:spacing w:before="72" w:beforeLines="30" w:after="72" w:afterLines="30" w:line="280" w:lineRule="exact"/>
              <w:rPr>
                <w:sz w:val="21"/>
                <w:szCs w:val="21"/>
                <w:lang w:eastAsia="zh-CN"/>
              </w:rPr>
            </w:pPr>
            <w:r>
              <w:rPr>
                <w:rFonts w:hint="eastAsia"/>
                <w:sz w:val="21"/>
                <w:szCs w:val="21"/>
                <w:lang w:eastAsia="zh-CN"/>
              </w:rPr>
              <w:t>苯佐卡因、薄荷醇</w:t>
            </w:r>
          </w:p>
        </w:tc>
      </w:tr>
      <w:tr w14:paraId="17C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2D496484">
            <w:pPr>
              <w:pStyle w:val="8"/>
              <w:spacing w:before="72" w:beforeLines="30" w:after="72" w:afterLines="30" w:line="280" w:lineRule="exact"/>
              <w:rPr>
                <w:sz w:val="21"/>
                <w:szCs w:val="21"/>
                <w:lang w:eastAsia="zh-CN"/>
              </w:rPr>
            </w:pPr>
            <w:r>
              <w:rPr>
                <w:rFonts w:hint="eastAsia"/>
                <w:sz w:val="21"/>
                <w:szCs w:val="21"/>
                <w:lang w:eastAsia="zh-CN"/>
              </w:rPr>
              <w:t>抗病毒药物</w:t>
            </w:r>
          </w:p>
        </w:tc>
        <w:tc>
          <w:tcPr>
            <w:tcW w:w="3338" w:type="dxa"/>
          </w:tcPr>
          <w:p w14:paraId="5DD8413C">
            <w:pPr>
              <w:pStyle w:val="8"/>
              <w:spacing w:before="72" w:beforeLines="30" w:after="72" w:afterLines="30" w:line="280" w:lineRule="exact"/>
              <w:rPr>
                <w:sz w:val="21"/>
                <w:szCs w:val="21"/>
                <w:lang w:eastAsia="zh-CN"/>
              </w:rPr>
            </w:pPr>
            <w:r>
              <w:rPr>
                <w:rFonts w:hint="eastAsia"/>
                <w:sz w:val="21"/>
                <w:szCs w:val="21"/>
                <w:lang w:eastAsia="zh-CN"/>
              </w:rPr>
              <w:t>扎那米韦</w:t>
            </w:r>
          </w:p>
        </w:tc>
      </w:tr>
      <w:tr w14:paraId="27A1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373E4A99">
            <w:pPr>
              <w:pStyle w:val="8"/>
              <w:spacing w:before="72" w:beforeLines="30" w:after="72" w:afterLines="30" w:line="280" w:lineRule="exact"/>
              <w:rPr>
                <w:sz w:val="21"/>
                <w:szCs w:val="21"/>
                <w:lang w:eastAsia="zh-CN"/>
              </w:rPr>
            </w:pPr>
            <w:r>
              <w:rPr>
                <w:rFonts w:hint="eastAsia"/>
                <w:sz w:val="21"/>
                <w:szCs w:val="21"/>
                <w:lang w:eastAsia="zh-CN"/>
              </w:rPr>
              <w:t>抗生素，鼻软膏</w:t>
            </w:r>
          </w:p>
        </w:tc>
        <w:tc>
          <w:tcPr>
            <w:tcW w:w="3338" w:type="dxa"/>
          </w:tcPr>
          <w:p w14:paraId="19AB2F00">
            <w:pPr>
              <w:pStyle w:val="8"/>
              <w:spacing w:before="72" w:beforeLines="30" w:after="72" w:afterLines="30" w:line="280" w:lineRule="exact"/>
              <w:rPr>
                <w:sz w:val="21"/>
                <w:szCs w:val="21"/>
                <w:lang w:eastAsia="zh-CN"/>
              </w:rPr>
            </w:pPr>
            <w:r>
              <w:rPr>
                <w:rFonts w:hint="eastAsia"/>
                <w:sz w:val="21"/>
                <w:szCs w:val="21"/>
                <w:lang w:eastAsia="zh-CN"/>
              </w:rPr>
              <w:t>莫匹罗星</w:t>
            </w:r>
          </w:p>
        </w:tc>
      </w:tr>
      <w:tr w14:paraId="5D8D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20608F2F">
            <w:pPr>
              <w:pStyle w:val="8"/>
              <w:spacing w:before="72" w:beforeLines="30" w:after="72" w:afterLines="30" w:line="280" w:lineRule="exact"/>
              <w:rPr>
                <w:sz w:val="21"/>
                <w:szCs w:val="21"/>
                <w:lang w:eastAsia="zh-CN"/>
              </w:rPr>
            </w:pPr>
            <w:r>
              <w:rPr>
                <w:rFonts w:hint="eastAsia"/>
                <w:sz w:val="21"/>
                <w:szCs w:val="21"/>
                <w:lang w:eastAsia="zh-CN"/>
              </w:rPr>
              <w:t>抗菌，全身</w:t>
            </w:r>
          </w:p>
        </w:tc>
        <w:tc>
          <w:tcPr>
            <w:tcW w:w="3338" w:type="dxa"/>
          </w:tcPr>
          <w:p w14:paraId="5AFDD185">
            <w:pPr>
              <w:pStyle w:val="8"/>
              <w:spacing w:before="72" w:beforeLines="30" w:after="72" w:afterLines="30" w:line="280" w:lineRule="exact"/>
              <w:rPr>
                <w:sz w:val="21"/>
                <w:szCs w:val="21"/>
                <w:lang w:eastAsia="zh-CN"/>
              </w:rPr>
            </w:pPr>
            <w:r>
              <w:rPr>
                <w:rFonts w:hint="eastAsia"/>
                <w:sz w:val="21"/>
                <w:szCs w:val="21"/>
                <w:lang w:eastAsia="zh-CN"/>
              </w:rPr>
              <w:t>妥布霉素</w:t>
            </w:r>
          </w:p>
        </w:tc>
      </w:tr>
    </w:tbl>
    <w:p w14:paraId="0CBA0C0C">
      <w:pPr>
        <w:pStyle w:val="8"/>
        <w:spacing w:before="144"/>
        <w:rPr>
          <w:lang w:eastAsia="zh-CN"/>
        </w:rPr>
      </w:pPr>
      <w:r>
        <w:rPr>
          <w:lang w:eastAsia="zh-CN"/>
        </w:rPr>
        <w:br w:type="page"/>
      </w:r>
    </w:p>
    <w:p w14:paraId="2BC29CAB">
      <w:pPr>
        <w:pStyle w:val="8"/>
        <w:spacing w:before="144"/>
        <w:jc w:val="center"/>
        <w:rPr>
          <w:b/>
          <w:lang w:eastAsia="zh-CN"/>
        </w:rPr>
      </w:pPr>
      <w:r>
        <w:rPr>
          <w:rFonts w:hint="eastAsia"/>
          <w:b/>
          <w:lang w:eastAsia="zh-CN"/>
        </w:rPr>
        <w:t>表6.推荐用于皮肤、软组织感染的干扰研究的物质示例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3338"/>
      </w:tblGrid>
      <w:tr w14:paraId="2349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shd w:val="clear" w:color="auto" w:fill="D8D8D8" w:themeFill="background1" w:themeFillShade="D9"/>
          </w:tcPr>
          <w:p w14:paraId="70ACCEE6">
            <w:pPr>
              <w:pStyle w:val="8"/>
              <w:spacing w:before="72" w:beforeLines="30" w:after="72" w:afterLines="30" w:line="280" w:lineRule="exact"/>
              <w:rPr>
                <w:b/>
                <w:sz w:val="21"/>
                <w:szCs w:val="21"/>
                <w:lang w:eastAsia="zh-CN"/>
              </w:rPr>
            </w:pPr>
            <w:r>
              <w:rPr>
                <w:rFonts w:hint="eastAsia"/>
                <w:b/>
                <w:sz w:val="21"/>
                <w:szCs w:val="21"/>
                <w:lang w:eastAsia="zh-CN"/>
              </w:rPr>
              <w:t>物质</w:t>
            </w:r>
          </w:p>
        </w:tc>
        <w:tc>
          <w:tcPr>
            <w:tcW w:w="3338" w:type="dxa"/>
            <w:shd w:val="clear" w:color="auto" w:fill="D8D8D8" w:themeFill="background1" w:themeFillShade="D9"/>
          </w:tcPr>
          <w:p w14:paraId="40FF1F32">
            <w:pPr>
              <w:pStyle w:val="8"/>
              <w:spacing w:before="72" w:beforeLines="30" w:after="72" w:afterLines="30" w:line="280" w:lineRule="exact"/>
              <w:rPr>
                <w:b/>
                <w:sz w:val="21"/>
                <w:szCs w:val="21"/>
                <w:lang w:eastAsia="zh-CN"/>
              </w:rPr>
            </w:pPr>
            <w:r>
              <w:rPr>
                <w:rFonts w:hint="eastAsia"/>
                <w:b/>
                <w:sz w:val="21"/>
                <w:szCs w:val="21"/>
                <w:lang w:eastAsia="zh-CN"/>
              </w:rPr>
              <w:t>有效成分</w:t>
            </w:r>
          </w:p>
        </w:tc>
      </w:tr>
      <w:tr w14:paraId="4111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30C36EE">
            <w:pPr>
              <w:pStyle w:val="8"/>
              <w:spacing w:before="72" w:beforeLines="30" w:after="72" w:afterLines="30" w:line="280" w:lineRule="exact"/>
              <w:rPr>
                <w:sz w:val="21"/>
                <w:szCs w:val="21"/>
                <w:lang w:eastAsia="zh-CN"/>
              </w:rPr>
            </w:pPr>
            <w:r>
              <w:rPr>
                <w:sz w:val="21"/>
                <w:szCs w:val="21"/>
                <w:lang w:eastAsia="zh-CN"/>
              </w:rPr>
              <w:t>白膜层</w:t>
            </w:r>
            <w:r>
              <w:rPr>
                <w:rFonts w:hint="eastAsia"/>
                <w:sz w:val="21"/>
                <w:szCs w:val="21"/>
                <w:lang w:eastAsia="zh-CN"/>
              </w:rPr>
              <w:t>（伤口刺激剂）</w:t>
            </w:r>
          </w:p>
        </w:tc>
        <w:tc>
          <w:tcPr>
            <w:tcW w:w="3338" w:type="dxa"/>
          </w:tcPr>
          <w:p w14:paraId="13BC2D6A">
            <w:pPr>
              <w:pStyle w:val="8"/>
              <w:spacing w:before="72" w:beforeLines="30" w:after="72" w:afterLines="30" w:line="280" w:lineRule="exact"/>
              <w:rPr>
                <w:sz w:val="21"/>
                <w:szCs w:val="21"/>
                <w:lang w:eastAsia="zh-CN"/>
              </w:rPr>
            </w:pPr>
            <w:r>
              <w:rPr>
                <w:sz w:val="21"/>
                <w:szCs w:val="21"/>
                <w:lang w:eastAsia="zh-CN"/>
              </w:rPr>
              <w:t>WBC （1.5 x 109/mL）</w:t>
            </w:r>
          </w:p>
        </w:tc>
      </w:tr>
      <w:tr w14:paraId="37A3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3A60DCE5">
            <w:pPr>
              <w:pStyle w:val="8"/>
              <w:spacing w:before="72" w:beforeLines="30" w:after="72" w:afterLines="30" w:line="280" w:lineRule="exact"/>
              <w:rPr>
                <w:sz w:val="21"/>
                <w:szCs w:val="21"/>
                <w:lang w:eastAsia="zh-CN"/>
              </w:rPr>
            </w:pPr>
            <w:r>
              <w:rPr>
                <w:rFonts w:hint="eastAsia"/>
                <w:sz w:val="21"/>
                <w:szCs w:val="21"/>
                <w:lang w:eastAsia="zh-CN"/>
              </w:rPr>
              <w:t>全血</w:t>
            </w:r>
            <w:r>
              <w:rPr>
                <w:sz w:val="21"/>
                <w:szCs w:val="21"/>
                <w:lang w:eastAsia="zh-CN"/>
              </w:rPr>
              <w:t xml:space="preserve"> （</w:t>
            </w:r>
            <w:r>
              <w:rPr>
                <w:rFonts w:hint="eastAsia"/>
                <w:sz w:val="21"/>
                <w:szCs w:val="21"/>
                <w:lang w:eastAsia="zh-CN"/>
              </w:rPr>
              <w:t>不含</w:t>
            </w:r>
            <w:r>
              <w:rPr>
                <w:sz w:val="21"/>
                <w:szCs w:val="21"/>
                <w:lang w:eastAsia="zh-CN"/>
              </w:rPr>
              <w:t>MRSA/SA）</w:t>
            </w:r>
          </w:p>
        </w:tc>
        <w:tc>
          <w:tcPr>
            <w:tcW w:w="3338" w:type="dxa"/>
          </w:tcPr>
          <w:p w14:paraId="458684AF">
            <w:pPr>
              <w:pStyle w:val="8"/>
              <w:spacing w:before="72" w:beforeLines="30" w:after="72" w:afterLines="30" w:line="280" w:lineRule="exact"/>
              <w:rPr>
                <w:sz w:val="21"/>
                <w:szCs w:val="21"/>
                <w:lang w:eastAsia="zh-CN"/>
              </w:rPr>
            </w:pPr>
            <w:r>
              <w:rPr>
                <w:rFonts w:hint="eastAsia"/>
                <w:sz w:val="21"/>
                <w:szCs w:val="21"/>
                <w:lang w:eastAsia="zh-CN"/>
              </w:rPr>
              <w:t>不适用</w:t>
            </w:r>
          </w:p>
        </w:tc>
      </w:tr>
      <w:tr w14:paraId="5F01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46F3D5B4">
            <w:pPr>
              <w:pStyle w:val="8"/>
              <w:spacing w:before="72" w:beforeLines="30" w:after="72" w:afterLines="30" w:line="280" w:lineRule="exact"/>
              <w:rPr>
                <w:sz w:val="21"/>
                <w:szCs w:val="21"/>
                <w:lang w:eastAsia="zh-CN"/>
              </w:rPr>
            </w:pPr>
            <w:r>
              <w:rPr>
                <w:rFonts w:hint="eastAsia"/>
                <w:sz w:val="21"/>
                <w:szCs w:val="21"/>
                <w:lang w:eastAsia="zh-CN"/>
              </w:rPr>
              <w:t>血浆</w:t>
            </w:r>
          </w:p>
        </w:tc>
        <w:tc>
          <w:tcPr>
            <w:tcW w:w="3338" w:type="dxa"/>
          </w:tcPr>
          <w:p w14:paraId="5FDAE09A">
            <w:pPr>
              <w:pStyle w:val="8"/>
              <w:spacing w:before="72" w:beforeLines="30" w:after="72" w:afterLines="30" w:line="280" w:lineRule="exact"/>
              <w:rPr>
                <w:sz w:val="21"/>
                <w:szCs w:val="21"/>
                <w:lang w:eastAsia="zh-CN"/>
              </w:rPr>
            </w:pPr>
          </w:p>
        </w:tc>
      </w:tr>
      <w:tr w14:paraId="71A8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43ACD303">
            <w:pPr>
              <w:pStyle w:val="8"/>
              <w:spacing w:before="72" w:beforeLines="30" w:after="72" w:afterLines="30" w:line="280" w:lineRule="exact"/>
              <w:rPr>
                <w:sz w:val="21"/>
                <w:szCs w:val="21"/>
                <w:lang w:eastAsia="zh-CN"/>
              </w:rPr>
            </w:pPr>
            <w:r>
              <w:rPr>
                <w:sz w:val="21"/>
                <w:szCs w:val="21"/>
                <w:lang w:eastAsia="zh-CN"/>
              </w:rPr>
              <w:t>新斯波林</w:t>
            </w:r>
          </w:p>
        </w:tc>
        <w:tc>
          <w:tcPr>
            <w:tcW w:w="3338" w:type="dxa"/>
          </w:tcPr>
          <w:p w14:paraId="1A3D9363">
            <w:pPr>
              <w:pStyle w:val="8"/>
              <w:spacing w:before="72" w:beforeLines="30" w:after="72" w:afterLines="30" w:line="280" w:lineRule="exact"/>
              <w:rPr>
                <w:sz w:val="21"/>
                <w:szCs w:val="21"/>
                <w:lang w:eastAsia="zh-CN"/>
              </w:rPr>
            </w:pPr>
            <w:r>
              <w:rPr>
                <w:rFonts w:hint="eastAsia"/>
                <w:sz w:val="21"/>
                <w:szCs w:val="21"/>
                <w:lang w:eastAsia="zh-CN"/>
              </w:rPr>
              <w:t>杆菌肽多粘菌素B新霉素</w:t>
            </w:r>
          </w:p>
        </w:tc>
      </w:tr>
      <w:tr w14:paraId="3126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524736D">
            <w:pPr>
              <w:pStyle w:val="8"/>
              <w:spacing w:before="72" w:beforeLines="30" w:after="72" w:afterLines="30" w:line="280" w:lineRule="exact"/>
              <w:rPr>
                <w:sz w:val="21"/>
                <w:szCs w:val="21"/>
                <w:lang w:eastAsia="zh-CN"/>
              </w:rPr>
            </w:pPr>
            <w:r>
              <w:rPr>
                <w:sz w:val="21"/>
                <w:szCs w:val="21"/>
                <w:lang w:eastAsia="zh-CN"/>
              </w:rPr>
              <w:t>StaphA+Septic</w:t>
            </w:r>
          </w:p>
        </w:tc>
        <w:tc>
          <w:tcPr>
            <w:tcW w:w="3338" w:type="dxa"/>
          </w:tcPr>
          <w:p w14:paraId="573D8351">
            <w:pPr>
              <w:pStyle w:val="8"/>
              <w:spacing w:before="72" w:beforeLines="30" w:after="72" w:afterLines="30" w:line="280" w:lineRule="exact"/>
              <w:rPr>
                <w:sz w:val="21"/>
                <w:szCs w:val="21"/>
                <w:lang w:eastAsia="zh-CN"/>
              </w:rPr>
            </w:pPr>
            <w:r>
              <w:rPr>
                <w:rFonts w:hint="eastAsia"/>
                <w:sz w:val="21"/>
                <w:szCs w:val="21"/>
                <w:lang w:eastAsia="zh-CN"/>
              </w:rPr>
              <w:t>苄索氯铵，盐酸利多卡因</w:t>
            </w:r>
          </w:p>
        </w:tc>
      </w:tr>
      <w:tr w14:paraId="1725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155A3076">
            <w:pPr>
              <w:pStyle w:val="8"/>
              <w:spacing w:before="72" w:beforeLines="30" w:after="72" w:afterLines="30" w:line="280" w:lineRule="exact"/>
              <w:rPr>
                <w:sz w:val="21"/>
                <w:szCs w:val="21"/>
                <w:lang w:eastAsia="zh-CN"/>
              </w:rPr>
            </w:pPr>
            <w:r>
              <w:rPr>
                <w:rFonts w:hint="eastAsia"/>
                <w:sz w:val="21"/>
                <w:szCs w:val="21"/>
                <w:lang w:eastAsia="zh-CN"/>
              </w:rPr>
              <w:t>氢化可的松</w:t>
            </w:r>
          </w:p>
        </w:tc>
        <w:tc>
          <w:tcPr>
            <w:tcW w:w="3338" w:type="dxa"/>
          </w:tcPr>
          <w:p w14:paraId="1D2CFD97">
            <w:pPr>
              <w:pStyle w:val="8"/>
              <w:spacing w:before="72" w:beforeLines="30" w:after="72" w:afterLines="30" w:line="280" w:lineRule="exact"/>
              <w:rPr>
                <w:sz w:val="21"/>
                <w:szCs w:val="21"/>
                <w:lang w:eastAsia="zh-CN"/>
              </w:rPr>
            </w:pPr>
            <w:r>
              <w:rPr>
                <w:rFonts w:hint="eastAsia"/>
                <w:sz w:val="21"/>
                <w:szCs w:val="21"/>
                <w:lang w:eastAsia="zh-CN"/>
              </w:rPr>
              <w:t>氢化可的松</w:t>
            </w:r>
          </w:p>
        </w:tc>
      </w:tr>
      <w:tr w14:paraId="6E7D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0506CFEA">
            <w:pPr>
              <w:pStyle w:val="8"/>
              <w:spacing w:before="72" w:beforeLines="30" w:after="72" w:afterLines="30" w:line="280" w:lineRule="exact"/>
              <w:rPr>
                <w:sz w:val="21"/>
                <w:szCs w:val="21"/>
                <w:lang w:eastAsia="zh-CN"/>
              </w:rPr>
            </w:pPr>
            <w:r>
              <w:rPr>
                <w:rFonts w:hint="eastAsia"/>
                <w:sz w:val="21"/>
                <w:szCs w:val="21"/>
                <w:lang w:eastAsia="zh-CN"/>
              </w:rPr>
              <w:t>生物易感</w:t>
            </w:r>
          </w:p>
        </w:tc>
        <w:tc>
          <w:tcPr>
            <w:tcW w:w="3338" w:type="dxa"/>
          </w:tcPr>
          <w:p w14:paraId="72EB96DF">
            <w:pPr>
              <w:pStyle w:val="8"/>
              <w:spacing w:before="72" w:beforeLines="30" w:after="72" w:afterLines="30" w:line="280" w:lineRule="exact"/>
              <w:rPr>
                <w:sz w:val="21"/>
                <w:szCs w:val="21"/>
                <w:lang w:eastAsia="zh-CN"/>
              </w:rPr>
            </w:pPr>
            <w:r>
              <w:rPr>
                <w:rFonts w:hint="eastAsia"/>
                <w:sz w:val="21"/>
                <w:szCs w:val="21"/>
                <w:lang w:eastAsia="zh-CN"/>
              </w:rPr>
              <w:t>苯佐卡因</w:t>
            </w:r>
          </w:p>
        </w:tc>
      </w:tr>
      <w:tr w14:paraId="2BC0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2FA84614">
            <w:pPr>
              <w:pStyle w:val="8"/>
              <w:spacing w:before="72" w:beforeLines="30" w:after="72" w:afterLines="30" w:line="280" w:lineRule="exact"/>
              <w:rPr>
                <w:sz w:val="21"/>
                <w:szCs w:val="21"/>
                <w:lang w:eastAsia="zh-CN"/>
              </w:rPr>
            </w:pPr>
            <w:r>
              <w:rPr>
                <w:rFonts w:hint="eastAsia"/>
                <w:sz w:val="21"/>
                <w:szCs w:val="21"/>
                <w:lang w:eastAsia="zh-CN"/>
              </w:rPr>
              <w:t>碘酊</w:t>
            </w:r>
          </w:p>
        </w:tc>
        <w:tc>
          <w:tcPr>
            <w:tcW w:w="3338" w:type="dxa"/>
          </w:tcPr>
          <w:p w14:paraId="3C881F6F">
            <w:pPr>
              <w:pStyle w:val="8"/>
              <w:spacing w:before="72" w:beforeLines="30" w:after="72" w:afterLines="30" w:line="280" w:lineRule="exact"/>
              <w:rPr>
                <w:sz w:val="21"/>
                <w:szCs w:val="21"/>
                <w:lang w:eastAsia="zh-CN"/>
              </w:rPr>
            </w:pPr>
            <w:r>
              <w:rPr>
                <w:rFonts w:hint="eastAsia"/>
                <w:sz w:val="21"/>
                <w:szCs w:val="21"/>
                <w:lang w:eastAsia="zh-CN"/>
              </w:rPr>
              <w:t>碘</w:t>
            </w:r>
          </w:p>
        </w:tc>
      </w:tr>
      <w:tr w14:paraId="2E0C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31F4917B">
            <w:pPr>
              <w:pStyle w:val="8"/>
              <w:spacing w:before="72" w:beforeLines="30" w:after="72" w:afterLines="30" w:line="280" w:lineRule="exact"/>
              <w:rPr>
                <w:sz w:val="21"/>
                <w:szCs w:val="21"/>
                <w:lang w:eastAsia="zh-CN"/>
              </w:rPr>
            </w:pPr>
            <w:r>
              <w:rPr>
                <w:rFonts w:hint="eastAsia"/>
                <w:sz w:val="21"/>
                <w:szCs w:val="21"/>
                <w:lang w:eastAsia="zh-CN"/>
              </w:rPr>
              <w:t>莫匹罗星</w:t>
            </w:r>
          </w:p>
        </w:tc>
        <w:tc>
          <w:tcPr>
            <w:tcW w:w="3338" w:type="dxa"/>
          </w:tcPr>
          <w:p w14:paraId="4D52794B">
            <w:pPr>
              <w:pStyle w:val="8"/>
              <w:spacing w:before="72" w:beforeLines="30" w:after="72" w:afterLines="30" w:line="280" w:lineRule="exact"/>
              <w:rPr>
                <w:sz w:val="21"/>
                <w:szCs w:val="21"/>
                <w:lang w:eastAsia="zh-CN"/>
              </w:rPr>
            </w:pPr>
            <w:r>
              <w:rPr>
                <w:rFonts w:hint="eastAsia"/>
                <w:sz w:val="21"/>
                <w:szCs w:val="21"/>
                <w:lang w:eastAsia="zh-CN"/>
              </w:rPr>
              <w:t>苄索氯铵盐酸利多卡因</w:t>
            </w:r>
          </w:p>
        </w:tc>
      </w:tr>
      <w:tr w14:paraId="5B04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0BC7680F">
            <w:pPr>
              <w:pStyle w:val="8"/>
              <w:spacing w:before="72" w:beforeLines="30" w:after="72" w:afterLines="30" w:line="280" w:lineRule="exact"/>
              <w:rPr>
                <w:sz w:val="21"/>
                <w:szCs w:val="21"/>
                <w:lang w:eastAsia="zh-CN"/>
              </w:rPr>
            </w:pPr>
            <w:r>
              <w:rPr>
                <w:rFonts w:hint="eastAsia"/>
                <w:sz w:val="21"/>
                <w:szCs w:val="21"/>
                <w:lang w:eastAsia="zh-CN"/>
              </w:rPr>
              <w:t>盐水</w:t>
            </w:r>
          </w:p>
        </w:tc>
        <w:tc>
          <w:tcPr>
            <w:tcW w:w="3338" w:type="dxa"/>
          </w:tcPr>
          <w:p w14:paraId="52AB205B">
            <w:pPr>
              <w:pStyle w:val="8"/>
              <w:spacing w:before="72" w:beforeLines="30" w:after="72" w:afterLines="30" w:line="280" w:lineRule="exact"/>
              <w:rPr>
                <w:sz w:val="21"/>
                <w:szCs w:val="21"/>
                <w:lang w:eastAsia="zh-CN"/>
              </w:rPr>
            </w:pPr>
            <w:r>
              <w:rPr>
                <w:rFonts w:hint="eastAsia"/>
                <w:sz w:val="21"/>
                <w:szCs w:val="21"/>
                <w:lang w:eastAsia="zh-CN"/>
              </w:rPr>
              <w:t>氯化钠</w:t>
            </w:r>
          </w:p>
        </w:tc>
      </w:tr>
      <w:tr w14:paraId="4E68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6AAC8237">
            <w:pPr>
              <w:pStyle w:val="8"/>
              <w:spacing w:before="72" w:beforeLines="30" w:after="72" w:afterLines="30" w:line="280" w:lineRule="exact"/>
              <w:rPr>
                <w:sz w:val="21"/>
                <w:szCs w:val="21"/>
                <w:lang w:eastAsia="zh-CN"/>
              </w:rPr>
            </w:pPr>
            <w:r>
              <w:rPr>
                <w:rFonts w:hint="eastAsia"/>
                <w:sz w:val="21"/>
                <w:szCs w:val="21"/>
                <w:lang w:eastAsia="zh-CN"/>
              </w:rPr>
              <w:t>抗菌洗手液</w:t>
            </w:r>
          </w:p>
        </w:tc>
        <w:tc>
          <w:tcPr>
            <w:tcW w:w="3338" w:type="dxa"/>
          </w:tcPr>
          <w:p w14:paraId="224B76E3">
            <w:pPr>
              <w:pStyle w:val="8"/>
              <w:spacing w:before="72" w:beforeLines="30" w:after="72" w:afterLines="30" w:line="280" w:lineRule="exact"/>
              <w:rPr>
                <w:sz w:val="21"/>
                <w:szCs w:val="21"/>
                <w:lang w:eastAsia="zh-CN"/>
              </w:rPr>
            </w:pPr>
            <w:r>
              <w:rPr>
                <w:rFonts w:hint="eastAsia"/>
                <w:sz w:val="21"/>
                <w:szCs w:val="21"/>
                <w:lang w:eastAsia="zh-CN"/>
              </w:rPr>
              <w:t>乙醇</w:t>
            </w:r>
          </w:p>
        </w:tc>
      </w:tr>
      <w:tr w14:paraId="21C8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78C8D891">
            <w:pPr>
              <w:pStyle w:val="8"/>
              <w:spacing w:before="72" w:beforeLines="30" w:after="72" w:afterLines="30" w:line="280" w:lineRule="exact"/>
              <w:rPr>
                <w:sz w:val="21"/>
                <w:szCs w:val="21"/>
                <w:lang w:eastAsia="zh-CN"/>
              </w:rPr>
            </w:pPr>
            <w:r>
              <w:rPr>
                <w:rFonts w:hint="eastAsia"/>
                <w:sz w:val="21"/>
                <w:szCs w:val="21"/>
                <w:lang w:eastAsia="zh-CN"/>
              </w:rPr>
              <w:t>70％异丙醇</w:t>
            </w:r>
          </w:p>
        </w:tc>
        <w:tc>
          <w:tcPr>
            <w:tcW w:w="3338" w:type="dxa"/>
          </w:tcPr>
          <w:p w14:paraId="228C5E61">
            <w:pPr>
              <w:pStyle w:val="8"/>
              <w:spacing w:before="72" w:beforeLines="30" w:after="72" w:afterLines="30" w:line="280" w:lineRule="exact"/>
              <w:rPr>
                <w:sz w:val="21"/>
                <w:szCs w:val="21"/>
                <w:lang w:eastAsia="zh-CN"/>
              </w:rPr>
            </w:pPr>
            <w:r>
              <w:rPr>
                <w:rFonts w:hint="eastAsia"/>
                <w:sz w:val="21"/>
                <w:szCs w:val="21"/>
                <w:lang w:eastAsia="zh-CN"/>
              </w:rPr>
              <w:t>70％异丙醇</w:t>
            </w:r>
          </w:p>
        </w:tc>
      </w:tr>
    </w:tbl>
    <w:p w14:paraId="46276164">
      <w:pPr>
        <w:pStyle w:val="8"/>
        <w:spacing w:before="144"/>
        <w:rPr>
          <w:lang w:eastAsia="zh-CN"/>
        </w:rPr>
      </w:pPr>
    </w:p>
    <w:p w14:paraId="65EE7C34">
      <w:pPr>
        <w:pStyle w:val="8"/>
        <w:spacing w:before="144"/>
        <w:jc w:val="center"/>
        <w:rPr>
          <w:b/>
          <w:lang w:eastAsia="zh-CN"/>
        </w:rPr>
      </w:pPr>
      <w:r>
        <w:rPr>
          <w:rFonts w:hint="eastAsia"/>
          <w:b/>
          <w:lang w:eastAsia="zh-CN"/>
        </w:rPr>
        <w:t>表7.推荐用于血液干扰研究的物质示例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3338"/>
      </w:tblGrid>
      <w:tr w14:paraId="5DB0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shd w:val="clear" w:color="auto" w:fill="D8D8D8" w:themeFill="background1" w:themeFillShade="D9"/>
          </w:tcPr>
          <w:p w14:paraId="75B1FF05">
            <w:pPr>
              <w:pStyle w:val="8"/>
              <w:spacing w:before="72" w:beforeLines="30" w:after="72" w:afterLines="30" w:line="280" w:lineRule="exact"/>
              <w:rPr>
                <w:b/>
                <w:sz w:val="21"/>
                <w:szCs w:val="21"/>
                <w:lang w:eastAsia="zh-CN"/>
              </w:rPr>
            </w:pPr>
            <w:r>
              <w:rPr>
                <w:rFonts w:hint="eastAsia"/>
                <w:b/>
                <w:sz w:val="21"/>
                <w:szCs w:val="21"/>
                <w:lang w:eastAsia="zh-CN"/>
              </w:rPr>
              <w:t>物质</w:t>
            </w:r>
          </w:p>
        </w:tc>
        <w:tc>
          <w:tcPr>
            <w:tcW w:w="3338" w:type="dxa"/>
            <w:shd w:val="clear" w:color="auto" w:fill="D8D8D8" w:themeFill="background1" w:themeFillShade="D9"/>
          </w:tcPr>
          <w:p w14:paraId="3A2A76B3">
            <w:pPr>
              <w:pStyle w:val="8"/>
              <w:spacing w:before="72" w:beforeLines="30" w:after="72" w:afterLines="30" w:line="280" w:lineRule="exact"/>
              <w:rPr>
                <w:b/>
                <w:sz w:val="21"/>
                <w:szCs w:val="21"/>
                <w:lang w:eastAsia="zh-CN"/>
              </w:rPr>
            </w:pPr>
          </w:p>
        </w:tc>
      </w:tr>
      <w:tr w14:paraId="19C1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1AC32CBD">
            <w:pPr>
              <w:pStyle w:val="8"/>
              <w:spacing w:before="72" w:beforeLines="30" w:after="72" w:afterLines="30" w:line="280" w:lineRule="exact"/>
              <w:rPr>
                <w:sz w:val="21"/>
                <w:szCs w:val="21"/>
                <w:lang w:eastAsia="zh-CN"/>
              </w:rPr>
            </w:pPr>
            <w:r>
              <w:rPr>
                <w:rFonts w:hint="eastAsia"/>
                <w:sz w:val="21"/>
                <w:szCs w:val="21"/>
                <w:lang w:eastAsia="zh-CN"/>
              </w:rPr>
              <w:t>血红蛋白</w:t>
            </w:r>
          </w:p>
        </w:tc>
        <w:tc>
          <w:tcPr>
            <w:tcW w:w="3338" w:type="dxa"/>
          </w:tcPr>
          <w:p w14:paraId="4826AA86">
            <w:pPr>
              <w:pStyle w:val="8"/>
              <w:spacing w:before="72" w:beforeLines="30" w:after="72" w:afterLines="30" w:line="280" w:lineRule="exact"/>
              <w:rPr>
                <w:sz w:val="21"/>
                <w:szCs w:val="21"/>
                <w:lang w:eastAsia="zh-CN"/>
              </w:rPr>
            </w:pPr>
          </w:p>
        </w:tc>
      </w:tr>
      <w:tr w14:paraId="1235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6ACB3F50">
            <w:pPr>
              <w:pStyle w:val="8"/>
              <w:spacing w:before="72" w:beforeLines="30" w:after="72" w:afterLines="30" w:line="280" w:lineRule="exact"/>
              <w:rPr>
                <w:sz w:val="21"/>
                <w:szCs w:val="21"/>
                <w:lang w:eastAsia="zh-CN"/>
              </w:rPr>
            </w:pPr>
            <w:r>
              <w:rPr>
                <w:rFonts w:hint="eastAsia"/>
                <w:sz w:val="21"/>
                <w:szCs w:val="21"/>
                <w:lang w:eastAsia="zh-CN"/>
              </w:rPr>
              <w:t>甘油三酯血清</w:t>
            </w:r>
          </w:p>
        </w:tc>
        <w:tc>
          <w:tcPr>
            <w:tcW w:w="3338" w:type="dxa"/>
          </w:tcPr>
          <w:p w14:paraId="775C4A93">
            <w:pPr>
              <w:pStyle w:val="8"/>
              <w:spacing w:before="72" w:beforeLines="30" w:after="72" w:afterLines="30" w:line="280" w:lineRule="exact"/>
              <w:rPr>
                <w:sz w:val="21"/>
                <w:szCs w:val="21"/>
                <w:lang w:eastAsia="zh-CN"/>
              </w:rPr>
            </w:pPr>
          </w:p>
        </w:tc>
      </w:tr>
      <w:tr w14:paraId="5FE0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09C381F4">
            <w:pPr>
              <w:pStyle w:val="8"/>
              <w:spacing w:before="72" w:beforeLines="30" w:after="72" w:afterLines="30" w:line="280" w:lineRule="exact"/>
              <w:rPr>
                <w:sz w:val="21"/>
                <w:szCs w:val="21"/>
                <w:lang w:eastAsia="zh-CN"/>
              </w:rPr>
            </w:pPr>
            <w:r>
              <w:rPr>
                <w:rFonts w:hint="eastAsia"/>
                <w:sz w:val="21"/>
                <w:szCs w:val="21"/>
                <w:lang w:eastAsia="zh-CN"/>
              </w:rPr>
              <w:t>共轭胆红素</w:t>
            </w:r>
          </w:p>
        </w:tc>
        <w:tc>
          <w:tcPr>
            <w:tcW w:w="3338" w:type="dxa"/>
          </w:tcPr>
          <w:p w14:paraId="4EF218C4">
            <w:pPr>
              <w:pStyle w:val="8"/>
              <w:spacing w:before="72" w:beforeLines="30" w:after="72" w:afterLines="30" w:line="280" w:lineRule="exact"/>
              <w:rPr>
                <w:sz w:val="21"/>
                <w:szCs w:val="21"/>
                <w:lang w:eastAsia="zh-CN"/>
              </w:rPr>
            </w:pPr>
          </w:p>
        </w:tc>
      </w:tr>
      <w:tr w14:paraId="1E1F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106B31EB">
            <w:pPr>
              <w:pStyle w:val="8"/>
              <w:spacing w:before="72" w:beforeLines="30" w:after="72" w:afterLines="30" w:line="280" w:lineRule="exact"/>
              <w:rPr>
                <w:sz w:val="21"/>
                <w:szCs w:val="21"/>
                <w:lang w:eastAsia="zh-CN"/>
              </w:rPr>
            </w:pPr>
            <w:r>
              <w:rPr>
                <w:rFonts w:hint="eastAsia"/>
                <w:sz w:val="21"/>
                <w:szCs w:val="21"/>
                <w:lang w:eastAsia="zh-CN"/>
              </w:rPr>
              <w:t>未结合的胆红素</w:t>
            </w:r>
          </w:p>
        </w:tc>
        <w:tc>
          <w:tcPr>
            <w:tcW w:w="3338" w:type="dxa"/>
          </w:tcPr>
          <w:p w14:paraId="1975E522">
            <w:pPr>
              <w:pStyle w:val="8"/>
              <w:spacing w:before="72" w:beforeLines="30" w:after="72" w:afterLines="30" w:line="280" w:lineRule="exact"/>
              <w:rPr>
                <w:sz w:val="21"/>
                <w:szCs w:val="21"/>
                <w:lang w:eastAsia="zh-CN"/>
              </w:rPr>
            </w:pPr>
          </w:p>
        </w:tc>
      </w:tr>
      <w:tr w14:paraId="5303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59DE114F">
            <w:pPr>
              <w:pStyle w:val="8"/>
              <w:spacing w:before="72" w:beforeLines="30" w:after="72" w:afterLines="30" w:line="280" w:lineRule="exact"/>
              <w:rPr>
                <w:sz w:val="21"/>
                <w:szCs w:val="21"/>
                <w:lang w:eastAsia="zh-CN"/>
              </w:rPr>
            </w:pPr>
            <w:r>
              <w:rPr>
                <w:rFonts w:hint="eastAsia"/>
                <w:sz w:val="21"/>
                <w:szCs w:val="21"/>
                <w:lang w:eastAsia="zh-CN"/>
              </w:rPr>
              <w:t>γ-球蛋白</w:t>
            </w:r>
          </w:p>
        </w:tc>
        <w:tc>
          <w:tcPr>
            <w:tcW w:w="3338" w:type="dxa"/>
          </w:tcPr>
          <w:p w14:paraId="2E3A1042">
            <w:pPr>
              <w:pStyle w:val="8"/>
              <w:spacing w:before="72" w:beforeLines="30" w:after="72" w:afterLines="30" w:line="280" w:lineRule="exact"/>
              <w:rPr>
                <w:sz w:val="21"/>
                <w:szCs w:val="21"/>
                <w:lang w:eastAsia="zh-CN"/>
              </w:rPr>
            </w:pPr>
          </w:p>
        </w:tc>
      </w:tr>
      <w:tr w14:paraId="3ADD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14:paraId="6A0AC893">
            <w:pPr>
              <w:pStyle w:val="8"/>
              <w:spacing w:before="72" w:beforeLines="30" w:after="72" w:afterLines="30" w:line="280" w:lineRule="exact"/>
              <w:rPr>
                <w:sz w:val="21"/>
                <w:szCs w:val="21"/>
                <w:lang w:eastAsia="zh-CN"/>
              </w:rPr>
            </w:pPr>
            <w:r>
              <w:rPr>
                <w:rFonts w:hint="eastAsia"/>
                <w:sz w:val="21"/>
                <w:szCs w:val="21"/>
                <w:lang w:eastAsia="zh-CN"/>
              </w:rPr>
              <w:t>聚苯醚磺酸钠（SPS）</w:t>
            </w:r>
          </w:p>
        </w:tc>
        <w:tc>
          <w:tcPr>
            <w:tcW w:w="3338" w:type="dxa"/>
          </w:tcPr>
          <w:p w14:paraId="392714FC">
            <w:pPr>
              <w:pStyle w:val="8"/>
              <w:spacing w:before="72" w:beforeLines="30" w:after="72" w:afterLines="30" w:line="280" w:lineRule="exact"/>
              <w:rPr>
                <w:sz w:val="21"/>
                <w:szCs w:val="21"/>
                <w:lang w:eastAsia="zh-CN"/>
              </w:rPr>
            </w:pPr>
          </w:p>
        </w:tc>
      </w:tr>
    </w:tbl>
    <w:p w14:paraId="16EDD8BA">
      <w:pPr>
        <w:pStyle w:val="8"/>
        <w:spacing w:before="144"/>
        <w:rPr>
          <w:lang w:eastAsia="zh-CN"/>
        </w:rPr>
      </w:pPr>
      <w:r>
        <w:rPr>
          <w:lang w:eastAsia="zh-CN"/>
        </w:rPr>
        <w:br w:type="page"/>
      </w:r>
    </w:p>
    <w:p w14:paraId="4C37DDB6">
      <w:pPr>
        <w:pStyle w:val="8"/>
        <w:spacing w:before="144"/>
        <w:rPr>
          <w:b/>
          <w:i/>
          <w:lang w:eastAsia="zh-CN"/>
        </w:rPr>
      </w:pPr>
      <w:r>
        <w:rPr>
          <w:rFonts w:hint="eastAsia"/>
          <w:b/>
          <w:i/>
          <w:lang w:eastAsia="zh-CN"/>
        </w:rPr>
        <w:t>培养研究</w:t>
      </w:r>
    </w:p>
    <w:p w14:paraId="3587AEA8">
      <w:pPr>
        <w:pStyle w:val="8"/>
        <w:spacing w:before="144"/>
        <w:rPr>
          <w:lang w:eastAsia="zh-CN"/>
        </w:rPr>
      </w:pPr>
      <w:r>
        <w:rPr>
          <w:rFonts w:hint="eastAsia"/>
          <w:lang w:eastAsia="zh-CN"/>
        </w:rPr>
        <w:t>贵公司还应进行一项研究，以确定不同培养时间对贵公司的培养基性能的影响。此外，贵公司确定的培养时间应可达到</w:t>
      </w:r>
      <w:r>
        <w:rPr>
          <w:lang w:eastAsia="zh-CN"/>
        </w:rPr>
        <w:t>≥</w:t>
      </w:r>
      <w:r>
        <w:rPr>
          <w:rFonts w:hint="eastAsia"/>
          <w:lang w:eastAsia="zh-CN"/>
        </w:rPr>
        <w:t>95％的验收标准以支持贵公司培养基的性能。如果贵公司的培养基具有不同的培养时间，请根据每个时间或时间点（以小时为单位）对结果进行分层。在行业的某一要求中，我们被问及提供此类信息的方法。表</w:t>
      </w:r>
      <w:r>
        <w:rPr>
          <w:lang w:eastAsia="zh-CN"/>
        </w:rPr>
        <w:t>8</w:t>
      </w:r>
      <w:r>
        <w:rPr>
          <w:rFonts w:hint="eastAsia"/>
          <w:lang w:eastAsia="zh-CN"/>
        </w:rPr>
        <w:t>是贵公司可用于辅助提供此类信息的格式。</w:t>
      </w:r>
    </w:p>
    <w:p w14:paraId="73A5124E">
      <w:pPr>
        <w:pStyle w:val="8"/>
        <w:spacing w:before="144"/>
        <w:rPr>
          <w:lang w:eastAsia="zh-CN"/>
        </w:rPr>
      </w:pPr>
      <w:r>
        <w:rPr>
          <w:rFonts w:hint="eastAsia"/>
          <w:lang w:eastAsia="zh-CN"/>
        </w:rPr>
        <w:t>对于靶标微生物，我们建议应以百分比回收率或其附件的水平测试细菌浓度。此外，贵公司应表明非选择性琼脂培养基平板上靶标的最终浓度（以CFU / mL为单位）。</w:t>
      </w:r>
    </w:p>
    <w:p w14:paraId="2881449B">
      <w:pPr>
        <w:pStyle w:val="8"/>
        <w:spacing w:before="144"/>
        <w:rPr>
          <w:b/>
          <w:lang w:eastAsia="zh-CN"/>
        </w:rPr>
      </w:pPr>
      <w:r>
        <w:rPr>
          <w:rFonts w:hint="eastAsia"/>
          <w:b/>
          <w:lang w:eastAsia="zh-CN"/>
        </w:rPr>
        <w:t>表8.呈现培养研究的表格格式。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68"/>
        <w:gridCol w:w="769"/>
        <w:gridCol w:w="769"/>
        <w:gridCol w:w="781"/>
        <w:gridCol w:w="781"/>
        <w:gridCol w:w="781"/>
        <w:gridCol w:w="781"/>
        <w:gridCol w:w="781"/>
        <w:gridCol w:w="770"/>
        <w:gridCol w:w="770"/>
        <w:gridCol w:w="770"/>
      </w:tblGrid>
      <w:tr w14:paraId="7921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34D71E93">
            <w:pPr>
              <w:pStyle w:val="8"/>
              <w:spacing w:before="72" w:beforeLines="30" w:after="72" w:afterLines="30" w:line="280" w:lineRule="exact"/>
              <w:jc w:val="center"/>
              <w:rPr>
                <w:sz w:val="21"/>
                <w:szCs w:val="21"/>
                <w:lang w:eastAsia="zh-CN"/>
              </w:rPr>
            </w:pPr>
          </w:p>
        </w:tc>
        <w:tc>
          <w:tcPr>
            <w:tcW w:w="801" w:type="dxa"/>
          </w:tcPr>
          <w:p w14:paraId="6E2A4F84">
            <w:pPr>
              <w:pStyle w:val="8"/>
              <w:spacing w:before="72" w:beforeLines="30" w:after="72" w:afterLines="30" w:line="280" w:lineRule="exact"/>
              <w:jc w:val="center"/>
              <w:rPr>
                <w:sz w:val="21"/>
                <w:szCs w:val="21"/>
                <w:lang w:eastAsia="zh-CN"/>
              </w:rPr>
            </w:pPr>
            <w:r>
              <w:rPr>
                <w:sz w:val="21"/>
                <w:szCs w:val="21"/>
                <w:lang w:eastAsia="zh-CN"/>
              </w:rPr>
              <w:t>18</w:t>
            </w:r>
          </w:p>
        </w:tc>
        <w:tc>
          <w:tcPr>
            <w:tcW w:w="801" w:type="dxa"/>
          </w:tcPr>
          <w:p w14:paraId="239735B1">
            <w:pPr>
              <w:pStyle w:val="8"/>
              <w:spacing w:before="72" w:beforeLines="30" w:after="72" w:afterLines="30" w:line="280" w:lineRule="exact"/>
              <w:jc w:val="center"/>
              <w:rPr>
                <w:sz w:val="21"/>
                <w:szCs w:val="21"/>
                <w:lang w:eastAsia="zh-CN"/>
              </w:rPr>
            </w:pPr>
            <w:r>
              <w:rPr>
                <w:sz w:val="21"/>
                <w:szCs w:val="21"/>
                <w:lang w:eastAsia="zh-CN"/>
              </w:rPr>
              <w:t>19</w:t>
            </w:r>
          </w:p>
        </w:tc>
        <w:tc>
          <w:tcPr>
            <w:tcW w:w="801" w:type="dxa"/>
            <w:shd w:val="clear" w:color="auto" w:fill="D8D8D8" w:themeFill="background1" w:themeFillShade="D9"/>
          </w:tcPr>
          <w:p w14:paraId="12703911">
            <w:pPr>
              <w:pStyle w:val="8"/>
              <w:spacing w:before="72" w:beforeLines="30" w:after="72" w:afterLines="30" w:line="280" w:lineRule="exact"/>
              <w:jc w:val="center"/>
              <w:rPr>
                <w:sz w:val="21"/>
                <w:szCs w:val="21"/>
                <w:lang w:eastAsia="zh-CN"/>
              </w:rPr>
            </w:pPr>
            <w:r>
              <w:rPr>
                <w:sz w:val="21"/>
                <w:szCs w:val="21"/>
                <w:lang w:eastAsia="zh-CN"/>
              </w:rPr>
              <w:t>20</w:t>
            </w:r>
          </w:p>
        </w:tc>
        <w:tc>
          <w:tcPr>
            <w:tcW w:w="802" w:type="dxa"/>
            <w:shd w:val="clear" w:color="auto" w:fill="D8D8D8" w:themeFill="background1" w:themeFillShade="D9"/>
          </w:tcPr>
          <w:p w14:paraId="70DB771F">
            <w:pPr>
              <w:pStyle w:val="8"/>
              <w:spacing w:before="72" w:beforeLines="30" w:after="72" w:afterLines="30" w:line="280" w:lineRule="exact"/>
              <w:jc w:val="center"/>
              <w:rPr>
                <w:sz w:val="21"/>
                <w:szCs w:val="21"/>
                <w:lang w:eastAsia="zh-CN"/>
              </w:rPr>
            </w:pPr>
            <w:r>
              <w:rPr>
                <w:sz w:val="21"/>
                <w:szCs w:val="21"/>
                <w:lang w:eastAsia="zh-CN"/>
              </w:rPr>
              <w:t>21</w:t>
            </w:r>
          </w:p>
        </w:tc>
        <w:tc>
          <w:tcPr>
            <w:tcW w:w="802" w:type="dxa"/>
            <w:shd w:val="clear" w:color="auto" w:fill="D8D8D8" w:themeFill="background1" w:themeFillShade="D9"/>
          </w:tcPr>
          <w:p w14:paraId="42918750">
            <w:pPr>
              <w:pStyle w:val="8"/>
              <w:spacing w:before="72" w:beforeLines="30" w:after="72" w:afterLines="30" w:line="280" w:lineRule="exact"/>
              <w:jc w:val="center"/>
              <w:rPr>
                <w:sz w:val="21"/>
                <w:szCs w:val="21"/>
                <w:lang w:eastAsia="zh-CN"/>
              </w:rPr>
            </w:pPr>
            <w:r>
              <w:rPr>
                <w:sz w:val="21"/>
                <w:szCs w:val="21"/>
                <w:lang w:eastAsia="zh-CN"/>
              </w:rPr>
              <w:t>22</w:t>
            </w:r>
          </w:p>
        </w:tc>
        <w:tc>
          <w:tcPr>
            <w:tcW w:w="802" w:type="dxa"/>
            <w:shd w:val="clear" w:color="auto" w:fill="D8D8D8" w:themeFill="background1" w:themeFillShade="D9"/>
          </w:tcPr>
          <w:p w14:paraId="65B5B6EE">
            <w:pPr>
              <w:pStyle w:val="8"/>
              <w:spacing w:before="72" w:beforeLines="30" w:after="72" w:afterLines="30" w:line="280" w:lineRule="exact"/>
              <w:jc w:val="center"/>
              <w:rPr>
                <w:sz w:val="21"/>
                <w:szCs w:val="21"/>
                <w:lang w:eastAsia="zh-CN"/>
              </w:rPr>
            </w:pPr>
            <w:r>
              <w:rPr>
                <w:sz w:val="21"/>
                <w:szCs w:val="21"/>
                <w:lang w:eastAsia="zh-CN"/>
              </w:rPr>
              <w:t>23</w:t>
            </w:r>
          </w:p>
        </w:tc>
        <w:tc>
          <w:tcPr>
            <w:tcW w:w="802" w:type="dxa"/>
            <w:shd w:val="clear" w:color="auto" w:fill="D8D8D8" w:themeFill="background1" w:themeFillShade="D9"/>
          </w:tcPr>
          <w:p w14:paraId="21A2E565">
            <w:pPr>
              <w:pStyle w:val="8"/>
              <w:spacing w:before="72" w:beforeLines="30" w:after="72" w:afterLines="30" w:line="280" w:lineRule="exact"/>
              <w:jc w:val="center"/>
              <w:rPr>
                <w:sz w:val="21"/>
                <w:szCs w:val="21"/>
                <w:lang w:eastAsia="zh-CN"/>
              </w:rPr>
            </w:pPr>
            <w:r>
              <w:rPr>
                <w:sz w:val="21"/>
                <w:szCs w:val="21"/>
                <w:lang w:eastAsia="zh-CN"/>
              </w:rPr>
              <w:t>24</w:t>
            </w:r>
          </w:p>
        </w:tc>
        <w:tc>
          <w:tcPr>
            <w:tcW w:w="802" w:type="dxa"/>
            <w:shd w:val="clear" w:color="auto" w:fill="D8D8D8" w:themeFill="background1" w:themeFillShade="D9"/>
          </w:tcPr>
          <w:p w14:paraId="459AE7EE">
            <w:pPr>
              <w:pStyle w:val="8"/>
              <w:spacing w:before="72" w:beforeLines="30" w:after="72" w:afterLines="30" w:line="280" w:lineRule="exact"/>
              <w:jc w:val="center"/>
              <w:rPr>
                <w:sz w:val="21"/>
                <w:szCs w:val="21"/>
                <w:lang w:eastAsia="zh-CN"/>
              </w:rPr>
            </w:pPr>
            <w:r>
              <w:rPr>
                <w:sz w:val="21"/>
                <w:szCs w:val="21"/>
                <w:lang w:eastAsia="zh-CN"/>
              </w:rPr>
              <w:t>25</w:t>
            </w:r>
          </w:p>
        </w:tc>
        <w:tc>
          <w:tcPr>
            <w:tcW w:w="802" w:type="dxa"/>
            <w:shd w:val="clear" w:color="auto" w:fill="D8D8D8" w:themeFill="background1" w:themeFillShade="D9"/>
          </w:tcPr>
          <w:p w14:paraId="2ED5D3F6">
            <w:pPr>
              <w:pStyle w:val="8"/>
              <w:spacing w:before="72" w:beforeLines="30" w:after="72" w:afterLines="30" w:line="280" w:lineRule="exact"/>
              <w:jc w:val="center"/>
              <w:rPr>
                <w:sz w:val="21"/>
                <w:szCs w:val="21"/>
                <w:lang w:eastAsia="zh-CN"/>
              </w:rPr>
            </w:pPr>
            <w:r>
              <w:rPr>
                <w:sz w:val="21"/>
                <w:szCs w:val="21"/>
                <w:lang w:eastAsia="zh-CN"/>
              </w:rPr>
              <w:t>26</w:t>
            </w:r>
          </w:p>
        </w:tc>
        <w:tc>
          <w:tcPr>
            <w:tcW w:w="802" w:type="dxa"/>
            <w:shd w:val="clear" w:color="auto" w:fill="D8D8D8" w:themeFill="background1" w:themeFillShade="D9"/>
          </w:tcPr>
          <w:p w14:paraId="370679E9">
            <w:pPr>
              <w:pStyle w:val="8"/>
              <w:spacing w:before="72" w:beforeLines="30" w:after="72" w:afterLines="30" w:line="280" w:lineRule="exact"/>
              <w:jc w:val="center"/>
              <w:rPr>
                <w:sz w:val="21"/>
                <w:szCs w:val="21"/>
                <w:lang w:eastAsia="zh-CN"/>
              </w:rPr>
            </w:pPr>
            <w:r>
              <w:rPr>
                <w:sz w:val="21"/>
                <w:szCs w:val="21"/>
                <w:lang w:eastAsia="zh-CN"/>
              </w:rPr>
              <w:t>27</w:t>
            </w:r>
          </w:p>
        </w:tc>
        <w:tc>
          <w:tcPr>
            <w:tcW w:w="802" w:type="dxa"/>
          </w:tcPr>
          <w:p w14:paraId="35920288">
            <w:pPr>
              <w:pStyle w:val="8"/>
              <w:spacing w:before="72" w:beforeLines="30" w:after="72" w:afterLines="30" w:line="280" w:lineRule="exact"/>
              <w:jc w:val="center"/>
              <w:rPr>
                <w:sz w:val="21"/>
                <w:szCs w:val="21"/>
                <w:lang w:eastAsia="zh-CN"/>
              </w:rPr>
            </w:pPr>
            <w:r>
              <w:rPr>
                <w:sz w:val="21"/>
                <w:szCs w:val="21"/>
                <w:lang w:eastAsia="zh-CN"/>
              </w:rPr>
              <w:t>28</w:t>
            </w:r>
          </w:p>
        </w:tc>
      </w:tr>
      <w:tr w14:paraId="60AA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5E1C3D1E">
            <w:pPr>
              <w:pStyle w:val="8"/>
              <w:spacing w:before="72" w:beforeLines="30" w:after="72" w:afterLines="30" w:line="280" w:lineRule="exact"/>
              <w:jc w:val="center"/>
              <w:rPr>
                <w:sz w:val="21"/>
                <w:szCs w:val="21"/>
                <w:lang w:eastAsia="zh-CN"/>
              </w:rPr>
            </w:pPr>
            <w:r>
              <w:rPr>
                <w:rFonts w:hint="eastAsia"/>
                <w:sz w:val="21"/>
                <w:szCs w:val="21"/>
                <w:lang w:eastAsia="zh-CN"/>
              </w:rPr>
              <w:t>阳性</w:t>
            </w:r>
          </w:p>
        </w:tc>
        <w:tc>
          <w:tcPr>
            <w:tcW w:w="801" w:type="dxa"/>
          </w:tcPr>
          <w:p w14:paraId="30F825A9">
            <w:pPr>
              <w:pStyle w:val="8"/>
              <w:spacing w:before="72" w:beforeLines="30" w:after="72" w:afterLines="30" w:line="280" w:lineRule="exact"/>
              <w:jc w:val="center"/>
              <w:rPr>
                <w:sz w:val="21"/>
                <w:szCs w:val="21"/>
                <w:lang w:eastAsia="zh-CN"/>
              </w:rPr>
            </w:pPr>
            <w:r>
              <w:rPr>
                <w:sz w:val="21"/>
                <w:szCs w:val="21"/>
                <w:lang w:eastAsia="zh-CN"/>
              </w:rPr>
              <w:t>0</w:t>
            </w:r>
          </w:p>
        </w:tc>
        <w:tc>
          <w:tcPr>
            <w:tcW w:w="801" w:type="dxa"/>
          </w:tcPr>
          <w:p w14:paraId="54C4A289">
            <w:pPr>
              <w:pStyle w:val="8"/>
              <w:spacing w:before="72" w:beforeLines="30" w:after="72" w:afterLines="30" w:line="280" w:lineRule="exact"/>
              <w:jc w:val="center"/>
              <w:rPr>
                <w:sz w:val="21"/>
                <w:szCs w:val="21"/>
                <w:lang w:eastAsia="zh-CN"/>
              </w:rPr>
            </w:pPr>
            <w:r>
              <w:rPr>
                <w:sz w:val="21"/>
                <w:szCs w:val="21"/>
                <w:lang w:eastAsia="zh-CN"/>
              </w:rPr>
              <w:t>1</w:t>
            </w:r>
          </w:p>
        </w:tc>
        <w:tc>
          <w:tcPr>
            <w:tcW w:w="801" w:type="dxa"/>
            <w:shd w:val="clear" w:color="auto" w:fill="D8D8D8" w:themeFill="background1" w:themeFillShade="D9"/>
          </w:tcPr>
          <w:p w14:paraId="2B0811FE">
            <w:pPr>
              <w:pStyle w:val="8"/>
              <w:spacing w:before="72" w:beforeLines="30" w:after="72" w:afterLines="30" w:line="280" w:lineRule="exact"/>
              <w:jc w:val="center"/>
              <w:rPr>
                <w:sz w:val="21"/>
                <w:szCs w:val="21"/>
                <w:lang w:eastAsia="zh-CN"/>
              </w:rPr>
            </w:pPr>
            <w:r>
              <w:rPr>
                <w:sz w:val="21"/>
                <w:szCs w:val="21"/>
                <w:lang w:eastAsia="zh-CN"/>
              </w:rPr>
              <w:t>7</w:t>
            </w:r>
          </w:p>
        </w:tc>
        <w:tc>
          <w:tcPr>
            <w:tcW w:w="802" w:type="dxa"/>
            <w:shd w:val="clear" w:color="auto" w:fill="D8D8D8" w:themeFill="background1" w:themeFillShade="D9"/>
          </w:tcPr>
          <w:p w14:paraId="00F53FE5">
            <w:pPr>
              <w:pStyle w:val="8"/>
              <w:spacing w:before="72" w:beforeLines="30" w:after="72" w:afterLines="30" w:line="280" w:lineRule="exact"/>
              <w:jc w:val="center"/>
              <w:rPr>
                <w:sz w:val="21"/>
                <w:szCs w:val="21"/>
                <w:lang w:eastAsia="zh-CN"/>
              </w:rPr>
            </w:pPr>
            <w:r>
              <w:rPr>
                <w:sz w:val="21"/>
                <w:szCs w:val="21"/>
                <w:lang w:eastAsia="zh-CN"/>
              </w:rPr>
              <w:t>14</w:t>
            </w:r>
          </w:p>
        </w:tc>
        <w:tc>
          <w:tcPr>
            <w:tcW w:w="802" w:type="dxa"/>
            <w:shd w:val="clear" w:color="auto" w:fill="D8D8D8" w:themeFill="background1" w:themeFillShade="D9"/>
          </w:tcPr>
          <w:p w14:paraId="487252A6">
            <w:pPr>
              <w:pStyle w:val="8"/>
              <w:spacing w:before="72" w:beforeLines="30" w:after="72" w:afterLines="30" w:line="280" w:lineRule="exact"/>
              <w:jc w:val="center"/>
              <w:rPr>
                <w:sz w:val="21"/>
                <w:szCs w:val="21"/>
                <w:lang w:eastAsia="zh-CN"/>
              </w:rPr>
            </w:pPr>
            <w:r>
              <w:rPr>
                <w:sz w:val="21"/>
                <w:szCs w:val="21"/>
                <w:lang w:eastAsia="zh-CN"/>
              </w:rPr>
              <w:t>22</w:t>
            </w:r>
          </w:p>
        </w:tc>
        <w:tc>
          <w:tcPr>
            <w:tcW w:w="802" w:type="dxa"/>
            <w:shd w:val="clear" w:color="auto" w:fill="D8D8D8" w:themeFill="background1" w:themeFillShade="D9"/>
          </w:tcPr>
          <w:p w14:paraId="22208321">
            <w:pPr>
              <w:pStyle w:val="8"/>
              <w:spacing w:before="72" w:beforeLines="30" w:after="72" w:afterLines="30" w:line="280" w:lineRule="exact"/>
              <w:jc w:val="center"/>
              <w:rPr>
                <w:sz w:val="21"/>
                <w:szCs w:val="21"/>
                <w:lang w:eastAsia="zh-CN"/>
              </w:rPr>
            </w:pPr>
            <w:r>
              <w:rPr>
                <w:sz w:val="21"/>
                <w:szCs w:val="21"/>
                <w:lang w:eastAsia="zh-CN"/>
              </w:rPr>
              <w:t>15</w:t>
            </w:r>
          </w:p>
        </w:tc>
        <w:tc>
          <w:tcPr>
            <w:tcW w:w="802" w:type="dxa"/>
            <w:shd w:val="clear" w:color="auto" w:fill="D8D8D8" w:themeFill="background1" w:themeFillShade="D9"/>
          </w:tcPr>
          <w:p w14:paraId="29EE08A0">
            <w:pPr>
              <w:pStyle w:val="8"/>
              <w:spacing w:before="72" w:beforeLines="30" w:after="72" w:afterLines="30" w:line="280" w:lineRule="exact"/>
              <w:jc w:val="center"/>
              <w:rPr>
                <w:sz w:val="21"/>
                <w:szCs w:val="21"/>
                <w:lang w:eastAsia="zh-CN"/>
              </w:rPr>
            </w:pPr>
            <w:r>
              <w:rPr>
                <w:sz w:val="21"/>
                <w:szCs w:val="21"/>
                <w:lang w:eastAsia="zh-CN"/>
              </w:rPr>
              <w:t>43</w:t>
            </w:r>
          </w:p>
        </w:tc>
        <w:tc>
          <w:tcPr>
            <w:tcW w:w="802" w:type="dxa"/>
            <w:shd w:val="clear" w:color="auto" w:fill="D8D8D8" w:themeFill="background1" w:themeFillShade="D9"/>
          </w:tcPr>
          <w:p w14:paraId="71A48352">
            <w:pPr>
              <w:pStyle w:val="8"/>
              <w:spacing w:before="72" w:beforeLines="30" w:after="72" w:afterLines="30" w:line="280" w:lineRule="exact"/>
              <w:jc w:val="center"/>
              <w:rPr>
                <w:sz w:val="21"/>
                <w:szCs w:val="21"/>
                <w:lang w:eastAsia="zh-CN"/>
              </w:rPr>
            </w:pPr>
            <w:r>
              <w:rPr>
                <w:sz w:val="21"/>
                <w:szCs w:val="21"/>
                <w:lang w:eastAsia="zh-CN"/>
              </w:rPr>
              <w:t>32</w:t>
            </w:r>
          </w:p>
        </w:tc>
        <w:tc>
          <w:tcPr>
            <w:tcW w:w="802" w:type="dxa"/>
            <w:shd w:val="clear" w:color="auto" w:fill="D8D8D8" w:themeFill="background1" w:themeFillShade="D9"/>
          </w:tcPr>
          <w:p w14:paraId="70FBB4A4">
            <w:pPr>
              <w:pStyle w:val="8"/>
              <w:spacing w:before="72" w:beforeLines="30" w:after="72" w:afterLines="30" w:line="280" w:lineRule="exact"/>
              <w:jc w:val="center"/>
              <w:rPr>
                <w:sz w:val="21"/>
                <w:szCs w:val="21"/>
                <w:lang w:eastAsia="zh-CN"/>
              </w:rPr>
            </w:pPr>
            <w:r>
              <w:rPr>
                <w:sz w:val="21"/>
                <w:szCs w:val="21"/>
                <w:lang w:eastAsia="zh-CN"/>
              </w:rPr>
              <w:t>16</w:t>
            </w:r>
          </w:p>
        </w:tc>
        <w:tc>
          <w:tcPr>
            <w:tcW w:w="802" w:type="dxa"/>
            <w:shd w:val="clear" w:color="auto" w:fill="D8D8D8" w:themeFill="background1" w:themeFillShade="D9"/>
          </w:tcPr>
          <w:p w14:paraId="3C04F513">
            <w:pPr>
              <w:pStyle w:val="8"/>
              <w:spacing w:before="72" w:beforeLines="30" w:after="72" w:afterLines="30" w:line="280" w:lineRule="exact"/>
              <w:jc w:val="center"/>
              <w:rPr>
                <w:sz w:val="21"/>
                <w:szCs w:val="21"/>
                <w:lang w:eastAsia="zh-CN"/>
              </w:rPr>
            </w:pPr>
            <w:r>
              <w:rPr>
                <w:sz w:val="21"/>
                <w:szCs w:val="21"/>
                <w:lang w:eastAsia="zh-CN"/>
              </w:rPr>
              <w:t>2</w:t>
            </w:r>
          </w:p>
        </w:tc>
        <w:tc>
          <w:tcPr>
            <w:tcW w:w="802" w:type="dxa"/>
          </w:tcPr>
          <w:p w14:paraId="24D0A6B9">
            <w:pPr>
              <w:pStyle w:val="8"/>
              <w:spacing w:before="72" w:beforeLines="30" w:after="72" w:afterLines="30" w:line="280" w:lineRule="exact"/>
              <w:jc w:val="center"/>
              <w:rPr>
                <w:sz w:val="21"/>
                <w:szCs w:val="21"/>
                <w:lang w:eastAsia="zh-CN"/>
              </w:rPr>
            </w:pPr>
            <w:r>
              <w:rPr>
                <w:sz w:val="21"/>
                <w:szCs w:val="21"/>
                <w:lang w:eastAsia="zh-CN"/>
              </w:rPr>
              <w:t>0</w:t>
            </w:r>
          </w:p>
        </w:tc>
      </w:tr>
      <w:tr w14:paraId="7104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5ADF3EEE">
            <w:pPr>
              <w:pStyle w:val="8"/>
              <w:spacing w:before="72" w:beforeLines="30" w:after="72" w:afterLines="30" w:line="280" w:lineRule="exact"/>
              <w:jc w:val="center"/>
              <w:rPr>
                <w:sz w:val="21"/>
                <w:szCs w:val="21"/>
                <w:lang w:eastAsia="zh-CN"/>
              </w:rPr>
            </w:pPr>
            <w:r>
              <w:rPr>
                <w:rFonts w:hint="eastAsia"/>
                <w:sz w:val="21"/>
                <w:szCs w:val="21"/>
                <w:lang w:eastAsia="zh-CN"/>
              </w:rPr>
              <w:t>阴性</w:t>
            </w:r>
          </w:p>
        </w:tc>
        <w:tc>
          <w:tcPr>
            <w:tcW w:w="801" w:type="dxa"/>
          </w:tcPr>
          <w:p w14:paraId="108F35F2">
            <w:pPr>
              <w:pStyle w:val="8"/>
              <w:spacing w:before="72" w:beforeLines="30" w:after="72" w:afterLines="30" w:line="280" w:lineRule="exact"/>
              <w:jc w:val="center"/>
              <w:rPr>
                <w:sz w:val="21"/>
                <w:szCs w:val="21"/>
                <w:lang w:eastAsia="zh-CN"/>
              </w:rPr>
            </w:pPr>
            <w:r>
              <w:rPr>
                <w:sz w:val="21"/>
                <w:szCs w:val="21"/>
                <w:lang w:eastAsia="zh-CN"/>
              </w:rPr>
              <w:t>1</w:t>
            </w:r>
          </w:p>
        </w:tc>
        <w:tc>
          <w:tcPr>
            <w:tcW w:w="801" w:type="dxa"/>
          </w:tcPr>
          <w:p w14:paraId="573FEB16">
            <w:pPr>
              <w:pStyle w:val="8"/>
              <w:spacing w:before="72" w:beforeLines="30" w:after="72" w:afterLines="30" w:line="280" w:lineRule="exact"/>
              <w:jc w:val="center"/>
              <w:rPr>
                <w:sz w:val="21"/>
                <w:szCs w:val="21"/>
                <w:lang w:eastAsia="zh-CN"/>
              </w:rPr>
            </w:pPr>
            <w:r>
              <w:rPr>
                <w:sz w:val="21"/>
                <w:szCs w:val="21"/>
                <w:lang w:eastAsia="zh-CN"/>
              </w:rPr>
              <w:t>6</w:t>
            </w:r>
          </w:p>
        </w:tc>
        <w:tc>
          <w:tcPr>
            <w:tcW w:w="801" w:type="dxa"/>
            <w:shd w:val="clear" w:color="auto" w:fill="D8D8D8" w:themeFill="background1" w:themeFillShade="D9"/>
          </w:tcPr>
          <w:p w14:paraId="4E31BBB8">
            <w:pPr>
              <w:pStyle w:val="8"/>
              <w:spacing w:before="72" w:beforeLines="30" w:after="72" w:afterLines="30" w:line="280" w:lineRule="exact"/>
              <w:jc w:val="center"/>
              <w:rPr>
                <w:sz w:val="21"/>
                <w:szCs w:val="21"/>
                <w:lang w:eastAsia="zh-CN"/>
              </w:rPr>
            </w:pPr>
            <w:r>
              <w:rPr>
                <w:sz w:val="21"/>
                <w:szCs w:val="21"/>
                <w:lang w:eastAsia="zh-CN"/>
              </w:rPr>
              <w:t>20</w:t>
            </w:r>
          </w:p>
        </w:tc>
        <w:tc>
          <w:tcPr>
            <w:tcW w:w="802" w:type="dxa"/>
            <w:shd w:val="clear" w:color="auto" w:fill="D8D8D8" w:themeFill="background1" w:themeFillShade="D9"/>
          </w:tcPr>
          <w:p w14:paraId="4A33143D">
            <w:pPr>
              <w:pStyle w:val="8"/>
              <w:spacing w:before="72" w:beforeLines="30" w:after="72" w:afterLines="30" w:line="280" w:lineRule="exact"/>
              <w:jc w:val="center"/>
              <w:rPr>
                <w:sz w:val="21"/>
                <w:szCs w:val="21"/>
                <w:lang w:eastAsia="zh-CN"/>
              </w:rPr>
            </w:pPr>
            <w:r>
              <w:rPr>
                <w:sz w:val="21"/>
                <w:szCs w:val="21"/>
                <w:lang w:eastAsia="zh-CN"/>
              </w:rPr>
              <w:t>100</w:t>
            </w:r>
          </w:p>
        </w:tc>
        <w:tc>
          <w:tcPr>
            <w:tcW w:w="802" w:type="dxa"/>
            <w:shd w:val="clear" w:color="auto" w:fill="D8D8D8" w:themeFill="background1" w:themeFillShade="D9"/>
          </w:tcPr>
          <w:p w14:paraId="7E180CDC">
            <w:pPr>
              <w:pStyle w:val="8"/>
              <w:spacing w:before="72" w:beforeLines="30" w:after="72" w:afterLines="30" w:line="280" w:lineRule="exact"/>
              <w:jc w:val="center"/>
              <w:rPr>
                <w:sz w:val="21"/>
                <w:szCs w:val="21"/>
                <w:lang w:eastAsia="zh-CN"/>
              </w:rPr>
            </w:pPr>
            <w:r>
              <w:rPr>
                <w:sz w:val="21"/>
                <w:szCs w:val="21"/>
                <w:lang w:eastAsia="zh-CN"/>
              </w:rPr>
              <w:t>150</w:t>
            </w:r>
          </w:p>
        </w:tc>
        <w:tc>
          <w:tcPr>
            <w:tcW w:w="802" w:type="dxa"/>
            <w:shd w:val="clear" w:color="auto" w:fill="D8D8D8" w:themeFill="background1" w:themeFillShade="D9"/>
          </w:tcPr>
          <w:p w14:paraId="5B4B8B0A">
            <w:pPr>
              <w:pStyle w:val="8"/>
              <w:spacing w:before="72" w:beforeLines="30" w:after="72" w:afterLines="30" w:line="280" w:lineRule="exact"/>
              <w:jc w:val="center"/>
              <w:rPr>
                <w:sz w:val="21"/>
                <w:szCs w:val="21"/>
                <w:lang w:eastAsia="zh-CN"/>
              </w:rPr>
            </w:pPr>
            <w:r>
              <w:rPr>
                <w:sz w:val="21"/>
                <w:szCs w:val="21"/>
                <w:lang w:eastAsia="zh-CN"/>
              </w:rPr>
              <w:t>170</w:t>
            </w:r>
          </w:p>
        </w:tc>
        <w:tc>
          <w:tcPr>
            <w:tcW w:w="802" w:type="dxa"/>
            <w:shd w:val="clear" w:color="auto" w:fill="D8D8D8" w:themeFill="background1" w:themeFillShade="D9"/>
          </w:tcPr>
          <w:p w14:paraId="6D473D51">
            <w:pPr>
              <w:pStyle w:val="8"/>
              <w:spacing w:before="72" w:beforeLines="30" w:after="72" w:afterLines="30" w:line="280" w:lineRule="exact"/>
              <w:jc w:val="center"/>
              <w:rPr>
                <w:sz w:val="21"/>
                <w:szCs w:val="21"/>
                <w:lang w:eastAsia="zh-CN"/>
              </w:rPr>
            </w:pPr>
            <w:r>
              <w:rPr>
                <w:sz w:val="21"/>
                <w:szCs w:val="21"/>
                <w:lang w:eastAsia="zh-CN"/>
              </w:rPr>
              <w:t>250</w:t>
            </w:r>
          </w:p>
        </w:tc>
        <w:tc>
          <w:tcPr>
            <w:tcW w:w="802" w:type="dxa"/>
            <w:shd w:val="clear" w:color="auto" w:fill="D8D8D8" w:themeFill="background1" w:themeFillShade="D9"/>
          </w:tcPr>
          <w:p w14:paraId="4887BB97">
            <w:pPr>
              <w:pStyle w:val="8"/>
              <w:spacing w:before="72" w:beforeLines="30" w:after="72" w:afterLines="30" w:line="280" w:lineRule="exact"/>
              <w:jc w:val="center"/>
              <w:rPr>
                <w:sz w:val="21"/>
                <w:szCs w:val="21"/>
                <w:lang w:eastAsia="zh-CN"/>
              </w:rPr>
            </w:pPr>
            <w:r>
              <w:rPr>
                <w:sz w:val="21"/>
                <w:szCs w:val="21"/>
                <w:lang w:eastAsia="zh-CN"/>
              </w:rPr>
              <w:t>160</w:t>
            </w:r>
          </w:p>
        </w:tc>
        <w:tc>
          <w:tcPr>
            <w:tcW w:w="802" w:type="dxa"/>
            <w:shd w:val="clear" w:color="auto" w:fill="D8D8D8" w:themeFill="background1" w:themeFillShade="D9"/>
          </w:tcPr>
          <w:p w14:paraId="64A8A297">
            <w:pPr>
              <w:pStyle w:val="8"/>
              <w:spacing w:before="72" w:beforeLines="30" w:after="72" w:afterLines="30" w:line="280" w:lineRule="exact"/>
              <w:jc w:val="center"/>
              <w:rPr>
                <w:sz w:val="21"/>
                <w:szCs w:val="21"/>
                <w:lang w:eastAsia="zh-CN"/>
              </w:rPr>
            </w:pPr>
            <w:r>
              <w:rPr>
                <w:sz w:val="21"/>
                <w:szCs w:val="21"/>
                <w:lang w:eastAsia="zh-CN"/>
              </w:rPr>
              <w:t>80</w:t>
            </w:r>
          </w:p>
        </w:tc>
        <w:tc>
          <w:tcPr>
            <w:tcW w:w="802" w:type="dxa"/>
            <w:shd w:val="clear" w:color="auto" w:fill="D8D8D8" w:themeFill="background1" w:themeFillShade="D9"/>
          </w:tcPr>
          <w:p w14:paraId="276403FE">
            <w:pPr>
              <w:pStyle w:val="8"/>
              <w:spacing w:before="72" w:beforeLines="30" w:after="72" w:afterLines="30" w:line="280" w:lineRule="exact"/>
              <w:jc w:val="center"/>
              <w:rPr>
                <w:sz w:val="21"/>
                <w:szCs w:val="21"/>
                <w:lang w:eastAsia="zh-CN"/>
              </w:rPr>
            </w:pPr>
            <w:r>
              <w:rPr>
                <w:sz w:val="21"/>
                <w:szCs w:val="21"/>
                <w:lang w:eastAsia="zh-CN"/>
              </w:rPr>
              <w:t>40</w:t>
            </w:r>
          </w:p>
        </w:tc>
        <w:tc>
          <w:tcPr>
            <w:tcW w:w="802" w:type="dxa"/>
          </w:tcPr>
          <w:p w14:paraId="24521E40">
            <w:pPr>
              <w:pStyle w:val="8"/>
              <w:spacing w:before="72" w:beforeLines="30" w:after="72" w:afterLines="30" w:line="280" w:lineRule="exact"/>
              <w:jc w:val="center"/>
              <w:rPr>
                <w:sz w:val="21"/>
                <w:szCs w:val="21"/>
                <w:lang w:eastAsia="zh-CN"/>
              </w:rPr>
            </w:pPr>
            <w:r>
              <w:rPr>
                <w:sz w:val="21"/>
                <w:szCs w:val="21"/>
                <w:lang w:eastAsia="zh-CN"/>
              </w:rPr>
              <w:t>0</w:t>
            </w:r>
          </w:p>
        </w:tc>
      </w:tr>
      <w:tr w14:paraId="6630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3167517B">
            <w:pPr>
              <w:pStyle w:val="8"/>
              <w:spacing w:before="72" w:beforeLines="30" w:after="72" w:afterLines="30" w:line="280" w:lineRule="exact"/>
              <w:jc w:val="center"/>
              <w:rPr>
                <w:sz w:val="21"/>
                <w:szCs w:val="21"/>
                <w:lang w:eastAsia="zh-CN"/>
              </w:rPr>
            </w:pPr>
            <w:r>
              <w:rPr>
                <w:rFonts w:hint="eastAsia"/>
                <w:sz w:val="21"/>
                <w:szCs w:val="21"/>
                <w:lang w:eastAsia="zh-CN"/>
              </w:rPr>
              <w:t>总计</w:t>
            </w:r>
          </w:p>
        </w:tc>
        <w:tc>
          <w:tcPr>
            <w:tcW w:w="801" w:type="dxa"/>
          </w:tcPr>
          <w:p w14:paraId="64D1708A">
            <w:pPr>
              <w:pStyle w:val="8"/>
              <w:spacing w:before="72" w:beforeLines="30" w:after="72" w:afterLines="30" w:line="280" w:lineRule="exact"/>
              <w:jc w:val="center"/>
              <w:rPr>
                <w:sz w:val="21"/>
                <w:szCs w:val="21"/>
                <w:lang w:eastAsia="zh-CN"/>
              </w:rPr>
            </w:pPr>
            <w:r>
              <w:rPr>
                <w:sz w:val="21"/>
                <w:szCs w:val="21"/>
                <w:lang w:eastAsia="zh-CN"/>
              </w:rPr>
              <w:t>1</w:t>
            </w:r>
          </w:p>
        </w:tc>
        <w:tc>
          <w:tcPr>
            <w:tcW w:w="801" w:type="dxa"/>
          </w:tcPr>
          <w:p w14:paraId="0B3804F9">
            <w:pPr>
              <w:pStyle w:val="8"/>
              <w:spacing w:before="72" w:beforeLines="30" w:after="72" w:afterLines="30" w:line="280" w:lineRule="exact"/>
              <w:jc w:val="center"/>
              <w:rPr>
                <w:sz w:val="21"/>
                <w:szCs w:val="21"/>
                <w:lang w:eastAsia="zh-CN"/>
              </w:rPr>
            </w:pPr>
            <w:r>
              <w:rPr>
                <w:sz w:val="21"/>
                <w:szCs w:val="21"/>
                <w:lang w:eastAsia="zh-CN"/>
              </w:rPr>
              <w:t>7</w:t>
            </w:r>
          </w:p>
        </w:tc>
        <w:tc>
          <w:tcPr>
            <w:tcW w:w="801" w:type="dxa"/>
            <w:shd w:val="clear" w:color="auto" w:fill="D8D8D8" w:themeFill="background1" w:themeFillShade="D9"/>
          </w:tcPr>
          <w:p w14:paraId="28D888DF">
            <w:pPr>
              <w:pStyle w:val="8"/>
              <w:spacing w:before="72" w:beforeLines="30" w:after="72" w:afterLines="30" w:line="280" w:lineRule="exact"/>
              <w:jc w:val="center"/>
              <w:rPr>
                <w:sz w:val="21"/>
                <w:szCs w:val="21"/>
                <w:lang w:eastAsia="zh-CN"/>
              </w:rPr>
            </w:pPr>
            <w:r>
              <w:rPr>
                <w:sz w:val="21"/>
                <w:szCs w:val="21"/>
                <w:lang w:eastAsia="zh-CN"/>
              </w:rPr>
              <w:t>27</w:t>
            </w:r>
          </w:p>
        </w:tc>
        <w:tc>
          <w:tcPr>
            <w:tcW w:w="802" w:type="dxa"/>
            <w:shd w:val="clear" w:color="auto" w:fill="D8D8D8" w:themeFill="background1" w:themeFillShade="D9"/>
          </w:tcPr>
          <w:p w14:paraId="4FD43160">
            <w:pPr>
              <w:pStyle w:val="8"/>
              <w:spacing w:before="72" w:beforeLines="30" w:after="72" w:afterLines="30" w:line="280" w:lineRule="exact"/>
              <w:jc w:val="center"/>
              <w:rPr>
                <w:sz w:val="21"/>
                <w:szCs w:val="21"/>
                <w:lang w:eastAsia="zh-CN"/>
              </w:rPr>
            </w:pPr>
            <w:r>
              <w:rPr>
                <w:sz w:val="21"/>
                <w:szCs w:val="21"/>
                <w:lang w:eastAsia="zh-CN"/>
              </w:rPr>
              <w:t>114</w:t>
            </w:r>
          </w:p>
        </w:tc>
        <w:tc>
          <w:tcPr>
            <w:tcW w:w="802" w:type="dxa"/>
            <w:shd w:val="clear" w:color="auto" w:fill="D8D8D8" w:themeFill="background1" w:themeFillShade="D9"/>
          </w:tcPr>
          <w:p w14:paraId="64227C0F">
            <w:pPr>
              <w:pStyle w:val="8"/>
              <w:spacing w:before="72" w:beforeLines="30" w:after="72" w:afterLines="30" w:line="280" w:lineRule="exact"/>
              <w:jc w:val="center"/>
              <w:rPr>
                <w:sz w:val="21"/>
                <w:szCs w:val="21"/>
                <w:lang w:eastAsia="zh-CN"/>
              </w:rPr>
            </w:pPr>
            <w:r>
              <w:rPr>
                <w:sz w:val="21"/>
                <w:szCs w:val="21"/>
                <w:lang w:eastAsia="zh-CN"/>
              </w:rPr>
              <w:t>172</w:t>
            </w:r>
          </w:p>
        </w:tc>
        <w:tc>
          <w:tcPr>
            <w:tcW w:w="802" w:type="dxa"/>
            <w:shd w:val="clear" w:color="auto" w:fill="D8D8D8" w:themeFill="background1" w:themeFillShade="D9"/>
          </w:tcPr>
          <w:p w14:paraId="02733312">
            <w:pPr>
              <w:pStyle w:val="8"/>
              <w:spacing w:before="72" w:beforeLines="30" w:after="72" w:afterLines="30" w:line="280" w:lineRule="exact"/>
              <w:jc w:val="center"/>
              <w:rPr>
                <w:sz w:val="21"/>
                <w:szCs w:val="21"/>
                <w:lang w:eastAsia="zh-CN"/>
              </w:rPr>
            </w:pPr>
            <w:r>
              <w:rPr>
                <w:sz w:val="21"/>
                <w:szCs w:val="21"/>
                <w:lang w:eastAsia="zh-CN"/>
              </w:rPr>
              <w:t>185</w:t>
            </w:r>
          </w:p>
        </w:tc>
        <w:tc>
          <w:tcPr>
            <w:tcW w:w="802" w:type="dxa"/>
            <w:shd w:val="clear" w:color="auto" w:fill="D8D8D8" w:themeFill="background1" w:themeFillShade="D9"/>
          </w:tcPr>
          <w:p w14:paraId="12B232F9">
            <w:pPr>
              <w:pStyle w:val="8"/>
              <w:spacing w:before="72" w:beforeLines="30" w:after="72" w:afterLines="30" w:line="280" w:lineRule="exact"/>
              <w:jc w:val="center"/>
              <w:rPr>
                <w:sz w:val="21"/>
                <w:szCs w:val="21"/>
                <w:lang w:eastAsia="zh-CN"/>
              </w:rPr>
            </w:pPr>
            <w:r>
              <w:rPr>
                <w:sz w:val="21"/>
                <w:szCs w:val="21"/>
                <w:lang w:eastAsia="zh-CN"/>
              </w:rPr>
              <w:t>293</w:t>
            </w:r>
          </w:p>
        </w:tc>
        <w:tc>
          <w:tcPr>
            <w:tcW w:w="802" w:type="dxa"/>
            <w:shd w:val="clear" w:color="auto" w:fill="D8D8D8" w:themeFill="background1" w:themeFillShade="D9"/>
          </w:tcPr>
          <w:p w14:paraId="3D900BE0">
            <w:pPr>
              <w:pStyle w:val="8"/>
              <w:spacing w:before="72" w:beforeLines="30" w:after="72" w:afterLines="30" w:line="280" w:lineRule="exact"/>
              <w:jc w:val="center"/>
              <w:rPr>
                <w:sz w:val="21"/>
                <w:szCs w:val="21"/>
                <w:lang w:eastAsia="zh-CN"/>
              </w:rPr>
            </w:pPr>
            <w:r>
              <w:rPr>
                <w:sz w:val="21"/>
                <w:szCs w:val="21"/>
                <w:lang w:eastAsia="zh-CN"/>
              </w:rPr>
              <w:t>192</w:t>
            </w:r>
          </w:p>
        </w:tc>
        <w:tc>
          <w:tcPr>
            <w:tcW w:w="802" w:type="dxa"/>
            <w:shd w:val="clear" w:color="auto" w:fill="D8D8D8" w:themeFill="background1" w:themeFillShade="D9"/>
          </w:tcPr>
          <w:p w14:paraId="63DB30AB">
            <w:pPr>
              <w:pStyle w:val="8"/>
              <w:spacing w:before="72" w:beforeLines="30" w:after="72" w:afterLines="30" w:line="280" w:lineRule="exact"/>
              <w:jc w:val="center"/>
              <w:rPr>
                <w:sz w:val="21"/>
                <w:szCs w:val="21"/>
                <w:lang w:eastAsia="zh-CN"/>
              </w:rPr>
            </w:pPr>
            <w:r>
              <w:rPr>
                <w:sz w:val="21"/>
                <w:szCs w:val="21"/>
                <w:lang w:eastAsia="zh-CN"/>
              </w:rPr>
              <w:t>96</w:t>
            </w:r>
          </w:p>
        </w:tc>
        <w:tc>
          <w:tcPr>
            <w:tcW w:w="802" w:type="dxa"/>
            <w:shd w:val="clear" w:color="auto" w:fill="D8D8D8" w:themeFill="background1" w:themeFillShade="D9"/>
          </w:tcPr>
          <w:p w14:paraId="542CC319">
            <w:pPr>
              <w:pStyle w:val="8"/>
              <w:spacing w:before="72" w:beforeLines="30" w:after="72" w:afterLines="30" w:line="280" w:lineRule="exact"/>
              <w:jc w:val="center"/>
              <w:rPr>
                <w:sz w:val="21"/>
                <w:szCs w:val="21"/>
                <w:lang w:eastAsia="zh-CN"/>
              </w:rPr>
            </w:pPr>
            <w:r>
              <w:rPr>
                <w:sz w:val="21"/>
                <w:szCs w:val="21"/>
                <w:lang w:eastAsia="zh-CN"/>
              </w:rPr>
              <w:t>42</w:t>
            </w:r>
          </w:p>
        </w:tc>
        <w:tc>
          <w:tcPr>
            <w:tcW w:w="802" w:type="dxa"/>
          </w:tcPr>
          <w:p w14:paraId="5AB32200">
            <w:pPr>
              <w:pStyle w:val="8"/>
              <w:spacing w:before="72" w:beforeLines="30" w:after="72" w:afterLines="30" w:line="280" w:lineRule="exact"/>
              <w:jc w:val="center"/>
              <w:rPr>
                <w:sz w:val="21"/>
                <w:szCs w:val="21"/>
                <w:lang w:eastAsia="zh-CN"/>
              </w:rPr>
            </w:pPr>
            <w:r>
              <w:rPr>
                <w:sz w:val="21"/>
                <w:szCs w:val="21"/>
                <w:lang w:eastAsia="zh-CN"/>
              </w:rPr>
              <w:t>0</w:t>
            </w:r>
          </w:p>
        </w:tc>
      </w:tr>
    </w:tbl>
    <w:p w14:paraId="54B814EF">
      <w:pPr>
        <w:pStyle w:val="8"/>
        <w:spacing w:before="144"/>
        <w:rPr>
          <w:lang w:eastAsia="zh-CN"/>
        </w:rPr>
      </w:pPr>
    </w:p>
    <w:p w14:paraId="029D03DC">
      <w:pPr>
        <w:pStyle w:val="8"/>
        <w:numPr>
          <w:ilvl w:val="0"/>
          <w:numId w:val="3"/>
        </w:numPr>
        <w:tabs>
          <w:tab w:val="left" w:pos="440"/>
        </w:tabs>
        <w:spacing w:before="144"/>
        <w:ind w:left="0" w:firstLine="0"/>
        <w:rPr>
          <w:b/>
          <w:lang w:eastAsia="zh-CN"/>
        </w:rPr>
      </w:pPr>
      <w:r>
        <w:rPr>
          <w:rFonts w:hint="eastAsia"/>
          <w:b/>
          <w:lang w:eastAsia="zh-CN"/>
        </w:rPr>
        <w:t>显色培养基的附加试验</w:t>
      </w:r>
    </w:p>
    <w:p w14:paraId="0468ED2E">
      <w:pPr>
        <w:pStyle w:val="8"/>
        <w:spacing w:before="144"/>
        <w:rPr>
          <w:lang w:eastAsia="zh-CN"/>
        </w:rPr>
      </w:pPr>
      <w:r>
        <w:rPr>
          <w:rFonts w:hint="eastAsia"/>
          <w:lang w:eastAsia="zh-CN"/>
        </w:rPr>
        <w:t>如果贵公司建议贵公司的新器械上生长的菌落可用于进行其他试验，则应通过对每个试验进行确认研究来证明这些试验的结果准确。试验应包括但不限于过氧化氢酶、凝固酶和乳胶凝集。</w:t>
      </w:r>
    </w:p>
    <w:p w14:paraId="5DD7D63D">
      <w:pPr>
        <w:pStyle w:val="8"/>
        <w:numPr>
          <w:ilvl w:val="0"/>
          <w:numId w:val="3"/>
        </w:numPr>
        <w:tabs>
          <w:tab w:val="left" w:pos="440"/>
        </w:tabs>
        <w:spacing w:before="144"/>
        <w:ind w:left="0" w:firstLine="0"/>
        <w:rPr>
          <w:b/>
          <w:lang w:eastAsia="zh-CN"/>
        </w:rPr>
      </w:pPr>
      <w:bookmarkStart w:id="30" w:name="4._Clinical_Performance_Studies"/>
      <w:bookmarkEnd w:id="30"/>
      <w:r>
        <w:rPr>
          <w:rFonts w:hint="eastAsia"/>
          <w:b/>
          <w:lang w:eastAsia="zh-CN"/>
        </w:rPr>
        <w:t>临床性能研究</w:t>
      </w:r>
    </w:p>
    <w:p w14:paraId="2B3E72F6">
      <w:pPr>
        <w:pStyle w:val="8"/>
        <w:spacing w:before="144"/>
        <w:rPr>
          <w:b/>
          <w:i/>
          <w:lang w:eastAsia="zh-CN"/>
        </w:rPr>
      </w:pPr>
      <w:r>
        <w:rPr>
          <w:rFonts w:hint="eastAsia"/>
          <w:b/>
          <w:i/>
          <w:lang w:eastAsia="zh-CN"/>
        </w:rPr>
        <w:t>研究方案</w:t>
      </w:r>
    </w:p>
    <w:p w14:paraId="090DE853">
      <w:pPr>
        <w:pStyle w:val="8"/>
        <w:spacing w:before="144"/>
        <w:rPr>
          <w:lang w:eastAsia="zh-CN"/>
        </w:rPr>
      </w:pPr>
      <w:r>
        <w:rPr>
          <w:rFonts w:hint="eastAsia"/>
          <w:lang w:eastAsia="zh-CN"/>
        </w:rPr>
        <w:t>我们建议贵公司制定详细的研究方案，例如：</w:t>
      </w:r>
    </w:p>
    <w:p w14:paraId="79AFAADB">
      <w:pPr>
        <w:pStyle w:val="8"/>
        <w:numPr>
          <w:ilvl w:val="0"/>
          <w:numId w:val="6"/>
        </w:numPr>
        <w:spacing w:before="144"/>
        <w:ind w:left="920" w:leftChars="200" w:hanging="480" w:hangingChars="200"/>
      </w:pPr>
      <w:r>
        <w:rPr>
          <w:rFonts w:hint="eastAsia"/>
        </w:rPr>
        <w:t>患者入选和排除标准，</w:t>
      </w:r>
    </w:p>
    <w:p w14:paraId="3BFCCCF3">
      <w:pPr>
        <w:pStyle w:val="8"/>
        <w:numPr>
          <w:ilvl w:val="0"/>
          <w:numId w:val="6"/>
        </w:numPr>
        <w:spacing w:before="144"/>
        <w:ind w:left="920" w:leftChars="200" w:hanging="480" w:hangingChars="200"/>
        <w:rPr>
          <w:lang w:eastAsia="zh-CN"/>
        </w:rPr>
      </w:pPr>
      <w:r>
        <w:rPr>
          <w:rFonts w:hint="eastAsia"/>
          <w:lang w:eastAsia="zh-CN"/>
        </w:rPr>
        <w:t>所需样本的类型和数量，</w:t>
      </w:r>
    </w:p>
    <w:p w14:paraId="53A3BADF">
      <w:pPr>
        <w:pStyle w:val="8"/>
        <w:numPr>
          <w:ilvl w:val="0"/>
          <w:numId w:val="6"/>
        </w:numPr>
        <w:spacing w:before="144"/>
        <w:ind w:left="920" w:leftChars="200" w:hanging="480" w:hangingChars="200"/>
      </w:pPr>
      <w:r>
        <w:rPr>
          <w:rFonts w:hint="eastAsia"/>
        </w:rPr>
        <w:t>使用说明，</w:t>
      </w:r>
    </w:p>
    <w:p w14:paraId="607595C2">
      <w:pPr>
        <w:pStyle w:val="8"/>
        <w:numPr>
          <w:ilvl w:val="0"/>
          <w:numId w:val="6"/>
        </w:numPr>
        <w:spacing w:before="144"/>
        <w:ind w:left="920" w:leftChars="200" w:hanging="480" w:hangingChars="200"/>
      </w:pPr>
      <w:r>
        <w:rPr>
          <w:rFonts w:hint="eastAsia"/>
        </w:rPr>
        <w:t>质量控制方法，以及</w:t>
      </w:r>
    </w:p>
    <w:p w14:paraId="7EE248EF">
      <w:pPr>
        <w:pStyle w:val="8"/>
        <w:numPr>
          <w:ilvl w:val="0"/>
          <w:numId w:val="6"/>
        </w:numPr>
        <w:spacing w:before="144"/>
        <w:ind w:left="920" w:leftChars="200" w:hanging="480" w:hangingChars="200"/>
        <w:rPr>
          <w:lang w:eastAsia="zh-CN"/>
        </w:rPr>
      </w:pPr>
      <w:r>
        <w:rPr>
          <w:rFonts w:hint="eastAsia"/>
          <w:lang w:eastAsia="zh-CN"/>
        </w:rPr>
        <w:t>解释差异以防止数据产生偏倚的统计分析计划。</w:t>
      </w:r>
    </w:p>
    <w:p w14:paraId="39579E39">
      <w:pPr>
        <w:pStyle w:val="8"/>
        <w:spacing w:before="144"/>
        <w:rPr>
          <w:lang w:eastAsia="zh-CN"/>
        </w:rPr>
      </w:pPr>
      <w:r>
        <w:rPr>
          <w:rFonts w:hint="eastAsia"/>
          <w:lang w:eastAsia="zh-CN"/>
        </w:rPr>
        <w:t>我们建议贵公司在贵公司的上市前提交资料中提供此和任何其他相关的研究方案信息。</w:t>
      </w:r>
    </w:p>
    <w:p w14:paraId="4D551DEA">
      <w:pPr>
        <w:pStyle w:val="8"/>
        <w:spacing w:before="144"/>
        <w:rPr>
          <w:lang w:eastAsia="zh-CN"/>
        </w:rPr>
      </w:pPr>
      <w:r>
        <w:rPr>
          <w:rFonts w:hint="eastAsia"/>
          <w:lang w:eastAsia="zh-CN"/>
        </w:rPr>
        <w:t>为帮助贵公司设计贵公司的方案，我们鼓励贵公司发送贵公司的拟定研究和样本类型的选择至微生物学器械部以供审查。这被称为预IDE4过程。</w:t>
      </w:r>
    </w:p>
    <w:p w14:paraId="5705CEA7">
      <w:pPr>
        <w:pStyle w:val="8"/>
        <w:spacing w:before="144"/>
        <w:rPr>
          <w:b/>
          <w:i/>
          <w:lang w:eastAsia="zh-CN"/>
        </w:rPr>
      </w:pPr>
      <w:r>
        <w:rPr>
          <w:rFonts w:hint="eastAsia"/>
          <w:b/>
          <w:i/>
          <w:lang w:eastAsia="zh-CN"/>
        </w:rPr>
        <w:t>样本类型</w:t>
      </w:r>
    </w:p>
    <w:p w14:paraId="652230F2">
      <w:pPr>
        <w:pStyle w:val="8"/>
        <w:spacing w:before="144"/>
        <w:rPr>
          <w:lang w:eastAsia="zh-CN"/>
        </w:rPr>
      </w:pPr>
      <w:r>
        <w:rPr>
          <w:rFonts w:hint="eastAsia"/>
          <w:lang w:eastAsia="zh-CN"/>
        </w:rPr>
        <w:t>贵公司纳入在贵公司研究中以用于证实与MRSA或MRSA / SA检测相关的声明的样本类型总数将取决于细菌在贵公司的临床研究患者人群中的患病率和贵公司器械的性能。我们建议所有MRSA器械可示出至少95％的灵敏度/特异性结果，其中，95％（双侧）的置信界限下限超过90％。如果贵公司的器械可检测MRSA / SA，我们建议MRSA结果的灵敏度/特异性应该至少为95％，其中，95％的（双侧）置信界限下限超过90％，SA的灵敏度/特异性也应该至少为95％，其中，95％的（双侧）置信界限下限超过90％。</w:t>
      </w:r>
    </w:p>
    <w:p w14:paraId="767C74C3">
      <w:pPr>
        <w:pStyle w:val="8"/>
        <w:spacing w:before="144"/>
        <w:rPr>
          <w:lang w:eastAsia="zh-CN"/>
        </w:rPr>
      </w:pPr>
      <w:r>
        <w:rPr>
          <w:rFonts w:hint="eastAsia"/>
          <w:lang w:eastAsia="zh-CN"/>
        </w:rPr>
        <w:t>一般来说，我们建议在每个临床站点对至少50个样本进行测试，其中，此类样本已使用参考方法确定为阳性。如果贵公司的器械可与连续监测血培养系统检测到的阳性血培养瓶结合使用，且贵公司拟定对不同的血培养瓶类型进行声明，则临床研究中应包括至少20个MRSA阳性样本（每个声明的血培养瓶类型） 。如果数据在通过血培养系统和血培养瓶类型分层时指示在特定血培养系统内的血培养系统或血培养瓶类型之间的测定性能存在显著差异，则数据将不被视为等同，并且无法合并，而应单独分析。如果发生这种情况，应对其他前瞻性采集的临床样本进行测试，分别支持每个所声明的血液培养工具系统和血培养瓶类型。为缓解这种风险，我们建议贵公司进行分析可合并性研究，其中至少在单个站点对两个声明血液培养工具及其各自的声明血液培养瓶类型进行测试。然后，应分析数据来确定跨不同血培养瓶类型和血培养工具系统的可合并性。如果在进行临床研究之前进行该研究，则可通过证明样本数据可以合并来确认后续临床研究的可行性。</w:t>
      </w:r>
    </w:p>
    <w:p w14:paraId="74735067">
      <w:pPr>
        <w:pStyle w:val="8"/>
        <w:spacing w:before="144"/>
        <w:rPr>
          <w:b/>
          <w:i/>
          <w:lang w:eastAsia="zh-CN"/>
        </w:rPr>
      </w:pPr>
      <w:r>
        <w:rPr>
          <w:rFonts w:hint="eastAsia"/>
          <w:b/>
          <w:i/>
          <w:lang w:eastAsia="zh-CN"/>
        </w:rPr>
        <w:t>研究站点</w:t>
      </w:r>
    </w:p>
    <w:p w14:paraId="325A848B">
      <w:pPr>
        <w:pStyle w:val="8"/>
        <w:spacing w:before="144"/>
        <w:rPr>
          <w:lang w:eastAsia="zh-CN"/>
        </w:rPr>
      </w:pPr>
      <w:r>
        <w:rPr>
          <w:rFonts w:hint="eastAsia"/>
          <w:lang w:eastAsia="zh-CN"/>
        </w:rPr>
        <w:t>我们建议贵公司至少在三个地理位置不同的机构进行贵公司的研究，其中两个站点应在美国境内。</w:t>
      </w:r>
    </w:p>
    <w:p w14:paraId="25CBE926">
      <w:pPr>
        <w:pStyle w:val="8"/>
        <w:spacing w:before="144"/>
        <w:rPr>
          <w:b/>
          <w:i/>
          <w:lang w:eastAsia="zh-CN"/>
        </w:rPr>
      </w:pPr>
      <w:r>
        <w:rPr>
          <w:rFonts w:hint="eastAsia"/>
          <w:b/>
          <w:i/>
          <w:lang w:eastAsia="zh-CN"/>
        </w:rPr>
        <w:t>研究人群</w:t>
      </w:r>
    </w:p>
    <w:p w14:paraId="665BF20C">
      <w:pPr>
        <w:pStyle w:val="8"/>
        <w:spacing w:before="144"/>
        <w:rPr>
          <w:lang w:eastAsia="zh-CN"/>
        </w:rPr>
      </w:pPr>
      <w:r>
        <w:rPr>
          <w:rFonts w:hint="eastAsia"/>
          <w:lang w:eastAsia="zh-CN"/>
        </w:rPr>
        <w:t>我们建议贵公司使用来自拟定靶标人群的样本进行研究。为在贵公司的临床研究患者群体中保持SA的真实患病率，先前招入临床研究中的患者不应重新进入相同的临床研究。如果患者的抗生素使用史可用而且可靠，应对其进行收集和记录患者。</w:t>
      </w:r>
    </w:p>
    <w:p w14:paraId="1541F88A">
      <w:pPr>
        <w:pStyle w:val="8"/>
        <w:spacing w:before="144"/>
        <w:rPr>
          <w:lang w:eastAsia="zh-CN"/>
        </w:rPr>
      </w:pPr>
      <w:r>
        <w:rPr>
          <w:lang w:eastAsia="zh-CN"/>
        </w:rPr>
        <w:br w:type="page"/>
      </w:r>
    </w:p>
    <w:p w14:paraId="3350BB31">
      <w:pPr>
        <w:pStyle w:val="8"/>
        <w:spacing w:before="144"/>
        <w:rPr>
          <w:b/>
          <w:i/>
          <w:lang w:eastAsia="zh-CN"/>
        </w:rPr>
      </w:pPr>
      <w:r>
        <w:rPr>
          <w:rFonts w:hint="eastAsia"/>
          <w:b/>
          <w:i/>
          <w:lang w:eastAsia="zh-CN"/>
        </w:rPr>
        <w:t>重现性</w:t>
      </w:r>
    </w:p>
    <w:p w14:paraId="732A9B2B">
      <w:pPr>
        <w:pStyle w:val="8"/>
        <w:spacing w:before="144"/>
        <w:rPr>
          <w:lang w:eastAsia="zh-CN"/>
        </w:rPr>
      </w:pPr>
      <w:r>
        <w:rPr>
          <w:rFonts w:hint="eastAsia"/>
          <w:lang w:eastAsia="zh-CN"/>
        </w:rPr>
        <w:t>重现性研究的方案可能会因器械形式而略有不同。作为一般指南，我们建议遵守以下指南：</w:t>
      </w:r>
    </w:p>
    <w:p w14:paraId="20288CAC">
      <w:pPr>
        <w:pStyle w:val="8"/>
        <w:spacing w:before="144"/>
        <w:rPr>
          <w:lang w:eastAsia="zh-CN"/>
        </w:rPr>
      </w:pPr>
      <w:r>
        <w:rPr>
          <w:rFonts w:hint="eastAsia"/>
          <w:lang w:eastAsia="zh-CN"/>
        </w:rPr>
        <w:t>使用编码或盲选微生物；</w:t>
      </w:r>
    </w:p>
    <w:p w14:paraId="276FCC31">
      <w:pPr>
        <w:pStyle w:val="8"/>
        <w:numPr>
          <w:ilvl w:val="0"/>
          <w:numId w:val="7"/>
        </w:numPr>
        <w:spacing w:before="144"/>
        <w:ind w:left="920" w:leftChars="200" w:hanging="480" w:hangingChars="200"/>
        <w:rPr>
          <w:lang w:eastAsia="zh-CN"/>
        </w:rPr>
      </w:pPr>
      <w:r>
        <w:rPr>
          <w:rFonts w:hint="eastAsia"/>
          <w:lang w:eastAsia="zh-CN"/>
        </w:rPr>
        <w:t>在三个试验站点（例如，两个外部站点和一个内部站点）评价贵公司器械的重现性，其中，每个站点至少有两名操作者；</w:t>
      </w:r>
    </w:p>
    <w:p w14:paraId="2E2D32FE">
      <w:pPr>
        <w:pStyle w:val="8"/>
        <w:numPr>
          <w:ilvl w:val="0"/>
          <w:numId w:val="7"/>
        </w:numPr>
        <w:spacing w:before="144"/>
        <w:ind w:left="920" w:leftChars="200" w:hanging="480" w:hangingChars="200"/>
        <w:rPr>
          <w:lang w:eastAsia="zh-CN"/>
        </w:rPr>
      </w:pPr>
      <w:r>
        <w:rPr>
          <w:rFonts w:hint="eastAsia"/>
          <w:lang w:eastAsia="zh-CN"/>
        </w:rPr>
        <w:t>测试至少10个所选微生物，并提供阳性和阴性控制；</w:t>
      </w:r>
    </w:p>
    <w:p w14:paraId="654D501B">
      <w:pPr>
        <w:pStyle w:val="8"/>
        <w:numPr>
          <w:ilvl w:val="0"/>
          <w:numId w:val="7"/>
        </w:numPr>
        <w:spacing w:before="144"/>
        <w:ind w:left="920" w:leftChars="200" w:hanging="480" w:hangingChars="200"/>
        <w:rPr>
          <w:lang w:eastAsia="zh-CN"/>
        </w:rPr>
      </w:pPr>
      <w:r>
        <w:rPr>
          <w:rFonts w:hint="eastAsia"/>
          <w:lang w:eastAsia="zh-CN"/>
        </w:rPr>
        <w:t>使用长达五天的试验方案；</w:t>
      </w:r>
    </w:p>
    <w:p w14:paraId="208DA0DB">
      <w:pPr>
        <w:pStyle w:val="8"/>
        <w:numPr>
          <w:ilvl w:val="0"/>
          <w:numId w:val="7"/>
        </w:numPr>
        <w:spacing w:before="144"/>
        <w:ind w:left="920" w:leftChars="200" w:hanging="480" w:hangingChars="200"/>
        <w:rPr>
          <w:lang w:eastAsia="zh-CN"/>
        </w:rPr>
      </w:pPr>
      <w:r>
        <w:rPr>
          <w:rFonts w:hint="eastAsia"/>
          <w:lang w:eastAsia="zh-CN"/>
        </w:rPr>
        <w:t>提供试验的任何程序选项，即不同的接种方法，例如直接拭子接种vs拭子悬浮液（即在液体培养基中）接种；以及</w:t>
      </w:r>
    </w:p>
    <w:p w14:paraId="3738F529">
      <w:pPr>
        <w:pStyle w:val="8"/>
        <w:numPr>
          <w:ilvl w:val="0"/>
          <w:numId w:val="7"/>
        </w:numPr>
        <w:spacing w:before="144"/>
        <w:ind w:left="920" w:leftChars="200" w:hanging="480" w:hangingChars="200"/>
        <w:rPr>
          <w:lang w:eastAsia="zh-CN"/>
        </w:rPr>
      </w:pPr>
      <w:r>
        <w:rPr>
          <w:rFonts w:hint="eastAsia"/>
          <w:lang w:eastAsia="zh-CN"/>
        </w:rPr>
        <w:t>可接受的重现性至少</w:t>
      </w:r>
      <w:r>
        <w:rPr>
          <w:lang w:eastAsia="zh-CN"/>
        </w:rPr>
        <w:t>≥</w:t>
      </w:r>
      <w:r>
        <w:rPr>
          <w:rFonts w:hint="eastAsia"/>
          <w:lang w:eastAsia="zh-CN"/>
        </w:rPr>
        <w:t>95％。</w:t>
      </w:r>
    </w:p>
    <w:p w14:paraId="3624D2A8">
      <w:pPr>
        <w:pStyle w:val="8"/>
        <w:spacing w:before="144"/>
        <w:rPr>
          <w:b/>
          <w:i/>
          <w:lang w:eastAsia="zh-CN"/>
        </w:rPr>
      </w:pPr>
      <w:r>
        <w:rPr>
          <w:rFonts w:hint="eastAsia"/>
          <w:b/>
          <w:i/>
          <w:lang w:eastAsia="zh-CN"/>
        </w:rPr>
        <w:t>质量控制</w:t>
      </w:r>
    </w:p>
    <w:p w14:paraId="4DFF75B1">
      <w:pPr>
        <w:pStyle w:val="8"/>
        <w:spacing w:before="144"/>
        <w:rPr>
          <w:lang w:eastAsia="zh-CN"/>
        </w:rPr>
      </w:pPr>
      <w:r>
        <w:rPr>
          <w:rFonts w:hint="eastAsia"/>
          <w:lang w:eastAsia="zh-CN"/>
        </w:rPr>
        <w:t>我们建议贵公司针对参考方法和新器械以及任何程序选项（即不同的接种方法，例如新器械的标签中给定的液体培养基中的拭子和拭子悬浮液）每天测试所有质量控制微生物。纳入QC中的微生物应该由CLSI推荐。</w:t>
      </w:r>
    </w:p>
    <w:p w14:paraId="7F5919C7">
      <w:pPr>
        <w:pStyle w:val="8"/>
        <w:spacing w:before="144"/>
        <w:rPr>
          <w:lang w:eastAsia="zh-CN"/>
        </w:rPr>
      </w:pPr>
      <w:r>
        <w:rPr>
          <w:rFonts w:hint="eastAsia"/>
          <w:lang w:eastAsia="zh-CN"/>
        </w:rPr>
        <w:t>对于包装说明书中所述的每种接种方法，我们建议每个站点应至少提供20个试验结果。贵公司应该提供初始和重复QC结果，并说明对所有超出范围的试验结果采取的措施。在超出范围错误的根本原因已确定前，不应继续进行质量控制试验。</w:t>
      </w:r>
    </w:p>
    <w:p w14:paraId="178B03E9">
      <w:pPr>
        <w:pStyle w:val="8"/>
        <w:spacing w:before="144"/>
        <w:rPr>
          <w:lang w:eastAsia="zh-CN"/>
        </w:rPr>
      </w:pPr>
      <w:r>
        <w:rPr>
          <w:rFonts w:hint="eastAsia"/>
          <w:lang w:eastAsia="zh-CN"/>
        </w:rPr>
        <w:t>对于推荐的质量控制分离株，新器械的试验结果的95％应在预期范围内。应在器械包装说明书中推荐使用相同的QC微生物。包装说明书的QC部分还应提供以下声明</w:t>
      </w:r>
      <w:r>
        <w:rPr>
          <w:rFonts w:asciiTheme="minorEastAsia" w:hAnsiTheme="minorEastAsia" w:eastAsiaTheme="minorEastAsia"/>
          <w:lang w:eastAsia="zh-CN"/>
        </w:rPr>
        <w:t>“</w:t>
      </w:r>
      <w:r>
        <w:rPr>
          <w:rFonts w:hint="eastAsia"/>
          <w:lang w:eastAsia="zh-CN"/>
        </w:rPr>
        <w:t>应根据适用的州和/或联邦认证要求执行QC程序</w:t>
      </w:r>
      <w:r>
        <w:rPr>
          <w:rFonts w:asciiTheme="minorEastAsia" w:hAnsiTheme="minorEastAsia" w:eastAsiaTheme="minorEastAsia"/>
          <w:lang w:eastAsia="zh-CN"/>
        </w:rPr>
        <w:t>”</w:t>
      </w:r>
      <w:r>
        <w:rPr>
          <w:rFonts w:hint="eastAsia"/>
          <w:lang w:eastAsia="zh-CN"/>
        </w:rPr>
        <w:t>。</w:t>
      </w:r>
    </w:p>
    <w:p w14:paraId="3CB6997A">
      <w:pPr>
        <w:pStyle w:val="8"/>
        <w:spacing w:before="144"/>
        <w:rPr>
          <w:b/>
          <w:i/>
          <w:lang w:eastAsia="zh-CN"/>
        </w:rPr>
      </w:pPr>
      <w:r>
        <w:rPr>
          <w:rFonts w:hint="eastAsia"/>
          <w:b/>
          <w:i/>
          <w:lang w:eastAsia="zh-CN"/>
        </w:rPr>
        <w:t>参考方法</w:t>
      </w:r>
    </w:p>
    <w:p w14:paraId="43063B5B">
      <w:pPr>
        <w:pStyle w:val="8"/>
        <w:spacing w:before="144"/>
        <w:rPr>
          <w:lang w:eastAsia="zh-CN"/>
        </w:rPr>
      </w:pPr>
      <w:r>
        <w:rPr>
          <w:rFonts w:hint="eastAsia"/>
          <w:lang w:eastAsia="zh-CN"/>
        </w:rPr>
        <w:t>下述参考方法仅涉及可检测与mecA相关的苯唑西林耐药性机制的那些器械。</w:t>
      </w:r>
    </w:p>
    <w:p w14:paraId="4321D474">
      <w:pPr>
        <w:pStyle w:val="8"/>
        <w:spacing w:before="144"/>
        <w:rPr>
          <w:lang w:eastAsia="zh-CN"/>
        </w:rPr>
      </w:pPr>
      <w:r>
        <w:rPr>
          <w:lang w:eastAsia="zh-CN"/>
        </w:rPr>
        <w:br w:type="page"/>
      </w:r>
    </w:p>
    <w:p w14:paraId="3B8F992F">
      <w:pPr>
        <w:pStyle w:val="8"/>
        <w:spacing w:before="144"/>
        <w:rPr>
          <w:lang w:eastAsia="zh-CN"/>
        </w:rPr>
      </w:pPr>
      <w:r>
        <w:rPr>
          <w:rFonts w:hint="eastAsia"/>
          <w:lang w:eastAsia="zh-CN"/>
        </w:rPr>
        <w:t>如果试验结果在24小时后为阴性，我们建议贵公司将使用贵公司的器械获得的结果与通过使用增菌培养基（即含有6.5％氯化钠的胰蛋白酶大豆培养基）培养48小时获得的结果进行比较。混浊生长物应再培养至羊血琼脂上。应对金黄色葡萄球菌的疑似菌落进行革兰氏染色，然后通过使用适当的实验室方法（例如过氧化氢酶、管或滑动凝固酶、乳胶凝集试验）进行鉴定。应使用FDA批准的市售微生物系统进一步对菌落进行鉴定。mecA介导的苯唑西林耐药性应通过使用头孢西丁（盘扩散或培养基微量稀释）来确定，如当前CLSI标准M100所推荐。为合并结果，贵公司的参考方法应对每个试验站点保持一致。</w:t>
      </w:r>
    </w:p>
    <w:p w14:paraId="2C8BA2C0">
      <w:pPr>
        <w:pStyle w:val="8"/>
        <w:spacing w:before="144"/>
        <w:rPr>
          <w:lang w:eastAsia="zh-CN"/>
        </w:rPr>
      </w:pPr>
      <w:r>
        <w:rPr>
          <w:rFonts w:hint="eastAsia"/>
          <w:lang w:eastAsia="zh-CN"/>
        </w:rPr>
        <w:t>使用增菌培养基增加MRSA的分离和鉴定的灵敏度。我们建议贵公司使用增菌培养基，因为其是一种可用于比较贵公司新器械且更为可靠的参考方法。增菌培养基应根据产品标签使用。</w:t>
      </w:r>
    </w:p>
    <w:p w14:paraId="5581715D">
      <w:pPr>
        <w:pStyle w:val="8"/>
        <w:spacing w:before="144"/>
        <w:rPr>
          <w:lang w:eastAsia="zh-CN"/>
        </w:rPr>
      </w:pPr>
      <w:r>
        <w:rPr>
          <w:rFonts w:hint="eastAsia"/>
          <w:lang w:eastAsia="zh-CN"/>
        </w:rPr>
        <w:t>除上述头孢西丁（盘扩散或培养基微量稀释）方法之外，我们还承认在MRSA中检测由mecA表达蛋白质的那些器械可视为另一参考方法，例如PBP2a（PBP2'）乳胶凝集试验。贵公司可以使用另一种方法（即，称为类似方法）来声明百分比一致性；但是，所有阴性结果应被确认为真阴性结果。</w:t>
      </w:r>
    </w:p>
    <w:p w14:paraId="3408F038">
      <w:pPr>
        <w:pStyle w:val="8"/>
        <w:spacing w:before="144"/>
        <w:rPr>
          <w:b/>
          <w:i/>
          <w:lang w:eastAsia="zh-CN"/>
        </w:rPr>
      </w:pPr>
      <w:r>
        <w:rPr>
          <w:rFonts w:hint="eastAsia"/>
          <w:b/>
          <w:i/>
          <w:lang w:eastAsia="zh-CN"/>
        </w:rPr>
        <w:t>评价贵公司的研究结果</w:t>
      </w:r>
    </w:p>
    <w:p w14:paraId="219678C0">
      <w:pPr>
        <w:pStyle w:val="8"/>
        <w:spacing w:before="144"/>
        <w:rPr>
          <w:lang w:eastAsia="zh-CN"/>
        </w:rPr>
      </w:pPr>
      <w:r>
        <w:rPr>
          <w:rFonts w:hint="eastAsia"/>
          <w:lang w:eastAsia="zh-CN"/>
        </w:rPr>
        <w:t>应提交来自研究的所有原始数据以供审查。贵公司应该以2 X 2表提供贵公司的计算结果。贵公司的临床研究的灵敏度（阳性百分比一致性）应至少为95％，特异性（阴性百分比一致性）应至少为双侧95％CI的95％，其中，下限为90％。</w:t>
      </w:r>
    </w:p>
    <w:p w14:paraId="50223F07">
      <w:pPr>
        <w:pStyle w:val="8"/>
        <w:spacing w:before="144"/>
        <w:rPr>
          <w:lang w:eastAsia="zh-CN"/>
        </w:rPr>
      </w:pPr>
      <w:r>
        <w:rPr>
          <w:rFonts w:hint="eastAsia"/>
          <w:lang w:eastAsia="zh-CN"/>
        </w:rPr>
        <w:t>评估参考方法和新器械的比较性能时，还应考虑质量控制和重现性结果。</w:t>
      </w:r>
    </w:p>
    <w:p w14:paraId="1CFC3855">
      <w:pPr>
        <w:pStyle w:val="8"/>
        <w:numPr>
          <w:ilvl w:val="0"/>
          <w:numId w:val="3"/>
        </w:numPr>
        <w:tabs>
          <w:tab w:val="left" w:pos="440"/>
        </w:tabs>
        <w:spacing w:before="144"/>
        <w:ind w:left="0" w:firstLine="0"/>
        <w:rPr>
          <w:b/>
          <w:lang w:eastAsia="zh-CN"/>
        </w:rPr>
      </w:pPr>
      <w:bookmarkStart w:id="31" w:name="5._Labeling"/>
      <w:bookmarkEnd w:id="31"/>
      <w:r>
        <w:rPr>
          <w:rFonts w:hint="eastAsia"/>
          <w:b/>
          <w:lang w:eastAsia="zh-CN"/>
        </w:rPr>
        <w:t>标签</w:t>
      </w:r>
    </w:p>
    <w:p w14:paraId="760D94DE">
      <w:pPr>
        <w:pStyle w:val="8"/>
        <w:spacing w:before="144"/>
        <w:rPr>
          <w:lang w:eastAsia="zh-CN"/>
        </w:rPr>
      </w:pPr>
      <w:r>
        <w:rPr>
          <w:rFonts w:hint="eastAsia"/>
          <w:lang w:eastAsia="zh-CN"/>
        </w:rPr>
        <w:t>为满足21 CFR 807.87（e）的要求，器械应用应提供标签，例如， 包装说明书。将体外诊断器械引入州际商业之前，最终标签必须符合21 CFR 809.10的要求。贵公司应确保最终标签包括以下与MRSA试验相关的项目内容。</w:t>
      </w:r>
    </w:p>
    <w:p w14:paraId="4DC4A8A1">
      <w:pPr>
        <w:pStyle w:val="8"/>
        <w:spacing w:before="144"/>
        <w:rPr>
          <w:b/>
          <w:i/>
          <w:lang w:eastAsia="zh-CN"/>
        </w:rPr>
      </w:pPr>
      <w:r>
        <w:rPr>
          <w:rFonts w:hint="eastAsia"/>
          <w:b/>
          <w:i/>
          <w:lang w:eastAsia="zh-CN"/>
        </w:rPr>
        <w:t>预期用途声明</w:t>
      </w:r>
    </w:p>
    <w:p w14:paraId="7DF17547">
      <w:pPr>
        <w:pStyle w:val="8"/>
        <w:spacing w:before="144"/>
        <w:rPr>
          <w:lang w:eastAsia="zh-CN"/>
        </w:rPr>
      </w:pPr>
      <w:r>
        <w:rPr>
          <w:rFonts w:hint="eastAsia"/>
          <w:lang w:eastAsia="zh-CN"/>
        </w:rPr>
        <w:t>根据21 CFR 809.10（b）（2），预期用途声明必须指明器械适用于测试或鉴定的微生物组。</w:t>
      </w:r>
    </w:p>
    <w:p w14:paraId="2396CDF5">
      <w:pPr>
        <w:pStyle w:val="8"/>
        <w:spacing w:before="144"/>
        <w:rPr>
          <w:lang w:eastAsia="zh-CN"/>
        </w:rPr>
      </w:pPr>
      <w:r>
        <w:rPr>
          <w:rFonts w:hint="eastAsia"/>
          <w:lang w:eastAsia="zh-CN"/>
        </w:rPr>
        <w:t>预期用途声明的典型示例为：</w:t>
      </w:r>
    </w:p>
    <w:p w14:paraId="5028616B">
      <w:pPr>
        <w:pStyle w:val="8"/>
        <w:spacing w:before="144"/>
        <w:rPr>
          <w:lang w:eastAsia="zh-CN"/>
        </w:rPr>
      </w:pPr>
      <w:r>
        <w:rPr>
          <w:lang w:eastAsia="zh-CN"/>
        </w:rPr>
        <w:br w:type="page"/>
      </w:r>
    </w:p>
    <w:p w14:paraId="76B49DAD">
      <w:pPr>
        <w:pStyle w:val="8"/>
        <w:spacing w:before="144"/>
        <w:rPr>
          <w:lang w:eastAsia="zh-CN"/>
        </w:rPr>
      </w:pPr>
      <w:r>
        <w:rPr>
          <w:rFonts w:hint="eastAsia"/>
          <w:lang w:eastAsia="zh-CN"/>
        </w:rPr>
        <w:t>显色培养基A是用于定性检测鼻部定值甲氧西林耐药性金黄色葡萄球菌（MRSA）的选择性和差异显色培养基，其用于帮助在医疗环境中预防和控制MRSA感染。该试验在来自患者和医疗工作者的前鼻孔拭子样本上进行来检查是否有MRSA定植。显色培养基A不用于诊断MRSA、指导或监测感染治疗或提供对甲氧西林的灵敏度结果。阴性结果不排除MRSA鼻定植。伴行培养对于微生物鉴定、灵敏度试验或流行病学分型来说极为必要。</w:t>
      </w:r>
    </w:p>
    <w:p w14:paraId="1CD28D48">
      <w:pPr>
        <w:pStyle w:val="8"/>
        <w:spacing w:before="144"/>
        <w:rPr>
          <w:b/>
          <w:i/>
          <w:lang w:eastAsia="zh-CN"/>
        </w:rPr>
      </w:pPr>
      <w:r>
        <w:rPr>
          <w:rFonts w:hint="eastAsia"/>
          <w:b/>
          <w:i/>
          <w:lang w:eastAsia="zh-CN"/>
        </w:rPr>
        <w:t>质量控制</w:t>
      </w:r>
    </w:p>
    <w:p w14:paraId="347CE459">
      <w:pPr>
        <w:pStyle w:val="8"/>
        <w:spacing w:before="144"/>
        <w:rPr>
          <w:lang w:eastAsia="zh-CN"/>
        </w:rPr>
      </w:pPr>
      <w:r>
        <w:rPr>
          <w:rFonts w:hint="eastAsia"/>
          <w:lang w:eastAsia="zh-CN"/>
        </w:rPr>
        <w:t>本程序的逐步概要必须提供所需的质量控制程序和材料的种类的详细信息。请参见 21 CFR 809.10（b）（8）。贵公司应确保贵公司向用户推荐的质量控制程序的具体内容足以确保性能范围令人满意。贵公司必须列出所有推荐的质量控制菌株和每种微生物的预期结果。请参见 21 CFR 809.10（b）（8）（vi）。</w:t>
      </w:r>
    </w:p>
    <w:p w14:paraId="44E3DC85">
      <w:pPr>
        <w:pStyle w:val="8"/>
        <w:spacing w:before="144"/>
        <w:rPr>
          <w:b/>
          <w:i/>
          <w:lang w:eastAsia="zh-CN"/>
        </w:rPr>
      </w:pPr>
      <w:r>
        <w:rPr>
          <w:rFonts w:hint="eastAsia"/>
          <w:b/>
          <w:i/>
          <w:lang w:eastAsia="zh-CN"/>
        </w:rPr>
        <w:t>报告结果</w:t>
      </w:r>
    </w:p>
    <w:p w14:paraId="5637E24E">
      <w:pPr>
        <w:pStyle w:val="8"/>
        <w:spacing w:before="144"/>
        <w:rPr>
          <w:lang w:eastAsia="zh-CN"/>
        </w:rPr>
      </w:pPr>
      <w:r>
        <w:rPr>
          <w:rFonts w:hint="eastAsia"/>
          <w:lang w:eastAsia="zh-CN"/>
        </w:rPr>
        <w:t>贵公司必须详细说明每个预期结果。请参见 21 CFR 809.10（b）（9）。结果解释可以以表格格式呈现。如果性能尚未确定，则不应报告结果。</w:t>
      </w:r>
    </w:p>
    <w:p w14:paraId="14EDABCA">
      <w:pPr>
        <w:pStyle w:val="8"/>
        <w:spacing w:before="144"/>
        <w:rPr>
          <w:b/>
          <w:i/>
          <w:lang w:eastAsia="zh-CN"/>
        </w:rPr>
      </w:pPr>
      <w:r>
        <w:rPr>
          <w:rFonts w:hint="eastAsia"/>
          <w:b/>
          <w:i/>
          <w:lang w:eastAsia="zh-CN"/>
        </w:rPr>
        <w:t>局限性</w:t>
      </w:r>
    </w:p>
    <w:p w14:paraId="278E92AE">
      <w:pPr>
        <w:pStyle w:val="8"/>
        <w:spacing w:before="144"/>
        <w:rPr>
          <w:lang w:eastAsia="zh-CN"/>
        </w:rPr>
      </w:pPr>
      <w:r>
        <w:rPr>
          <w:rFonts w:hint="eastAsia"/>
          <w:lang w:eastAsia="zh-CN"/>
        </w:rPr>
        <w:t>贵公司必须提供有关程序局限性的声明。请参见 21 CFR 809.10（b）（10）。以下是可能适用于贵公司的器械的一些局限性声明的示例：</w:t>
      </w:r>
    </w:p>
    <w:p w14:paraId="5A1E4509">
      <w:pPr>
        <w:pStyle w:val="8"/>
        <w:numPr>
          <w:ilvl w:val="0"/>
          <w:numId w:val="8"/>
        </w:numPr>
        <w:spacing w:before="144"/>
        <w:ind w:left="480" w:hanging="480" w:hangingChars="200"/>
        <w:rPr>
          <w:lang w:eastAsia="zh-CN"/>
        </w:rPr>
      </w:pPr>
      <w:r>
        <w:rPr>
          <w:rFonts w:hint="eastAsia"/>
          <w:lang w:eastAsia="zh-CN"/>
        </w:rPr>
        <w:t>通过使用常规方法（即生化和药敏试验）确认可疑生长。</w:t>
      </w:r>
    </w:p>
    <w:p w14:paraId="0C2AB0C8">
      <w:pPr>
        <w:pStyle w:val="8"/>
        <w:numPr>
          <w:ilvl w:val="0"/>
          <w:numId w:val="8"/>
        </w:numPr>
        <w:spacing w:before="144"/>
        <w:ind w:left="480" w:hanging="480" w:hangingChars="200"/>
        <w:rPr>
          <w:lang w:eastAsia="zh-CN"/>
        </w:rPr>
      </w:pPr>
      <w:r>
        <w:rPr>
          <w:rFonts w:hint="eastAsia"/>
          <w:lang w:eastAsia="zh-CN"/>
        </w:rPr>
        <w:t>显色培养基中可能存在可抑制罕见菌株MRSA生长的组分。</w:t>
      </w:r>
    </w:p>
    <w:p w14:paraId="16210E32">
      <w:pPr>
        <w:pStyle w:val="8"/>
        <w:numPr>
          <w:ilvl w:val="0"/>
          <w:numId w:val="8"/>
        </w:numPr>
        <w:spacing w:before="144"/>
        <w:ind w:left="480" w:hanging="480" w:hangingChars="200"/>
        <w:rPr>
          <w:lang w:eastAsia="zh-CN"/>
        </w:rPr>
      </w:pPr>
      <w:r>
        <w:rPr>
          <w:rFonts w:hint="eastAsia"/>
          <w:lang w:eastAsia="zh-CN"/>
        </w:rPr>
        <w:t>使用样本类型Y以外的样本类型的X琼脂培养基的性能尚未确定。</w:t>
      </w:r>
    </w:p>
    <w:p w14:paraId="3BDF2FAB">
      <w:pPr>
        <w:pStyle w:val="8"/>
        <w:numPr>
          <w:ilvl w:val="0"/>
          <w:numId w:val="8"/>
        </w:numPr>
        <w:spacing w:before="144"/>
        <w:ind w:left="480" w:hanging="480" w:hangingChars="200"/>
        <w:rPr>
          <w:lang w:eastAsia="zh-CN"/>
        </w:rPr>
      </w:pPr>
      <w:r>
        <w:rPr>
          <w:rFonts w:hint="eastAsia"/>
          <w:lang w:eastAsia="zh-CN"/>
        </w:rPr>
        <w:t>使用直接接种菌落生长物的X琼脂培养基的性能尚未确定。</w:t>
      </w:r>
    </w:p>
    <w:p w14:paraId="7E3BD874">
      <w:pPr>
        <w:pStyle w:val="8"/>
        <w:numPr>
          <w:ilvl w:val="0"/>
          <w:numId w:val="8"/>
        </w:numPr>
        <w:spacing w:before="144"/>
        <w:ind w:left="480" w:hanging="480" w:hangingChars="200"/>
        <w:rPr>
          <w:lang w:eastAsia="zh-CN"/>
        </w:rPr>
      </w:pPr>
      <w:r>
        <w:rPr>
          <w:rFonts w:hint="eastAsia"/>
          <w:lang w:eastAsia="zh-CN"/>
        </w:rPr>
        <w:t>阴性结果不应作为诊断、治疗或管理决策的唯一依据。</w:t>
      </w:r>
    </w:p>
    <w:p w14:paraId="1A48489E">
      <w:pPr>
        <w:pStyle w:val="8"/>
        <w:spacing w:before="144"/>
        <w:rPr>
          <w:lang w:eastAsia="zh-CN"/>
        </w:rPr>
      </w:pPr>
      <w:r>
        <w:rPr>
          <w:lang w:eastAsia="zh-CN"/>
        </w:rPr>
        <w:br w:type="page"/>
      </w:r>
    </w:p>
    <w:p w14:paraId="00D697EF">
      <w:pPr>
        <w:pStyle w:val="8"/>
        <w:numPr>
          <w:ilvl w:val="0"/>
          <w:numId w:val="8"/>
        </w:numPr>
        <w:spacing w:before="144"/>
        <w:ind w:left="480" w:hanging="480" w:hangingChars="200"/>
        <w:rPr>
          <w:lang w:eastAsia="zh-CN"/>
        </w:rPr>
      </w:pPr>
      <w:r>
        <w:rPr>
          <w:rFonts w:hint="eastAsia"/>
          <w:lang w:eastAsia="zh-CN"/>
        </w:rPr>
        <w:t>某些葡萄球菌的生长要求可使其在培养中被部分或完全抑制。耐甲氧西林金黄色葡萄球菌的罕见菌株可能无法在培养基上生长。</w:t>
      </w:r>
    </w:p>
    <w:p w14:paraId="1CF7789E">
      <w:pPr>
        <w:pStyle w:val="8"/>
        <w:numPr>
          <w:ilvl w:val="0"/>
          <w:numId w:val="8"/>
        </w:numPr>
        <w:spacing w:before="144"/>
        <w:ind w:left="480" w:hanging="480" w:hangingChars="200"/>
      </w:pPr>
      <w:r>
        <w:rPr>
          <w:rFonts w:hint="eastAsia"/>
          <w:lang w:eastAsia="zh-CN"/>
        </w:rPr>
        <w:t>监测试验确定给定时间内的定值状态，并且可以因患者治疗（例如，非定值方案）或暴露于高风险环境（例如与MRSA携带者接触，延长住院）而变化。</w:t>
      </w:r>
      <w:r>
        <w:rPr>
          <w:rFonts w:hint="eastAsia"/>
        </w:rPr>
        <w:t>应根据医院政策对定值状态进行监测。</w:t>
      </w:r>
    </w:p>
    <w:p w14:paraId="3CC22495">
      <w:pPr>
        <w:pStyle w:val="8"/>
        <w:numPr>
          <w:ilvl w:val="0"/>
          <w:numId w:val="2"/>
        </w:numPr>
        <w:tabs>
          <w:tab w:val="left" w:pos="440"/>
        </w:tabs>
        <w:spacing w:before="144"/>
        <w:ind w:left="0" w:firstLine="0"/>
        <w:outlineLvl w:val="1"/>
        <w:rPr>
          <w:b/>
        </w:rPr>
      </w:pPr>
      <w:bookmarkStart w:id="32" w:name="C._CLIA_Waiver_"/>
      <w:bookmarkEnd w:id="32"/>
      <w:bookmarkStart w:id="33" w:name="_Toc479513563"/>
      <w:bookmarkStart w:id="34" w:name="_Toc479513408"/>
      <w:r>
        <w:rPr>
          <w:b/>
        </w:rPr>
        <w:t xml:space="preserve">CLIA </w:t>
      </w:r>
      <w:r>
        <w:rPr>
          <w:rFonts w:hint="eastAsia"/>
          <w:b/>
        </w:rPr>
        <w:t>豁免</w:t>
      </w:r>
      <w:bookmarkEnd w:id="33"/>
      <w:bookmarkEnd w:id="34"/>
    </w:p>
    <w:p w14:paraId="1927C7C9">
      <w:pPr>
        <w:pStyle w:val="8"/>
        <w:spacing w:before="144"/>
      </w:pPr>
      <w:r>
        <w:rPr>
          <w:rFonts w:hint="eastAsia"/>
          <w:lang w:eastAsia="zh-CN"/>
        </w:rPr>
        <w:t>如果贵公司希望根据1988年临床实验室改进修正案（CLIA）</w:t>
      </w:r>
      <w:r>
        <w:rPr>
          <w:rStyle w:val="20"/>
          <w:lang w:eastAsia="zh-CN"/>
        </w:rPr>
        <w:footnoteReference w:id="0"/>
      </w:r>
      <w:r>
        <w:rPr>
          <w:rFonts w:hint="eastAsia"/>
          <w:lang w:eastAsia="zh-CN"/>
        </w:rPr>
        <w:t>为贵公司的器械申请CLIA豁免，我们建议贵公司咨询微生物学器械部的工作人员，了解具体研究的设计，支持贵公司器械的CLIA豁免申请。</w:t>
      </w:r>
      <w:r>
        <w:rPr>
          <w:rFonts w:hint="eastAsia"/>
        </w:rPr>
        <w:t>行业和FDA工作人员指南，</w:t>
      </w:r>
      <w:r>
        <w:rPr>
          <w:rFonts w:asciiTheme="minorEastAsia" w:hAnsiTheme="minorEastAsia" w:eastAsiaTheme="minorEastAsia"/>
        </w:rPr>
        <w:t>“</w:t>
      </w:r>
      <w:r>
        <w:rPr>
          <w:rFonts w:hint="eastAsia"/>
        </w:rPr>
        <w:t>对于体外诊断器械制造商申请1988年临床实验室改进修正案（CLIA）豁免的建议</w:t>
      </w:r>
      <w:r>
        <w:rPr>
          <w:rFonts w:asciiTheme="minorEastAsia" w:hAnsiTheme="minorEastAsia" w:eastAsiaTheme="minorEastAsia"/>
        </w:rPr>
        <w:t>”</w:t>
      </w:r>
      <w:r>
        <w:rPr>
          <w:rFonts w:hint="eastAsia"/>
        </w:rPr>
        <w:t>，参见http：//www.fda.gov/downloads/MedicalDevices/DeviceRegulationandGuidance/ GuidanceDo cuments / ucm070890.pdf。</w:t>
      </w:r>
    </w:p>
    <w:p w14:paraId="50A77C30">
      <w:pPr>
        <w:pStyle w:val="8"/>
        <w:numPr>
          <w:ilvl w:val="0"/>
          <w:numId w:val="1"/>
        </w:numPr>
        <w:tabs>
          <w:tab w:val="left" w:pos="660"/>
        </w:tabs>
        <w:spacing w:before="240" w:beforeLines="100" w:after="120" w:afterLines="50"/>
        <w:ind w:left="0" w:firstLine="0"/>
        <w:outlineLvl w:val="0"/>
        <w:rPr>
          <w:b/>
          <w:sz w:val="30"/>
          <w:szCs w:val="30"/>
        </w:rPr>
      </w:pPr>
      <w:bookmarkStart w:id="35" w:name="VII.__References_"/>
      <w:bookmarkEnd w:id="35"/>
      <w:bookmarkStart w:id="36" w:name="_Toc479513564"/>
      <w:bookmarkStart w:id="37" w:name="_Toc479513409"/>
      <w:r>
        <w:rPr>
          <w:rFonts w:hint="eastAsia"/>
          <w:b/>
          <w:sz w:val="30"/>
          <w:szCs w:val="30"/>
        </w:rPr>
        <w:t>参考文件</w:t>
      </w:r>
      <w:bookmarkEnd w:id="36"/>
      <w:bookmarkEnd w:id="37"/>
    </w:p>
    <w:p w14:paraId="69234D9C">
      <w:pPr>
        <w:pStyle w:val="8"/>
        <w:numPr>
          <w:ilvl w:val="0"/>
          <w:numId w:val="9"/>
        </w:numPr>
        <w:spacing w:before="144"/>
        <w:ind w:left="920" w:leftChars="200" w:hanging="480" w:hangingChars="200"/>
      </w:pPr>
      <w:r>
        <w:rPr>
          <w:rFonts w:hint="eastAsia"/>
          <w:lang w:eastAsia="zh-CN"/>
        </w:rPr>
        <w:t>器械与放射健康中心，体外诊断办公室。 2009年8月28日。行业和FDA指南：II类特殊控制指导性文件：药敏试验（AST）系统。</w:t>
      </w:r>
      <w:r>
        <w:fldChar w:fldCharType="begin"/>
      </w:r>
      <w:r>
        <w:rPr>
          <w:lang w:eastAsia="zh-CN"/>
        </w:rPr>
        <w:instrText xml:space="preserve"> HYPERLINK "http://www.fda.gov/MedicalDevices/DeviceRegulationandGuidance/GuidanceDocuments/ucm080564.htm" \h </w:instrText>
      </w:r>
      <w:r>
        <w:fldChar w:fldCharType="separate"/>
      </w:r>
      <w:r>
        <w:rPr>
          <w:rStyle w:val="19"/>
        </w:rPr>
        <w:t>http：//www.fda.gov/MedicalDevices/DeviceRegulationandGuidance/GuidanceDo</w:t>
      </w:r>
      <w:r>
        <w:rPr>
          <w:rStyle w:val="19"/>
        </w:rPr>
        <w:fldChar w:fldCharType="end"/>
      </w:r>
      <w:r>
        <w:t xml:space="preserve"> </w:t>
      </w:r>
      <w:r>
        <w:fldChar w:fldCharType="begin"/>
      </w:r>
      <w:r>
        <w:instrText xml:space="preserve"> HYPERLINK "http://www.fda.gov/MedicalDevices/DeviceRegulationandGuidance/GuidanceDocuments/ucm080564.htm" \h </w:instrText>
      </w:r>
      <w:r>
        <w:fldChar w:fldCharType="separate"/>
      </w:r>
      <w:r>
        <w:rPr>
          <w:rStyle w:val="19"/>
        </w:rPr>
        <w:t>cuments/ucm080564.htm</w:t>
      </w:r>
      <w:r>
        <w:rPr>
          <w:rStyle w:val="19"/>
        </w:rPr>
        <w:fldChar w:fldCharType="end"/>
      </w:r>
    </w:p>
    <w:p w14:paraId="00063EA3">
      <w:pPr>
        <w:pStyle w:val="8"/>
        <w:numPr>
          <w:ilvl w:val="0"/>
          <w:numId w:val="9"/>
        </w:numPr>
        <w:spacing w:before="144"/>
        <w:ind w:left="920" w:leftChars="200" w:hanging="480" w:hangingChars="200"/>
      </w:pPr>
      <w:r>
        <w:rPr>
          <w:rFonts w:hint="eastAsia"/>
        </w:rPr>
        <w:t>疾病控制中心。（2009）。2009年12月8日从</w:t>
      </w:r>
      <w:r>
        <w:fldChar w:fldCharType="begin"/>
      </w:r>
      <w:r>
        <w:instrText xml:space="preserve"> HYPERLINK "http://www.cdc.gov/mrsa/" </w:instrText>
      </w:r>
      <w:r>
        <w:fldChar w:fldCharType="separate"/>
      </w:r>
      <w:r>
        <w:rPr>
          <w:rStyle w:val="19"/>
          <w:rFonts w:hint="eastAsia"/>
        </w:rPr>
        <w:t>http://www.cdc.gov/mrsa/</w:t>
      </w:r>
      <w:r>
        <w:rPr>
          <w:rStyle w:val="19"/>
          <w:rFonts w:hint="eastAsia"/>
        </w:rPr>
        <w:fldChar w:fldCharType="end"/>
      </w:r>
      <w:r>
        <w:rPr>
          <w:rFonts w:hint="eastAsia"/>
        </w:rPr>
        <w:t>获得</w:t>
      </w:r>
    </w:p>
    <w:p w14:paraId="2A5A12F0">
      <w:pPr>
        <w:pStyle w:val="8"/>
        <w:numPr>
          <w:ilvl w:val="0"/>
          <w:numId w:val="9"/>
        </w:numPr>
        <w:spacing w:before="144"/>
        <w:ind w:left="920" w:leftChars="200" w:hanging="480" w:hangingChars="200"/>
      </w:pPr>
      <w:r>
        <w:rPr>
          <w:rFonts w:hint="eastAsia"/>
        </w:rPr>
        <w:t>Murray，P.R.，Baron，E.J ... 等人（2007）。</w:t>
      </w:r>
      <w:r>
        <w:rPr>
          <w:rFonts w:hint="eastAsia"/>
          <w:lang w:eastAsia="zh-CN"/>
        </w:rPr>
        <w:t>临床微生物学手册第9版：检测抗菌素耐药性的特殊表型方法（pp。</w:t>
      </w:r>
      <w:r>
        <w:rPr>
          <w:rFonts w:hint="eastAsia"/>
        </w:rPr>
        <w:t>1175 - 1176）。华盛顿特区：ASM出版社。</w:t>
      </w:r>
    </w:p>
    <w:p w14:paraId="2D71C5DF">
      <w:pPr>
        <w:pStyle w:val="8"/>
        <w:numPr>
          <w:ilvl w:val="0"/>
          <w:numId w:val="9"/>
        </w:numPr>
        <w:spacing w:before="144"/>
        <w:ind w:left="920" w:leftChars="200" w:hanging="480" w:hangingChars="200"/>
      </w:pPr>
      <w:r>
        <w:rPr>
          <w:rFonts w:hint="eastAsia"/>
          <w:lang w:eastAsia="zh-CN"/>
        </w:rPr>
        <w:t>美国食品药品监督管理局（</w:t>
      </w:r>
      <w:r>
        <w:rPr>
          <w:lang w:eastAsia="zh-CN"/>
        </w:rPr>
        <w:t>2009</w:t>
      </w:r>
      <w:r>
        <w:rPr>
          <w:rFonts w:hint="eastAsia"/>
          <w:lang w:eastAsia="zh-CN"/>
        </w:rPr>
        <w:t>）前IDE程序：问题与答案 - 1999年3月25日（D99-1）IDE指导性备忘录编号D99-1。</w:t>
      </w:r>
      <w:r>
        <w:fldChar w:fldCharType="begin"/>
      </w:r>
      <w:r>
        <w:rPr>
          <w:lang w:eastAsia="zh-CN"/>
        </w:rPr>
        <w:instrText xml:space="preserve"> HYPERLINK "http://www.fda.gov/MedicalDevices/DeviceRegulationandGuidance/GuidanceDocuments/ucm126600.htm" \h </w:instrText>
      </w:r>
      <w:r>
        <w:fldChar w:fldCharType="separate"/>
      </w:r>
      <w:r>
        <w:rPr>
          <w:rStyle w:val="19"/>
        </w:rPr>
        <w:t>http</w:t>
      </w:r>
      <w:r>
        <w:rPr>
          <w:rStyle w:val="19"/>
          <w:rFonts w:hint="eastAsia"/>
        </w:rPr>
        <w:t>：</w:t>
      </w:r>
      <w:r>
        <w:rPr>
          <w:rStyle w:val="19"/>
        </w:rPr>
        <w:t>//www.fda.gov/MedicalDevices/DeviceRegulationandGuidance/GuidanceDo</w:t>
      </w:r>
      <w:r>
        <w:fldChar w:fldCharType="end"/>
      </w:r>
      <w:r>
        <w:t xml:space="preserve"> </w:t>
      </w:r>
      <w:r>
        <w:fldChar w:fldCharType="begin"/>
      </w:r>
      <w:r>
        <w:instrText xml:space="preserve"> HYPERLINK "http://www.fda.gov/MedicalDevices/DeviceRegulationandGuidance/GuidanceDocuments/ucm126600.htm" \h </w:instrText>
      </w:r>
      <w:r>
        <w:fldChar w:fldCharType="separate"/>
      </w:r>
      <w:r>
        <w:rPr>
          <w:rStyle w:val="19"/>
        </w:rPr>
        <w:t>cuments/ucm126600.htm</w:t>
      </w:r>
      <w:r>
        <w:rPr>
          <w:rStyle w:val="19"/>
        </w:rPr>
        <w:fldChar w:fldCharType="end"/>
      </w:r>
    </w:p>
    <w:p w14:paraId="2A224104">
      <w:pPr>
        <w:pStyle w:val="8"/>
        <w:spacing w:before="144"/>
      </w:pPr>
      <w:r>
        <w:br w:type="page"/>
      </w:r>
    </w:p>
    <w:p w14:paraId="45CCF251">
      <w:pPr>
        <w:pStyle w:val="8"/>
        <w:numPr>
          <w:ilvl w:val="0"/>
          <w:numId w:val="9"/>
        </w:numPr>
        <w:spacing w:before="144"/>
        <w:ind w:left="920" w:leftChars="200" w:hanging="480" w:hangingChars="200"/>
      </w:pPr>
      <w:r>
        <w:rPr>
          <w:lang w:eastAsia="zh-CN"/>
        </w:rPr>
        <w:t xml:space="preserve">CLSI. M100 - </w:t>
      </w:r>
      <w:r>
        <w:rPr>
          <w:rFonts w:hint="eastAsia"/>
          <w:lang w:eastAsia="zh-CN"/>
        </w:rPr>
        <w:t>M100 - 抗菌药敏试验性能标准。</w:t>
      </w:r>
      <w:r>
        <w:rPr>
          <w:rFonts w:hint="eastAsia"/>
        </w:rPr>
        <w:t>（补充最新信息）。</w:t>
      </w:r>
      <w:r>
        <w:t>CLSI</w:t>
      </w:r>
      <w:r>
        <w:rPr>
          <w:rFonts w:hint="eastAsia"/>
        </w:rPr>
        <w:t>；</w:t>
      </w:r>
      <w:r>
        <w:t xml:space="preserve"> Wayne</w:t>
      </w:r>
      <w:r>
        <w:rPr>
          <w:rFonts w:hint="eastAsia"/>
        </w:rPr>
        <w:t>，</w:t>
      </w:r>
      <w:r>
        <w:t xml:space="preserve"> Pennsylvania.</w:t>
      </w:r>
    </w:p>
    <w:p w14:paraId="42FD1ECE">
      <w:pPr>
        <w:pStyle w:val="8"/>
        <w:numPr>
          <w:ilvl w:val="0"/>
          <w:numId w:val="9"/>
        </w:numPr>
        <w:spacing w:before="144"/>
        <w:ind w:left="920" w:leftChars="200" w:hanging="480" w:hangingChars="200"/>
        <w:rPr>
          <w:lang w:eastAsia="zh-CN"/>
        </w:rPr>
      </w:pPr>
      <w:r>
        <w:rPr>
          <w:rFonts w:hint="eastAsia"/>
          <w:lang w:eastAsia="zh-CN"/>
        </w:rPr>
        <w:t>临床实验室标准化协会（CLSI）。2003年。微生物运输系统质量控制 ：批准的标准 M40-A。</w:t>
      </w:r>
    </w:p>
    <w:p w14:paraId="514C2A32">
      <w:pPr>
        <w:pStyle w:val="8"/>
        <w:numPr>
          <w:ilvl w:val="0"/>
          <w:numId w:val="9"/>
        </w:numPr>
        <w:spacing w:before="144"/>
        <w:ind w:left="920" w:leftChars="200" w:hanging="480" w:hangingChars="200"/>
        <w:rPr>
          <w:lang w:eastAsia="zh-CN"/>
        </w:rPr>
      </w:pPr>
      <w:r>
        <w:t>21 CFR 800</w:t>
      </w:r>
      <w:r>
        <w:rPr>
          <w:rFonts w:hint="eastAsia"/>
        </w:rPr>
        <w:t>部分到</w:t>
      </w:r>
      <w:r>
        <w:t>1299</w:t>
      </w:r>
      <w:r>
        <w:rPr>
          <w:rFonts w:hint="eastAsia"/>
        </w:rPr>
        <w:t>部分。自2009年4月1日起修订。</w:t>
      </w:r>
    </w:p>
    <w:p w14:paraId="5817AFF5">
      <w:pPr>
        <w:pStyle w:val="8"/>
        <w:spacing w:before="144"/>
      </w:pPr>
    </w:p>
    <w:p w14:paraId="0C3E42BC">
      <w:pPr>
        <w:pStyle w:val="8"/>
        <w:spacing w:before="144"/>
        <w:rPr>
          <w:rFonts w:hint="eastAsia" w:eastAsia="宋体"/>
          <w:lang w:eastAsia="zh-CN"/>
        </w:rPr>
      </w:pPr>
    </w:p>
    <w:p w14:paraId="5C6B0CB2">
      <w:pPr>
        <w:pStyle w:val="8"/>
        <w:spacing w:before="144"/>
        <w:jc w:val="center"/>
        <w:rPr>
          <w:rFonts w:hint="eastAsia" w:eastAsia="宋体"/>
          <w:lang w:eastAsia="zh-CN"/>
        </w:rPr>
      </w:pPr>
    </w:p>
    <w:p w14:paraId="6FC4F9A2">
      <w:pPr>
        <w:pStyle w:val="8"/>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7" w:h="16840"/>
      <w:pgMar w:top="1418" w:right="1418" w:bottom="1418" w:left="1418" w:header="720" w:footer="72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41CB">
    <w:pPr>
      <w:pStyle w:val="8"/>
      <w:spacing w:before="72" w:beforeLines="30" w:line="264" w:lineRule="auto"/>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21</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215D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59D2">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14C255D">
      <w:pPr>
        <w:pStyle w:val="8"/>
        <w:spacing w:before="72" w:beforeLines="30" w:line="264" w:lineRule="auto"/>
        <w:rPr>
          <w:sz w:val="18"/>
          <w:szCs w:val="18"/>
          <w:lang w:eastAsia="zh-CN"/>
        </w:rPr>
      </w:pPr>
      <w:r>
        <w:rPr>
          <w:rStyle w:val="20"/>
          <w:sz w:val="18"/>
          <w:szCs w:val="18"/>
        </w:rPr>
        <w:footnoteRef/>
      </w:r>
      <w:r>
        <w:rPr>
          <w:rFonts w:hint="eastAsia"/>
          <w:sz w:val="18"/>
          <w:szCs w:val="18"/>
          <w:lang w:eastAsia="zh-CN"/>
        </w:rPr>
        <w:t>请参见</w:t>
      </w:r>
      <w:r>
        <w:rPr>
          <w:sz w:val="18"/>
          <w:szCs w:val="18"/>
          <w:lang w:eastAsia="zh-CN"/>
        </w:rPr>
        <w:t>42 U.S.C. § 263a</w:t>
      </w:r>
      <w:r>
        <w:rPr>
          <w:rFonts w:hint="eastAsia"/>
          <w:sz w:val="18"/>
          <w:szCs w:val="18"/>
          <w:lang w:eastAsia="zh-CN"/>
        </w:rPr>
        <w:t>（</w:t>
      </w:r>
      <w:r>
        <w:rPr>
          <w:sz w:val="18"/>
          <w:szCs w:val="18"/>
          <w:lang w:eastAsia="zh-CN"/>
        </w:rPr>
        <w:t>d</w:t>
      </w:r>
      <w:r>
        <w:rPr>
          <w:rFonts w:hint="eastAsia"/>
          <w:sz w:val="18"/>
          <w:szCs w:val="18"/>
          <w:lang w:eastAsia="zh-CN"/>
        </w:rPr>
        <w:t>）（</w:t>
      </w:r>
      <w:r>
        <w:rPr>
          <w:sz w:val="18"/>
          <w:szCs w:val="18"/>
          <w:lang w:eastAsia="zh-CN"/>
        </w:rPr>
        <w:t>3</w:t>
      </w:r>
      <w:r>
        <w:rPr>
          <w:rFonts w:hint="eastAsia"/>
          <w:sz w:val="18"/>
          <w:szCs w:val="18"/>
          <w:lang w:eastAsia="zh-CN"/>
        </w:rPr>
        <w:t>）</w:t>
      </w:r>
      <w:r>
        <w:rPr>
          <w:sz w:val="18"/>
          <w:szCs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CADE">
    <w:pPr>
      <w:snapToGrid w:val="0"/>
      <w:spacing w:before="72" w:beforeLines="30" w:line="264" w:lineRule="auto"/>
      <w:jc w:val="center"/>
      <w:rPr>
        <w:rFonts w:ascii="Times New Roman" w:hAnsi="Times New Roman" w:eastAsia="Times New Roman" w:cs="Times New Roman"/>
        <w:b/>
        <w:i/>
        <w:sz w:val="21"/>
        <w:szCs w:val="21"/>
        <w:lang w:eastAsia="zh-CN"/>
      </w:rPr>
    </w:pPr>
    <w:r>
      <w:rPr>
        <w:rFonts w:hint="eastAsia" w:cs="Times New Roman" w:asciiTheme="minorEastAsia" w:hAnsiTheme="minorEastAsia"/>
        <w:b/>
        <w:i/>
        <w:sz w:val="21"/>
        <w:szCs w:val="21"/>
        <w:lang w:eastAsia="zh-CN"/>
      </w:rPr>
      <w:t>含有非约束性建议</w:t>
    </w:r>
  </w:p>
  <w:p w14:paraId="037C3835">
    <w:pPr>
      <w:pStyle w:val="12"/>
      <w:pBdr>
        <w:bottom w:val="none" w:color="auto" w:sz="0" w:space="0"/>
      </w:pBdr>
      <w:spacing w:before="72" w:beforeLines="30" w:line="264" w:lineRule="auto"/>
      <w:rPr>
        <w:rFonts w:ascii="Times New Roman"/>
        <w:b/>
        <w:i/>
        <w:sz w:val="21"/>
        <w:szCs w:val="21"/>
        <w:lang w:eastAsia="zh-CN"/>
      </w:rPr>
    </w:pPr>
    <w:r>
      <w:rPr>
        <w:rFonts w:hint="eastAsia" w:ascii="Times New Roman"/>
        <w:b/>
        <w:i/>
        <w:sz w:val="21"/>
        <w:szCs w:val="21"/>
        <w:lang w:eastAsia="zh-CN"/>
      </w:rPr>
      <w:t>草案</w:t>
    </w:r>
    <w:r>
      <w:rPr>
        <w:rFonts w:ascii="Times New Roman"/>
        <w:b/>
        <w:i/>
        <w:sz w:val="21"/>
        <w:szCs w:val="21"/>
        <w:lang w:eastAsia="zh-CN"/>
      </w:rPr>
      <w:t xml:space="preserve"> – </w:t>
    </w:r>
    <w:r>
      <w:rPr>
        <w:rFonts w:hint="eastAsia" w:ascii="Times New Roman"/>
        <w:b/>
        <w:i/>
        <w:sz w:val="21"/>
        <w:szCs w:val="21"/>
        <w:lang w:eastAsia="zh-CN"/>
      </w:rPr>
      <w:t>不用于实施</w:t>
    </w:r>
  </w:p>
  <w:p w14:paraId="7261C379">
    <w:pPr>
      <w:pStyle w:val="12"/>
      <w:pBdr>
        <w:bottom w:val="none" w:color="auto" w:sz="0" w:space="0"/>
      </w:pBdr>
      <w:spacing w:before="72" w:beforeLines="30" w:line="264" w:lineRule="auto"/>
      <w:rPr>
        <w:b/>
        <w:i/>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0CF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FD5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A0910"/>
    <w:multiLevelType w:val="multilevel"/>
    <w:tmpl w:val="032A0910"/>
    <w:lvl w:ilvl="0" w:tentative="0">
      <w:start w:val="1"/>
      <w:numFmt w:val="upperRoman"/>
      <w:lvlText w:val="%1."/>
      <w:lvlJc w:val="left"/>
      <w:pPr>
        <w:ind w:left="420" w:hanging="420"/>
      </w:pPr>
      <w:rPr>
        <w:rFonts w:hint="eastAsia"/>
      </w:r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0636F5"/>
    <w:multiLevelType w:val="multilevel"/>
    <w:tmpl w:val="110636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EA2DDD"/>
    <w:multiLevelType w:val="multilevel"/>
    <w:tmpl w:val="13EA2D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FA6070"/>
    <w:multiLevelType w:val="multilevel"/>
    <w:tmpl w:val="14FA60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84C0709"/>
    <w:multiLevelType w:val="multilevel"/>
    <w:tmpl w:val="384C0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CC050F2"/>
    <w:multiLevelType w:val="multilevel"/>
    <w:tmpl w:val="3CC050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27D6C21"/>
    <w:multiLevelType w:val="multilevel"/>
    <w:tmpl w:val="427D6C2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0C287C"/>
    <w:multiLevelType w:val="multilevel"/>
    <w:tmpl w:val="480C28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7A27F8A"/>
    <w:multiLevelType w:val="multilevel"/>
    <w:tmpl w:val="67A27F8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7"/>
  </w:num>
  <w:num w:numId="4">
    <w:abstractNumId w:val="8"/>
  </w:num>
  <w:num w:numId="5">
    <w:abstractNumId w:val="2"/>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40"/>
  <w:drawingGridHorizontalSpacing w:val="110"/>
  <w:displayHorizontalDrawingGridEvery w:val="2"/>
  <w:characterSpacingControl w:val="doNotCompress"/>
  <w:footnotePr>
    <w:footnote w:id="2"/>
    <w:footnote w:id="3"/>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67"/>
    <w:rsid w:val="000344F1"/>
    <w:rsid w:val="00076413"/>
    <w:rsid w:val="00080C7A"/>
    <w:rsid w:val="00084077"/>
    <w:rsid w:val="001531C3"/>
    <w:rsid w:val="001A13BA"/>
    <w:rsid w:val="00242757"/>
    <w:rsid w:val="0024415B"/>
    <w:rsid w:val="00251EE2"/>
    <w:rsid w:val="002737C7"/>
    <w:rsid w:val="0029670F"/>
    <w:rsid w:val="002A6A23"/>
    <w:rsid w:val="002D224D"/>
    <w:rsid w:val="002D4250"/>
    <w:rsid w:val="00305343"/>
    <w:rsid w:val="0032096E"/>
    <w:rsid w:val="00342870"/>
    <w:rsid w:val="00362EA0"/>
    <w:rsid w:val="00395B44"/>
    <w:rsid w:val="003C1BCC"/>
    <w:rsid w:val="003D2AA6"/>
    <w:rsid w:val="003D76FE"/>
    <w:rsid w:val="00403D4B"/>
    <w:rsid w:val="004444BB"/>
    <w:rsid w:val="00465803"/>
    <w:rsid w:val="004818B4"/>
    <w:rsid w:val="005018A3"/>
    <w:rsid w:val="00502B8D"/>
    <w:rsid w:val="00517886"/>
    <w:rsid w:val="00613A77"/>
    <w:rsid w:val="006276B1"/>
    <w:rsid w:val="00641AE0"/>
    <w:rsid w:val="00666002"/>
    <w:rsid w:val="00785F6F"/>
    <w:rsid w:val="007B4B4C"/>
    <w:rsid w:val="00855AD0"/>
    <w:rsid w:val="00873BAF"/>
    <w:rsid w:val="008D34CF"/>
    <w:rsid w:val="00991288"/>
    <w:rsid w:val="009C50AB"/>
    <w:rsid w:val="00A12159"/>
    <w:rsid w:val="00A55B55"/>
    <w:rsid w:val="00A8186A"/>
    <w:rsid w:val="00B02003"/>
    <w:rsid w:val="00B13796"/>
    <w:rsid w:val="00B163E1"/>
    <w:rsid w:val="00BB4891"/>
    <w:rsid w:val="00BF63FB"/>
    <w:rsid w:val="00C04E29"/>
    <w:rsid w:val="00CA5367"/>
    <w:rsid w:val="00D372E8"/>
    <w:rsid w:val="00D60439"/>
    <w:rsid w:val="00D74BF9"/>
    <w:rsid w:val="00DA0268"/>
    <w:rsid w:val="00DB4D9D"/>
    <w:rsid w:val="00DF36EA"/>
    <w:rsid w:val="00DF45AF"/>
    <w:rsid w:val="00E840DF"/>
    <w:rsid w:val="00EE1759"/>
    <w:rsid w:val="00EE7BA9"/>
    <w:rsid w:val="00F67000"/>
    <w:rsid w:val="00F77BDC"/>
    <w:rsid w:val="48E3599C"/>
    <w:rsid w:val="5F72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Times New Roman" w:hAnsi="Times New Roman" w:eastAsia="Times New Roman"/>
      <w:b/>
      <w:bCs/>
      <w:sz w:val="48"/>
      <w:szCs w:val="48"/>
    </w:rPr>
  </w:style>
  <w:style w:type="paragraph" w:styleId="3">
    <w:name w:val="heading 2"/>
    <w:basedOn w:val="1"/>
    <w:next w:val="4"/>
    <w:qFormat/>
    <w:uiPriority w:val="1"/>
    <w:pPr>
      <w:spacing w:before="53"/>
      <w:ind w:left="840" w:hanging="720"/>
      <w:outlineLvl w:val="1"/>
    </w:pPr>
    <w:rPr>
      <w:rFonts w:ascii="Times New Roman" w:hAnsi="Times New Roman" w:eastAsia="Times New Roman"/>
      <w:b/>
      <w:bCs/>
      <w:sz w:val="36"/>
      <w:szCs w:val="36"/>
    </w:rPr>
  </w:style>
  <w:style w:type="paragraph" w:styleId="5">
    <w:name w:val="heading 3"/>
    <w:basedOn w:val="1"/>
    <w:next w:val="1"/>
    <w:qFormat/>
    <w:uiPriority w:val="1"/>
    <w:pPr>
      <w:ind w:left="399" w:hanging="279"/>
      <w:outlineLvl w:val="2"/>
    </w:pPr>
    <w:rPr>
      <w:rFonts w:ascii="Times New Roman" w:hAnsi="Times New Roman" w:eastAsia="Times New Roman"/>
      <w:b/>
      <w:bCs/>
      <w:sz w:val="28"/>
      <w:szCs w:val="28"/>
    </w:rPr>
  </w:style>
  <w:style w:type="paragraph" w:styleId="6">
    <w:name w:val="heading 4"/>
    <w:basedOn w:val="1"/>
    <w:next w:val="1"/>
    <w:qFormat/>
    <w:uiPriority w:val="1"/>
    <w:pPr>
      <w:ind w:left="840"/>
      <w:outlineLvl w:val="3"/>
    </w:pPr>
    <w:rPr>
      <w:rFonts w:ascii="Times New Roman" w:hAnsi="Times New Roman" w:eastAsia="Times New Roman"/>
      <w:b/>
      <w:bCs/>
      <w:sz w:val="24"/>
      <w:szCs w:val="24"/>
    </w:rPr>
  </w:style>
  <w:style w:type="paragraph" w:styleId="7">
    <w:name w:val="heading 5"/>
    <w:basedOn w:val="1"/>
    <w:next w:val="1"/>
    <w:qFormat/>
    <w:uiPriority w:val="1"/>
    <w:pPr>
      <w:ind w:left="420"/>
      <w:outlineLvl w:val="4"/>
    </w:pPr>
    <w:rPr>
      <w:rFonts w:ascii="Times New Roman" w:hAnsi="Times New Roman" w:eastAsia="Times New Roman"/>
      <w:b/>
      <w:bCs/>
      <w:i/>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8">
    <w:name w:val="Body Text"/>
    <w:basedOn w:val="1"/>
    <w:qFormat/>
    <w:uiPriority w:val="1"/>
    <w:pPr>
      <w:snapToGrid w:val="0"/>
      <w:spacing w:before="60" w:beforeLines="60" w:line="300" w:lineRule="auto"/>
      <w:jc w:val="both"/>
    </w:pPr>
    <w:rPr>
      <w:rFonts w:ascii="Arial" w:hAnsi="Arial" w:eastAsia="宋体"/>
      <w:sz w:val="24"/>
      <w:szCs w:val="24"/>
    </w:rPr>
  </w:style>
  <w:style w:type="paragraph" w:styleId="9">
    <w:name w:val="toc 3"/>
    <w:basedOn w:val="1"/>
    <w:next w:val="1"/>
    <w:qFormat/>
    <w:uiPriority w:val="1"/>
    <w:pPr>
      <w:spacing w:before="279"/>
      <w:ind w:left="380" w:hanging="328"/>
    </w:pPr>
    <w:rPr>
      <w:rFonts w:ascii="Times New Roman" w:hAnsi="Times New Roman" w:eastAsia="Times New Roman"/>
      <w:b/>
      <w:bCs/>
      <w:i/>
    </w:r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440"/>
        <w:tab w:val="right" w:leader="dot" w:pos="9020"/>
      </w:tabs>
      <w:snapToGrid w:val="0"/>
      <w:spacing w:before="40" w:beforeLines="40" w:line="300" w:lineRule="auto"/>
      <w:ind w:right="200" w:rightChars="200"/>
      <w:jc w:val="both"/>
    </w:pPr>
    <w:rPr>
      <w:rFonts w:ascii="Arial" w:hAnsi="Arial" w:eastAsia="宋体"/>
      <w:bCs/>
      <w:sz w:val="24"/>
      <w:szCs w:val="24"/>
    </w:rPr>
  </w:style>
  <w:style w:type="paragraph" w:styleId="14">
    <w:name w:val="footnote text"/>
    <w:basedOn w:val="1"/>
    <w:link w:val="28"/>
    <w:semiHidden/>
    <w:unhideWhenUsed/>
    <w:qFormat/>
    <w:uiPriority w:val="99"/>
    <w:pPr>
      <w:snapToGrid w:val="0"/>
    </w:pPr>
    <w:rPr>
      <w:sz w:val="18"/>
      <w:szCs w:val="18"/>
    </w:rPr>
  </w:style>
  <w:style w:type="paragraph" w:styleId="15">
    <w:name w:val="toc 2"/>
    <w:basedOn w:val="1"/>
    <w:next w:val="1"/>
    <w:qFormat/>
    <w:uiPriority w:val="39"/>
    <w:pPr>
      <w:tabs>
        <w:tab w:val="left" w:pos="880"/>
        <w:tab w:val="right" w:leader="dot" w:pos="9020"/>
      </w:tabs>
      <w:snapToGrid w:val="0"/>
      <w:spacing w:before="40" w:beforeLines="40" w:line="300" w:lineRule="auto"/>
      <w:ind w:left="200" w:leftChars="200" w:right="200" w:rightChars="200"/>
      <w:jc w:val="both"/>
    </w:pPr>
    <w:rPr>
      <w:rFonts w:ascii="Arial" w:hAnsi="Arial" w:eastAsia="宋体"/>
      <w:bCs/>
      <w:sz w:val="24"/>
      <w:szCs w:val="19"/>
    </w:rPr>
  </w:style>
  <w:style w:type="table" w:styleId="17">
    <w:name w:val="Table Grid"/>
    <w:basedOn w:val="1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rFonts w:cs="Times New Roman"/>
      <w:color w:val="0066CC"/>
      <w:u w:val="single"/>
    </w:rPr>
  </w:style>
  <w:style w:type="character" w:styleId="20">
    <w:name w:val="footnote reference"/>
    <w:basedOn w:val="18"/>
    <w:semiHidden/>
    <w:unhideWhenUsed/>
    <w:qFormat/>
    <w:uiPriority w:val="99"/>
    <w:rPr>
      <w:vertAlign w:val="superscript"/>
    </w:r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列出段落1"/>
    <w:basedOn w:val="1"/>
    <w:qFormat/>
    <w:uiPriority w:val="1"/>
  </w:style>
  <w:style w:type="paragraph" w:customStyle="1" w:styleId="23">
    <w:name w:val="Table Paragraph"/>
    <w:basedOn w:val="1"/>
    <w:qFormat/>
    <w:uiPriority w:val="1"/>
  </w:style>
  <w:style w:type="character" w:customStyle="1" w:styleId="24">
    <w:name w:val="页眉 Char"/>
    <w:basedOn w:val="18"/>
    <w:link w:val="12"/>
    <w:qFormat/>
    <w:uiPriority w:val="99"/>
    <w:rPr>
      <w:sz w:val="18"/>
      <w:szCs w:val="18"/>
    </w:rPr>
  </w:style>
  <w:style w:type="character" w:customStyle="1" w:styleId="25">
    <w:name w:val="页脚 Char"/>
    <w:basedOn w:val="18"/>
    <w:link w:val="11"/>
    <w:qFormat/>
    <w:uiPriority w:val="99"/>
    <w:rPr>
      <w:sz w:val="18"/>
      <w:szCs w:val="18"/>
    </w:rPr>
  </w:style>
  <w:style w:type="character" w:customStyle="1" w:styleId="26">
    <w:name w:val="web-item2"/>
    <w:basedOn w:val="18"/>
    <w:qFormat/>
    <w:uiPriority w:val="0"/>
    <w:rPr>
      <w:sz w:val="18"/>
      <w:szCs w:val="18"/>
    </w:rPr>
  </w:style>
  <w:style w:type="character" w:customStyle="1" w:styleId="27">
    <w:name w:val="批注框文本 Char"/>
    <w:basedOn w:val="18"/>
    <w:link w:val="10"/>
    <w:semiHidden/>
    <w:qFormat/>
    <w:uiPriority w:val="99"/>
    <w:rPr>
      <w:sz w:val="18"/>
      <w:szCs w:val="18"/>
      <w:lang w:eastAsia="en-US"/>
    </w:rPr>
  </w:style>
  <w:style w:type="character" w:customStyle="1" w:styleId="28">
    <w:name w:val="脚注文本 Char"/>
    <w:basedOn w:val="18"/>
    <w:link w:val="14"/>
    <w:semiHidden/>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344C0-A43A-4067-B0B1-E8A7844993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4965</Words>
  <Characters>6395</Characters>
  <Lines>107</Lines>
  <Paragraphs>30</Paragraphs>
  <TotalTime>0</TotalTime>
  <ScaleCrop>false</ScaleCrop>
  <LinksUpToDate>false</LinksUpToDate>
  <CharactersWithSpaces>6605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2017-04-10T10:05:00Z</dcterms:created>
  <dc:creator>孟客楠</dc:creator>
  <cp:lastModifiedBy>太极箫客</cp:lastModifiedBy>
  <dcterms:modified xsi:type="dcterms:W3CDTF">2025-08-14T06:47:33Z</dcterms:modified>
  <dc:subject>Gene Expression Test System for Breat Cancer Prognosis</dc:subject>
  <dc:title>DRAFT  2/08/07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2011-06-14T00:00:00Z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48C42156F6084C6597DEEC6547848042_12</vt:lpwstr>
  </property>
</Properties>
</file>