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83AC5">
      <w:pPr>
        <w:snapToGrid w:val="0"/>
        <w:spacing w:line="300" w:lineRule="auto"/>
        <w:jc w:val="both"/>
        <w:rPr>
          <w:rFonts w:ascii="Arial" w:hAnsi="Arial" w:eastAsia="宋体" w:cs="Arial"/>
          <w:sz w:val="20"/>
          <w:szCs w:val="20"/>
        </w:rPr>
      </w:pPr>
      <w:bookmarkStart w:id="21" w:name="_GoBack"/>
      <w:bookmarkEnd w:id="21"/>
    </w:p>
    <w:p w14:paraId="3E419DCC">
      <w:pPr>
        <w:snapToGrid w:val="0"/>
        <w:spacing w:line="300" w:lineRule="auto"/>
        <w:jc w:val="both"/>
        <w:rPr>
          <w:rFonts w:ascii="Arial" w:hAnsi="Arial" w:eastAsia="宋体" w:cs="Arial"/>
          <w:sz w:val="20"/>
          <w:szCs w:val="20"/>
        </w:rPr>
      </w:pPr>
    </w:p>
    <w:p w14:paraId="07F0A242">
      <w:pPr>
        <w:snapToGrid w:val="0"/>
        <w:spacing w:line="300" w:lineRule="auto"/>
        <w:jc w:val="both"/>
        <w:rPr>
          <w:rFonts w:ascii="Arial" w:hAnsi="Arial" w:eastAsia="宋体" w:cs="Arial"/>
          <w:sz w:val="20"/>
          <w:szCs w:val="20"/>
        </w:rPr>
      </w:pPr>
    </w:p>
    <w:p w14:paraId="6D87526E">
      <w:pPr>
        <w:snapToGrid w:val="0"/>
        <w:spacing w:line="300" w:lineRule="auto"/>
        <w:jc w:val="both"/>
        <w:rPr>
          <w:rFonts w:ascii="Arial" w:hAnsi="Arial" w:eastAsia="宋体" w:cs="Arial"/>
          <w:sz w:val="20"/>
          <w:szCs w:val="20"/>
        </w:rPr>
      </w:pPr>
    </w:p>
    <w:p w14:paraId="260DC25F">
      <w:pPr>
        <w:snapToGrid w:val="0"/>
        <w:spacing w:line="300" w:lineRule="auto"/>
        <w:jc w:val="both"/>
        <w:rPr>
          <w:rFonts w:ascii="Arial" w:hAnsi="Arial" w:eastAsia="宋体" w:cs="Arial"/>
          <w:sz w:val="20"/>
          <w:szCs w:val="20"/>
        </w:rPr>
      </w:pPr>
    </w:p>
    <w:p w14:paraId="651790FE">
      <w:pPr>
        <w:snapToGrid w:val="0"/>
        <w:spacing w:line="300" w:lineRule="auto"/>
        <w:jc w:val="both"/>
        <w:rPr>
          <w:rFonts w:ascii="Arial" w:hAnsi="Arial" w:eastAsia="宋体" w:cs="Arial"/>
          <w:sz w:val="20"/>
          <w:szCs w:val="20"/>
        </w:rPr>
      </w:pPr>
    </w:p>
    <w:p w14:paraId="64DCDFCE">
      <w:pPr>
        <w:snapToGrid w:val="0"/>
        <w:spacing w:line="300" w:lineRule="auto"/>
        <w:jc w:val="both"/>
        <w:rPr>
          <w:rFonts w:ascii="Arial" w:hAnsi="Arial" w:eastAsia="宋体" w:cs="Arial"/>
          <w:sz w:val="20"/>
          <w:szCs w:val="20"/>
        </w:rPr>
      </w:pPr>
    </w:p>
    <w:p w14:paraId="441557AC">
      <w:pPr>
        <w:snapToGrid w:val="0"/>
        <w:spacing w:line="300" w:lineRule="auto"/>
        <w:jc w:val="both"/>
        <w:rPr>
          <w:rFonts w:ascii="Arial" w:hAnsi="Arial" w:eastAsia="宋体" w:cs="Arial"/>
          <w:sz w:val="20"/>
          <w:szCs w:val="20"/>
        </w:rPr>
      </w:pPr>
    </w:p>
    <w:p w14:paraId="5DC608E8">
      <w:pPr>
        <w:snapToGrid w:val="0"/>
        <w:spacing w:line="300" w:lineRule="auto"/>
        <w:jc w:val="both"/>
        <w:rPr>
          <w:rFonts w:ascii="Arial" w:hAnsi="Arial" w:eastAsia="宋体" w:cs="Arial"/>
          <w:sz w:val="20"/>
          <w:szCs w:val="20"/>
        </w:rPr>
      </w:pPr>
    </w:p>
    <w:p w14:paraId="0D824A8F">
      <w:pPr>
        <w:snapToGrid w:val="0"/>
        <w:spacing w:line="300" w:lineRule="auto"/>
        <w:jc w:val="both"/>
        <w:rPr>
          <w:rFonts w:ascii="Arial" w:hAnsi="Arial" w:eastAsia="宋体" w:cs="Arial"/>
          <w:sz w:val="20"/>
          <w:szCs w:val="20"/>
        </w:rPr>
      </w:pPr>
    </w:p>
    <w:p w14:paraId="52F7400C">
      <w:pPr>
        <w:snapToGrid w:val="0"/>
        <w:spacing w:line="300" w:lineRule="auto"/>
        <w:jc w:val="both"/>
        <w:rPr>
          <w:rFonts w:ascii="Arial" w:hAnsi="Arial" w:eastAsia="宋体" w:cs="Arial"/>
          <w:sz w:val="20"/>
          <w:szCs w:val="20"/>
        </w:rPr>
      </w:pPr>
    </w:p>
    <w:p w14:paraId="0ED8F255">
      <w:pPr>
        <w:snapToGrid w:val="0"/>
        <w:spacing w:line="300" w:lineRule="auto"/>
        <w:jc w:val="both"/>
        <w:rPr>
          <w:rFonts w:ascii="Arial" w:hAnsi="Arial" w:eastAsia="宋体" w:cs="Arial"/>
          <w:sz w:val="20"/>
          <w:szCs w:val="20"/>
        </w:rPr>
      </w:pPr>
    </w:p>
    <w:p w14:paraId="6457DE87">
      <w:pPr>
        <w:snapToGrid w:val="0"/>
        <w:spacing w:line="300" w:lineRule="auto"/>
        <w:jc w:val="both"/>
        <w:rPr>
          <w:rFonts w:ascii="Arial" w:hAnsi="Arial" w:eastAsia="宋体" w:cs="Arial"/>
          <w:sz w:val="20"/>
          <w:szCs w:val="20"/>
        </w:rPr>
      </w:pPr>
    </w:p>
    <w:p w14:paraId="5D1D0CC2">
      <w:pPr>
        <w:snapToGrid w:val="0"/>
        <w:spacing w:line="300" w:lineRule="auto"/>
        <w:jc w:val="both"/>
        <w:rPr>
          <w:rFonts w:ascii="Arial" w:hAnsi="Arial" w:eastAsia="宋体" w:cs="Arial"/>
          <w:sz w:val="20"/>
          <w:szCs w:val="20"/>
        </w:rPr>
      </w:pPr>
    </w:p>
    <w:p w14:paraId="30ED17B1">
      <w:pPr>
        <w:snapToGrid w:val="0"/>
        <w:spacing w:before="6" w:line="300" w:lineRule="auto"/>
        <w:jc w:val="both"/>
        <w:rPr>
          <w:rFonts w:ascii="Arial" w:hAnsi="Arial" w:eastAsia="宋体" w:cs="Arial"/>
          <w:sz w:val="29"/>
          <w:szCs w:val="29"/>
        </w:rPr>
      </w:pPr>
    </w:p>
    <w:p w14:paraId="7BBD440F">
      <w:pPr>
        <w:snapToGrid w:val="0"/>
        <w:spacing w:line="300" w:lineRule="auto"/>
        <w:jc w:val="center"/>
        <w:rPr>
          <w:rFonts w:ascii="Arial" w:hAnsi="Arial" w:eastAsia="宋体" w:cs="Arial"/>
          <w:sz w:val="28"/>
          <w:szCs w:val="28"/>
          <w:lang w:eastAsia="zh-CN"/>
        </w:rPr>
      </w:pPr>
      <w:r>
        <w:rPr>
          <w:rFonts w:ascii="Arial" w:hAnsi="Arial" w:eastAsia="宋体" w:cs="Arial"/>
          <w:sz w:val="28"/>
          <w:szCs w:val="28"/>
          <w:lang w:eastAsia="zh-CN"/>
        </w:rPr>
        <w:t>本指南编写于1997年2月27日实施FDA的良好指导规范（GGP）之前。其不会为任何人创造或赋予任何权利，也不对FDA或公众具有约束力。如果替代方法满足适用的法律、法规或其两者的要求，可以使用替代方法。本指南将在下一版本中更新，以纳入GGP的标准部分。</w:t>
      </w:r>
    </w:p>
    <w:p w14:paraId="0DCF1845">
      <w:pPr>
        <w:snapToGrid w:val="0"/>
        <w:spacing w:line="300" w:lineRule="auto"/>
        <w:rPr>
          <w:rFonts w:ascii="Arial" w:hAnsi="Arial" w:eastAsia="宋体" w:cs="Arial"/>
          <w:sz w:val="25"/>
          <w:szCs w:val="25"/>
          <w:lang w:eastAsia="zh-CN"/>
        </w:rPr>
        <w:sectPr>
          <w:type w:val="continuous"/>
          <w:pgSz w:w="12240" w:h="15840"/>
          <w:pgMar w:top="1134" w:right="1134" w:bottom="1134" w:left="1134" w:header="720" w:footer="720" w:gutter="0"/>
          <w:cols w:space="720" w:num="1"/>
          <w:docGrid w:linePitch="299" w:charSpace="0"/>
        </w:sectPr>
      </w:pPr>
    </w:p>
    <w:p w14:paraId="0DA988B2">
      <w:pPr>
        <w:snapToGrid w:val="0"/>
        <w:spacing w:line="300" w:lineRule="auto"/>
        <w:jc w:val="both"/>
        <w:rPr>
          <w:rFonts w:ascii="Arial" w:hAnsi="Arial" w:eastAsia="宋体" w:cs="Arial"/>
          <w:sz w:val="20"/>
          <w:szCs w:val="20"/>
          <w:lang w:eastAsia="zh-CN"/>
        </w:rPr>
      </w:pPr>
    </w:p>
    <w:p w14:paraId="2BB2B98D">
      <w:pPr>
        <w:snapToGrid w:val="0"/>
        <w:spacing w:line="300" w:lineRule="auto"/>
        <w:jc w:val="both"/>
        <w:rPr>
          <w:rFonts w:ascii="Arial" w:hAnsi="Arial" w:eastAsia="宋体" w:cs="Arial"/>
          <w:sz w:val="20"/>
          <w:szCs w:val="20"/>
          <w:lang w:eastAsia="zh-CN"/>
        </w:rPr>
      </w:pPr>
    </w:p>
    <w:p w14:paraId="45906C9C">
      <w:pPr>
        <w:snapToGrid w:val="0"/>
        <w:spacing w:line="300" w:lineRule="auto"/>
        <w:jc w:val="both"/>
        <w:rPr>
          <w:rFonts w:ascii="Arial" w:hAnsi="Arial" w:eastAsia="宋体" w:cs="Arial"/>
          <w:sz w:val="20"/>
          <w:szCs w:val="20"/>
          <w:lang w:eastAsia="zh-CN"/>
        </w:rPr>
      </w:pPr>
    </w:p>
    <w:p w14:paraId="0867AF7D">
      <w:pPr>
        <w:snapToGrid w:val="0"/>
        <w:spacing w:line="300" w:lineRule="auto"/>
        <w:jc w:val="both"/>
        <w:rPr>
          <w:rFonts w:ascii="Arial" w:hAnsi="Arial" w:eastAsia="宋体" w:cs="Arial"/>
          <w:sz w:val="20"/>
          <w:szCs w:val="20"/>
          <w:lang w:eastAsia="zh-CN"/>
        </w:rPr>
      </w:pPr>
    </w:p>
    <w:p w14:paraId="26A0BC72">
      <w:pPr>
        <w:snapToGrid w:val="0"/>
        <w:spacing w:line="300" w:lineRule="auto"/>
        <w:jc w:val="both"/>
        <w:rPr>
          <w:rFonts w:ascii="Arial" w:hAnsi="Arial" w:eastAsia="宋体" w:cs="Arial"/>
          <w:sz w:val="20"/>
          <w:szCs w:val="20"/>
          <w:lang w:eastAsia="zh-CN"/>
        </w:rPr>
      </w:pPr>
    </w:p>
    <w:p w14:paraId="513DB319">
      <w:pPr>
        <w:snapToGrid w:val="0"/>
        <w:spacing w:line="300" w:lineRule="auto"/>
        <w:jc w:val="both"/>
        <w:rPr>
          <w:rFonts w:ascii="Arial" w:hAnsi="Arial" w:eastAsia="宋体" w:cs="Arial"/>
          <w:sz w:val="20"/>
          <w:szCs w:val="20"/>
          <w:lang w:eastAsia="zh-CN"/>
        </w:rPr>
      </w:pPr>
    </w:p>
    <w:p w14:paraId="59AA90F1">
      <w:pPr>
        <w:snapToGrid w:val="0"/>
        <w:spacing w:line="300" w:lineRule="auto"/>
        <w:jc w:val="both"/>
        <w:rPr>
          <w:rFonts w:ascii="Arial" w:hAnsi="Arial" w:eastAsia="宋体" w:cs="Arial"/>
          <w:sz w:val="20"/>
          <w:szCs w:val="20"/>
          <w:lang w:eastAsia="zh-CN"/>
        </w:rPr>
      </w:pPr>
    </w:p>
    <w:p w14:paraId="30548765">
      <w:pPr>
        <w:snapToGrid w:val="0"/>
        <w:spacing w:line="300" w:lineRule="auto"/>
        <w:jc w:val="both"/>
        <w:rPr>
          <w:rFonts w:ascii="Arial" w:hAnsi="Arial" w:eastAsia="宋体" w:cs="Arial"/>
          <w:sz w:val="20"/>
          <w:szCs w:val="20"/>
          <w:lang w:eastAsia="zh-CN"/>
        </w:rPr>
      </w:pPr>
    </w:p>
    <w:p w14:paraId="66A29196">
      <w:pPr>
        <w:snapToGrid w:val="0"/>
        <w:spacing w:line="300" w:lineRule="auto"/>
        <w:jc w:val="both"/>
        <w:rPr>
          <w:rFonts w:ascii="Arial" w:hAnsi="Arial" w:eastAsia="宋体" w:cs="Arial"/>
          <w:sz w:val="20"/>
          <w:szCs w:val="20"/>
          <w:lang w:eastAsia="zh-CN"/>
        </w:rPr>
      </w:pPr>
    </w:p>
    <w:p w14:paraId="3E9DB32B">
      <w:pPr>
        <w:snapToGrid w:val="0"/>
        <w:spacing w:line="300" w:lineRule="auto"/>
        <w:jc w:val="both"/>
        <w:rPr>
          <w:rFonts w:ascii="Arial" w:hAnsi="Arial" w:eastAsia="宋体" w:cs="Arial"/>
          <w:sz w:val="20"/>
          <w:szCs w:val="20"/>
          <w:lang w:eastAsia="zh-CN"/>
        </w:rPr>
      </w:pPr>
    </w:p>
    <w:p w14:paraId="349FD707">
      <w:pPr>
        <w:snapToGrid w:val="0"/>
        <w:spacing w:line="300" w:lineRule="auto"/>
        <w:jc w:val="both"/>
        <w:rPr>
          <w:rFonts w:ascii="Arial" w:hAnsi="Arial" w:eastAsia="宋体" w:cs="Arial"/>
          <w:sz w:val="20"/>
          <w:szCs w:val="20"/>
          <w:lang w:eastAsia="zh-CN"/>
        </w:rPr>
      </w:pPr>
    </w:p>
    <w:p w14:paraId="05B13932">
      <w:pPr>
        <w:snapToGrid w:val="0"/>
        <w:spacing w:line="300" w:lineRule="auto"/>
        <w:jc w:val="both"/>
        <w:rPr>
          <w:rFonts w:ascii="Arial" w:hAnsi="Arial" w:eastAsia="宋体" w:cs="Arial"/>
          <w:sz w:val="20"/>
          <w:szCs w:val="20"/>
          <w:lang w:eastAsia="zh-CN"/>
        </w:rPr>
      </w:pPr>
    </w:p>
    <w:p w14:paraId="43102007">
      <w:pPr>
        <w:snapToGrid w:val="0"/>
        <w:spacing w:line="300" w:lineRule="auto"/>
        <w:jc w:val="both"/>
        <w:rPr>
          <w:rFonts w:ascii="Arial" w:hAnsi="Arial" w:eastAsia="宋体" w:cs="Arial"/>
          <w:sz w:val="20"/>
          <w:szCs w:val="20"/>
          <w:lang w:eastAsia="zh-CN"/>
        </w:rPr>
      </w:pPr>
    </w:p>
    <w:p w14:paraId="7A9CFCED">
      <w:pPr>
        <w:snapToGrid w:val="0"/>
        <w:spacing w:line="300" w:lineRule="auto"/>
        <w:jc w:val="both"/>
        <w:rPr>
          <w:rFonts w:ascii="Arial" w:hAnsi="Arial" w:eastAsia="宋体" w:cs="Arial"/>
          <w:sz w:val="20"/>
          <w:szCs w:val="20"/>
          <w:lang w:eastAsia="zh-CN"/>
        </w:rPr>
      </w:pPr>
    </w:p>
    <w:p w14:paraId="7470C90E">
      <w:pPr>
        <w:snapToGrid w:val="0"/>
        <w:spacing w:line="300" w:lineRule="auto"/>
        <w:jc w:val="both"/>
        <w:rPr>
          <w:rFonts w:ascii="Arial" w:hAnsi="Arial" w:eastAsia="宋体" w:cs="Arial"/>
          <w:sz w:val="20"/>
          <w:szCs w:val="20"/>
          <w:lang w:eastAsia="zh-CN"/>
        </w:rPr>
      </w:pPr>
    </w:p>
    <w:p w14:paraId="52C80967">
      <w:pPr>
        <w:pStyle w:val="5"/>
        <w:snapToGrid w:val="0"/>
        <w:spacing w:before="180" w:line="300" w:lineRule="auto"/>
        <w:ind w:left="0"/>
        <w:jc w:val="center"/>
        <w:rPr>
          <w:rFonts w:ascii="Arial" w:hAnsi="Arial" w:eastAsia="宋体" w:cs="Arial"/>
          <w:b w:val="0"/>
          <w:bCs w:val="0"/>
          <w:sz w:val="24"/>
          <w:szCs w:val="24"/>
          <w:lang w:eastAsia="zh-CN"/>
        </w:rPr>
      </w:pPr>
      <w:r>
        <w:rPr>
          <w:rFonts w:ascii="Arial" w:hAnsi="Arial" w:eastAsia="宋体" w:cs="Arial"/>
          <w:b w:val="0"/>
          <w:bCs w:val="0"/>
          <w:sz w:val="24"/>
          <w:szCs w:val="24"/>
          <w:lang w:eastAsia="zh-CN"/>
        </w:rPr>
        <w:t>FDA审评员回答指南：</w:t>
      </w:r>
    </w:p>
    <w:p w14:paraId="50F1D566">
      <w:pPr>
        <w:pStyle w:val="5"/>
        <w:snapToGrid w:val="0"/>
        <w:spacing w:before="180" w:line="300" w:lineRule="auto"/>
        <w:ind w:left="0"/>
        <w:jc w:val="center"/>
        <w:rPr>
          <w:rFonts w:ascii="Arial" w:hAnsi="Arial" w:eastAsia="宋体" w:cs="Arial"/>
          <w:b w:val="0"/>
          <w:bCs w:val="0"/>
          <w:sz w:val="24"/>
          <w:szCs w:val="24"/>
          <w:lang w:eastAsia="zh-CN"/>
        </w:rPr>
      </w:pPr>
      <w:r>
        <w:rPr>
          <w:rFonts w:ascii="Arial" w:hAnsi="Arial" w:eastAsia="宋体" w:cs="Arial"/>
          <w:b w:val="0"/>
          <w:bCs w:val="0"/>
          <w:sz w:val="24"/>
          <w:szCs w:val="24"/>
          <w:lang w:eastAsia="zh-CN"/>
        </w:rPr>
        <w:t>在卫生保健机构中对可回收重复使用的医疗器械加贴标签</w:t>
      </w:r>
    </w:p>
    <w:p w14:paraId="752390C0">
      <w:pPr>
        <w:snapToGrid w:val="0"/>
        <w:spacing w:line="300" w:lineRule="auto"/>
        <w:jc w:val="center"/>
        <w:rPr>
          <w:rFonts w:ascii="Arial" w:hAnsi="Arial" w:eastAsia="宋体" w:cs="Arial"/>
          <w:b/>
          <w:bCs/>
          <w:sz w:val="24"/>
          <w:szCs w:val="24"/>
          <w:lang w:eastAsia="zh-CN"/>
        </w:rPr>
      </w:pPr>
    </w:p>
    <w:p w14:paraId="103047F1">
      <w:pPr>
        <w:snapToGrid w:val="0"/>
        <w:spacing w:line="300" w:lineRule="auto"/>
        <w:jc w:val="center"/>
        <w:rPr>
          <w:rFonts w:ascii="Arial" w:hAnsi="Arial" w:eastAsia="宋体" w:cs="Arial"/>
          <w:b/>
          <w:bCs/>
          <w:sz w:val="24"/>
          <w:szCs w:val="24"/>
          <w:lang w:eastAsia="zh-CN"/>
        </w:rPr>
      </w:pPr>
    </w:p>
    <w:p w14:paraId="2BBFA7A6">
      <w:pPr>
        <w:snapToGrid w:val="0"/>
        <w:spacing w:line="300" w:lineRule="auto"/>
        <w:jc w:val="center"/>
        <w:rPr>
          <w:rFonts w:ascii="Arial" w:hAnsi="Arial" w:eastAsia="宋体" w:cs="Arial"/>
          <w:b/>
          <w:bCs/>
          <w:sz w:val="24"/>
          <w:szCs w:val="24"/>
          <w:lang w:eastAsia="zh-CN"/>
        </w:rPr>
      </w:pPr>
    </w:p>
    <w:p w14:paraId="408A86DA">
      <w:pPr>
        <w:snapToGrid w:val="0"/>
        <w:spacing w:line="300" w:lineRule="auto"/>
        <w:jc w:val="center"/>
        <w:rPr>
          <w:rFonts w:ascii="Arial" w:hAnsi="Arial" w:eastAsia="宋体" w:cs="Arial"/>
          <w:b/>
          <w:bCs/>
          <w:sz w:val="24"/>
          <w:szCs w:val="24"/>
          <w:lang w:eastAsia="zh-CN"/>
        </w:rPr>
      </w:pPr>
    </w:p>
    <w:p w14:paraId="15EA0409">
      <w:pPr>
        <w:snapToGrid w:val="0"/>
        <w:spacing w:line="300" w:lineRule="auto"/>
        <w:jc w:val="center"/>
        <w:rPr>
          <w:rFonts w:ascii="Arial" w:hAnsi="Arial" w:eastAsia="宋体" w:cs="Arial"/>
          <w:b/>
          <w:bCs/>
          <w:sz w:val="24"/>
          <w:szCs w:val="24"/>
          <w:lang w:eastAsia="zh-CN"/>
        </w:rPr>
      </w:pPr>
    </w:p>
    <w:p w14:paraId="17DB5261">
      <w:pPr>
        <w:snapToGrid w:val="0"/>
        <w:spacing w:line="300" w:lineRule="auto"/>
        <w:jc w:val="center"/>
        <w:rPr>
          <w:rFonts w:ascii="Arial" w:hAnsi="Arial" w:eastAsia="宋体" w:cs="Arial"/>
          <w:b/>
          <w:bCs/>
          <w:sz w:val="24"/>
          <w:szCs w:val="24"/>
          <w:lang w:eastAsia="zh-CN"/>
        </w:rPr>
      </w:pPr>
    </w:p>
    <w:p w14:paraId="5184E35D">
      <w:pPr>
        <w:snapToGrid w:val="0"/>
        <w:spacing w:before="161" w:line="300" w:lineRule="auto"/>
        <w:jc w:val="center"/>
        <w:rPr>
          <w:rFonts w:ascii="Arial" w:hAnsi="Arial" w:eastAsia="宋体" w:cs="Arial"/>
          <w:sz w:val="24"/>
          <w:szCs w:val="24"/>
          <w:lang w:eastAsia="zh-CN"/>
        </w:rPr>
      </w:pPr>
      <w:r>
        <w:rPr>
          <w:rFonts w:ascii="Arial" w:hAnsi="Arial" w:eastAsia="宋体" w:cs="Arial"/>
          <w:sz w:val="24"/>
          <w:szCs w:val="24"/>
          <w:lang w:eastAsia="zh-CN"/>
        </w:rPr>
        <w:t>器械评估办公室</w:t>
      </w:r>
    </w:p>
    <w:p w14:paraId="588B749B">
      <w:pPr>
        <w:snapToGrid w:val="0"/>
        <w:spacing w:before="178" w:line="300" w:lineRule="auto"/>
        <w:jc w:val="center"/>
        <w:rPr>
          <w:rFonts w:ascii="Arial" w:hAnsi="Arial" w:eastAsia="宋体" w:cs="Arial"/>
          <w:sz w:val="24"/>
          <w:szCs w:val="24"/>
          <w:lang w:eastAsia="zh-CN"/>
        </w:rPr>
      </w:pPr>
      <w:r>
        <w:rPr>
          <w:rFonts w:ascii="Arial" w:hAnsi="Arial" w:eastAsia="宋体" w:cs="Arial"/>
          <w:sz w:val="24"/>
          <w:szCs w:val="24"/>
          <w:lang w:eastAsia="zh-CN"/>
        </w:rPr>
        <w:t>1996年4月</w:t>
      </w:r>
    </w:p>
    <w:p w14:paraId="288AC7BE">
      <w:pPr>
        <w:snapToGrid w:val="0"/>
        <w:spacing w:before="178" w:line="300" w:lineRule="auto"/>
        <w:rPr>
          <w:rFonts w:ascii="Arial" w:hAnsi="Arial" w:eastAsia="宋体" w:cs="Arial"/>
          <w:b/>
          <w:sz w:val="24"/>
          <w:lang w:eastAsia="zh-CN"/>
        </w:rPr>
      </w:pPr>
    </w:p>
    <w:p w14:paraId="3A5A4CF1">
      <w:pPr>
        <w:snapToGrid w:val="0"/>
        <w:spacing w:before="178" w:line="300" w:lineRule="auto"/>
        <w:rPr>
          <w:rFonts w:ascii="Arial" w:hAnsi="Arial" w:eastAsia="宋体" w:cs="Arial"/>
          <w:sz w:val="24"/>
          <w:szCs w:val="24"/>
          <w:lang w:eastAsia="zh-CN"/>
        </w:rPr>
        <w:sectPr>
          <w:pgSz w:w="12240" w:h="15840"/>
          <w:pgMar w:top="1134" w:right="1134" w:bottom="1134" w:left="1134" w:header="720" w:footer="720" w:gutter="0"/>
          <w:cols w:space="720" w:num="1"/>
          <w:docGrid w:linePitch="299" w:charSpace="0"/>
        </w:sectPr>
      </w:pPr>
    </w:p>
    <w:p w14:paraId="35D04F59">
      <w:pPr>
        <w:tabs>
          <w:tab w:val="left" w:pos="4476"/>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范围</w:t>
      </w:r>
    </w:p>
    <w:p w14:paraId="16FCA84D">
      <w:pPr>
        <w:tabs>
          <w:tab w:val="left" w:pos="4476"/>
        </w:tabs>
        <w:snapToGrid w:val="0"/>
        <w:spacing w:line="300" w:lineRule="auto"/>
        <w:jc w:val="both"/>
        <w:rPr>
          <w:rFonts w:ascii="Arial" w:hAnsi="Arial" w:eastAsia="宋体" w:cs="Arial"/>
          <w:sz w:val="21"/>
          <w:szCs w:val="21"/>
          <w:lang w:eastAsia="zh-CN"/>
        </w:rPr>
      </w:pPr>
    </w:p>
    <w:p w14:paraId="4D202600">
      <w:pPr>
        <w:tabs>
          <w:tab w:val="left" w:pos="4476"/>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本指南提供了关于可重复使用医疗器械标签中重复使用说明内容的建议。此类建议也适用于一次性使用与非无菌类可重复使用器械的初始加工，以及植入前被污染的一次性使用无菌植入性器械的再加工（例如骨科植入物）。</w:t>
      </w:r>
    </w:p>
    <w:p w14:paraId="039FB0DB">
      <w:pPr>
        <w:tabs>
          <w:tab w:val="left" w:pos="4476"/>
        </w:tabs>
        <w:snapToGrid w:val="0"/>
        <w:spacing w:line="300" w:lineRule="auto"/>
        <w:jc w:val="both"/>
        <w:rPr>
          <w:rFonts w:ascii="Arial" w:hAnsi="Arial" w:eastAsia="宋体" w:cs="Arial"/>
          <w:sz w:val="21"/>
          <w:szCs w:val="21"/>
          <w:lang w:eastAsia="zh-CN"/>
        </w:rPr>
      </w:pPr>
    </w:p>
    <w:p w14:paraId="26D6C359">
      <w:pPr>
        <w:tabs>
          <w:tab w:val="left" w:pos="4476"/>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本指南主要针对负责评价上市前通告提交材料【510（k）】、上市前批准申请（PMA）和器械临床研究豁免申请（IDE））的FDA人员。本指南还将帮助人员准备510（k）、PMA和IDE来提交给FDA。</w:t>
      </w:r>
    </w:p>
    <w:p w14:paraId="103CC183">
      <w:pPr>
        <w:tabs>
          <w:tab w:val="left" w:pos="4476"/>
        </w:tabs>
        <w:snapToGrid w:val="0"/>
        <w:spacing w:line="300" w:lineRule="auto"/>
        <w:jc w:val="both"/>
        <w:rPr>
          <w:rFonts w:ascii="Arial" w:hAnsi="Arial" w:eastAsia="宋体" w:cs="Arial"/>
          <w:sz w:val="21"/>
          <w:szCs w:val="21"/>
          <w:lang w:eastAsia="zh-CN"/>
        </w:rPr>
      </w:pPr>
    </w:p>
    <w:p w14:paraId="706192AA">
      <w:pPr>
        <w:tabs>
          <w:tab w:val="left" w:pos="4476"/>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根据FDA标签法规，21 CFR 801，器械必须具有足够的使用说明，其中包括有关准备器械以供使用的说明。关于如何再加工（即，清洁和消毒或灭菌）可重复使用器械的说明是准备器械以供下一个患者使用的重要步骤。</w:t>
      </w:r>
    </w:p>
    <w:p w14:paraId="20D671A3">
      <w:pPr>
        <w:tabs>
          <w:tab w:val="left" w:pos="4476"/>
        </w:tabs>
        <w:snapToGrid w:val="0"/>
        <w:spacing w:line="300" w:lineRule="auto"/>
        <w:jc w:val="both"/>
        <w:rPr>
          <w:rFonts w:ascii="Arial" w:hAnsi="Arial" w:eastAsia="宋体" w:cs="Arial"/>
          <w:sz w:val="21"/>
          <w:szCs w:val="21"/>
          <w:lang w:eastAsia="zh-CN"/>
        </w:rPr>
      </w:pPr>
    </w:p>
    <w:p w14:paraId="49F9626A">
      <w:pPr>
        <w:tabs>
          <w:tab w:val="left" w:pos="4476"/>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本文件不是有关与感染控制相关的器械设计和试验因素的深入指南。但是，如果需要，制造商必须考虑产品设计和试验过程中的感染控制要求，以便于清洁，灭菌或消毒。设计和试验因素可参见具体器械FDA指南和FDA良好生产规范（GNP）指南。</w:t>
      </w:r>
    </w:p>
    <w:p w14:paraId="7B84C535">
      <w:pPr>
        <w:tabs>
          <w:tab w:val="left" w:pos="4476"/>
        </w:tabs>
        <w:snapToGrid w:val="0"/>
        <w:spacing w:line="300" w:lineRule="auto"/>
        <w:jc w:val="both"/>
        <w:rPr>
          <w:rFonts w:ascii="Arial" w:hAnsi="Arial" w:eastAsia="宋体" w:cs="Arial"/>
          <w:sz w:val="21"/>
          <w:szCs w:val="21"/>
          <w:lang w:eastAsia="zh-CN"/>
        </w:rPr>
      </w:pPr>
    </w:p>
    <w:p w14:paraId="4FADABDB">
      <w:pPr>
        <w:tabs>
          <w:tab w:val="left" w:pos="4476"/>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FDA工作人员和准备提交材料的人员还应参考由医疗器械促进协会（AAMI）制定的、标题为</w:t>
      </w:r>
      <w:r>
        <w:rPr>
          <w:rFonts w:ascii="宋体" w:hAnsi="宋体" w:eastAsia="宋体" w:cs="Arial"/>
          <w:sz w:val="21"/>
          <w:szCs w:val="21"/>
          <w:lang w:eastAsia="zh-CN"/>
        </w:rPr>
        <w:t>“</w:t>
      </w:r>
      <w:r>
        <w:rPr>
          <w:rFonts w:ascii="Arial" w:hAnsi="Arial" w:eastAsia="宋体" w:cs="Arial"/>
          <w:sz w:val="21"/>
          <w:szCs w:val="21"/>
          <w:lang w:eastAsia="zh-CN"/>
        </w:rPr>
        <w:t>可重复使用医疗器械在卫生保健机构中进行再加工的设计、测试和贴标：器械制造商指南，AAMI TIR 编号12-1994</w:t>
      </w:r>
      <w:r>
        <w:rPr>
          <w:rFonts w:ascii="宋体" w:hAnsi="宋体" w:eastAsia="宋体" w:cs="Arial"/>
          <w:sz w:val="21"/>
          <w:szCs w:val="21"/>
          <w:lang w:eastAsia="zh-CN"/>
        </w:rPr>
        <w:t>”</w:t>
      </w:r>
      <w:r>
        <w:rPr>
          <w:rFonts w:ascii="Arial" w:hAnsi="Arial" w:eastAsia="宋体" w:cs="Arial"/>
          <w:sz w:val="21"/>
          <w:szCs w:val="21"/>
          <w:lang w:eastAsia="zh-CN"/>
        </w:rPr>
        <w:t>的技术信息报告（TIR）。AAMI TIR为制造商提供全面的技术信息，以及用户对此主题的看法。该FDA审评员指南补充了AAMI TIR。</w:t>
      </w:r>
    </w:p>
    <w:p w14:paraId="48290691">
      <w:pPr>
        <w:snapToGrid w:val="0"/>
        <w:spacing w:line="300" w:lineRule="auto"/>
        <w:jc w:val="both"/>
        <w:rPr>
          <w:rFonts w:ascii="Arial" w:hAnsi="Arial" w:eastAsia="宋体" w:cs="Arial"/>
          <w:b/>
          <w:bCs/>
          <w:lang w:eastAsia="zh-CN"/>
        </w:rPr>
      </w:pPr>
    </w:p>
    <w:p w14:paraId="397E3A17">
      <w:pPr>
        <w:rPr>
          <w:rFonts w:ascii="Arial" w:hAnsi="Arial" w:eastAsia="宋体" w:cs="Arial"/>
          <w:sz w:val="25"/>
          <w:szCs w:val="25"/>
          <w:lang w:eastAsia="zh-CN"/>
        </w:rPr>
      </w:pPr>
      <w:r>
        <w:rPr>
          <w:rFonts w:ascii="Arial" w:hAnsi="Arial" w:eastAsia="宋体" w:cs="Arial"/>
          <w:sz w:val="25"/>
          <w:szCs w:val="25"/>
          <w:lang w:eastAsia="zh-CN"/>
        </w:rPr>
        <w:br w:type="page"/>
      </w:r>
    </w:p>
    <w:p w14:paraId="7F4886C3">
      <w:pPr>
        <w:snapToGrid w:val="0"/>
        <w:spacing w:line="300" w:lineRule="auto"/>
        <w:jc w:val="center"/>
        <w:rPr>
          <w:rFonts w:ascii="Arial" w:hAnsi="Arial" w:eastAsia="宋体" w:cs="Arial"/>
          <w:b/>
          <w:sz w:val="30"/>
          <w:szCs w:val="30"/>
          <w:lang w:eastAsia="zh-CN"/>
        </w:rPr>
      </w:pPr>
      <w:r>
        <w:rPr>
          <w:rFonts w:ascii="Arial" w:hAnsi="Arial" w:eastAsia="宋体" w:cs="Arial"/>
          <w:b/>
          <w:sz w:val="30"/>
          <w:szCs w:val="30"/>
          <w:lang w:eastAsia="zh-CN"/>
        </w:rPr>
        <w:t>目录</w:t>
      </w:r>
    </w:p>
    <w:p w14:paraId="7FDA12A8">
      <w:pPr>
        <w:snapToGrid w:val="0"/>
        <w:spacing w:before="1" w:line="300" w:lineRule="auto"/>
        <w:jc w:val="both"/>
        <w:rPr>
          <w:rFonts w:ascii="Arial" w:hAnsi="Arial" w:eastAsia="宋体" w:cs="Arial"/>
          <w:b/>
          <w:bCs/>
          <w:sz w:val="21"/>
          <w:szCs w:val="21"/>
          <w:lang w:eastAsia="zh-CN"/>
        </w:rPr>
      </w:pPr>
    </w:p>
    <w:p w14:paraId="0474966A">
      <w:pPr>
        <w:pStyle w:val="9"/>
        <w:tabs>
          <w:tab w:val="left" w:pos="420"/>
          <w:tab w:val="right" w:leader="dot" w:pos="9962"/>
        </w:tabs>
        <w:rPr>
          <w:rFonts w:ascii="Arial" w:hAnsi="Arial" w:cs="Arial"/>
          <w:kern w:val="2"/>
          <w:sz w:val="21"/>
          <w:lang w:eastAsia="zh-CN"/>
        </w:rPr>
      </w:pPr>
      <w:r>
        <w:rPr>
          <w:rFonts w:ascii="Arial" w:hAnsi="Arial" w:eastAsia="宋体" w:cs="Arial"/>
          <w:b/>
          <w:bCs/>
          <w:sz w:val="21"/>
          <w:szCs w:val="21"/>
          <w:lang w:eastAsia="zh-CN"/>
        </w:rPr>
        <w:fldChar w:fldCharType="begin"/>
      </w:r>
      <w:r>
        <w:rPr>
          <w:rFonts w:ascii="Arial" w:hAnsi="Arial" w:eastAsia="宋体" w:cs="Arial"/>
          <w:b/>
          <w:bCs/>
          <w:sz w:val="21"/>
          <w:szCs w:val="21"/>
          <w:lang w:eastAsia="zh-CN"/>
        </w:rPr>
        <w:instrText xml:space="preserve"> TOC \o "1-3" \h \z \u </w:instrText>
      </w:r>
      <w:r>
        <w:rPr>
          <w:rFonts w:ascii="Arial" w:hAnsi="Arial" w:eastAsia="宋体" w:cs="Arial"/>
          <w:b/>
          <w:bCs/>
          <w:sz w:val="21"/>
          <w:szCs w:val="21"/>
          <w:lang w:eastAsia="zh-CN"/>
        </w:rPr>
        <w:fldChar w:fldCharType="separate"/>
      </w:r>
      <w:r>
        <w:fldChar w:fldCharType="begin"/>
      </w:r>
      <w:r>
        <w:instrText xml:space="preserve"> HYPERLINK \l "_Toc484420977" </w:instrText>
      </w:r>
      <w:r>
        <w:fldChar w:fldCharType="separate"/>
      </w:r>
      <w:r>
        <w:rPr>
          <w:rStyle w:val="14"/>
          <w:rFonts w:ascii="Arial" w:hAnsi="Arial" w:eastAsia="宋体" w:cs="Arial"/>
          <w:lang w:eastAsia="zh-CN"/>
        </w:rPr>
        <w:t>A.</w:t>
      </w:r>
      <w:r>
        <w:rPr>
          <w:rFonts w:ascii="Arial" w:hAnsi="Arial" w:cs="Arial"/>
          <w:kern w:val="2"/>
          <w:sz w:val="21"/>
          <w:lang w:eastAsia="zh-CN"/>
        </w:rPr>
        <w:tab/>
      </w:r>
      <w:r>
        <w:rPr>
          <w:rStyle w:val="14"/>
          <w:rFonts w:ascii="Arial" w:hAnsi="Arial" w:eastAsia="宋体" w:cs="Arial"/>
          <w:lang w:eastAsia="zh-CN"/>
        </w:rPr>
        <w:t>器械再加工概述</w:t>
      </w:r>
      <w:r>
        <w:rPr>
          <w:rFonts w:ascii="Arial" w:hAnsi="Arial" w:cs="Arial"/>
        </w:rPr>
        <w:tab/>
      </w:r>
      <w:r>
        <w:rPr>
          <w:rFonts w:ascii="Arial" w:hAnsi="Arial" w:cs="Arial"/>
        </w:rPr>
        <w:fldChar w:fldCharType="begin"/>
      </w:r>
      <w:r>
        <w:rPr>
          <w:rFonts w:ascii="Arial" w:hAnsi="Arial" w:cs="Arial"/>
        </w:rPr>
        <w:instrText xml:space="preserve"> PAGEREF _Toc484420977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14:paraId="629A5394">
      <w:pPr>
        <w:pStyle w:val="9"/>
        <w:tabs>
          <w:tab w:val="left" w:pos="420"/>
          <w:tab w:val="right" w:leader="dot" w:pos="9962"/>
        </w:tabs>
        <w:rPr>
          <w:rFonts w:ascii="Arial" w:hAnsi="Arial" w:cs="Arial"/>
          <w:kern w:val="2"/>
          <w:sz w:val="21"/>
          <w:lang w:eastAsia="zh-CN"/>
        </w:rPr>
      </w:pPr>
      <w:r>
        <w:fldChar w:fldCharType="begin"/>
      </w:r>
      <w:r>
        <w:instrText xml:space="preserve"> HYPERLINK \l "_Toc484420978" </w:instrText>
      </w:r>
      <w:r>
        <w:fldChar w:fldCharType="separate"/>
      </w:r>
      <w:r>
        <w:rPr>
          <w:rStyle w:val="14"/>
          <w:rFonts w:ascii="Arial" w:hAnsi="Arial" w:eastAsia="宋体" w:cs="Arial"/>
          <w:lang w:eastAsia="zh-CN"/>
        </w:rPr>
        <w:t>B.</w:t>
      </w:r>
      <w:r>
        <w:rPr>
          <w:rFonts w:ascii="Arial" w:hAnsi="Arial" w:cs="Arial"/>
          <w:kern w:val="2"/>
          <w:sz w:val="21"/>
          <w:lang w:eastAsia="zh-CN"/>
        </w:rPr>
        <w:tab/>
      </w:r>
      <w:r>
        <w:rPr>
          <w:rStyle w:val="14"/>
          <w:rFonts w:ascii="Arial" w:hAnsi="Arial" w:eastAsia="宋体" w:cs="Arial"/>
          <w:lang w:eastAsia="zh-CN"/>
        </w:rPr>
        <w:t>关于可重复使用医疗器械标签的责任</w:t>
      </w:r>
      <w:r>
        <w:rPr>
          <w:rFonts w:ascii="Arial" w:hAnsi="Arial" w:cs="Arial"/>
        </w:rPr>
        <w:tab/>
      </w:r>
      <w:r>
        <w:rPr>
          <w:rFonts w:ascii="Arial" w:hAnsi="Arial" w:cs="Arial"/>
        </w:rPr>
        <w:fldChar w:fldCharType="begin"/>
      </w:r>
      <w:r>
        <w:rPr>
          <w:rFonts w:ascii="Arial" w:hAnsi="Arial" w:cs="Arial"/>
        </w:rPr>
        <w:instrText xml:space="preserve"> PAGEREF _Toc484420978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fldChar w:fldCharType="end"/>
      </w:r>
    </w:p>
    <w:p w14:paraId="593C8D19">
      <w:pPr>
        <w:pStyle w:val="9"/>
        <w:tabs>
          <w:tab w:val="left" w:pos="630"/>
          <w:tab w:val="right" w:leader="dot" w:pos="9962"/>
        </w:tabs>
        <w:rPr>
          <w:rFonts w:ascii="Arial" w:hAnsi="Arial" w:cs="Arial"/>
          <w:kern w:val="2"/>
          <w:sz w:val="21"/>
          <w:lang w:eastAsia="zh-CN"/>
        </w:rPr>
      </w:pPr>
      <w:r>
        <w:fldChar w:fldCharType="begin"/>
      </w:r>
      <w:r>
        <w:instrText xml:space="preserve"> HYPERLINK \l "_Toc484420979" </w:instrText>
      </w:r>
      <w:r>
        <w:fldChar w:fldCharType="separate"/>
      </w:r>
      <w:r>
        <w:rPr>
          <w:rStyle w:val="14"/>
          <w:rFonts w:ascii="Arial" w:hAnsi="Arial" w:eastAsia="宋体" w:cs="Arial"/>
          <w:lang w:eastAsia="zh-CN"/>
        </w:rPr>
        <w:t>C.</w:t>
      </w:r>
      <w:r>
        <w:rPr>
          <w:rFonts w:ascii="Arial" w:hAnsi="Arial" w:cs="Arial"/>
          <w:kern w:val="2"/>
          <w:sz w:val="21"/>
          <w:lang w:eastAsia="zh-CN"/>
        </w:rPr>
        <w:tab/>
      </w:r>
      <w:r>
        <w:rPr>
          <w:rStyle w:val="14"/>
          <w:rFonts w:ascii="Arial" w:hAnsi="Arial" w:eastAsia="宋体" w:cs="Arial"/>
          <w:lang w:eastAsia="zh-CN"/>
        </w:rPr>
        <w:t>再加工说明的标准</w:t>
      </w:r>
      <w:r>
        <w:rPr>
          <w:rFonts w:ascii="Arial" w:hAnsi="Arial" w:cs="Arial"/>
        </w:rPr>
        <w:tab/>
      </w:r>
      <w:r>
        <w:rPr>
          <w:rFonts w:ascii="Arial" w:hAnsi="Arial" w:cs="Arial"/>
        </w:rPr>
        <w:fldChar w:fldCharType="begin"/>
      </w:r>
      <w:r>
        <w:rPr>
          <w:rFonts w:ascii="Arial" w:hAnsi="Arial" w:cs="Arial"/>
        </w:rPr>
        <w:instrText xml:space="preserve"> PAGEREF _Toc484420979 \h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end"/>
      </w:r>
    </w:p>
    <w:p w14:paraId="179B1BAD">
      <w:pPr>
        <w:pStyle w:val="9"/>
        <w:tabs>
          <w:tab w:val="left" w:pos="630"/>
          <w:tab w:val="right" w:leader="dot" w:pos="9962"/>
        </w:tabs>
        <w:rPr>
          <w:rFonts w:ascii="Arial" w:hAnsi="Arial" w:cs="Arial"/>
          <w:kern w:val="2"/>
          <w:sz w:val="21"/>
          <w:lang w:eastAsia="zh-CN"/>
        </w:rPr>
      </w:pPr>
      <w:r>
        <w:fldChar w:fldCharType="begin"/>
      </w:r>
      <w:r>
        <w:instrText xml:space="preserve"> HYPERLINK \l "_Toc484420980" </w:instrText>
      </w:r>
      <w:r>
        <w:fldChar w:fldCharType="separate"/>
      </w:r>
      <w:r>
        <w:rPr>
          <w:rStyle w:val="14"/>
          <w:rFonts w:ascii="Arial" w:hAnsi="Arial" w:eastAsia="宋体" w:cs="Arial"/>
          <w:lang w:eastAsia="zh-CN"/>
        </w:rPr>
        <w:t>D.</w:t>
      </w:r>
      <w:r>
        <w:rPr>
          <w:rFonts w:ascii="Arial" w:hAnsi="Arial" w:cs="Arial"/>
          <w:kern w:val="2"/>
          <w:sz w:val="21"/>
          <w:lang w:eastAsia="zh-CN"/>
        </w:rPr>
        <w:tab/>
      </w:r>
      <w:r>
        <w:rPr>
          <w:rStyle w:val="14"/>
          <w:rFonts w:ascii="Arial" w:hAnsi="Arial" w:eastAsia="宋体" w:cs="Arial"/>
          <w:lang w:eastAsia="zh-CN"/>
        </w:rPr>
        <w:t>比较器械标签</w:t>
      </w:r>
      <w:r>
        <w:rPr>
          <w:rFonts w:ascii="Arial" w:hAnsi="Arial" w:cs="Arial"/>
        </w:rPr>
        <w:tab/>
      </w:r>
      <w:r>
        <w:rPr>
          <w:rFonts w:ascii="Arial" w:hAnsi="Arial" w:cs="Arial"/>
        </w:rPr>
        <w:fldChar w:fldCharType="begin"/>
      </w:r>
      <w:r>
        <w:rPr>
          <w:rFonts w:ascii="Arial" w:hAnsi="Arial" w:cs="Arial"/>
        </w:rPr>
        <w:instrText xml:space="preserve"> PAGEREF _Toc484420980 \h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end"/>
      </w:r>
    </w:p>
    <w:p w14:paraId="2D8EC765">
      <w:pPr>
        <w:pStyle w:val="9"/>
        <w:tabs>
          <w:tab w:val="left" w:pos="420"/>
          <w:tab w:val="right" w:leader="dot" w:pos="9962"/>
        </w:tabs>
        <w:rPr>
          <w:rFonts w:ascii="Arial" w:hAnsi="Arial" w:cs="Arial"/>
          <w:kern w:val="2"/>
          <w:sz w:val="21"/>
          <w:lang w:eastAsia="zh-CN"/>
        </w:rPr>
      </w:pPr>
      <w:r>
        <w:fldChar w:fldCharType="begin"/>
      </w:r>
      <w:r>
        <w:instrText xml:space="preserve"> HYPERLINK \l "_Toc484420981" </w:instrText>
      </w:r>
      <w:r>
        <w:fldChar w:fldCharType="separate"/>
      </w:r>
      <w:r>
        <w:rPr>
          <w:rStyle w:val="14"/>
          <w:rFonts w:ascii="Arial" w:hAnsi="Arial" w:eastAsia="宋体" w:cs="Arial"/>
          <w:lang w:eastAsia="zh-CN"/>
        </w:rPr>
        <w:t>E.</w:t>
      </w:r>
      <w:r>
        <w:rPr>
          <w:rFonts w:ascii="Arial" w:hAnsi="Arial" w:cs="Arial"/>
          <w:kern w:val="2"/>
          <w:sz w:val="21"/>
          <w:lang w:eastAsia="zh-CN"/>
        </w:rPr>
        <w:tab/>
      </w:r>
      <w:r>
        <w:rPr>
          <w:rStyle w:val="14"/>
          <w:rFonts w:ascii="Arial" w:hAnsi="Arial" w:eastAsia="宋体" w:cs="Arial"/>
          <w:lang w:eastAsia="zh-CN"/>
        </w:rPr>
        <w:t>再加工说明确认的文件记录</w:t>
      </w:r>
      <w:r>
        <w:rPr>
          <w:rFonts w:ascii="Arial" w:hAnsi="Arial" w:cs="Arial"/>
        </w:rPr>
        <w:tab/>
      </w:r>
      <w:r>
        <w:rPr>
          <w:rFonts w:ascii="Arial" w:hAnsi="Arial" w:cs="Arial"/>
        </w:rPr>
        <w:fldChar w:fldCharType="begin"/>
      </w:r>
      <w:r>
        <w:rPr>
          <w:rFonts w:ascii="Arial" w:hAnsi="Arial" w:cs="Arial"/>
        </w:rPr>
        <w:instrText xml:space="preserve"> PAGEREF _Toc484420981 \h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end"/>
      </w:r>
    </w:p>
    <w:p w14:paraId="00D6F407">
      <w:pPr>
        <w:pStyle w:val="9"/>
        <w:tabs>
          <w:tab w:val="left" w:pos="420"/>
          <w:tab w:val="right" w:leader="dot" w:pos="9962"/>
        </w:tabs>
        <w:rPr>
          <w:rFonts w:ascii="Arial" w:hAnsi="Arial" w:cs="Arial"/>
          <w:kern w:val="2"/>
          <w:sz w:val="21"/>
          <w:lang w:eastAsia="zh-CN"/>
        </w:rPr>
      </w:pPr>
      <w:r>
        <w:fldChar w:fldCharType="begin"/>
      </w:r>
      <w:r>
        <w:instrText xml:space="preserve"> HYPERLINK \l "_Toc484420982" </w:instrText>
      </w:r>
      <w:r>
        <w:fldChar w:fldCharType="separate"/>
      </w:r>
      <w:r>
        <w:rPr>
          <w:rStyle w:val="14"/>
          <w:rFonts w:ascii="Arial" w:hAnsi="Arial" w:eastAsia="宋体" w:cs="Arial"/>
          <w:lang w:eastAsia="zh-CN"/>
        </w:rPr>
        <w:t>F.</w:t>
      </w:r>
      <w:r>
        <w:rPr>
          <w:rFonts w:ascii="Arial" w:hAnsi="Arial" w:cs="Arial"/>
          <w:kern w:val="2"/>
          <w:sz w:val="21"/>
          <w:lang w:eastAsia="zh-CN"/>
        </w:rPr>
        <w:tab/>
      </w:r>
      <w:r>
        <w:rPr>
          <w:rStyle w:val="14"/>
          <w:rFonts w:ascii="Arial" w:hAnsi="Arial" w:eastAsia="宋体" w:cs="Arial"/>
          <w:lang w:eastAsia="zh-CN"/>
        </w:rPr>
        <w:t>与本指南相关的问题联系人</w:t>
      </w:r>
      <w:r>
        <w:rPr>
          <w:rFonts w:ascii="Arial" w:hAnsi="Arial" w:cs="Arial"/>
        </w:rPr>
        <w:tab/>
      </w:r>
      <w:r>
        <w:rPr>
          <w:rFonts w:ascii="Arial" w:hAnsi="Arial" w:cs="Arial"/>
        </w:rPr>
        <w:fldChar w:fldCharType="begin"/>
      </w:r>
      <w:r>
        <w:rPr>
          <w:rFonts w:ascii="Arial" w:hAnsi="Arial" w:cs="Arial"/>
        </w:rPr>
        <w:instrText xml:space="preserve"> PAGEREF _Toc484420982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end"/>
      </w:r>
    </w:p>
    <w:p w14:paraId="757C03B4">
      <w:pPr>
        <w:pStyle w:val="9"/>
        <w:tabs>
          <w:tab w:val="left" w:pos="630"/>
          <w:tab w:val="right" w:leader="dot" w:pos="9962"/>
        </w:tabs>
        <w:rPr>
          <w:rFonts w:ascii="Arial" w:hAnsi="Arial" w:cs="Arial"/>
          <w:kern w:val="2"/>
          <w:sz w:val="21"/>
          <w:lang w:eastAsia="zh-CN"/>
        </w:rPr>
      </w:pPr>
      <w:r>
        <w:fldChar w:fldCharType="begin"/>
      </w:r>
      <w:r>
        <w:instrText xml:space="preserve"> HYPERLINK \l "_Toc484420983" </w:instrText>
      </w:r>
      <w:r>
        <w:fldChar w:fldCharType="separate"/>
      </w:r>
      <w:r>
        <w:rPr>
          <w:rStyle w:val="14"/>
          <w:rFonts w:ascii="Arial" w:hAnsi="Arial" w:eastAsia="宋体" w:cs="Arial"/>
          <w:lang w:eastAsia="zh-CN"/>
        </w:rPr>
        <w:t>G.</w:t>
      </w:r>
      <w:r>
        <w:rPr>
          <w:rFonts w:ascii="Arial" w:hAnsi="Arial" w:cs="Arial"/>
          <w:kern w:val="2"/>
          <w:sz w:val="21"/>
          <w:lang w:eastAsia="zh-CN"/>
        </w:rPr>
        <w:tab/>
      </w:r>
      <w:r>
        <w:rPr>
          <w:rStyle w:val="14"/>
          <w:rFonts w:ascii="Arial" w:hAnsi="Arial" w:eastAsia="宋体" w:cs="Arial"/>
          <w:lang w:eastAsia="zh-CN"/>
        </w:rPr>
        <w:t>再加工说明的审评员清单</w:t>
      </w:r>
      <w:r>
        <w:rPr>
          <w:rFonts w:ascii="Arial" w:hAnsi="Arial" w:cs="Arial"/>
        </w:rPr>
        <w:tab/>
      </w:r>
      <w:r>
        <w:rPr>
          <w:rFonts w:ascii="Arial" w:hAnsi="Arial" w:cs="Arial"/>
        </w:rPr>
        <w:fldChar w:fldCharType="begin"/>
      </w:r>
      <w:r>
        <w:rPr>
          <w:rFonts w:ascii="Arial" w:hAnsi="Arial" w:cs="Arial"/>
        </w:rPr>
        <w:instrText xml:space="preserve"> PAGEREF _Toc484420983 \h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end"/>
      </w:r>
    </w:p>
    <w:p w14:paraId="413926F6">
      <w:pPr>
        <w:snapToGrid w:val="0"/>
        <w:spacing w:before="1" w:line="300" w:lineRule="auto"/>
        <w:jc w:val="both"/>
        <w:rPr>
          <w:rFonts w:ascii="Arial" w:hAnsi="Arial" w:eastAsia="宋体" w:cs="Arial"/>
          <w:b/>
          <w:bCs/>
          <w:sz w:val="21"/>
          <w:szCs w:val="21"/>
          <w:lang w:eastAsia="zh-CN"/>
        </w:rPr>
      </w:pPr>
      <w:r>
        <w:rPr>
          <w:rFonts w:ascii="Arial" w:hAnsi="Arial" w:eastAsia="宋体" w:cs="Arial"/>
          <w:b/>
          <w:bCs/>
          <w:sz w:val="21"/>
          <w:szCs w:val="21"/>
          <w:lang w:eastAsia="zh-CN"/>
        </w:rPr>
        <w:fldChar w:fldCharType="end"/>
      </w:r>
    </w:p>
    <w:p w14:paraId="075D6F59">
      <w:pPr>
        <w:snapToGrid w:val="0"/>
        <w:spacing w:before="1" w:line="300" w:lineRule="auto"/>
        <w:jc w:val="both"/>
        <w:rPr>
          <w:rFonts w:ascii="Arial" w:hAnsi="Arial" w:eastAsia="宋体" w:cs="Arial"/>
          <w:b/>
          <w:bCs/>
          <w:sz w:val="21"/>
          <w:szCs w:val="21"/>
          <w:lang w:eastAsia="zh-CN"/>
        </w:rPr>
      </w:pPr>
    </w:p>
    <w:p w14:paraId="7C8B9AAC">
      <w:pPr>
        <w:snapToGrid w:val="0"/>
        <w:spacing w:before="1" w:line="300" w:lineRule="auto"/>
        <w:jc w:val="both"/>
        <w:rPr>
          <w:rFonts w:ascii="Arial" w:hAnsi="Arial" w:eastAsia="宋体" w:cs="Arial"/>
          <w:b/>
          <w:bCs/>
          <w:sz w:val="21"/>
          <w:szCs w:val="21"/>
          <w:lang w:eastAsia="zh-CN"/>
        </w:rPr>
      </w:pPr>
      <w:r>
        <w:rPr>
          <w:rFonts w:ascii="Arial" w:hAnsi="Arial" w:eastAsia="宋体" w:cs="Arial"/>
          <w:b/>
          <w:bCs/>
          <w:sz w:val="21"/>
          <w:szCs w:val="21"/>
          <w:lang w:eastAsia="zh-CN"/>
        </w:rPr>
        <w:t>附录</w:t>
      </w:r>
    </w:p>
    <w:p w14:paraId="398EFEC1">
      <w:pPr>
        <w:pStyle w:val="9"/>
        <w:tabs>
          <w:tab w:val="right" w:leader="dot" w:pos="9962"/>
        </w:tabs>
        <w:rPr>
          <w:rFonts w:ascii="Arial" w:hAnsi="Arial" w:cs="Arial"/>
          <w:kern w:val="2"/>
          <w:sz w:val="21"/>
          <w:lang w:eastAsia="zh-CN"/>
        </w:rPr>
      </w:pPr>
      <w:r>
        <w:rPr>
          <w:rFonts w:ascii="Arial" w:hAnsi="Arial" w:eastAsia="宋体" w:cs="Arial"/>
          <w:b/>
          <w:bCs/>
          <w:sz w:val="21"/>
          <w:szCs w:val="21"/>
          <w:lang w:eastAsia="zh-CN"/>
        </w:rPr>
        <w:fldChar w:fldCharType="begin"/>
      </w:r>
      <w:r>
        <w:rPr>
          <w:rFonts w:ascii="Arial" w:hAnsi="Arial" w:eastAsia="宋体" w:cs="Arial"/>
          <w:b/>
          <w:bCs/>
          <w:sz w:val="21"/>
          <w:szCs w:val="21"/>
          <w:lang w:eastAsia="zh-CN"/>
        </w:rPr>
        <w:instrText xml:space="preserve"> TOC \h \z \t "样式1,1" </w:instrText>
      </w:r>
      <w:r>
        <w:rPr>
          <w:rFonts w:ascii="Arial" w:hAnsi="Arial" w:eastAsia="宋体" w:cs="Arial"/>
          <w:b/>
          <w:bCs/>
          <w:sz w:val="21"/>
          <w:szCs w:val="21"/>
          <w:lang w:eastAsia="zh-CN"/>
        </w:rPr>
        <w:fldChar w:fldCharType="separate"/>
      </w:r>
      <w:r>
        <w:fldChar w:fldCharType="begin"/>
      </w:r>
      <w:r>
        <w:instrText xml:space="preserve"> HYPERLINK \l "_Toc484421037" </w:instrText>
      </w:r>
      <w:r>
        <w:fldChar w:fldCharType="separate"/>
      </w:r>
      <w:r>
        <w:rPr>
          <w:rStyle w:val="14"/>
          <w:rFonts w:ascii="Arial" w:hAnsi="Arial" w:cs="Arial"/>
        </w:rPr>
        <w:t>再加工分类</w:t>
      </w:r>
      <w:r>
        <w:rPr>
          <w:rFonts w:ascii="Arial" w:hAnsi="Arial" w:cs="Arial"/>
        </w:rPr>
        <w:tab/>
      </w:r>
      <w:r>
        <w:rPr>
          <w:rFonts w:ascii="Arial" w:hAnsi="Arial" w:cs="Arial"/>
        </w:rPr>
        <w:fldChar w:fldCharType="begin"/>
      </w:r>
      <w:r>
        <w:rPr>
          <w:rFonts w:ascii="Arial" w:hAnsi="Arial" w:cs="Arial"/>
        </w:rPr>
        <w:instrText xml:space="preserve"> PAGEREF _Toc484421037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25C255B0">
      <w:pPr>
        <w:pStyle w:val="9"/>
        <w:tabs>
          <w:tab w:val="right" w:leader="dot" w:pos="9962"/>
        </w:tabs>
        <w:rPr>
          <w:rFonts w:ascii="Arial" w:hAnsi="Arial" w:cs="Arial"/>
          <w:kern w:val="2"/>
          <w:sz w:val="21"/>
          <w:lang w:eastAsia="zh-CN"/>
        </w:rPr>
      </w:pPr>
      <w:r>
        <w:fldChar w:fldCharType="begin"/>
      </w:r>
      <w:r>
        <w:instrText xml:space="preserve"> HYPERLINK \l "_Toc484421038" </w:instrText>
      </w:r>
      <w:r>
        <w:fldChar w:fldCharType="separate"/>
      </w:r>
      <w:r>
        <w:rPr>
          <w:rStyle w:val="14"/>
          <w:rFonts w:ascii="Arial" w:hAnsi="Arial" w:cs="Arial"/>
        </w:rPr>
        <w:t>分类与杀菌过程的一致性</w:t>
      </w:r>
      <w:r>
        <w:rPr>
          <w:rFonts w:ascii="Arial" w:hAnsi="Arial" w:cs="Arial"/>
        </w:rPr>
        <w:tab/>
      </w:r>
      <w:r>
        <w:rPr>
          <w:rFonts w:ascii="Arial" w:hAnsi="Arial" w:cs="Arial"/>
        </w:rPr>
        <w:fldChar w:fldCharType="begin"/>
      </w:r>
      <w:r>
        <w:rPr>
          <w:rFonts w:ascii="Arial" w:hAnsi="Arial" w:cs="Arial"/>
        </w:rPr>
        <w:instrText xml:space="preserve"> PAGEREF _Toc484421038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77AA221B">
      <w:pPr>
        <w:pStyle w:val="9"/>
        <w:tabs>
          <w:tab w:val="right" w:leader="dot" w:pos="9962"/>
        </w:tabs>
        <w:rPr>
          <w:rFonts w:ascii="Arial" w:hAnsi="Arial" w:cs="Arial"/>
          <w:kern w:val="2"/>
          <w:sz w:val="21"/>
          <w:lang w:eastAsia="zh-CN"/>
        </w:rPr>
      </w:pPr>
      <w:r>
        <w:fldChar w:fldCharType="begin"/>
      </w:r>
      <w:r>
        <w:instrText xml:space="preserve"> HYPERLINK \l "_Toc484421039" </w:instrText>
      </w:r>
      <w:r>
        <w:fldChar w:fldCharType="separate"/>
      </w:r>
      <w:r>
        <w:rPr>
          <w:rStyle w:val="14"/>
          <w:rFonts w:ascii="Arial" w:hAnsi="Arial" w:cs="Arial"/>
        </w:rPr>
        <w:t>再加工说明确认的概述</w:t>
      </w:r>
      <w:r>
        <w:rPr>
          <w:rFonts w:ascii="Arial" w:hAnsi="Arial" w:cs="Arial"/>
        </w:rPr>
        <w:tab/>
      </w:r>
      <w:r>
        <w:rPr>
          <w:rFonts w:ascii="Arial" w:hAnsi="Arial" w:cs="Arial"/>
        </w:rPr>
        <w:fldChar w:fldCharType="begin"/>
      </w:r>
      <w:r>
        <w:rPr>
          <w:rFonts w:ascii="Arial" w:hAnsi="Arial" w:cs="Arial"/>
        </w:rPr>
        <w:instrText xml:space="preserve"> PAGEREF _Toc484421039 \h </w:instrText>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fldChar w:fldCharType="end"/>
      </w:r>
    </w:p>
    <w:p w14:paraId="7CA4E539">
      <w:pPr>
        <w:pStyle w:val="9"/>
        <w:tabs>
          <w:tab w:val="right" w:leader="dot" w:pos="9962"/>
        </w:tabs>
        <w:rPr>
          <w:rFonts w:ascii="Arial" w:hAnsi="Arial" w:cs="Arial"/>
          <w:kern w:val="2"/>
          <w:sz w:val="21"/>
          <w:lang w:eastAsia="zh-CN"/>
        </w:rPr>
      </w:pPr>
      <w:r>
        <w:fldChar w:fldCharType="begin"/>
      </w:r>
      <w:r>
        <w:instrText xml:space="preserve"> HYPERLINK \l "_Toc484421040" </w:instrText>
      </w:r>
      <w:r>
        <w:fldChar w:fldCharType="separate"/>
      </w:r>
      <w:r>
        <w:rPr>
          <w:rStyle w:val="14"/>
          <w:rFonts w:ascii="Arial" w:hAnsi="Arial" w:cs="Arial"/>
        </w:rPr>
        <w:t>术语定义</w:t>
      </w:r>
      <w:r>
        <w:rPr>
          <w:rFonts w:ascii="Arial" w:hAnsi="Arial" w:cs="Arial"/>
        </w:rPr>
        <w:tab/>
      </w:r>
      <w:r>
        <w:rPr>
          <w:rFonts w:ascii="Arial" w:hAnsi="Arial" w:cs="Arial"/>
        </w:rPr>
        <w:fldChar w:fldCharType="begin"/>
      </w:r>
      <w:r>
        <w:rPr>
          <w:rFonts w:ascii="Arial" w:hAnsi="Arial" w:cs="Arial"/>
        </w:rPr>
        <w:instrText xml:space="preserve"> PAGEREF _Toc484421040 \h </w:instrText>
      </w:r>
      <w:r>
        <w:rPr>
          <w:rFonts w:ascii="Arial" w:hAnsi="Arial" w:cs="Arial"/>
        </w:rPr>
        <w:fldChar w:fldCharType="separate"/>
      </w:r>
      <w:r>
        <w:rPr>
          <w:rFonts w:ascii="Arial" w:hAnsi="Arial" w:cs="Arial"/>
        </w:rPr>
        <w:t>19</w:t>
      </w:r>
      <w:r>
        <w:rPr>
          <w:rFonts w:ascii="Arial" w:hAnsi="Arial" w:cs="Arial"/>
        </w:rPr>
        <w:fldChar w:fldCharType="end"/>
      </w:r>
      <w:r>
        <w:rPr>
          <w:rFonts w:ascii="Arial" w:hAnsi="Arial" w:cs="Arial"/>
        </w:rPr>
        <w:fldChar w:fldCharType="end"/>
      </w:r>
    </w:p>
    <w:p w14:paraId="11AB39BE">
      <w:pPr>
        <w:pStyle w:val="9"/>
        <w:tabs>
          <w:tab w:val="right" w:leader="dot" w:pos="9962"/>
        </w:tabs>
        <w:rPr>
          <w:rFonts w:ascii="Arial" w:hAnsi="Arial" w:cs="Arial"/>
          <w:kern w:val="2"/>
          <w:sz w:val="21"/>
          <w:lang w:eastAsia="zh-CN"/>
        </w:rPr>
      </w:pPr>
      <w:r>
        <w:fldChar w:fldCharType="begin"/>
      </w:r>
      <w:r>
        <w:instrText xml:space="preserve"> HYPERLINK \l "_Toc484421041" </w:instrText>
      </w:r>
      <w:r>
        <w:fldChar w:fldCharType="separate"/>
      </w:r>
      <w:r>
        <w:rPr>
          <w:rStyle w:val="14"/>
          <w:rFonts w:ascii="Arial" w:hAnsi="Arial" w:cs="Arial"/>
        </w:rPr>
        <w:t>对化学杀菌剂的抗性</w:t>
      </w:r>
      <w:r>
        <w:rPr>
          <w:rStyle w:val="14"/>
          <w:rFonts w:ascii="Arial" w:hAnsi="Arial" w:cs="Arial"/>
          <w:vertAlign w:val="superscript"/>
        </w:rPr>
        <w:t>1</w:t>
      </w:r>
      <w:r>
        <w:rPr>
          <w:rFonts w:ascii="Arial" w:hAnsi="Arial" w:cs="Arial"/>
        </w:rPr>
        <w:tab/>
      </w:r>
      <w:r>
        <w:rPr>
          <w:rFonts w:ascii="Arial" w:hAnsi="Arial" w:cs="Arial"/>
        </w:rPr>
        <w:fldChar w:fldCharType="begin"/>
      </w:r>
      <w:r>
        <w:rPr>
          <w:rFonts w:ascii="Arial" w:hAnsi="Arial" w:cs="Arial"/>
        </w:rPr>
        <w:instrText xml:space="preserve"> PAGEREF _Toc484421041 \h </w:instrText>
      </w:r>
      <w:r>
        <w:rPr>
          <w:rFonts w:ascii="Arial" w:hAnsi="Arial" w:cs="Arial"/>
        </w:rPr>
        <w:fldChar w:fldCharType="separate"/>
      </w:r>
      <w:r>
        <w:rPr>
          <w:rFonts w:ascii="Arial" w:hAnsi="Arial" w:cs="Arial"/>
        </w:rPr>
        <w:t>23</w:t>
      </w:r>
      <w:r>
        <w:rPr>
          <w:rFonts w:ascii="Arial" w:hAnsi="Arial" w:cs="Arial"/>
        </w:rPr>
        <w:fldChar w:fldCharType="end"/>
      </w:r>
      <w:r>
        <w:rPr>
          <w:rFonts w:ascii="Arial" w:hAnsi="Arial" w:cs="Arial"/>
        </w:rPr>
        <w:fldChar w:fldCharType="end"/>
      </w:r>
    </w:p>
    <w:p w14:paraId="71614542">
      <w:pPr>
        <w:pStyle w:val="9"/>
        <w:tabs>
          <w:tab w:val="right" w:leader="dot" w:pos="9962"/>
        </w:tabs>
        <w:rPr>
          <w:rFonts w:ascii="Arial" w:hAnsi="Arial" w:cs="Arial"/>
          <w:kern w:val="2"/>
          <w:sz w:val="21"/>
          <w:lang w:eastAsia="zh-CN"/>
        </w:rPr>
      </w:pPr>
      <w:r>
        <w:fldChar w:fldCharType="begin"/>
      </w:r>
      <w:r>
        <w:instrText xml:space="preserve"> HYPERLINK \l "_Toc484421042" </w:instrText>
      </w:r>
      <w:r>
        <w:fldChar w:fldCharType="separate"/>
      </w:r>
      <w:r>
        <w:rPr>
          <w:rStyle w:val="14"/>
          <w:rFonts w:ascii="Arial" w:hAnsi="Arial" w:cs="Arial"/>
        </w:rPr>
        <w:t>术语FDA/CDC/EPA的比较</w:t>
      </w:r>
      <w:r>
        <w:rPr>
          <w:rFonts w:ascii="Arial" w:hAnsi="Arial" w:cs="Arial"/>
        </w:rPr>
        <w:tab/>
      </w:r>
      <w:r>
        <w:rPr>
          <w:rFonts w:ascii="Arial" w:hAnsi="Arial" w:cs="Arial"/>
        </w:rPr>
        <w:fldChar w:fldCharType="begin"/>
      </w:r>
      <w:r>
        <w:rPr>
          <w:rFonts w:ascii="Arial" w:hAnsi="Arial" w:cs="Arial"/>
        </w:rPr>
        <w:instrText xml:space="preserve"> PAGEREF _Toc484421042 \h </w:instrText>
      </w:r>
      <w:r>
        <w:rPr>
          <w:rFonts w:ascii="Arial" w:hAnsi="Arial" w:cs="Arial"/>
        </w:rPr>
        <w:fldChar w:fldCharType="separate"/>
      </w:r>
      <w:r>
        <w:rPr>
          <w:rFonts w:ascii="Arial" w:hAnsi="Arial" w:cs="Arial"/>
        </w:rPr>
        <w:t>24</w:t>
      </w:r>
      <w:r>
        <w:rPr>
          <w:rFonts w:ascii="Arial" w:hAnsi="Arial" w:cs="Arial"/>
        </w:rPr>
        <w:fldChar w:fldCharType="end"/>
      </w:r>
      <w:r>
        <w:rPr>
          <w:rFonts w:ascii="Arial" w:hAnsi="Arial" w:cs="Arial"/>
        </w:rPr>
        <w:fldChar w:fldCharType="end"/>
      </w:r>
    </w:p>
    <w:p w14:paraId="559A5ACE">
      <w:pPr>
        <w:pStyle w:val="9"/>
        <w:tabs>
          <w:tab w:val="right" w:leader="dot" w:pos="9962"/>
        </w:tabs>
        <w:rPr>
          <w:rFonts w:ascii="Arial" w:hAnsi="Arial" w:cs="Arial"/>
          <w:kern w:val="2"/>
          <w:sz w:val="21"/>
          <w:lang w:eastAsia="zh-CN"/>
        </w:rPr>
      </w:pPr>
      <w:r>
        <w:fldChar w:fldCharType="begin"/>
      </w:r>
      <w:r>
        <w:instrText xml:space="preserve"> HYPERLINK \l "_Toc484421043" </w:instrText>
      </w:r>
      <w:r>
        <w:fldChar w:fldCharType="separate"/>
      </w:r>
      <w:r>
        <w:rPr>
          <w:rStyle w:val="14"/>
          <w:rFonts w:ascii="Arial" w:hAnsi="Arial" w:cs="Arial"/>
        </w:rPr>
        <w:t>杀菌过程的FDA状态</w:t>
      </w:r>
      <w:r>
        <w:rPr>
          <w:rFonts w:ascii="Arial" w:hAnsi="Arial" w:cs="Arial"/>
        </w:rPr>
        <w:tab/>
      </w:r>
      <w:r>
        <w:rPr>
          <w:rFonts w:ascii="Arial" w:hAnsi="Arial" w:cs="Arial"/>
        </w:rPr>
        <w:fldChar w:fldCharType="begin"/>
      </w:r>
      <w:r>
        <w:rPr>
          <w:rFonts w:ascii="Arial" w:hAnsi="Arial" w:cs="Arial"/>
        </w:rPr>
        <w:instrText xml:space="preserve"> PAGEREF _Toc484421043 \h </w:instrText>
      </w:r>
      <w:r>
        <w:rPr>
          <w:rFonts w:ascii="Arial" w:hAnsi="Arial" w:cs="Arial"/>
        </w:rPr>
        <w:fldChar w:fldCharType="separate"/>
      </w:r>
      <w:r>
        <w:rPr>
          <w:rFonts w:ascii="Arial" w:hAnsi="Arial" w:cs="Arial"/>
        </w:rPr>
        <w:t>25</w:t>
      </w:r>
      <w:r>
        <w:rPr>
          <w:rFonts w:ascii="Arial" w:hAnsi="Arial" w:cs="Arial"/>
        </w:rPr>
        <w:fldChar w:fldCharType="end"/>
      </w:r>
      <w:r>
        <w:rPr>
          <w:rFonts w:ascii="Arial" w:hAnsi="Arial" w:cs="Arial"/>
        </w:rPr>
        <w:fldChar w:fldCharType="end"/>
      </w:r>
    </w:p>
    <w:p w14:paraId="7D830445">
      <w:pPr>
        <w:pStyle w:val="9"/>
        <w:tabs>
          <w:tab w:val="right" w:leader="dot" w:pos="9962"/>
        </w:tabs>
        <w:rPr>
          <w:rFonts w:ascii="Arial" w:hAnsi="Arial" w:cs="Arial"/>
          <w:kern w:val="2"/>
          <w:sz w:val="21"/>
          <w:lang w:eastAsia="zh-CN"/>
        </w:rPr>
      </w:pPr>
      <w:r>
        <w:fldChar w:fldCharType="begin"/>
      </w:r>
      <w:r>
        <w:instrText xml:space="preserve"> HYPERLINK \l "_Toc484421044" </w:instrText>
      </w:r>
      <w:r>
        <w:fldChar w:fldCharType="separate"/>
      </w:r>
      <w:r>
        <w:rPr>
          <w:rStyle w:val="14"/>
          <w:rFonts w:ascii="Arial" w:hAnsi="Arial" w:cs="Arial"/>
        </w:rPr>
        <w:t>参考文件</w:t>
      </w:r>
      <w:r>
        <w:rPr>
          <w:rFonts w:ascii="Arial" w:hAnsi="Arial" w:cs="Arial"/>
        </w:rPr>
        <w:tab/>
      </w:r>
      <w:r>
        <w:rPr>
          <w:rFonts w:ascii="Arial" w:hAnsi="Arial" w:cs="Arial"/>
        </w:rPr>
        <w:fldChar w:fldCharType="begin"/>
      </w:r>
      <w:r>
        <w:rPr>
          <w:rFonts w:ascii="Arial" w:hAnsi="Arial" w:cs="Arial"/>
        </w:rPr>
        <w:instrText xml:space="preserve"> PAGEREF _Toc484421044 \h </w:instrText>
      </w:r>
      <w:r>
        <w:rPr>
          <w:rFonts w:ascii="Arial" w:hAnsi="Arial" w:cs="Arial"/>
        </w:rPr>
        <w:fldChar w:fldCharType="separate"/>
      </w:r>
      <w:r>
        <w:rPr>
          <w:rFonts w:ascii="Arial" w:hAnsi="Arial" w:cs="Arial"/>
        </w:rPr>
        <w:t>26</w:t>
      </w:r>
      <w:r>
        <w:rPr>
          <w:rFonts w:ascii="Arial" w:hAnsi="Arial" w:cs="Arial"/>
        </w:rPr>
        <w:fldChar w:fldCharType="end"/>
      </w:r>
      <w:r>
        <w:rPr>
          <w:rFonts w:ascii="Arial" w:hAnsi="Arial" w:cs="Arial"/>
        </w:rPr>
        <w:fldChar w:fldCharType="end"/>
      </w:r>
    </w:p>
    <w:p w14:paraId="0CD74E26">
      <w:pPr>
        <w:snapToGrid w:val="0"/>
        <w:spacing w:before="1" w:line="300" w:lineRule="auto"/>
        <w:rPr>
          <w:rFonts w:ascii="Arial" w:hAnsi="Arial" w:eastAsia="宋体" w:cs="Arial"/>
          <w:b/>
          <w:bCs/>
          <w:sz w:val="21"/>
          <w:szCs w:val="21"/>
          <w:lang w:eastAsia="zh-CN"/>
        </w:rPr>
      </w:pPr>
      <w:r>
        <w:rPr>
          <w:rFonts w:ascii="Arial" w:hAnsi="Arial" w:eastAsia="宋体" w:cs="Arial"/>
          <w:b/>
          <w:bCs/>
          <w:sz w:val="21"/>
          <w:szCs w:val="21"/>
          <w:lang w:eastAsia="zh-CN"/>
        </w:rPr>
        <w:fldChar w:fldCharType="end"/>
      </w:r>
    </w:p>
    <w:p w14:paraId="0A85F529">
      <w:pPr>
        <w:snapToGrid w:val="0"/>
        <w:spacing w:before="1" w:line="300" w:lineRule="auto"/>
        <w:rPr>
          <w:rFonts w:ascii="Arial" w:hAnsi="Arial" w:eastAsia="宋体" w:cs="Arial"/>
          <w:b/>
          <w:bCs/>
          <w:sz w:val="21"/>
          <w:szCs w:val="21"/>
          <w:lang w:eastAsia="zh-CN"/>
        </w:rPr>
        <w:sectPr>
          <w:footerReference r:id="rId3" w:type="default"/>
          <w:pgSz w:w="12240" w:h="15840"/>
          <w:pgMar w:top="1134" w:right="1134" w:bottom="1134" w:left="1134" w:header="720" w:footer="720" w:gutter="0"/>
          <w:pgNumType w:fmt="lowerRoman" w:start="1"/>
          <w:cols w:space="720" w:num="1"/>
          <w:docGrid w:linePitch="299" w:charSpace="0"/>
        </w:sectPr>
      </w:pPr>
    </w:p>
    <w:p w14:paraId="4CEA3F89">
      <w:pPr>
        <w:snapToGrid w:val="0"/>
        <w:spacing w:line="300" w:lineRule="auto"/>
        <w:jc w:val="both"/>
        <w:rPr>
          <w:rFonts w:ascii="Arial" w:hAnsi="Arial" w:eastAsia="宋体" w:cs="Arial"/>
          <w:sz w:val="21"/>
          <w:szCs w:val="21"/>
          <w:lang w:eastAsia="zh-CN"/>
        </w:rPr>
        <w:sectPr>
          <w:type w:val="continuous"/>
          <w:pgSz w:w="12240" w:h="15840"/>
          <w:pgMar w:top="1134" w:right="1134" w:bottom="1134" w:left="1134" w:header="720" w:footer="720" w:gutter="0"/>
          <w:cols w:equalWidth="0" w:num="2">
            <w:col w:w="2289" w:space="40"/>
            <w:col w:w="7643"/>
          </w:cols>
          <w:docGrid w:linePitch="299" w:charSpace="0"/>
        </w:sectPr>
      </w:pPr>
    </w:p>
    <w:p w14:paraId="6DB2892D">
      <w:pPr>
        <w:pStyle w:val="16"/>
        <w:numPr>
          <w:ilvl w:val="0"/>
          <w:numId w:val="1"/>
        </w:numPr>
        <w:tabs>
          <w:tab w:val="left" w:pos="4476"/>
        </w:tabs>
        <w:snapToGrid w:val="0"/>
        <w:spacing w:line="300" w:lineRule="auto"/>
        <w:ind w:left="357" w:hanging="357"/>
        <w:jc w:val="both"/>
        <w:outlineLvl w:val="0"/>
        <w:rPr>
          <w:rFonts w:ascii="Arial" w:hAnsi="Arial" w:eastAsia="宋体" w:cs="Arial"/>
          <w:sz w:val="21"/>
          <w:szCs w:val="21"/>
          <w:lang w:eastAsia="zh-CN"/>
        </w:rPr>
      </w:pPr>
      <w:bookmarkStart w:id="0" w:name="_Toc484420977"/>
      <w:r>
        <w:rPr>
          <w:rFonts w:ascii="Arial" w:hAnsi="Arial" w:eastAsia="宋体" w:cs="Arial"/>
          <w:sz w:val="21"/>
          <w:szCs w:val="21"/>
          <w:lang w:eastAsia="zh-CN"/>
        </w:rPr>
        <w:t>器械再加工概述</w:t>
      </w:r>
      <w:bookmarkEnd w:id="0"/>
    </w:p>
    <w:p w14:paraId="24F9C5DC">
      <w:pPr>
        <w:tabs>
          <w:tab w:val="left" w:pos="4476"/>
        </w:tabs>
        <w:snapToGrid w:val="0"/>
        <w:spacing w:line="300" w:lineRule="auto"/>
        <w:jc w:val="both"/>
        <w:rPr>
          <w:rFonts w:ascii="Arial" w:hAnsi="Arial" w:eastAsia="宋体" w:cs="Arial"/>
          <w:sz w:val="21"/>
          <w:szCs w:val="21"/>
          <w:lang w:eastAsia="zh-CN"/>
        </w:rPr>
      </w:pPr>
    </w:p>
    <w:p w14:paraId="5C358E22">
      <w:pPr>
        <w:tabs>
          <w:tab w:val="left" w:pos="4476"/>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以下简要概述了如何在卫生保健机构中再加工医疗器械。有关器械再加工的更多说明，请参阅AAMI TIR。有关再加工某些具体器械（如内窥镜）的补充信息可从FDA和专业协会获得。</w:t>
      </w:r>
    </w:p>
    <w:p w14:paraId="0697BE54">
      <w:pPr>
        <w:tabs>
          <w:tab w:val="left" w:pos="4476"/>
        </w:tabs>
        <w:snapToGrid w:val="0"/>
        <w:spacing w:line="300" w:lineRule="auto"/>
        <w:jc w:val="both"/>
        <w:rPr>
          <w:rFonts w:ascii="Arial" w:hAnsi="Arial" w:eastAsia="宋体" w:cs="Arial"/>
          <w:sz w:val="21"/>
          <w:szCs w:val="21"/>
          <w:lang w:eastAsia="zh-CN"/>
        </w:rPr>
      </w:pPr>
    </w:p>
    <w:p w14:paraId="24E3A7A3">
      <w:pPr>
        <w:tabs>
          <w:tab w:val="left" w:pos="4476"/>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准备可重复使用器械以供下一个患者使用对于卫生保健机构来说可能具有一定挑战性。与基于生物负载的制造灭菌过程不同，负责</w:t>
      </w:r>
      <w:bookmarkStart w:id="1" w:name="OLE_LINK2"/>
      <w:bookmarkStart w:id="2" w:name="OLE_LINK1"/>
      <w:r>
        <w:rPr>
          <w:rFonts w:ascii="Arial" w:hAnsi="Arial" w:eastAsia="宋体" w:cs="Arial"/>
          <w:sz w:val="21"/>
          <w:szCs w:val="21"/>
          <w:lang w:eastAsia="zh-CN"/>
        </w:rPr>
        <w:t>再加工</w:t>
      </w:r>
      <w:bookmarkEnd w:id="1"/>
      <w:bookmarkEnd w:id="2"/>
      <w:r>
        <w:rPr>
          <w:rFonts w:ascii="Arial" w:hAnsi="Arial" w:eastAsia="宋体" w:cs="Arial"/>
          <w:sz w:val="21"/>
          <w:szCs w:val="21"/>
          <w:lang w:eastAsia="zh-CN"/>
        </w:rPr>
        <w:t>可重复使用器械的卫生保健人员并不了解须再加工器械上污染物的数量和抗性。器械标签、专业实践和机构感染控制程序有助于指导负责再加工器械的人员。机构器械再加工应在设计充分、装备良好、适当监测并具有经过培训人员的机构中进行。</w:t>
      </w:r>
    </w:p>
    <w:p w14:paraId="4D7D6648">
      <w:pPr>
        <w:tabs>
          <w:tab w:val="left" w:pos="4476"/>
        </w:tabs>
        <w:snapToGrid w:val="0"/>
        <w:spacing w:line="300" w:lineRule="auto"/>
        <w:jc w:val="both"/>
        <w:rPr>
          <w:rFonts w:ascii="Arial" w:hAnsi="Arial" w:eastAsia="宋体" w:cs="Arial"/>
          <w:sz w:val="21"/>
          <w:szCs w:val="21"/>
          <w:lang w:eastAsia="zh-CN"/>
        </w:rPr>
      </w:pPr>
    </w:p>
    <w:p w14:paraId="6E83C87B">
      <w:pPr>
        <w:tabs>
          <w:tab w:val="left" w:pos="4476"/>
        </w:tabs>
        <w:snapToGrid w:val="0"/>
        <w:spacing w:line="300" w:lineRule="auto"/>
        <w:jc w:val="both"/>
        <w:rPr>
          <w:rFonts w:ascii="Arial" w:hAnsi="Arial" w:eastAsia="宋体" w:cs="Arial"/>
          <w:b/>
          <w:sz w:val="21"/>
          <w:szCs w:val="21"/>
          <w:lang w:eastAsia="zh-CN"/>
        </w:rPr>
      </w:pPr>
      <w:r>
        <w:rPr>
          <w:rFonts w:ascii="Arial" w:hAnsi="Arial" w:eastAsia="宋体" w:cs="Arial"/>
          <w:sz w:val="21"/>
          <w:szCs w:val="21"/>
          <w:lang w:eastAsia="zh-CN"/>
        </w:rPr>
        <w:t>感染控制的原则要求所有受污染器械应由卫生保健人员正确和安全处理，并且应对可重复使用器械进行适当的再加工。适当处理以及再加工可重复使用器械以供下一个患者使用需要若干步骤。</w:t>
      </w:r>
      <w:r>
        <w:rPr>
          <w:rFonts w:hint="eastAsia" w:ascii="Arial" w:hAnsi="Arial" w:eastAsia="宋体" w:cs="Arial"/>
          <w:sz w:val="21"/>
          <w:szCs w:val="21"/>
          <w:u w:val="single"/>
          <w:lang w:eastAsia="zh-CN"/>
        </w:rPr>
        <w:t>认真执行所有步骤至关重要。</w:t>
      </w:r>
      <w:r>
        <w:rPr>
          <w:rFonts w:ascii="Arial" w:hAnsi="Arial" w:eastAsia="宋体" w:cs="Arial"/>
          <w:sz w:val="21"/>
          <w:szCs w:val="21"/>
          <w:lang w:eastAsia="zh-CN"/>
        </w:rPr>
        <w:t>一般的再加工步骤如下：</w:t>
      </w:r>
    </w:p>
    <w:p w14:paraId="0C12688A">
      <w:pPr>
        <w:snapToGrid w:val="0"/>
        <w:spacing w:before="10" w:line="300" w:lineRule="auto"/>
        <w:jc w:val="both"/>
        <w:rPr>
          <w:rFonts w:ascii="Arial" w:hAnsi="Arial" w:eastAsia="宋体" w:cs="Arial"/>
          <w:b/>
          <w:bCs/>
          <w:sz w:val="21"/>
          <w:szCs w:val="21"/>
          <w:lang w:eastAsia="zh-CN"/>
        </w:rPr>
      </w:pPr>
    </w:p>
    <w:p w14:paraId="7C713745">
      <w:pPr>
        <w:pStyle w:val="16"/>
        <w:numPr>
          <w:ilvl w:val="1"/>
          <w:numId w:val="2"/>
        </w:numPr>
        <w:snapToGrid w:val="0"/>
        <w:spacing w:line="300" w:lineRule="auto"/>
        <w:ind w:left="420" w:hanging="406"/>
        <w:jc w:val="both"/>
        <w:rPr>
          <w:rFonts w:ascii="Arial" w:hAnsi="Arial" w:eastAsia="宋体" w:cs="Arial"/>
          <w:sz w:val="21"/>
          <w:szCs w:val="21"/>
          <w:lang w:eastAsia="zh-CN"/>
        </w:rPr>
      </w:pPr>
      <w:r>
        <w:rPr>
          <w:rFonts w:ascii="Arial" w:hAnsi="Arial" w:eastAsia="宋体" w:cs="Arial"/>
          <w:sz w:val="21"/>
          <w:szCs w:val="21"/>
          <w:lang w:eastAsia="zh-CN"/>
        </w:rPr>
        <w:t>再加工应在使用点开始。应将受污染的可重复使用器械与废物分离。应丢弃用于最小化器械污染的任何保护性护盖。应在使用点对污染器械进行擦拭以清除可见污物。然后适当包装需要在去污和灭菌工作区域再加工的可重复使用器械。</w:t>
      </w:r>
    </w:p>
    <w:p w14:paraId="3BDB99D8">
      <w:pPr>
        <w:pStyle w:val="16"/>
        <w:snapToGrid w:val="0"/>
        <w:spacing w:line="300" w:lineRule="auto"/>
        <w:ind w:left="420" w:hanging="406"/>
        <w:jc w:val="both"/>
        <w:rPr>
          <w:rFonts w:ascii="Arial" w:hAnsi="Arial" w:eastAsia="宋体" w:cs="Arial"/>
          <w:sz w:val="21"/>
          <w:szCs w:val="21"/>
          <w:lang w:eastAsia="zh-CN"/>
        </w:rPr>
      </w:pPr>
    </w:p>
    <w:p w14:paraId="3B07AC88">
      <w:pPr>
        <w:pStyle w:val="16"/>
        <w:numPr>
          <w:ilvl w:val="1"/>
          <w:numId w:val="2"/>
        </w:numPr>
        <w:snapToGrid w:val="0"/>
        <w:spacing w:line="300" w:lineRule="auto"/>
        <w:ind w:left="420" w:hanging="406"/>
        <w:jc w:val="both"/>
        <w:rPr>
          <w:rFonts w:ascii="Arial" w:hAnsi="Arial" w:eastAsia="宋体" w:cs="Arial"/>
          <w:sz w:val="21"/>
          <w:szCs w:val="21"/>
          <w:lang w:eastAsia="zh-CN"/>
        </w:rPr>
      </w:pPr>
      <w:r>
        <w:rPr>
          <w:rFonts w:ascii="Arial" w:hAnsi="Arial" w:eastAsia="宋体" w:cs="Arial"/>
          <w:sz w:val="21"/>
          <w:szCs w:val="21"/>
          <w:lang w:eastAsia="zh-CN"/>
        </w:rPr>
        <w:t>将已包装的污染器械运送至去污和灭菌工作区域。</w:t>
      </w:r>
    </w:p>
    <w:p w14:paraId="17FF1D9F">
      <w:pPr>
        <w:pStyle w:val="16"/>
        <w:numPr>
          <w:ilvl w:val="1"/>
          <w:numId w:val="2"/>
        </w:numPr>
        <w:snapToGrid w:val="0"/>
        <w:spacing w:before="202" w:line="300" w:lineRule="auto"/>
        <w:ind w:left="420" w:hanging="406"/>
        <w:jc w:val="both"/>
        <w:rPr>
          <w:rFonts w:ascii="Arial" w:hAnsi="Arial" w:eastAsia="宋体" w:cs="Arial"/>
          <w:sz w:val="21"/>
          <w:szCs w:val="21"/>
          <w:lang w:eastAsia="zh-CN"/>
        </w:rPr>
      </w:pPr>
      <w:r>
        <w:rPr>
          <w:rFonts w:ascii="Arial" w:hAnsi="Arial" w:eastAsia="宋体" w:cs="Arial"/>
          <w:sz w:val="21"/>
          <w:szCs w:val="21"/>
          <w:lang w:eastAsia="zh-CN"/>
        </w:rPr>
        <w:t>将这些器械进行去污操作。去污是一种仅用于使器械可安全用于卫生保健人员进行处理的过程。但已去污的器械可能不一定适合患者使用。</w:t>
      </w:r>
    </w:p>
    <w:p w14:paraId="3B6C354A">
      <w:pPr>
        <w:snapToGrid w:val="0"/>
        <w:spacing w:before="4" w:line="300" w:lineRule="auto"/>
        <w:jc w:val="both"/>
        <w:rPr>
          <w:rFonts w:ascii="Arial" w:hAnsi="Arial" w:eastAsia="宋体" w:cs="Arial"/>
          <w:b/>
          <w:bCs/>
          <w:sz w:val="21"/>
          <w:szCs w:val="21"/>
          <w:lang w:eastAsia="zh-CN"/>
        </w:rPr>
      </w:pPr>
    </w:p>
    <w:p w14:paraId="77349908">
      <w:pPr>
        <w:pStyle w:val="16"/>
        <w:numPr>
          <w:ilvl w:val="2"/>
          <w:numId w:val="2"/>
        </w:numPr>
        <w:snapToGrid w:val="0"/>
        <w:spacing w:line="300" w:lineRule="auto"/>
        <w:ind w:left="840" w:hanging="420"/>
        <w:jc w:val="both"/>
        <w:rPr>
          <w:rFonts w:ascii="Arial" w:hAnsi="Arial" w:eastAsia="宋体" w:cs="Arial"/>
          <w:sz w:val="21"/>
          <w:szCs w:val="21"/>
          <w:lang w:eastAsia="zh-CN"/>
        </w:rPr>
      </w:pPr>
      <w:r>
        <w:rPr>
          <w:rFonts w:ascii="Arial" w:hAnsi="Arial" w:eastAsia="宋体" w:cs="Arial"/>
          <w:sz w:val="21"/>
          <w:szCs w:val="21"/>
          <w:lang w:eastAsia="zh-CN"/>
        </w:rPr>
        <w:t>如果可能，应拆卸污染器械，以方便有关清洁、消毒或灭菌（如有必要）的去污过程。</w:t>
      </w:r>
    </w:p>
    <w:p w14:paraId="49735D27">
      <w:pPr>
        <w:snapToGrid w:val="0"/>
        <w:spacing w:line="300" w:lineRule="auto"/>
        <w:ind w:left="840" w:hanging="420"/>
        <w:jc w:val="both"/>
        <w:rPr>
          <w:rFonts w:ascii="Arial" w:hAnsi="Arial" w:eastAsia="宋体" w:cs="Arial"/>
          <w:sz w:val="21"/>
          <w:szCs w:val="21"/>
          <w:lang w:eastAsia="zh-CN"/>
        </w:rPr>
      </w:pPr>
    </w:p>
    <w:p w14:paraId="10F7EF8E">
      <w:pPr>
        <w:pStyle w:val="16"/>
        <w:numPr>
          <w:ilvl w:val="2"/>
          <w:numId w:val="2"/>
        </w:numPr>
        <w:snapToGrid w:val="0"/>
        <w:spacing w:line="300" w:lineRule="auto"/>
        <w:ind w:left="840" w:hanging="420"/>
        <w:jc w:val="both"/>
        <w:rPr>
          <w:rFonts w:ascii="Arial" w:hAnsi="Arial" w:eastAsia="宋体" w:cs="Arial"/>
          <w:sz w:val="21"/>
          <w:szCs w:val="21"/>
          <w:lang w:eastAsia="zh-CN"/>
        </w:rPr>
      </w:pPr>
      <w:r>
        <w:rPr>
          <w:rFonts w:ascii="Arial" w:hAnsi="Arial" w:eastAsia="宋体" w:cs="Arial"/>
          <w:sz w:val="21"/>
          <w:szCs w:val="21"/>
          <w:lang w:eastAsia="zh-CN"/>
        </w:rPr>
        <w:t>用相容的清洁剂彻底清洁器械，然后冲洗以除去残留物。还可以使用其他附件和程序，例如酶清洁剂和超声波浴，以从器械中去除有机物质。仔细清洁至关重要，因为其不仅可以去除大多数污染物，而且有助于确保任何后续杀菌过程的有效性。</w:t>
      </w:r>
      <w:r>
        <w:rPr>
          <w:rFonts w:hint="eastAsia" w:ascii="Arial" w:hAnsi="Arial" w:eastAsia="宋体" w:cs="Arial"/>
          <w:sz w:val="21"/>
          <w:szCs w:val="21"/>
          <w:u w:val="single"/>
          <w:lang w:eastAsia="zh-CN"/>
        </w:rPr>
        <w:t>通常，可重复使用器械的设计应可使其可以被充分清洁。如果器械无法被充分清洁，后续消毒或灭菌过程可能无法达到预期效果。</w:t>
      </w:r>
    </w:p>
    <w:p w14:paraId="069CAEFD">
      <w:pPr>
        <w:pStyle w:val="16"/>
        <w:snapToGrid w:val="0"/>
        <w:spacing w:line="300" w:lineRule="auto"/>
        <w:ind w:left="840" w:hanging="420"/>
        <w:jc w:val="both"/>
        <w:rPr>
          <w:rFonts w:ascii="Arial" w:hAnsi="Arial" w:eastAsia="宋体" w:cs="Arial"/>
          <w:sz w:val="21"/>
          <w:szCs w:val="21"/>
          <w:lang w:eastAsia="zh-CN"/>
        </w:rPr>
      </w:pPr>
    </w:p>
    <w:p w14:paraId="556DAF06">
      <w:pPr>
        <w:rPr>
          <w:rFonts w:ascii="Arial" w:hAnsi="Arial" w:eastAsia="宋体" w:cs="Arial"/>
          <w:sz w:val="21"/>
          <w:szCs w:val="21"/>
          <w:lang w:eastAsia="zh-CN"/>
        </w:rPr>
      </w:pPr>
      <w:r>
        <w:rPr>
          <w:rFonts w:ascii="Arial" w:hAnsi="Arial" w:eastAsia="宋体" w:cs="Arial"/>
          <w:sz w:val="21"/>
          <w:szCs w:val="21"/>
          <w:lang w:eastAsia="zh-CN"/>
        </w:rPr>
        <w:br w:type="page"/>
      </w:r>
    </w:p>
    <w:p w14:paraId="0563BB7D">
      <w:pPr>
        <w:pStyle w:val="16"/>
        <w:numPr>
          <w:ilvl w:val="2"/>
          <w:numId w:val="2"/>
        </w:numPr>
        <w:snapToGrid w:val="0"/>
        <w:spacing w:line="300" w:lineRule="auto"/>
        <w:ind w:left="840" w:hanging="420"/>
        <w:jc w:val="both"/>
        <w:rPr>
          <w:rFonts w:ascii="Arial" w:hAnsi="Arial" w:eastAsia="宋体" w:cs="Arial"/>
          <w:sz w:val="21"/>
          <w:szCs w:val="21"/>
          <w:lang w:eastAsia="zh-CN"/>
        </w:rPr>
      </w:pPr>
      <w:r>
        <w:rPr>
          <w:rFonts w:ascii="Arial" w:hAnsi="Arial" w:eastAsia="宋体" w:cs="Arial"/>
          <w:sz w:val="21"/>
          <w:szCs w:val="21"/>
          <w:lang w:eastAsia="zh-CN"/>
        </w:rPr>
        <w:t>在清洁可重复使用器械之后，其可能需要额外的杀菌步骤，包括消毒或灭菌过程，以使其可安全用于处理。例如，额外的杀菌步骤可能适用于机构假定已被有毒病原体（例如结核分枝杆菌）污染的器械。</w:t>
      </w:r>
    </w:p>
    <w:p w14:paraId="08E4F19D">
      <w:pPr>
        <w:snapToGrid w:val="0"/>
        <w:spacing w:line="300" w:lineRule="auto"/>
        <w:jc w:val="both"/>
        <w:rPr>
          <w:rFonts w:ascii="Arial" w:hAnsi="Arial" w:eastAsia="宋体" w:cs="Arial"/>
          <w:b/>
          <w:bCs/>
          <w:sz w:val="21"/>
          <w:szCs w:val="21"/>
          <w:lang w:eastAsia="zh-CN"/>
        </w:rPr>
      </w:pPr>
    </w:p>
    <w:p w14:paraId="29807D5F">
      <w:pPr>
        <w:pStyle w:val="16"/>
        <w:numPr>
          <w:ilvl w:val="1"/>
          <w:numId w:val="2"/>
        </w:numPr>
        <w:snapToGrid w:val="0"/>
        <w:spacing w:before="202" w:line="300" w:lineRule="auto"/>
        <w:ind w:left="420" w:hanging="406"/>
        <w:jc w:val="both"/>
        <w:rPr>
          <w:rFonts w:ascii="Arial" w:hAnsi="Arial" w:eastAsia="宋体" w:cs="Arial"/>
          <w:sz w:val="21"/>
          <w:szCs w:val="21"/>
          <w:lang w:eastAsia="zh-CN"/>
        </w:rPr>
      </w:pPr>
      <w:r>
        <w:rPr>
          <w:rFonts w:ascii="Arial" w:hAnsi="Arial" w:eastAsia="宋体" w:cs="Arial"/>
          <w:sz w:val="21"/>
          <w:szCs w:val="21"/>
          <w:lang w:eastAsia="zh-CN"/>
        </w:rPr>
        <w:t>然后将已去污的器械分成可直接返回使用的那些器械，以及仍然需要最终杀菌过程（例如灭菌）的器械。</w:t>
      </w:r>
    </w:p>
    <w:p w14:paraId="4A493097">
      <w:pPr>
        <w:pStyle w:val="16"/>
        <w:numPr>
          <w:ilvl w:val="1"/>
          <w:numId w:val="2"/>
        </w:numPr>
        <w:snapToGrid w:val="0"/>
        <w:spacing w:before="202" w:line="300" w:lineRule="auto"/>
        <w:ind w:left="420" w:hanging="406"/>
        <w:jc w:val="both"/>
        <w:rPr>
          <w:rFonts w:ascii="Arial" w:hAnsi="Arial" w:eastAsia="宋体" w:cs="Arial"/>
          <w:sz w:val="21"/>
          <w:szCs w:val="21"/>
          <w:lang w:eastAsia="zh-CN"/>
        </w:rPr>
      </w:pPr>
      <w:r>
        <w:rPr>
          <w:rFonts w:ascii="Arial" w:hAnsi="Arial" w:eastAsia="宋体" w:cs="Arial"/>
          <w:sz w:val="21"/>
          <w:szCs w:val="21"/>
          <w:lang w:eastAsia="zh-CN"/>
        </w:rPr>
        <w:t>如果需要，应完成最终过程。然后将器械返回使用。</w:t>
      </w:r>
    </w:p>
    <w:p w14:paraId="34C81D3A">
      <w:pPr>
        <w:snapToGrid w:val="0"/>
        <w:spacing w:line="300" w:lineRule="auto"/>
        <w:jc w:val="both"/>
        <w:rPr>
          <w:rFonts w:ascii="Arial" w:hAnsi="Arial" w:eastAsia="宋体" w:cs="Arial"/>
          <w:b/>
          <w:bCs/>
          <w:sz w:val="21"/>
          <w:szCs w:val="21"/>
          <w:lang w:eastAsia="zh-CN"/>
        </w:rPr>
      </w:pPr>
    </w:p>
    <w:p w14:paraId="6EA2881E">
      <w:pPr>
        <w:pStyle w:val="16"/>
        <w:numPr>
          <w:ilvl w:val="0"/>
          <w:numId w:val="1"/>
        </w:numPr>
        <w:tabs>
          <w:tab w:val="left" w:pos="4476"/>
        </w:tabs>
        <w:snapToGrid w:val="0"/>
        <w:spacing w:line="300" w:lineRule="auto"/>
        <w:ind w:left="357" w:hanging="357"/>
        <w:jc w:val="both"/>
        <w:outlineLvl w:val="0"/>
        <w:rPr>
          <w:rFonts w:ascii="Arial" w:hAnsi="Arial" w:eastAsia="宋体" w:cs="Arial"/>
          <w:sz w:val="21"/>
          <w:szCs w:val="21"/>
          <w:lang w:eastAsia="zh-CN"/>
        </w:rPr>
      </w:pPr>
      <w:bookmarkStart w:id="3" w:name="_Toc484420978"/>
      <w:r>
        <w:rPr>
          <w:rFonts w:ascii="Arial" w:hAnsi="Arial" w:eastAsia="宋体" w:cs="Arial"/>
          <w:sz w:val="21"/>
          <w:szCs w:val="21"/>
          <w:lang w:eastAsia="zh-CN"/>
        </w:rPr>
        <w:t>关于可重复使用医疗器械标签的责任</w:t>
      </w:r>
      <w:bookmarkEnd w:id="3"/>
    </w:p>
    <w:p w14:paraId="28EB152F">
      <w:pPr>
        <w:snapToGrid w:val="0"/>
        <w:spacing w:before="4" w:line="300" w:lineRule="auto"/>
        <w:jc w:val="both"/>
        <w:rPr>
          <w:rFonts w:ascii="Arial" w:hAnsi="Arial" w:eastAsia="宋体" w:cs="Arial"/>
          <w:b/>
          <w:bCs/>
          <w:sz w:val="21"/>
          <w:szCs w:val="21"/>
          <w:lang w:eastAsia="zh-CN"/>
        </w:rPr>
      </w:pPr>
    </w:p>
    <w:p w14:paraId="20CE43F3">
      <w:pPr>
        <w:pStyle w:val="5"/>
        <w:tabs>
          <w:tab w:val="left" w:pos="2356"/>
          <w:tab w:val="left" w:pos="3052"/>
          <w:tab w:val="left" w:pos="7651"/>
        </w:tabs>
        <w:snapToGrid w:val="0"/>
        <w:spacing w:before="3" w:line="300" w:lineRule="auto"/>
        <w:ind w:left="0" w:firstLine="6"/>
        <w:jc w:val="both"/>
        <w:rPr>
          <w:rFonts w:ascii="Arial" w:hAnsi="Arial" w:eastAsia="宋体" w:cs="Arial"/>
          <w:b w:val="0"/>
          <w:bCs w:val="0"/>
          <w:sz w:val="21"/>
          <w:szCs w:val="21"/>
          <w:lang w:eastAsia="zh-CN"/>
        </w:rPr>
      </w:pPr>
      <w:r>
        <w:rPr>
          <w:rFonts w:ascii="Arial" w:hAnsi="Arial" w:eastAsia="宋体" w:cs="Arial"/>
          <w:b w:val="0"/>
          <w:bCs w:val="0"/>
          <w:sz w:val="21"/>
          <w:szCs w:val="21"/>
          <w:lang w:eastAsia="zh-CN"/>
        </w:rPr>
        <w:t>FDA同意AAMI重复使用TIR，即对医疗器械进行安全有效再加工的责任在于可重复使用医疗器械的制造商和器械用户。可重复使用医疗器械的制造商应负责通过进行适当标签来支持可重复使用声明。标签必须提供关于如何准备该器械以供下一个患者使用的充分说明。制造商还应负责记录其中显示说明足够充分并可以由用户合理执行的试验。用户有责任确保他们具有执行说明所需的设施和器械，并遵循说明。</w:t>
      </w:r>
    </w:p>
    <w:p w14:paraId="5EA4F53A">
      <w:pPr>
        <w:snapToGrid w:val="0"/>
        <w:spacing w:before="9" w:line="300" w:lineRule="auto"/>
        <w:jc w:val="both"/>
        <w:rPr>
          <w:rFonts w:ascii="Arial" w:hAnsi="Arial" w:eastAsia="宋体" w:cs="Arial"/>
          <w:b/>
          <w:bCs/>
          <w:sz w:val="21"/>
          <w:szCs w:val="21"/>
          <w:lang w:eastAsia="zh-CN"/>
        </w:rPr>
      </w:pPr>
    </w:p>
    <w:p w14:paraId="095ADF53">
      <w:pPr>
        <w:rPr>
          <w:rFonts w:ascii="Arial" w:hAnsi="Arial" w:eastAsia="宋体" w:cs="Arial"/>
          <w:sz w:val="21"/>
          <w:szCs w:val="21"/>
          <w:lang w:eastAsia="zh-CN"/>
        </w:rPr>
      </w:pPr>
      <w:r>
        <w:rPr>
          <w:rFonts w:ascii="Arial" w:hAnsi="Arial" w:eastAsia="宋体" w:cs="Arial"/>
          <w:sz w:val="21"/>
          <w:szCs w:val="21"/>
          <w:lang w:eastAsia="zh-CN"/>
        </w:rPr>
        <w:br w:type="page"/>
      </w:r>
    </w:p>
    <w:p w14:paraId="3C475BBD">
      <w:pPr>
        <w:pStyle w:val="16"/>
        <w:numPr>
          <w:ilvl w:val="0"/>
          <w:numId w:val="1"/>
        </w:numPr>
        <w:tabs>
          <w:tab w:val="left" w:pos="4476"/>
        </w:tabs>
        <w:snapToGrid w:val="0"/>
        <w:spacing w:line="300" w:lineRule="auto"/>
        <w:ind w:left="357" w:hanging="357"/>
        <w:jc w:val="both"/>
        <w:outlineLvl w:val="0"/>
        <w:rPr>
          <w:rFonts w:ascii="Arial" w:hAnsi="Arial" w:eastAsia="宋体" w:cs="Arial"/>
          <w:sz w:val="21"/>
          <w:szCs w:val="21"/>
          <w:lang w:eastAsia="zh-CN"/>
        </w:rPr>
      </w:pPr>
      <w:bookmarkStart w:id="4" w:name="_Toc484420979"/>
      <w:r>
        <w:rPr>
          <w:rFonts w:ascii="Arial" w:hAnsi="Arial" w:eastAsia="宋体" w:cs="Arial"/>
          <w:sz w:val="21"/>
          <w:szCs w:val="21"/>
          <w:lang w:eastAsia="zh-CN"/>
        </w:rPr>
        <w:t>再加工说明的标准</w:t>
      </w:r>
      <w:bookmarkEnd w:id="4"/>
    </w:p>
    <w:p w14:paraId="06C8F3BD">
      <w:pPr>
        <w:snapToGrid w:val="0"/>
        <w:spacing w:line="300" w:lineRule="auto"/>
        <w:jc w:val="both"/>
        <w:rPr>
          <w:rFonts w:ascii="Arial" w:hAnsi="Arial" w:eastAsia="宋体" w:cs="Arial"/>
          <w:b/>
          <w:bCs/>
          <w:sz w:val="21"/>
          <w:szCs w:val="21"/>
        </w:rPr>
      </w:pPr>
    </w:p>
    <w:p w14:paraId="30023380">
      <w:pPr>
        <w:pStyle w:val="5"/>
        <w:tabs>
          <w:tab w:val="left" w:pos="2356"/>
          <w:tab w:val="left" w:pos="3052"/>
          <w:tab w:val="left" w:pos="7651"/>
        </w:tabs>
        <w:snapToGrid w:val="0"/>
        <w:spacing w:before="3" w:line="300" w:lineRule="auto"/>
        <w:ind w:left="0" w:firstLine="4"/>
        <w:jc w:val="both"/>
        <w:rPr>
          <w:rFonts w:ascii="Arial" w:hAnsi="Arial" w:eastAsia="宋体" w:cs="Arial"/>
          <w:b w:val="0"/>
          <w:bCs w:val="0"/>
          <w:sz w:val="21"/>
          <w:szCs w:val="21"/>
          <w:lang w:eastAsia="zh-CN"/>
        </w:rPr>
      </w:pPr>
      <w:r>
        <w:rPr>
          <w:rFonts w:ascii="Arial" w:hAnsi="Arial" w:eastAsia="宋体" w:cs="Arial"/>
          <w:b w:val="0"/>
          <w:bCs w:val="0"/>
          <w:sz w:val="21"/>
          <w:szCs w:val="21"/>
          <w:lang w:eastAsia="zh-CN"/>
        </w:rPr>
        <w:t>引言</w:t>
      </w:r>
    </w:p>
    <w:p w14:paraId="1CB5918F">
      <w:pPr>
        <w:pStyle w:val="5"/>
        <w:tabs>
          <w:tab w:val="left" w:pos="2356"/>
          <w:tab w:val="left" w:pos="3052"/>
          <w:tab w:val="left" w:pos="7651"/>
        </w:tabs>
        <w:snapToGrid w:val="0"/>
        <w:spacing w:before="3" w:line="300" w:lineRule="auto"/>
        <w:ind w:left="0" w:firstLine="4"/>
        <w:jc w:val="both"/>
        <w:rPr>
          <w:rFonts w:ascii="Arial" w:hAnsi="Arial" w:eastAsia="宋体" w:cs="Arial"/>
          <w:b w:val="0"/>
          <w:bCs w:val="0"/>
          <w:sz w:val="21"/>
          <w:szCs w:val="21"/>
          <w:lang w:eastAsia="zh-CN"/>
        </w:rPr>
      </w:pPr>
    </w:p>
    <w:p w14:paraId="05B5EADC">
      <w:pPr>
        <w:pStyle w:val="5"/>
        <w:tabs>
          <w:tab w:val="left" w:pos="2356"/>
          <w:tab w:val="left" w:pos="3052"/>
          <w:tab w:val="left" w:pos="7651"/>
        </w:tabs>
        <w:snapToGrid w:val="0"/>
        <w:spacing w:before="3" w:line="300" w:lineRule="auto"/>
        <w:ind w:left="0" w:firstLine="4"/>
        <w:jc w:val="both"/>
        <w:rPr>
          <w:rFonts w:ascii="Arial" w:hAnsi="Arial" w:eastAsia="宋体" w:cs="Arial"/>
          <w:b w:val="0"/>
          <w:bCs w:val="0"/>
          <w:sz w:val="21"/>
          <w:szCs w:val="21"/>
          <w:lang w:eastAsia="zh-CN"/>
        </w:rPr>
      </w:pPr>
      <w:r>
        <w:rPr>
          <w:rFonts w:ascii="Arial" w:hAnsi="Arial" w:eastAsia="宋体" w:cs="Arial"/>
          <w:b w:val="0"/>
          <w:bCs w:val="0"/>
          <w:sz w:val="21"/>
          <w:szCs w:val="21"/>
          <w:lang w:eastAsia="zh-CN"/>
        </w:rPr>
        <w:t>本部分将介绍用于FDA审评员进行评价的七个标准。如果基于任何相关标准确定标签具有缺陷，则FDA审评员应通知申请人该缺陷，且申请人必须以与有关行业交流的器械评估办公室蓝皮书政策相一致的方式提交正确标签或充分的理由，以说明他们认为标签足够充分的原因，并附有支持性文件记录。第14页的G部分将这七个标准简化为审评员清单。</w:t>
      </w:r>
    </w:p>
    <w:p w14:paraId="7CEAB5AD">
      <w:pPr>
        <w:pStyle w:val="5"/>
        <w:tabs>
          <w:tab w:val="left" w:pos="2356"/>
          <w:tab w:val="left" w:pos="3052"/>
          <w:tab w:val="left" w:pos="7651"/>
        </w:tabs>
        <w:snapToGrid w:val="0"/>
        <w:spacing w:before="3" w:line="300" w:lineRule="auto"/>
        <w:ind w:left="0" w:firstLine="4"/>
        <w:jc w:val="both"/>
        <w:rPr>
          <w:rFonts w:ascii="Arial" w:hAnsi="Arial" w:eastAsia="宋体" w:cs="Arial"/>
          <w:b w:val="0"/>
          <w:bCs w:val="0"/>
          <w:sz w:val="21"/>
          <w:szCs w:val="21"/>
          <w:lang w:eastAsia="zh-CN"/>
        </w:rPr>
      </w:pPr>
    </w:p>
    <w:p w14:paraId="68D9596D">
      <w:pPr>
        <w:pStyle w:val="5"/>
        <w:tabs>
          <w:tab w:val="left" w:pos="2356"/>
          <w:tab w:val="left" w:pos="3052"/>
          <w:tab w:val="left" w:pos="7651"/>
        </w:tabs>
        <w:snapToGrid w:val="0"/>
        <w:spacing w:before="3" w:line="300" w:lineRule="auto"/>
        <w:ind w:left="0" w:firstLine="4"/>
        <w:jc w:val="both"/>
        <w:rPr>
          <w:rFonts w:ascii="Arial" w:hAnsi="Arial" w:eastAsia="宋体" w:cs="Arial"/>
          <w:b w:val="0"/>
          <w:bCs w:val="0"/>
          <w:sz w:val="21"/>
          <w:szCs w:val="21"/>
          <w:lang w:eastAsia="zh-CN"/>
        </w:rPr>
      </w:pPr>
      <w:r>
        <w:rPr>
          <w:rFonts w:ascii="Arial" w:hAnsi="Arial" w:eastAsia="宋体" w:cs="Arial"/>
          <w:b w:val="0"/>
          <w:bCs w:val="0"/>
          <w:sz w:val="21"/>
          <w:szCs w:val="21"/>
          <w:lang w:eastAsia="zh-CN"/>
        </w:rPr>
        <w:t>申请人必须为处方器械提供有关省略再加工信息的合理理由（根据21 CFR 801.109（c））。其中一个示例是：对于固体单件不锈钢手术器械，存在人们普遍理解的感染控制实践。对这些器械进行的清洁和蒸汽灭菌是相对标准的实践。ODE审评员应仔细评价任何省略请求以及支持性文件记录。如果FDA接受该省略，审评员应通知申请人，即根据既定的常规实践对器械进行再加工的能力必须由申请人进行认证并记录。</w:t>
      </w:r>
    </w:p>
    <w:p w14:paraId="414563C3">
      <w:pPr>
        <w:pStyle w:val="5"/>
        <w:tabs>
          <w:tab w:val="left" w:pos="2356"/>
          <w:tab w:val="left" w:pos="3052"/>
          <w:tab w:val="left" w:pos="7651"/>
        </w:tabs>
        <w:snapToGrid w:val="0"/>
        <w:spacing w:before="3" w:line="300" w:lineRule="auto"/>
        <w:ind w:left="0" w:firstLine="4"/>
        <w:jc w:val="both"/>
        <w:rPr>
          <w:rFonts w:ascii="Arial" w:hAnsi="Arial" w:eastAsia="宋体" w:cs="Arial"/>
          <w:b w:val="0"/>
          <w:bCs w:val="0"/>
          <w:sz w:val="21"/>
          <w:szCs w:val="21"/>
          <w:lang w:eastAsia="zh-CN"/>
        </w:rPr>
      </w:pPr>
    </w:p>
    <w:p w14:paraId="73178F76">
      <w:pPr>
        <w:pStyle w:val="5"/>
        <w:tabs>
          <w:tab w:val="left" w:pos="2356"/>
          <w:tab w:val="left" w:pos="3052"/>
          <w:tab w:val="left" w:pos="7651"/>
        </w:tabs>
        <w:snapToGrid w:val="0"/>
        <w:spacing w:before="3" w:line="300" w:lineRule="auto"/>
        <w:ind w:left="0" w:firstLine="4"/>
        <w:jc w:val="both"/>
        <w:rPr>
          <w:rFonts w:ascii="Arial" w:hAnsi="Arial" w:eastAsia="宋体" w:cs="Arial"/>
          <w:b w:val="0"/>
          <w:bCs w:val="0"/>
          <w:sz w:val="21"/>
          <w:szCs w:val="21"/>
          <w:lang w:eastAsia="zh-CN"/>
        </w:rPr>
      </w:pPr>
      <w:r>
        <w:rPr>
          <w:rFonts w:ascii="Arial" w:hAnsi="Arial" w:eastAsia="宋体" w:cs="Arial"/>
          <w:b w:val="0"/>
          <w:bCs w:val="0"/>
          <w:sz w:val="21"/>
          <w:szCs w:val="21"/>
          <w:lang w:eastAsia="zh-CN"/>
        </w:rPr>
        <w:t>请注意，若干已上市的可重复使用器械的标签指示用户根据</w:t>
      </w:r>
      <w:r>
        <w:rPr>
          <w:rFonts w:ascii="宋体" w:hAnsi="宋体" w:eastAsia="宋体" w:cs="Arial"/>
          <w:b w:val="0"/>
          <w:bCs w:val="0"/>
          <w:sz w:val="21"/>
          <w:szCs w:val="21"/>
          <w:lang w:eastAsia="zh-CN"/>
        </w:rPr>
        <w:t>“</w:t>
      </w:r>
      <w:r>
        <w:rPr>
          <w:rFonts w:ascii="Arial" w:hAnsi="Arial" w:eastAsia="宋体" w:cs="Arial"/>
          <w:b w:val="0"/>
          <w:bCs w:val="0"/>
          <w:sz w:val="21"/>
          <w:szCs w:val="21"/>
          <w:lang w:eastAsia="zh-CN"/>
        </w:rPr>
        <w:t>医院程序</w:t>
      </w:r>
      <w:r>
        <w:rPr>
          <w:rFonts w:ascii="宋体" w:hAnsi="宋体" w:eastAsia="宋体" w:cs="Arial"/>
          <w:b w:val="0"/>
          <w:bCs w:val="0"/>
          <w:sz w:val="21"/>
          <w:szCs w:val="21"/>
          <w:lang w:eastAsia="zh-CN"/>
        </w:rPr>
        <w:t>”</w:t>
      </w:r>
      <w:r>
        <w:rPr>
          <w:rFonts w:ascii="Arial" w:hAnsi="Arial" w:eastAsia="宋体" w:cs="Arial"/>
          <w:b w:val="0"/>
          <w:bCs w:val="0"/>
          <w:sz w:val="21"/>
          <w:szCs w:val="21"/>
          <w:lang w:eastAsia="zh-CN"/>
        </w:rPr>
        <w:t>再加工器械。除非可重复使用器械符合上述省略标签的标准，否则不可仅提供标签声明，因为对于许多器械，并不存在适当的标准程序，</w:t>
      </w:r>
    </w:p>
    <w:p w14:paraId="62CBA231">
      <w:pPr>
        <w:pStyle w:val="5"/>
        <w:tabs>
          <w:tab w:val="left" w:pos="2356"/>
          <w:tab w:val="left" w:pos="3052"/>
          <w:tab w:val="left" w:pos="7651"/>
        </w:tabs>
        <w:snapToGrid w:val="0"/>
        <w:spacing w:before="3" w:line="300" w:lineRule="auto"/>
        <w:ind w:left="0" w:firstLine="4"/>
        <w:jc w:val="both"/>
        <w:rPr>
          <w:rFonts w:ascii="Arial" w:hAnsi="Arial" w:eastAsia="宋体" w:cs="Arial"/>
          <w:b w:val="0"/>
          <w:bCs w:val="0"/>
          <w:sz w:val="21"/>
          <w:szCs w:val="21"/>
          <w:lang w:eastAsia="zh-CN"/>
        </w:rPr>
      </w:pPr>
    </w:p>
    <w:p w14:paraId="79FB22C9">
      <w:pPr>
        <w:pStyle w:val="5"/>
        <w:tabs>
          <w:tab w:val="left" w:pos="2356"/>
          <w:tab w:val="left" w:pos="3052"/>
          <w:tab w:val="left" w:pos="7651"/>
        </w:tabs>
        <w:snapToGrid w:val="0"/>
        <w:spacing w:before="3" w:line="300" w:lineRule="auto"/>
        <w:ind w:left="0" w:firstLine="4"/>
        <w:jc w:val="both"/>
        <w:rPr>
          <w:rFonts w:ascii="Arial" w:hAnsi="Arial" w:eastAsia="宋体" w:cs="Arial"/>
          <w:b w:val="0"/>
          <w:bCs w:val="0"/>
          <w:sz w:val="21"/>
          <w:szCs w:val="21"/>
          <w:u w:val="single"/>
          <w:lang w:eastAsia="zh-CN"/>
        </w:rPr>
      </w:pPr>
      <w:r>
        <w:rPr>
          <w:rFonts w:hint="eastAsia" w:ascii="Arial" w:hAnsi="Arial" w:eastAsia="宋体" w:cs="Arial"/>
          <w:b w:val="0"/>
          <w:bCs w:val="0"/>
          <w:sz w:val="21"/>
          <w:szCs w:val="21"/>
          <w:u w:val="single"/>
          <w:lang w:eastAsia="zh-CN"/>
        </w:rPr>
        <w:t>要考虑的其他因素</w:t>
      </w:r>
    </w:p>
    <w:p w14:paraId="00672C74">
      <w:pPr>
        <w:pStyle w:val="5"/>
        <w:tabs>
          <w:tab w:val="left" w:pos="2356"/>
          <w:tab w:val="left" w:pos="3052"/>
          <w:tab w:val="left" w:pos="7651"/>
        </w:tabs>
        <w:snapToGrid w:val="0"/>
        <w:spacing w:before="3" w:line="300" w:lineRule="auto"/>
        <w:ind w:left="0" w:firstLine="4"/>
        <w:jc w:val="both"/>
        <w:rPr>
          <w:rFonts w:ascii="Arial" w:hAnsi="Arial" w:eastAsia="宋体" w:cs="Arial"/>
          <w:b w:val="0"/>
          <w:bCs w:val="0"/>
          <w:sz w:val="21"/>
          <w:szCs w:val="21"/>
          <w:lang w:eastAsia="zh-CN"/>
        </w:rPr>
      </w:pPr>
    </w:p>
    <w:p w14:paraId="1034610A">
      <w:pPr>
        <w:pStyle w:val="5"/>
        <w:tabs>
          <w:tab w:val="left" w:pos="2356"/>
          <w:tab w:val="left" w:pos="3052"/>
          <w:tab w:val="left" w:pos="7651"/>
        </w:tabs>
        <w:snapToGrid w:val="0"/>
        <w:spacing w:before="3" w:line="300" w:lineRule="auto"/>
        <w:ind w:left="0" w:firstLine="4"/>
        <w:jc w:val="both"/>
        <w:rPr>
          <w:rFonts w:ascii="Arial" w:hAnsi="Arial" w:eastAsia="宋体" w:cs="Arial"/>
          <w:b w:val="0"/>
          <w:bCs w:val="0"/>
          <w:sz w:val="21"/>
          <w:szCs w:val="21"/>
          <w:lang w:eastAsia="zh-CN"/>
        </w:rPr>
      </w:pPr>
      <w:r>
        <w:rPr>
          <w:rFonts w:ascii="Arial" w:hAnsi="Arial" w:eastAsia="宋体" w:cs="Arial"/>
          <w:b w:val="0"/>
          <w:bCs w:val="0"/>
          <w:sz w:val="21"/>
          <w:szCs w:val="21"/>
          <w:lang w:eastAsia="zh-CN"/>
        </w:rPr>
        <w:t>由于本指南并不特定于任何特定器械，除了从下一页开始详细说明的七个标准之外，ODE审评员还应依赖以下因素来确定标签是否充分：</w:t>
      </w:r>
    </w:p>
    <w:p w14:paraId="6F0C83F1">
      <w:pPr>
        <w:pStyle w:val="5"/>
        <w:tabs>
          <w:tab w:val="left" w:pos="2356"/>
          <w:tab w:val="left" w:pos="3052"/>
          <w:tab w:val="left" w:pos="7651"/>
        </w:tabs>
        <w:snapToGrid w:val="0"/>
        <w:spacing w:before="3" w:line="300" w:lineRule="auto"/>
        <w:ind w:left="0" w:firstLine="4"/>
        <w:jc w:val="both"/>
        <w:rPr>
          <w:rFonts w:ascii="Arial" w:hAnsi="Arial" w:eastAsia="宋体" w:cs="Arial"/>
          <w:b w:val="0"/>
          <w:bCs w:val="0"/>
          <w:sz w:val="21"/>
          <w:szCs w:val="21"/>
          <w:lang w:eastAsia="zh-CN"/>
        </w:rPr>
      </w:pPr>
    </w:p>
    <w:p w14:paraId="76805706">
      <w:pPr>
        <w:pStyle w:val="16"/>
        <w:numPr>
          <w:ilvl w:val="0"/>
          <w:numId w:val="3"/>
        </w:numPr>
        <w:tabs>
          <w:tab w:val="left" w:pos="1487"/>
        </w:tabs>
        <w:snapToGrid w:val="0"/>
        <w:spacing w:line="300" w:lineRule="auto"/>
        <w:ind w:left="680" w:hanging="680"/>
        <w:jc w:val="both"/>
        <w:rPr>
          <w:rFonts w:ascii="Arial" w:hAnsi="Arial" w:eastAsia="宋体" w:cs="Arial"/>
          <w:sz w:val="21"/>
          <w:szCs w:val="21"/>
          <w:lang w:eastAsia="zh-CN"/>
        </w:rPr>
      </w:pPr>
      <w:r>
        <w:rPr>
          <w:rFonts w:ascii="Arial" w:hAnsi="Arial" w:eastAsia="宋体" w:cs="Arial"/>
          <w:sz w:val="21"/>
          <w:szCs w:val="21"/>
          <w:lang w:eastAsia="zh-CN"/>
        </w:rPr>
        <w:t>特定器械FDA指南，</w:t>
      </w:r>
    </w:p>
    <w:p w14:paraId="565902EF">
      <w:pPr>
        <w:pStyle w:val="16"/>
        <w:numPr>
          <w:ilvl w:val="0"/>
          <w:numId w:val="3"/>
        </w:numPr>
        <w:tabs>
          <w:tab w:val="left" w:pos="1487"/>
        </w:tabs>
        <w:snapToGrid w:val="0"/>
        <w:spacing w:line="300" w:lineRule="auto"/>
        <w:ind w:left="680" w:hanging="680"/>
        <w:jc w:val="both"/>
        <w:rPr>
          <w:rFonts w:ascii="Arial" w:hAnsi="Arial" w:eastAsia="宋体" w:cs="Arial"/>
          <w:sz w:val="21"/>
          <w:szCs w:val="21"/>
          <w:lang w:eastAsia="zh-CN"/>
        </w:rPr>
      </w:pPr>
      <w:r>
        <w:rPr>
          <w:rFonts w:ascii="Arial" w:hAnsi="Arial" w:eastAsia="宋体" w:cs="Arial"/>
          <w:sz w:val="21"/>
          <w:szCs w:val="21"/>
          <w:lang w:eastAsia="zh-CN"/>
        </w:rPr>
        <w:t>适用法规，如21 CFR 801，109（b）中手术工具的标签豁免或第801部分H部分中的特定器械标签要求，</w:t>
      </w:r>
    </w:p>
    <w:p w14:paraId="71220F3D">
      <w:pPr>
        <w:pStyle w:val="16"/>
        <w:numPr>
          <w:ilvl w:val="0"/>
          <w:numId w:val="3"/>
        </w:numPr>
        <w:tabs>
          <w:tab w:val="left" w:pos="1487"/>
        </w:tabs>
        <w:snapToGrid w:val="0"/>
        <w:spacing w:line="300" w:lineRule="auto"/>
        <w:ind w:left="680" w:hanging="680"/>
        <w:jc w:val="both"/>
        <w:rPr>
          <w:rFonts w:ascii="Arial" w:hAnsi="Arial" w:eastAsia="宋体" w:cs="Arial"/>
          <w:sz w:val="21"/>
          <w:szCs w:val="21"/>
          <w:lang w:eastAsia="zh-CN"/>
        </w:rPr>
      </w:pPr>
      <w:r>
        <w:rPr>
          <w:rFonts w:ascii="Arial" w:hAnsi="Arial" w:eastAsia="宋体" w:cs="Arial"/>
          <w:sz w:val="21"/>
          <w:szCs w:val="21"/>
          <w:lang w:eastAsia="zh-CN"/>
        </w:rPr>
        <w:t>其他类似的合法上市器械的标签（请参见D部分，以获得有关局限性信息），</w:t>
      </w:r>
    </w:p>
    <w:p w14:paraId="1FC1C4A8">
      <w:pPr>
        <w:pStyle w:val="16"/>
        <w:numPr>
          <w:ilvl w:val="0"/>
          <w:numId w:val="3"/>
        </w:numPr>
        <w:tabs>
          <w:tab w:val="left" w:pos="1487"/>
        </w:tabs>
        <w:snapToGrid w:val="0"/>
        <w:spacing w:line="300" w:lineRule="auto"/>
        <w:ind w:left="680" w:hanging="680"/>
        <w:jc w:val="both"/>
        <w:rPr>
          <w:rFonts w:ascii="Arial" w:hAnsi="Arial" w:eastAsia="宋体" w:cs="Arial"/>
          <w:sz w:val="21"/>
          <w:szCs w:val="21"/>
          <w:lang w:eastAsia="zh-CN"/>
        </w:rPr>
      </w:pPr>
      <w:r>
        <w:rPr>
          <w:rFonts w:ascii="Arial" w:hAnsi="Arial" w:eastAsia="宋体" w:cs="Arial"/>
          <w:sz w:val="21"/>
          <w:szCs w:val="21"/>
          <w:lang w:eastAsia="zh-CN"/>
        </w:rPr>
        <w:t>产品线间的一致性，</w:t>
      </w:r>
    </w:p>
    <w:p w14:paraId="318695AF">
      <w:pPr>
        <w:rPr>
          <w:rFonts w:ascii="Arial" w:hAnsi="Arial" w:eastAsia="宋体" w:cs="Arial"/>
          <w:sz w:val="21"/>
          <w:szCs w:val="21"/>
          <w:lang w:eastAsia="zh-CN"/>
        </w:rPr>
      </w:pPr>
      <w:r>
        <w:rPr>
          <w:rFonts w:ascii="Arial" w:hAnsi="Arial" w:eastAsia="宋体" w:cs="Arial"/>
          <w:sz w:val="21"/>
          <w:szCs w:val="21"/>
          <w:lang w:eastAsia="zh-CN"/>
        </w:rPr>
        <w:br w:type="page"/>
      </w:r>
    </w:p>
    <w:p w14:paraId="312D6560">
      <w:pPr>
        <w:pStyle w:val="16"/>
        <w:numPr>
          <w:ilvl w:val="0"/>
          <w:numId w:val="3"/>
        </w:numPr>
        <w:tabs>
          <w:tab w:val="left" w:pos="1487"/>
        </w:tabs>
        <w:snapToGrid w:val="0"/>
        <w:spacing w:line="300" w:lineRule="auto"/>
        <w:ind w:left="680" w:hanging="680"/>
        <w:jc w:val="both"/>
        <w:rPr>
          <w:rFonts w:ascii="Arial" w:hAnsi="Arial" w:eastAsia="宋体" w:cs="Arial"/>
          <w:sz w:val="21"/>
          <w:szCs w:val="21"/>
          <w:lang w:eastAsia="zh-CN"/>
        </w:rPr>
      </w:pPr>
      <w:r>
        <w:rPr>
          <w:rFonts w:ascii="Arial" w:hAnsi="Arial" w:eastAsia="宋体" w:cs="Arial"/>
          <w:sz w:val="21"/>
          <w:szCs w:val="21"/>
          <w:lang w:eastAsia="zh-CN"/>
        </w:rPr>
        <w:t>审评员在该产品领域的经验，</w:t>
      </w:r>
    </w:p>
    <w:p w14:paraId="37D2FD70">
      <w:pPr>
        <w:pStyle w:val="16"/>
        <w:numPr>
          <w:ilvl w:val="0"/>
          <w:numId w:val="3"/>
        </w:numPr>
        <w:tabs>
          <w:tab w:val="left" w:pos="1487"/>
        </w:tabs>
        <w:snapToGrid w:val="0"/>
        <w:spacing w:line="300" w:lineRule="auto"/>
        <w:ind w:left="680" w:hanging="680"/>
        <w:jc w:val="both"/>
        <w:rPr>
          <w:rFonts w:ascii="Arial" w:hAnsi="Arial" w:eastAsia="宋体" w:cs="Arial"/>
          <w:sz w:val="21"/>
          <w:szCs w:val="21"/>
          <w:lang w:eastAsia="zh-CN"/>
        </w:rPr>
      </w:pPr>
      <w:r>
        <w:rPr>
          <w:rFonts w:ascii="Arial" w:hAnsi="Arial" w:eastAsia="宋体" w:cs="Arial"/>
          <w:sz w:val="21"/>
          <w:szCs w:val="21"/>
          <w:lang w:eastAsia="zh-CN"/>
        </w:rPr>
        <w:t>与FDA器械问题报告系统中记载的器械相关感染控制问题、文献、FDA安全警报等，</w:t>
      </w:r>
    </w:p>
    <w:p w14:paraId="2E5E2206">
      <w:pPr>
        <w:pStyle w:val="16"/>
        <w:numPr>
          <w:ilvl w:val="0"/>
          <w:numId w:val="3"/>
        </w:numPr>
        <w:tabs>
          <w:tab w:val="left" w:pos="1487"/>
        </w:tabs>
        <w:snapToGrid w:val="0"/>
        <w:spacing w:line="300" w:lineRule="auto"/>
        <w:ind w:left="680" w:hanging="680"/>
        <w:jc w:val="both"/>
        <w:rPr>
          <w:rFonts w:ascii="Arial" w:hAnsi="Arial" w:eastAsia="宋体" w:cs="Arial"/>
          <w:sz w:val="21"/>
          <w:szCs w:val="21"/>
          <w:lang w:eastAsia="zh-CN"/>
        </w:rPr>
      </w:pPr>
      <w:r>
        <w:rPr>
          <w:rFonts w:ascii="Arial" w:hAnsi="Arial" w:eastAsia="宋体" w:cs="Arial"/>
          <w:sz w:val="21"/>
          <w:szCs w:val="21"/>
          <w:lang w:eastAsia="zh-CN"/>
        </w:rPr>
        <w:t>知识渊博的授权人员，如FDA工作人员，特别政府雇员和其他政府专家提供的建议，</w:t>
      </w:r>
    </w:p>
    <w:p w14:paraId="3EB3103E">
      <w:pPr>
        <w:pStyle w:val="16"/>
        <w:numPr>
          <w:ilvl w:val="0"/>
          <w:numId w:val="3"/>
        </w:numPr>
        <w:tabs>
          <w:tab w:val="left" w:pos="1487"/>
        </w:tabs>
        <w:snapToGrid w:val="0"/>
        <w:spacing w:line="300" w:lineRule="auto"/>
        <w:ind w:left="680" w:hanging="680"/>
        <w:jc w:val="both"/>
        <w:rPr>
          <w:rFonts w:ascii="Arial" w:hAnsi="Arial" w:eastAsia="宋体" w:cs="Arial"/>
          <w:sz w:val="21"/>
          <w:szCs w:val="21"/>
          <w:lang w:eastAsia="zh-CN"/>
        </w:rPr>
      </w:pPr>
      <w:r>
        <w:rPr>
          <w:rFonts w:ascii="Arial" w:hAnsi="Arial" w:eastAsia="宋体" w:cs="Arial"/>
          <w:sz w:val="21"/>
          <w:szCs w:val="21"/>
          <w:lang w:eastAsia="zh-CN"/>
        </w:rPr>
        <w:t>该器械造成的特定患者和用户风险，以及</w:t>
      </w:r>
    </w:p>
    <w:p w14:paraId="4F18E799">
      <w:pPr>
        <w:pStyle w:val="16"/>
        <w:numPr>
          <w:ilvl w:val="0"/>
          <w:numId w:val="3"/>
        </w:numPr>
        <w:tabs>
          <w:tab w:val="left" w:pos="1487"/>
        </w:tabs>
        <w:snapToGrid w:val="0"/>
        <w:spacing w:line="300" w:lineRule="auto"/>
        <w:ind w:left="680" w:hanging="680"/>
        <w:jc w:val="both"/>
        <w:rPr>
          <w:rFonts w:ascii="Arial" w:hAnsi="Arial" w:eastAsia="宋体" w:cs="Arial"/>
          <w:sz w:val="21"/>
          <w:szCs w:val="21"/>
          <w:lang w:eastAsia="zh-CN"/>
        </w:rPr>
      </w:pPr>
      <w:r>
        <w:rPr>
          <w:rFonts w:ascii="Arial" w:hAnsi="Arial" w:eastAsia="宋体" w:cs="Arial"/>
          <w:sz w:val="21"/>
          <w:szCs w:val="21"/>
          <w:lang w:eastAsia="zh-CN"/>
        </w:rPr>
        <w:t>相关专业、政府和行业感染控制指南、准则和标准。</w:t>
      </w:r>
    </w:p>
    <w:p w14:paraId="1862548F">
      <w:pPr>
        <w:pStyle w:val="16"/>
        <w:tabs>
          <w:tab w:val="left" w:pos="1487"/>
        </w:tabs>
        <w:snapToGrid w:val="0"/>
        <w:spacing w:line="300" w:lineRule="auto"/>
        <w:ind w:left="1486"/>
        <w:jc w:val="both"/>
        <w:rPr>
          <w:rFonts w:ascii="Arial" w:hAnsi="Arial" w:eastAsia="宋体" w:cs="Arial"/>
          <w:b/>
          <w:sz w:val="21"/>
          <w:szCs w:val="21"/>
          <w:lang w:eastAsia="zh-CN"/>
        </w:rPr>
      </w:pPr>
    </w:p>
    <w:p w14:paraId="26F16906">
      <w:pPr>
        <w:tabs>
          <w:tab w:val="left" w:pos="1487"/>
        </w:tabs>
        <w:snapToGrid w:val="0"/>
        <w:spacing w:line="300" w:lineRule="auto"/>
        <w:jc w:val="both"/>
        <w:rPr>
          <w:rFonts w:ascii="Arial" w:hAnsi="Arial" w:eastAsia="宋体" w:cs="Arial"/>
          <w:b/>
          <w:bCs/>
          <w:sz w:val="21"/>
          <w:szCs w:val="21"/>
          <w:u w:val="single"/>
          <w:lang w:eastAsia="zh-CN"/>
        </w:rPr>
      </w:pPr>
      <w:r>
        <w:rPr>
          <w:rFonts w:ascii="Arial" w:hAnsi="Arial" w:eastAsia="宋体" w:cs="Arial"/>
          <w:sz w:val="21"/>
          <w:szCs w:val="21"/>
          <w:u w:val="single"/>
          <w:lang w:eastAsia="zh-CN"/>
        </w:rPr>
        <w:t>七个标准</w:t>
      </w:r>
    </w:p>
    <w:p w14:paraId="104FDDEE">
      <w:pPr>
        <w:snapToGrid w:val="0"/>
        <w:spacing w:line="300" w:lineRule="auto"/>
        <w:jc w:val="both"/>
        <w:rPr>
          <w:rFonts w:ascii="Arial" w:hAnsi="Arial" w:eastAsia="宋体" w:cs="Arial"/>
          <w:b/>
          <w:bCs/>
          <w:sz w:val="21"/>
          <w:szCs w:val="21"/>
          <w:lang w:eastAsia="zh-CN"/>
        </w:rPr>
      </w:pPr>
    </w:p>
    <w:p w14:paraId="390E22EE">
      <w:pPr>
        <w:pStyle w:val="16"/>
        <w:numPr>
          <w:ilvl w:val="0"/>
          <w:numId w:val="4"/>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一般来说，以某种方式与患者接触的可重复使用器械的标签必须包括再加工说明。推荐为通常不接触患者的器械提供护理说明。</w:t>
      </w:r>
    </w:p>
    <w:p w14:paraId="63B44DB7">
      <w:pPr>
        <w:pStyle w:val="16"/>
        <w:snapToGrid w:val="0"/>
        <w:spacing w:line="300" w:lineRule="auto"/>
        <w:ind w:left="360"/>
        <w:jc w:val="both"/>
        <w:rPr>
          <w:rFonts w:ascii="Arial" w:hAnsi="Arial" w:eastAsia="宋体" w:cs="Arial"/>
          <w:sz w:val="21"/>
          <w:szCs w:val="21"/>
          <w:lang w:eastAsia="zh-CN"/>
        </w:rPr>
      </w:pPr>
    </w:p>
    <w:p w14:paraId="5DD21530">
      <w:pPr>
        <w:pStyle w:val="16"/>
        <w:snapToGrid w:val="0"/>
        <w:spacing w:line="300" w:lineRule="auto"/>
        <w:ind w:left="360"/>
        <w:jc w:val="both"/>
        <w:rPr>
          <w:rFonts w:ascii="Arial" w:hAnsi="Arial" w:eastAsia="宋体" w:cs="Arial"/>
          <w:sz w:val="21"/>
          <w:szCs w:val="21"/>
          <w:lang w:eastAsia="zh-CN"/>
        </w:rPr>
      </w:pPr>
      <w:r>
        <w:rPr>
          <w:rFonts w:ascii="Arial" w:hAnsi="Arial" w:eastAsia="宋体" w:cs="Arial"/>
          <w:sz w:val="21"/>
          <w:szCs w:val="21"/>
          <w:lang w:eastAsia="zh-CN"/>
        </w:rPr>
        <w:t>以及</w:t>
      </w:r>
    </w:p>
    <w:p w14:paraId="3018F269">
      <w:pPr>
        <w:pStyle w:val="16"/>
        <w:snapToGrid w:val="0"/>
        <w:spacing w:line="300" w:lineRule="auto"/>
        <w:ind w:left="360"/>
        <w:jc w:val="both"/>
        <w:rPr>
          <w:rFonts w:ascii="Arial" w:hAnsi="Arial" w:eastAsia="宋体" w:cs="Arial"/>
          <w:sz w:val="21"/>
          <w:szCs w:val="21"/>
          <w:lang w:eastAsia="zh-CN"/>
        </w:rPr>
      </w:pPr>
    </w:p>
    <w:p w14:paraId="5AE3F307">
      <w:pPr>
        <w:pStyle w:val="16"/>
        <w:snapToGrid w:val="0"/>
        <w:spacing w:line="300" w:lineRule="auto"/>
        <w:ind w:left="360"/>
        <w:jc w:val="both"/>
        <w:rPr>
          <w:rFonts w:ascii="Arial" w:hAnsi="Arial" w:eastAsia="宋体" w:cs="Arial"/>
          <w:sz w:val="21"/>
          <w:szCs w:val="21"/>
          <w:lang w:eastAsia="zh-CN"/>
        </w:rPr>
      </w:pPr>
      <w:r>
        <w:rPr>
          <w:rFonts w:ascii="Arial" w:hAnsi="Arial" w:eastAsia="宋体" w:cs="Arial"/>
          <w:sz w:val="21"/>
          <w:szCs w:val="21"/>
          <w:lang w:eastAsia="zh-CN"/>
        </w:rPr>
        <w:t>以无菌形式出售的患者接触器械的标签，无论其是否可重复使用，都必须提供关于使器械随时准备供患者使用方法的初步说明。</w:t>
      </w:r>
    </w:p>
    <w:p w14:paraId="0C6EFBB3">
      <w:pPr>
        <w:snapToGrid w:val="0"/>
        <w:spacing w:line="300" w:lineRule="auto"/>
        <w:ind w:left="1633"/>
        <w:jc w:val="both"/>
        <w:rPr>
          <w:rFonts w:ascii="Arial" w:hAnsi="Arial" w:eastAsia="宋体" w:cs="Arial"/>
          <w:sz w:val="21"/>
          <w:szCs w:val="21"/>
          <w:lang w:eastAsia="zh-CN"/>
        </w:rPr>
      </w:pPr>
    </w:p>
    <w:p w14:paraId="59BC1E62">
      <w:pPr>
        <w:snapToGrid w:val="0"/>
        <w:spacing w:line="300" w:lineRule="auto"/>
        <w:jc w:val="both"/>
        <w:rPr>
          <w:rFonts w:ascii="Arial" w:hAnsi="Arial" w:eastAsia="宋体" w:cs="Arial"/>
          <w:b/>
          <w:bCs/>
          <w:sz w:val="21"/>
          <w:szCs w:val="21"/>
          <w:lang w:eastAsia="zh-CN"/>
        </w:rPr>
      </w:pPr>
    </w:p>
    <w:p w14:paraId="1E741163">
      <w:pPr>
        <w:pStyle w:val="16"/>
        <w:numPr>
          <w:ilvl w:val="0"/>
          <w:numId w:val="4"/>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所有再加工说明应提供器械必须彻底清洁的声明。</w:t>
      </w:r>
    </w:p>
    <w:p w14:paraId="26F8C1EE">
      <w:pPr>
        <w:pStyle w:val="16"/>
        <w:snapToGrid w:val="0"/>
        <w:spacing w:line="300" w:lineRule="auto"/>
        <w:ind w:left="360"/>
        <w:jc w:val="both"/>
        <w:rPr>
          <w:rFonts w:ascii="Arial" w:hAnsi="Arial" w:eastAsia="宋体" w:cs="Arial"/>
          <w:sz w:val="21"/>
          <w:szCs w:val="21"/>
          <w:lang w:eastAsia="zh-CN"/>
        </w:rPr>
      </w:pPr>
    </w:p>
    <w:p w14:paraId="6BE970B1">
      <w:pPr>
        <w:pStyle w:val="16"/>
        <w:snapToGrid w:val="0"/>
        <w:spacing w:line="300" w:lineRule="auto"/>
        <w:ind w:left="360"/>
        <w:jc w:val="both"/>
        <w:rPr>
          <w:rFonts w:ascii="Arial" w:hAnsi="Arial" w:eastAsia="宋体" w:cs="Arial"/>
          <w:sz w:val="21"/>
          <w:szCs w:val="21"/>
          <w:lang w:eastAsia="zh-CN"/>
        </w:rPr>
      </w:pPr>
      <w:r>
        <w:rPr>
          <w:rFonts w:ascii="Arial" w:hAnsi="Arial" w:eastAsia="宋体" w:cs="Arial"/>
          <w:sz w:val="21"/>
          <w:szCs w:val="21"/>
          <w:lang w:eastAsia="zh-CN"/>
        </w:rPr>
        <w:t>彻底清洁只是进行有效再加工所需的第一步，但根据器械的预期用途，其可能是最重要的一步。清洁程序的详细信息可能因器械的复杂性而异。</w:t>
      </w:r>
    </w:p>
    <w:p w14:paraId="3CDDFD6A">
      <w:pPr>
        <w:pStyle w:val="16"/>
        <w:snapToGrid w:val="0"/>
        <w:spacing w:line="300" w:lineRule="auto"/>
        <w:ind w:left="360"/>
        <w:jc w:val="both"/>
        <w:rPr>
          <w:rFonts w:ascii="Arial" w:hAnsi="Arial" w:eastAsia="宋体" w:cs="Arial"/>
          <w:sz w:val="21"/>
          <w:szCs w:val="21"/>
          <w:lang w:eastAsia="zh-CN"/>
        </w:rPr>
      </w:pPr>
    </w:p>
    <w:p w14:paraId="7750F4E4">
      <w:pPr>
        <w:pStyle w:val="16"/>
        <w:snapToGrid w:val="0"/>
        <w:spacing w:line="300" w:lineRule="auto"/>
        <w:ind w:left="360"/>
        <w:jc w:val="both"/>
        <w:rPr>
          <w:rFonts w:ascii="Arial" w:hAnsi="Arial" w:eastAsia="宋体" w:cs="Arial"/>
          <w:sz w:val="21"/>
          <w:szCs w:val="21"/>
          <w:lang w:eastAsia="zh-CN"/>
        </w:rPr>
      </w:pPr>
      <w:r>
        <w:rPr>
          <w:rFonts w:ascii="Arial" w:hAnsi="Arial" w:eastAsia="宋体" w:cs="Arial"/>
          <w:sz w:val="21"/>
          <w:szCs w:val="21"/>
          <w:lang w:eastAsia="zh-CN"/>
        </w:rPr>
        <w:t>器械标签可能包括关于使用保护性护盖以尽可能减少在重新使用器械之前所需的清洁和进一步再加工范围的指南。所有保护性护盖均未经FDA按照一致标准进行评价。因此，保护性护盖的用途可能因产品而异。当在可重复使用器械的标签中提及保护性护盖时，标签应指具有所声明的液体和微生物屏障性能的保护性护盖。反过来，这些声明和其他重要因素必须由保护性护盖制造商进行确认，并根据保护性护盖的5lO（k）过程对其进行评价。</w:t>
      </w:r>
    </w:p>
    <w:p w14:paraId="0640E32C">
      <w:pPr>
        <w:snapToGrid w:val="0"/>
        <w:spacing w:line="300" w:lineRule="auto"/>
        <w:jc w:val="both"/>
        <w:rPr>
          <w:rFonts w:ascii="Arial" w:hAnsi="Arial" w:eastAsia="宋体" w:cs="Arial"/>
          <w:sz w:val="21"/>
          <w:szCs w:val="21"/>
          <w:lang w:eastAsia="zh-CN"/>
        </w:rPr>
      </w:pPr>
    </w:p>
    <w:p w14:paraId="731B89B0">
      <w:pPr>
        <w:rPr>
          <w:rFonts w:ascii="Arial" w:hAnsi="Arial" w:eastAsia="宋体" w:cs="Arial"/>
          <w:sz w:val="21"/>
          <w:szCs w:val="21"/>
          <w:lang w:eastAsia="zh-CN"/>
        </w:rPr>
      </w:pPr>
      <w:r>
        <w:rPr>
          <w:rFonts w:ascii="Arial" w:hAnsi="Arial" w:eastAsia="宋体" w:cs="Arial"/>
          <w:sz w:val="21"/>
          <w:szCs w:val="21"/>
          <w:lang w:eastAsia="zh-CN"/>
        </w:rPr>
        <w:br w:type="page"/>
      </w:r>
    </w:p>
    <w:p w14:paraId="2E3E2551">
      <w:pPr>
        <w:pStyle w:val="16"/>
        <w:snapToGrid w:val="0"/>
        <w:spacing w:line="300" w:lineRule="auto"/>
        <w:ind w:left="360"/>
        <w:jc w:val="both"/>
        <w:rPr>
          <w:rFonts w:ascii="Arial" w:hAnsi="Arial" w:eastAsia="宋体" w:cs="Arial"/>
          <w:sz w:val="21"/>
          <w:szCs w:val="21"/>
          <w:lang w:eastAsia="zh-CN"/>
        </w:rPr>
      </w:pPr>
      <w:r>
        <w:rPr>
          <w:rFonts w:ascii="Arial" w:hAnsi="Arial" w:eastAsia="宋体" w:cs="Arial"/>
          <w:sz w:val="21"/>
          <w:szCs w:val="21"/>
          <w:lang w:eastAsia="zh-CN"/>
        </w:rPr>
        <w:t>清洁步骤可以作为去污方案的一部分在标签中提供。由于去污解决了用户安全问题，但不一定可解决患者安全问题，因此制造商必须根据去除器械可见污物的过程以使器械随时准备供患者使用，从而使任何所需的最终过程更有效，对清洁过程的严谨性进行充分评价。</w:t>
      </w:r>
    </w:p>
    <w:p w14:paraId="35DF663C">
      <w:pPr>
        <w:snapToGrid w:val="0"/>
        <w:spacing w:line="300" w:lineRule="auto"/>
        <w:ind w:left="688"/>
        <w:jc w:val="both"/>
        <w:rPr>
          <w:rFonts w:ascii="Arial" w:hAnsi="Arial" w:eastAsia="宋体" w:cs="Arial"/>
          <w:position w:val="-8"/>
          <w:sz w:val="21"/>
          <w:szCs w:val="21"/>
          <w:lang w:eastAsia="zh-CN"/>
        </w:rPr>
      </w:pPr>
    </w:p>
    <w:p w14:paraId="2244DC3B">
      <w:pPr>
        <w:pStyle w:val="16"/>
        <w:numPr>
          <w:ilvl w:val="0"/>
          <w:numId w:val="4"/>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说明必须指出适用于该器械的杀菌过程。</w:t>
      </w:r>
    </w:p>
    <w:p w14:paraId="3A605C46">
      <w:pPr>
        <w:pStyle w:val="16"/>
        <w:snapToGrid w:val="0"/>
        <w:spacing w:line="300" w:lineRule="auto"/>
        <w:ind w:left="360"/>
        <w:jc w:val="both"/>
        <w:rPr>
          <w:rFonts w:ascii="Arial" w:hAnsi="Arial" w:eastAsia="宋体" w:cs="Arial"/>
          <w:sz w:val="21"/>
          <w:szCs w:val="21"/>
          <w:lang w:eastAsia="zh-CN"/>
        </w:rPr>
      </w:pPr>
    </w:p>
    <w:p w14:paraId="141BC779">
      <w:pPr>
        <w:pStyle w:val="16"/>
        <w:snapToGrid w:val="0"/>
        <w:spacing w:line="300" w:lineRule="auto"/>
        <w:ind w:left="770" w:firstLine="10" w:firstLineChars="5"/>
        <w:jc w:val="both"/>
        <w:rPr>
          <w:rFonts w:ascii="Arial" w:hAnsi="Arial" w:eastAsia="宋体" w:cs="Arial"/>
          <w:sz w:val="21"/>
          <w:szCs w:val="21"/>
          <w:lang w:eastAsia="zh-CN"/>
        </w:rPr>
      </w:pPr>
      <w:r>
        <w:rPr>
          <w:rFonts w:ascii="Arial" w:hAnsi="Arial" w:eastAsia="宋体" w:cs="Arial"/>
          <w:sz w:val="21"/>
          <w:szCs w:val="21"/>
          <w:lang w:eastAsia="zh-CN"/>
        </w:rPr>
        <w:t>标签应该指出：</w:t>
      </w:r>
    </w:p>
    <w:p w14:paraId="4131DA74">
      <w:pPr>
        <w:pStyle w:val="16"/>
        <w:snapToGrid w:val="0"/>
        <w:spacing w:line="300" w:lineRule="auto"/>
        <w:ind w:left="770" w:firstLine="10" w:firstLineChars="5"/>
        <w:jc w:val="both"/>
        <w:rPr>
          <w:rFonts w:ascii="Arial" w:hAnsi="Arial" w:eastAsia="宋体" w:cs="Arial"/>
          <w:sz w:val="21"/>
          <w:szCs w:val="21"/>
          <w:lang w:eastAsia="zh-CN"/>
        </w:rPr>
      </w:pPr>
    </w:p>
    <w:p w14:paraId="327AEF82">
      <w:pPr>
        <w:pStyle w:val="16"/>
        <w:snapToGrid w:val="0"/>
        <w:spacing w:line="300" w:lineRule="auto"/>
        <w:ind w:left="770" w:firstLine="10" w:firstLineChars="5"/>
        <w:jc w:val="both"/>
        <w:rPr>
          <w:rFonts w:ascii="Arial" w:hAnsi="Arial" w:eastAsia="宋体" w:cs="Arial"/>
          <w:sz w:val="21"/>
          <w:szCs w:val="21"/>
          <w:lang w:eastAsia="zh-CN"/>
        </w:rPr>
      </w:pPr>
      <w:r>
        <w:rPr>
          <w:rFonts w:ascii="Arial" w:hAnsi="Arial" w:eastAsia="宋体" w:cs="Arial"/>
          <w:sz w:val="21"/>
          <w:szCs w:val="21"/>
          <w:lang w:eastAsia="zh-CN"/>
        </w:rPr>
        <w:t>灭菌</w:t>
      </w:r>
    </w:p>
    <w:p w14:paraId="23B958E7">
      <w:pPr>
        <w:pStyle w:val="16"/>
        <w:snapToGrid w:val="0"/>
        <w:spacing w:line="300" w:lineRule="auto"/>
        <w:ind w:left="770" w:firstLine="10" w:firstLineChars="5"/>
        <w:jc w:val="both"/>
        <w:rPr>
          <w:rFonts w:ascii="Arial" w:hAnsi="Arial" w:eastAsia="宋体" w:cs="Arial"/>
          <w:sz w:val="21"/>
          <w:szCs w:val="21"/>
          <w:lang w:eastAsia="zh-CN"/>
        </w:rPr>
      </w:pPr>
    </w:p>
    <w:p w14:paraId="0C776517">
      <w:pPr>
        <w:pStyle w:val="16"/>
        <w:snapToGrid w:val="0"/>
        <w:spacing w:line="300" w:lineRule="auto"/>
        <w:ind w:left="770" w:firstLine="10" w:firstLineChars="5"/>
        <w:jc w:val="both"/>
        <w:rPr>
          <w:rFonts w:ascii="Arial" w:hAnsi="Arial" w:eastAsia="宋体" w:cs="Arial"/>
          <w:sz w:val="21"/>
          <w:szCs w:val="21"/>
          <w:lang w:eastAsia="zh-CN"/>
        </w:rPr>
      </w:pPr>
      <w:r>
        <w:rPr>
          <w:rFonts w:ascii="Arial" w:hAnsi="Arial" w:eastAsia="宋体" w:cs="Arial"/>
          <w:sz w:val="21"/>
          <w:szCs w:val="21"/>
          <w:lang w:eastAsia="zh-CN"/>
        </w:rPr>
        <w:t>或者</w:t>
      </w:r>
    </w:p>
    <w:p w14:paraId="79BFE217">
      <w:pPr>
        <w:pStyle w:val="16"/>
        <w:snapToGrid w:val="0"/>
        <w:spacing w:line="300" w:lineRule="auto"/>
        <w:ind w:left="770" w:firstLine="10" w:firstLineChars="5"/>
        <w:jc w:val="both"/>
        <w:rPr>
          <w:rFonts w:ascii="Arial" w:hAnsi="Arial" w:eastAsia="宋体" w:cs="Arial"/>
          <w:sz w:val="21"/>
          <w:szCs w:val="21"/>
          <w:lang w:eastAsia="zh-CN"/>
        </w:rPr>
      </w:pPr>
    </w:p>
    <w:p w14:paraId="4326D5AD">
      <w:pPr>
        <w:pStyle w:val="16"/>
        <w:snapToGrid w:val="0"/>
        <w:spacing w:line="300" w:lineRule="auto"/>
        <w:ind w:left="770" w:firstLine="10" w:firstLineChars="5"/>
        <w:jc w:val="both"/>
        <w:rPr>
          <w:rFonts w:ascii="Arial" w:hAnsi="Arial" w:eastAsia="宋体" w:cs="Arial"/>
          <w:sz w:val="21"/>
          <w:szCs w:val="21"/>
          <w:lang w:eastAsia="zh-CN"/>
        </w:rPr>
      </w:pPr>
      <w:r>
        <w:rPr>
          <w:rFonts w:ascii="Arial" w:hAnsi="Arial" w:eastAsia="宋体" w:cs="Arial"/>
          <w:sz w:val="21"/>
          <w:szCs w:val="21"/>
          <w:lang w:eastAsia="zh-CN"/>
        </w:rPr>
        <w:t>高水平、中等水平或低水平的消毒</w:t>
      </w:r>
    </w:p>
    <w:p w14:paraId="4B5CEDEF">
      <w:pPr>
        <w:pStyle w:val="16"/>
        <w:snapToGrid w:val="0"/>
        <w:spacing w:line="300" w:lineRule="auto"/>
        <w:ind w:left="770" w:firstLine="10" w:firstLineChars="5"/>
        <w:jc w:val="both"/>
        <w:rPr>
          <w:rFonts w:ascii="Arial" w:hAnsi="Arial" w:eastAsia="宋体" w:cs="Arial"/>
          <w:sz w:val="21"/>
          <w:szCs w:val="21"/>
          <w:lang w:eastAsia="zh-CN"/>
        </w:rPr>
      </w:pPr>
    </w:p>
    <w:p w14:paraId="048681FC">
      <w:pPr>
        <w:pStyle w:val="16"/>
        <w:snapToGrid w:val="0"/>
        <w:spacing w:line="300" w:lineRule="auto"/>
        <w:ind w:left="770" w:firstLine="10" w:firstLineChars="5"/>
        <w:jc w:val="both"/>
        <w:rPr>
          <w:rFonts w:ascii="Arial" w:hAnsi="Arial" w:eastAsia="宋体" w:cs="Arial"/>
          <w:sz w:val="21"/>
          <w:szCs w:val="21"/>
          <w:lang w:eastAsia="zh-CN"/>
        </w:rPr>
      </w:pPr>
      <w:r>
        <w:rPr>
          <w:rFonts w:ascii="Arial" w:hAnsi="Arial" w:eastAsia="宋体" w:cs="Arial"/>
          <w:sz w:val="21"/>
          <w:szCs w:val="21"/>
          <w:lang w:eastAsia="zh-CN"/>
        </w:rPr>
        <w:t>请参阅附录1和2中的加工分类，以帮助确定适当的杀菌过程。标签中的再加工说明必须符合政府机关和相关专业机构所承认的护理标准。例如，FDA目前希望，在GI和呼吸道中使用的柔性内窥镜的标签将提供灭菌和高水平消毒程序。</w:t>
      </w:r>
    </w:p>
    <w:p w14:paraId="176B4C25">
      <w:pPr>
        <w:pStyle w:val="16"/>
        <w:snapToGrid w:val="0"/>
        <w:spacing w:line="300" w:lineRule="auto"/>
        <w:ind w:left="770" w:firstLine="10" w:firstLineChars="5"/>
        <w:jc w:val="both"/>
        <w:rPr>
          <w:rFonts w:ascii="Arial" w:hAnsi="Arial" w:eastAsia="宋体" w:cs="Arial"/>
          <w:sz w:val="21"/>
          <w:szCs w:val="21"/>
          <w:lang w:eastAsia="zh-CN"/>
        </w:rPr>
      </w:pPr>
      <w:r>
        <w:rPr>
          <w:rFonts w:ascii="Arial" w:hAnsi="Arial" w:eastAsia="宋体" w:cs="Arial"/>
          <w:sz w:val="21"/>
          <w:szCs w:val="21"/>
          <w:lang w:eastAsia="zh-CN"/>
        </w:rPr>
        <w:t>如附录1和2所述，FDA不会接受低于最低可接受水平的再加工。审评员应将任何偏差转交给具有感染控制经验的部门工作人员，或转交给感染控制器械科，牙科、感染控制和综合医院使用器械司的主管以获得意见。</w:t>
      </w:r>
    </w:p>
    <w:p w14:paraId="2262AC66">
      <w:pPr>
        <w:pStyle w:val="16"/>
        <w:snapToGrid w:val="0"/>
        <w:spacing w:line="300" w:lineRule="auto"/>
        <w:ind w:left="360"/>
        <w:jc w:val="both"/>
        <w:rPr>
          <w:rFonts w:ascii="Arial" w:hAnsi="Arial" w:eastAsia="宋体" w:cs="Arial"/>
          <w:sz w:val="21"/>
          <w:szCs w:val="21"/>
          <w:lang w:eastAsia="zh-CN"/>
        </w:rPr>
      </w:pPr>
    </w:p>
    <w:p w14:paraId="5F6BD243">
      <w:pPr>
        <w:pStyle w:val="16"/>
        <w:numPr>
          <w:ilvl w:val="0"/>
          <w:numId w:val="4"/>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该过程必须可行并须考虑进行再加工的预期地点（例如，卫生保健机构或家用）。</w:t>
      </w:r>
    </w:p>
    <w:p w14:paraId="5B8555AA">
      <w:pPr>
        <w:pStyle w:val="16"/>
        <w:snapToGrid w:val="0"/>
        <w:spacing w:line="300" w:lineRule="auto"/>
        <w:ind w:left="360"/>
        <w:jc w:val="both"/>
        <w:rPr>
          <w:rFonts w:ascii="Arial" w:hAnsi="Arial" w:eastAsia="宋体" w:cs="Arial"/>
          <w:sz w:val="21"/>
          <w:szCs w:val="21"/>
          <w:lang w:eastAsia="zh-CN"/>
        </w:rPr>
      </w:pPr>
    </w:p>
    <w:p w14:paraId="5AFDCC1A">
      <w:pPr>
        <w:pStyle w:val="16"/>
        <w:snapToGrid w:val="0"/>
        <w:spacing w:line="300" w:lineRule="auto"/>
        <w:ind w:left="360"/>
        <w:jc w:val="both"/>
        <w:rPr>
          <w:rFonts w:ascii="Arial" w:hAnsi="Arial" w:eastAsia="宋体" w:cs="Arial"/>
          <w:sz w:val="21"/>
          <w:szCs w:val="21"/>
          <w:lang w:eastAsia="zh-CN"/>
        </w:rPr>
      </w:pPr>
      <w:r>
        <w:rPr>
          <w:rFonts w:ascii="Arial" w:hAnsi="Arial" w:eastAsia="宋体" w:cs="Arial"/>
          <w:sz w:val="21"/>
          <w:szCs w:val="21"/>
          <w:lang w:eastAsia="zh-CN"/>
        </w:rPr>
        <w:t>再加工可重复使用器械的人员必须具有执行再加工步骤的能力。某些类型的灭菌器，如辐射灭菌，仅用于生产机构。蒸汽灭菌是卫生保健机构中最常用的灭菌方法。化学蒸汽、环氧乙烷、气体/等离子体和液体化学灭菌器也可在许多机构中所用。干热灭菌器在一些环境中较为罕见。</w:t>
      </w:r>
    </w:p>
    <w:p w14:paraId="54CC7D4D">
      <w:pPr>
        <w:rPr>
          <w:rFonts w:ascii="Arial" w:hAnsi="Arial" w:eastAsia="宋体" w:cs="Arial"/>
          <w:sz w:val="21"/>
          <w:szCs w:val="21"/>
          <w:lang w:eastAsia="zh-CN"/>
        </w:rPr>
      </w:pPr>
      <w:r>
        <w:rPr>
          <w:rFonts w:ascii="Arial" w:hAnsi="Arial" w:eastAsia="宋体" w:cs="Arial"/>
          <w:sz w:val="21"/>
          <w:szCs w:val="21"/>
          <w:lang w:eastAsia="zh-CN"/>
        </w:rPr>
        <w:br w:type="page"/>
      </w:r>
    </w:p>
    <w:p w14:paraId="2C47C829">
      <w:pPr>
        <w:pStyle w:val="16"/>
        <w:snapToGrid w:val="0"/>
        <w:spacing w:line="300" w:lineRule="auto"/>
        <w:ind w:left="360"/>
        <w:jc w:val="both"/>
        <w:rPr>
          <w:rFonts w:ascii="Arial" w:hAnsi="Arial" w:eastAsia="宋体" w:cs="Arial"/>
          <w:sz w:val="21"/>
          <w:szCs w:val="21"/>
          <w:lang w:eastAsia="zh-CN"/>
        </w:rPr>
      </w:pPr>
      <w:r>
        <w:rPr>
          <w:rFonts w:ascii="Arial" w:hAnsi="Arial" w:eastAsia="宋体" w:cs="Arial"/>
          <w:sz w:val="21"/>
          <w:szCs w:val="21"/>
          <w:lang w:eastAsia="zh-CN"/>
        </w:rPr>
        <w:t>一些简单的器械再加工由经过培训的人员或外行人员在家中进行。例如，通常用于家庭环境中的一些医疗器械可以进行清洁、表面消毒（如果需要）并在现场进行维修。此外，作为常用器械，可重复使用隐形眼镜可由用户进行清洁、消毒和冲洗。</w:t>
      </w:r>
    </w:p>
    <w:p w14:paraId="7CA8AF23">
      <w:pPr>
        <w:snapToGrid w:val="0"/>
        <w:spacing w:before="2" w:line="300" w:lineRule="auto"/>
        <w:jc w:val="both"/>
        <w:rPr>
          <w:rFonts w:ascii="Arial" w:hAnsi="Arial" w:eastAsia="宋体" w:cs="Arial"/>
          <w:b/>
          <w:bCs/>
          <w:sz w:val="21"/>
          <w:szCs w:val="21"/>
          <w:lang w:eastAsia="zh-CN"/>
        </w:rPr>
      </w:pPr>
    </w:p>
    <w:p w14:paraId="36D9B5E1">
      <w:pPr>
        <w:pStyle w:val="16"/>
        <w:numPr>
          <w:ilvl w:val="0"/>
          <w:numId w:val="4"/>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说明必须可以理解。</w:t>
      </w:r>
    </w:p>
    <w:p w14:paraId="75B11064">
      <w:pPr>
        <w:pStyle w:val="16"/>
        <w:snapToGrid w:val="0"/>
        <w:spacing w:line="300" w:lineRule="auto"/>
        <w:ind w:left="360"/>
        <w:jc w:val="both"/>
        <w:rPr>
          <w:rFonts w:ascii="Arial" w:hAnsi="Arial" w:eastAsia="宋体" w:cs="Arial"/>
          <w:sz w:val="21"/>
          <w:szCs w:val="21"/>
          <w:lang w:eastAsia="zh-CN"/>
        </w:rPr>
      </w:pPr>
    </w:p>
    <w:p w14:paraId="4117F226">
      <w:pPr>
        <w:pStyle w:val="16"/>
        <w:snapToGrid w:val="0"/>
        <w:spacing w:line="300" w:lineRule="auto"/>
        <w:ind w:left="360"/>
        <w:jc w:val="both"/>
        <w:rPr>
          <w:rFonts w:ascii="Arial" w:hAnsi="Arial" w:eastAsia="宋体" w:cs="Arial"/>
          <w:sz w:val="21"/>
          <w:szCs w:val="21"/>
          <w:lang w:eastAsia="zh-CN"/>
        </w:rPr>
      </w:pPr>
      <w:r>
        <w:rPr>
          <w:rFonts w:ascii="Arial" w:hAnsi="Arial" w:eastAsia="宋体" w:cs="Arial"/>
          <w:sz w:val="21"/>
          <w:szCs w:val="21"/>
          <w:lang w:eastAsia="zh-CN"/>
        </w:rPr>
        <w:t>说明必须清楚、无语法错误、易读并以从初始加工步骤到最终加工步骤顺序排列（例如，预加工、清洁、冲洗、消毒或灭菌、消毒或液体化学灭菌后的最终冲洗以及加工后处理）。</w:t>
      </w:r>
    </w:p>
    <w:p w14:paraId="7BCF645B">
      <w:pPr>
        <w:snapToGrid w:val="0"/>
        <w:spacing w:before="11" w:line="300" w:lineRule="auto"/>
        <w:jc w:val="both"/>
        <w:rPr>
          <w:rFonts w:ascii="Arial" w:hAnsi="Arial" w:eastAsia="宋体" w:cs="Arial"/>
          <w:sz w:val="21"/>
          <w:szCs w:val="21"/>
          <w:lang w:eastAsia="zh-CN"/>
        </w:rPr>
      </w:pPr>
    </w:p>
    <w:p w14:paraId="1083DDF4">
      <w:pPr>
        <w:pStyle w:val="16"/>
        <w:numPr>
          <w:ilvl w:val="0"/>
          <w:numId w:val="4"/>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说明必须全面。</w:t>
      </w:r>
    </w:p>
    <w:p w14:paraId="5E2A480A">
      <w:pPr>
        <w:pStyle w:val="16"/>
        <w:snapToGrid w:val="0"/>
        <w:spacing w:line="300" w:lineRule="auto"/>
        <w:ind w:left="360"/>
        <w:jc w:val="both"/>
        <w:rPr>
          <w:rFonts w:ascii="Arial" w:hAnsi="Arial" w:eastAsia="宋体" w:cs="Arial"/>
          <w:sz w:val="21"/>
          <w:szCs w:val="21"/>
          <w:lang w:eastAsia="zh-CN"/>
        </w:rPr>
      </w:pPr>
    </w:p>
    <w:p w14:paraId="18AA2899">
      <w:pPr>
        <w:pStyle w:val="16"/>
        <w:snapToGrid w:val="0"/>
        <w:spacing w:line="300" w:lineRule="auto"/>
        <w:ind w:left="360"/>
        <w:jc w:val="both"/>
        <w:rPr>
          <w:rFonts w:ascii="Arial" w:hAnsi="Arial" w:eastAsia="宋体" w:cs="Arial"/>
          <w:sz w:val="21"/>
          <w:szCs w:val="21"/>
          <w:lang w:eastAsia="zh-CN"/>
        </w:rPr>
      </w:pPr>
      <w:r>
        <w:rPr>
          <w:rFonts w:ascii="Arial" w:hAnsi="Arial" w:eastAsia="宋体" w:cs="Arial"/>
          <w:sz w:val="21"/>
          <w:szCs w:val="21"/>
          <w:lang w:eastAsia="zh-CN"/>
        </w:rPr>
        <w:t>全面的说明使得负责再加工器械的人员能够准确地了解如何安全有效执行再加工方案。可能有几种可接受的说明格式。ODE审评员应该侧重于步骤的顺序和每个步骤的内容。说明至少必须以英语提供。是否需要纳入其他语言书写的重复说明由制造商自行决定。</w:t>
      </w:r>
    </w:p>
    <w:p w14:paraId="2EB3DFFE">
      <w:pPr>
        <w:pStyle w:val="16"/>
        <w:snapToGrid w:val="0"/>
        <w:spacing w:line="300" w:lineRule="auto"/>
        <w:ind w:left="360"/>
        <w:jc w:val="both"/>
        <w:rPr>
          <w:rFonts w:ascii="Arial" w:hAnsi="Arial" w:eastAsia="宋体" w:cs="Arial"/>
          <w:sz w:val="21"/>
          <w:szCs w:val="21"/>
          <w:lang w:eastAsia="zh-CN"/>
        </w:rPr>
      </w:pPr>
    </w:p>
    <w:p w14:paraId="2A5EA289">
      <w:pPr>
        <w:pStyle w:val="16"/>
        <w:snapToGrid w:val="0"/>
        <w:spacing w:line="300" w:lineRule="auto"/>
        <w:ind w:left="360"/>
        <w:jc w:val="both"/>
        <w:rPr>
          <w:rFonts w:ascii="Arial" w:hAnsi="Arial" w:eastAsia="宋体" w:cs="Arial"/>
          <w:sz w:val="21"/>
          <w:szCs w:val="21"/>
          <w:lang w:eastAsia="zh-CN"/>
        </w:rPr>
      </w:pPr>
      <w:r>
        <w:rPr>
          <w:rFonts w:ascii="Arial" w:hAnsi="Arial" w:eastAsia="宋体" w:cs="Arial"/>
          <w:sz w:val="21"/>
          <w:szCs w:val="21"/>
          <w:lang w:eastAsia="zh-CN"/>
        </w:rPr>
        <w:t>全面的再加工说明的要素如下。有关特定要素认证的评论载于方括号【】中。ODE审评员必须用判断来确定要素是否适用于审查中的器械。</w:t>
      </w:r>
    </w:p>
    <w:p w14:paraId="1A14B890">
      <w:pPr>
        <w:snapToGrid w:val="0"/>
        <w:spacing w:before="3" w:line="300" w:lineRule="auto"/>
        <w:jc w:val="both"/>
        <w:rPr>
          <w:rFonts w:ascii="Arial" w:hAnsi="Arial" w:eastAsia="宋体" w:cs="Arial"/>
          <w:b/>
          <w:bCs/>
          <w:sz w:val="21"/>
          <w:szCs w:val="21"/>
          <w:lang w:eastAsia="zh-CN"/>
        </w:rPr>
      </w:pPr>
    </w:p>
    <w:p w14:paraId="5FB55F21">
      <w:pPr>
        <w:pStyle w:val="16"/>
        <w:snapToGrid w:val="0"/>
        <w:spacing w:line="300" w:lineRule="auto"/>
        <w:jc w:val="both"/>
        <w:rPr>
          <w:rFonts w:ascii="Arial" w:hAnsi="Arial" w:eastAsia="宋体" w:cs="Arial"/>
          <w:sz w:val="21"/>
          <w:szCs w:val="21"/>
          <w:lang w:eastAsia="zh-CN"/>
        </w:rPr>
      </w:pPr>
    </w:p>
    <w:p w14:paraId="52AEAACC">
      <w:pPr>
        <w:pStyle w:val="16"/>
        <w:numPr>
          <w:ilvl w:val="1"/>
          <w:numId w:val="5"/>
        </w:numPr>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r>
        <w:rPr>
          <w:rFonts w:hint="eastAsia" w:ascii="Arial" w:hAnsi="Arial" w:eastAsia="宋体" w:cs="Arial"/>
          <w:sz w:val="21"/>
          <w:szCs w:val="21"/>
          <w:u w:val="single"/>
          <w:lang w:eastAsia="zh-CN"/>
        </w:rPr>
        <w:t>特殊附件：</w:t>
      </w:r>
      <w:r>
        <w:rPr>
          <w:rFonts w:ascii="Arial" w:hAnsi="Arial" w:eastAsia="宋体" w:cs="Arial"/>
          <w:sz w:val="21"/>
          <w:szCs w:val="21"/>
          <w:lang w:eastAsia="zh-CN"/>
        </w:rPr>
        <w:t>说明应描述任何必需或推荐的特殊清洁、灭菌或消毒附件（例如特殊工具、托盘、试验工具包、特定类型的灭菌包装或容器、保护性护盖等）。</w:t>
      </w:r>
    </w:p>
    <w:p w14:paraId="2A75D2FF">
      <w:pPr>
        <w:pStyle w:val="16"/>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p>
    <w:p w14:paraId="56F4FCDA">
      <w:pPr>
        <w:pStyle w:val="16"/>
        <w:numPr>
          <w:ilvl w:val="1"/>
          <w:numId w:val="5"/>
        </w:numPr>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r>
        <w:rPr>
          <w:rFonts w:hint="eastAsia" w:ascii="Arial" w:hAnsi="Arial" w:eastAsia="宋体" w:cs="Arial"/>
          <w:sz w:val="21"/>
          <w:szCs w:val="21"/>
          <w:u w:val="single"/>
          <w:lang w:eastAsia="zh-CN"/>
        </w:rPr>
        <w:t>特殊的预加工处理：</w:t>
      </w:r>
      <w:r>
        <w:rPr>
          <w:rFonts w:ascii="Arial" w:hAnsi="Arial" w:eastAsia="宋体" w:cs="Arial"/>
          <w:sz w:val="21"/>
          <w:szCs w:val="21"/>
          <w:lang w:eastAsia="zh-CN"/>
        </w:rPr>
        <w:t>应根据需要描述特殊的预加工处理要求（例如，对于被蛋白质物质污染的物品，在清洁之前防止干燥将有助于清洁）。</w:t>
      </w:r>
    </w:p>
    <w:p w14:paraId="06662C59">
      <w:pPr>
        <w:pStyle w:val="16"/>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p>
    <w:p w14:paraId="52C2369B">
      <w:pPr>
        <w:pStyle w:val="16"/>
        <w:numPr>
          <w:ilvl w:val="1"/>
          <w:numId w:val="5"/>
        </w:numPr>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r>
        <w:rPr>
          <w:rFonts w:hint="eastAsia" w:ascii="Arial" w:hAnsi="Arial" w:eastAsia="宋体" w:cs="Arial"/>
          <w:sz w:val="21"/>
          <w:szCs w:val="21"/>
          <w:u w:val="single"/>
          <w:lang w:eastAsia="zh-CN"/>
        </w:rPr>
        <w:t>拆卸</w:t>
      </w:r>
      <w:r>
        <w:rPr>
          <w:rFonts w:ascii="Arial" w:hAnsi="Arial" w:eastAsia="宋体" w:cs="Arial"/>
          <w:sz w:val="21"/>
          <w:szCs w:val="21"/>
          <w:u w:val="single"/>
          <w:lang w:eastAsia="zh-CN"/>
        </w:rPr>
        <w:t>/重新组装：</w:t>
      </w:r>
      <w:r>
        <w:rPr>
          <w:rFonts w:ascii="Arial" w:hAnsi="Arial" w:eastAsia="宋体" w:cs="Arial"/>
          <w:sz w:val="21"/>
          <w:szCs w:val="21"/>
          <w:lang w:eastAsia="zh-CN"/>
        </w:rPr>
        <w:t>如果器械由多个可拆卸部件组成，则必须提供拆卸/重新组装说明。</w:t>
      </w:r>
    </w:p>
    <w:p w14:paraId="2C444076">
      <w:pPr>
        <w:pStyle w:val="16"/>
        <w:snapToGrid w:val="0"/>
        <w:spacing w:line="300" w:lineRule="auto"/>
        <w:ind w:left="1008" w:hanging="644"/>
        <w:jc w:val="both"/>
        <w:rPr>
          <w:rFonts w:ascii="Arial" w:hAnsi="Arial" w:eastAsia="宋体" w:cs="Arial"/>
          <w:sz w:val="21"/>
          <w:szCs w:val="21"/>
          <w:lang w:eastAsia="zh-CN"/>
        </w:rPr>
      </w:pPr>
    </w:p>
    <w:p w14:paraId="608F5B84">
      <w:pPr>
        <w:pStyle w:val="16"/>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p>
    <w:p w14:paraId="00EA2B59">
      <w:pPr>
        <w:rPr>
          <w:rFonts w:ascii="Arial" w:hAnsi="Arial" w:eastAsia="宋体" w:cs="Arial"/>
          <w:sz w:val="21"/>
          <w:szCs w:val="21"/>
          <w:lang w:eastAsia="zh-CN"/>
        </w:rPr>
      </w:pPr>
      <w:r>
        <w:rPr>
          <w:rFonts w:ascii="Arial" w:hAnsi="Arial" w:eastAsia="宋体" w:cs="Arial"/>
          <w:sz w:val="21"/>
          <w:szCs w:val="21"/>
          <w:lang w:eastAsia="zh-CN"/>
        </w:rPr>
        <w:br w:type="page"/>
      </w:r>
    </w:p>
    <w:p w14:paraId="3E2A890E">
      <w:pPr>
        <w:pStyle w:val="16"/>
        <w:numPr>
          <w:ilvl w:val="1"/>
          <w:numId w:val="5"/>
        </w:numPr>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r>
        <w:rPr>
          <w:rFonts w:ascii="Arial" w:hAnsi="Arial" w:eastAsia="宋体" w:cs="Arial"/>
          <w:sz w:val="21"/>
          <w:szCs w:val="21"/>
          <w:u w:val="single"/>
          <w:lang w:eastAsia="zh-CN"/>
        </w:rPr>
        <w:t>清洁方法：</w:t>
      </w:r>
      <w:r>
        <w:rPr>
          <w:rFonts w:ascii="Arial" w:hAnsi="Arial" w:eastAsia="宋体" w:cs="Arial"/>
          <w:sz w:val="21"/>
          <w:szCs w:val="21"/>
          <w:lang w:eastAsia="zh-CN"/>
        </w:rPr>
        <w:t>标签应该推荐一种清洁方法。所列方法可以是手动或机动方法（例如洗涤器、洗涤器/消毒器，超声波洗涤器等）。</w:t>
      </w:r>
    </w:p>
    <w:p w14:paraId="28F7E40B">
      <w:pPr>
        <w:pStyle w:val="16"/>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p>
    <w:p w14:paraId="28E12DB7">
      <w:pPr>
        <w:pStyle w:val="16"/>
        <w:tabs>
          <w:tab w:val="left" w:pos="3486"/>
          <w:tab w:val="left" w:pos="4195"/>
          <w:tab w:val="left" w:pos="4895"/>
          <w:tab w:val="left" w:pos="7135"/>
        </w:tabs>
        <w:snapToGrid w:val="0"/>
        <w:spacing w:line="300" w:lineRule="auto"/>
        <w:ind w:left="1008"/>
        <w:jc w:val="both"/>
        <w:rPr>
          <w:rFonts w:ascii="Arial" w:hAnsi="Arial" w:eastAsia="宋体" w:cs="Arial"/>
          <w:sz w:val="21"/>
          <w:szCs w:val="21"/>
          <w:lang w:eastAsia="zh-CN"/>
        </w:rPr>
      </w:pPr>
      <w:r>
        <w:rPr>
          <w:rFonts w:ascii="Arial" w:hAnsi="Arial" w:eastAsia="宋体" w:cs="Arial"/>
          <w:sz w:val="21"/>
          <w:szCs w:val="21"/>
          <w:lang w:eastAsia="zh-CN"/>
        </w:rPr>
        <w:t>【清洁认证应确定清洁参数，且标签应描述要求（例如，水质、温度时间等）。如果没有指定清洁方法，则制造商必须认证常规清洁方法的代表性样本。】</w:t>
      </w:r>
    </w:p>
    <w:p w14:paraId="598A2593">
      <w:pPr>
        <w:pStyle w:val="16"/>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p>
    <w:p w14:paraId="24C586F0">
      <w:pPr>
        <w:pStyle w:val="16"/>
        <w:numPr>
          <w:ilvl w:val="1"/>
          <w:numId w:val="5"/>
        </w:numPr>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r>
        <w:rPr>
          <w:rFonts w:ascii="Arial" w:hAnsi="Arial" w:eastAsia="宋体" w:cs="Arial"/>
          <w:sz w:val="21"/>
          <w:szCs w:val="21"/>
          <w:u w:val="single"/>
          <w:lang w:eastAsia="zh-CN"/>
        </w:rPr>
        <w:t>清洁/润滑剂：</w:t>
      </w:r>
      <w:r>
        <w:rPr>
          <w:rFonts w:ascii="Arial" w:hAnsi="Arial" w:eastAsia="宋体" w:cs="Arial"/>
          <w:sz w:val="21"/>
          <w:szCs w:val="21"/>
          <w:lang w:eastAsia="zh-CN"/>
        </w:rPr>
        <w:t>说明应推荐相容的清洁和润滑剂或一类试剂（如阴离子洗涤剂、洗涤剂/消毒剂、酶洗涤剂、水溶性润滑剂等）。可重复使用器械的标签应参考清洁和润滑剂标签，以便准备和使用这些试剂的说明。</w:t>
      </w:r>
    </w:p>
    <w:p w14:paraId="7EEF14C6">
      <w:pPr>
        <w:pStyle w:val="16"/>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p>
    <w:p w14:paraId="08390DEB">
      <w:pPr>
        <w:pStyle w:val="16"/>
        <w:tabs>
          <w:tab w:val="left" w:pos="3486"/>
          <w:tab w:val="left" w:pos="4195"/>
          <w:tab w:val="left" w:pos="4895"/>
          <w:tab w:val="left" w:pos="7135"/>
        </w:tabs>
        <w:snapToGrid w:val="0"/>
        <w:spacing w:line="300" w:lineRule="auto"/>
        <w:ind w:left="1008"/>
        <w:jc w:val="both"/>
        <w:rPr>
          <w:rFonts w:ascii="Arial" w:hAnsi="Arial" w:eastAsia="宋体" w:cs="Arial"/>
          <w:sz w:val="21"/>
          <w:szCs w:val="21"/>
          <w:lang w:eastAsia="zh-CN"/>
        </w:rPr>
      </w:pPr>
      <w:r>
        <w:rPr>
          <w:rFonts w:ascii="Arial" w:hAnsi="Arial" w:eastAsia="宋体" w:cs="Arial"/>
          <w:sz w:val="21"/>
          <w:szCs w:val="21"/>
          <w:lang w:eastAsia="zh-CN"/>
        </w:rPr>
        <w:t>【如果没有确定特定试剂或试剂类别，则清洁认证应提供常用产品的代表性样本。</w:t>
      </w:r>
    </w:p>
    <w:p w14:paraId="74497860">
      <w:pPr>
        <w:pStyle w:val="16"/>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p>
    <w:p w14:paraId="78E266CC">
      <w:pPr>
        <w:pStyle w:val="16"/>
        <w:tabs>
          <w:tab w:val="left" w:pos="3486"/>
          <w:tab w:val="left" w:pos="4195"/>
          <w:tab w:val="left" w:pos="4895"/>
          <w:tab w:val="left" w:pos="7135"/>
        </w:tabs>
        <w:snapToGrid w:val="0"/>
        <w:spacing w:line="300" w:lineRule="auto"/>
        <w:ind w:left="1008"/>
        <w:jc w:val="both"/>
        <w:rPr>
          <w:rFonts w:ascii="Arial" w:hAnsi="Arial" w:eastAsia="宋体" w:cs="Arial"/>
          <w:sz w:val="21"/>
          <w:szCs w:val="21"/>
          <w:lang w:eastAsia="zh-CN"/>
        </w:rPr>
      </w:pPr>
      <w:r>
        <w:rPr>
          <w:rFonts w:ascii="Arial" w:hAnsi="Arial" w:eastAsia="宋体" w:cs="Arial"/>
          <w:sz w:val="21"/>
          <w:szCs w:val="21"/>
          <w:lang w:eastAsia="zh-CN"/>
        </w:rPr>
        <w:t>使用清洁和润滑剂时，认证试验可能会确定需要提供附加说明。如果附加说明对清洁/润滑剂的预期用途或使用条件（例如，过程时间、温度、材料相容性等的变化）有着显著影响，则制造商必须认证此类试剂在改良使用条件下的安全性和有效性。】</w:t>
      </w:r>
    </w:p>
    <w:p w14:paraId="1C2B4D1F">
      <w:pPr>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rPr>
      </w:pPr>
    </w:p>
    <w:p w14:paraId="3B61BBE1">
      <w:pPr>
        <w:pStyle w:val="16"/>
        <w:numPr>
          <w:ilvl w:val="1"/>
          <w:numId w:val="5"/>
        </w:numPr>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r>
        <w:rPr>
          <w:rFonts w:ascii="Arial" w:hAnsi="Arial" w:eastAsia="宋体" w:cs="Arial"/>
          <w:sz w:val="21"/>
          <w:szCs w:val="21"/>
          <w:lang w:eastAsia="zh-CN"/>
        </w:rPr>
        <w:t>冲洗：建议提供清洁以及任何液体化学品消毒或灭菌后进行充分冲洗的特定说明，其中应包括冲洗水的类型和质量、体积和冲洗的持续时间。冲洗可能是手动冲洗或机动冲洗。如果清洁消毒/灭菌产品标签中的冲洗说明足够充分，则可重复使用器械标签可以参考这些说明。</w:t>
      </w:r>
    </w:p>
    <w:p w14:paraId="4AB377FF">
      <w:pPr>
        <w:pStyle w:val="16"/>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p>
    <w:p w14:paraId="6BAA1DEF">
      <w:pPr>
        <w:pStyle w:val="16"/>
        <w:tabs>
          <w:tab w:val="left" w:pos="3486"/>
          <w:tab w:val="left" w:pos="4195"/>
          <w:tab w:val="left" w:pos="4895"/>
          <w:tab w:val="left" w:pos="7135"/>
        </w:tabs>
        <w:snapToGrid w:val="0"/>
        <w:spacing w:line="300" w:lineRule="auto"/>
        <w:ind w:left="1008"/>
        <w:jc w:val="both"/>
        <w:rPr>
          <w:rFonts w:ascii="Arial" w:hAnsi="Arial" w:eastAsia="宋体" w:cs="Arial"/>
          <w:sz w:val="21"/>
          <w:szCs w:val="21"/>
          <w:lang w:eastAsia="zh-CN"/>
        </w:rPr>
      </w:pPr>
      <w:r>
        <w:rPr>
          <w:rFonts w:ascii="Arial" w:hAnsi="Arial" w:eastAsia="宋体" w:cs="Arial"/>
          <w:sz w:val="21"/>
          <w:szCs w:val="21"/>
          <w:lang w:eastAsia="zh-CN"/>
        </w:rPr>
        <w:t>【冲洗说明必须经过认证，以证明残留的清洁剂已被降低至不会影响后续再加工步骤的水平，且液体杀菌剂已被降低至无毒水平。】</w:t>
      </w:r>
    </w:p>
    <w:p w14:paraId="4C859461">
      <w:pPr>
        <w:pStyle w:val="5"/>
        <w:tabs>
          <w:tab w:val="left" w:pos="8536"/>
        </w:tabs>
        <w:snapToGrid w:val="0"/>
        <w:spacing w:line="300" w:lineRule="auto"/>
        <w:ind w:left="1008" w:hanging="644"/>
        <w:jc w:val="both"/>
        <w:rPr>
          <w:rFonts w:ascii="Arial" w:hAnsi="Arial" w:eastAsia="宋体" w:cs="Arial"/>
          <w:w w:val="80"/>
          <w:sz w:val="21"/>
          <w:szCs w:val="21"/>
        </w:rPr>
      </w:pPr>
    </w:p>
    <w:p w14:paraId="177C8A4B">
      <w:pPr>
        <w:rPr>
          <w:rFonts w:ascii="Arial" w:hAnsi="Arial" w:eastAsia="宋体" w:cs="Arial"/>
          <w:sz w:val="21"/>
          <w:szCs w:val="21"/>
          <w:lang w:eastAsia="zh-CN"/>
        </w:rPr>
      </w:pPr>
      <w:r>
        <w:rPr>
          <w:rFonts w:ascii="Arial" w:hAnsi="Arial" w:eastAsia="宋体" w:cs="Arial"/>
          <w:sz w:val="21"/>
          <w:szCs w:val="21"/>
          <w:lang w:eastAsia="zh-CN"/>
        </w:rPr>
        <w:br w:type="page"/>
      </w:r>
    </w:p>
    <w:p w14:paraId="71C1C962">
      <w:pPr>
        <w:pStyle w:val="16"/>
        <w:numPr>
          <w:ilvl w:val="1"/>
          <w:numId w:val="5"/>
        </w:numPr>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r>
        <w:rPr>
          <w:rFonts w:ascii="Arial" w:hAnsi="Arial" w:eastAsia="宋体" w:cs="Arial"/>
          <w:sz w:val="21"/>
          <w:szCs w:val="21"/>
          <w:lang w:eastAsia="zh-CN"/>
        </w:rPr>
        <w:t>消毒或灭菌方法：在适用的情况下，标签应至少指定一种用于消毒或灭菌的认证方法，包括具体参数（例如循环参数，通风，（如果适用）特定液体化学杀菌剂，灭菌器中器械的定向或定位等等）。如果标签列出了一般类型的灭菌或消毒过程，例如，蒸汽灭菌，但未提供有关循环参数的具体信息，那么申请人必须认证所列通用方法的所有形式。</w:t>
      </w:r>
    </w:p>
    <w:p w14:paraId="19D592F7">
      <w:pPr>
        <w:pStyle w:val="16"/>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p>
    <w:p w14:paraId="3F443442">
      <w:pPr>
        <w:pStyle w:val="16"/>
        <w:tabs>
          <w:tab w:val="left" w:pos="3486"/>
          <w:tab w:val="left" w:pos="4195"/>
          <w:tab w:val="left" w:pos="4895"/>
          <w:tab w:val="left" w:pos="7135"/>
        </w:tabs>
        <w:snapToGrid w:val="0"/>
        <w:spacing w:line="300" w:lineRule="auto"/>
        <w:ind w:left="1008"/>
        <w:jc w:val="both"/>
        <w:rPr>
          <w:rFonts w:ascii="Arial" w:hAnsi="Arial" w:eastAsia="宋体" w:cs="Arial"/>
          <w:sz w:val="21"/>
          <w:szCs w:val="21"/>
          <w:lang w:eastAsia="zh-CN"/>
        </w:rPr>
      </w:pPr>
      <w:r>
        <w:rPr>
          <w:rFonts w:ascii="Arial" w:hAnsi="Arial" w:eastAsia="宋体" w:cs="Arial"/>
          <w:sz w:val="21"/>
          <w:szCs w:val="21"/>
          <w:lang w:eastAsia="zh-CN"/>
        </w:rPr>
        <w:t>【制造商必须对可重复使用器械进行护理，以确保标签中列出的灭菌过程可安全且有效地用于其特定器械。杀菌方法不可互换。每种类型的过程都有其优点和限制。例如，不耐热器械必须通过非热能过程（例如蒸气、气体/等离子体或液体化学消毒剂）进行灭菌。器械可能需要特定的蒸汽灭菌模式。某些方法较为复杂（例如，环氧乙烷），且必须提供具体说明。】</w:t>
      </w:r>
    </w:p>
    <w:p w14:paraId="756DEA94">
      <w:pPr>
        <w:pStyle w:val="16"/>
        <w:snapToGrid w:val="0"/>
        <w:spacing w:line="300" w:lineRule="auto"/>
        <w:ind w:left="1008" w:hanging="644"/>
        <w:jc w:val="both"/>
        <w:rPr>
          <w:rFonts w:ascii="Arial" w:hAnsi="Arial" w:eastAsia="宋体" w:cs="Arial"/>
          <w:sz w:val="21"/>
          <w:szCs w:val="21"/>
          <w:lang w:eastAsia="zh-CN"/>
        </w:rPr>
      </w:pPr>
    </w:p>
    <w:p w14:paraId="4D53D0EB">
      <w:pPr>
        <w:pStyle w:val="16"/>
        <w:numPr>
          <w:ilvl w:val="1"/>
          <w:numId w:val="5"/>
        </w:numPr>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r>
        <w:rPr>
          <w:rFonts w:ascii="Arial" w:hAnsi="Arial" w:eastAsia="宋体" w:cs="Arial"/>
          <w:sz w:val="21"/>
          <w:szCs w:val="21"/>
          <w:lang w:eastAsia="zh-CN"/>
        </w:rPr>
        <w:t>特殊加工后处理：应根据需要推荐特殊的加工后程序，以便在重新使用前消除或尽量减少再污染。如果标签推荐使用环氧乙烷灭菌，则必须提供推荐的加工后通风时间。</w:t>
      </w:r>
    </w:p>
    <w:p w14:paraId="0693795F">
      <w:pPr>
        <w:pStyle w:val="16"/>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p>
    <w:p w14:paraId="62BFBD9F">
      <w:pPr>
        <w:pStyle w:val="16"/>
        <w:numPr>
          <w:ilvl w:val="1"/>
          <w:numId w:val="5"/>
        </w:numPr>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r>
        <w:rPr>
          <w:rFonts w:ascii="Arial" w:hAnsi="Arial" w:eastAsia="宋体" w:cs="Arial"/>
          <w:sz w:val="21"/>
          <w:szCs w:val="21"/>
          <w:lang w:eastAsia="zh-CN"/>
        </w:rPr>
        <w:t>重复使用寿命：标签应该根据试验告知用户产品可以重复使用的次数，或提供一种机制来确定器械是否仍在规格范围内。例如，可重复使用器械的标签（1）应规定重复使用的最大次数，并提供了跟踪方法，例如为可重复使用手术衣提供的织物网格，（2）确定在重新使用之前必须通过的性能试验，或设置自动预检功能，或（3）说明不可接受的恶化，如腐蚀、褪色等。</w:t>
      </w:r>
    </w:p>
    <w:p w14:paraId="392246DA">
      <w:pPr>
        <w:pStyle w:val="16"/>
        <w:snapToGrid w:val="0"/>
        <w:spacing w:line="300" w:lineRule="auto"/>
        <w:ind w:left="1008" w:hanging="644"/>
        <w:jc w:val="both"/>
        <w:rPr>
          <w:rFonts w:ascii="Arial" w:hAnsi="Arial" w:eastAsia="宋体" w:cs="Arial"/>
          <w:sz w:val="21"/>
          <w:szCs w:val="21"/>
          <w:lang w:eastAsia="zh-CN"/>
        </w:rPr>
      </w:pPr>
    </w:p>
    <w:p w14:paraId="3602FCC8">
      <w:pPr>
        <w:pStyle w:val="16"/>
        <w:numPr>
          <w:ilvl w:val="1"/>
          <w:numId w:val="5"/>
        </w:numPr>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r>
        <w:rPr>
          <w:rFonts w:ascii="Arial" w:hAnsi="Arial" w:eastAsia="宋体" w:cs="Arial"/>
          <w:sz w:val="21"/>
          <w:szCs w:val="21"/>
          <w:lang w:eastAsia="zh-CN"/>
        </w:rPr>
        <w:t>特殊警告和注意事项：当需要时，应描述有关再加工程序的特殊警告或注意事项。这些可能与用户安全有关，或强调可能显著影响再加工的有效性或器械性能的条件，</w:t>
      </w:r>
    </w:p>
    <w:p w14:paraId="68E1A195">
      <w:pPr>
        <w:pStyle w:val="16"/>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p>
    <w:p w14:paraId="193EFF9B">
      <w:pPr>
        <w:rPr>
          <w:rFonts w:ascii="Arial" w:hAnsi="Arial" w:eastAsia="宋体" w:cs="Arial"/>
          <w:sz w:val="21"/>
          <w:szCs w:val="21"/>
          <w:lang w:eastAsia="zh-CN"/>
        </w:rPr>
      </w:pPr>
      <w:r>
        <w:rPr>
          <w:rFonts w:ascii="Arial" w:hAnsi="Arial" w:eastAsia="宋体" w:cs="Arial"/>
          <w:sz w:val="21"/>
          <w:szCs w:val="21"/>
          <w:lang w:eastAsia="zh-CN"/>
        </w:rPr>
        <w:br w:type="page"/>
      </w:r>
    </w:p>
    <w:p w14:paraId="22E54DC6">
      <w:pPr>
        <w:pStyle w:val="16"/>
        <w:numPr>
          <w:ilvl w:val="1"/>
          <w:numId w:val="5"/>
        </w:numPr>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r>
        <w:rPr>
          <w:rFonts w:ascii="Arial" w:hAnsi="Arial" w:eastAsia="宋体" w:cs="Arial"/>
          <w:sz w:val="21"/>
          <w:szCs w:val="21"/>
          <w:lang w:eastAsia="zh-CN"/>
        </w:rPr>
        <w:t>外行使用：旨在由患者或卫生保健员维护的器械必须具有外行人员可以理解并且可在家中完成的再加工说明。如果存在缺陷，ODE审评员应指示制造商从小型制造商协助司获得关于家用标签的FDA指南。</w:t>
      </w:r>
    </w:p>
    <w:p w14:paraId="353CB55D">
      <w:pPr>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p>
    <w:p w14:paraId="02A46196">
      <w:pPr>
        <w:pStyle w:val="16"/>
        <w:numPr>
          <w:ilvl w:val="1"/>
          <w:numId w:val="5"/>
        </w:numPr>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r>
        <w:rPr>
          <w:rFonts w:hint="eastAsia" w:ascii="Arial" w:hAnsi="Arial" w:eastAsia="宋体" w:cs="Arial"/>
          <w:sz w:val="21"/>
          <w:szCs w:val="21"/>
          <w:u w:val="single"/>
          <w:lang w:eastAsia="zh-CN"/>
        </w:rPr>
        <w:t>参考</w:t>
      </w:r>
      <w:r>
        <w:rPr>
          <w:rFonts w:ascii="Arial" w:hAnsi="Arial" w:eastAsia="宋体" w:cs="Arial"/>
          <w:sz w:val="21"/>
          <w:szCs w:val="21"/>
          <w:u w:val="single"/>
          <w:lang w:eastAsia="zh-CN"/>
        </w:rPr>
        <w:t>指导性文件</w:t>
      </w:r>
      <w:r>
        <w:rPr>
          <w:rFonts w:hint="eastAsia" w:ascii="Arial" w:hAnsi="Arial" w:eastAsia="宋体" w:cs="Arial"/>
          <w:sz w:val="21"/>
          <w:szCs w:val="21"/>
          <w:u w:val="single"/>
          <w:lang w:eastAsia="zh-CN"/>
        </w:rPr>
        <w:t>或附件器械的标签：</w:t>
      </w:r>
      <w:r>
        <w:rPr>
          <w:rFonts w:ascii="Arial" w:hAnsi="Arial" w:eastAsia="宋体" w:cs="Arial"/>
          <w:sz w:val="21"/>
          <w:szCs w:val="21"/>
          <w:lang w:eastAsia="zh-CN"/>
        </w:rPr>
        <w:t>器械标签可以参考专业实践/指南或用于再加工（例如，洗涤器、洗涤器/消毒器、自动内窥镜再加工器）的附件器械的标签。</w:t>
      </w:r>
    </w:p>
    <w:p w14:paraId="5B05E337">
      <w:pPr>
        <w:pStyle w:val="16"/>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p>
    <w:p w14:paraId="3B340707">
      <w:pPr>
        <w:pStyle w:val="16"/>
        <w:tabs>
          <w:tab w:val="left" w:pos="3486"/>
          <w:tab w:val="left" w:pos="4195"/>
          <w:tab w:val="left" w:pos="4895"/>
          <w:tab w:val="left" w:pos="7135"/>
        </w:tabs>
        <w:snapToGrid w:val="0"/>
        <w:spacing w:line="300" w:lineRule="auto"/>
        <w:ind w:left="1008"/>
        <w:jc w:val="both"/>
        <w:rPr>
          <w:rFonts w:ascii="Arial" w:hAnsi="Arial" w:eastAsia="宋体" w:cs="Arial"/>
          <w:sz w:val="21"/>
          <w:szCs w:val="21"/>
          <w:lang w:eastAsia="zh-CN"/>
        </w:rPr>
      </w:pPr>
      <w:r>
        <w:rPr>
          <w:rFonts w:ascii="Arial" w:hAnsi="Arial" w:eastAsia="宋体" w:cs="Arial"/>
          <w:sz w:val="21"/>
          <w:szCs w:val="21"/>
          <w:lang w:eastAsia="zh-CN"/>
        </w:rPr>
        <w:t>例如，对手术室护士协会、疾病预防控制中心、感染控制中心执业医师协会等的指南的参考可以代替等同说明。但制造商仍然必须确认此类说明，不管说明的来源如何。</w:t>
      </w:r>
    </w:p>
    <w:p w14:paraId="188991C2">
      <w:pPr>
        <w:pStyle w:val="16"/>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p>
    <w:p w14:paraId="5ADFFB0D">
      <w:pPr>
        <w:pStyle w:val="16"/>
        <w:tabs>
          <w:tab w:val="left" w:pos="3486"/>
          <w:tab w:val="left" w:pos="4195"/>
          <w:tab w:val="left" w:pos="4895"/>
          <w:tab w:val="left" w:pos="7135"/>
        </w:tabs>
        <w:snapToGrid w:val="0"/>
        <w:spacing w:line="300" w:lineRule="auto"/>
        <w:ind w:left="1008"/>
        <w:jc w:val="both"/>
        <w:rPr>
          <w:rFonts w:ascii="Arial" w:hAnsi="Arial" w:eastAsia="宋体" w:cs="Arial"/>
          <w:sz w:val="21"/>
          <w:szCs w:val="21"/>
          <w:lang w:eastAsia="zh-CN"/>
        </w:rPr>
      </w:pPr>
      <w:r>
        <w:rPr>
          <w:rFonts w:ascii="Arial" w:hAnsi="Arial" w:eastAsia="宋体" w:cs="Arial"/>
          <w:sz w:val="21"/>
          <w:szCs w:val="21"/>
          <w:lang w:eastAsia="zh-CN"/>
        </w:rPr>
        <w:t>只要标签声明一致并互相补充，可参考再加工中使用的其他器械的标签。例如，用于内窥镜的标签可以就有关内窥镜再加工（例如，置于室内）的某些详细信息部分参考内窥镜洗涤器的标签。</w:t>
      </w:r>
    </w:p>
    <w:p w14:paraId="784A59EE">
      <w:pPr>
        <w:pStyle w:val="16"/>
        <w:snapToGrid w:val="0"/>
        <w:spacing w:line="300" w:lineRule="auto"/>
        <w:ind w:left="1008" w:hanging="644"/>
        <w:jc w:val="both"/>
        <w:rPr>
          <w:rFonts w:ascii="Arial" w:hAnsi="Arial" w:eastAsia="宋体" w:cs="Arial"/>
          <w:sz w:val="21"/>
          <w:szCs w:val="21"/>
          <w:lang w:eastAsia="zh-CN"/>
        </w:rPr>
      </w:pPr>
    </w:p>
    <w:p w14:paraId="6D9BD97F">
      <w:pPr>
        <w:pStyle w:val="16"/>
        <w:numPr>
          <w:ilvl w:val="1"/>
          <w:numId w:val="5"/>
        </w:numPr>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r>
        <w:rPr>
          <w:rFonts w:ascii="Arial" w:hAnsi="Arial" w:eastAsia="宋体" w:cs="Arial"/>
          <w:sz w:val="21"/>
          <w:szCs w:val="21"/>
          <w:lang w:eastAsia="zh-CN"/>
        </w:rPr>
        <w:t>请求信息的电话号码：说明应提供用于获取有关器械其他信息的电话号码，包括有关感染控制程序的问题。</w:t>
      </w:r>
    </w:p>
    <w:p w14:paraId="57CBC330">
      <w:pPr>
        <w:pStyle w:val="16"/>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p>
    <w:p w14:paraId="507ABD69">
      <w:pPr>
        <w:pStyle w:val="16"/>
        <w:numPr>
          <w:ilvl w:val="1"/>
          <w:numId w:val="5"/>
        </w:numPr>
        <w:tabs>
          <w:tab w:val="left" w:pos="3486"/>
          <w:tab w:val="left" w:pos="4195"/>
          <w:tab w:val="left" w:pos="4895"/>
          <w:tab w:val="left" w:pos="7135"/>
        </w:tabs>
        <w:snapToGrid w:val="0"/>
        <w:spacing w:line="300" w:lineRule="auto"/>
        <w:ind w:left="1008" w:hanging="644"/>
        <w:jc w:val="both"/>
        <w:rPr>
          <w:rFonts w:ascii="Arial" w:hAnsi="Arial" w:eastAsia="宋体" w:cs="Arial"/>
          <w:sz w:val="21"/>
          <w:szCs w:val="21"/>
          <w:lang w:eastAsia="zh-CN"/>
        </w:rPr>
      </w:pPr>
      <w:r>
        <w:rPr>
          <w:rFonts w:ascii="Arial" w:hAnsi="Arial" w:eastAsia="宋体" w:cs="Arial"/>
          <w:sz w:val="21"/>
          <w:szCs w:val="21"/>
          <w:lang w:eastAsia="zh-CN"/>
        </w:rPr>
        <w:t>关于用户需要对推荐方法的偏离进行认证的声明：标签可能会建议用户有责任认证推荐加工方法的任何偏离，且如果存在偏离，可以声明适当的免责声明</w:t>
      </w:r>
    </w:p>
    <w:p w14:paraId="24A66189">
      <w:pPr>
        <w:pStyle w:val="16"/>
        <w:tabs>
          <w:tab w:val="left" w:pos="4195"/>
          <w:tab w:val="left" w:pos="4895"/>
          <w:tab w:val="left" w:pos="7135"/>
        </w:tabs>
        <w:snapToGrid w:val="0"/>
        <w:spacing w:line="300" w:lineRule="auto"/>
        <w:ind w:left="2762"/>
        <w:jc w:val="both"/>
        <w:rPr>
          <w:rFonts w:ascii="Arial" w:hAnsi="Arial" w:eastAsia="宋体" w:cs="Arial"/>
          <w:sz w:val="21"/>
          <w:szCs w:val="21"/>
          <w:lang w:eastAsia="zh-CN"/>
        </w:rPr>
      </w:pPr>
    </w:p>
    <w:p w14:paraId="42F23A29">
      <w:pPr>
        <w:pStyle w:val="16"/>
        <w:numPr>
          <w:ilvl w:val="0"/>
          <w:numId w:val="4"/>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说明必须仅包括已合法上市的器械和附件。</w:t>
      </w:r>
    </w:p>
    <w:p w14:paraId="00E4999F">
      <w:pPr>
        <w:snapToGrid w:val="0"/>
        <w:spacing w:before="4" w:line="300" w:lineRule="auto"/>
        <w:jc w:val="both"/>
        <w:rPr>
          <w:rFonts w:ascii="Arial" w:hAnsi="Arial" w:eastAsia="宋体" w:cs="Arial"/>
          <w:sz w:val="21"/>
          <w:szCs w:val="21"/>
          <w:lang w:eastAsia="zh-CN"/>
        </w:rPr>
      </w:pPr>
    </w:p>
    <w:p w14:paraId="2BA123AD">
      <w:pPr>
        <w:rPr>
          <w:rFonts w:ascii="Arial" w:hAnsi="Arial" w:eastAsia="宋体" w:cs="Arial"/>
          <w:sz w:val="21"/>
          <w:szCs w:val="21"/>
          <w:lang w:eastAsia="zh-CN"/>
        </w:rPr>
      </w:pPr>
      <w:r>
        <w:rPr>
          <w:rFonts w:ascii="Arial" w:hAnsi="Arial" w:eastAsia="宋体" w:cs="Arial"/>
          <w:sz w:val="21"/>
          <w:szCs w:val="21"/>
          <w:lang w:eastAsia="zh-CN"/>
        </w:rPr>
        <w:br w:type="page"/>
      </w:r>
    </w:p>
    <w:p w14:paraId="5D127B88">
      <w:pPr>
        <w:tabs>
          <w:tab w:val="left" w:pos="1169"/>
        </w:tabs>
        <w:snapToGrid w:val="0"/>
        <w:spacing w:before="173" w:line="300" w:lineRule="auto"/>
        <w:ind w:left="482"/>
        <w:jc w:val="both"/>
        <w:rPr>
          <w:rFonts w:ascii="Arial" w:hAnsi="Arial" w:eastAsia="宋体" w:cs="Arial"/>
          <w:sz w:val="21"/>
          <w:szCs w:val="21"/>
          <w:lang w:eastAsia="zh-CN"/>
        </w:rPr>
      </w:pPr>
      <w:r>
        <w:rPr>
          <w:rFonts w:ascii="Arial" w:hAnsi="Arial" w:eastAsia="宋体" w:cs="Arial"/>
          <w:sz w:val="21"/>
          <w:szCs w:val="21"/>
          <w:lang w:eastAsia="zh-CN"/>
        </w:rPr>
        <w:t>用于再加工可重复使用器械的许多产品目前受FDA上市前许可管制。这些包括卫生保健机构中使用的所有灭菌器，以及旨在用于医疗器械的液体化学灭菌剂和消毒剂。作为通用产品，通用润滑剂、预浸泡剂、酶清洁剂、洗涤剂和玻璃器皿清洗机可免除上市前许可。</w:t>
      </w:r>
    </w:p>
    <w:p w14:paraId="019BC20E">
      <w:pPr>
        <w:tabs>
          <w:tab w:val="left" w:pos="1169"/>
        </w:tabs>
        <w:snapToGrid w:val="0"/>
        <w:spacing w:before="173" w:line="300" w:lineRule="auto"/>
        <w:ind w:left="483"/>
        <w:jc w:val="both"/>
        <w:rPr>
          <w:rFonts w:ascii="Arial" w:hAnsi="Arial" w:eastAsia="宋体" w:cs="Arial"/>
          <w:sz w:val="21"/>
          <w:szCs w:val="21"/>
          <w:lang w:eastAsia="zh-CN"/>
        </w:rPr>
      </w:pPr>
    </w:p>
    <w:p w14:paraId="2F806FFD">
      <w:pPr>
        <w:tabs>
          <w:tab w:val="left" w:pos="1169"/>
        </w:tabs>
        <w:snapToGrid w:val="0"/>
        <w:spacing w:before="173" w:line="300" w:lineRule="auto"/>
        <w:ind w:left="483"/>
        <w:jc w:val="both"/>
        <w:rPr>
          <w:rFonts w:ascii="Arial" w:hAnsi="Arial" w:eastAsia="宋体" w:cs="Arial"/>
          <w:sz w:val="21"/>
          <w:szCs w:val="21"/>
          <w:lang w:eastAsia="zh-CN"/>
        </w:rPr>
      </w:pPr>
      <w:r>
        <w:rPr>
          <w:rFonts w:ascii="Arial" w:hAnsi="Arial" w:eastAsia="宋体" w:cs="Arial"/>
          <w:sz w:val="21"/>
          <w:szCs w:val="21"/>
          <w:lang w:eastAsia="zh-CN"/>
        </w:rPr>
        <w:t>在本文件发布后45天内，在另行通知之前，感染控制器械科将确定和维持LAN文件，其中将列出合法上市的液体化学灭菌剂和高级消毒剂。许多中等水平和低水平消毒剂已获得许可。</w:t>
      </w:r>
    </w:p>
    <w:p w14:paraId="63C7235F">
      <w:pPr>
        <w:snapToGrid w:val="0"/>
        <w:spacing w:before="11" w:line="300" w:lineRule="auto"/>
        <w:jc w:val="both"/>
        <w:rPr>
          <w:rFonts w:ascii="Arial" w:hAnsi="Arial" w:eastAsia="宋体" w:cs="Arial"/>
          <w:b/>
          <w:bCs/>
          <w:sz w:val="21"/>
          <w:szCs w:val="21"/>
          <w:lang w:eastAsia="zh-CN"/>
        </w:rPr>
      </w:pPr>
    </w:p>
    <w:p w14:paraId="0458F848">
      <w:pPr>
        <w:pStyle w:val="16"/>
        <w:numPr>
          <w:ilvl w:val="0"/>
          <w:numId w:val="1"/>
        </w:numPr>
        <w:tabs>
          <w:tab w:val="left" w:pos="4476"/>
        </w:tabs>
        <w:snapToGrid w:val="0"/>
        <w:spacing w:line="300" w:lineRule="auto"/>
        <w:ind w:left="357" w:hanging="357"/>
        <w:jc w:val="both"/>
        <w:outlineLvl w:val="0"/>
        <w:rPr>
          <w:rFonts w:ascii="Arial" w:hAnsi="Arial" w:eastAsia="宋体" w:cs="Arial"/>
          <w:sz w:val="21"/>
          <w:szCs w:val="21"/>
          <w:lang w:eastAsia="zh-CN"/>
        </w:rPr>
      </w:pPr>
      <w:bookmarkStart w:id="5" w:name="_Toc484420980"/>
      <w:r>
        <w:rPr>
          <w:rFonts w:ascii="Arial" w:hAnsi="Arial" w:eastAsia="宋体" w:cs="Arial"/>
          <w:sz w:val="21"/>
          <w:szCs w:val="21"/>
          <w:lang w:eastAsia="zh-CN"/>
        </w:rPr>
        <w:t>比较器械标签</w:t>
      </w:r>
      <w:bookmarkEnd w:id="5"/>
    </w:p>
    <w:p w14:paraId="6FDB972C">
      <w:pPr>
        <w:snapToGrid w:val="0"/>
        <w:spacing w:before="9" w:line="300" w:lineRule="auto"/>
        <w:jc w:val="both"/>
        <w:rPr>
          <w:rFonts w:ascii="Arial" w:hAnsi="Arial" w:eastAsia="宋体" w:cs="Arial"/>
          <w:b/>
          <w:bCs/>
          <w:sz w:val="21"/>
          <w:szCs w:val="21"/>
        </w:rPr>
      </w:pPr>
    </w:p>
    <w:p w14:paraId="15FE163E">
      <w:pPr>
        <w:tabs>
          <w:tab w:val="left" w:pos="1169"/>
        </w:tabs>
        <w:snapToGrid w:val="0"/>
        <w:spacing w:before="173" w:line="300" w:lineRule="auto"/>
        <w:jc w:val="both"/>
        <w:rPr>
          <w:rFonts w:ascii="Arial" w:hAnsi="Arial" w:eastAsia="宋体" w:cs="Arial"/>
          <w:sz w:val="21"/>
          <w:szCs w:val="21"/>
          <w:lang w:eastAsia="zh-CN"/>
        </w:rPr>
      </w:pPr>
      <w:r>
        <w:rPr>
          <w:rFonts w:ascii="Arial" w:hAnsi="Arial" w:eastAsia="宋体" w:cs="Arial"/>
          <w:sz w:val="21"/>
          <w:szCs w:val="21"/>
          <w:lang w:eastAsia="zh-CN"/>
        </w:rPr>
        <w:t>当评价51O（k）时，ODE审评员将比较所声明的合法上市等同器械的标签与新器械的标签。审评员将确定差异并评价差异对等同性的影响。一些合法上市可重复使用器械的再加工说明可能与最先进的感染控制程序不一致，因此，审评员不一定依赖于在感染控制说明方面将比较标签作为新器械的模型。为了公众健康的利益，新器械的再加工说明必须与最先进的感染控制程序保持一致。</w:t>
      </w:r>
    </w:p>
    <w:p w14:paraId="3C5CBD96">
      <w:pPr>
        <w:tabs>
          <w:tab w:val="left" w:pos="1169"/>
        </w:tabs>
        <w:snapToGrid w:val="0"/>
        <w:spacing w:before="173" w:line="300" w:lineRule="auto"/>
        <w:jc w:val="both"/>
        <w:rPr>
          <w:rFonts w:ascii="Arial" w:hAnsi="Arial" w:eastAsia="宋体" w:cs="Arial"/>
          <w:sz w:val="21"/>
          <w:szCs w:val="21"/>
          <w:lang w:eastAsia="zh-CN"/>
        </w:rPr>
      </w:pPr>
      <w:r>
        <w:rPr>
          <w:rFonts w:ascii="Arial" w:hAnsi="Arial" w:eastAsia="宋体" w:cs="Arial"/>
          <w:sz w:val="21"/>
          <w:szCs w:val="21"/>
          <w:lang w:eastAsia="zh-CN"/>
        </w:rPr>
        <w:t>如果ODE审评员与其管理层一致认为，51O（k）申请人依赖于在感染控制问题方面可能属于公众健康问题的比较标签，则他/她应该：1）建议申请人按照本指南更新新器械标签；以及2）通过渠道向合规办公室主任发送备忘录，并通知OC比较器械的说明不足。如果申请人不同意推荐的标签更新，申请人应负责说明他们认为标签符合最先进的感染控制实践的理由并附有支持性文件记录。</w:t>
      </w:r>
    </w:p>
    <w:p w14:paraId="07957780">
      <w:pPr>
        <w:tabs>
          <w:tab w:val="left" w:pos="1169"/>
        </w:tabs>
        <w:snapToGrid w:val="0"/>
        <w:spacing w:before="173" w:line="300" w:lineRule="auto"/>
        <w:jc w:val="both"/>
        <w:rPr>
          <w:rFonts w:ascii="Arial" w:hAnsi="Arial" w:eastAsia="宋体" w:cs="Arial"/>
          <w:sz w:val="21"/>
          <w:szCs w:val="21"/>
          <w:lang w:eastAsia="zh-CN"/>
        </w:rPr>
      </w:pPr>
    </w:p>
    <w:p w14:paraId="7EC4C9B7">
      <w:pPr>
        <w:pStyle w:val="16"/>
        <w:numPr>
          <w:ilvl w:val="0"/>
          <w:numId w:val="1"/>
        </w:numPr>
        <w:tabs>
          <w:tab w:val="left" w:pos="4476"/>
        </w:tabs>
        <w:snapToGrid w:val="0"/>
        <w:spacing w:line="300" w:lineRule="auto"/>
        <w:ind w:left="357" w:hanging="357"/>
        <w:jc w:val="both"/>
        <w:outlineLvl w:val="0"/>
        <w:rPr>
          <w:rFonts w:ascii="Arial" w:hAnsi="Arial" w:eastAsia="宋体" w:cs="Arial"/>
          <w:sz w:val="21"/>
          <w:szCs w:val="21"/>
          <w:lang w:eastAsia="zh-CN"/>
        </w:rPr>
      </w:pPr>
      <w:bookmarkStart w:id="6" w:name="_Toc484420981"/>
      <w:r>
        <w:rPr>
          <w:rFonts w:ascii="Arial" w:hAnsi="Arial" w:eastAsia="宋体" w:cs="Arial"/>
          <w:sz w:val="21"/>
          <w:szCs w:val="21"/>
          <w:lang w:eastAsia="zh-CN"/>
        </w:rPr>
        <w:t>再加工说明确认的文件记录</w:t>
      </w:r>
      <w:bookmarkEnd w:id="6"/>
    </w:p>
    <w:p w14:paraId="57163E76">
      <w:pPr>
        <w:tabs>
          <w:tab w:val="left" w:pos="1169"/>
        </w:tabs>
        <w:snapToGrid w:val="0"/>
        <w:spacing w:before="173" w:line="300" w:lineRule="auto"/>
        <w:ind w:left="483"/>
        <w:jc w:val="both"/>
        <w:rPr>
          <w:rFonts w:ascii="Arial" w:hAnsi="Arial" w:eastAsia="宋体" w:cs="Arial"/>
          <w:sz w:val="21"/>
          <w:szCs w:val="21"/>
          <w:lang w:eastAsia="zh-CN"/>
        </w:rPr>
      </w:pPr>
    </w:p>
    <w:p w14:paraId="3BF4DBE1">
      <w:pPr>
        <w:tabs>
          <w:tab w:val="left" w:pos="1169"/>
        </w:tabs>
        <w:snapToGrid w:val="0"/>
        <w:spacing w:before="173" w:line="300" w:lineRule="auto"/>
        <w:jc w:val="both"/>
        <w:rPr>
          <w:rFonts w:ascii="Arial" w:hAnsi="Arial" w:eastAsia="宋体" w:cs="Arial"/>
          <w:sz w:val="21"/>
          <w:szCs w:val="21"/>
          <w:lang w:eastAsia="zh-CN"/>
        </w:rPr>
      </w:pPr>
      <w:r>
        <w:rPr>
          <w:rFonts w:ascii="Arial" w:hAnsi="Arial" w:eastAsia="宋体" w:cs="Arial"/>
          <w:sz w:val="21"/>
          <w:szCs w:val="21"/>
          <w:lang w:eastAsia="zh-CN"/>
        </w:rPr>
        <w:t>510（k）、PMA或IDE必须包含有关再加工说明确认的以下文件记录：</w:t>
      </w:r>
    </w:p>
    <w:p w14:paraId="5BC556C2">
      <w:pPr>
        <w:snapToGrid w:val="0"/>
        <w:spacing w:before="7" w:line="300" w:lineRule="auto"/>
        <w:jc w:val="both"/>
        <w:rPr>
          <w:rFonts w:ascii="Arial" w:hAnsi="Arial" w:eastAsia="宋体" w:cs="Arial"/>
          <w:b/>
          <w:bCs/>
          <w:sz w:val="21"/>
          <w:szCs w:val="21"/>
          <w:lang w:eastAsia="zh-CN"/>
        </w:rPr>
      </w:pPr>
    </w:p>
    <w:p w14:paraId="462FD04F">
      <w:pPr>
        <w:pStyle w:val="16"/>
        <w:numPr>
          <w:ilvl w:val="1"/>
          <w:numId w:val="6"/>
        </w:numPr>
        <w:tabs>
          <w:tab w:val="left" w:pos="1339"/>
        </w:tabs>
        <w:snapToGrid w:val="0"/>
        <w:spacing w:line="300" w:lineRule="auto"/>
        <w:ind w:left="475" w:hanging="474" w:hangingChars="226"/>
        <w:jc w:val="both"/>
        <w:rPr>
          <w:rFonts w:ascii="Arial" w:hAnsi="Arial" w:eastAsia="宋体" w:cs="Arial"/>
          <w:sz w:val="21"/>
          <w:szCs w:val="21"/>
          <w:lang w:eastAsia="zh-CN"/>
        </w:rPr>
      </w:pPr>
      <w:r>
        <w:rPr>
          <w:rFonts w:ascii="Arial" w:hAnsi="Arial" w:eastAsia="宋体" w:cs="Arial"/>
          <w:sz w:val="21"/>
          <w:szCs w:val="21"/>
          <w:lang w:eastAsia="zh-CN"/>
        </w:rPr>
        <w:t>510（k）必须提供关于确认状态的声明。</w:t>
      </w:r>
    </w:p>
    <w:p w14:paraId="58B2C460">
      <w:pPr>
        <w:pStyle w:val="16"/>
        <w:tabs>
          <w:tab w:val="left" w:pos="1339"/>
        </w:tabs>
        <w:snapToGrid w:val="0"/>
        <w:spacing w:line="300" w:lineRule="auto"/>
        <w:ind w:left="473" w:leftChars="215" w:firstLine="1"/>
        <w:jc w:val="both"/>
        <w:rPr>
          <w:rFonts w:ascii="Arial" w:hAnsi="Arial" w:eastAsia="宋体" w:cs="Arial"/>
          <w:sz w:val="21"/>
          <w:szCs w:val="21"/>
          <w:lang w:eastAsia="zh-CN"/>
        </w:rPr>
      </w:pPr>
      <w:r>
        <w:rPr>
          <w:rFonts w:ascii="Arial" w:hAnsi="Arial" w:eastAsia="宋体" w:cs="Arial"/>
          <w:sz w:val="21"/>
          <w:szCs w:val="21"/>
          <w:lang w:eastAsia="zh-CN"/>
        </w:rPr>
        <w:t>应在510（k）提供由申请人、其代理人或其他具有法律责任的个人就相关确认状态签字的声明。以下提供此类声明的两个示例，</w:t>
      </w:r>
    </w:p>
    <w:p w14:paraId="0F5164B2">
      <w:pPr>
        <w:pStyle w:val="16"/>
        <w:tabs>
          <w:tab w:val="left" w:pos="1339"/>
        </w:tabs>
        <w:snapToGrid w:val="0"/>
        <w:spacing w:line="300" w:lineRule="auto"/>
        <w:ind w:left="1343"/>
        <w:jc w:val="both"/>
        <w:rPr>
          <w:rFonts w:ascii="Arial" w:hAnsi="Arial" w:eastAsia="宋体" w:cs="Arial"/>
          <w:sz w:val="21"/>
          <w:szCs w:val="21"/>
          <w:lang w:eastAsia="zh-CN"/>
        </w:rPr>
      </w:pPr>
    </w:p>
    <w:p w14:paraId="775DA13A">
      <w:pPr>
        <w:rPr>
          <w:rFonts w:ascii="Arial" w:hAnsi="Arial" w:eastAsia="宋体" w:cs="Arial"/>
          <w:sz w:val="21"/>
          <w:szCs w:val="21"/>
          <w:lang w:eastAsia="zh-CN"/>
        </w:rPr>
      </w:pPr>
      <w:r>
        <w:rPr>
          <w:rFonts w:ascii="Arial" w:hAnsi="Arial" w:eastAsia="宋体" w:cs="Arial"/>
          <w:sz w:val="21"/>
          <w:szCs w:val="21"/>
          <w:lang w:eastAsia="zh-CN"/>
        </w:rPr>
        <w:br w:type="page"/>
      </w:r>
    </w:p>
    <w:p w14:paraId="7856A665">
      <w:pPr>
        <w:pStyle w:val="16"/>
        <w:tabs>
          <w:tab w:val="left" w:pos="1339"/>
        </w:tabs>
        <w:snapToGrid w:val="0"/>
        <w:spacing w:line="300" w:lineRule="auto"/>
        <w:ind w:left="1343"/>
        <w:jc w:val="both"/>
        <w:rPr>
          <w:rFonts w:ascii="Arial" w:hAnsi="Arial" w:eastAsia="宋体" w:cs="Arial"/>
          <w:sz w:val="21"/>
          <w:szCs w:val="21"/>
          <w:lang w:eastAsia="zh-CN"/>
        </w:rPr>
      </w:pPr>
      <w:r>
        <w:rPr>
          <w:rFonts w:ascii="Arial" w:hAnsi="Arial" w:eastAsia="宋体" w:cs="Arial"/>
          <w:sz w:val="21"/>
          <w:szCs w:val="21"/>
          <w:lang w:eastAsia="zh-CN"/>
        </w:rPr>
        <w:t>声明1可以为</w:t>
      </w:r>
      <w:r>
        <w:rPr>
          <w:rFonts w:hint="eastAsia" w:ascii="Arial" w:hAnsi="Arial" w:eastAsia="宋体" w:cs="Arial"/>
          <w:sz w:val="21"/>
          <w:szCs w:val="21"/>
          <w:u w:val="single"/>
          <w:lang w:eastAsia="zh-CN"/>
        </w:rPr>
        <w:t>已完成的确认</w:t>
      </w:r>
      <w:r>
        <w:rPr>
          <w:rFonts w:ascii="Arial" w:hAnsi="Arial" w:eastAsia="宋体" w:cs="Arial"/>
          <w:sz w:val="21"/>
          <w:szCs w:val="21"/>
          <w:lang w:eastAsia="zh-CN"/>
        </w:rPr>
        <w:t>提交，其中510（k）中的标签应基于认证试验的结果。</w:t>
      </w:r>
    </w:p>
    <w:p w14:paraId="14C000A1">
      <w:pPr>
        <w:pStyle w:val="16"/>
        <w:tabs>
          <w:tab w:val="left" w:pos="1339"/>
        </w:tabs>
        <w:snapToGrid w:val="0"/>
        <w:spacing w:line="300" w:lineRule="auto"/>
        <w:ind w:left="1343"/>
        <w:jc w:val="both"/>
        <w:rPr>
          <w:rFonts w:ascii="Arial" w:hAnsi="Arial" w:eastAsia="宋体" w:cs="Arial"/>
          <w:sz w:val="21"/>
          <w:szCs w:val="21"/>
          <w:lang w:eastAsia="zh-CN"/>
        </w:rPr>
      </w:pPr>
    </w:p>
    <w:p w14:paraId="56387056">
      <w:pPr>
        <w:pStyle w:val="16"/>
        <w:tabs>
          <w:tab w:val="left" w:pos="1339"/>
        </w:tabs>
        <w:snapToGrid w:val="0"/>
        <w:spacing w:line="300" w:lineRule="auto"/>
        <w:ind w:left="1343"/>
        <w:jc w:val="both"/>
        <w:rPr>
          <w:rFonts w:ascii="Arial" w:hAnsi="Arial" w:eastAsia="宋体" w:cs="Arial"/>
          <w:sz w:val="21"/>
          <w:szCs w:val="21"/>
          <w:lang w:eastAsia="zh-CN"/>
        </w:rPr>
      </w:pPr>
      <w:r>
        <w:rPr>
          <w:rFonts w:ascii="Arial" w:hAnsi="Arial" w:eastAsia="宋体" w:cs="Arial"/>
          <w:sz w:val="21"/>
          <w:szCs w:val="21"/>
          <w:lang w:eastAsia="zh-CN"/>
        </w:rPr>
        <w:t>声明2仅适用于以下情况：（1）确认</w:t>
      </w:r>
      <w:r>
        <w:rPr>
          <w:rFonts w:hint="eastAsia" w:ascii="Arial" w:hAnsi="Arial" w:eastAsia="宋体" w:cs="Arial"/>
          <w:sz w:val="21"/>
          <w:szCs w:val="21"/>
          <w:u w:val="single"/>
          <w:lang w:eastAsia="zh-CN"/>
        </w:rPr>
        <w:t>尚未完成</w:t>
      </w:r>
      <w:r>
        <w:rPr>
          <w:rFonts w:ascii="Arial" w:hAnsi="Arial" w:eastAsia="宋体" w:cs="Arial"/>
          <w:sz w:val="21"/>
          <w:szCs w:val="21"/>
          <w:lang w:eastAsia="zh-CN"/>
        </w:rPr>
        <w:t>，并且具有特定于器械的行业标准、具体的监管指导性文件或有关确认申请人须遵守的再加工说明的相关标准（请参阅选项</w:t>
      </w:r>
      <w:r>
        <w:rPr>
          <w:rFonts w:ascii="宋体" w:hAnsi="宋体" w:eastAsia="宋体" w:cs="Arial"/>
          <w:sz w:val="21"/>
          <w:szCs w:val="21"/>
          <w:lang w:eastAsia="zh-CN"/>
        </w:rPr>
        <w:t>“</w:t>
      </w:r>
      <w:r>
        <w:rPr>
          <w:rFonts w:ascii="Arial" w:hAnsi="Arial" w:eastAsia="宋体" w:cs="Arial"/>
          <w:sz w:val="21"/>
          <w:szCs w:val="21"/>
          <w:lang w:eastAsia="zh-CN"/>
        </w:rPr>
        <w:t>1</w:t>
      </w:r>
      <w:r>
        <w:rPr>
          <w:rFonts w:ascii="宋体" w:hAnsi="宋体" w:eastAsia="宋体" w:cs="Arial"/>
          <w:sz w:val="21"/>
          <w:szCs w:val="21"/>
          <w:lang w:eastAsia="zh-CN"/>
        </w:rPr>
        <w:t>”</w:t>
      </w:r>
      <w:r>
        <w:rPr>
          <w:rFonts w:ascii="Arial" w:hAnsi="Arial" w:eastAsia="宋体" w:cs="Arial"/>
          <w:sz w:val="21"/>
          <w:szCs w:val="21"/>
          <w:lang w:eastAsia="zh-CN"/>
        </w:rPr>
        <w:t>）；或</w:t>
      </w:r>
      <w:r>
        <w:rPr>
          <w:rFonts w:ascii="宋体" w:hAnsi="宋体" w:eastAsia="宋体" w:cs="Arial"/>
          <w:sz w:val="21"/>
          <w:szCs w:val="21"/>
          <w:lang w:eastAsia="zh-CN"/>
        </w:rPr>
        <w:t>“</w:t>
      </w:r>
      <w:r>
        <w:rPr>
          <w:rFonts w:ascii="Arial" w:hAnsi="Arial" w:eastAsia="宋体" w:cs="Arial"/>
          <w:sz w:val="21"/>
          <w:szCs w:val="21"/>
          <w:lang w:eastAsia="zh-CN"/>
        </w:rPr>
        <w:t>（2）制造商认为，</w:t>
      </w:r>
      <w:bookmarkStart w:id="7" w:name="OLE_LINK3"/>
      <w:bookmarkStart w:id="8" w:name="OLE_LINK4"/>
      <w:r>
        <w:rPr>
          <w:rFonts w:ascii="Arial" w:hAnsi="Arial" w:eastAsia="宋体" w:cs="Arial"/>
          <w:sz w:val="21"/>
          <w:szCs w:val="21"/>
          <w:lang w:eastAsia="zh-CN"/>
        </w:rPr>
        <w:t>从感染控制的角度来看，该器械与制造商先前为其确认了再加工说明而先前确认已经受GMP检查的其他器械几乎完全相同</w:t>
      </w:r>
      <w:bookmarkEnd w:id="7"/>
      <w:bookmarkEnd w:id="8"/>
      <w:r>
        <w:rPr>
          <w:rFonts w:ascii="Arial" w:hAnsi="Arial" w:eastAsia="宋体" w:cs="Arial"/>
          <w:sz w:val="21"/>
          <w:szCs w:val="21"/>
          <w:lang w:eastAsia="zh-CN"/>
        </w:rPr>
        <w:t>（请参阅选项</w:t>
      </w:r>
      <w:r>
        <w:rPr>
          <w:rFonts w:ascii="宋体" w:hAnsi="宋体" w:eastAsia="宋体" w:cs="Arial"/>
          <w:sz w:val="21"/>
          <w:szCs w:val="21"/>
          <w:lang w:eastAsia="zh-CN"/>
        </w:rPr>
        <w:t>“</w:t>
      </w:r>
      <w:r>
        <w:rPr>
          <w:rFonts w:ascii="Arial" w:hAnsi="Arial" w:eastAsia="宋体" w:cs="Arial"/>
          <w:sz w:val="21"/>
          <w:szCs w:val="21"/>
          <w:lang w:eastAsia="zh-CN"/>
        </w:rPr>
        <w:t>2</w:t>
      </w:r>
      <w:r>
        <w:rPr>
          <w:rFonts w:ascii="宋体" w:hAnsi="宋体" w:eastAsia="宋体" w:cs="Arial"/>
          <w:sz w:val="21"/>
          <w:szCs w:val="21"/>
          <w:lang w:eastAsia="zh-CN"/>
        </w:rPr>
        <w:t>”</w:t>
      </w:r>
      <w:r>
        <w:rPr>
          <w:rFonts w:ascii="Arial" w:hAnsi="Arial" w:eastAsia="宋体" w:cs="Arial"/>
          <w:sz w:val="21"/>
          <w:szCs w:val="21"/>
          <w:lang w:eastAsia="zh-CN"/>
        </w:rPr>
        <w:t>）。</w:t>
      </w:r>
    </w:p>
    <w:p w14:paraId="46670813">
      <w:pPr>
        <w:snapToGrid w:val="0"/>
        <w:spacing w:line="300" w:lineRule="auto"/>
        <w:jc w:val="both"/>
        <w:rPr>
          <w:rFonts w:ascii="Arial" w:hAnsi="Arial" w:eastAsia="宋体" w:cs="Arial"/>
          <w:b/>
          <w:bCs/>
          <w:sz w:val="21"/>
          <w:szCs w:val="21"/>
          <w:lang w:eastAsia="zh-CN"/>
        </w:rPr>
      </w:pPr>
    </w:p>
    <w:p w14:paraId="6230D385">
      <w:pPr>
        <w:pStyle w:val="5"/>
        <w:snapToGrid w:val="0"/>
        <w:spacing w:line="300" w:lineRule="auto"/>
        <w:ind w:left="2126"/>
        <w:jc w:val="both"/>
        <w:rPr>
          <w:rFonts w:ascii="Arial" w:hAnsi="Arial" w:eastAsia="宋体" w:cs="Arial"/>
          <w:b w:val="0"/>
          <w:bCs w:val="0"/>
          <w:sz w:val="21"/>
          <w:szCs w:val="21"/>
          <w:u w:val="single"/>
          <w:lang w:eastAsia="zh-CN"/>
        </w:rPr>
      </w:pPr>
      <w:r>
        <w:rPr>
          <w:rFonts w:hint="eastAsia" w:ascii="Arial" w:hAnsi="Arial" w:eastAsia="宋体" w:cs="Arial"/>
          <w:b w:val="0"/>
          <w:bCs w:val="0"/>
          <w:sz w:val="21"/>
          <w:szCs w:val="21"/>
          <w:u w:val="single"/>
          <w:lang w:eastAsia="zh-CN"/>
        </w:rPr>
        <w:t>声明</w:t>
      </w:r>
      <w:r>
        <w:rPr>
          <w:rFonts w:ascii="Arial" w:hAnsi="Arial" w:eastAsia="宋体" w:cs="Arial"/>
          <w:b w:val="0"/>
          <w:bCs w:val="0"/>
          <w:sz w:val="21"/>
          <w:szCs w:val="21"/>
          <w:u w:val="single"/>
          <w:lang w:eastAsia="zh-CN"/>
        </w:rPr>
        <w:t>1，</w:t>
      </w:r>
      <w:r>
        <w:rPr>
          <w:rFonts w:hint="eastAsia" w:ascii="Arial" w:hAnsi="Arial" w:eastAsia="宋体" w:cs="Arial"/>
          <w:b w:val="0"/>
          <w:bCs w:val="0"/>
          <w:sz w:val="21"/>
          <w:szCs w:val="21"/>
          <w:u w:val="single"/>
          <w:lang w:eastAsia="zh-CN"/>
        </w:rPr>
        <w:t>确认已完成：</w:t>
      </w:r>
    </w:p>
    <w:p w14:paraId="37645334">
      <w:pPr>
        <w:pStyle w:val="5"/>
        <w:snapToGrid w:val="0"/>
        <w:spacing w:line="300" w:lineRule="auto"/>
        <w:ind w:left="2126"/>
        <w:jc w:val="both"/>
        <w:rPr>
          <w:rFonts w:ascii="Arial" w:hAnsi="Arial" w:eastAsia="宋体" w:cs="Arial"/>
          <w:b w:val="0"/>
          <w:bCs w:val="0"/>
          <w:sz w:val="21"/>
          <w:szCs w:val="21"/>
          <w:lang w:eastAsia="zh-CN"/>
        </w:rPr>
      </w:pPr>
    </w:p>
    <w:p w14:paraId="5C71A5B8">
      <w:pPr>
        <w:pStyle w:val="5"/>
        <w:snapToGrid w:val="0"/>
        <w:spacing w:line="300" w:lineRule="auto"/>
        <w:ind w:left="2126"/>
        <w:jc w:val="both"/>
        <w:rPr>
          <w:rFonts w:ascii="Arial" w:hAnsi="Arial" w:eastAsia="宋体" w:cs="Arial"/>
          <w:b w:val="0"/>
          <w:bCs w:val="0"/>
          <w:sz w:val="21"/>
          <w:szCs w:val="21"/>
          <w:lang w:eastAsia="zh-CN"/>
        </w:rPr>
      </w:pPr>
      <w:r>
        <w:rPr>
          <w:rFonts w:ascii="宋体" w:hAnsi="宋体" w:eastAsia="宋体" w:cs="Arial"/>
          <w:b w:val="0"/>
          <w:bCs w:val="0"/>
          <w:sz w:val="21"/>
          <w:szCs w:val="21"/>
          <w:lang w:eastAsia="zh-CN"/>
        </w:rPr>
        <w:t>“</w:t>
      </w:r>
      <w:r>
        <w:rPr>
          <w:rFonts w:ascii="Arial" w:hAnsi="Arial" w:eastAsia="宋体" w:cs="Arial"/>
          <w:b w:val="0"/>
          <w:bCs w:val="0"/>
          <w:sz w:val="21"/>
          <w:szCs w:val="21"/>
          <w:lang w:eastAsia="zh-CN"/>
        </w:rPr>
        <w:t>已根据【描述作为确认依据的已发布方法或标准】对器械的再加工说明进行了确认。我附上了确认方法的总结【当依据不是已发布的方法或标准时】。完整的确认记录在【位置】-并可供检查，并将根据要求提供给FDA。确认包括方案、规格、通过/失败标准、结果和程序，其中描述必须对说明进行重新认证的时间（例如，如果器械被修改）</w:t>
      </w:r>
      <w:r>
        <w:rPr>
          <w:rFonts w:ascii="宋体" w:hAnsi="宋体" w:eastAsia="宋体" w:cs="Arial"/>
          <w:b w:val="0"/>
          <w:bCs w:val="0"/>
          <w:sz w:val="21"/>
          <w:szCs w:val="21"/>
          <w:lang w:eastAsia="zh-CN"/>
        </w:rPr>
        <w:t>”</w:t>
      </w:r>
      <w:r>
        <w:rPr>
          <w:rFonts w:ascii="Arial" w:hAnsi="Arial" w:eastAsia="宋体" w:cs="Arial"/>
          <w:b w:val="0"/>
          <w:bCs w:val="0"/>
          <w:sz w:val="21"/>
          <w:szCs w:val="21"/>
          <w:lang w:eastAsia="zh-CN"/>
        </w:rPr>
        <w:t>。</w:t>
      </w:r>
    </w:p>
    <w:p w14:paraId="24C1992A">
      <w:pPr>
        <w:pStyle w:val="5"/>
        <w:snapToGrid w:val="0"/>
        <w:spacing w:line="300" w:lineRule="auto"/>
        <w:ind w:left="2126"/>
        <w:jc w:val="both"/>
        <w:rPr>
          <w:rFonts w:ascii="Arial" w:hAnsi="Arial" w:eastAsia="宋体" w:cs="Arial"/>
          <w:b w:val="0"/>
          <w:bCs w:val="0"/>
          <w:sz w:val="21"/>
          <w:szCs w:val="21"/>
          <w:lang w:eastAsia="zh-CN"/>
        </w:rPr>
      </w:pPr>
    </w:p>
    <w:p w14:paraId="3BE3763A">
      <w:pPr>
        <w:pStyle w:val="5"/>
        <w:snapToGrid w:val="0"/>
        <w:spacing w:line="300" w:lineRule="auto"/>
        <w:ind w:left="2126"/>
        <w:jc w:val="both"/>
        <w:rPr>
          <w:rFonts w:ascii="Arial" w:hAnsi="Arial" w:eastAsia="宋体" w:cs="Arial"/>
          <w:b w:val="0"/>
          <w:bCs w:val="0"/>
          <w:sz w:val="21"/>
          <w:szCs w:val="21"/>
          <w:lang w:eastAsia="zh-CN"/>
        </w:rPr>
      </w:pPr>
      <w:r>
        <w:rPr>
          <w:rFonts w:ascii="Arial" w:hAnsi="Arial" w:eastAsia="宋体" w:cs="Arial"/>
          <w:b w:val="0"/>
          <w:bCs w:val="0"/>
          <w:sz w:val="21"/>
          <w:szCs w:val="21"/>
          <w:lang w:eastAsia="zh-CN"/>
        </w:rPr>
        <w:t>或者</w:t>
      </w:r>
    </w:p>
    <w:p w14:paraId="5CC181E0">
      <w:pPr>
        <w:pStyle w:val="5"/>
        <w:snapToGrid w:val="0"/>
        <w:spacing w:line="300" w:lineRule="auto"/>
        <w:ind w:left="2126"/>
        <w:jc w:val="both"/>
        <w:rPr>
          <w:rFonts w:ascii="Arial" w:hAnsi="Arial" w:eastAsia="宋体" w:cs="Arial"/>
          <w:b w:val="0"/>
          <w:bCs w:val="0"/>
          <w:sz w:val="21"/>
          <w:szCs w:val="21"/>
          <w:lang w:eastAsia="zh-CN"/>
        </w:rPr>
      </w:pPr>
    </w:p>
    <w:p w14:paraId="0A9C22F4">
      <w:pPr>
        <w:pStyle w:val="5"/>
        <w:snapToGrid w:val="0"/>
        <w:spacing w:line="300" w:lineRule="auto"/>
        <w:ind w:left="2126"/>
        <w:jc w:val="both"/>
        <w:rPr>
          <w:rFonts w:ascii="Arial" w:hAnsi="Arial" w:eastAsia="宋体" w:cs="Arial"/>
          <w:b w:val="0"/>
          <w:bCs w:val="0"/>
          <w:sz w:val="21"/>
          <w:szCs w:val="21"/>
          <w:u w:val="single"/>
          <w:lang w:eastAsia="zh-CN"/>
        </w:rPr>
      </w:pPr>
      <w:r>
        <w:rPr>
          <w:rFonts w:hint="eastAsia" w:ascii="Arial" w:hAnsi="Arial" w:eastAsia="宋体" w:cs="Arial"/>
          <w:b w:val="0"/>
          <w:bCs w:val="0"/>
          <w:sz w:val="21"/>
          <w:szCs w:val="21"/>
          <w:u w:val="single"/>
          <w:lang w:eastAsia="zh-CN"/>
        </w:rPr>
        <w:t>声明</w:t>
      </w:r>
      <w:r>
        <w:rPr>
          <w:rFonts w:ascii="Arial" w:hAnsi="Arial" w:eastAsia="宋体" w:cs="Arial"/>
          <w:b w:val="0"/>
          <w:bCs w:val="0"/>
          <w:sz w:val="21"/>
          <w:szCs w:val="21"/>
          <w:u w:val="single"/>
          <w:lang w:eastAsia="zh-CN"/>
        </w:rPr>
        <w:t>2，选项1，</w:t>
      </w:r>
      <w:r>
        <w:rPr>
          <w:rFonts w:hint="eastAsia" w:ascii="Arial" w:hAnsi="Arial" w:eastAsia="宋体" w:cs="Arial"/>
          <w:b w:val="0"/>
          <w:bCs w:val="0"/>
          <w:sz w:val="21"/>
          <w:szCs w:val="21"/>
          <w:u w:val="single"/>
          <w:lang w:eastAsia="zh-CN"/>
        </w:rPr>
        <w:t>确认未完成：</w:t>
      </w:r>
    </w:p>
    <w:p w14:paraId="53F6EDE5">
      <w:pPr>
        <w:pStyle w:val="5"/>
        <w:snapToGrid w:val="0"/>
        <w:spacing w:line="300" w:lineRule="auto"/>
        <w:ind w:left="2126"/>
        <w:jc w:val="both"/>
        <w:rPr>
          <w:rFonts w:ascii="Arial" w:hAnsi="Arial" w:eastAsia="宋体" w:cs="Arial"/>
          <w:b w:val="0"/>
          <w:bCs w:val="0"/>
          <w:sz w:val="21"/>
          <w:szCs w:val="21"/>
          <w:lang w:eastAsia="zh-CN"/>
        </w:rPr>
      </w:pPr>
    </w:p>
    <w:p w14:paraId="046B4EDD">
      <w:pPr>
        <w:pStyle w:val="5"/>
        <w:snapToGrid w:val="0"/>
        <w:spacing w:line="300" w:lineRule="auto"/>
        <w:ind w:left="2126"/>
        <w:jc w:val="both"/>
        <w:rPr>
          <w:rFonts w:ascii="Arial" w:hAnsi="Arial" w:eastAsia="宋体" w:cs="Arial"/>
          <w:b w:val="0"/>
          <w:bCs w:val="0"/>
          <w:sz w:val="21"/>
          <w:szCs w:val="21"/>
          <w:lang w:eastAsia="zh-CN"/>
        </w:rPr>
      </w:pPr>
      <w:r>
        <w:rPr>
          <w:rFonts w:ascii="宋体" w:hAnsi="宋体" w:eastAsia="宋体" w:cs="Arial"/>
          <w:b w:val="0"/>
          <w:bCs w:val="0"/>
          <w:sz w:val="21"/>
          <w:szCs w:val="21"/>
          <w:lang w:eastAsia="zh-CN"/>
        </w:rPr>
        <w:t>“</w:t>
      </w:r>
      <w:r>
        <w:rPr>
          <w:rFonts w:ascii="Arial" w:hAnsi="Arial" w:eastAsia="宋体" w:cs="Arial"/>
          <w:b w:val="0"/>
          <w:bCs w:val="0"/>
          <w:sz w:val="21"/>
          <w:szCs w:val="21"/>
          <w:lang w:eastAsia="zh-CN"/>
        </w:rPr>
        <w:t>在器械上市之前，将根据【描述作为确认依据的已发布方法或标准】确认器械的再加工说明。我附上了方法总结【当依据不是已发布的方法或标准时】。再加工说明和最终标签的确认将在【位置】记录并可供检查，并将根据要求提供给FDA。确认包括方案、规格、通过/失败标准、结果和程序，其中描述必须对说明进行重新认证的时间（例如，如果器械被修改）</w:t>
      </w:r>
      <w:r>
        <w:rPr>
          <w:rFonts w:ascii="宋体" w:hAnsi="宋体" w:eastAsia="宋体" w:cs="Arial"/>
          <w:b w:val="0"/>
          <w:bCs w:val="0"/>
          <w:sz w:val="21"/>
          <w:szCs w:val="21"/>
          <w:lang w:eastAsia="zh-CN"/>
        </w:rPr>
        <w:t>”</w:t>
      </w:r>
      <w:r>
        <w:rPr>
          <w:rFonts w:ascii="Arial" w:hAnsi="Arial" w:eastAsia="宋体" w:cs="Arial"/>
          <w:b w:val="0"/>
          <w:bCs w:val="0"/>
          <w:sz w:val="21"/>
          <w:szCs w:val="21"/>
          <w:lang w:eastAsia="zh-CN"/>
        </w:rPr>
        <w:t>。</w:t>
      </w:r>
    </w:p>
    <w:p w14:paraId="5D05DF1C">
      <w:pPr>
        <w:snapToGrid w:val="0"/>
        <w:spacing w:before="2" w:line="300" w:lineRule="auto"/>
        <w:jc w:val="both"/>
        <w:rPr>
          <w:rFonts w:ascii="Arial" w:hAnsi="Arial" w:eastAsia="宋体" w:cs="Arial"/>
          <w:b/>
          <w:bCs/>
          <w:sz w:val="21"/>
          <w:szCs w:val="21"/>
          <w:lang w:eastAsia="zh-CN"/>
        </w:rPr>
      </w:pPr>
    </w:p>
    <w:p w14:paraId="66CDF2B5">
      <w:pPr>
        <w:pStyle w:val="5"/>
        <w:pageBreakBefore/>
        <w:snapToGrid w:val="0"/>
        <w:spacing w:line="300" w:lineRule="auto"/>
        <w:ind w:left="2126"/>
        <w:jc w:val="both"/>
        <w:rPr>
          <w:rFonts w:ascii="Arial" w:hAnsi="Arial" w:eastAsia="宋体" w:cs="Arial"/>
          <w:b w:val="0"/>
          <w:bCs w:val="0"/>
          <w:sz w:val="21"/>
          <w:szCs w:val="21"/>
          <w:u w:val="single"/>
          <w:lang w:eastAsia="zh-CN"/>
        </w:rPr>
      </w:pPr>
      <w:r>
        <w:rPr>
          <w:rFonts w:hint="eastAsia" w:ascii="Arial" w:hAnsi="Arial" w:eastAsia="宋体" w:cs="Arial"/>
          <w:b w:val="0"/>
          <w:bCs w:val="0"/>
          <w:sz w:val="21"/>
          <w:szCs w:val="21"/>
          <w:u w:val="single"/>
          <w:lang w:eastAsia="zh-CN"/>
        </w:rPr>
        <w:t>声明</w:t>
      </w:r>
      <w:r>
        <w:rPr>
          <w:rFonts w:ascii="Arial" w:hAnsi="Arial" w:eastAsia="宋体" w:cs="Arial"/>
          <w:b w:val="0"/>
          <w:bCs w:val="0"/>
          <w:sz w:val="21"/>
          <w:szCs w:val="21"/>
          <w:u w:val="single"/>
          <w:lang w:eastAsia="zh-CN"/>
        </w:rPr>
        <w:t>2，选项2，</w:t>
      </w:r>
      <w:r>
        <w:rPr>
          <w:rFonts w:hint="eastAsia" w:ascii="Arial" w:hAnsi="Arial" w:eastAsia="宋体" w:cs="Arial"/>
          <w:b w:val="0"/>
          <w:bCs w:val="0"/>
          <w:sz w:val="21"/>
          <w:szCs w:val="21"/>
          <w:u w:val="single"/>
          <w:lang w:eastAsia="zh-CN"/>
        </w:rPr>
        <w:t>确认未完成：</w:t>
      </w:r>
    </w:p>
    <w:p w14:paraId="0A04512F">
      <w:pPr>
        <w:pStyle w:val="5"/>
        <w:snapToGrid w:val="0"/>
        <w:spacing w:line="300" w:lineRule="auto"/>
        <w:ind w:left="2126"/>
        <w:jc w:val="both"/>
        <w:rPr>
          <w:rFonts w:ascii="Arial" w:hAnsi="Arial" w:eastAsia="宋体" w:cs="Arial"/>
          <w:b w:val="0"/>
          <w:bCs w:val="0"/>
          <w:sz w:val="21"/>
          <w:szCs w:val="21"/>
          <w:lang w:eastAsia="zh-CN"/>
        </w:rPr>
      </w:pPr>
    </w:p>
    <w:p w14:paraId="1C91DD6B">
      <w:pPr>
        <w:pStyle w:val="5"/>
        <w:snapToGrid w:val="0"/>
        <w:spacing w:line="300" w:lineRule="auto"/>
        <w:ind w:left="2126"/>
        <w:jc w:val="both"/>
        <w:rPr>
          <w:rFonts w:ascii="Arial" w:hAnsi="Arial" w:eastAsia="宋体" w:cs="Arial"/>
          <w:b w:val="0"/>
          <w:bCs w:val="0"/>
          <w:sz w:val="21"/>
          <w:szCs w:val="21"/>
          <w:lang w:eastAsia="zh-CN"/>
        </w:rPr>
      </w:pPr>
      <w:r>
        <w:rPr>
          <w:rFonts w:ascii="宋体" w:hAnsi="宋体" w:eastAsia="宋体" w:cs="Arial"/>
          <w:b w:val="0"/>
          <w:bCs w:val="0"/>
          <w:sz w:val="21"/>
          <w:szCs w:val="21"/>
          <w:lang w:eastAsia="zh-CN"/>
        </w:rPr>
        <w:t>“</w:t>
      </w:r>
      <w:r>
        <w:rPr>
          <w:rFonts w:ascii="Arial" w:hAnsi="Arial" w:eastAsia="宋体" w:cs="Arial"/>
          <w:b w:val="0"/>
          <w:bCs w:val="0"/>
          <w:sz w:val="21"/>
          <w:szCs w:val="21"/>
          <w:lang w:eastAsia="zh-CN"/>
        </w:rPr>
        <w:t>从感染控制的角度来看，该器械与我们先前为其确认再加工说明的【比较器械的名称】几乎完全相同。确认已经受GMP检查</w:t>
      </w:r>
      <w:r>
        <w:rPr>
          <w:rFonts w:ascii="宋体" w:hAnsi="宋体" w:eastAsia="宋体" w:cs="Arial"/>
          <w:b w:val="0"/>
          <w:bCs w:val="0"/>
          <w:sz w:val="21"/>
          <w:szCs w:val="21"/>
          <w:lang w:eastAsia="zh-CN"/>
        </w:rPr>
        <w:t>”</w:t>
      </w:r>
      <w:r>
        <w:rPr>
          <w:rFonts w:ascii="Arial" w:hAnsi="Arial" w:eastAsia="宋体" w:cs="Arial"/>
          <w:b w:val="0"/>
          <w:bCs w:val="0"/>
          <w:sz w:val="21"/>
          <w:szCs w:val="21"/>
          <w:lang w:eastAsia="zh-CN"/>
        </w:rPr>
        <w:t>。</w:t>
      </w:r>
    </w:p>
    <w:p w14:paraId="628B438A">
      <w:pPr>
        <w:snapToGrid w:val="0"/>
        <w:spacing w:before="1" w:line="300" w:lineRule="auto"/>
        <w:jc w:val="both"/>
        <w:rPr>
          <w:rFonts w:ascii="Arial" w:hAnsi="Arial" w:eastAsia="宋体" w:cs="Arial"/>
          <w:b/>
          <w:bCs/>
          <w:sz w:val="21"/>
          <w:szCs w:val="21"/>
          <w:lang w:eastAsia="zh-CN"/>
        </w:rPr>
      </w:pPr>
    </w:p>
    <w:p w14:paraId="63DA74F4">
      <w:pPr>
        <w:tabs>
          <w:tab w:val="left" w:pos="3550"/>
        </w:tabs>
        <w:snapToGrid w:val="0"/>
        <w:spacing w:line="300" w:lineRule="auto"/>
        <w:ind w:left="1467" w:hanging="10"/>
        <w:jc w:val="both"/>
        <w:rPr>
          <w:rFonts w:ascii="Arial" w:hAnsi="Arial" w:eastAsia="宋体" w:cs="Arial"/>
          <w:sz w:val="21"/>
          <w:szCs w:val="21"/>
          <w:lang w:eastAsia="zh-CN"/>
        </w:rPr>
      </w:pPr>
      <w:r>
        <w:rPr>
          <w:rFonts w:ascii="Arial" w:hAnsi="Arial" w:eastAsia="宋体" w:cs="Arial"/>
          <w:sz w:val="21"/>
          <w:szCs w:val="21"/>
          <w:lang w:eastAsia="zh-CN"/>
        </w:rPr>
        <w:t>提交的声明不一定逐字记录，即可能会有微小的变化。</w:t>
      </w:r>
    </w:p>
    <w:p w14:paraId="54908326">
      <w:pPr>
        <w:tabs>
          <w:tab w:val="left" w:pos="3550"/>
        </w:tabs>
        <w:snapToGrid w:val="0"/>
        <w:spacing w:line="300" w:lineRule="auto"/>
        <w:ind w:left="1467" w:hanging="10"/>
        <w:jc w:val="both"/>
        <w:rPr>
          <w:rFonts w:ascii="Arial" w:hAnsi="Arial" w:eastAsia="宋体" w:cs="Arial"/>
          <w:sz w:val="21"/>
          <w:szCs w:val="21"/>
          <w:lang w:eastAsia="zh-CN"/>
        </w:rPr>
      </w:pPr>
    </w:p>
    <w:p w14:paraId="6724F595">
      <w:pPr>
        <w:tabs>
          <w:tab w:val="left" w:pos="3550"/>
        </w:tabs>
        <w:snapToGrid w:val="0"/>
        <w:spacing w:line="300" w:lineRule="auto"/>
        <w:ind w:left="1467" w:hanging="10"/>
        <w:jc w:val="both"/>
        <w:rPr>
          <w:rFonts w:ascii="Arial" w:hAnsi="Arial" w:eastAsia="宋体" w:cs="Arial"/>
          <w:sz w:val="21"/>
          <w:szCs w:val="21"/>
          <w:lang w:eastAsia="zh-CN"/>
        </w:rPr>
      </w:pPr>
      <w:r>
        <w:rPr>
          <w:rFonts w:ascii="Arial" w:hAnsi="Arial" w:eastAsia="宋体" w:cs="Arial"/>
          <w:sz w:val="21"/>
          <w:szCs w:val="21"/>
          <w:lang w:eastAsia="zh-CN"/>
        </w:rPr>
        <w:t>ODE审评员将不会要求提供或审查作为确认51O（k）提交材料的一部分而进行的认证试验，除非根据管理层根据具体情况做出的指示或根据特定器械指南的建议，合规办公室要求进行此类操作。确认过程的评价责任属于OC和现场工作人员。</w:t>
      </w:r>
    </w:p>
    <w:p w14:paraId="4C268A25">
      <w:pPr>
        <w:tabs>
          <w:tab w:val="left" w:pos="3550"/>
        </w:tabs>
        <w:snapToGrid w:val="0"/>
        <w:spacing w:line="300" w:lineRule="auto"/>
        <w:ind w:left="1467" w:hanging="10"/>
        <w:jc w:val="both"/>
        <w:rPr>
          <w:rFonts w:ascii="Arial" w:hAnsi="Arial" w:eastAsia="宋体" w:cs="Arial"/>
          <w:sz w:val="21"/>
          <w:szCs w:val="21"/>
          <w:lang w:eastAsia="zh-CN"/>
        </w:rPr>
      </w:pPr>
    </w:p>
    <w:p w14:paraId="01FBD1AC">
      <w:pPr>
        <w:tabs>
          <w:tab w:val="left" w:pos="3550"/>
        </w:tabs>
        <w:snapToGrid w:val="0"/>
        <w:spacing w:line="300" w:lineRule="auto"/>
        <w:ind w:left="1467" w:hanging="10"/>
        <w:jc w:val="both"/>
        <w:rPr>
          <w:rFonts w:ascii="Arial" w:hAnsi="Arial" w:eastAsia="宋体" w:cs="Arial"/>
          <w:sz w:val="21"/>
          <w:szCs w:val="21"/>
          <w:lang w:eastAsia="zh-CN"/>
        </w:rPr>
      </w:pPr>
      <w:r>
        <w:rPr>
          <w:rFonts w:ascii="Arial" w:hAnsi="Arial" w:eastAsia="宋体" w:cs="Arial"/>
          <w:sz w:val="21"/>
          <w:szCs w:val="21"/>
          <w:lang w:eastAsia="zh-CN"/>
        </w:rPr>
        <w:t>ODE审评员有权评价提交的内容，例如，以确定确认的依据是否相关，或者摘要是否引起严重问题。摘要评价方面存在一些限制。缺乏关于再加工说明确认的已发布的具体方法或标准。FDA建议，将AAMI TIR和关于过程确认的FDA指南用作有关可以根据其开发具体方案的方法的一套原则（请参见附录3）。在发布具体方法或标准之前，建议审评员对摘要进行灵活评价，例如评价所述试验的基本方法和原理，而不是具体细节。</w:t>
      </w:r>
    </w:p>
    <w:p w14:paraId="45F68EC9">
      <w:pPr>
        <w:tabs>
          <w:tab w:val="left" w:pos="3550"/>
        </w:tabs>
        <w:snapToGrid w:val="0"/>
        <w:spacing w:line="300" w:lineRule="auto"/>
        <w:ind w:left="1467" w:hanging="10"/>
        <w:jc w:val="both"/>
        <w:rPr>
          <w:rFonts w:ascii="Arial" w:hAnsi="Arial" w:eastAsia="宋体" w:cs="Arial"/>
          <w:sz w:val="21"/>
          <w:szCs w:val="21"/>
          <w:lang w:eastAsia="zh-CN"/>
        </w:rPr>
      </w:pPr>
    </w:p>
    <w:p w14:paraId="29B293D2">
      <w:pPr>
        <w:tabs>
          <w:tab w:val="left" w:pos="3550"/>
        </w:tabs>
        <w:snapToGrid w:val="0"/>
        <w:spacing w:line="300" w:lineRule="auto"/>
        <w:ind w:left="1467" w:hanging="10"/>
        <w:jc w:val="both"/>
        <w:rPr>
          <w:rFonts w:ascii="Arial" w:hAnsi="Arial" w:eastAsia="宋体" w:cs="Arial"/>
          <w:sz w:val="21"/>
          <w:szCs w:val="21"/>
          <w:lang w:eastAsia="zh-CN"/>
        </w:rPr>
      </w:pPr>
      <w:r>
        <w:rPr>
          <w:rFonts w:ascii="Arial" w:hAnsi="Arial" w:eastAsia="宋体" w:cs="Arial"/>
          <w:sz w:val="21"/>
          <w:szCs w:val="21"/>
          <w:lang w:eastAsia="zh-CN"/>
        </w:rPr>
        <w:t>尽管已发布了有关本指南可用性的一般通知，但许多申请人并不了解FDA在可重复使用器械的标签方面的倡议，因此将存在缺陷。通过电话与申请人进行早期沟通将解决大多数缺陷。缺乏有关确认状态的声明是一种可纳入</w:t>
      </w:r>
      <w:r>
        <w:rPr>
          <w:rFonts w:ascii="宋体" w:hAnsi="宋体" w:eastAsia="宋体" w:cs="Arial"/>
          <w:sz w:val="21"/>
          <w:szCs w:val="21"/>
          <w:lang w:eastAsia="zh-CN"/>
        </w:rPr>
        <w:t>“</w:t>
      </w:r>
      <w:r>
        <w:rPr>
          <w:rFonts w:ascii="Arial" w:hAnsi="Arial" w:eastAsia="宋体" w:cs="Arial"/>
          <w:sz w:val="21"/>
          <w:szCs w:val="21"/>
          <w:lang w:eastAsia="zh-CN"/>
        </w:rPr>
        <w:t>无法确定SEW信件</w:t>
      </w:r>
      <w:r>
        <w:rPr>
          <w:rFonts w:ascii="宋体" w:hAnsi="宋体" w:eastAsia="宋体" w:cs="Arial"/>
          <w:sz w:val="21"/>
          <w:szCs w:val="21"/>
          <w:lang w:eastAsia="zh-CN"/>
        </w:rPr>
        <w:t>”</w:t>
      </w:r>
      <w:r>
        <w:rPr>
          <w:rFonts w:ascii="Arial" w:hAnsi="Arial" w:eastAsia="宋体" w:cs="Arial"/>
          <w:sz w:val="21"/>
          <w:szCs w:val="21"/>
          <w:lang w:eastAsia="zh-CN"/>
        </w:rPr>
        <w:t xml:space="preserve"> 中的缺陷。缺乏确认声明也可以作为缺乏实质等同性（NSE）测定的基础，即可接受的等同性能尚未得到证实。</w:t>
      </w:r>
    </w:p>
    <w:p w14:paraId="3469C559">
      <w:pPr>
        <w:snapToGrid w:val="0"/>
        <w:spacing w:before="4" w:line="300" w:lineRule="auto"/>
        <w:jc w:val="both"/>
        <w:rPr>
          <w:rFonts w:ascii="Arial" w:hAnsi="Arial" w:eastAsia="宋体" w:cs="Arial"/>
          <w:b/>
          <w:bCs/>
          <w:sz w:val="21"/>
          <w:szCs w:val="21"/>
          <w:lang w:eastAsia="zh-CN"/>
        </w:rPr>
      </w:pPr>
    </w:p>
    <w:p w14:paraId="0631EF08">
      <w:pPr>
        <w:pStyle w:val="16"/>
        <w:numPr>
          <w:ilvl w:val="1"/>
          <w:numId w:val="6"/>
        </w:numPr>
        <w:tabs>
          <w:tab w:val="left" w:pos="1339"/>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PMA必须在制造和控制部分中提供有关再加工说明认证的完整报告。</w:t>
      </w:r>
    </w:p>
    <w:p w14:paraId="1072D0CD">
      <w:pPr>
        <w:pStyle w:val="16"/>
        <w:tabs>
          <w:tab w:val="left" w:pos="1339"/>
        </w:tabs>
        <w:snapToGrid w:val="0"/>
        <w:spacing w:line="300" w:lineRule="auto"/>
        <w:ind w:left="1343"/>
        <w:jc w:val="both"/>
        <w:rPr>
          <w:rFonts w:ascii="Arial" w:hAnsi="Arial" w:eastAsia="宋体" w:cs="Arial"/>
          <w:sz w:val="21"/>
          <w:szCs w:val="21"/>
          <w:lang w:eastAsia="zh-CN"/>
        </w:rPr>
      </w:pPr>
    </w:p>
    <w:p w14:paraId="53B0EA42">
      <w:pPr>
        <w:pStyle w:val="16"/>
        <w:tabs>
          <w:tab w:val="left" w:pos="1339"/>
        </w:tabs>
        <w:snapToGrid w:val="0"/>
        <w:spacing w:line="300" w:lineRule="auto"/>
        <w:ind w:left="1343"/>
        <w:jc w:val="both"/>
        <w:rPr>
          <w:rFonts w:ascii="Arial" w:hAnsi="Arial" w:eastAsia="宋体" w:cs="Arial"/>
          <w:sz w:val="21"/>
          <w:szCs w:val="21"/>
          <w:lang w:eastAsia="zh-CN"/>
        </w:rPr>
      </w:pPr>
      <w:r>
        <w:rPr>
          <w:rFonts w:ascii="Arial" w:hAnsi="Arial" w:eastAsia="宋体" w:cs="Arial"/>
          <w:sz w:val="21"/>
          <w:szCs w:val="21"/>
          <w:lang w:eastAsia="zh-CN"/>
        </w:rPr>
        <w:t>将根据蓝皮书政策以与其他制造和控制数据相同的方式审查再加工确认。</w:t>
      </w:r>
    </w:p>
    <w:p w14:paraId="6E5EFAFB">
      <w:pPr>
        <w:pStyle w:val="16"/>
        <w:tabs>
          <w:tab w:val="left" w:pos="1339"/>
        </w:tabs>
        <w:snapToGrid w:val="0"/>
        <w:spacing w:line="300" w:lineRule="auto"/>
        <w:ind w:left="1343"/>
        <w:jc w:val="both"/>
        <w:rPr>
          <w:rFonts w:ascii="Arial" w:hAnsi="Arial" w:eastAsia="宋体" w:cs="Arial"/>
          <w:sz w:val="21"/>
          <w:szCs w:val="21"/>
          <w:lang w:eastAsia="zh-CN"/>
        </w:rPr>
      </w:pPr>
    </w:p>
    <w:p w14:paraId="0E61F2DD">
      <w:pPr>
        <w:rPr>
          <w:rFonts w:ascii="Arial" w:hAnsi="Arial" w:eastAsia="宋体" w:cs="Arial"/>
          <w:sz w:val="21"/>
          <w:szCs w:val="21"/>
          <w:lang w:eastAsia="zh-CN"/>
        </w:rPr>
      </w:pPr>
      <w:r>
        <w:rPr>
          <w:rFonts w:ascii="Arial" w:hAnsi="Arial" w:eastAsia="宋体" w:cs="Arial"/>
          <w:sz w:val="21"/>
          <w:szCs w:val="21"/>
          <w:lang w:eastAsia="zh-CN"/>
        </w:rPr>
        <w:br w:type="page"/>
      </w:r>
    </w:p>
    <w:p w14:paraId="74CA4823">
      <w:pPr>
        <w:pStyle w:val="16"/>
        <w:numPr>
          <w:ilvl w:val="1"/>
          <w:numId w:val="6"/>
        </w:numPr>
        <w:tabs>
          <w:tab w:val="left" w:pos="1339"/>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ab/>
      </w:r>
      <w:r>
        <w:rPr>
          <w:rFonts w:ascii="Arial" w:hAnsi="Arial" w:eastAsia="宋体" w:cs="Arial"/>
          <w:sz w:val="21"/>
          <w:szCs w:val="21"/>
          <w:lang w:eastAsia="zh-CN"/>
        </w:rPr>
        <w:t>IDE应提供再加工说明认证（完成时）或者认证方案的摘要。</w:t>
      </w:r>
    </w:p>
    <w:p w14:paraId="1EF7BFFC">
      <w:pPr>
        <w:pStyle w:val="16"/>
        <w:tabs>
          <w:tab w:val="left" w:pos="1339"/>
        </w:tabs>
        <w:snapToGrid w:val="0"/>
        <w:spacing w:line="300" w:lineRule="auto"/>
        <w:ind w:left="1343"/>
        <w:jc w:val="both"/>
        <w:rPr>
          <w:rFonts w:ascii="Arial" w:hAnsi="Arial" w:eastAsia="宋体" w:cs="Arial"/>
          <w:sz w:val="21"/>
          <w:szCs w:val="21"/>
          <w:lang w:eastAsia="zh-CN"/>
        </w:rPr>
      </w:pPr>
    </w:p>
    <w:p w14:paraId="0A15A7E0">
      <w:pPr>
        <w:pStyle w:val="16"/>
        <w:tabs>
          <w:tab w:val="left" w:pos="1339"/>
        </w:tabs>
        <w:snapToGrid w:val="0"/>
        <w:spacing w:line="300" w:lineRule="auto"/>
        <w:ind w:left="1343"/>
        <w:jc w:val="both"/>
        <w:rPr>
          <w:rFonts w:ascii="Arial" w:hAnsi="Arial" w:eastAsia="宋体" w:cs="Arial"/>
          <w:sz w:val="21"/>
          <w:szCs w:val="21"/>
          <w:lang w:eastAsia="zh-CN"/>
        </w:rPr>
      </w:pPr>
      <w:r>
        <w:rPr>
          <w:rFonts w:ascii="Arial" w:hAnsi="Arial" w:eastAsia="宋体" w:cs="Arial"/>
          <w:sz w:val="21"/>
          <w:szCs w:val="21"/>
          <w:lang w:eastAsia="zh-CN"/>
        </w:rPr>
        <w:t>在考虑记录器械安全性所需的数据范围时，审评员应该进行判断。除非存在与感染控制相关的关键安全问题，否则应将缺陷解决作为默认决定的批准条件。</w:t>
      </w:r>
    </w:p>
    <w:p w14:paraId="2D47C932">
      <w:pPr>
        <w:snapToGrid w:val="0"/>
        <w:spacing w:line="300" w:lineRule="auto"/>
        <w:jc w:val="both"/>
        <w:rPr>
          <w:rFonts w:ascii="Arial" w:hAnsi="Arial" w:eastAsia="宋体" w:cs="Arial"/>
          <w:b/>
          <w:bCs/>
          <w:sz w:val="21"/>
          <w:szCs w:val="21"/>
          <w:lang w:eastAsia="zh-CN"/>
        </w:rPr>
      </w:pPr>
    </w:p>
    <w:p w14:paraId="23F84375">
      <w:pPr>
        <w:pStyle w:val="16"/>
        <w:numPr>
          <w:ilvl w:val="0"/>
          <w:numId w:val="1"/>
        </w:numPr>
        <w:tabs>
          <w:tab w:val="left" w:pos="4476"/>
        </w:tabs>
        <w:snapToGrid w:val="0"/>
        <w:spacing w:line="300" w:lineRule="auto"/>
        <w:ind w:left="357" w:hanging="357"/>
        <w:jc w:val="both"/>
        <w:outlineLvl w:val="0"/>
        <w:rPr>
          <w:rFonts w:ascii="Arial" w:hAnsi="Arial" w:eastAsia="宋体" w:cs="Arial"/>
          <w:sz w:val="21"/>
          <w:szCs w:val="21"/>
          <w:lang w:eastAsia="zh-CN"/>
        </w:rPr>
      </w:pPr>
      <w:bookmarkStart w:id="9" w:name="_Toc484420982"/>
      <w:r>
        <w:rPr>
          <w:rFonts w:ascii="Arial" w:hAnsi="Arial" w:eastAsia="宋体" w:cs="Arial"/>
          <w:sz w:val="21"/>
          <w:szCs w:val="21"/>
          <w:lang w:eastAsia="zh-CN"/>
        </w:rPr>
        <w:t>与本指南相关的问题联系人</w:t>
      </w:r>
      <w:bookmarkEnd w:id="9"/>
    </w:p>
    <w:p w14:paraId="31CA637E">
      <w:pPr>
        <w:pStyle w:val="16"/>
        <w:tabs>
          <w:tab w:val="left" w:pos="4476"/>
        </w:tabs>
        <w:snapToGrid w:val="0"/>
        <w:spacing w:line="300" w:lineRule="auto"/>
        <w:ind w:left="775"/>
        <w:jc w:val="both"/>
        <w:rPr>
          <w:rFonts w:ascii="Arial" w:hAnsi="Arial" w:eastAsia="宋体" w:cs="Arial"/>
          <w:sz w:val="21"/>
          <w:szCs w:val="21"/>
          <w:lang w:eastAsia="zh-CN"/>
        </w:rPr>
      </w:pPr>
    </w:p>
    <w:p w14:paraId="3CC9B323">
      <w:pPr>
        <w:pStyle w:val="16"/>
        <w:tabs>
          <w:tab w:val="left" w:pos="4476"/>
        </w:tabs>
        <w:snapToGrid w:val="0"/>
        <w:spacing w:line="300" w:lineRule="auto"/>
        <w:ind w:left="775"/>
        <w:jc w:val="both"/>
        <w:rPr>
          <w:rFonts w:ascii="Arial" w:hAnsi="Arial" w:eastAsia="宋体" w:cs="Arial"/>
          <w:sz w:val="21"/>
          <w:szCs w:val="21"/>
          <w:lang w:eastAsia="zh-CN"/>
        </w:rPr>
      </w:pPr>
      <w:r>
        <w:rPr>
          <w:rFonts w:ascii="Arial" w:hAnsi="Arial" w:eastAsia="宋体" w:cs="Arial"/>
          <w:sz w:val="21"/>
          <w:szCs w:val="21"/>
          <w:lang w:eastAsia="zh-CN"/>
        </w:rPr>
        <w:t>关于本指南的任何一般性问题应以书面形式直接提交给感染控制器械科，牙科、感染控制和综合医院使用器械司、器械评估办公室的主管，地址为：HFZ-480，9200 Corporate Blvd.，Rockville，MD 20850或致电（301）443-8897。</w:t>
      </w:r>
    </w:p>
    <w:p w14:paraId="10154F61">
      <w:pPr>
        <w:snapToGrid w:val="0"/>
        <w:spacing w:line="300" w:lineRule="auto"/>
        <w:jc w:val="both"/>
        <w:rPr>
          <w:rFonts w:ascii="Arial" w:hAnsi="Arial" w:eastAsia="宋体" w:cs="Arial"/>
          <w:sz w:val="21"/>
          <w:szCs w:val="21"/>
          <w:lang w:eastAsia="zh-CN"/>
        </w:rPr>
        <w:sectPr>
          <w:footerReference r:id="rId4" w:type="default"/>
          <w:pgSz w:w="12240" w:h="15840"/>
          <w:pgMar w:top="1134" w:right="1134" w:bottom="1134" w:left="1134" w:header="720" w:footer="720" w:gutter="0"/>
          <w:pgNumType w:start="1"/>
          <w:cols w:space="720" w:num="1"/>
          <w:docGrid w:linePitch="299" w:charSpace="0"/>
        </w:sectPr>
      </w:pPr>
    </w:p>
    <w:p w14:paraId="119951B4">
      <w:pPr>
        <w:snapToGrid w:val="0"/>
        <w:spacing w:line="300" w:lineRule="auto"/>
        <w:jc w:val="both"/>
        <w:rPr>
          <w:rFonts w:ascii="Arial" w:hAnsi="Arial" w:eastAsia="宋体" w:cs="Arial"/>
          <w:b/>
          <w:bCs/>
          <w:sz w:val="21"/>
          <w:szCs w:val="21"/>
          <w:lang w:eastAsia="zh-CN"/>
        </w:rPr>
      </w:pPr>
    </w:p>
    <w:p w14:paraId="0D2CD604">
      <w:pPr>
        <w:pStyle w:val="16"/>
        <w:numPr>
          <w:ilvl w:val="0"/>
          <w:numId w:val="1"/>
        </w:numPr>
        <w:tabs>
          <w:tab w:val="left" w:pos="4476"/>
        </w:tabs>
        <w:snapToGrid w:val="0"/>
        <w:spacing w:line="300" w:lineRule="auto"/>
        <w:ind w:left="357" w:hanging="357"/>
        <w:jc w:val="both"/>
        <w:outlineLvl w:val="0"/>
        <w:rPr>
          <w:rFonts w:ascii="Arial" w:hAnsi="Arial" w:eastAsia="宋体" w:cs="Arial"/>
          <w:sz w:val="21"/>
          <w:szCs w:val="21"/>
          <w:lang w:eastAsia="zh-CN"/>
        </w:rPr>
      </w:pPr>
      <w:bookmarkStart w:id="10" w:name="_Toc484420983"/>
      <w:r>
        <w:rPr>
          <w:rFonts w:ascii="Arial" w:hAnsi="Arial" w:eastAsia="宋体" w:cs="Arial"/>
          <w:sz w:val="21"/>
          <w:szCs w:val="21"/>
          <w:lang w:eastAsia="zh-CN"/>
        </w:rPr>
        <w:t>再加工说明的审评员清单</w:t>
      </w:r>
      <w:bookmarkEnd w:id="10"/>
    </w:p>
    <w:p w14:paraId="314AA1CC">
      <w:pPr>
        <w:pStyle w:val="5"/>
        <w:snapToGrid w:val="0"/>
        <w:spacing w:before="172" w:line="300" w:lineRule="auto"/>
        <w:ind w:left="425"/>
        <w:jc w:val="both"/>
        <w:rPr>
          <w:rFonts w:ascii="Arial" w:hAnsi="Arial" w:eastAsia="宋体" w:cs="Arial"/>
          <w:b w:val="0"/>
          <w:bCs w:val="0"/>
          <w:sz w:val="21"/>
          <w:szCs w:val="21"/>
          <w:lang w:eastAsia="zh-CN"/>
        </w:rPr>
      </w:pPr>
      <w:r>
        <w:rPr>
          <w:rFonts w:ascii="Arial" w:hAnsi="Arial" w:eastAsia="宋体" w:cs="Arial"/>
          <w:sz w:val="21"/>
          <w:szCs w:val="21"/>
          <w:lang w:eastAsia="zh-CN"/>
        </w:rPr>
        <w:t>本清单是本指南第C节内容的概要。</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8789"/>
        <w:gridCol w:w="724"/>
      </w:tblGrid>
      <w:tr w14:paraId="2C71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A1C8B00">
            <w:pPr>
              <w:snapToGrid w:val="0"/>
              <w:spacing w:before="36" w:beforeLines="15" w:after="36" w:afterLines="15" w:line="280" w:lineRule="exact"/>
              <w:jc w:val="both"/>
              <w:rPr>
                <w:rFonts w:ascii="Arial" w:hAnsi="Arial" w:eastAsia="宋体" w:cs="Arial"/>
                <w:b/>
                <w:bCs/>
                <w:sz w:val="21"/>
                <w:szCs w:val="21"/>
                <w:lang w:eastAsia="zh-CN"/>
              </w:rPr>
            </w:pPr>
            <w:r>
              <w:rPr>
                <w:rFonts w:ascii="Arial" w:hAnsi="Arial" w:eastAsia="宋体" w:cs="Arial"/>
                <w:sz w:val="21"/>
                <w:szCs w:val="21"/>
                <w:lang w:eastAsia="zh-CN"/>
              </w:rPr>
              <w:t>编号</w:t>
            </w:r>
          </w:p>
        </w:tc>
        <w:tc>
          <w:tcPr>
            <w:tcW w:w="8789" w:type="dxa"/>
          </w:tcPr>
          <w:p w14:paraId="65429607">
            <w:pPr>
              <w:snapToGrid w:val="0"/>
              <w:spacing w:before="36" w:beforeLines="15" w:after="36" w:afterLines="15" w:line="280" w:lineRule="exact"/>
              <w:jc w:val="both"/>
              <w:rPr>
                <w:rFonts w:ascii="Arial" w:hAnsi="Arial" w:eastAsia="宋体" w:cs="Arial"/>
                <w:b/>
                <w:bCs/>
                <w:sz w:val="21"/>
                <w:szCs w:val="21"/>
                <w:lang w:eastAsia="zh-CN"/>
              </w:rPr>
            </w:pPr>
            <w:r>
              <w:rPr>
                <w:rFonts w:ascii="Arial" w:hAnsi="Arial" w:eastAsia="宋体" w:cs="Arial"/>
                <w:sz w:val="21"/>
                <w:szCs w:val="21"/>
                <w:lang w:eastAsia="zh-CN"/>
              </w:rPr>
              <w:t>问题：</w:t>
            </w:r>
          </w:p>
        </w:tc>
        <w:tc>
          <w:tcPr>
            <w:tcW w:w="724" w:type="dxa"/>
          </w:tcPr>
          <w:p w14:paraId="56DCF7B1">
            <w:pPr>
              <w:snapToGrid w:val="0"/>
              <w:spacing w:before="36" w:beforeLines="15" w:after="36" w:afterLines="15" w:line="280" w:lineRule="exact"/>
              <w:jc w:val="both"/>
              <w:rPr>
                <w:rFonts w:ascii="Arial" w:hAnsi="Arial" w:eastAsia="宋体" w:cs="Arial"/>
                <w:bCs/>
                <w:sz w:val="21"/>
                <w:szCs w:val="21"/>
                <w:lang w:eastAsia="zh-CN"/>
              </w:rPr>
            </w:pPr>
            <w:r>
              <w:rPr>
                <w:rFonts w:hint="eastAsia" w:ascii="Arial" w:hAnsi="Arial" w:eastAsia="宋体" w:cs="Arial"/>
                <w:bCs/>
                <w:sz w:val="21"/>
                <w:szCs w:val="21"/>
                <w:lang w:eastAsia="zh-CN"/>
              </w:rPr>
              <w:t>是/否</w:t>
            </w:r>
          </w:p>
        </w:tc>
      </w:tr>
      <w:tr w14:paraId="76F2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F67B8BC">
            <w:pPr>
              <w:snapToGrid w:val="0"/>
              <w:spacing w:before="36" w:beforeLines="15" w:after="36" w:afterLines="15" w:line="280" w:lineRule="exact"/>
              <w:jc w:val="both"/>
              <w:rPr>
                <w:rFonts w:ascii="Arial" w:hAnsi="Arial" w:eastAsia="宋体" w:cs="Arial"/>
                <w:bCs/>
                <w:sz w:val="21"/>
                <w:szCs w:val="21"/>
                <w:lang w:eastAsia="zh-CN"/>
              </w:rPr>
            </w:pPr>
            <w:r>
              <w:rPr>
                <w:rFonts w:hint="eastAsia" w:ascii="Arial" w:hAnsi="Arial" w:eastAsia="宋体" w:cs="Arial"/>
                <w:bCs/>
                <w:sz w:val="21"/>
                <w:szCs w:val="21"/>
                <w:lang w:eastAsia="zh-CN"/>
              </w:rPr>
              <w:t>1.</w:t>
            </w:r>
          </w:p>
        </w:tc>
        <w:tc>
          <w:tcPr>
            <w:tcW w:w="8789" w:type="dxa"/>
          </w:tcPr>
          <w:p w14:paraId="7E2D2126">
            <w:pPr>
              <w:pStyle w:val="17"/>
              <w:snapToGrid w:val="0"/>
              <w:spacing w:before="36" w:beforeLines="15" w:after="36" w:afterLines="15" w:line="280" w:lineRule="exact"/>
              <w:jc w:val="both"/>
              <w:rPr>
                <w:rFonts w:ascii="Arial" w:hAnsi="Arial" w:eastAsia="宋体" w:cs="Arial"/>
                <w:sz w:val="21"/>
                <w:szCs w:val="21"/>
                <w:lang w:eastAsia="zh-CN"/>
              </w:rPr>
            </w:pPr>
            <w:r>
              <w:rPr>
                <w:rFonts w:ascii="Arial" w:hAnsi="Arial" w:eastAsia="宋体" w:cs="Arial"/>
                <w:sz w:val="21"/>
                <w:szCs w:val="21"/>
                <w:lang w:eastAsia="zh-CN"/>
              </w:rPr>
              <w:t>器械是否（1）可重复使用，（2）以非无菌形式提供或（3）以无菌形式提供？标签是否常常包括再加工说明？</w:t>
            </w:r>
          </w:p>
          <w:p w14:paraId="0BA5D299">
            <w:pPr>
              <w:pStyle w:val="17"/>
              <w:snapToGrid w:val="0"/>
              <w:spacing w:before="36" w:beforeLines="15" w:after="36" w:afterLines="15" w:line="280" w:lineRule="exact"/>
              <w:jc w:val="both"/>
              <w:rPr>
                <w:rFonts w:ascii="Arial" w:hAnsi="Arial" w:eastAsia="宋体" w:cs="Arial"/>
                <w:sz w:val="21"/>
                <w:szCs w:val="21"/>
                <w:lang w:eastAsia="zh-CN"/>
              </w:rPr>
            </w:pPr>
            <w:r>
              <w:rPr>
                <w:rFonts w:ascii="Arial" w:hAnsi="Arial" w:eastAsia="宋体" w:cs="Arial"/>
                <w:sz w:val="21"/>
                <w:szCs w:val="21"/>
                <w:lang w:eastAsia="zh-CN"/>
              </w:rPr>
              <w:t>如果对其中任何一个问题的回答为</w:t>
            </w:r>
            <w:r>
              <w:rPr>
                <w:rFonts w:ascii="宋体" w:hAnsi="宋体" w:eastAsia="宋体" w:cs="Arial"/>
                <w:sz w:val="21"/>
                <w:szCs w:val="21"/>
                <w:lang w:eastAsia="zh-CN"/>
              </w:rPr>
              <w:t>“</w:t>
            </w:r>
            <w:r>
              <w:rPr>
                <w:rFonts w:ascii="Arial" w:hAnsi="Arial" w:eastAsia="宋体" w:cs="Arial"/>
                <w:sz w:val="21"/>
                <w:szCs w:val="21"/>
                <w:lang w:eastAsia="zh-CN"/>
              </w:rPr>
              <w:t>是</w:t>
            </w:r>
            <w:r>
              <w:rPr>
                <w:rFonts w:ascii="宋体" w:hAnsi="宋体" w:eastAsia="宋体" w:cs="Arial"/>
                <w:sz w:val="21"/>
                <w:szCs w:val="21"/>
                <w:lang w:eastAsia="zh-CN"/>
              </w:rPr>
              <w:t>”</w:t>
            </w:r>
            <w:r>
              <w:rPr>
                <w:rFonts w:ascii="Arial" w:hAnsi="Arial" w:eastAsia="宋体" w:cs="Arial"/>
                <w:sz w:val="21"/>
                <w:szCs w:val="21"/>
                <w:lang w:eastAsia="zh-CN"/>
              </w:rPr>
              <w:t>，继续审查说明。</w:t>
            </w:r>
          </w:p>
          <w:p w14:paraId="4C42BFBB">
            <w:pPr>
              <w:snapToGrid w:val="0"/>
              <w:spacing w:before="36" w:beforeLines="15" w:after="36" w:afterLines="15" w:line="280" w:lineRule="exact"/>
              <w:jc w:val="both"/>
              <w:rPr>
                <w:rFonts w:ascii="Arial" w:hAnsi="Arial" w:eastAsia="宋体" w:cs="Arial"/>
                <w:b/>
                <w:bCs/>
                <w:sz w:val="21"/>
                <w:szCs w:val="21"/>
                <w:lang w:eastAsia="zh-CN"/>
              </w:rPr>
            </w:pPr>
            <w:r>
              <w:rPr>
                <w:rFonts w:ascii="Arial" w:hAnsi="Arial" w:eastAsia="宋体" w:cs="Arial"/>
                <w:sz w:val="21"/>
                <w:szCs w:val="21"/>
                <w:lang w:eastAsia="zh-CN"/>
              </w:rPr>
              <w:t>如果对所有问题的回答为</w:t>
            </w:r>
            <w:r>
              <w:rPr>
                <w:rFonts w:ascii="宋体" w:hAnsi="宋体" w:eastAsia="宋体" w:cs="Arial"/>
                <w:sz w:val="21"/>
                <w:szCs w:val="21"/>
                <w:lang w:eastAsia="zh-CN"/>
              </w:rPr>
              <w:t>“</w:t>
            </w:r>
            <w:r>
              <w:rPr>
                <w:rFonts w:ascii="Arial" w:hAnsi="Arial" w:eastAsia="宋体" w:cs="Arial"/>
                <w:sz w:val="21"/>
                <w:szCs w:val="21"/>
                <w:lang w:eastAsia="zh-CN"/>
              </w:rPr>
              <w:t>否</w:t>
            </w:r>
            <w:r>
              <w:rPr>
                <w:rFonts w:ascii="宋体" w:hAnsi="宋体" w:eastAsia="宋体" w:cs="Arial"/>
                <w:sz w:val="21"/>
                <w:szCs w:val="21"/>
                <w:lang w:eastAsia="zh-CN"/>
              </w:rPr>
              <w:t>”</w:t>
            </w:r>
            <w:r>
              <w:rPr>
                <w:rFonts w:ascii="Arial" w:hAnsi="Arial" w:eastAsia="宋体" w:cs="Arial"/>
                <w:sz w:val="21"/>
                <w:szCs w:val="21"/>
                <w:lang w:eastAsia="zh-CN"/>
              </w:rPr>
              <w:t>，无需提供加工说明。</w:t>
            </w:r>
          </w:p>
        </w:tc>
        <w:tc>
          <w:tcPr>
            <w:tcW w:w="724" w:type="dxa"/>
          </w:tcPr>
          <w:p w14:paraId="5E94D3E7">
            <w:pPr>
              <w:snapToGrid w:val="0"/>
              <w:spacing w:before="36" w:beforeLines="15" w:after="36" w:afterLines="15" w:line="280" w:lineRule="exact"/>
              <w:jc w:val="both"/>
              <w:rPr>
                <w:rFonts w:ascii="Arial" w:hAnsi="Arial" w:eastAsia="宋体" w:cs="Arial"/>
                <w:b/>
                <w:bCs/>
                <w:sz w:val="21"/>
                <w:szCs w:val="21"/>
                <w:lang w:eastAsia="zh-CN"/>
              </w:rPr>
            </w:pPr>
          </w:p>
        </w:tc>
      </w:tr>
      <w:tr w14:paraId="7E2F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A15385B">
            <w:pPr>
              <w:snapToGrid w:val="0"/>
              <w:spacing w:before="36" w:beforeLines="15" w:after="36" w:afterLines="15" w:line="280" w:lineRule="exact"/>
              <w:jc w:val="both"/>
              <w:rPr>
                <w:rFonts w:ascii="Arial" w:hAnsi="Arial" w:eastAsia="宋体" w:cs="Arial"/>
                <w:bCs/>
                <w:sz w:val="21"/>
                <w:szCs w:val="21"/>
                <w:lang w:eastAsia="zh-CN"/>
              </w:rPr>
            </w:pPr>
            <w:r>
              <w:rPr>
                <w:rFonts w:hint="eastAsia" w:ascii="Arial" w:hAnsi="Arial" w:eastAsia="宋体" w:cs="Arial"/>
                <w:bCs/>
                <w:sz w:val="21"/>
                <w:szCs w:val="21"/>
                <w:lang w:eastAsia="zh-CN"/>
              </w:rPr>
              <w:t>2</w:t>
            </w:r>
            <w:r>
              <w:rPr>
                <w:rFonts w:ascii="Arial" w:hAnsi="Arial" w:eastAsia="宋体" w:cs="Arial"/>
                <w:bCs/>
                <w:sz w:val="21"/>
                <w:szCs w:val="21"/>
                <w:lang w:eastAsia="zh-CN"/>
              </w:rPr>
              <w:t>.</w:t>
            </w:r>
          </w:p>
        </w:tc>
        <w:tc>
          <w:tcPr>
            <w:tcW w:w="8789" w:type="dxa"/>
          </w:tcPr>
          <w:p w14:paraId="264B2800">
            <w:pPr>
              <w:pStyle w:val="17"/>
              <w:tabs>
                <w:tab w:val="center" w:pos="3788"/>
              </w:tabs>
              <w:snapToGrid w:val="0"/>
              <w:spacing w:before="36" w:beforeLines="15" w:after="36" w:afterLines="15" w:line="280" w:lineRule="exact"/>
              <w:jc w:val="both"/>
              <w:rPr>
                <w:rFonts w:ascii="Arial" w:hAnsi="Arial" w:eastAsia="宋体" w:cs="Arial"/>
                <w:sz w:val="21"/>
                <w:szCs w:val="21"/>
                <w:lang w:eastAsia="zh-CN"/>
              </w:rPr>
            </w:pPr>
            <w:r>
              <w:rPr>
                <w:rFonts w:ascii="Arial" w:hAnsi="Arial" w:eastAsia="宋体" w:cs="Arial"/>
                <w:sz w:val="21"/>
                <w:szCs w:val="21"/>
                <w:lang w:eastAsia="zh-CN"/>
              </w:rPr>
              <w:t>标签是否包括（再）加工说明？</w:t>
            </w:r>
          </w:p>
          <w:p w14:paraId="1AA55121">
            <w:pPr>
              <w:pStyle w:val="17"/>
              <w:snapToGrid w:val="0"/>
              <w:spacing w:before="36" w:beforeLines="15" w:after="36" w:afterLines="15" w:line="280" w:lineRule="exact"/>
              <w:jc w:val="both"/>
              <w:rPr>
                <w:rFonts w:ascii="Arial" w:hAnsi="Arial" w:eastAsia="宋体" w:cs="Arial"/>
                <w:sz w:val="21"/>
                <w:szCs w:val="21"/>
                <w:lang w:eastAsia="zh-CN"/>
              </w:rPr>
            </w:pPr>
            <w:r>
              <w:rPr>
                <w:rFonts w:ascii="Arial" w:hAnsi="Arial" w:eastAsia="宋体" w:cs="Arial"/>
                <w:sz w:val="21"/>
                <w:szCs w:val="21"/>
                <w:lang w:eastAsia="zh-CN"/>
              </w:rPr>
              <w:t>如果</w:t>
            </w:r>
            <w:r>
              <w:rPr>
                <w:rFonts w:ascii="宋体" w:hAnsi="宋体" w:eastAsia="宋体" w:cs="Arial"/>
                <w:sz w:val="21"/>
                <w:szCs w:val="21"/>
                <w:lang w:eastAsia="zh-CN"/>
              </w:rPr>
              <w:t>“</w:t>
            </w:r>
            <w:r>
              <w:rPr>
                <w:rFonts w:ascii="Arial" w:hAnsi="Arial" w:eastAsia="宋体" w:cs="Arial"/>
                <w:sz w:val="21"/>
                <w:szCs w:val="21"/>
                <w:lang w:eastAsia="zh-CN"/>
              </w:rPr>
              <w:t>是</w:t>
            </w:r>
            <w:r>
              <w:rPr>
                <w:rFonts w:ascii="宋体" w:hAnsi="宋体" w:eastAsia="宋体" w:cs="Arial"/>
                <w:sz w:val="21"/>
                <w:szCs w:val="21"/>
                <w:lang w:eastAsia="zh-CN"/>
              </w:rPr>
              <w:t>”</w:t>
            </w:r>
            <w:r>
              <w:rPr>
                <w:rFonts w:ascii="Arial" w:hAnsi="Arial" w:eastAsia="宋体" w:cs="Arial"/>
                <w:sz w:val="21"/>
                <w:szCs w:val="21"/>
                <w:lang w:eastAsia="zh-CN"/>
              </w:rPr>
              <w:t>，继续审查说明。</w:t>
            </w:r>
          </w:p>
          <w:p w14:paraId="222375A5">
            <w:pPr>
              <w:pStyle w:val="17"/>
              <w:snapToGrid w:val="0"/>
              <w:spacing w:before="36" w:beforeLines="15" w:after="36" w:afterLines="15" w:line="280" w:lineRule="exact"/>
              <w:jc w:val="both"/>
              <w:rPr>
                <w:rFonts w:ascii="Arial" w:hAnsi="Arial" w:eastAsia="宋体" w:cs="Arial"/>
                <w:sz w:val="21"/>
                <w:szCs w:val="21"/>
                <w:lang w:eastAsia="zh-CN"/>
              </w:rPr>
            </w:pPr>
            <w:r>
              <w:rPr>
                <w:rFonts w:ascii="Arial" w:hAnsi="Arial" w:eastAsia="宋体" w:cs="Arial"/>
                <w:sz w:val="21"/>
                <w:szCs w:val="21"/>
                <w:lang w:eastAsia="zh-CN"/>
              </w:rPr>
              <w:t>如果</w:t>
            </w:r>
            <w:r>
              <w:rPr>
                <w:rFonts w:ascii="宋体" w:hAnsi="宋体" w:eastAsia="宋体" w:cs="Arial"/>
                <w:sz w:val="21"/>
                <w:szCs w:val="21"/>
                <w:lang w:eastAsia="zh-CN"/>
              </w:rPr>
              <w:t>“</w:t>
            </w:r>
            <w:r>
              <w:rPr>
                <w:rFonts w:ascii="Arial" w:hAnsi="Arial" w:eastAsia="宋体" w:cs="Arial"/>
                <w:sz w:val="21"/>
                <w:szCs w:val="21"/>
                <w:lang w:eastAsia="zh-CN"/>
              </w:rPr>
              <w:t>否</w:t>
            </w:r>
            <w:r>
              <w:rPr>
                <w:rFonts w:ascii="宋体" w:hAnsi="宋体" w:eastAsia="宋体" w:cs="Arial"/>
                <w:sz w:val="21"/>
                <w:szCs w:val="21"/>
                <w:lang w:eastAsia="zh-CN"/>
              </w:rPr>
              <w:t>”</w:t>
            </w:r>
            <w:r>
              <w:rPr>
                <w:rFonts w:ascii="Arial" w:hAnsi="Arial" w:eastAsia="宋体" w:cs="Arial"/>
                <w:sz w:val="21"/>
                <w:szCs w:val="21"/>
                <w:lang w:eastAsia="zh-CN"/>
              </w:rPr>
              <w:t>，是否提供了省略理由？</w:t>
            </w:r>
          </w:p>
          <w:p w14:paraId="7099D9F1">
            <w:pPr>
              <w:snapToGrid w:val="0"/>
              <w:spacing w:before="36" w:beforeLines="15" w:after="36" w:afterLines="15" w:line="280" w:lineRule="exact"/>
              <w:jc w:val="both"/>
              <w:rPr>
                <w:rFonts w:ascii="Arial" w:hAnsi="Arial" w:eastAsia="宋体" w:cs="Arial"/>
                <w:b/>
                <w:bCs/>
                <w:sz w:val="21"/>
                <w:szCs w:val="21"/>
                <w:lang w:eastAsia="zh-CN"/>
              </w:rPr>
            </w:pPr>
            <w:r>
              <w:rPr>
                <w:rFonts w:ascii="Arial" w:hAnsi="Arial" w:eastAsia="宋体" w:cs="Arial"/>
                <w:sz w:val="21"/>
                <w:szCs w:val="21"/>
                <w:lang w:eastAsia="zh-CN"/>
              </w:rPr>
              <w:t>如果</w:t>
            </w:r>
            <w:r>
              <w:rPr>
                <w:rFonts w:ascii="宋体" w:hAnsi="宋体" w:eastAsia="宋体" w:cs="Arial"/>
                <w:sz w:val="21"/>
                <w:szCs w:val="21"/>
                <w:lang w:eastAsia="zh-CN"/>
              </w:rPr>
              <w:t>“</w:t>
            </w:r>
            <w:r>
              <w:rPr>
                <w:rFonts w:ascii="Arial" w:hAnsi="Arial" w:eastAsia="宋体" w:cs="Arial"/>
                <w:sz w:val="21"/>
                <w:szCs w:val="21"/>
                <w:lang w:eastAsia="zh-CN"/>
              </w:rPr>
              <w:t>否</w:t>
            </w:r>
            <w:r>
              <w:rPr>
                <w:rFonts w:ascii="宋体" w:hAnsi="宋体" w:eastAsia="宋体" w:cs="Arial"/>
                <w:sz w:val="21"/>
                <w:szCs w:val="21"/>
                <w:lang w:eastAsia="zh-CN"/>
              </w:rPr>
              <w:t>”</w:t>
            </w:r>
            <w:r>
              <w:rPr>
                <w:rFonts w:ascii="Arial" w:hAnsi="Arial" w:eastAsia="宋体" w:cs="Arial"/>
                <w:sz w:val="21"/>
                <w:szCs w:val="21"/>
                <w:lang w:eastAsia="zh-CN"/>
              </w:rPr>
              <w:t>，停止审查重复使用说明。标签具有缺陷。</w:t>
            </w:r>
          </w:p>
        </w:tc>
        <w:tc>
          <w:tcPr>
            <w:tcW w:w="724" w:type="dxa"/>
          </w:tcPr>
          <w:p w14:paraId="2489F730">
            <w:pPr>
              <w:snapToGrid w:val="0"/>
              <w:spacing w:before="36" w:beforeLines="15" w:after="36" w:afterLines="15" w:line="280" w:lineRule="exact"/>
              <w:jc w:val="both"/>
              <w:rPr>
                <w:rFonts w:ascii="Arial" w:hAnsi="Arial" w:eastAsia="宋体" w:cs="Arial"/>
                <w:b/>
                <w:bCs/>
                <w:sz w:val="21"/>
                <w:szCs w:val="21"/>
                <w:lang w:eastAsia="zh-CN"/>
              </w:rPr>
            </w:pPr>
          </w:p>
        </w:tc>
      </w:tr>
      <w:tr w14:paraId="36BC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61AED62">
            <w:pPr>
              <w:snapToGrid w:val="0"/>
              <w:spacing w:before="36" w:beforeLines="15" w:after="36" w:afterLines="15" w:line="280" w:lineRule="exact"/>
              <w:jc w:val="both"/>
              <w:rPr>
                <w:rFonts w:ascii="Arial" w:hAnsi="Arial" w:eastAsia="宋体" w:cs="Arial"/>
                <w:bCs/>
                <w:sz w:val="21"/>
                <w:szCs w:val="21"/>
                <w:lang w:eastAsia="zh-CN"/>
              </w:rPr>
            </w:pPr>
            <w:r>
              <w:rPr>
                <w:rFonts w:hint="eastAsia" w:ascii="Arial" w:hAnsi="Arial" w:eastAsia="宋体" w:cs="Arial"/>
                <w:bCs/>
                <w:sz w:val="21"/>
                <w:szCs w:val="21"/>
                <w:lang w:eastAsia="zh-CN"/>
              </w:rPr>
              <w:t>3.</w:t>
            </w:r>
          </w:p>
        </w:tc>
        <w:tc>
          <w:tcPr>
            <w:tcW w:w="8789" w:type="dxa"/>
          </w:tcPr>
          <w:p w14:paraId="7609CBA4">
            <w:pPr>
              <w:snapToGrid w:val="0"/>
              <w:spacing w:before="36" w:beforeLines="15" w:after="36" w:afterLines="15" w:line="280" w:lineRule="exact"/>
              <w:jc w:val="both"/>
              <w:rPr>
                <w:rFonts w:ascii="Arial" w:hAnsi="Arial" w:eastAsia="宋体" w:cs="Arial"/>
                <w:b/>
                <w:bCs/>
                <w:sz w:val="21"/>
                <w:szCs w:val="21"/>
                <w:lang w:eastAsia="zh-CN"/>
              </w:rPr>
            </w:pPr>
            <w:r>
              <w:rPr>
                <w:rFonts w:ascii="Arial" w:hAnsi="Arial" w:eastAsia="宋体" w:cs="Arial"/>
                <w:sz w:val="21"/>
                <w:szCs w:val="21"/>
                <w:lang w:eastAsia="zh-CN"/>
              </w:rPr>
              <w:t>是否存在清洁说明（请参见第4页）？</w:t>
            </w:r>
          </w:p>
        </w:tc>
        <w:tc>
          <w:tcPr>
            <w:tcW w:w="724" w:type="dxa"/>
          </w:tcPr>
          <w:p w14:paraId="4A9C1CC1">
            <w:pPr>
              <w:snapToGrid w:val="0"/>
              <w:spacing w:before="36" w:beforeLines="15" w:after="36" w:afterLines="15" w:line="280" w:lineRule="exact"/>
              <w:jc w:val="both"/>
              <w:rPr>
                <w:rFonts w:ascii="Arial" w:hAnsi="Arial" w:eastAsia="宋体" w:cs="Arial"/>
                <w:b/>
                <w:bCs/>
                <w:sz w:val="21"/>
                <w:szCs w:val="21"/>
                <w:lang w:eastAsia="zh-CN"/>
              </w:rPr>
            </w:pPr>
          </w:p>
        </w:tc>
      </w:tr>
      <w:tr w14:paraId="3E42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775A7AC">
            <w:pPr>
              <w:snapToGrid w:val="0"/>
              <w:spacing w:before="36" w:beforeLines="15" w:after="36" w:afterLines="15" w:line="280" w:lineRule="exact"/>
              <w:jc w:val="both"/>
              <w:rPr>
                <w:rFonts w:ascii="Arial" w:hAnsi="Arial" w:eastAsia="宋体" w:cs="Arial"/>
                <w:bCs/>
                <w:sz w:val="21"/>
                <w:szCs w:val="21"/>
                <w:lang w:eastAsia="zh-CN"/>
              </w:rPr>
            </w:pPr>
            <w:r>
              <w:rPr>
                <w:rFonts w:hint="eastAsia" w:ascii="Arial" w:hAnsi="Arial" w:eastAsia="宋体" w:cs="Arial"/>
                <w:bCs/>
                <w:sz w:val="21"/>
                <w:szCs w:val="21"/>
                <w:lang w:eastAsia="zh-CN"/>
              </w:rPr>
              <w:t>4.</w:t>
            </w:r>
          </w:p>
        </w:tc>
        <w:tc>
          <w:tcPr>
            <w:tcW w:w="8789" w:type="dxa"/>
          </w:tcPr>
          <w:p w14:paraId="7967554D">
            <w:pPr>
              <w:snapToGrid w:val="0"/>
              <w:spacing w:before="36" w:beforeLines="15" w:after="36" w:afterLines="15" w:line="280" w:lineRule="exact"/>
              <w:jc w:val="both"/>
              <w:rPr>
                <w:rFonts w:ascii="Arial" w:hAnsi="Arial" w:eastAsia="宋体" w:cs="Arial"/>
                <w:b/>
                <w:bCs/>
                <w:sz w:val="21"/>
                <w:szCs w:val="21"/>
                <w:lang w:eastAsia="zh-CN"/>
              </w:rPr>
            </w:pPr>
            <w:r>
              <w:rPr>
                <w:rFonts w:ascii="Arial" w:hAnsi="Arial" w:eastAsia="宋体" w:cs="Arial"/>
                <w:sz w:val="21"/>
                <w:szCs w:val="21"/>
                <w:lang w:eastAsia="zh-CN"/>
              </w:rPr>
              <w:t>所示杀菌过程是否正确（请参见第5页和附录1与2）？</w:t>
            </w:r>
          </w:p>
        </w:tc>
        <w:tc>
          <w:tcPr>
            <w:tcW w:w="724" w:type="dxa"/>
          </w:tcPr>
          <w:p w14:paraId="1EB2F2D3">
            <w:pPr>
              <w:snapToGrid w:val="0"/>
              <w:spacing w:before="36" w:beforeLines="15" w:after="36" w:afterLines="15" w:line="280" w:lineRule="exact"/>
              <w:jc w:val="both"/>
              <w:rPr>
                <w:rFonts w:ascii="Arial" w:hAnsi="Arial" w:eastAsia="宋体" w:cs="Arial"/>
                <w:b/>
                <w:bCs/>
                <w:sz w:val="21"/>
                <w:szCs w:val="21"/>
                <w:lang w:eastAsia="zh-CN"/>
              </w:rPr>
            </w:pPr>
          </w:p>
        </w:tc>
      </w:tr>
      <w:tr w14:paraId="0412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AF48344">
            <w:pPr>
              <w:snapToGrid w:val="0"/>
              <w:spacing w:before="36" w:beforeLines="15" w:after="36" w:afterLines="15" w:line="280" w:lineRule="exact"/>
              <w:jc w:val="both"/>
              <w:rPr>
                <w:rFonts w:ascii="Arial" w:hAnsi="Arial" w:eastAsia="宋体" w:cs="Arial"/>
                <w:bCs/>
                <w:sz w:val="21"/>
                <w:szCs w:val="21"/>
                <w:lang w:eastAsia="zh-CN"/>
              </w:rPr>
            </w:pPr>
            <w:r>
              <w:rPr>
                <w:rFonts w:hint="eastAsia" w:ascii="Arial" w:hAnsi="Arial" w:eastAsia="宋体" w:cs="Arial"/>
                <w:bCs/>
                <w:sz w:val="21"/>
                <w:szCs w:val="21"/>
                <w:lang w:eastAsia="zh-CN"/>
              </w:rPr>
              <w:t>5.</w:t>
            </w:r>
          </w:p>
        </w:tc>
        <w:tc>
          <w:tcPr>
            <w:tcW w:w="8789" w:type="dxa"/>
          </w:tcPr>
          <w:p w14:paraId="50C19625">
            <w:pPr>
              <w:snapToGrid w:val="0"/>
              <w:spacing w:before="36" w:beforeLines="15" w:after="36" w:afterLines="15" w:line="280" w:lineRule="exact"/>
              <w:jc w:val="both"/>
              <w:rPr>
                <w:rFonts w:ascii="Arial" w:hAnsi="Arial" w:eastAsia="宋体" w:cs="Arial"/>
                <w:b/>
                <w:bCs/>
                <w:sz w:val="21"/>
                <w:szCs w:val="21"/>
                <w:lang w:eastAsia="zh-CN"/>
              </w:rPr>
            </w:pPr>
            <w:r>
              <w:rPr>
                <w:rFonts w:ascii="Arial" w:hAnsi="Arial" w:eastAsia="宋体" w:cs="Arial"/>
                <w:sz w:val="21"/>
                <w:szCs w:val="21"/>
                <w:lang w:eastAsia="zh-CN"/>
              </w:rPr>
              <w:t>该过程是否已经确认（请参见声明和信息，B部分）？</w:t>
            </w:r>
          </w:p>
        </w:tc>
        <w:tc>
          <w:tcPr>
            <w:tcW w:w="724" w:type="dxa"/>
          </w:tcPr>
          <w:p w14:paraId="7C98A9DA">
            <w:pPr>
              <w:snapToGrid w:val="0"/>
              <w:spacing w:before="36" w:beforeLines="15" w:after="36" w:afterLines="15" w:line="280" w:lineRule="exact"/>
              <w:jc w:val="both"/>
              <w:rPr>
                <w:rFonts w:ascii="Arial" w:hAnsi="Arial" w:eastAsia="宋体" w:cs="Arial"/>
                <w:b/>
                <w:bCs/>
                <w:sz w:val="21"/>
                <w:szCs w:val="21"/>
                <w:lang w:eastAsia="zh-CN"/>
              </w:rPr>
            </w:pPr>
          </w:p>
        </w:tc>
      </w:tr>
      <w:tr w14:paraId="14C1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79FF4F6">
            <w:pPr>
              <w:snapToGrid w:val="0"/>
              <w:spacing w:before="36" w:beforeLines="15" w:after="36" w:afterLines="15" w:line="280" w:lineRule="exact"/>
              <w:jc w:val="both"/>
              <w:rPr>
                <w:rFonts w:ascii="Arial" w:hAnsi="Arial" w:eastAsia="宋体" w:cs="Arial"/>
                <w:bCs/>
                <w:sz w:val="21"/>
                <w:szCs w:val="21"/>
                <w:lang w:eastAsia="zh-CN"/>
              </w:rPr>
            </w:pPr>
            <w:r>
              <w:rPr>
                <w:rFonts w:hint="eastAsia" w:ascii="Arial" w:hAnsi="Arial" w:eastAsia="宋体" w:cs="Arial"/>
                <w:bCs/>
                <w:sz w:val="21"/>
                <w:szCs w:val="21"/>
                <w:lang w:eastAsia="zh-CN"/>
              </w:rPr>
              <w:t>6</w:t>
            </w:r>
          </w:p>
        </w:tc>
        <w:tc>
          <w:tcPr>
            <w:tcW w:w="8789" w:type="dxa"/>
          </w:tcPr>
          <w:p w14:paraId="1B1E8746">
            <w:pPr>
              <w:pStyle w:val="17"/>
              <w:snapToGrid w:val="0"/>
              <w:spacing w:before="36" w:beforeLines="15" w:after="36" w:afterLines="15" w:line="280" w:lineRule="exact"/>
              <w:jc w:val="both"/>
              <w:rPr>
                <w:rFonts w:ascii="Arial" w:hAnsi="Arial" w:eastAsia="宋体" w:cs="Arial"/>
                <w:sz w:val="21"/>
                <w:szCs w:val="21"/>
                <w:lang w:eastAsia="zh-CN"/>
              </w:rPr>
            </w:pPr>
            <w:r>
              <w:rPr>
                <w:rFonts w:ascii="Arial" w:hAnsi="Arial" w:eastAsia="宋体" w:cs="Arial"/>
                <w:sz w:val="21"/>
                <w:szCs w:val="21"/>
                <w:lang w:eastAsia="zh-CN"/>
              </w:rPr>
              <w:t>该过程是否可行（请参见第5页）？</w:t>
            </w:r>
          </w:p>
        </w:tc>
        <w:tc>
          <w:tcPr>
            <w:tcW w:w="724" w:type="dxa"/>
          </w:tcPr>
          <w:p w14:paraId="7CE4E520">
            <w:pPr>
              <w:snapToGrid w:val="0"/>
              <w:spacing w:before="36" w:beforeLines="15" w:after="36" w:afterLines="15" w:line="280" w:lineRule="exact"/>
              <w:jc w:val="both"/>
              <w:rPr>
                <w:rFonts w:ascii="Arial" w:hAnsi="Arial" w:eastAsia="宋体" w:cs="Arial"/>
                <w:b/>
                <w:bCs/>
                <w:sz w:val="21"/>
                <w:szCs w:val="21"/>
                <w:lang w:eastAsia="zh-CN"/>
              </w:rPr>
            </w:pPr>
          </w:p>
        </w:tc>
      </w:tr>
      <w:tr w14:paraId="64ED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74D37E4">
            <w:pPr>
              <w:snapToGrid w:val="0"/>
              <w:spacing w:before="36" w:beforeLines="15" w:after="36" w:afterLines="15" w:line="280" w:lineRule="exact"/>
              <w:jc w:val="both"/>
              <w:rPr>
                <w:rFonts w:ascii="Arial" w:hAnsi="Arial" w:eastAsia="宋体" w:cs="Arial"/>
                <w:bCs/>
                <w:sz w:val="21"/>
                <w:szCs w:val="21"/>
                <w:lang w:eastAsia="zh-CN"/>
              </w:rPr>
            </w:pPr>
            <w:r>
              <w:rPr>
                <w:rFonts w:hint="eastAsia" w:ascii="Arial" w:hAnsi="Arial" w:eastAsia="宋体" w:cs="Arial"/>
                <w:bCs/>
                <w:sz w:val="21"/>
                <w:szCs w:val="21"/>
                <w:lang w:eastAsia="zh-CN"/>
              </w:rPr>
              <w:t>7.</w:t>
            </w:r>
          </w:p>
        </w:tc>
        <w:tc>
          <w:tcPr>
            <w:tcW w:w="8789" w:type="dxa"/>
          </w:tcPr>
          <w:p w14:paraId="56CA2533">
            <w:pPr>
              <w:pStyle w:val="17"/>
              <w:snapToGrid w:val="0"/>
              <w:spacing w:before="36" w:beforeLines="15" w:after="36" w:afterLines="15" w:line="280" w:lineRule="exact"/>
              <w:jc w:val="both"/>
              <w:rPr>
                <w:rFonts w:ascii="Arial" w:hAnsi="Arial" w:eastAsia="宋体" w:cs="Arial"/>
                <w:sz w:val="21"/>
                <w:szCs w:val="21"/>
                <w:lang w:eastAsia="zh-CN"/>
              </w:rPr>
            </w:pPr>
            <w:r>
              <w:rPr>
                <w:rFonts w:ascii="Arial" w:hAnsi="Arial" w:eastAsia="宋体" w:cs="Arial"/>
                <w:sz w:val="21"/>
                <w:szCs w:val="21"/>
                <w:lang w:eastAsia="zh-CN"/>
              </w:rPr>
              <w:t>该过程是否可理解（请参见第6页）？</w:t>
            </w:r>
          </w:p>
        </w:tc>
        <w:tc>
          <w:tcPr>
            <w:tcW w:w="724" w:type="dxa"/>
          </w:tcPr>
          <w:p w14:paraId="6A1EA5C9">
            <w:pPr>
              <w:snapToGrid w:val="0"/>
              <w:spacing w:before="36" w:beforeLines="15" w:after="36" w:afterLines="15" w:line="280" w:lineRule="exact"/>
              <w:jc w:val="both"/>
              <w:rPr>
                <w:rFonts w:ascii="Arial" w:hAnsi="Arial" w:eastAsia="宋体" w:cs="Arial"/>
                <w:b/>
                <w:bCs/>
                <w:sz w:val="21"/>
                <w:szCs w:val="21"/>
                <w:lang w:eastAsia="zh-CN"/>
              </w:rPr>
            </w:pPr>
          </w:p>
        </w:tc>
      </w:tr>
      <w:tr w14:paraId="6F18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AEF31BB">
            <w:pPr>
              <w:snapToGrid w:val="0"/>
              <w:spacing w:before="36" w:beforeLines="15" w:after="36" w:afterLines="15" w:line="280" w:lineRule="exact"/>
              <w:jc w:val="both"/>
              <w:rPr>
                <w:rFonts w:ascii="Arial" w:hAnsi="Arial" w:eastAsia="宋体" w:cs="Arial"/>
                <w:bCs/>
                <w:sz w:val="21"/>
                <w:szCs w:val="21"/>
                <w:lang w:eastAsia="zh-CN"/>
              </w:rPr>
            </w:pPr>
            <w:r>
              <w:rPr>
                <w:rFonts w:hint="eastAsia" w:ascii="Arial" w:hAnsi="Arial" w:eastAsia="宋体" w:cs="Arial"/>
                <w:bCs/>
                <w:sz w:val="21"/>
                <w:szCs w:val="21"/>
                <w:lang w:eastAsia="zh-CN"/>
              </w:rPr>
              <w:t>8</w:t>
            </w:r>
            <w:r>
              <w:rPr>
                <w:rFonts w:ascii="Arial" w:hAnsi="Arial" w:eastAsia="宋体" w:cs="Arial"/>
                <w:bCs/>
                <w:sz w:val="21"/>
                <w:szCs w:val="21"/>
                <w:lang w:eastAsia="zh-CN"/>
              </w:rPr>
              <w:t>.</w:t>
            </w:r>
          </w:p>
        </w:tc>
        <w:tc>
          <w:tcPr>
            <w:tcW w:w="8789" w:type="dxa"/>
          </w:tcPr>
          <w:p w14:paraId="28F4E95B">
            <w:pPr>
              <w:pStyle w:val="17"/>
              <w:tabs>
                <w:tab w:val="left" w:pos="490"/>
              </w:tabs>
              <w:snapToGrid w:val="0"/>
              <w:spacing w:before="36" w:beforeLines="15" w:after="36" w:afterLines="15" w:line="280" w:lineRule="exact"/>
              <w:jc w:val="both"/>
              <w:rPr>
                <w:rFonts w:ascii="Arial" w:hAnsi="Arial" w:eastAsia="宋体" w:cs="Arial"/>
                <w:sz w:val="21"/>
                <w:szCs w:val="21"/>
                <w:lang w:eastAsia="zh-CN"/>
              </w:rPr>
            </w:pPr>
            <w:r>
              <w:rPr>
                <w:rFonts w:ascii="Arial" w:hAnsi="Arial" w:eastAsia="宋体" w:cs="Arial"/>
                <w:sz w:val="21"/>
                <w:szCs w:val="21"/>
                <w:lang w:eastAsia="zh-CN"/>
              </w:rPr>
              <w:t>该过程是否全面（请参见第6-9页）？</w:t>
            </w:r>
          </w:p>
          <w:p w14:paraId="25E3AB00">
            <w:pPr>
              <w:pStyle w:val="17"/>
              <w:tabs>
                <w:tab w:val="left" w:pos="490"/>
              </w:tabs>
              <w:snapToGrid w:val="0"/>
              <w:spacing w:before="36" w:beforeLines="15" w:after="36" w:afterLines="15" w:line="280" w:lineRule="exact"/>
              <w:jc w:val="both"/>
              <w:rPr>
                <w:rFonts w:ascii="Arial" w:hAnsi="Arial" w:eastAsia="宋体" w:cs="Arial"/>
                <w:sz w:val="21"/>
                <w:szCs w:val="21"/>
                <w:lang w:eastAsia="zh-CN"/>
              </w:rPr>
            </w:pPr>
            <w:r>
              <w:rPr>
                <w:rFonts w:ascii="Arial" w:hAnsi="Arial" w:eastAsia="宋体" w:cs="Arial"/>
                <w:sz w:val="21"/>
                <w:szCs w:val="21"/>
                <w:lang w:eastAsia="zh-CN"/>
              </w:rPr>
              <w:t>特殊附件</w:t>
            </w:r>
          </w:p>
          <w:p w14:paraId="06DF78E0">
            <w:pPr>
              <w:pStyle w:val="17"/>
              <w:tabs>
                <w:tab w:val="left" w:pos="490"/>
              </w:tabs>
              <w:snapToGrid w:val="0"/>
              <w:spacing w:before="36" w:beforeLines="15" w:after="36" w:afterLines="15" w:line="280" w:lineRule="exact"/>
              <w:jc w:val="both"/>
              <w:rPr>
                <w:rFonts w:ascii="Arial" w:hAnsi="Arial" w:eastAsia="宋体" w:cs="Arial"/>
                <w:sz w:val="21"/>
                <w:szCs w:val="21"/>
                <w:lang w:eastAsia="zh-CN"/>
              </w:rPr>
            </w:pPr>
            <w:r>
              <w:rPr>
                <w:rFonts w:ascii="Arial" w:hAnsi="Arial" w:eastAsia="宋体" w:cs="Arial"/>
                <w:sz w:val="21"/>
                <w:szCs w:val="21"/>
                <w:lang w:eastAsia="zh-CN"/>
              </w:rPr>
              <w:t>特殊加工前处理</w:t>
            </w:r>
          </w:p>
          <w:p w14:paraId="5DE706B0">
            <w:pPr>
              <w:pStyle w:val="17"/>
              <w:tabs>
                <w:tab w:val="left" w:pos="490"/>
              </w:tabs>
              <w:snapToGrid w:val="0"/>
              <w:spacing w:before="36" w:beforeLines="15" w:after="36" w:afterLines="15" w:line="280" w:lineRule="exact"/>
              <w:jc w:val="both"/>
              <w:rPr>
                <w:rFonts w:ascii="Arial" w:hAnsi="Arial" w:eastAsia="宋体" w:cs="Arial"/>
                <w:sz w:val="21"/>
                <w:szCs w:val="21"/>
                <w:lang w:eastAsia="zh-CN"/>
              </w:rPr>
            </w:pPr>
            <w:r>
              <w:rPr>
                <w:rFonts w:ascii="Arial" w:hAnsi="Arial" w:eastAsia="宋体" w:cs="Arial"/>
                <w:sz w:val="21"/>
                <w:szCs w:val="21"/>
                <w:lang w:eastAsia="zh-CN"/>
              </w:rPr>
              <w:t>拆卸/重新组装</w:t>
            </w:r>
          </w:p>
          <w:p w14:paraId="231CAE96">
            <w:pPr>
              <w:pStyle w:val="17"/>
              <w:tabs>
                <w:tab w:val="left" w:pos="490"/>
              </w:tabs>
              <w:snapToGrid w:val="0"/>
              <w:spacing w:before="36" w:beforeLines="15" w:after="36" w:afterLines="15" w:line="280" w:lineRule="exact"/>
              <w:jc w:val="both"/>
              <w:rPr>
                <w:rFonts w:ascii="Arial" w:hAnsi="Arial" w:eastAsia="宋体" w:cs="Arial"/>
                <w:sz w:val="21"/>
                <w:szCs w:val="21"/>
                <w:lang w:eastAsia="zh-CN"/>
              </w:rPr>
            </w:pPr>
            <w:r>
              <w:rPr>
                <w:rFonts w:ascii="Arial" w:hAnsi="Arial" w:eastAsia="宋体" w:cs="Arial"/>
                <w:sz w:val="21"/>
                <w:szCs w:val="21"/>
                <w:lang w:eastAsia="zh-CN"/>
              </w:rPr>
              <w:t>清洁方法</w:t>
            </w:r>
          </w:p>
          <w:p w14:paraId="442CCCC4">
            <w:pPr>
              <w:pStyle w:val="17"/>
              <w:tabs>
                <w:tab w:val="left" w:pos="490"/>
              </w:tabs>
              <w:snapToGrid w:val="0"/>
              <w:spacing w:before="36" w:beforeLines="15" w:after="36" w:afterLines="15" w:line="280" w:lineRule="exact"/>
              <w:jc w:val="both"/>
              <w:rPr>
                <w:rFonts w:ascii="Arial" w:hAnsi="Arial" w:eastAsia="宋体" w:cs="Arial"/>
                <w:sz w:val="21"/>
                <w:szCs w:val="21"/>
                <w:lang w:eastAsia="zh-CN"/>
              </w:rPr>
            </w:pPr>
            <w:r>
              <w:rPr>
                <w:rFonts w:ascii="Arial" w:hAnsi="Arial" w:eastAsia="宋体" w:cs="Arial"/>
                <w:sz w:val="21"/>
                <w:szCs w:val="21"/>
                <w:lang w:eastAsia="zh-CN"/>
              </w:rPr>
              <w:t>清洁/润滑剂</w:t>
            </w:r>
          </w:p>
          <w:p w14:paraId="03A68057">
            <w:pPr>
              <w:pStyle w:val="17"/>
              <w:tabs>
                <w:tab w:val="left" w:pos="490"/>
              </w:tabs>
              <w:snapToGrid w:val="0"/>
              <w:spacing w:before="36" w:beforeLines="15" w:after="36" w:afterLines="15" w:line="280" w:lineRule="exact"/>
              <w:jc w:val="both"/>
              <w:rPr>
                <w:rFonts w:ascii="Arial" w:hAnsi="Arial" w:eastAsia="宋体" w:cs="Arial"/>
                <w:sz w:val="21"/>
                <w:szCs w:val="21"/>
                <w:lang w:eastAsia="zh-CN"/>
              </w:rPr>
            </w:pPr>
            <w:r>
              <w:rPr>
                <w:rFonts w:ascii="Arial" w:hAnsi="Arial" w:eastAsia="宋体" w:cs="Arial"/>
                <w:sz w:val="21"/>
                <w:szCs w:val="21"/>
                <w:lang w:eastAsia="zh-CN"/>
              </w:rPr>
              <w:t>冲洗</w:t>
            </w:r>
          </w:p>
          <w:p w14:paraId="1C8249ED">
            <w:pPr>
              <w:pStyle w:val="17"/>
              <w:tabs>
                <w:tab w:val="left" w:pos="490"/>
              </w:tabs>
              <w:snapToGrid w:val="0"/>
              <w:spacing w:before="36" w:beforeLines="15" w:after="36" w:afterLines="15" w:line="280" w:lineRule="exact"/>
              <w:jc w:val="both"/>
              <w:rPr>
                <w:rFonts w:ascii="Arial" w:hAnsi="Arial" w:eastAsia="宋体" w:cs="Arial"/>
                <w:sz w:val="21"/>
                <w:szCs w:val="21"/>
                <w:lang w:eastAsia="zh-CN"/>
              </w:rPr>
            </w:pPr>
            <w:r>
              <w:rPr>
                <w:rFonts w:ascii="Arial" w:hAnsi="Arial" w:eastAsia="宋体" w:cs="Arial"/>
                <w:sz w:val="21"/>
                <w:szCs w:val="21"/>
                <w:lang w:eastAsia="zh-CN"/>
              </w:rPr>
              <w:t>消毒或灭菌方法</w:t>
            </w:r>
          </w:p>
          <w:p w14:paraId="0A402CEE">
            <w:pPr>
              <w:pStyle w:val="17"/>
              <w:tabs>
                <w:tab w:val="left" w:pos="490"/>
              </w:tabs>
              <w:snapToGrid w:val="0"/>
              <w:spacing w:before="36" w:beforeLines="15" w:after="36" w:afterLines="15" w:line="280" w:lineRule="exact"/>
              <w:jc w:val="both"/>
              <w:rPr>
                <w:rFonts w:ascii="Arial" w:hAnsi="Arial" w:eastAsia="宋体" w:cs="Arial"/>
                <w:sz w:val="21"/>
                <w:szCs w:val="21"/>
                <w:lang w:eastAsia="zh-CN"/>
              </w:rPr>
            </w:pPr>
            <w:r>
              <w:rPr>
                <w:rFonts w:ascii="Arial" w:hAnsi="Arial" w:eastAsia="宋体" w:cs="Arial"/>
                <w:sz w:val="21"/>
                <w:szCs w:val="21"/>
                <w:lang w:eastAsia="zh-CN"/>
              </w:rPr>
              <w:t>特殊加工后处理</w:t>
            </w:r>
          </w:p>
          <w:p w14:paraId="24E8B7BD">
            <w:pPr>
              <w:pStyle w:val="17"/>
              <w:tabs>
                <w:tab w:val="left" w:pos="490"/>
              </w:tabs>
              <w:snapToGrid w:val="0"/>
              <w:spacing w:before="36" w:beforeLines="15" w:after="36" w:afterLines="15" w:line="280" w:lineRule="exact"/>
              <w:jc w:val="both"/>
              <w:rPr>
                <w:rFonts w:ascii="Arial" w:hAnsi="Arial" w:eastAsia="宋体" w:cs="Arial"/>
                <w:sz w:val="21"/>
                <w:szCs w:val="21"/>
                <w:lang w:eastAsia="zh-CN"/>
              </w:rPr>
            </w:pPr>
            <w:r>
              <w:rPr>
                <w:rFonts w:ascii="Arial" w:hAnsi="Arial" w:eastAsia="宋体" w:cs="Arial"/>
                <w:sz w:val="21"/>
                <w:szCs w:val="21"/>
                <w:lang w:eastAsia="zh-CN"/>
              </w:rPr>
              <w:t>重复使用寿命</w:t>
            </w:r>
          </w:p>
          <w:p w14:paraId="0F095D42">
            <w:pPr>
              <w:pStyle w:val="17"/>
              <w:tabs>
                <w:tab w:val="left" w:pos="490"/>
              </w:tabs>
              <w:snapToGrid w:val="0"/>
              <w:spacing w:before="36" w:beforeLines="15" w:after="36" w:afterLines="15" w:line="280" w:lineRule="exact"/>
              <w:jc w:val="both"/>
              <w:rPr>
                <w:rFonts w:ascii="Arial" w:hAnsi="Arial" w:eastAsia="宋体" w:cs="Arial"/>
                <w:sz w:val="21"/>
                <w:szCs w:val="21"/>
                <w:lang w:eastAsia="zh-CN"/>
              </w:rPr>
            </w:pPr>
            <w:r>
              <w:rPr>
                <w:rFonts w:ascii="Arial" w:hAnsi="Arial" w:eastAsia="宋体" w:cs="Arial"/>
                <w:sz w:val="21"/>
                <w:szCs w:val="21"/>
                <w:lang w:eastAsia="zh-CN"/>
              </w:rPr>
              <w:t>特殊警告/注意事项</w:t>
            </w:r>
          </w:p>
          <w:p w14:paraId="36CD603E">
            <w:pPr>
              <w:pStyle w:val="17"/>
              <w:tabs>
                <w:tab w:val="left" w:pos="490"/>
              </w:tabs>
              <w:snapToGrid w:val="0"/>
              <w:spacing w:before="36" w:beforeLines="15" w:after="36" w:afterLines="15" w:line="280" w:lineRule="exact"/>
              <w:jc w:val="both"/>
              <w:rPr>
                <w:rFonts w:ascii="Arial" w:hAnsi="Arial" w:eastAsia="宋体" w:cs="Arial"/>
                <w:sz w:val="21"/>
                <w:szCs w:val="21"/>
                <w:lang w:eastAsia="zh-CN"/>
              </w:rPr>
            </w:pPr>
            <w:r>
              <w:rPr>
                <w:rFonts w:ascii="Arial" w:hAnsi="Arial" w:eastAsia="宋体" w:cs="Arial"/>
                <w:sz w:val="21"/>
                <w:szCs w:val="21"/>
                <w:lang w:eastAsia="zh-CN"/>
              </w:rPr>
              <w:t>外行使用</w:t>
            </w:r>
          </w:p>
          <w:p w14:paraId="272F81EC">
            <w:pPr>
              <w:pStyle w:val="17"/>
              <w:tabs>
                <w:tab w:val="left" w:pos="490"/>
              </w:tabs>
              <w:snapToGrid w:val="0"/>
              <w:spacing w:before="36" w:beforeLines="15" w:after="36" w:afterLines="15" w:line="280" w:lineRule="exact"/>
              <w:jc w:val="both"/>
              <w:rPr>
                <w:rFonts w:ascii="Arial" w:hAnsi="Arial" w:eastAsia="宋体" w:cs="Arial"/>
                <w:sz w:val="21"/>
                <w:szCs w:val="21"/>
                <w:lang w:eastAsia="zh-CN"/>
              </w:rPr>
            </w:pPr>
            <w:r>
              <w:rPr>
                <w:rFonts w:ascii="Arial" w:hAnsi="Arial" w:eastAsia="宋体" w:cs="Arial"/>
                <w:sz w:val="21"/>
                <w:szCs w:val="21"/>
                <w:lang w:eastAsia="zh-CN"/>
              </w:rPr>
              <w:t>指导性文件或附件标签的参考</w:t>
            </w:r>
          </w:p>
          <w:p w14:paraId="2FBA0448">
            <w:pPr>
              <w:pStyle w:val="17"/>
              <w:tabs>
                <w:tab w:val="left" w:pos="490"/>
              </w:tabs>
              <w:snapToGrid w:val="0"/>
              <w:spacing w:before="36" w:beforeLines="15" w:after="36" w:afterLines="15" w:line="280" w:lineRule="exact"/>
              <w:jc w:val="both"/>
              <w:rPr>
                <w:rFonts w:ascii="Arial" w:hAnsi="Arial" w:eastAsia="宋体" w:cs="Arial"/>
                <w:sz w:val="21"/>
                <w:szCs w:val="21"/>
                <w:lang w:eastAsia="zh-CN"/>
              </w:rPr>
            </w:pPr>
            <w:r>
              <w:rPr>
                <w:rFonts w:ascii="Arial" w:hAnsi="Arial" w:eastAsia="宋体" w:cs="Arial"/>
                <w:sz w:val="21"/>
                <w:szCs w:val="21"/>
                <w:lang w:eastAsia="zh-CN"/>
              </w:rPr>
              <w:t>电话号码</w:t>
            </w:r>
          </w:p>
          <w:p w14:paraId="7871FCE0">
            <w:pPr>
              <w:snapToGrid w:val="0"/>
              <w:spacing w:before="36" w:beforeLines="15" w:after="36" w:afterLines="15" w:line="280" w:lineRule="exact"/>
              <w:jc w:val="both"/>
              <w:rPr>
                <w:rFonts w:ascii="Arial" w:hAnsi="Arial" w:eastAsia="宋体" w:cs="Arial"/>
                <w:b/>
                <w:bCs/>
                <w:sz w:val="21"/>
                <w:szCs w:val="21"/>
                <w:lang w:eastAsia="zh-CN"/>
              </w:rPr>
            </w:pPr>
            <w:r>
              <w:rPr>
                <w:rFonts w:ascii="Arial" w:hAnsi="Arial" w:eastAsia="宋体" w:cs="Arial"/>
                <w:sz w:val="21"/>
                <w:szCs w:val="21"/>
                <w:lang w:eastAsia="zh-CN"/>
              </w:rPr>
              <w:t>偏离的用户认证</w:t>
            </w:r>
          </w:p>
        </w:tc>
        <w:tc>
          <w:tcPr>
            <w:tcW w:w="724" w:type="dxa"/>
          </w:tcPr>
          <w:p w14:paraId="3CDECD89">
            <w:pPr>
              <w:snapToGrid w:val="0"/>
              <w:spacing w:before="36" w:beforeLines="15" w:after="36" w:afterLines="15" w:line="280" w:lineRule="exact"/>
              <w:jc w:val="both"/>
              <w:rPr>
                <w:rFonts w:ascii="Arial" w:hAnsi="Arial" w:eastAsia="宋体" w:cs="Arial"/>
                <w:b/>
                <w:bCs/>
                <w:sz w:val="21"/>
                <w:szCs w:val="21"/>
                <w:lang w:eastAsia="zh-CN"/>
              </w:rPr>
            </w:pPr>
          </w:p>
        </w:tc>
      </w:tr>
      <w:tr w14:paraId="6EBB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F670A5C">
            <w:pPr>
              <w:snapToGrid w:val="0"/>
              <w:spacing w:before="36" w:beforeLines="15" w:after="36" w:afterLines="15" w:line="280" w:lineRule="exact"/>
              <w:jc w:val="both"/>
              <w:rPr>
                <w:rFonts w:ascii="Arial" w:hAnsi="Arial" w:eastAsia="宋体" w:cs="Arial"/>
                <w:bCs/>
                <w:sz w:val="21"/>
                <w:szCs w:val="21"/>
                <w:lang w:eastAsia="zh-CN"/>
              </w:rPr>
            </w:pPr>
            <w:r>
              <w:rPr>
                <w:rFonts w:hint="eastAsia" w:ascii="Arial" w:hAnsi="Arial" w:eastAsia="宋体" w:cs="Arial"/>
                <w:bCs/>
                <w:sz w:val="21"/>
                <w:szCs w:val="21"/>
                <w:lang w:eastAsia="zh-CN"/>
              </w:rPr>
              <w:t>9.</w:t>
            </w:r>
          </w:p>
        </w:tc>
        <w:tc>
          <w:tcPr>
            <w:tcW w:w="8789" w:type="dxa"/>
          </w:tcPr>
          <w:p w14:paraId="58380F1A">
            <w:pPr>
              <w:snapToGrid w:val="0"/>
              <w:spacing w:before="36" w:beforeLines="15" w:after="36" w:afterLines="15" w:line="280" w:lineRule="exact"/>
              <w:jc w:val="both"/>
              <w:rPr>
                <w:rFonts w:ascii="Arial" w:hAnsi="Arial" w:eastAsia="宋体" w:cs="Arial"/>
                <w:b/>
                <w:bCs/>
                <w:sz w:val="21"/>
                <w:szCs w:val="21"/>
                <w:lang w:eastAsia="zh-CN"/>
              </w:rPr>
            </w:pPr>
            <w:r>
              <w:rPr>
                <w:rFonts w:ascii="Arial" w:hAnsi="Arial" w:eastAsia="宋体" w:cs="Arial"/>
                <w:sz w:val="21"/>
                <w:szCs w:val="21"/>
                <w:lang w:eastAsia="zh-CN"/>
              </w:rPr>
              <w:t>是否有推荐的已合法上市附件？</w:t>
            </w:r>
          </w:p>
        </w:tc>
        <w:tc>
          <w:tcPr>
            <w:tcW w:w="724" w:type="dxa"/>
          </w:tcPr>
          <w:p w14:paraId="77DAC106">
            <w:pPr>
              <w:snapToGrid w:val="0"/>
              <w:spacing w:before="36" w:beforeLines="15" w:after="36" w:afterLines="15" w:line="280" w:lineRule="exact"/>
              <w:jc w:val="both"/>
              <w:rPr>
                <w:rFonts w:ascii="Arial" w:hAnsi="Arial" w:eastAsia="宋体" w:cs="Arial"/>
                <w:b/>
                <w:bCs/>
                <w:sz w:val="21"/>
                <w:szCs w:val="21"/>
                <w:lang w:eastAsia="zh-CN"/>
              </w:rPr>
            </w:pPr>
          </w:p>
        </w:tc>
      </w:tr>
    </w:tbl>
    <w:p w14:paraId="38BDC49F">
      <w:pPr>
        <w:snapToGrid w:val="0"/>
        <w:spacing w:before="11" w:line="300" w:lineRule="auto"/>
        <w:jc w:val="both"/>
        <w:rPr>
          <w:rFonts w:ascii="Arial" w:hAnsi="Arial" w:eastAsia="宋体" w:cs="Arial"/>
          <w:b/>
          <w:bCs/>
          <w:sz w:val="21"/>
          <w:szCs w:val="21"/>
          <w:lang w:eastAsia="zh-CN"/>
        </w:rPr>
      </w:pPr>
    </w:p>
    <w:p w14:paraId="4A7527AC">
      <w:pPr>
        <w:snapToGrid w:val="0"/>
        <w:spacing w:before="11" w:line="300" w:lineRule="auto"/>
        <w:jc w:val="both"/>
        <w:rPr>
          <w:rFonts w:ascii="Arial" w:hAnsi="Arial" w:eastAsia="宋体" w:cs="Arial"/>
          <w:b/>
          <w:bCs/>
          <w:sz w:val="21"/>
          <w:szCs w:val="21"/>
          <w:lang w:eastAsia="zh-CN"/>
        </w:rPr>
      </w:pPr>
    </w:p>
    <w:p w14:paraId="3A0FA229">
      <w:pPr>
        <w:snapToGrid w:val="0"/>
        <w:spacing w:before="11" w:line="300" w:lineRule="auto"/>
        <w:jc w:val="both"/>
        <w:rPr>
          <w:rFonts w:ascii="Arial" w:hAnsi="Arial" w:eastAsia="宋体" w:cs="Arial"/>
          <w:b/>
          <w:bCs/>
          <w:sz w:val="21"/>
          <w:szCs w:val="21"/>
          <w:lang w:eastAsia="zh-CN"/>
        </w:rPr>
      </w:pPr>
    </w:p>
    <w:p w14:paraId="6B0281F1">
      <w:pPr>
        <w:snapToGrid w:val="0"/>
        <w:spacing w:line="300" w:lineRule="auto"/>
        <w:jc w:val="both"/>
        <w:rPr>
          <w:rFonts w:ascii="Arial" w:hAnsi="Arial" w:eastAsia="宋体" w:cs="Arial"/>
          <w:b/>
          <w:bCs/>
          <w:sz w:val="21"/>
          <w:szCs w:val="21"/>
          <w:lang w:eastAsia="zh-CN"/>
        </w:rPr>
      </w:pPr>
    </w:p>
    <w:p w14:paraId="2373AFF3">
      <w:pPr>
        <w:snapToGrid w:val="0"/>
        <w:spacing w:line="300" w:lineRule="auto"/>
        <w:ind w:left="4851"/>
        <w:jc w:val="both"/>
        <w:rPr>
          <w:rFonts w:ascii="Arial" w:hAnsi="Arial" w:eastAsia="宋体" w:cs="Arial"/>
          <w:sz w:val="21"/>
          <w:szCs w:val="21"/>
        </w:rPr>
      </w:pPr>
    </w:p>
    <w:p w14:paraId="6B95D1E0">
      <w:pPr>
        <w:snapToGrid w:val="0"/>
        <w:spacing w:line="300" w:lineRule="auto"/>
        <w:jc w:val="both"/>
        <w:rPr>
          <w:rFonts w:ascii="Arial" w:hAnsi="Arial" w:eastAsia="宋体" w:cs="Arial"/>
          <w:sz w:val="21"/>
          <w:szCs w:val="21"/>
        </w:rPr>
        <w:sectPr>
          <w:pgSz w:w="12240" w:h="15840"/>
          <w:pgMar w:top="1134" w:right="1134" w:bottom="1134" w:left="1134" w:header="720" w:footer="720" w:gutter="0"/>
          <w:cols w:space="720" w:num="1"/>
          <w:docGrid w:linePitch="299" w:charSpace="0"/>
        </w:sectPr>
      </w:pPr>
    </w:p>
    <w:p w14:paraId="6941D87D">
      <w:pPr>
        <w:pStyle w:val="16"/>
        <w:tabs>
          <w:tab w:val="left" w:pos="4476"/>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附录1</w:t>
      </w:r>
    </w:p>
    <w:p w14:paraId="40990CAF">
      <w:pPr>
        <w:pStyle w:val="21"/>
      </w:pPr>
      <w:bookmarkStart w:id="11" w:name="_Toc484421037"/>
      <w:r>
        <w:t>再加工分类</w:t>
      </w:r>
      <w:bookmarkEnd w:id="11"/>
    </w:p>
    <w:p w14:paraId="3E048C25">
      <w:pPr>
        <w:pStyle w:val="16"/>
        <w:tabs>
          <w:tab w:val="left" w:pos="4476"/>
        </w:tabs>
        <w:snapToGrid w:val="0"/>
        <w:spacing w:line="300" w:lineRule="auto"/>
        <w:jc w:val="both"/>
        <w:rPr>
          <w:rFonts w:ascii="Arial" w:hAnsi="Arial" w:eastAsia="宋体" w:cs="Arial"/>
          <w:sz w:val="21"/>
          <w:szCs w:val="21"/>
          <w:lang w:eastAsia="zh-CN"/>
        </w:rPr>
      </w:pPr>
    </w:p>
    <w:p w14:paraId="7A70D700">
      <w:pPr>
        <w:pStyle w:val="16"/>
        <w:tabs>
          <w:tab w:val="left" w:pos="4476"/>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关键器械</w:t>
      </w:r>
      <w:r>
        <w:rPr>
          <w:rFonts w:ascii="Arial" w:hAnsi="Arial" w:eastAsia="宋体" w:cs="Arial"/>
          <w:sz w:val="21"/>
          <w:szCs w:val="21"/>
          <w:vertAlign w:val="superscript"/>
          <w:lang w:eastAsia="zh-CN"/>
        </w:rPr>
        <w:t>1</w:t>
      </w:r>
      <w:r>
        <w:rPr>
          <w:rFonts w:ascii="Arial" w:hAnsi="Arial" w:eastAsia="宋体" w:cs="Arial"/>
          <w:sz w:val="21"/>
          <w:szCs w:val="21"/>
          <w:lang w:eastAsia="zh-CN"/>
        </w:rPr>
        <w:t>：旨在进入正常无菌环境、无菌组织或脉管系统的医疗器械。如果其受到任何微生物的污染，关键器械将造成高感染风险。</w:t>
      </w:r>
      <w:r>
        <w:rPr>
          <w:rFonts w:hint="eastAsia" w:ascii="Arial" w:hAnsi="Arial" w:eastAsia="宋体" w:cs="Arial"/>
          <w:sz w:val="21"/>
          <w:szCs w:val="21"/>
          <w:u w:val="single"/>
          <w:lang w:eastAsia="zh-CN"/>
        </w:rPr>
        <w:t>在重新使用前，必须彻底清洁和消毒关键器械。</w:t>
      </w:r>
      <w:r>
        <w:rPr>
          <w:rFonts w:ascii="Arial" w:hAnsi="Arial" w:eastAsia="宋体" w:cs="Arial"/>
          <w:sz w:val="21"/>
          <w:szCs w:val="21"/>
          <w:lang w:eastAsia="zh-CN"/>
        </w:rPr>
        <w:t>可重复使用关键器械的示例包括手术工具、硬性内窥镜和缝针。</w:t>
      </w:r>
    </w:p>
    <w:p w14:paraId="23528EF3">
      <w:pPr>
        <w:pStyle w:val="16"/>
        <w:tabs>
          <w:tab w:val="left" w:pos="4476"/>
        </w:tabs>
        <w:snapToGrid w:val="0"/>
        <w:spacing w:line="300" w:lineRule="auto"/>
        <w:jc w:val="both"/>
        <w:rPr>
          <w:rFonts w:ascii="Arial" w:hAnsi="Arial" w:eastAsia="宋体" w:cs="Arial"/>
          <w:sz w:val="21"/>
          <w:szCs w:val="21"/>
          <w:lang w:eastAsia="zh-CN"/>
        </w:rPr>
      </w:pPr>
    </w:p>
    <w:p w14:paraId="119795BD">
      <w:pPr>
        <w:pStyle w:val="16"/>
        <w:tabs>
          <w:tab w:val="left" w:pos="4476"/>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半关键器械：旨在与黏膜接触或轻微破坏皮肤的医疗器械。黏膜通常耐受处于中等水平的大多数细菌的感染，但可能对某些病原体较为敏感，皮肤受损可为感染创造机会，但对于轻微破坏，并不一定需要无菌器械。如果半关键器械具有高风险，或已知会受到高水平、污染物传播的病原体的污染，则需要进行额外的加工。</w:t>
      </w:r>
      <w:r>
        <w:rPr>
          <w:rFonts w:hint="eastAsia" w:ascii="Arial" w:hAnsi="Arial" w:eastAsia="宋体" w:cs="Arial"/>
          <w:sz w:val="21"/>
          <w:szCs w:val="21"/>
          <w:u w:val="single"/>
          <w:lang w:eastAsia="zh-CN"/>
        </w:rPr>
        <w:t>半关键器械必须彻底清洁并经受具有广谱活性的杀菌过程。优选情况下，应进行灭菌，但如果无法进行灭菌，可进行高水平消毒。</w:t>
      </w:r>
      <w:r>
        <w:rPr>
          <w:rFonts w:ascii="Arial" w:hAnsi="Arial" w:eastAsia="宋体" w:cs="Arial"/>
          <w:sz w:val="21"/>
          <w:szCs w:val="21"/>
          <w:lang w:eastAsia="zh-CN"/>
        </w:rPr>
        <w:t>半关键可重复使用器械的示例包括胃肠（GI）内窥镜（经口和直肠）和泌尿（GU）内窥镜（经尿道））。</w:t>
      </w:r>
    </w:p>
    <w:p w14:paraId="1892EF90">
      <w:pPr>
        <w:pStyle w:val="16"/>
        <w:tabs>
          <w:tab w:val="left" w:pos="4476"/>
        </w:tabs>
        <w:snapToGrid w:val="0"/>
        <w:spacing w:line="300" w:lineRule="auto"/>
        <w:jc w:val="both"/>
        <w:rPr>
          <w:rFonts w:ascii="Arial" w:hAnsi="Arial" w:eastAsia="宋体" w:cs="Arial"/>
          <w:sz w:val="21"/>
          <w:szCs w:val="21"/>
          <w:lang w:eastAsia="zh-CN"/>
        </w:rPr>
      </w:pPr>
    </w:p>
    <w:p w14:paraId="584BA431">
      <w:pPr>
        <w:pStyle w:val="16"/>
        <w:tabs>
          <w:tab w:val="left" w:pos="4476"/>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非关键患者接触器械：与完好皮肤接触的医疗器械。感染的风险很低。</w:t>
      </w:r>
      <w:r>
        <w:rPr>
          <w:rFonts w:hint="eastAsia" w:ascii="Arial" w:hAnsi="Arial" w:eastAsia="宋体" w:cs="Arial"/>
          <w:sz w:val="21"/>
          <w:szCs w:val="21"/>
          <w:u w:val="single"/>
          <w:lang w:eastAsia="zh-CN"/>
        </w:rPr>
        <w:t>器械必须彻底清洁。如果担心病原体交叉传播，则应该使用中等水平消毒剂，否则可使用低水平消毒剂进行处理，或者在某些情况下，可进行单独彻底清洁。</w:t>
      </w:r>
      <w:r>
        <w:rPr>
          <w:rFonts w:ascii="Arial" w:hAnsi="Arial" w:eastAsia="宋体" w:cs="Arial"/>
          <w:sz w:val="21"/>
          <w:szCs w:val="21"/>
          <w:lang w:eastAsia="zh-CN"/>
        </w:rPr>
        <w:t>这些可重复使用器械的示例包括血压袖带、听诊器和皮肤电极。</w:t>
      </w:r>
    </w:p>
    <w:p w14:paraId="2789C949">
      <w:pPr>
        <w:pStyle w:val="16"/>
        <w:tabs>
          <w:tab w:val="left" w:pos="4476"/>
        </w:tabs>
        <w:snapToGrid w:val="0"/>
        <w:spacing w:line="300" w:lineRule="auto"/>
        <w:jc w:val="both"/>
        <w:rPr>
          <w:rFonts w:ascii="Arial" w:hAnsi="Arial" w:eastAsia="宋体" w:cs="Arial"/>
          <w:sz w:val="21"/>
          <w:szCs w:val="21"/>
          <w:lang w:eastAsia="zh-CN"/>
        </w:rPr>
      </w:pPr>
    </w:p>
    <w:p w14:paraId="3C1B8EFE">
      <w:pPr>
        <w:pStyle w:val="16"/>
        <w:tabs>
          <w:tab w:val="left" w:pos="4476"/>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医疗设备：通常不直接与患者接触的器械或器械组件。其可以作为交叉污染的载体。</w:t>
      </w:r>
      <w:r>
        <w:rPr>
          <w:rFonts w:hint="eastAsia" w:ascii="Arial" w:hAnsi="Arial" w:eastAsia="宋体" w:cs="Arial"/>
          <w:sz w:val="21"/>
          <w:szCs w:val="21"/>
          <w:u w:val="single"/>
          <w:lang w:eastAsia="zh-CN"/>
        </w:rPr>
        <w:t>应实施与非关键器械相同水平的护理。</w:t>
      </w:r>
      <w:r>
        <w:rPr>
          <w:rFonts w:ascii="Arial" w:hAnsi="Arial" w:eastAsia="宋体" w:cs="Arial"/>
          <w:sz w:val="21"/>
          <w:szCs w:val="21"/>
          <w:lang w:eastAsia="zh-CN"/>
        </w:rPr>
        <w:t>示例包括灯、台架和诊疗台。</w:t>
      </w:r>
    </w:p>
    <w:p w14:paraId="276EAE9F">
      <w:pPr>
        <w:pStyle w:val="16"/>
        <w:tabs>
          <w:tab w:val="left" w:pos="4476"/>
        </w:tabs>
        <w:snapToGrid w:val="0"/>
        <w:spacing w:line="300" w:lineRule="auto"/>
        <w:jc w:val="both"/>
        <w:rPr>
          <w:rFonts w:ascii="Arial" w:hAnsi="Arial" w:eastAsia="宋体" w:cs="Arial"/>
          <w:sz w:val="21"/>
          <w:szCs w:val="21"/>
          <w:lang w:eastAsia="zh-CN"/>
        </w:rPr>
      </w:pPr>
    </w:p>
    <w:p w14:paraId="1C070F62">
      <w:pPr>
        <w:pStyle w:val="16"/>
        <w:tabs>
          <w:tab w:val="left" w:pos="4476"/>
        </w:tabs>
        <w:snapToGrid w:val="0"/>
        <w:spacing w:line="300" w:lineRule="auto"/>
        <w:jc w:val="both"/>
        <w:rPr>
          <w:rFonts w:ascii="Arial" w:hAnsi="Arial" w:eastAsia="宋体" w:cs="Arial"/>
          <w:sz w:val="21"/>
          <w:szCs w:val="21"/>
          <w:lang w:eastAsia="zh-CN"/>
        </w:rPr>
      </w:pPr>
    </w:p>
    <w:p w14:paraId="48C7445B">
      <w:pPr>
        <w:pStyle w:val="16"/>
        <w:tabs>
          <w:tab w:val="left" w:pos="4476"/>
        </w:tabs>
        <w:snapToGrid w:val="0"/>
        <w:spacing w:line="300" w:lineRule="auto"/>
        <w:jc w:val="both"/>
        <w:rPr>
          <w:rFonts w:ascii="Arial" w:hAnsi="Arial" w:eastAsia="宋体" w:cs="Arial"/>
          <w:sz w:val="21"/>
          <w:szCs w:val="21"/>
          <w:lang w:eastAsia="zh-CN"/>
        </w:rPr>
      </w:pPr>
    </w:p>
    <w:p w14:paraId="4312A72C">
      <w:pPr>
        <w:pStyle w:val="16"/>
        <w:tabs>
          <w:tab w:val="left" w:pos="4476"/>
        </w:tabs>
        <w:snapToGrid w:val="0"/>
        <w:spacing w:line="300" w:lineRule="auto"/>
        <w:jc w:val="both"/>
        <w:rPr>
          <w:rFonts w:ascii="Arial" w:hAnsi="Arial" w:eastAsia="宋体" w:cs="Arial"/>
          <w:sz w:val="21"/>
          <w:szCs w:val="21"/>
          <w:lang w:eastAsia="zh-CN"/>
        </w:rPr>
      </w:pPr>
    </w:p>
    <w:p w14:paraId="6AE769AD">
      <w:pPr>
        <w:pStyle w:val="16"/>
        <w:tabs>
          <w:tab w:val="left" w:pos="4476"/>
        </w:tabs>
        <w:snapToGrid w:val="0"/>
        <w:spacing w:line="300" w:lineRule="auto"/>
        <w:jc w:val="both"/>
        <w:rPr>
          <w:rFonts w:ascii="Arial" w:hAnsi="Arial" w:eastAsia="宋体" w:cs="Arial"/>
          <w:sz w:val="21"/>
          <w:szCs w:val="21"/>
          <w:lang w:eastAsia="zh-CN"/>
        </w:rPr>
      </w:pPr>
    </w:p>
    <w:p w14:paraId="74766AB1">
      <w:pPr>
        <w:pStyle w:val="16"/>
        <w:tabs>
          <w:tab w:val="left" w:pos="4476"/>
        </w:tabs>
        <w:snapToGrid w:val="0"/>
        <w:spacing w:line="300" w:lineRule="auto"/>
        <w:jc w:val="both"/>
        <w:rPr>
          <w:rFonts w:ascii="Arial" w:hAnsi="Arial" w:eastAsia="宋体" w:cs="Arial"/>
          <w:sz w:val="21"/>
          <w:szCs w:val="21"/>
          <w:lang w:eastAsia="zh-CN"/>
        </w:rPr>
      </w:pPr>
    </w:p>
    <w:p w14:paraId="74CAB308">
      <w:pPr>
        <w:snapToGrid w:val="0"/>
        <w:spacing w:line="300" w:lineRule="auto"/>
        <w:ind w:hanging="5"/>
        <w:jc w:val="both"/>
        <w:rPr>
          <w:rFonts w:ascii="Arial" w:hAnsi="Arial" w:eastAsia="宋体" w:cs="Arial"/>
          <w:b/>
          <w:w w:val="95"/>
          <w:sz w:val="21"/>
          <w:szCs w:val="21"/>
        </w:rPr>
      </w:pPr>
      <w:r>
        <w:rPr>
          <w:rFonts w:ascii="Arial" w:hAnsi="Arial" w:eastAsia="宋体" w:cs="Arial"/>
          <w:b/>
          <w:sz w:val="21"/>
          <w:szCs w:val="21"/>
          <w:lang w:eastAsia="zh-CN"/>
        </w:rPr>
        <mc:AlternateContent>
          <mc:Choice Requires="wpg">
            <w:drawing>
              <wp:inline distT="0" distB="0" distL="0" distR="0">
                <wp:extent cx="1773555" cy="8890"/>
                <wp:effectExtent l="9525" t="9525" r="7620" b="635"/>
                <wp:docPr id="10" name="Group 42"/>
                <wp:cNvGraphicFramePr/>
                <a:graphic xmlns:a="http://schemas.openxmlformats.org/drawingml/2006/main">
                  <a:graphicData uri="http://schemas.microsoft.com/office/word/2010/wordprocessingGroup">
                    <wpg:wgp>
                      <wpg:cNvGrpSpPr/>
                      <wpg:grpSpPr>
                        <a:xfrm>
                          <a:off x="0" y="0"/>
                          <a:ext cx="1773555" cy="8890"/>
                          <a:chOff x="0" y="0"/>
                          <a:chExt cx="2793" cy="14"/>
                        </a:xfrm>
                      </wpg:grpSpPr>
                      <wpg:grpSp>
                        <wpg:cNvPr id="11" name="Group 43"/>
                        <wpg:cNvGrpSpPr/>
                        <wpg:grpSpPr>
                          <a:xfrm>
                            <a:off x="7" y="7"/>
                            <a:ext cx="2779" cy="2"/>
                            <a:chOff x="7" y="7"/>
                            <a:chExt cx="2779" cy="2"/>
                          </a:xfrm>
                        </wpg:grpSpPr>
                        <wps:wsp>
                          <wps:cNvPr id="12" name="Freeform 44"/>
                          <wps:cNvSpPr/>
                          <wps:spPr bwMode="auto">
                            <a:xfrm>
                              <a:off x="7" y="7"/>
                              <a:ext cx="2779" cy="2"/>
                            </a:xfrm>
                            <a:custGeom>
                              <a:avLst/>
                              <a:gdLst>
                                <a:gd name="T0" fmla="+- 0 7 7"/>
                                <a:gd name="T1" fmla="*/ T0 w 2779"/>
                                <a:gd name="T2" fmla="+- 0 2786 7"/>
                                <a:gd name="T3" fmla="*/ T2 w 2779"/>
                              </a:gdLst>
                              <a:ahLst/>
                              <a:cxnLst>
                                <a:cxn ang="0">
                                  <a:pos x="T1" y="0"/>
                                </a:cxn>
                                <a:cxn ang="0">
                                  <a:pos x="T3" y="0"/>
                                </a:cxn>
                              </a:cxnLst>
                              <a:rect l="0" t="0" r="r" b="b"/>
                              <a:pathLst>
                                <a:path w="2779">
                                  <a:moveTo>
                                    <a:pt x="0" y="0"/>
                                  </a:moveTo>
                                  <a:lnTo>
                                    <a:pt x="2779" y="0"/>
                                  </a:lnTo>
                                </a:path>
                              </a:pathLst>
                            </a:custGeom>
                            <a:noFill/>
                            <a:ln w="8778">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42" o:spid="_x0000_s1026" o:spt="203" style="height:0.7pt;width:139.65pt;" coordsize="2793,14" o:gfxdata="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L9I4/bVAAAAAwEAAA8AAAAAAAAAAQAgAAAAIgAAAGRycy9kb3du&#10;cmV2LnhtbFBLAQIUABQAAAAIAIdO4kCaSwRwHwMAAP4HAAAOAAAAAAAAAAEAIAAAACQBAABkcnMv&#10;ZTJvRG9jLnhtbFBLBQYAAAAABgAGAFkBAAC1BgAAAAA=&#10;">
                <o:lock v:ext="edit" aspectratio="f"/>
                <v:group id="Group 43" o:spid="_x0000_s1026" o:spt="203" style="position:absolute;left:7;top:7;height:2;width:2779;" coordorigin="7,7" coordsize="2779,2"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Freeform 44" o:spid="_x0000_s1026" o:spt="100" style="position:absolute;left:7;top:7;height:2;width:2779;" filled="f" stroked="t" coordsize="2779,1" o:gfxdata="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iyjrugAAANsA&#10;AAAPAAAAAAAAAAEAIAAAACIAAABkcnMvZG93bnJldi54bWxQSwECFAAUAAAACACHTuJAMy8FnjsA&#10;AAA5AAAAEAAAAAAAAAABACAAAAAJAQAAZHJzL3NoYXBleG1sLnhtbFBLBQYAAAAABgAGAFsBAACz&#10;AwAAAAA=&#10;" path="m0,0l2779,0e">
                    <v:path o:connectlocs="0,0;2779,0" o:connectangles="0,0"/>
                    <v:fill on="f" focussize="0,0"/>
                    <v:stroke weight="0.691181102362205pt" color="#000000" joinstyle="round"/>
                    <v:imagedata o:title=""/>
                    <o:lock v:ext="edit" aspectratio="f"/>
                  </v:shape>
                </v:group>
                <w10:wrap type="none"/>
                <w10:anchorlock/>
              </v:group>
            </w:pict>
          </mc:Fallback>
        </mc:AlternateContent>
      </w:r>
    </w:p>
    <w:p w14:paraId="35670CE1">
      <w:pPr>
        <w:tabs>
          <w:tab w:val="left" w:pos="6800"/>
          <w:tab w:val="left" w:pos="9975"/>
        </w:tabs>
        <w:snapToGrid w:val="0"/>
        <w:spacing w:before="190" w:line="300" w:lineRule="auto"/>
        <w:jc w:val="both"/>
        <w:rPr>
          <w:rFonts w:ascii="Arial" w:hAnsi="Arial" w:eastAsia="宋体" w:cs="Arial"/>
          <w:sz w:val="21"/>
          <w:szCs w:val="21"/>
          <w:lang w:eastAsia="zh-CN"/>
        </w:rPr>
      </w:pPr>
      <w:r>
        <w:rPr>
          <w:rFonts w:ascii="Arial" w:hAnsi="Arial" w:eastAsia="宋体" w:cs="Arial"/>
          <w:sz w:val="21"/>
          <w:szCs w:val="21"/>
          <w:vertAlign w:val="superscript"/>
          <w:lang w:eastAsia="zh-CN"/>
        </w:rPr>
        <w:t>1</w:t>
      </w:r>
      <w:r>
        <w:rPr>
          <w:rFonts w:ascii="Arial" w:hAnsi="Arial" w:eastAsia="宋体" w:cs="Arial"/>
          <w:sz w:val="21"/>
          <w:szCs w:val="21"/>
          <w:lang w:eastAsia="zh-CN"/>
        </w:rPr>
        <w:t>属于</w:t>
      </w:r>
      <w:r>
        <w:rPr>
          <w:rFonts w:ascii="宋体" w:hAnsi="宋体" w:eastAsia="宋体" w:cs="Arial"/>
          <w:sz w:val="21"/>
          <w:szCs w:val="21"/>
          <w:lang w:eastAsia="zh-CN"/>
        </w:rPr>
        <w:t>“</w:t>
      </w:r>
      <w:r>
        <w:rPr>
          <w:rFonts w:ascii="Arial" w:hAnsi="Arial" w:eastAsia="宋体" w:cs="Arial"/>
          <w:sz w:val="21"/>
          <w:szCs w:val="21"/>
          <w:lang w:eastAsia="zh-CN"/>
        </w:rPr>
        <w:t>关键器械</w:t>
      </w:r>
      <w:r>
        <w:rPr>
          <w:rFonts w:ascii="宋体" w:hAnsi="宋体" w:eastAsia="宋体" w:cs="Arial"/>
          <w:sz w:val="21"/>
          <w:szCs w:val="21"/>
          <w:lang w:eastAsia="zh-CN"/>
        </w:rPr>
        <w:t>”</w:t>
      </w:r>
      <w:r>
        <w:rPr>
          <w:rFonts w:ascii="Arial" w:hAnsi="Arial" w:eastAsia="宋体" w:cs="Arial"/>
          <w:sz w:val="21"/>
          <w:szCs w:val="21"/>
          <w:lang w:eastAsia="zh-CN"/>
        </w:rPr>
        <w:t>也可根据联邦法规，第820部分，医疗器械的良好生产规范进行定义。GMP下的定义及其使用情况与上述不同。虽然已认识到出现混淆的可能性，本文件仍然使用属于</w:t>
      </w:r>
      <w:r>
        <w:rPr>
          <w:rFonts w:ascii="宋体" w:hAnsi="宋体" w:eastAsia="宋体" w:cs="Arial"/>
          <w:sz w:val="21"/>
          <w:szCs w:val="21"/>
          <w:lang w:eastAsia="zh-CN"/>
        </w:rPr>
        <w:t>“</w:t>
      </w:r>
      <w:r>
        <w:rPr>
          <w:rFonts w:ascii="Arial" w:hAnsi="Arial" w:eastAsia="宋体" w:cs="Arial"/>
          <w:sz w:val="21"/>
          <w:szCs w:val="21"/>
          <w:lang w:eastAsia="zh-CN"/>
        </w:rPr>
        <w:t>关键器械</w:t>
      </w:r>
      <w:r>
        <w:rPr>
          <w:rFonts w:ascii="宋体" w:hAnsi="宋体" w:eastAsia="宋体" w:cs="Arial"/>
          <w:sz w:val="21"/>
          <w:szCs w:val="21"/>
          <w:lang w:eastAsia="zh-CN"/>
        </w:rPr>
        <w:t>”</w:t>
      </w:r>
      <w:r>
        <w:rPr>
          <w:rFonts w:ascii="Arial" w:hAnsi="Arial" w:eastAsia="宋体" w:cs="Arial"/>
          <w:sz w:val="21"/>
          <w:szCs w:val="21"/>
          <w:lang w:eastAsia="zh-CN"/>
        </w:rPr>
        <w:t>，以便与疾病控制中心出品的感染控制指南以及感染控制执业医师和协会的出版物中的术语相一致。</w:t>
      </w:r>
    </w:p>
    <w:p w14:paraId="7254A5EB">
      <w:pPr>
        <w:snapToGrid w:val="0"/>
        <w:spacing w:before="1" w:line="300" w:lineRule="auto"/>
        <w:jc w:val="both"/>
        <w:rPr>
          <w:rFonts w:ascii="Arial" w:hAnsi="Arial" w:eastAsia="宋体" w:cs="Arial"/>
          <w:b/>
          <w:bCs/>
          <w:sz w:val="21"/>
          <w:szCs w:val="21"/>
          <w:lang w:eastAsia="zh-CN"/>
        </w:rPr>
      </w:pPr>
    </w:p>
    <w:p w14:paraId="168FD508">
      <w:pPr>
        <w:snapToGrid w:val="0"/>
        <w:spacing w:line="300" w:lineRule="auto"/>
        <w:ind w:left="6639"/>
        <w:jc w:val="both"/>
        <w:rPr>
          <w:rFonts w:ascii="Arial" w:hAnsi="Arial" w:eastAsia="宋体" w:cs="Arial"/>
          <w:sz w:val="21"/>
          <w:szCs w:val="21"/>
          <w:lang w:eastAsia="zh-CN"/>
        </w:rPr>
      </w:pPr>
    </w:p>
    <w:p w14:paraId="6F4DE72E">
      <w:pPr>
        <w:snapToGrid w:val="0"/>
        <w:spacing w:line="300" w:lineRule="auto"/>
        <w:jc w:val="both"/>
        <w:rPr>
          <w:rFonts w:ascii="Arial" w:hAnsi="Arial" w:eastAsia="宋体" w:cs="Arial"/>
          <w:sz w:val="21"/>
          <w:szCs w:val="21"/>
          <w:lang w:eastAsia="zh-CN"/>
        </w:rPr>
        <w:sectPr>
          <w:pgSz w:w="12240" w:h="15840"/>
          <w:pgMar w:top="1134" w:right="1134" w:bottom="1134" w:left="1134" w:header="720" w:footer="720" w:gutter="0"/>
          <w:cols w:space="720" w:num="1"/>
          <w:docGrid w:linePitch="299" w:charSpace="0"/>
        </w:sectPr>
      </w:pPr>
    </w:p>
    <w:p w14:paraId="185512E3">
      <w:pPr>
        <w:snapToGrid w:val="0"/>
        <w:spacing w:before="202" w:line="300" w:lineRule="auto"/>
        <w:jc w:val="both"/>
        <w:rPr>
          <w:rFonts w:ascii="Arial" w:hAnsi="Arial" w:eastAsia="宋体" w:cs="Arial"/>
          <w:sz w:val="21"/>
          <w:szCs w:val="21"/>
          <w:lang w:eastAsia="zh-CN"/>
        </w:rPr>
      </w:pPr>
      <w:r>
        <w:rPr>
          <w:rFonts w:ascii="Arial" w:hAnsi="Arial" w:eastAsia="宋体" w:cs="Arial"/>
          <w:sz w:val="21"/>
          <w:szCs w:val="21"/>
          <w:lang w:eastAsia="zh-CN"/>
        </w:rPr>
        <w:t>附录2</w:t>
      </w:r>
    </w:p>
    <w:p w14:paraId="48DBDB99">
      <w:pPr>
        <w:pStyle w:val="21"/>
      </w:pPr>
      <w:bookmarkStart w:id="12" w:name="_Toc484421038"/>
      <w:r>
        <w:t>分类与杀菌过程的一致性</w:t>
      </w:r>
      <w:bookmarkEnd w:id="12"/>
    </w:p>
    <w:p w14:paraId="3F1D0E9D">
      <w:pPr>
        <w:snapToGrid w:val="0"/>
        <w:spacing w:line="300" w:lineRule="auto"/>
        <w:jc w:val="both"/>
        <w:rPr>
          <w:rFonts w:ascii="Arial" w:hAnsi="Arial" w:eastAsia="宋体" w:cs="Arial"/>
          <w:sz w:val="21"/>
          <w:szCs w:val="21"/>
          <w:lang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94"/>
        <w:gridCol w:w="5094"/>
      </w:tblGrid>
      <w:tr w14:paraId="2697C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94" w:type="dxa"/>
          </w:tcPr>
          <w:p w14:paraId="33B8E982">
            <w:pPr>
              <w:snapToGrid w:val="0"/>
              <w:spacing w:before="202" w:line="300" w:lineRule="auto"/>
              <w:jc w:val="both"/>
              <w:rPr>
                <w:rFonts w:ascii="Arial" w:hAnsi="Arial" w:eastAsia="宋体" w:cs="Arial"/>
                <w:sz w:val="21"/>
                <w:szCs w:val="21"/>
                <w:lang w:eastAsia="zh-CN"/>
              </w:rPr>
            </w:pPr>
            <w:r>
              <w:rPr>
                <w:rFonts w:ascii="Arial" w:hAnsi="Arial" w:eastAsia="宋体" w:cs="Arial"/>
                <w:sz w:val="21"/>
                <w:szCs w:val="21"/>
                <w:lang w:eastAsia="zh-CN"/>
              </w:rPr>
              <w:t>类别</w:t>
            </w:r>
          </w:p>
        </w:tc>
        <w:tc>
          <w:tcPr>
            <w:tcW w:w="5094" w:type="dxa"/>
          </w:tcPr>
          <w:p w14:paraId="622B0CAF">
            <w:pPr>
              <w:snapToGrid w:val="0"/>
              <w:spacing w:before="202" w:line="300" w:lineRule="auto"/>
              <w:jc w:val="both"/>
              <w:rPr>
                <w:rFonts w:ascii="Arial" w:hAnsi="Arial" w:eastAsia="宋体" w:cs="Arial"/>
                <w:sz w:val="21"/>
                <w:szCs w:val="21"/>
                <w:lang w:eastAsia="zh-CN"/>
              </w:rPr>
            </w:pPr>
            <w:r>
              <w:rPr>
                <w:rFonts w:ascii="Arial" w:hAnsi="Arial" w:eastAsia="宋体" w:cs="Arial"/>
                <w:sz w:val="21"/>
                <w:szCs w:val="21"/>
                <w:lang w:eastAsia="zh-CN"/>
              </w:rPr>
              <w:t>过程</w:t>
            </w:r>
          </w:p>
        </w:tc>
      </w:tr>
      <w:tr w14:paraId="5DA3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94" w:type="dxa"/>
          </w:tcPr>
          <w:p w14:paraId="4F81F953">
            <w:pPr>
              <w:snapToGrid w:val="0"/>
              <w:spacing w:before="202" w:line="300" w:lineRule="auto"/>
              <w:jc w:val="both"/>
              <w:rPr>
                <w:rFonts w:ascii="Arial" w:hAnsi="Arial" w:eastAsia="宋体" w:cs="Arial"/>
                <w:sz w:val="21"/>
                <w:szCs w:val="21"/>
                <w:lang w:eastAsia="zh-CN"/>
              </w:rPr>
            </w:pPr>
            <w:r>
              <w:rPr>
                <w:rFonts w:ascii="Arial" w:hAnsi="Arial" w:eastAsia="宋体" w:cs="Arial"/>
                <w:sz w:val="21"/>
                <w:szCs w:val="21"/>
                <w:lang w:eastAsia="zh-CN"/>
              </w:rPr>
              <w:t>关键</w:t>
            </w:r>
          </w:p>
        </w:tc>
        <w:tc>
          <w:tcPr>
            <w:tcW w:w="5094" w:type="dxa"/>
          </w:tcPr>
          <w:p w14:paraId="4CB2B998">
            <w:pPr>
              <w:snapToGrid w:val="0"/>
              <w:spacing w:before="202" w:line="300" w:lineRule="auto"/>
              <w:jc w:val="both"/>
              <w:rPr>
                <w:rFonts w:ascii="Arial" w:hAnsi="Arial" w:eastAsia="宋体" w:cs="Arial"/>
                <w:sz w:val="21"/>
                <w:szCs w:val="21"/>
                <w:lang w:eastAsia="zh-CN"/>
              </w:rPr>
            </w:pPr>
            <w:r>
              <w:rPr>
                <w:rFonts w:ascii="Arial" w:hAnsi="Arial" w:eastAsia="宋体" w:cs="Arial"/>
                <w:sz w:val="21"/>
                <w:szCs w:val="21"/>
                <w:lang w:eastAsia="zh-CN"/>
              </w:rPr>
              <w:t>灭菌</w:t>
            </w:r>
          </w:p>
        </w:tc>
      </w:tr>
      <w:tr w14:paraId="62EC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94" w:type="dxa"/>
          </w:tcPr>
          <w:p w14:paraId="661651E5">
            <w:pPr>
              <w:snapToGrid w:val="0"/>
              <w:spacing w:before="202" w:line="300" w:lineRule="auto"/>
              <w:jc w:val="both"/>
              <w:rPr>
                <w:rFonts w:ascii="Arial" w:hAnsi="Arial" w:eastAsia="宋体" w:cs="Arial"/>
                <w:sz w:val="21"/>
                <w:szCs w:val="21"/>
                <w:lang w:eastAsia="zh-CN"/>
              </w:rPr>
            </w:pPr>
            <w:r>
              <w:rPr>
                <w:rFonts w:ascii="Arial" w:hAnsi="Arial" w:eastAsia="宋体" w:cs="Arial"/>
                <w:sz w:val="21"/>
                <w:szCs w:val="21"/>
                <w:lang w:eastAsia="zh-CN"/>
              </w:rPr>
              <w:t>半关键</w:t>
            </w:r>
          </w:p>
        </w:tc>
        <w:tc>
          <w:tcPr>
            <w:tcW w:w="5094" w:type="dxa"/>
          </w:tcPr>
          <w:p w14:paraId="0C46DE26">
            <w:pPr>
              <w:snapToGrid w:val="0"/>
              <w:spacing w:before="202" w:line="300" w:lineRule="auto"/>
              <w:jc w:val="both"/>
              <w:rPr>
                <w:rFonts w:ascii="Arial" w:hAnsi="Arial" w:eastAsia="宋体" w:cs="Arial"/>
                <w:sz w:val="21"/>
                <w:szCs w:val="21"/>
                <w:lang w:eastAsia="zh-CN"/>
              </w:rPr>
            </w:pPr>
            <w:r>
              <w:rPr>
                <w:rFonts w:ascii="Arial" w:hAnsi="Arial" w:eastAsia="宋体" w:cs="Arial"/>
                <w:sz w:val="21"/>
                <w:szCs w:val="21"/>
                <w:lang w:eastAsia="zh-CN"/>
              </w:rPr>
              <w:t>适用灭菌</w:t>
            </w:r>
          </w:p>
          <w:p w14:paraId="71C16F8B">
            <w:pPr>
              <w:snapToGrid w:val="0"/>
              <w:spacing w:before="202" w:line="300" w:lineRule="auto"/>
              <w:jc w:val="both"/>
              <w:rPr>
                <w:rFonts w:ascii="Arial" w:hAnsi="Arial" w:eastAsia="宋体" w:cs="Arial"/>
                <w:sz w:val="21"/>
                <w:szCs w:val="21"/>
                <w:lang w:eastAsia="zh-CN"/>
              </w:rPr>
            </w:pPr>
            <w:r>
              <w:rPr>
                <w:rFonts w:ascii="Arial" w:hAnsi="Arial" w:eastAsia="宋体" w:cs="Arial"/>
                <w:sz w:val="21"/>
                <w:szCs w:val="21"/>
                <w:lang w:eastAsia="zh-CN"/>
              </w:rPr>
              <w:t>在大多数情况下，也可使用高水平消毒</w:t>
            </w:r>
          </w:p>
        </w:tc>
      </w:tr>
      <w:tr w14:paraId="69AAC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94" w:type="dxa"/>
          </w:tcPr>
          <w:p w14:paraId="6907D678">
            <w:pPr>
              <w:snapToGrid w:val="0"/>
              <w:spacing w:before="202" w:line="300" w:lineRule="auto"/>
              <w:jc w:val="both"/>
              <w:rPr>
                <w:rFonts w:ascii="Arial" w:hAnsi="Arial" w:eastAsia="宋体" w:cs="Arial"/>
                <w:sz w:val="21"/>
                <w:szCs w:val="21"/>
                <w:lang w:eastAsia="zh-CN"/>
              </w:rPr>
            </w:pPr>
            <w:r>
              <w:rPr>
                <w:rFonts w:ascii="Arial" w:hAnsi="Arial" w:eastAsia="宋体" w:cs="Arial"/>
                <w:sz w:val="21"/>
                <w:szCs w:val="21"/>
                <w:lang w:eastAsia="zh-CN"/>
              </w:rPr>
              <w:t>非关键</w:t>
            </w:r>
          </w:p>
        </w:tc>
        <w:tc>
          <w:tcPr>
            <w:tcW w:w="5094" w:type="dxa"/>
          </w:tcPr>
          <w:p w14:paraId="02348A9D">
            <w:pPr>
              <w:snapToGrid w:val="0"/>
              <w:spacing w:before="202" w:line="300" w:lineRule="auto"/>
              <w:jc w:val="both"/>
              <w:rPr>
                <w:rFonts w:ascii="Arial" w:hAnsi="Arial" w:eastAsia="宋体" w:cs="Arial"/>
                <w:sz w:val="21"/>
                <w:szCs w:val="21"/>
                <w:lang w:eastAsia="zh-CN"/>
              </w:rPr>
            </w:pPr>
            <w:r>
              <w:rPr>
                <w:rFonts w:ascii="Arial" w:hAnsi="Arial" w:eastAsia="宋体" w:cs="Arial"/>
                <w:sz w:val="21"/>
                <w:szCs w:val="21"/>
                <w:lang w:eastAsia="zh-CN"/>
              </w:rPr>
              <w:t>根据患者接触，污染物类型和数量，从中等水平消毒到清洁</w:t>
            </w:r>
          </w:p>
        </w:tc>
      </w:tr>
      <w:tr w14:paraId="766C6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94" w:type="dxa"/>
          </w:tcPr>
          <w:p w14:paraId="07169DE1">
            <w:pPr>
              <w:snapToGrid w:val="0"/>
              <w:spacing w:before="202" w:line="300" w:lineRule="auto"/>
              <w:jc w:val="both"/>
              <w:rPr>
                <w:rFonts w:ascii="Arial" w:hAnsi="Arial" w:eastAsia="宋体" w:cs="Arial"/>
                <w:sz w:val="21"/>
                <w:szCs w:val="21"/>
                <w:lang w:eastAsia="zh-CN"/>
              </w:rPr>
            </w:pPr>
            <w:r>
              <w:rPr>
                <w:rFonts w:ascii="Arial" w:hAnsi="Arial" w:eastAsia="宋体" w:cs="Arial"/>
                <w:sz w:val="21"/>
                <w:szCs w:val="21"/>
                <w:lang w:eastAsia="zh-CN"/>
              </w:rPr>
              <w:t>设备</w:t>
            </w:r>
          </w:p>
        </w:tc>
        <w:tc>
          <w:tcPr>
            <w:tcW w:w="5094" w:type="dxa"/>
          </w:tcPr>
          <w:p w14:paraId="4D911E70">
            <w:pPr>
              <w:snapToGrid w:val="0"/>
              <w:spacing w:before="202" w:line="300" w:lineRule="auto"/>
              <w:jc w:val="both"/>
              <w:rPr>
                <w:rFonts w:ascii="Arial" w:hAnsi="Arial" w:eastAsia="宋体" w:cs="Arial"/>
                <w:sz w:val="21"/>
                <w:szCs w:val="21"/>
                <w:lang w:eastAsia="zh-CN"/>
              </w:rPr>
            </w:pPr>
            <w:r>
              <w:rPr>
                <w:rFonts w:ascii="Arial" w:hAnsi="Arial" w:eastAsia="宋体" w:cs="Arial"/>
                <w:sz w:val="21"/>
                <w:szCs w:val="21"/>
                <w:lang w:eastAsia="zh-CN"/>
              </w:rPr>
              <w:t>与非关键相同</w:t>
            </w:r>
          </w:p>
        </w:tc>
      </w:tr>
    </w:tbl>
    <w:p w14:paraId="3BF04F94">
      <w:pPr>
        <w:snapToGrid w:val="0"/>
        <w:spacing w:line="300" w:lineRule="auto"/>
        <w:jc w:val="both"/>
        <w:rPr>
          <w:rFonts w:ascii="Arial" w:hAnsi="Arial" w:eastAsia="宋体" w:cs="Arial"/>
          <w:sz w:val="21"/>
          <w:szCs w:val="21"/>
          <w:lang w:eastAsia="zh-CN"/>
        </w:rPr>
      </w:pPr>
    </w:p>
    <w:p w14:paraId="4B55948C">
      <w:pPr>
        <w:snapToGrid w:val="0"/>
        <w:spacing w:line="300" w:lineRule="auto"/>
        <w:jc w:val="both"/>
        <w:rPr>
          <w:rFonts w:ascii="Arial" w:hAnsi="Arial" w:eastAsia="宋体" w:cs="Arial"/>
          <w:sz w:val="21"/>
          <w:szCs w:val="21"/>
          <w:lang w:eastAsia="zh-CN"/>
        </w:rPr>
      </w:pPr>
    </w:p>
    <w:p w14:paraId="1064E946">
      <w:pPr>
        <w:snapToGrid w:val="0"/>
        <w:spacing w:line="300" w:lineRule="auto"/>
        <w:rPr>
          <w:rFonts w:ascii="Arial" w:hAnsi="Arial" w:eastAsia="宋体" w:cs="Arial"/>
          <w:sz w:val="21"/>
          <w:szCs w:val="21"/>
          <w:lang w:eastAsia="zh-CN"/>
        </w:rPr>
      </w:pPr>
      <w:r>
        <w:rPr>
          <w:rFonts w:ascii="Arial" w:hAnsi="Arial" w:eastAsia="宋体" w:cs="Arial"/>
          <w:bCs/>
          <w:sz w:val="21"/>
          <w:szCs w:val="21"/>
          <w:lang w:eastAsia="zh-CN"/>
        </w:rPr>
        <w:t>注意：某些允许情况在适用的过程类型以及对于半关键和非关键器械来说可接受性最低的过程类型之间进行说明。这种容忍度与CDC和感染控制执业医师的说明一致。</w:t>
      </w:r>
      <w:r>
        <w:rPr>
          <w:rFonts w:ascii="Arial" w:hAnsi="Arial" w:eastAsia="宋体" w:cs="Arial"/>
          <w:sz w:val="21"/>
          <w:szCs w:val="21"/>
          <w:vertAlign w:val="superscript"/>
          <w:lang w:eastAsia="zh-CN"/>
        </w:rPr>
        <w:t>1</w:t>
      </w:r>
    </w:p>
    <w:p w14:paraId="163B7863">
      <w:pPr>
        <w:pStyle w:val="3"/>
        <w:tabs>
          <w:tab w:val="left" w:pos="2181"/>
          <w:tab w:val="left" w:pos="8881"/>
        </w:tabs>
        <w:snapToGrid w:val="0"/>
        <w:spacing w:line="300" w:lineRule="auto"/>
        <w:ind w:left="0"/>
        <w:jc w:val="both"/>
        <w:rPr>
          <w:rFonts w:ascii="Arial" w:hAnsi="Arial" w:eastAsia="宋体" w:cs="Arial"/>
          <w:b w:val="0"/>
          <w:bCs w:val="0"/>
          <w:sz w:val="21"/>
          <w:szCs w:val="21"/>
          <w:lang w:eastAsia="zh-CN"/>
        </w:rPr>
      </w:pPr>
    </w:p>
    <w:p w14:paraId="2D70BE00">
      <w:pPr>
        <w:snapToGrid w:val="0"/>
        <w:spacing w:line="300" w:lineRule="auto"/>
        <w:rPr>
          <w:rFonts w:ascii="Arial" w:hAnsi="Arial" w:eastAsia="宋体" w:cs="Arial"/>
          <w:sz w:val="21"/>
          <w:szCs w:val="21"/>
          <w:lang w:eastAsia="zh-CN"/>
        </w:rPr>
      </w:pPr>
      <w:r>
        <w:rPr>
          <w:rFonts w:ascii="Arial" w:hAnsi="Arial" w:eastAsia="宋体" w:cs="Arial"/>
          <w:bCs/>
          <w:sz w:val="21"/>
          <w:szCs w:val="21"/>
          <w:lang w:eastAsia="zh-CN"/>
        </w:rPr>
        <w:t>所有关键的可重复使用器械必须进行灭菌。可重复使用的半关键器械也应该灭菌，但在某些情况下，可能无法进行灭菌。例如，器械材料可能不能承受灭菌过程，或临床情况可能决定了所选的方法。</w:t>
      </w:r>
    </w:p>
    <w:p w14:paraId="4E1EB2BD">
      <w:pPr>
        <w:snapToGrid w:val="0"/>
        <w:spacing w:line="300" w:lineRule="auto"/>
        <w:jc w:val="both"/>
        <w:rPr>
          <w:rFonts w:ascii="Arial" w:hAnsi="Arial" w:eastAsia="宋体" w:cs="Arial"/>
          <w:sz w:val="21"/>
          <w:szCs w:val="21"/>
          <w:lang w:eastAsia="zh-CN"/>
        </w:rPr>
      </w:pPr>
    </w:p>
    <w:p w14:paraId="38FAD8C5">
      <w:pPr>
        <w:snapToGrid w:val="0"/>
        <w:spacing w:line="300" w:lineRule="auto"/>
        <w:jc w:val="both"/>
        <w:rPr>
          <w:rFonts w:ascii="Arial" w:hAnsi="Arial" w:eastAsia="宋体" w:cs="Arial"/>
          <w:sz w:val="21"/>
          <w:szCs w:val="21"/>
          <w:lang w:eastAsia="zh-CN"/>
        </w:rPr>
      </w:pPr>
    </w:p>
    <w:p w14:paraId="092A21B2">
      <w:pPr>
        <w:snapToGrid w:val="0"/>
        <w:spacing w:line="300" w:lineRule="auto"/>
        <w:jc w:val="both"/>
        <w:rPr>
          <w:rFonts w:ascii="Arial" w:hAnsi="Arial" w:eastAsia="宋体" w:cs="Arial"/>
          <w:sz w:val="21"/>
          <w:szCs w:val="21"/>
          <w:lang w:eastAsia="zh-CN"/>
        </w:rPr>
      </w:pPr>
    </w:p>
    <w:p w14:paraId="64671C27">
      <w:pPr>
        <w:snapToGrid w:val="0"/>
        <w:spacing w:line="300" w:lineRule="auto"/>
        <w:jc w:val="both"/>
        <w:rPr>
          <w:rFonts w:ascii="Arial" w:hAnsi="Arial" w:eastAsia="宋体" w:cs="Arial"/>
          <w:sz w:val="21"/>
          <w:szCs w:val="21"/>
          <w:lang w:eastAsia="zh-CN"/>
        </w:rPr>
      </w:pPr>
    </w:p>
    <w:p w14:paraId="7B90CC18">
      <w:pPr>
        <w:snapToGrid w:val="0"/>
        <w:spacing w:line="300" w:lineRule="auto"/>
        <w:jc w:val="both"/>
        <w:rPr>
          <w:rFonts w:ascii="Arial" w:hAnsi="Arial" w:eastAsia="宋体" w:cs="Arial"/>
          <w:sz w:val="21"/>
          <w:szCs w:val="21"/>
          <w:lang w:eastAsia="zh-CN"/>
        </w:rPr>
      </w:pPr>
    </w:p>
    <w:p w14:paraId="0FCC0C55">
      <w:pPr>
        <w:snapToGrid w:val="0"/>
        <w:spacing w:line="300" w:lineRule="auto"/>
        <w:jc w:val="both"/>
        <w:rPr>
          <w:rFonts w:ascii="Arial" w:hAnsi="Arial" w:eastAsia="宋体" w:cs="Arial"/>
          <w:sz w:val="21"/>
          <w:szCs w:val="21"/>
          <w:lang w:eastAsia="zh-CN"/>
        </w:rPr>
      </w:pPr>
    </w:p>
    <w:p w14:paraId="182B7675">
      <w:pPr>
        <w:snapToGrid w:val="0"/>
        <w:spacing w:line="300" w:lineRule="auto"/>
        <w:jc w:val="both"/>
        <w:rPr>
          <w:rFonts w:ascii="Arial" w:hAnsi="Arial" w:eastAsia="宋体" w:cs="Arial"/>
          <w:sz w:val="21"/>
          <w:szCs w:val="21"/>
          <w:lang w:eastAsia="zh-CN"/>
        </w:rPr>
      </w:pPr>
    </w:p>
    <w:p w14:paraId="77ADFBFA">
      <w:pPr>
        <w:snapToGrid w:val="0"/>
        <w:spacing w:line="300" w:lineRule="auto"/>
        <w:jc w:val="both"/>
        <w:rPr>
          <w:rFonts w:ascii="Arial" w:hAnsi="Arial" w:eastAsia="宋体" w:cs="Arial"/>
          <w:sz w:val="21"/>
          <w:szCs w:val="21"/>
          <w:lang w:eastAsia="zh-CN"/>
        </w:rPr>
        <w:sectPr>
          <w:pgSz w:w="12240" w:h="15840"/>
          <w:pgMar w:top="1134" w:right="1134" w:bottom="1134" w:left="1134" w:header="720" w:footer="720" w:gutter="0"/>
          <w:cols w:space="720" w:num="1"/>
          <w:docGrid w:linePitch="299" w:charSpace="0"/>
        </w:sectPr>
      </w:pPr>
    </w:p>
    <w:p w14:paraId="24A6C2F3">
      <w:pPr>
        <w:snapToGrid w:val="0"/>
        <w:spacing w:line="300" w:lineRule="auto"/>
        <w:jc w:val="both"/>
        <w:rPr>
          <w:rFonts w:ascii="Arial" w:hAnsi="Arial" w:eastAsia="宋体" w:cs="Arial"/>
          <w:b/>
          <w:bCs/>
          <w:sz w:val="21"/>
          <w:szCs w:val="21"/>
          <w:lang w:eastAsia="zh-CN"/>
        </w:rPr>
      </w:pPr>
    </w:p>
    <w:p w14:paraId="27794D53">
      <w:pPr>
        <w:snapToGrid w:val="0"/>
        <w:spacing w:line="300" w:lineRule="auto"/>
        <w:jc w:val="both"/>
        <w:rPr>
          <w:rFonts w:ascii="Arial" w:hAnsi="Arial" w:eastAsia="宋体" w:cs="Arial"/>
          <w:sz w:val="21"/>
          <w:szCs w:val="21"/>
          <w:lang w:eastAsia="zh-CN"/>
        </w:rPr>
        <w:sectPr>
          <w:type w:val="continuous"/>
          <w:pgSz w:w="12240" w:h="15840"/>
          <w:pgMar w:top="1134" w:right="1134" w:bottom="1134" w:left="1134" w:header="720" w:footer="720" w:gutter="0"/>
          <w:cols w:space="720" w:num="1"/>
          <w:docGrid w:linePitch="299" w:charSpace="0"/>
        </w:sectPr>
      </w:pPr>
    </w:p>
    <w:p w14:paraId="421B438E">
      <w:pPr>
        <w:snapToGrid w:val="0"/>
        <w:spacing w:before="78" w:line="300" w:lineRule="auto"/>
        <w:jc w:val="both"/>
        <w:rPr>
          <w:rFonts w:ascii="Arial" w:hAnsi="Arial" w:eastAsia="宋体" w:cs="Arial"/>
          <w:sz w:val="21"/>
          <w:szCs w:val="21"/>
          <w:lang w:eastAsia="zh-CN"/>
        </w:rPr>
      </w:pPr>
      <w:r>
        <w:rPr>
          <w:rFonts w:ascii="Arial" w:hAnsi="Arial" w:eastAsia="宋体" w:cs="Arial"/>
          <w:sz w:val="21"/>
          <w:szCs w:val="21"/>
          <w:lang w:eastAsia="zh-CN"/>
        </w:rPr>
        <w:t>附录3</w:t>
      </w:r>
    </w:p>
    <w:p w14:paraId="60543E0C">
      <w:pPr>
        <w:pStyle w:val="21"/>
      </w:pPr>
      <w:bookmarkStart w:id="13" w:name="_Toc484421039"/>
      <w:r>
        <w:t>再加工说明确认的概述</w:t>
      </w:r>
      <w:bookmarkEnd w:id="13"/>
    </w:p>
    <w:p w14:paraId="016FB00D">
      <w:pPr>
        <w:snapToGrid w:val="0"/>
        <w:spacing w:line="300" w:lineRule="auto"/>
        <w:jc w:val="both"/>
        <w:rPr>
          <w:rFonts w:ascii="Arial" w:hAnsi="Arial" w:eastAsia="宋体" w:cs="Arial"/>
          <w:sz w:val="21"/>
          <w:szCs w:val="21"/>
          <w:lang w:eastAsia="zh-CN"/>
        </w:rPr>
      </w:pPr>
    </w:p>
    <w:p w14:paraId="3048810D">
      <w:pPr>
        <w:pStyle w:val="16"/>
        <w:numPr>
          <w:ilvl w:val="0"/>
          <w:numId w:val="7"/>
        </w:numPr>
        <w:snapToGrid w:val="0"/>
        <w:spacing w:line="300" w:lineRule="auto"/>
        <w:ind w:left="357" w:hanging="357"/>
        <w:jc w:val="both"/>
        <w:rPr>
          <w:rFonts w:ascii="Arial" w:hAnsi="Arial" w:eastAsia="宋体" w:cs="Arial"/>
          <w:sz w:val="21"/>
          <w:szCs w:val="21"/>
          <w:lang w:eastAsia="zh-CN"/>
        </w:rPr>
      </w:pPr>
      <w:r>
        <w:rPr>
          <w:rFonts w:ascii="Arial" w:hAnsi="Arial" w:eastAsia="宋体" w:cs="Arial"/>
          <w:sz w:val="21"/>
          <w:szCs w:val="21"/>
          <w:lang w:eastAsia="zh-CN"/>
        </w:rPr>
        <w:t>引言</w:t>
      </w:r>
    </w:p>
    <w:p w14:paraId="68C892A8">
      <w:pPr>
        <w:snapToGrid w:val="0"/>
        <w:spacing w:line="300" w:lineRule="auto"/>
        <w:jc w:val="both"/>
        <w:rPr>
          <w:rFonts w:ascii="Arial" w:hAnsi="Arial" w:eastAsia="宋体" w:cs="Arial"/>
          <w:sz w:val="21"/>
          <w:szCs w:val="21"/>
          <w:lang w:eastAsia="zh-CN"/>
        </w:rPr>
      </w:pPr>
    </w:p>
    <w:p w14:paraId="69B3B2C2">
      <w:p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修订的GMP可能要求制造商对其可重复使用器械的设计和再加工程序进行确认，以确保器械在其使用寿命内能够适当再加工。未提供用于确认设计和加工说明的行业标准。有关再加工可重复使用器械的AAMI技术信息报告提供了有关此事项的指南。</w:t>
      </w:r>
    </w:p>
    <w:p w14:paraId="3C9F830E">
      <w:pPr>
        <w:snapToGrid w:val="0"/>
        <w:spacing w:line="300" w:lineRule="auto"/>
        <w:jc w:val="both"/>
        <w:rPr>
          <w:rFonts w:ascii="Arial" w:hAnsi="Arial" w:eastAsia="宋体" w:cs="Arial"/>
          <w:sz w:val="21"/>
          <w:szCs w:val="21"/>
          <w:lang w:eastAsia="zh-CN"/>
        </w:rPr>
      </w:pPr>
    </w:p>
    <w:p w14:paraId="62A758BE">
      <w:p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存在大量有关灭菌确认的其他信息，且其可以直接应用于再加工确认。制造商可以参考FDA无菌医疗器械研讨会手册、USP XXIII其他AAMI灭菌确认标准以及帮助制定其方案的文献。可用的FDA指南还讨论了返回器械的再调节（清洁和再灭菌）。</w:t>
      </w:r>
    </w:p>
    <w:p w14:paraId="0F1DB3FE">
      <w:pPr>
        <w:snapToGrid w:val="0"/>
        <w:spacing w:line="300" w:lineRule="auto"/>
        <w:jc w:val="both"/>
        <w:rPr>
          <w:rFonts w:ascii="Arial" w:hAnsi="Arial" w:eastAsia="宋体" w:cs="Arial"/>
          <w:sz w:val="21"/>
          <w:szCs w:val="21"/>
          <w:lang w:eastAsia="zh-CN"/>
        </w:rPr>
      </w:pPr>
    </w:p>
    <w:p w14:paraId="273692C2">
      <w:pPr>
        <w:pStyle w:val="16"/>
        <w:numPr>
          <w:ilvl w:val="0"/>
          <w:numId w:val="7"/>
        </w:numPr>
        <w:snapToGrid w:val="0"/>
        <w:spacing w:line="300" w:lineRule="auto"/>
        <w:ind w:left="357" w:hanging="357"/>
        <w:jc w:val="both"/>
        <w:rPr>
          <w:rFonts w:ascii="Arial" w:hAnsi="Arial" w:eastAsia="宋体" w:cs="Arial"/>
          <w:sz w:val="21"/>
          <w:szCs w:val="21"/>
          <w:lang w:eastAsia="zh-CN"/>
        </w:rPr>
      </w:pPr>
      <w:r>
        <w:rPr>
          <w:rFonts w:ascii="Arial" w:hAnsi="Arial" w:eastAsia="宋体" w:cs="Arial"/>
          <w:sz w:val="21"/>
          <w:szCs w:val="21"/>
          <w:lang w:eastAsia="zh-CN"/>
        </w:rPr>
        <w:t>再加工说明确认的定义</w:t>
      </w:r>
    </w:p>
    <w:p w14:paraId="2F03A9F5">
      <w:pPr>
        <w:snapToGrid w:val="0"/>
        <w:spacing w:line="300" w:lineRule="auto"/>
        <w:jc w:val="both"/>
        <w:rPr>
          <w:rFonts w:ascii="Arial" w:hAnsi="Arial" w:eastAsia="宋体" w:cs="Arial"/>
          <w:sz w:val="21"/>
          <w:szCs w:val="21"/>
          <w:lang w:eastAsia="zh-CN"/>
        </w:rPr>
      </w:pPr>
    </w:p>
    <w:p w14:paraId="7C383B32">
      <w:p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一个备有文件记录的程序，其可提供高度的保证，即特定再加工程序将以一致的方式生产符合预定规格的器械。</w:t>
      </w:r>
    </w:p>
    <w:p w14:paraId="78BB6CC8">
      <w:pPr>
        <w:snapToGrid w:val="0"/>
        <w:spacing w:line="300" w:lineRule="auto"/>
        <w:jc w:val="both"/>
        <w:rPr>
          <w:rFonts w:ascii="Arial" w:hAnsi="Arial" w:eastAsia="宋体" w:cs="Arial"/>
          <w:sz w:val="21"/>
          <w:szCs w:val="21"/>
          <w:lang w:eastAsia="zh-CN"/>
        </w:rPr>
      </w:pPr>
    </w:p>
    <w:p w14:paraId="3273376B">
      <w:pPr>
        <w:pStyle w:val="16"/>
        <w:numPr>
          <w:ilvl w:val="0"/>
          <w:numId w:val="7"/>
        </w:numPr>
        <w:snapToGrid w:val="0"/>
        <w:spacing w:line="300" w:lineRule="auto"/>
        <w:ind w:left="357" w:hanging="357"/>
        <w:jc w:val="both"/>
        <w:rPr>
          <w:rFonts w:ascii="Arial" w:hAnsi="Arial" w:eastAsia="宋体" w:cs="Arial"/>
          <w:sz w:val="21"/>
          <w:szCs w:val="21"/>
          <w:lang w:eastAsia="zh-CN"/>
        </w:rPr>
      </w:pPr>
      <w:r>
        <w:rPr>
          <w:rFonts w:ascii="Arial" w:hAnsi="Arial" w:eastAsia="宋体" w:cs="Arial"/>
          <w:sz w:val="21"/>
          <w:szCs w:val="21"/>
          <w:lang w:eastAsia="zh-CN"/>
        </w:rPr>
        <w:t>再加工确认的基础</w:t>
      </w:r>
    </w:p>
    <w:p w14:paraId="73D1F183">
      <w:pPr>
        <w:snapToGrid w:val="0"/>
        <w:spacing w:line="300" w:lineRule="auto"/>
        <w:jc w:val="both"/>
        <w:rPr>
          <w:rFonts w:ascii="Arial" w:hAnsi="Arial" w:eastAsia="宋体" w:cs="Arial"/>
          <w:sz w:val="21"/>
          <w:szCs w:val="21"/>
          <w:lang w:eastAsia="zh-CN"/>
        </w:rPr>
      </w:pPr>
    </w:p>
    <w:p w14:paraId="2A68CB20">
      <w:p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完成确认的若干步骤如下：</w:t>
      </w:r>
    </w:p>
    <w:p w14:paraId="7520073E">
      <w:pPr>
        <w:snapToGrid w:val="0"/>
        <w:spacing w:line="300" w:lineRule="auto"/>
        <w:ind w:left="338"/>
        <w:jc w:val="both"/>
        <w:rPr>
          <w:rFonts w:ascii="Arial" w:hAnsi="Arial" w:eastAsia="宋体" w:cs="Arial"/>
          <w:sz w:val="21"/>
          <w:szCs w:val="21"/>
          <w:lang w:eastAsia="zh-CN"/>
        </w:rPr>
      </w:pPr>
    </w:p>
    <w:p w14:paraId="06272202">
      <w:pPr>
        <w:pStyle w:val="16"/>
        <w:numPr>
          <w:ilvl w:val="0"/>
          <w:numId w:val="8"/>
        </w:numPr>
        <w:tabs>
          <w:tab w:val="left" w:pos="924"/>
        </w:tabs>
        <w:snapToGrid w:val="0"/>
        <w:spacing w:before="179" w:line="300" w:lineRule="auto"/>
        <w:ind w:hanging="1342"/>
        <w:jc w:val="both"/>
        <w:rPr>
          <w:rFonts w:ascii="Arial" w:hAnsi="Arial" w:eastAsia="宋体" w:cs="Arial"/>
          <w:sz w:val="21"/>
          <w:szCs w:val="21"/>
          <w:lang w:eastAsia="zh-CN"/>
        </w:rPr>
      </w:pPr>
      <w:r>
        <w:rPr>
          <w:rFonts w:ascii="Arial" w:hAnsi="Arial" w:eastAsia="宋体" w:cs="Arial"/>
          <w:sz w:val="21"/>
          <w:szCs w:val="21"/>
          <w:lang w:eastAsia="zh-CN"/>
        </w:rPr>
        <w:t>预认证</w:t>
      </w:r>
    </w:p>
    <w:p w14:paraId="7A2BA415">
      <w:pPr>
        <w:tabs>
          <w:tab w:val="left" w:pos="924"/>
        </w:tabs>
        <w:snapToGrid w:val="0"/>
        <w:spacing w:line="300" w:lineRule="auto"/>
        <w:ind w:hanging="1342"/>
        <w:jc w:val="both"/>
        <w:rPr>
          <w:rFonts w:ascii="Arial" w:hAnsi="Arial" w:eastAsia="宋体" w:cs="Arial"/>
          <w:sz w:val="21"/>
          <w:szCs w:val="21"/>
          <w:lang w:eastAsia="zh-CN"/>
        </w:rPr>
      </w:pPr>
    </w:p>
    <w:p w14:paraId="1432CCC2">
      <w:pPr>
        <w:pStyle w:val="16"/>
        <w:tabs>
          <w:tab w:val="left" w:pos="924"/>
        </w:tabs>
        <w:snapToGrid w:val="0"/>
        <w:spacing w:line="300" w:lineRule="auto"/>
        <w:ind w:left="1764" w:hanging="854"/>
        <w:jc w:val="both"/>
        <w:rPr>
          <w:rFonts w:ascii="Arial" w:hAnsi="Arial" w:eastAsia="宋体" w:cs="Arial"/>
          <w:sz w:val="21"/>
          <w:szCs w:val="21"/>
          <w:lang w:eastAsia="zh-CN"/>
        </w:rPr>
      </w:pPr>
      <w:r>
        <w:rPr>
          <w:rFonts w:ascii="Arial" w:hAnsi="Arial" w:eastAsia="宋体" w:cs="Arial"/>
          <w:sz w:val="21"/>
          <w:szCs w:val="21"/>
          <w:lang w:eastAsia="zh-CN"/>
        </w:rPr>
        <w:t>界定</w:t>
      </w:r>
      <w:r>
        <w:rPr>
          <w:rFonts w:hint="eastAsia" w:ascii="Arial" w:hAnsi="Arial" w:eastAsia="宋体" w:cs="Arial"/>
          <w:sz w:val="21"/>
          <w:szCs w:val="21"/>
          <w:u w:val="single"/>
          <w:lang w:eastAsia="zh-CN"/>
        </w:rPr>
        <w:t>产品</w:t>
      </w:r>
      <w:r>
        <w:rPr>
          <w:rFonts w:ascii="Arial" w:hAnsi="Arial" w:eastAsia="宋体" w:cs="Arial"/>
          <w:sz w:val="21"/>
          <w:szCs w:val="21"/>
          <w:lang w:eastAsia="zh-CN"/>
        </w:rPr>
        <w:t>规格：</w:t>
      </w:r>
    </w:p>
    <w:p w14:paraId="795D372C">
      <w:pPr>
        <w:pStyle w:val="16"/>
        <w:tabs>
          <w:tab w:val="left" w:pos="924"/>
        </w:tabs>
        <w:snapToGrid w:val="0"/>
        <w:spacing w:line="300" w:lineRule="auto"/>
        <w:ind w:left="1764" w:hanging="448"/>
        <w:jc w:val="both"/>
        <w:rPr>
          <w:rFonts w:ascii="Arial" w:hAnsi="Arial" w:eastAsia="宋体" w:cs="Arial"/>
          <w:sz w:val="21"/>
          <w:szCs w:val="21"/>
          <w:lang w:eastAsia="zh-CN"/>
        </w:rPr>
      </w:pPr>
      <w:r>
        <w:rPr>
          <w:rFonts w:ascii="Arial" w:hAnsi="Arial" w:eastAsia="宋体" w:cs="Arial"/>
          <w:sz w:val="21"/>
          <w:szCs w:val="21"/>
          <w:lang w:eastAsia="zh-CN"/>
        </w:rPr>
        <w:t>设计</w:t>
      </w:r>
    </w:p>
    <w:p w14:paraId="1856F4DA">
      <w:pPr>
        <w:pStyle w:val="16"/>
        <w:tabs>
          <w:tab w:val="left" w:pos="924"/>
        </w:tabs>
        <w:snapToGrid w:val="0"/>
        <w:spacing w:line="300" w:lineRule="auto"/>
        <w:ind w:left="1764" w:hanging="448"/>
        <w:jc w:val="both"/>
        <w:rPr>
          <w:rFonts w:ascii="Arial" w:hAnsi="Arial" w:eastAsia="宋体" w:cs="Arial"/>
          <w:sz w:val="21"/>
          <w:szCs w:val="21"/>
          <w:lang w:eastAsia="zh-CN"/>
        </w:rPr>
      </w:pPr>
      <w:r>
        <w:rPr>
          <w:rFonts w:ascii="Arial" w:hAnsi="Arial" w:eastAsia="宋体" w:cs="Arial"/>
          <w:sz w:val="21"/>
          <w:szCs w:val="21"/>
          <w:lang w:eastAsia="zh-CN"/>
        </w:rPr>
        <w:t>材料</w:t>
      </w:r>
    </w:p>
    <w:p w14:paraId="67480589">
      <w:pPr>
        <w:pStyle w:val="16"/>
        <w:tabs>
          <w:tab w:val="left" w:pos="924"/>
        </w:tabs>
        <w:snapToGrid w:val="0"/>
        <w:spacing w:line="300" w:lineRule="auto"/>
        <w:ind w:left="1764" w:hanging="448"/>
        <w:jc w:val="both"/>
        <w:rPr>
          <w:rFonts w:ascii="Arial" w:hAnsi="Arial" w:eastAsia="宋体" w:cs="Arial"/>
          <w:sz w:val="21"/>
          <w:szCs w:val="21"/>
          <w:lang w:eastAsia="zh-CN"/>
        </w:rPr>
      </w:pPr>
      <w:r>
        <w:rPr>
          <w:rFonts w:ascii="Arial" w:hAnsi="Arial" w:eastAsia="宋体" w:cs="Arial"/>
          <w:sz w:val="21"/>
          <w:szCs w:val="21"/>
          <w:lang w:eastAsia="zh-CN"/>
        </w:rPr>
        <w:t>操作要求</w:t>
      </w:r>
    </w:p>
    <w:p w14:paraId="2E43E600">
      <w:pPr>
        <w:pStyle w:val="16"/>
        <w:tabs>
          <w:tab w:val="left" w:pos="924"/>
        </w:tabs>
        <w:snapToGrid w:val="0"/>
        <w:spacing w:line="300" w:lineRule="auto"/>
        <w:ind w:left="1764" w:hanging="854"/>
        <w:jc w:val="both"/>
        <w:rPr>
          <w:rFonts w:ascii="Arial" w:hAnsi="Arial" w:eastAsia="宋体" w:cs="Arial"/>
          <w:sz w:val="21"/>
          <w:szCs w:val="21"/>
          <w:lang w:eastAsia="zh-CN"/>
        </w:rPr>
      </w:pPr>
      <w:r>
        <w:rPr>
          <w:rFonts w:ascii="Arial" w:hAnsi="Arial" w:eastAsia="宋体" w:cs="Arial"/>
          <w:sz w:val="21"/>
          <w:szCs w:val="21"/>
          <w:lang w:eastAsia="zh-CN"/>
        </w:rPr>
        <w:t>界定</w:t>
      </w:r>
      <w:r>
        <w:rPr>
          <w:rFonts w:hint="eastAsia" w:ascii="Arial" w:hAnsi="Arial" w:eastAsia="宋体" w:cs="Arial"/>
          <w:sz w:val="21"/>
          <w:szCs w:val="21"/>
          <w:u w:val="single"/>
          <w:lang w:eastAsia="zh-CN"/>
        </w:rPr>
        <w:t>加工</w:t>
      </w:r>
      <w:r>
        <w:rPr>
          <w:rFonts w:ascii="Arial" w:hAnsi="Arial" w:eastAsia="宋体" w:cs="Arial"/>
          <w:sz w:val="21"/>
          <w:szCs w:val="21"/>
          <w:lang w:eastAsia="zh-CN"/>
        </w:rPr>
        <w:t>规格：</w:t>
      </w:r>
    </w:p>
    <w:p w14:paraId="57069ADC">
      <w:pPr>
        <w:pStyle w:val="16"/>
        <w:tabs>
          <w:tab w:val="left" w:pos="924"/>
        </w:tabs>
        <w:snapToGrid w:val="0"/>
        <w:spacing w:line="300" w:lineRule="auto"/>
        <w:ind w:left="1764" w:hanging="434"/>
        <w:jc w:val="both"/>
        <w:rPr>
          <w:rFonts w:ascii="Arial" w:hAnsi="Arial" w:eastAsia="宋体" w:cs="Arial"/>
          <w:sz w:val="21"/>
          <w:szCs w:val="21"/>
          <w:lang w:eastAsia="zh-CN"/>
        </w:rPr>
      </w:pPr>
      <w:r>
        <w:rPr>
          <w:rFonts w:ascii="Arial" w:hAnsi="Arial" w:eastAsia="宋体" w:cs="Arial"/>
          <w:sz w:val="21"/>
          <w:szCs w:val="21"/>
          <w:lang w:eastAsia="zh-CN"/>
        </w:rPr>
        <w:t>清洁和杀菌剂</w:t>
      </w:r>
    </w:p>
    <w:p w14:paraId="014D36F4">
      <w:pPr>
        <w:pStyle w:val="16"/>
        <w:tabs>
          <w:tab w:val="left" w:pos="924"/>
        </w:tabs>
        <w:snapToGrid w:val="0"/>
        <w:spacing w:line="300" w:lineRule="auto"/>
        <w:ind w:left="1764" w:hanging="434"/>
        <w:jc w:val="both"/>
        <w:rPr>
          <w:rFonts w:ascii="Arial" w:hAnsi="Arial" w:eastAsia="宋体" w:cs="Arial"/>
          <w:sz w:val="21"/>
          <w:szCs w:val="21"/>
          <w:lang w:eastAsia="zh-CN"/>
        </w:rPr>
      </w:pPr>
      <w:r>
        <w:rPr>
          <w:rFonts w:ascii="Arial" w:hAnsi="Arial" w:eastAsia="宋体" w:cs="Arial"/>
          <w:sz w:val="21"/>
          <w:szCs w:val="21"/>
          <w:lang w:eastAsia="zh-CN"/>
        </w:rPr>
        <w:t>预清洁和冲洗</w:t>
      </w:r>
    </w:p>
    <w:p w14:paraId="330F4429">
      <w:pPr>
        <w:pStyle w:val="16"/>
        <w:tabs>
          <w:tab w:val="left" w:pos="924"/>
        </w:tabs>
        <w:snapToGrid w:val="0"/>
        <w:spacing w:line="300" w:lineRule="auto"/>
        <w:ind w:left="1764" w:hanging="434"/>
        <w:jc w:val="both"/>
        <w:rPr>
          <w:rFonts w:ascii="Arial" w:hAnsi="Arial" w:eastAsia="宋体" w:cs="Arial"/>
          <w:sz w:val="21"/>
          <w:szCs w:val="21"/>
          <w:lang w:eastAsia="zh-CN"/>
        </w:rPr>
      </w:pPr>
      <w:r>
        <w:rPr>
          <w:rFonts w:ascii="Arial" w:hAnsi="Arial" w:eastAsia="宋体" w:cs="Arial"/>
          <w:sz w:val="21"/>
          <w:szCs w:val="21"/>
          <w:lang w:eastAsia="zh-CN"/>
        </w:rPr>
        <w:t>包装</w:t>
      </w:r>
    </w:p>
    <w:p w14:paraId="78804AB7">
      <w:pPr>
        <w:pStyle w:val="16"/>
        <w:tabs>
          <w:tab w:val="left" w:pos="924"/>
        </w:tabs>
        <w:snapToGrid w:val="0"/>
        <w:spacing w:line="300" w:lineRule="auto"/>
        <w:ind w:left="1764" w:hanging="434"/>
        <w:jc w:val="both"/>
        <w:rPr>
          <w:rFonts w:ascii="Arial" w:hAnsi="Arial" w:eastAsia="宋体" w:cs="Arial"/>
          <w:sz w:val="21"/>
          <w:szCs w:val="21"/>
          <w:lang w:eastAsia="zh-CN"/>
        </w:rPr>
      </w:pPr>
      <w:r>
        <w:rPr>
          <w:rFonts w:ascii="Arial" w:hAnsi="Arial" w:eastAsia="宋体" w:cs="Arial"/>
          <w:sz w:val="21"/>
          <w:szCs w:val="21"/>
          <w:lang w:eastAsia="zh-CN"/>
        </w:rPr>
        <w:t>加工设备</w:t>
      </w:r>
    </w:p>
    <w:p w14:paraId="216FBBA5">
      <w:pPr>
        <w:pStyle w:val="16"/>
        <w:tabs>
          <w:tab w:val="left" w:pos="924"/>
        </w:tabs>
        <w:snapToGrid w:val="0"/>
        <w:spacing w:line="300" w:lineRule="auto"/>
        <w:ind w:left="1764" w:hanging="434"/>
        <w:jc w:val="both"/>
        <w:rPr>
          <w:rFonts w:ascii="Arial" w:hAnsi="Arial" w:eastAsia="宋体" w:cs="Arial"/>
          <w:sz w:val="21"/>
          <w:szCs w:val="21"/>
          <w:lang w:eastAsia="zh-CN"/>
        </w:rPr>
      </w:pPr>
      <w:r>
        <w:rPr>
          <w:rFonts w:ascii="Arial" w:hAnsi="Arial" w:eastAsia="宋体" w:cs="Arial"/>
          <w:sz w:val="21"/>
          <w:szCs w:val="21"/>
          <w:lang w:eastAsia="zh-CN"/>
        </w:rPr>
        <w:t>杀菌过程</w:t>
      </w:r>
    </w:p>
    <w:p w14:paraId="5A74D479">
      <w:pPr>
        <w:pStyle w:val="16"/>
        <w:tabs>
          <w:tab w:val="left" w:pos="924"/>
        </w:tabs>
        <w:snapToGrid w:val="0"/>
        <w:spacing w:line="300" w:lineRule="auto"/>
        <w:ind w:left="1764" w:hanging="434"/>
        <w:jc w:val="both"/>
        <w:rPr>
          <w:rFonts w:ascii="Arial" w:hAnsi="Arial" w:eastAsia="宋体" w:cs="Arial"/>
          <w:sz w:val="21"/>
          <w:szCs w:val="21"/>
          <w:lang w:eastAsia="zh-CN"/>
        </w:rPr>
      </w:pPr>
      <w:r>
        <w:rPr>
          <w:rFonts w:ascii="Arial" w:hAnsi="Arial" w:eastAsia="宋体" w:cs="Arial"/>
          <w:sz w:val="21"/>
          <w:szCs w:val="21"/>
          <w:lang w:eastAsia="zh-CN"/>
        </w:rPr>
        <w:t>加工后</w:t>
      </w:r>
    </w:p>
    <w:p w14:paraId="606E3503">
      <w:pPr>
        <w:pStyle w:val="16"/>
        <w:numPr>
          <w:ilvl w:val="0"/>
          <w:numId w:val="8"/>
        </w:numPr>
        <w:tabs>
          <w:tab w:val="left" w:pos="924"/>
        </w:tabs>
        <w:snapToGrid w:val="0"/>
        <w:spacing w:before="179" w:line="300" w:lineRule="auto"/>
        <w:ind w:hanging="1342"/>
        <w:jc w:val="both"/>
        <w:rPr>
          <w:rFonts w:ascii="Arial" w:hAnsi="Arial" w:eastAsia="宋体" w:cs="Arial"/>
          <w:sz w:val="21"/>
          <w:szCs w:val="21"/>
          <w:lang w:eastAsia="zh-CN"/>
        </w:rPr>
      </w:pPr>
      <w:r>
        <w:rPr>
          <w:rFonts w:ascii="Arial" w:hAnsi="Arial" w:eastAsia="宋体" w:cs="Arial"/>
          <w:sz w:val="21"/>
          <w:szCs w:val="21"/>
          <w:lang w:eastAsia="zh-CN"/>
        </w:rPr>
        <w:t>认证应在标签中推荐的指定加工设备</w:t>
      </w:r>
    </w:p>
    <w:p w14:paraId="6A0C32F5">
      <w:pPr>
        <w:rPr>
          <w:rFonts w:ascii="Arial" w:hAnsi="Arial" w:eastAsia="宋体" w:cs="Arial"/>
          <w:sz w:val="21"/>
          <w:szCs w:val="21"/>
          <w:lang w:eastAsia="zh-CN"/>
        </w:rPr>
      </w:pPr>
      <w:r>
        <w:rPr>
          <w:rFonts w:ascii="Arial" w:hAnsi="Arial" w:eastAsia="宋体" w:cs="Arial"/>
          <w:sz w:val="21"/>
          <w:szCs w:val="21"/>
          <w:lang w:eastAsia="zh-CN"/>
        </w:rPr>
        <w:br w:type="page"/>
      </w:r>
    </w:p>
    <w:p w14:paraId="1EBDE948">
      <w:pPr>
        <w:pStyle w:val="16"/>
        <w:numPr>
          <w:ilvl w:val="0"/>
          <w:numId w:val="8"/>
        </w:numPr>
        <w:tabs>
          <w:tab w:val="left" w:pos="924"/>
        </w:tabs>
        <w:snapToGrid w:val="0"/>
        <w:spacing w:before="199" w:line="300" w:lineRule="auto"/>
        <w:ind w:hanging="1342"/>
        <w:jc w:val="both"/>
        <w:rPr>
          <w:rFonts w:ascii="Arial" w:hAnsi="Arial" w:eastAsia="宋体" w:cs="Arial"/>
          <w:sz w:val="21"/>
          <w:szCs w:val="21"/>
          <w:lang w:eastAsia="zh-CN"/>
        </w:rPr>
      </w:pPr>
      <w:r>
        <w:rPr>
          <w:rFonts w:ascii="Arial" w:hAnsi="Arial" w:eastAsia="宋体" w:cs="Arial"/>
          <w:sz w:val="21"/>
          <w:szCs w:val="21"/>
          <w:lang w:eastAsia="zh-CN"/>
        </w:rPr>
        <w:t>（1）清洁/冲洗步骤，以及（2）灭菌或消毒和最后冲洗步骤的性能认证</w:t>
      </w:r>
    </w:p>
    <w:p w14:paraId="4AB81ADA">
      <w:pPr>
        <w:pStyle w:val="16"/>
        <w:tabs>
          <w:tab w:val="left" w:pos="924"/>
        </w:tabs>
        <w:snapToGrid w:val="0"/>
        <w:spacing w:before="199" w:line="300" w:lineRule="auto"/>
        <w:ind w:left="1762" w:hanging="726"/>
        <w:jc w:val="both"/>
        <w:rPr>
          <w:rFonts w:ascii="Arial" w:hAnsi="Arial" w:eastAsia="宋体" w:cs="Arial"/>
          <w:sz w:val="21"/>
          <w:szCs w:val="21"/>
          <w:lang w:eastAsia="zh-CN"/>
        </w:rPr>
      </w:pPr>
      <w:r>
        <w:rPr>
          <w:rFonts w:ascii="Arial" w:hAnsi="Arial" w:eastAsia="宋体" w:cs="Arial"/>
          <w:sz w:val="21"/>
          <w:szCs w:val="21"/>
          <w:lang w:eastAsia="zh-CN"/>
        </w:rPr>
        <w:t>加工设备评价</w:t>
      </w:r>
    </w:p>
    <w:p w14:paraId="4FA0CC00">
      <w:pPr>
        <w:pStyle w:val="16"/>
        <w:tabs>
          <w:tab w:val="left" w:pos="924"/>
        </w:tabs>
        <w:snapToGrid w:val="0"/>
        <w:spacing w:before="199" w:line="300" w:lineRule="auto"/>
        <w:ind w:left="1762" w:hanging="726"/>
        <w:jc w:val="both"/>
        <w:rPr>
          <w:rFonts w:ascii="Arial" w:hAnsi="Arial" w:eastAsia="宋体" w:cs="Arial"/>
          <w:sz w:val="21"/>
          <w:szCs w:val="21"/>
          <w:lang w:eastAsia="zh-CN"/>
        </w:rPr>
      </w:pPr>
      <w:r>
        <w:rPr>
          <w:rFonts w:ascii="Arial" w:hAnsi="Arial" w:eastAsia="宋体" w:cs="Arial"/>
          <w:sz w:val="21"/>
          <w:szCs w:val="21"/>
          <w:lang w:eastAsia="zh-CN"/>
        </w:rPr>
        <w:t>微生物挑战</w:t>
      </w:r>
    </w:p>
    <w:p w14:paraId="0D6D5570">
      <w:pPr>
        <w:pStyle w:val="16"/>
        <w:tabs>
          <w:tab w:val="left" w:pos="924"/>
        </w:tabs>
        <w:snapToGrid w:val="0"/>
        <w:spacing w:before="199" w:line="300" w:lineRule="auto"/>
        <w:ind w:left="1762" w:hanging="726"/>
        <w:jc w:val="both"/>
        <w:rPr>
          <w:rFonts w:ascii="Arial" w:hAnsi="Arial" w:eastAsia="宋体" w:cs="Arial"/>
          <w:sz w:val="21"/>
          <w:szCs w:val="21"/>
          <w:lang w:eastAsia="zh-CN"/>
        </w:rPr>
      </w:pPr>
      <w:r>
        <w:rPr>
          <w:rFonts w:ascii="Arial" w:hAnsi="Arial" w:eastAsia="宋体" w:cs="Arial"/>
          <w:sz w:val="21"/>
          <w:szCs w:val="21"/>
          <w:lang w:eastAsia="zh-CN"/>
        </w:rPr>
        <w:t>产品功能评价（重复使用的重复研究）</w:t>
      </w:r>
    </w:p>
    <w:p w14:paraId="34E8C5CE">
      <w:pPr>
        <w:pStyle w:val="16"/>
        <w:tabs>
          <w:tab w:val="left" w:pos="924"/>
        </w:tabs>
        <w:snapToGrid w:val="0"/>
        <w:spacing w:before="199" w:line="300" w:lineRule="auto"/>
        <w:ind w:left="1762" w:hanging="726"/>
        <w:jc w:val="both"/>
        <w:rPr>
          <w:rFonts w:ascii="Arial" w:hAnsi="Arial" w:eastAsia="宋体" w:cs="Arial"/>
          <w:sz w:val="21"/>
          <w:szCs w:val="21"/>
          <w:lang w:eastAsia="zh-CN"/>
        </w:rPr>
      </w:pPr>
      <w:r>
        <w:rPr>
          <w:rFonts w:ascii="Arial" w:hAnsi="Arial" w:eastAsia="宋体" w:cs="Arial"/>
          <w:sz w:val="21"/>
          <w:szCs w:val="21"/>
          <w:lang w:eastAsia="zh-CN"/>
        </w:rPr>
        <w:t>残留物评价</w:t>
      </w:r>
    </w:p>
    <w:p w14:paraId="665AD380">
      <w:pPr>
        <w:pStyle w:val="16"/>
        <w:numPr>
          <w:ilvl w:val="0"/>
          <w:numId w:val="8"/>
        </w:numPr>
        <w:tabs>
          <w:tab w:val="left" w:pos="924"/>
        </w:tabs>
        <w:snapToGrid w:val="0"/>
        <w:spacing w:before="199" w:line="300" w:lineRule="auto"/>
        <w:ind w:hanging="1342"/>
        <w:jc w:val="both"/>
        <w:rPr>
          <w:rFonts w:ascii="Arial" w:hAnsi="Arial" w:eastAsia="宋体" w:cs="Arial"/>
          <w:sz w:val="21"/>
          <w:szCs w:val="21"/>
        </w:rPr>
      </w:pPr>
      <w:r>
        <w:rPr>
          <w:rFonts w:ascii="Arial" w:hAnsi="Arial" w:eastAsia="宋体" w:cs="Arial"/>
          <w:sz w:val="21"/>
          <w:szCs w:val="21"/>
          <w:lang w:eastAsia="zh-CN"/>
        </w:rPr>
        <w:t>文件记录</w:t>
      </w:r>
    </w:p>
    <w:p w14:paraId="669F8125">
      <w:pPr>
        <w:pStyle w:val="16"/>
        <w:tabs>
          <w:tab w:val="left" w:pos="924"/>
        </w:tabs>
        <w:snapToGrid w:val="0"/>
        <w:spacing w:before="199" w:line="300" w:lineRule="auto"/>
        <w:ind w:left="1762" w:hanging="726"/>
        <w:jc w:val="both"/>
        <w:rPr>
          <w:rFonts w:ascii="Arial" w:hAnsi="Arial" w:eastAsia="宋体" w:cs="Arial"/>
          <w:sz w:val="21"/>
          <w:szCs w:val="21"/>
          <w:lang w:eastAsia="zh-CN"/>
        </w:rPr>
      </w:pPr>
      <w:r>
        <w:rPr>
          <w:rFonts w:ascii="Arial" w:hAnsi="Arial" w:eastAsia="宋体" w:cs="Arial"/>
          <w:sz w:val="21"/>
          <w:szCs w:val="21"/>
          <w:lang w:eastAsia="zh-CN"/>
        </w:rPr>
        <w:t>文件记录</w:t>
      </w:r>
    </w:p>
    <w:p w14:paraId="2102921A">
      <w:pPr>
        <w:pStyle w:val="16"/>
        <w:tabs>
          <w:tab w:val="left" w:pos="924"/>
        </w:tabs>
        <w:snapToGrid w:val="0"/>
        <w:spacing w:before="199" w:line="300" w:lineRule="auto"/>
        <w:ind w:left="1762" w:hanging="726"/>
        <w:jc w:val="both"/>
        <w:rPr>
          <w:rFonts w:ascii="Arial" w:hAnsi="Arial" w:eastAsia="宋体" w:cs="Arial"/>
          <w:sz w:val="21"/>
          <w:szCs w:val="21"/>
          <w:lang w:eastAsia="zh-CN"/>
        </w:rPr>
      </w:pPr>
      <w:r>
        <w:rPr>
          <w:rFonts w:ascii="Arial" w:hAnsi="Arial" w:eastAsia="宋体" w:cs="Arial"/>
          <w:sz w:val="21"/>
          <w:szCs w:val="21"/>
          <w:lang w:eastAsia="zh-CN"/>
        </w:rPr>
        <w:t>QC 审查和批准</w:t>
      </w:r>
    </w:p>
    <w:p w14:paraId="0E7A90F0">
      <w:pPr>
        <w:pStyle w:val="16"/>
        <w:numPr>
          <w:ilvl w:val="0"/>
          <w:numId w:val="8"/>
        </w:numPr>
        <w:tabs>
          <w:tab w:val="left" w:pos="924"/>
        </w:tabs>
        <w:snapToGrid w:val="0"/>
        <w:spacing w:before="199" w:line="300" w:lineRule="auto"/>
        <w:ind w:hanging="1342"/>
        <w:jc w:val="both"/>
        <w:rPr>
          <w:rFonts w:ascii="Arial" w:hAnsi="Arial" w:eastAsia="宋体" w:cs="Arial"/>
          <w:sz w:val="21"/>
          <w:szCs w:val="21"/>
          <w:lang w:eastAsia="zh-CN"/>
        </w:rPr>
      </w:pPr>
      <w:r>
        <w:rPr>
          <w:rFonts w:ascii="Arial" w:hAnsi="Arial" w:eastAsia="宋体" w:cs="Arial"/>
          <w:sz w:val="21"/>
          <w:szCs w:val="21"/>
          <w:lang w:eastAsia="zh-CN"/>
        </w:rPr>
        <w:t>再认证</w:t>
      </w:r>
    </w:p>
    <w:p w14:paraId="02B9BD5B">
      <w:pPr>
        <w:snapToGrid w:val="0"/>
        <w:spacing w:before="4" w:line="300" w:lineRule="auto"/>
        <w:jc w:val="both"/>
        <w:rPr>
          <w:rFonts w:ascii="Arial" w:hAnsi="Arial" w:eastAsia="宋体" w:cs="Arial"/>
          <w:b/>
          <w:bCs/>
          <w:sz w:val="21"/>
          <w:szCs w:val="21"/>
        </w:rPr>
      </w:pPr>
    </w:p>
    <w:p w14:paraId="1DD8D96F">
      <w:pPr>
        <w:pStyle w:val="16"/>
        <w:numPr>
          <w:ilvl w:val="0"/>
          <w:numId w:val="7"/>
        </w:numPr>
        <w:snapToGrid w:val="0"/>
        <w:spacing w:line="300" w:lineRule="auto"/>
        <w:ind w:left="357" w:hanging="357"/>
        <w:jc w:val="both"/>
        <w:rPr>
          <w:rFonts w:ascii="Arial" w:hAnsi="Arial" w:eastAsia="宋体" w:cs="Arial"/>
          <w:sz w:val="21"/>
          <w:szCs w:val="21"/>
          <w:lang w:eastAsia="zh-CN"/>
        </w:rPr>
      </w:pPr>
      <w:r>
        <w:rPr>
          <w:rFonts w:ascii="Arial" w:hAnsi="Arial" w:eastAsia="宋体" w:cs="Arial"/>
          <w:sz w:val="21"/>
          <w:szCs w:val="21"/>
          <w:lang w:eastAsia="zh-CN"/>
        </w:rPr>
        <w:t>模拟和实际使用研究</w:t>
      </w:r>
    </w:p>
    <w:p w14:paraId="521B6F6C">
      <w:pPr>
        <w:tabs>
          <w:tab w:val="left" w:pos="2449"/>
          <w:tab w:val="left" w:pos="2697"/>
          <w:tab w:val="left" w:pos="5891"/>
        </w:tabs>
        <w:snapToGrid w:val="0"/>
        <w:spacing w:line="300" w:lineRule="auto"/>
        <w:ind w:left="361" w:hanging="5"/>
        <w:jc w:val="both"/>
        <w:rPr>
          <w:rFonts w:ascii="Arial" w:hAnsi="Arial" w:eastAsia="宋体" w:cs="Arial"/>
          <w:sz w:val="21"/>
          <w:szCs w:val="21"/>
          <w:lang w:eastAsia="zh-CN"/>
        </w:rPr>
      </w:pPr>
    </w:p>
    <w:p w14:paraId="770385BC">
      <w:pPr>
        <w:tabs>
          <w:tab w:val="left" w:pos="2449"/>
          <w:tab w:val="left" w:pos="2697"/>
          <w:tab w:val="left" w:pos="5891"/>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性能认证要求至少要对器械的再加工进行模拟试验。申请人应该记录仅使用模拟的理由，并保存记录以供检查。模拟使用试验条件应模拟最坏情况的实际使用条件（例如，在产品的可重复使用寿命内的污染和再加工条件的极端条件）。如果申请人无法充分模拟实际使用条件，申请人应当对器械进行实际使用，即临床，试验，以确认程序的有效性。</w:t>
      </w:r>
    </w:p>
    <w:p w14:paraId="617B1A88">
      <w:pPr>
        <w:snapToGrid w:val="0"/>
        <w:spacing w:line="300" w:lineRule="auto"/>
        <w:jc w:val="both"/>
        <w:rPr>
          <w:rFonts w:ascii="Arial" w:hAnsi="Arial" w:eastAsia="宋体" w:cs="Arial"/>
          <w:sz w:val="21"/>
          <w:szCs w:val="21"/>
          <w:lang w:eastAsia="zh-CN"/>
        </w:rPr>
        <w:sectPr>
          <w:pgSz w:w="12240" w:h="15840"/>
          <w:pgMar w:top="1134" w:right="1134" w:bottom="1134" w:left="1134" w:header="720" w:footer="720" w:gutter="0"/>
          <w:cols w:space="720" w:num="1"/>
          <w:docGrid w:linePitch="299" w:charSpace="0"/>
        </w:sectPr>
      </w:pPr>
    </w:p>
    <w:p w14:paraId="2407184C">
      <w:p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 xml:space="preserve">附录4 </w:t>
      </w:r>
    </w:p>
    <w:p w14:paraId="51EB641B">
      <w:pPr>
        <w:pStyle w:val="21"/>
      </w:pPr>
      <w:bookmarkStart w:id="14" w:name="_Toc484421040"/>
      <w:r>
        <w:t>术语定义</w:t>
      </w:r>
      <w:bookmarkEnd w:id="14"/>
    </w:p>
    <w:p w14:paraId="0F579918">
      <w:pPr>
        <w:snapToGrid w:val="0"/>
        <w:spacing w:line="300" w:lineRule="auto"/>
        <w:jc w:val="both"/>
        <w:rPr>
          <w:rFonts w:ascii="Arial" w:hAnsi="Arial" w:eastAsia="宋体" w:cs="Arial"/>
          <w:sz w:val="21"/>
          <w:szCs w:val="21"/>
          <w:lang w:eastAsia="zh-CN"/>
        </w:rPr>
      </w:pPr>
    </w:p>
    <w:p w14:paraId="0C75DB70">
      <w:p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以下是审评员在评价从参考文件中选出的器械标签中再加工说明时可能遇到的常见微生物术语。</w:t>
      </w:r>
      <w:r>
        <w:rPr>
          <w:rFonts w:ascii="Arial" w:hAnsi="Arial" w:eastAsia="宋体" w:cs="Arial"/>
          <w:sz w:val="21"/>
          <w:szCs w:val="21"/>
          <w:vertAlign w:val="superscript"/>
          <w:lang w:eastAsia="zh-CN"/>
        </w:rPr>
        <w:t>2、3、4、5</w:t>
      </w:r>
      <w:r>
        <w:rPr>
          <w:rFonts w:ascii="Arial" w:hAnsi="Arial" w:eastAsia="宋体" w:cs="Arial"/>
          <w:sz w:val="21"/>
          <w:szCs w:val="21"/>
          <w:lang w:eastAsia="zh-CN"/>
        </w:rPr>
        <w:t>列表并不详尽。标有星号的术语在本文件中使用。术语的其他定义可以在参考文件中找到。</w:t>
      </w:r>
    </w:p>
    <w:p w14:paraId="0EC7B864">
      <w:pPr>
        <w:snapToGrid w:val="0"/>
        <w:spacing w:before="9" w:line="300" w:lineRule="auto"/>
        <w:jc w:val="both"/>
        <w:rPr>
          <w:rFonts w:ascii="Arial" w:hAnsi="Arial" w:eastAsia="宋体" w:cs="Arial"/>
          <w:b/>
          <w:bCs/>
          <w:sz w:val="21"/>
          <w:szCs w:val="21"/>
          <w:lang w:eastAsia="zh-CN"/>
        </w:rPr>
      </w:pPr>
    </w:p>
    <w:p w14:paraId="4452CE96">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防腐剂：通过抑制微生物活性或破坏微生物来防止或阻止微生物在活体组织上生长或活动的物质。防腐剂作为药品接受管制。</w:t>
      </w:r>
    </w:p>
    <w:p w14:paraId="708D2956">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生物负载：污染产品的活性微生物的数量和类型；也称为</w:t>
      </w:r>
      <w:r>
        <w:rPr>
          <w:rFonts w:ascii="宋体" w:hAnsi="宋体" w:eastAsia="宋体" w:cs="Arial"/>
          <w:sz w:val="21"/>
          <w:szCs w:val="21"/>
          <w:lang w:eastAsia="zh-CN"/>
        </w:rPr>
        <w:t>“</w:t>
      </w:r>
      <w:r>
        <w:rPr>
          <w:rFonts w:ascii="Arial" w:hAnsi="Arial" w:eastAsia="宋体" w:cs="Arial"/>
          <w:sz w:val="21"/>
          <w:szCs w:val="21"/>
          <w:lang w:eastAsia="zh-CN"/>
        </w:rPr>
        <w:t>生物负载</w:t>
      </w:r>
      <w:r>
        <w:rPr>
          <w:rFonts w:ascii="宋体" w:hAnsi="宋体" w:eastAsia="宋体" w:cs="Arial"/>
          <w:sz w:val="21"/>
          <w:szCs w:val="21"/>
          <w:lang w:eastAsia="zh-CN"/>
        </w:rPr>
        <w:t>”</w:t>
      </w:r>
      <w:r>
        <w:rPr>
          <w:rFonts w:ascii="Arial" w:hAnsi="Arial" w:eastAsia="宋体" w:cs="Arial"/>
          <w:sz w:val="21"/>
          <w:szCs w:val="21"/>
          <w:lang w:eastAsia="zh-CN"/>
        </w:rPr>
        <w:t>或</w:t>
      </w:r>
      <w:r>
        <w:rPr>
          <w:rFonts w:ascii="宋体" w:hAnsi="宋体" w:eastAsia="宋体" w:cs="Arial"/>
          <w:sz w:val="21"/>
          <w:szCs w:val="21"/>
          <w:lang w:eastAsia="zh-CN"/>
        </w:rPr>
        <w:t>“</w:t>
      </w:r>
      <w:r>
        <w:rPr>
          <w:rFonts w:ascii="Arial" w:hAnsi="Arial" w:eastAsia="宋体" w:cs="Arial"/>
          <w:sz w:val="21"/>
          <w:szCs w:val="21"/>
          <w:lang w:eastAsia="zh-CN"/>
        </w:rPr>
        <w:t>微生物负荷</w:t>
      </w:r>
      <w:r>
        <w:rPr>
          <w:rFonts w:ascii="宋体" w:hAnsi="宋体" w:eastAsia="宋体" w:cs="Arial"/>
          <w:sz w:val="21"/>
          <w:szCs w:val="21"/>
          <w:lang w:eastAsia="zh-CN"/>
        </w:rPr>
        <w:t>”</w:t>
      </w:r>
      <w:r>
        <w:rPr>
          <w:rFonts w:ascii="Arial" w:hAnsi="Arial" w:eastAsia="宋体" w:cs="Arial"/>
          <w:sz w:val="21"/>
          <w:szCs w:val="21"/>
          <w:lang w:eastAsia="zh-CN"/>
        </w:rPr>
        <w:t>。当测量时，生物负载表示为单个物品的细菌和真菌集落形成单位的总计数。</w:t>
      </w:r>
    </w:p>
    <w:p w14:paraId="5F862C11">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基于生物负载的灭菌：基于待灭菌的所有表面上已知微生物污染水平的灭菌过程。</w:t>
      </w:r>
    </w:p>
    <w:p w14:paraId="1E3E3CED">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w:t>
      </w:r>
      <w:bookmarkStart w:id="15" w:name="OLE_LINK14"/>
      <w:bookmarkStart w:id="16" w:name="OLE_LINK13"/>
      <w:r>
        <w:rPr>
          <w:rFonts w:ascii="Arial" w:hAnsi="Arial" w:eastAsia="宋体" w:cs="Arial"/>
          <w:sz w:val="21"/>
          <w:szCs w:val="21"/>
          <w:lang w:eastAsia="zh-CN"/>
        </w:rPr>
        <w:t>生物指示物</w:t>
      </w:r>
      <w:bookmarkEnd w:id="15"/>
      <w:bookmarkEnd w:id="16"/>
      <w:r>
        <w:rPr>
          <w:rFonts w:ascii="Arial" w:hAnsi="Arial" w:eastAsia="宋体" w:cs="Arial"/>
          <w:sz w:val="21"/>
          <w:szCs w:val="21"/>
          <w:lang w:eastAsia="zh-CN"/>
        </w:rPr>
        <w:t>（BI）：由已知具有对所监测的灭菌模式高抵抗力的标准化活性微生物群体（通常为细菌孢子）组成的灭菌过程监测器械。</w:t>
      </w:r>
    </w:p>
    <w:p w14:paraId="31E8A0FC">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化学指示物：设计用于响应灭菌舱内一个或多个物理条件的特征化学或物理变化的灭菌监测器械。</w:t>
      </w:r>
    </w:p>
    <w:p w14:paraId="4B65CEDD">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*清洁：为去污过程的一部分，通过手动或机动过程从医疗器械中去除粘附的可见污物（例如血液、蛋白质物质和其他碎屑）。</w:t>
      </w:r>
    </w:p>
    <w:p w14:paraId="5551F66F">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死亡率曲线（或幸存曲线）：既定微生物群体上特定杀菌剂的微生物死亡率动力学的图示。</w:t>
      </w:r>
    </w:p>
    <w:p w14:paraId="74C08341">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*去污：根据美国职业安全与健康管理局（OSHA），</w:t>
      </w:r>
      <w:r>
        <w:rPr>
          <w:rFonts w:ascii="宋体" w:hAnsi="宋体" w:eastAsia="宋体" w:cs="Arial"/>
          <w:sz w:val="21"/>
          <w:szCs w:val="21"/>
          <w:lang w:eastAsia="zh-CN"/>
        </w:rPr>
        <w:t>“</w:t>
      </w:r>
      <w:r>
        <w:rPr>
          <w:rFonts w:ascii="Arial" w:hAnsi="Arial" w:eastAsia="宋体" w:cs="Arial"/>
          <w:sz w:val="21"/>
          <w:szCs w:val="21"/>
          <w:lang w:eastAsia="zh-CN"/>
        </w:rPr>
        <w:t xml:space="preserve">使用物理或化学方法去除、灭活或破坏表面或物品上的血源性病原体，使其不再能够传播传染性颗粒，且表面或物品可安全用于处理、使用或处置 </w:t>
      </w:r>
      <w:r>
        <w:rPr>
          <w:rFonts w:ascii="宋体" w:hAnsi="宋体" w:eastAsia="宋体" w:cs="Arial"/>
          <w:sz w:val="21"/>
          <w:szCs w:val="21"/>
          <w:lang w:eastAsia="zh-CN"/>
        </w:rPr>
        <w:t>”</w:t>
      </w:r>
      <w:r>
        <w:rPr>
          <w:rFonts w:ascii="Arial" w:hAnsi="Arial" w:eastAsia="宋体" w:cs="Arial"/>
          <w:sz w:val="21"/>
          <w:szCs w:val="21"/>
          <w:lang w:eastAsia="zh-CN"/>
        </w:rPr>
        <w:t>【29CFR1910.1030】</w:t>
      </w:r>
    </w:p>
    <w:p w14:paraId="40B787DB">
      <w:pPr>
        <w:snapToGrid w:val="0"/>
        <w:spacing w:after="120" w:afterLines="50"/>
        <w:rPr>
          <w:rFonts w:ascii="Arial" w:hAnsi="Arial" w:eastAsia="宋体" w:cs="Arial"/>
          <w:sz w:val="21"/>
          <w:szCs w:val="21"/>
          <w:lang w:eastAsia="zh-CN"/>
        </w:rPr>
      </w:pPr>
      <w:r>
        <w:rPr>
          <w:rFonts w:ascii="Arial" w:hAnsi="Arial" w:eastAsia="宋体" w:cs="Arial"/>
          <w:sz w:val="21"/>
          <w:szCs w:val="21"/>
          <w:lang w:eastAsia="zh-CN"/>
        </w:rPr>
        <w:br w:type="page"/>
      </w:r>
    </w:p>
    <w:p w14:paraId="2C637E4C">
      <w:pPr>
        <w:pStyle w:val="16"/>
        <w:snapToGrid w:val="0"/>
        <w:spacing w:after="120" w:afterLines="50" w:line="300" w:lineRule="auto"/>
        <w:ind w:left="360"/>
        <w:jc w:val="both"/>
        <w:rPr>
          <w:rFonts w:ascii="Arial" w:hAnsi="Arial" w:eastAsia="宋体" w:cs="Arial"/>
          <w:sz w:val="21"/>
          <w:szCs w:val="21"/>
          <w:lang w:eastAsia="zh-CN"/>
        </w:rPr>
      </w:pPr>
      <w:r>
        <w:rPr>
          <w:rFonts w:ascii="Arial" w:hAnsi="Arial" w:eastAsia="宋体" w:cs="Arial"/>
          <w:sz w:val="21"/>
          <w:szCs w:val="21"/>
          <w:lang w:eastAsia="zh-CN"/>
        </w:rPr>
        <w:t>*</w:t>
      </w:r>
      <w:r>
        <w:rPr>
          <w:rFonts w:hint="eastAsia" w:ascii="Arial" w:hAnsi="Arial" w:eastAsia="宋体" w:cs="Arial"/>
          <w:sz w:val="21"/>
          <w:szCs w:val="21"/>
          <w:lang w:eastAsia="zh-CN"/>
        </w:rPr>
        <w:t>注意</w:t>
      </w:r>
      <w:r>
        <w:rPr>
          <w:rFonts w:ascii="Arial" w:hAnsi="Arial" w:eastAsia="宋体" w:cs="Arial"/>
          <w:sz w:val="21"/>
          <w:szCs w:val="21"/>
          <w:lang w:eastAsia="zh-CN"/>
        </w:rPr>
        <w:t>-</w:t>
      </w:r>
      <w:r>
        <w:rPr>
          <w:rFonts w:hint="eastAsia" w:ascii="Arial" w:hAnsi="Arial" w:eastAsia="宋体" w:cs="Arial"/>
          <w:sz w:val="21"/>
          <w:szCs w:val="21"/>
          <w:lang w:eastAsia="zh-CN"/>
        </w:rPr>
        <w:t>通常情况下，</w:t>
      </w:r>
      <w:r>
        <w:rPr>
          <w:rFonts w:hint="eastAsia" w:ascii="宋体" w:hAnsi="宋体" w:eastAsia="宋体" w:cs="Arial"/>
          <w:sz w:val="21"/>
          <w:szCs w:val="21"/>
          <w:lang w:eastAsia="zh-CN"/>
        </w:rPr>
        <w:t>“</w:t>
      </w:r>
      <w:r>
        <w:rPr>
          <w:rFonts w:hint="eastAsia" w:ascii="Arial" w:hAnsi="Arial" w:eastAsia="宋体" w:cs="Arial"/>
          <w:sz w:val="21"/>
          <w:szCs w:val="21"/>
          <w:lang w:eastAsia="zh-CN"/>
        </w:rPr>
        <w:t>去污通常是指所有病原体（能够产生疾病或感染的微生物），而不仅仅是人血传播的病原体。</w:t>
      </w:r>
    </w:p>
    <w:p w14:paraId="37319C34">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*消毒剂：用于消毒的试剂。</w:t>
      </w:r>
    </w:p>
    <w:p w14:paraId="2D36F864">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*消毒：通过物理或化学手段破坏病原体和其他微生物的过程。消毒过程不能确保相同的灭菌过程相关安全幅度。根据消毒剂的性质，消毒过程的致死率可能会有所不同，从而生成以下子类别：</w:t>
      </w:r>
    </w:p>
    <w:p w14:paraId="711D0A32">
      <w:pPr>
        <w:pStyle w:val="16"/>
        <w:numPr>
          <w:ilvl w:val="2"/>
          <w:numId w:val="2"/>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高水平消毒：在非灭菌条件下利用灭菌剂的致死过程。除了大量的细菌孢子外，该过程可杀死所有形式的微生物生物。</w:t>
      </w:r>
    </w:p>
    <w:p w14:paraId="108F4FD3">
      <w:pPr>
        <w:pStyle w:val="16"/>
        <w:numPr>
          <w:ilvl w:val="2"/>
          <w:numId w:val="2"/>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中水平消毒：使用可杀死病毒、分枝杆菌、真菌和营养细菌但不可杀死细菌孢子的药剂的致死过程。</w:t>
      </w:r>
    </w:p>
    <w:p w14:paraId="3C57FFCE">
      <w:pPr>
        <w:pStyle w:val="16"/>
        <w:numPr>
          <w:ilvl w:val="2"/>
          <w:numId w:val="2"/>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低水平消毒：利用杀死细菌、一些真菌和脂质病毒营养形式的药剂的致死过程。</w:t>
      </w:r>
    </w:p>
    <w:p w14:paraId="12A500F5">
      <w:pPr>
        <w:snapToGrid w:val="0"/>
        <w:spacing w:after="120" w:afterLines="50" w:line="300" w:lineRule="auto"/>
        <w:jc w:val="both"/>
        <w:rPr>
          <w:rFonts w:ascii="Arial" w:hAnsi="Arial" w:eastAsia="宋体" w:cs="Arial"/>
          <w:b/>
          <w:w w:val="90"/>
          <w:sz w:val="21"/>
          <w:szCs w:val="21"/>
          <w:lang w:eastAsia="zh-CN"/>
        </w:rPr>
      </w:pPr>
    </w:p>
    <w:p w14:paraId="31C43A56">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污染物：可以传播疾病产生源的无生命物体或物质。</w:t>
      </w:r>
    </w:p>
    <w:p w14:paraId="42A180AD">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*杀菌剂：杀死微生物，特别是致病生物的物质。具有后缀-cide（例如杀病毒剂、杀真菌剂、杀菌剂、杀孢子剂、结核菌素）的其它术语可破坏由该前缀标识的微生物。</w:t>
      </w:r>
    </w:p>
    <w:p w14:paraId="6F18AD9F">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微生物动力学：已知杀菌剂的暴露条件与所杀死的指定微生物数量的数学关系。</w:t>
      </w:r>
    </w:p>
    <w:p w14:paraId="15C71500">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有机和无机负载：再加工之前医疗器械表面上的环境或施用的无机（例如金属盐）或有机（例如蛋白质）污染物。天然存在的有机负载也称为生物负载。</w:t>
      </w:r>
    </w:p>
    <w:p w14:paraId="43BFCF70">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过度灭菌：基于任意确定的较高初始浓度以及对高于待灭菌医疗器械上实际预期的生物负载抗性的灭菌过程。过度灭菌过程通常基于已知对灭菌过程具有抗性的细菌孢子的10</w:t>
      </w:r>
      <w:r>
        <w:rPr>
          <w:rFonts w:ascii="Arial" w:hAnsi="Arial" w:eastAsia="宋体" w:cs="Arial"/>
          <w:sz w:val="21"/>
          <w:szCs w:val="21"/>
          <w:vertAlign w:val="superscript"/>
          <w:lang w:eastAsia="zh-CN"/>
        </w:rPr>
        <w:t>4</w:t>
      </w:r>
      <w:r>
        <w:rPr>
          <w:rFonts w:ascii="Arial" w:hAnsi="Arial" w:eastAsia="宋体" w:cs="Arial"/>
          <w:sz w:val="21"/>
          <w:szCs w:val="21"/>
          <w:lang w:eastAsia="zh-CN"/>
        </w:rPr>
        <w:t>-10</w:t>
      </w:r>
      <w:r>
        <w:rPr>
          <w:rFonts w:ascii="Arial" w:hAnsi="Arial" w:eastAsia="宋体" w:cs="Arial"/>
          <w:sz w:val="21"/>
          <w:szCs w:val="21"/>
          <w:vertAlign w:val="superscript"/>
          <w:lang w:eastAsia="zh-CN"/>
        </w:rPr>
        <w:t>6</w:t>
      </w:r>
      <w:r>
        <w:rPr>
          <w:rFonts w:ascii="Arial" w:hAnsi="Arial" w:eastAsia="宋体" w:cs="Arial"/>
          <w:sz w:val="21"/>
          <w:szCs w:val="21"/>
          <w:lang w:eastAsia="zh-CN"/>
        </w:rPr>
        <w:t>菌落形成单位（CFU）群体。</w:t>
      </w:r>
    </w:p>
    <w:p w14:paraId="5AB649E3">
      <w:pPr>
        <w:snapToGrid w:val="0"/>
        <w:spacing w:after="120" w:afterLines="50"/>
        <w:rPr>
          <w:rFonts w:ascii="Arial" w:hAnsi="Arial" w:eastAsia="宋体" w:cs="Arial"/>
          <w:sz w:val="21"/>
          <w:szCs w:val="21"/>
          <w:lang w:eastAsia="zh-CN"/>
        </w:rPr>
      </w:pPr>
      <w:r>
        <w:rPr>
          <w:rFonts w:ascii="Arial" w:hAnsi="Arial" w:eastAsia="宋体" w:cs="Arial"/>
          <w:sz w:val="21"/>
          <w:szCs w:val="21"/>
          <w:lang w:eastAsia="zh-CN"/>
        </w:rPr>
        <w:br w:type="page"/>
      </w:r>
    </w:p>
    <w:p w14:paraId="00199FC7">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*性能认证：灭菌确认程序的一个要素，其中包括根据预定方案进行的所选工程和微生物实验，以显示过程的复现性和产品的可接受性。</w:t>
      </w:r>
    </w:p>
    <w:p w14:paraId="79255618">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*过程残留物：暴露于去污或最终过程后，残留在医疗器械表面的物质。</w:t>
      </w:r>
    </w:p>
    <w:p w14:paraId="3665900D">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认证：证明符合既定标准或规格的试验方案的记录程序。</w:t>
      </w:r>
    </w:p>
    <w:p w14:paraId="15B15A1E">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*可重复使用医疗器械：旨在重复用于相同或不同患者的器械，其中，在使用之间应进行适当的去污和其他再加工。</w:t>
      </w:r>
    </w:p>
    <w:p w14:paraId="19A95547">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消毒剂：根据公共卫生要求判断，将细菌污染物数量减少到安全水平的试剂。</w:t>
      </w:r>
    </w:p>
    <w:p w14:paraId="6DA69DB0">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*孢子：微生物（通常是细菌或真菌）的休眠状态，其表现出生物合成活性缺乏和呼吸活性降低。</w:t>
      </w:r>
    </w:p>
    <w:p w14:paraId="28C15D7E">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*灭菌剂：进行灭菌的物理或化学药剂。</w:t>
      </w:r>
    </w:p>
    <w:p w14:paraId="47DE23B8">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无菌：所有形式的生命已被消除的绝对状态。在实际中，无法验证绝对的无菌状态，因此，当生物体已被消除、灭活或破坏，使得无法在以前被发现增殖的标准培养基中对其进行检测时，可以认为已实现无菌状态。</w:t>
      </w:r>
    </w:p>
    <w:p w14:paraId="35D2A9F2">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无菌保证水平：表示灭菌过程中微生物存活概率的值。</w:t>
      </w:r>
    </w:p>
    <w:p w14:paraId="7A228D04">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*灭菌：完全消除或破坏一切形式的生命（特别是微生物）的操作或过程。</w:t>
      </w:r>
    </w:p>
    <w:p w14:paraId="06FBADAA">
      <w:pPr>
        <w:rPr>
          <w:rFonts w:ascii="Arial" w:hAnsi="Arial" w:eastAsia="宋体" w:cs="Arial"/>
          <w:sz w:val="21"/>
          <w:szCs w:val="21"/>
          <w:lang w:eastAsia="zh-CN"/>
        </w:rPr>
      </w:pPr>
      <w:r>
        <w:rPr>
          <w:rFonts w:ascii="Arial" w:hAnsi="Arial" w:eastAsia="宋体" w:cs="Arial"/>
          <w:sz w:val="21"/>
          <w:szCs w:val="21"/>
          <w:lang w:eastAsia="zh-CN"/>
        </w:rPr>
        <w:br w:type="page"/>
      </w:r>
    </w:p>
    <w:p w14:paraId="358741CE">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*确认：可提供高度保证的记录程序，即特定过程将以一致的方式生成符合其预定规格和质量属性的产品。</w:t>
      </w:r>
    </w:p>
    <w:p w14:paraId="21507BA2">
      <w:pPr>
        <w:pStyle w:val="16"/>
        <w:numPr>
          <w:ilvl w:val="0"/>
          <w:numId w:val="9"/>
        </w:numPr>
        <w:snapToGrid w:val="0"/>
        <w:spacing w:after="120" w:afterLines="50" w:line="300" w:lineRule="auto"/>
        <w:jc w:val="both"/>
        <w:rPr>
          <w:rFonts w:ascii="Arial" w:hAnsi="Arial" w:eastAsia="宋体" w:cs="Arial"/>
          <w:sz w:val="21"/>
          <w:szCs w:val="21"/>
          <w:lang w:eastAsia="zh-CN"/>
        </w:rPr>
      </w:pPr>
      <w:r>
        <w:rPr>
          <w:rFonts w:ascii="Arial" w:hAnsi="Arial" w:eastAsia="宋体" w:cs="Arial"/>
          <w:sz w:val="21"/>
          <w:szCs w:val="21"/>
          <w:lang w:eastAsia="zh-CN"/>
        </w:rPr>
        <w:t>繁殖：微生物的活性生长期。</w:t>
      </w:r>
    </w:p>
    <w:p w14:paraId="6D6208E8">
      <w:pPr>
        <w:snapToGrid w:val="0"/>
        <w:spacing w:line="300" w:lineRule="auto"/>
        <w:jc w:val="both"/>
        <w:rPr>
          <w:rFonts w:ascii="Arial" w:hAnsi="Arial" w:eastAsia="宋体" w:cs="Arial"/>
          <w:b/>
          <w:bCs/>
          <w:sz w:val="21"/>
          <w:szCs w:val="21"/>
          <w:lang w:eastAsia="zh-CN"/>
        </w:rPr>
      </w:pPr>
    </w:p>
    <w:p w14:paraId="56230004">
      <w:pPr>
        <w:snapToGrid w:val="0"/>
        <w:spacing w:line="300" w:lineRule="auto"/>
        <w:jc w:val="both"/>
        <w:rPr>
          <w:rFonts w:ascii="Arial" w:hAnsi="Arial" w:eastAsia="宋体" w:cs="Arial"/>
          <w:b/>
          <w:bCs/>
          <w:sz w:val="21"/>
          <w:szCs w:val="21"/>
          <w:lang w:eastAsia="zh-CN"/>
        </w:rPr>
      </w:pPr>
    </w:p>
    <w:p w14:paraId="3E5508CF">
      <w:pPr>
        <w:snapToGrid w:val="0"/>
        <w:spacing w:line="300" w:lineRule="auto"/>
        <w:jc w:val="both"/>
        <w:rPr>
          <w:rFonts w:ascii="Arial" w:hAnsi="Arial" w:eastAsia="宋体" w:cs="Arial"/>
          <w:b/>
          <w:bCs/>
          <w:sz w:val="21"/>
          <w:szCs w:val="21"/>
          <w:lang w:eastAsia="zh-CN"/>
        </w:rPr>
      </w:pPr>
    </w:p>
    <w:p w14:paraId="7D9DAC28">
      <w:pPr>
        <w:snapToGrid w:val="0"/>
        <w:spacing w:line="300" w:lineRule="auto"/>
        <w:jc w:val="both"/>
        <w:rPr>
          <w:rFonts w:ascii="Arial" w:hAnsi="Arial" w:eastAsia="宋体" w:cs="Arial"/>
          <w:b/>
          <w:bCs/>
          <w:sz w:val="21"/>
          <w:szCs w:val="21"/>
          <w:lang w:eastAsia="zh-CN"/>
        </w:rPr>
      </w:pPr>
    </w:p>
    <w:p w14:paraId="53456204">
      <w:pPr>
        <w:snapToGrid w:val="0"/>
        <w:spacing w:line="300" w:lineRule="auto"/>
        <w:jc w:val="both"/>
        <w:rPr>
          <w:rFonts w:ascii="Arial" w:hAnsi="Arial" w:eastAsia="宋体" w:cs="Arial"/>
          <w:b/>
          <w:bCs/>
          <w:sz w:val="21"/>
          <w:szCs w:val="21"/>
          <w:lang w:eastAsia="zh-CN"/>
        </w:rPr>
      </w:pPr>
    </w:p>
    <w:p w14:paraId="0B9A789F">
      <w:pPr>
        <w:snapToGrid w:val="0"/>
        <w:spacing w:line="300" w:lineRule="auto"/>
        <w:jc w:val="both"/>
        <w:rPr>
          <w:rFonts w:ascii="Arial" w:hAnsi="Arial" w:eastAsia="宋体" w:cs="Arial"/>
          <w:b/>
          <w:bCs/>
          <w:sz w:val="21"/>
          <w:szCs w:val="21"/>
          <w:lang w:eastAsia="zh-CN"/>
        </w:rPr>
      </w:pPr>
    </w:p>
    <w:p w14:paraId="287615C6">
      <w:pPr>
        <w:snapToGrid w:val="0"/>
        <w:spacing w:line="300" w:lineRule="auto"/>
        <w:jc w:val="both"/>
        <w:rPr>
          <w:rFonts w:ascii="Arial" w:hAnsi="Arial" w:eastAsia="宋体" w:cs="Arial"/>
          <w:b/>
          <w:bCs/>
          <w:sz w:val="21"/>
          <w:szCs w:val="21"/>
          <w:lang w:eastAsia="zh-CN"/>
        </w:rPr>
      </w:pPr>
    </w:p>
    <w:p w14:paraId="19162F28">
      <w:pPr>
        <w:snapToGrid w:val="0"/>
        <w:spacing w:line="300" w:lineRule="auto"/>
        <w:jc w:val="both"/>
        <w:rPr>
          <w:rFonts w:ascii="Arial" w:hAnsi="Arial" w:eastAsia="宋体" w:cs="Arial"/>
          <w:b/>
          <w:bCs/>
          <w:sz w:val="21"/>
          <w:szCs w:val="21"/>
          <w:lang w:eastAsia="zh-CN"/>
        </w:rPr>
      </w:pPr>
    </w:p>
    <w:p w14:paraId="50E69218">
      <w:pPr>
        <w:snapToGrid w:val="0"/>
        <w:spacing w:line="300" w:lineRule="auto"/>
        <w:jc w:val="both"/>
        <w:rPr>
          <w:rFonts w:ascii="Arial" w:hAnsi="Arial" w:eastAsia="宋体" w:cs="Arial"/>
          <w:b/>
          <w:bCs/>
          <w:sz w:val="21"/>
          <w:szCs w:val="21"/>
          <w:lang w:eastAsia="zh-CN"/>
        </w:rPr>
      </w:pPr>
    </w:p>
    <w:p w14:paraId="157F5CEB">
      <w:pPr>
        <w:snapToGrid w:val="0"/>
        <w:spacing w:line="300" w:lineRule="auto"/>
        <w:jc w:val="both"/>
        <w:rPr>
          <w:rFonts w:ascii="Arial" w:hAnsi="Arial" w:eastAsia="宋体" w:cs="Arial"/>
          <w:b/>
          <w:bCs/>
          <w:sz w:val="21"/>
          <w:szCs w:val="21"/>
          <w:lang w:eastAsia="zh-CN"/>
        </w:rPr>
      </w:pPr>
    </w:p>
    <w:p w14:paraId="6E9B337C">
      <w:pPr>
        <w:snapToGrid w:val="0"/>
        <w:spacing w:line="300" w:lineRule="auto"/>
        <w:jc w:val="both"/>
        <w:rPr>
          <w:rFonts w:ascii="Arial" w:hAnsi="Arial" w:eastAsia="宋体" w:cs="Arial"/>
          <w:b/>
          <w:bCs/>
          <w:sz w:val="21"/>
          <w:szCs w:val="21"/>
          <w:lang w:eastAsia="zh-CN"/>
        </w:rPr>
      </w:pPr>
    </w:p>
    <w:p w14:paraId="7C000C62">
      <w:pPr>
        <w:snapToGrid w:val="0"/>
        <w:spacing w:line="300" w:lineRule="auto"/>
        <w:jc w:val="both"/>
        <w:rPr>
          <w:rFonts w:ascii="Arial" w:hAnsi="Arial" w:eastAsia="宋体" w:cs="Arial"/>
          <w:b/>
          <w:bCs/>
          <w:sz w:val="21"/>
          <w:szCs w:val="21"/>
          <w:lang w:eastAsia="zh-CN"/>
        </w:rPr>
      </w:pPr>
    </w:p>
    <w:p w14:paraId="18D1AB51">
      <w:pPr>
        <w:snapToGrid w:val="0"/>
        <w:spacing w:line="300" w:lineRule="auto"/>
        <w:jc w:val="both"/>
        <w:rPr>
          <w:rFonts w:ascii="Arial" w:hAnsi="Arial" w:eastAsia="宋体" w:cs="Arial"/>
          <w:b/>
          <w:bCs/>
          <w:sz w:val="21"/>
          <w:szCs w:val="21"/>
          <w:lang w:eastAsia="zh-CN"/>
        </w:rPr>
      </w:pPr>
    </w:p>
    <w:p w14:paraId="24B750BD">
      <w:pPr>
        <w:snapToGrid w:val="0"/>
        <w:spacing w:line="300" w:lineRule="auto"/>
        <w:jc w:val="both"/>
        <w:rPr>
          <w:rFonts w:ascii="Arial" w:hAnsi="Arial" w:eastAsia="宋体" w:cs="Arial"/>
          <w:b/>
          <w:bCs/>
          <w:sz w:val="21"/>
          <w:szCs w:val="21"/>
          <w:lang w:eastAsia="zh-CN"/>
        </w:rPr>
      </w:pPr>
    </w:p>
    <w:p w14:paraId="0D3F6751">
      <w:pPr>
        <w:snapToGrid w:val="0"/>
        <w:spacing w:line="300" w:lineRule="auto"/>
        <w:jc w:val="both"/>
        <w:rPr>
          <w:rFonts w:ascii="Arial" w:hAnsi="Arial" w:eastAsia="宋体" w:cs="Arial"/>
          <w:b/>
          <w:bCs/>
          <w:sz w:val="21"/>
          <w:szCs w:val="21"/>
          <w:lang w:eastAsia="zh-CN"/>
        </w:rPr>
      </w:pPr>
    </w:p>
    <w:p w14:paraId="0B269946">
      <w:pPr>
        <w:rPr>
          <w:rFonts w:ascii="Arial" w:hAnsi="Arial" w:eastAsia="宋体" w:cs="Arial"/>
          <w:sz w:val="21"/>
          <w:szCs w:val="21"/>
          <w:lang w:eastAsia="zh-CN"/>
        </w:rPr>
      </w:pPr>
      <w:r>
        <w:rPr>
          <w:rFonts w:ascii="Arial" w:hAnsi="Arial" w:eastAsia="宋体" w:cs="Arial"/>
          <w:sz w:val="21"/>
          <w:szCs w:val="21"/>
          <w:lang w:eastAsia="zh-CN"/>
        </w:rPr>
        <w:br w:type="page"/>
      </w:r>
    </w:p>
    <w:p w14:paraId="07092E70">
      <w:pPr>
        <w:tabs>
          <w:tab w:val="left" w:pos="2191"/>
        </w:tabs>
        <w:snapToGrid w:val="0"/>
        <w:spacing w:before="91" w:line="300" w:lineRule="auto"/>
        <w:jc w:val="both"/>
        <w:rPr>
          <w:rFonts w:ascii="Arial" w:hAnsi="Arial" w:eastAsia="宋体" w:cs="Arial"/>
          <w:w w:val="92"/>
          <w:sz w:val="21"/>
          <w:szCs w:val="21"/>
          <w:lang w:eastAsia="zh-CN"/>
        </w:rPr>
      </w:pPr>
      <w:r>
        <w:rPr>
          <w:rFonts w:ascii="Arial" w:hAnsi="Arial" w:eastAsia="宋体" w:cs="Arial"/>
          <w:spacing w:val="19"/>
          <w:sz w:val="21"/>
          <w:szCs w:val="21"/>
          <w:lang w:eastAsia="zh-CN"/>
        </w:rPr>
        <w:t xml:space="preserve">附录 </w:t>
      </w:r>
      <w:r>
        <w:rPr>
          <w:rFonts w:ascii="Arial" w:hAnsi="Arial" w:eastAsia="宋体" w:cs="Arial"/>
          <w:sz w:val="21"/>
          <w:szCs w:val="21"/>
          <w:lang w:eastAsia="zh-CN"/>
        </w:rPr>
        <w:t>5</w:t>
      </w:r>
      <w:r>
        <w:rPr>
          <w:rFonts w:ascii="Arial" w:hAnsi="Arial" w:eastAsia="宋体" w:cs="Arial"/>
          <w:sz w:val="21"/>
          <w:szCs w:val="21"/>
          <w:lang w:eastAsia="zh-CN"/>
        </w:rPr>
        <w:tab/>
      </w:r>
      <w:r>
        <w:rPr>
          <w:rFonts w:ascii="Arial" w:hAnsi="Arial" w:eastAsia="宋体" w:cs="Arial"/>
          <w:w w:val="95"/>
          <w:sz w:val="21"/>
          <w:szCs w:val="21"/>
          <w:lang w:eastAsia="zh-CN"/>
        </w:rPr>
        <w:t>（</w:t>
      </w:r>
      <w:r>
        <w:rPr>
          <w:rFonts w:ascii="Arial" w:hAnsi="Arial" w:eastAsia="宋体" w:cs="Arial"/>
          <w:sz w:val="21"/>
          <w:szCs w:val="21"/>
          <w:lang w:eastAsia="zh-CN"/>
        </w:rPr>
        <w:t>经许可复制</w:t>
      </w:r>
      <w:r>
        <w:rPr>
          <w:rFonts w:ascii="Arial" w:hAnsi="Arial" w:eastAsia="宋体" w:cs="Arial"/>
          <w:w w:val="95"/>
          <w:sz w:val="21"/>
          <w:szCs w:val="21"/>
          <w:lang w:eastAsia="zh-CN"/>
        </w:rPr>
        <w:t>）</w:t>
      </w:r>
    </w:p>
    <w:p w14:paraId="67F70793">
      <w:pPr>
        <w:pStyle w:val="21"/>
      </w:pPr>
      <w:bookmarkStart w:id="17" w:name="_Toc484421041"/>
      <w:r>
        <w:t>对化学杀菌剂的抗性</w:t>
      </w:r>
      <w:r>
        <w:rPr>
          <w:vertAlign w:val="superscript"/>
        </w:rPr>
        <w:t>1</w:t>
      </w:r>
      <w:bookmarkEnd w:id="17"/>
    </w:p>
    <w:p w14:paraId="1CD594D8">
      <w:pPr>
        <w:widowControl/>
        <w:jc w:val="center"/>
        <w:rPr>
          <w:rFonts w:ascii="宋体" w:hAnsi="宋体" w:eastAsia="宋体" w:cs="宋体"/>
          <w:sz w:val="24"/>
          <w:szCs w:val="24"/>
          <w:lang w:eastAsia="zh-CN"/>
        </w:rPr>
      </w:pPr>
      <w:r>
        <w:rPr>
          <w:rFonts w:ascii="宋体" w:hAnsi="宋体" w:eastAsia="宋体" w:cs="宋体"/>
          <w:sz w:val="24"/>
          <w:szCs w:val="24"/>
          <w:lang w:eastAsia="zh-CN"/>
        </w:rPr>
        <w:drawing>
          <wp:inline distT="0" distB="0" distL="0" distR="0">
            <wp:extent cx="1903095" cy="3598545"/>
            <wp:effectExtent l="0" t="0" r="0" b="0"/>
            <wp:docPr id="3" name="图片 3" descr="C:\Users\lxd\AppData\Roaming\Tencent\Users\342412028\QQ\WinTemp\RichOle\_{0HCM[@$LEP4}$CE`MAS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xd\AppData\Roaming\Tencent\Users\342412028\QQ\WinTemp\RichOle\_{0HCM[@$LEP4}$CE`MASLI.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03805" cy="3599062"/>
                    </a:xfrm>
                    <a:prstGeom prst="rect">
                      <a:avLst/>
                    </a:prstGeom>
                    <a:noFill/>
                    <a:ln>
                      <a:noFill/>
                    </a:ln>
                  </pic:spPr>
                </pic:pic>
              </a:graphicData>
            </a:graphic>
          </wp:inline>
        </w:drawing>
      </w:r>
    </w:p>
    <w:p w14:paraId="43CA676C">
      <w:pPr>
        <w:snapToGrid w:val="0"/>
        <w:spacing w:line="300" w:lineRule="auto"/>
        <w:ind w:firstLine="4370" w:firstLineChars="2428"/>
        <w:jc w:val="both"/>
        <w:rPr>
          <w:rFonts w:ascii="Arial" w:hAnsi="Arial" w:eastAsia="宋体" w:cs="Arial"/>
          <w:sz w:val="18"/>
          <w:szCs w:val="18"/>
          <w:lang w:eastAsia="zh-CN"/>
        </w:rPr>
      </w:pPr>
      <w:r>
        <w:rPr>
          <w:rFonts w:ascii="Arial" w:hAnsi="Arial" w:eastAsia="宋体" w:cs="Arial"/>
          <w:sz w:val="18"/>
          <w:szCs w:val="18"/>
          <w:lang w:eastAsia="zh-CN"/>
        </w:rPr>
        <w:t>抗性的降序排序</w:t>
      </w:r>
    </w:p>
    <w:p w14:paraId="2A703864">
      <w:pPr>
        <w:snapToGrid w:val="0"/>
        <w:spacing w:before="130" w:line="300" w:lineRule="auto"/>
        <w:jc w:val="center"/>
        <w:rPr>
          <w:rFonts w:ascii="Arial" w:hAnsi="Arial" w:eastAsia="宋体" w:cs="Arial"/>
          <w:sz w:val="21"/>
          <w:szCs w:val="21"/>
          <w:lang w:eastAsia="zh-CN"/>
        </w:rPr>
      </w:pPr>
    </w:p>
    <w:p w14:paraId="395F1079">
      <w:pPr>
        <w:snapToGrid w:val="0"/>
        <w:spacing w:before="130" w:line="300" w:lineRule="auto"/>
        <w:jc w:val="center"/>
        <w:rPr>
          <w:rFonts w:ascii="Arial" w:hAnsi="Arial" w:eastAsia="宋体" w:cs="Arial"/>
          <w:sz w:val="21"/>
          <w:szCs w:val="21"/>
          <w:lang w:eastAsia="zh-CN"/>
        </w:rPr>
      </w:pPr>
      <w:r>
        <w:rPr>
          <w:rFonts w:ascii="Arial" w:hAnsi="Arial" w:eastAsia="宋体" w:cs="Arial"/>
          <w:sz w:val="21"/>
          <w:szCs w:val="21"/>
          <w:lang w:eastAsia="zh-CN"/>
        </w:rPr>
        <w:t>根据微生物类型的消毒剂活性'</w:t>
      </w:r>
    </w:p>
    <w:p w14:paraId="4F3B9D44">
      <w:pPr>
        <w:snapToGrid w:val="0"/>
        <w:spacing w:line="300" w:lineRule="auto"/>
        <w:jc w:val="both"/>
        <w:rPr>
          <w:rFonts w:ascii="Arial" w:hAnsi="Arial" w:eastAsia="宋体" w:cs="Arial"/>
          <w:sz w:val="21"/>
          <w:szCs w:val="21"/>
          <w:lang w:eastAsia="zh-CN"/>
        </w:rPr>
      </w:pPr>
    </w:p>
    <w:p w14:paraId="07767BD7">
      <w:pPr>
        <w:snapToGrid w:val="0"/>
        <w:spacing w:line="300" w:lineRule="auto"/>
        <w:jc w:val="center"/>
        <w:rPr>
          <w:rFonts w:ascii="Arial" w:hAnsi="Arial" w:eastAsia="宋体" w:cs="Arial"/>
          <w:sz w:val="21"/>
          <w:szCs w:val="21"/>
          <w:lang w:eastAsia="zh-CN"/>
        </w:rPr>
      </w:pPr>
      <w:r>
        <w:rPr>
          <w:rFonts w:ascii="Arial" w:hAnsi="Arial" w:eastAsia="宋体" w:cs="Arial"/>
          <w:sz w:val="21"/>
          <w:szCs w:val="21"/>
          <w:lang w:eastAsia="zh-CN"/>
        </w:rPr>
        <w:t>按微生物类型分类的消毒剂杀菌水平</w:t>
      </w:r>
    </w:p>
    <w:p w14:paraId="4682EE2F">
      <w:pPr>
        <w:snapToGrid w:val="0"/>
        <w:spacing w:line="300" w:lineRule="auto"/>
        <w:ind w:firstLine="3780" w:firstLineChars="1800"/>
        <w:jc w:val="both"/>
        <w:rPr>
          <w:rFonts w:ascii="Arial" w:hAnsi="Arial" w:eastAsia="宋体" w:cs="Arial"/>
          <w:sz w:val="21"/>
          <w:szCs w:val="21"/>
          <w:lang w:eastAsia="zh-CN"/>
        </w:rPr>
      </w:pPr>
    </w:p>
    <w:p w14:paraId="14C9F885">
      <w:pPr>
        <w:snapToGrid w:val="0"/>
        <w:spacing w:line="300" w:lineRule="auto"/>
        <w:jc w:val="both"/>
        <w:rPr>
          <w:rFonts w:ascii="Arial" w:hAnsi="Arial" w:eastAsia="宋体" w:cs="Arial"/>
          <w:sz w:val="21"/>
          <w:szCs w:val="21"/>
          <w:lang w:eastAsia="zh-CN"/>
        </w:rPr>
      </w:pPr>
    </w:p>
    <w:tbl>
      <w:tblPr>
        <w:tblStyle w:val="12"/>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1455"/>
        <w:gridCol w:w="1456"/>
        <w:gridCol w:w="1455"/>
        <w:gridCol w:w="1456"/>
        <w:gridCol w:w="1456"/>
        <w:gridCol w:w="1582"/>
      </w:tblGrid>
      <w:tr w14:paraId="27FB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Merge w:val="restart"/>
            <w:tcBorders>
              <w:left w:val="nil"/>
              <w:right w:val="nil"/>
            </w:tcBorders>
            <w:vAlign w:val="center"/>
          </w:tcPr>
          <w:p w14:paraId="4AAF46A0">
            <w:pPr>
              <w:snapToGrid w:val="0"/>
              <w:spacing w:line="300" w:lineRule="auto"/>
              <w:jc w:val="both"/>
              <w:rPr>
                <w:rFonts w:ascii="Arial" w:hAnsi="Arial" w:eastAsia="宋体" w:cs="Arial"/>
                <w:sz w:val="18"/>
                <w:szCs w:val="18"/>
                <w:lang w:eastAsia="zh-CN"/>
              </w:rPr>
            </w:pPr>
            <w:r>
              <w:rPr>
                <w:rFonts w:ascii="Arial" w:hAnsi="Arial" w:eastAsia="宋体" w:cs="Arial"/>
                <w:sz w:val="18"/>
                <w:szCs w:val="18"/>
                <w:lang w:eastAsia="zh-CN"/>
              </w:rPr>
              <w:t>消毒剂水平</w:t>
            </w:r>
          </w:p>
        </w:tc>
        <w:tc>
          <w:tcPr>
            <w:tcW w:w="8860" w:type="dxa"/>
            <w:gridSpan w:val="6"/>
            <w:tcBorders>
              <w:left w:val="nil"/>
              <w:right w:val="nil"/>
            </w:tcBorders>
          </w:tcPr>
          <w:p w14:paraId="6503FF90">
            <w:pPr>
              <w:snapToGrid w:val="0"/>
              <w:spacing w:line="300" w:lineRule="auto"/>
              <w:jc w:val="center"/>
              <w:rPr>
                <w:rFonts w:ascii="Arial" w:hAnsi="Arial" w:eastAsia="宋体" w:cs="Arial"/>
                <w:sz w:val="18"/>
                <w:szCs w:val="18"/>
                <w:lang w:eastAsia="zh-CN"/>
              </w:rPr>
            </w:pPr>
            <w:r>
              <w:rPr>
                <w:rFonts w:ascii="Arial" w:hAnsi="Arial" w:eastAsia="宋体" w:cs="Arial"/>
                <w:sz w:val="18"/>
                <w:szCs w:val="18"/>
                <w:lang w:eastAsia="zh-CN"/>
              </w:rPr>
              <w:t>杀菌效果</w:t>
            </w:r>
          </w:p>
        </w:tc>
      </w:tr>
      <w:tr w14:paraId="4155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Merge w:val="continue"/>
            <w:tcBorders>
              <w:left w:val="nil"/>
              <w:right w:val="nil"/>
            </w:tcBorders>
          </w:tcPr>
          <w:p w14:paraId="4A13BB6F">
            <w:pPr>
              <w:snapToGrid w:val="0"/>
              <w:spacing w:line="300" w:lineRule="auto"/>
              <w:jc w:val="both"/>
              <w:rPr>
                <w:rFonts w:ascii="Arial" w:hAnsi="Arial" w:eastAsia="宋体" w:cs="Arial"/>
                <w:sz w:val="18"/>
                <w:szCs w:val="18"/>
                <w:lang w:eastAsia="zh-CN"/>
              </w:rPr>
            </w:pPr>
          </w:p>
        </w:tc>
        <w:tc>
          <w:tcPr>
            <w:tcW w:w="2911" w:type="dxa"/>
            <w:gridSpan w:val="2"/>
            <w:tcBorders>
              <w:left w:val="nil"/>
              <w:bottom w:val="single" w:color="auto" w:sz="4" w:space="0"/>
              <w:right w:val="nil"/>
            </w:tcBorders>
          </w:tcPr>
          <w:p w14:paraId="274D1390">
            <w:pPr>
              <w:tabs>
                <w:tab w:val="left" w:pos="1710"/>
              </w:tabs>
              <w:snapToGrid w:val="0"/>
              <w:spacing w:line="300" w:lineRule="auto"/>
              <w:jc w:val="both"/>
              <w:rPr>
                <w:rFonts w:ascii="Arial" w:hAnsi="Arial" w:eastAsia="宋体" w:cs="Arial"/>
                <w:sz w:val="18"/>
                <w:szCs w:val="18"/>
                <w:lang w:eastAsia="zh-CN"/>
              </w:rPr>
            </w:pPr>
            <w:r>
              <w:rPr>
                <w:rFonts w:ascii="Arial" w:hAnsi="Arial" w:eastAsia="宋体" w:cs="Arial"/>
                <w:sz w:val="18"/>
                <w:szCs w:val="18"/>
                <w:lang w:eastAsia="zh-CN"/>
              </w:rPr>
              <w:t>细菌</w:t>
            </w:r>
          </w:p>
        </w:tc>
        <w:tc>
          <w:tcPr>
            <w:tcW w:w="2911" w:type="dxa"/>
            <w:gridSpan w:val="2"/>
            <w:tcBorders>
              <w:left w:val="nil"/>
              <w:bottom w:val="single" w:color="auto" w:sz="4" w:space="0"/>
              <w:right w:val="nil"/>
            </w:tcBorders>
          </w:tcPr>
          <w:p w14:paraId="13258529">
            <w:pPr>
              <w:snapToGrid w:val="0"/>
              <w:spacing w:line="300" w:lineRule="auto"/>
              <w:jc w:val="both"/>
              <w:rPr>
                <w:rFonts w:ascii="Arial" w:hAnsi="Arial" w:eastAsia="宋体" w:cs="Arial"/>
                <w:sz w:val="18"/>
                <w:szCs w:val="18"/>
                <w:lang w:eastAsia="zh-CN"/>
              </w:rPr>
            </w:pPr>
          </w:p>
        </w:tc>
        <w:tc>
          <w:tcPr>
            <w:tcW w:w="3038" w:type="dxa"/>
            <w:gridSpan w:val="2"/>
            <w:tcBorders>
              <w:left w:val="nil"/>
              <w:bottom w:val="single" w:color="auto" w:sz="4" w:space="0"/>
              <w:right w:val="nil"/>
            </w:tcBorders>
          </w:tcPr>
          <w:p w14:paraId="193E2123">
            <w:pPr>
              <w:snapToGrid w:val="0"/>
              <w:spacing w:line="300" w:lineRule="auto"/>
              <w:jc w:val="both"/>
              <w:rPr>
                <w:rFonts w:ascii="Arial" w:hAnsi="Arial" w:eastAsia="宋体" w:cs="Arial"/>
                <w:sz w:val="18"/>
                <w:szCs w:val="18"/>
                <w:lang w:eastAsia="zh-CN"/>
              </w:rPr>
            </w:pPr>
            <w:r>
              <w:rPr>
                <w:rFonts w:ascii="Arial" w:hAnsi="Arial" w:eastAsia="宋体" w:cs="Arial"/>
                <w:sz w:val="18"/>
                <w:szCs w:val="18"/>
                <w:lang w:eastAsia="zh-CN"/>
              </w:rPr>
              <w:t>病毒</w:t>
            </w:r>
          </w:p>
        </w:tc>
      </w:tr>
      <w:tr w14:paraId="3435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Merge w:val="continue"/>
            <w:tcBorders>
              <w:left w:val="nil"/>
              <w:right w:val="nil"/>
            </w:tcBorders>
          </w:tcPr>
          <w:p w14:paraId="2418055A">
            <w:pPr>
              <w:snapToGrid w:val="0"/>
              <w:spacing w:line="300" w:lineRule="auto"/>
              <w:jc w:val="both"/>
              <w:rPr>
                <w:rFonts w:ascii="Arial" w:hAnsi="Arial" w:eastAsia="宋体" w:cs="Arial"/>
                <w:sz w:val="18"/>
                <w:szCs w:val="18"/>
                <w:lang w:eastAsia="zh-CN"/>
              </w:rPr>
            </w:pPr>
          </w:p>
        </w:tc>
        <w:tc>
          <w:tcPr>
            <w:tcW w:w="1455" w:type="dxa"/>
            <w:tcBorders>
              <w:left w:val="nil"/>
              <w:right w:val="nil"/>
            </w:tcBorders>
          </w:tcPr>
          <w:p w14:paraId="019C39A9">
            <w:pPr>
              <w:snapToGrid w:val="0"/>
              <w:spacing w:line="300" w:lineRule="auto"/>
              <w:jc w:val="both"/>
              <w:rPr>
                <w:rFonts w:ascii="Arial" w:hAnsi="Arial" w:eastAsia="宋体" w:cs="Arial"/>
                <w:sz w:val="18"/>
                <w:szCs w:val="18"/>
                <w:lang w:eastAsia="zh-CN"/>
              </w:rPr>
            </w:pPr>
            <w:r>
              <w:rPr>
                <w:rFonts w:ascii="Arial" w:hAnsi="Arial" w:eastAsia="宋体" w:cs="Arial"/>
                <w:sz w:val="18"/>
                <w:szCs w:val="18"/>
                <w:lang w:eastAsia="zh-CN"/>
              </w:rPr>
              <w:t>孢子</w:t>
            </w:r>
          </w:p>
        </w:tc>
        <w:tc>
          <w:tcPr>
            <w:tcW w:w="1456" w:type="dxa"/>
            <w:tcBorders>
              <w:left w:val="nil"/>
              <w:right w:val="nil"/>
            </w:tcBorders>
          </w:tcPr>
          <w:p w14:paraId="30162BF5">
            <w:pPr>
              <w:snapToGrid w:val="0"/>
              <w:spacing w:line="300" w:lineRule="auto"/>
              <w:jc w:val="both"/>
              <w:rPr>
                <w:rFonts w:ascii="Arial" w:hAnsi="Arial" w:eastAsia="宋体" w:cs="Arial"/>
                <w:sz w:val="18"/>
                <w:szCs w:val="18"/>
                <w:lang w:eastAsia="zh-CN"/>
              </w:rPr>
            </w:pPr>
            <w:r>
              <w:rPr>
                <w:rFonts w:ascii="Arial" w:hAnsi="Arial" w:eastAsia="宋体" w:cs="Arial"/>
                <w:sz w:val="18"/>
                <w:szCs w:val="18"/>
                <w:lang w:eastAsia="zh-CN"/>
              </w:rPr>
              <w:t>结核杆菌</w:t>
            </w:r>
          </w:p>
        </w:tc>
        <w:tc>
          <w:tcPr>
            <w:tcW w:w="1455" w:type="dxa"/>
            <w:tcBorders>
              <w:left w:val="nil"/>
              <w:right w:val="nil"/>
            </w:tcBorders>
          </w:tcPr>
          <w:p w14:paraId="1CC19509">
            <w:pPr>
              <w:snapToGrid w:val="0"/>
              <w:spacing w:line="300" w:lineRule="auto"/>
              <w:jc w:val="both"/>
              <w:rPr>
                <w:rFonts w:ascii="Arial" w:hAnsi="Arial" w:eastAsia="宋体" w:cs="Arial"/>
                <w:sz w:val="18"/>
                <w:szCs w:val="18"/>
                <w:lang w:eastAsia="zh-CN"/>
              </w:rPr>
            </w:pPr>
            <w:r>
              <w:rPr>
                <w:rFonts w:ascii="Arial" w:hAnsi="Arial" w:eastAsia="宋体" w:cs="Arial"/>
                <w:sz w:val="18"/>
                <w:szCs w:val="18"/>
                <w:lang w:eastAsia="zh-CN"/>
              </w:rPr>
              <w:t>营养细菌</w:t>
            </w:r>
          </w:p>
        </w:tc>
        <w:tc>
          <w:tcPr>
            <w:tcW w:w="1456" w:type="dxa"/>
            <w:tcBorders>
              <w:left w:val="nil"/>
              <w:right w:val="nil"/>
            </w:tcBorders>
          </w:tcPr>
          <w:p w14:paraId="477149D5">
            <w:pPr>
              <w:snapToGrid w:val="0"/>
              <w:spacing w:line="300" w:lineRule="auto"/>
              <w:jc w:val="both"/>
              <w:rPr>
                <w:rFonts w:ascii="Arial" w:hAnsi="Arial" w:eastAsia="宋体" w:cs="Arial"/>
                <w:sz w:val="18"/>
                <w:szCs w:val="18"/>
                <w:lang w:eastAsia="zh-CN"/>
              </w:rPr>
            </w:pPr>
            <w:r>
              <w:rPr>
                <w:rFonts w:ascii="Arial" w:hAnsi="Arial" w:eastAsia="宋体" w:cs="Arial"/>
                <w:sz w:val="18"/>
                <w:szCs w:val="18"/>
                <w:lang w:eastAsia="zh-CN"/>
              </w:rPr>
              <w:t>真菌*</w:t>
            </w:r>
          </w:p>
        </w:tc>
        <w:tc>
          <w:tcPr>
            <w:tcW w:w="1456" w:type="dxa"/>
            <w:tcBorders>
              <w:left w:val="nil"/>
              <w:right w:val="nil"/>
            </w:tcBorders>
          </w:tcPr>
          <w:p w14:paraId="2D472EBD">
            <w:pPr>
              <w:snapToGrid w:val="0"/>
              <w:spacing w:line="300" w:lineRule="auto"/>
              <w:jc w:val="both"/>
              <w:rPr>
                <w:rFonts w:ascii="Arial" w:hAnsi="Arial" w:eastAsia="宋体" w:cs="Arial"/>
                <w:sz w:val="18"/>
                <w:szCs w:val="18"/>
                <w:lang w:eastAsia="zh-CN"/>
              </w:rPr>
            </w:pPr>
            <w:r>
              <w:rPr>
                <w:rFonts w:ascii="Arial" w:hAnsi="Arial" w:eastAsia="宋体" w:cs="Arial"/>
                <w:sz w:val="18"/>
                <w:szCs w:val="18"/>
                <w:lang w:eastAsia="zh-CN"/>
              </w:rPr>
              <w:t>非脂质和小型</w:t>
            </w:r>
          </w:p>
        </w:tc>
        <w:tc>
          <w:tcPr>
            <w:tcW w:w="1582" w:type="dxa"/>
            <w:tcBorders>
              <w:left w:val="nil"/>
              <w:right w:val="nil"/>
            </w:tcBorders>
          </w:tcPr>
          <w:p w14:paraId="2EE8378A">
            <w:pPr>
              <w:snapToGrid w:val="0"/>
              <w:spacing w:line="300" w:lineRule="auto"/>
              <w:jc w:val="both"/>
              <w:rPr>
                <w:rFonts w:ascii="Arial" w:hAnsi="Arial" w:eastAsia="宋体" w:cs="Arial"/>
                <w:sz w:val="18"/>
                <w:szCs w:val="18"/>
                <w:lang w:eastAsia="zh-CN"/>
              </w:rPr>
            </w:pPr>
            <w:r>
              <w:rPr>
                <w:rFonts w:ascii="Arial" w:hAnsi="Arial" w:eastAsia="宋体" w:cs="Arial"/>
                <w:sz w:val="18"/>
                <w:szCs w:val="18"/>
                <w:lang w:eastAsia="zh-CN"/>
              </w:rPr>
              <w:t>脂质和中等尺寸</w:t>
            </w:r>
          </w:p>
        </w:tc>
      </w:tr>
      <w:tr w14:paraId="7BD3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tcBorders>
              <w:left w:val="nil"/>
              <w:right w:val="nil"/>
            </w:tcBorders>
          </w:tcPr>
          <w:p w14:paraId="06F193FA">
            <w:pPr>
              <w:snapToGrid w:val="0"/>
              <w:spacing w:line="300" w:lineRule="auto"/>
              <w:jc w:val="both"/>
              <w:rPr>
                <w:rFonts w:ascii="Arial" w:hAnsi="Arial" w:eastAsia="宋体" w:cs="Arial"/>
                <w:sz w:val="18"/>
                <w:szCs w:val="18"/>
                <w:lang w:eastAsia="zh-CN"/>
              </w:rPr>
            </w:pPr>
            <w:r>
              <w:rPr>
                <w:rFonts w:ascii="Arial" w:hAnsi="Arial" w:eastAsia="宋体" w:cs="Arial"/>
                <w:sz w:val="18"/>
                <w:szCs w:val="18"/>
                <w:lang w:eastAsia="zh-CN"/>
              </w:rPr>
              <w:t>高</w:t>
            </w:r>
          </w:p>
        </w:tc>
        <w:tc>
          <w:tcPr>
            <w:tcW w:w="8860" w:type="dxa"/>
            <w:gridSpan w:val="6"/>
            <w:vMerge w:val="restart"/>
            <w:tcBorders>
              <w:left w:val="nil"/>
              <w:right w:val="nil"/>
            </w:tcBorders>
          </w:tcPr>
          <w:p w14:paraId="183B234F">
            <w:pPr>
              <w:snapToGrid w:val="0"/>
              <w:spacing w:line="300" w:lineRule="auto"/>
              <w:jc w:val="both"/>
              <w:rPr>
                <w:rFonts w:ascii="Arial" w:hAnsi="Arial" w:eastAsia="宋体" w:cs="Arial"/>
                <w:sz w:val="18"/>
                <w:szCs w:val="18"/>
                <w:lang w:eastAsia="zh-CN"/>
              </w:rPr>
            </w:pPr>
            <w:r>
              <w:rPr>
                <w:sz w:val="18"/>
                <w:szCs w:val="18"/>
                <w:lang w:eastAsia="zh-CN"/>
              </w:rPr>
              <w:drawing>
                <wp:inline distT="0" distB="0" distL="0" distR="0">
                  <wp:extent cx="5199380" cy="628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338617" cy="645427"/>
                          </a:xfrm>
                          <a:prstGeom prst="rect">
                            <a:avLst/>
                          </a:prstGeom>
                        </pic:spPr>
                      </pic:pic>
                    </a:graphicData>
                  </a:graphic>
                </wp:inline>
              </w:drawing>
            </w:r>
          </w:p>
        </w:tc>
      </w:tr>
      <w:tr w14:paraId="42E7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tcBorders>
              <w:left w:val="nil"/>
              <w:right w:val="nil"/>
            </w:tcBorders>
          </w:tcPr>
          <w:p w14:paraId="040AB8CB">
            <w:pPr>
              <w:snapToGrid w:val="0"/>
              <w:spacing w:line="300" w:lineRule="auto"/>
              <w:jc w:val="both"/>
              <w:rPr>
                <w:rFonts w:ascii="Arial" w:hAnsi="Arial" w:eastAsia="宋体" w:cs="Arial"/>
                <w:sz w:val="18"/>
                <w:szCs w:val="18"/>
                <w:lang w:eastAsia="zh-CN"/>
              </w:rPr>
            </w:pPr>
            <w:r>
              <w:rPr>
                <w:rFonts w:ascii="Arial" w:hAnsi="Arial" w:eastAsia="宋体" w:cs="Arial"/>
                <w:sz w:val="18"/>
                <w:szCs w:val="18"/>
                <w:lang w:eastAsia="zh-CN"/>
              </w:rPr>
              <w:t>中等</w:t>
            </w:r>
          </w:p>
        </w:tc>
        <w:tc>
          <w:tcPr>
            <w:tcW w:w="8860" w:type="dxa"/>
            <w:gridSpan w:val="6"/>
            <w:vMerge w:val="continue"/>
            <w:tcBorders>
              <w:left w:val="nil"/>
              <w:right w:val="nil"/>
            </w:tcBorders>
          </w:tcPr>
          <w:p w14:paraId="53AF6289">
            <w:pPr>
              <w:snapToGrid w:val="0"/>
              <w:spacing w:line="300" w:lineRule="auto"/>
              <w:jc w:val="both"/>
              <w:rPr>
                <w:rFonts w:ascii="Arial" w:hAnsi="Arial" w:eastAsia="宋体" w:cs="Arial"/>
                <w:sz w:val="18"/>
                <w:szCs w:val="18"/>
                <w:lang w:eastAsia="zh-CN"/>
              </w:rPr>
            </w:pPr>
          </w:p>
        </w:tc>
      </w:tr>
      <w:tr w14:paraId="5A73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tcBorders>
              <w:left w:val="nil"/>
              <w:right w:val="nil"/>
            </w:tcBorders>
          </w:tcPr>
          <w:p w14:paraId="329D0B09">
            <w:pPr>
              <w:snapToGrid w:val="0"/>
              <w:spacing w:line="300" w:lineRule="auto"/>
              <w:jc w:val="both"/>
              <w:rPr>
                <w:rFonts w:ascii="Arial" w:hAnsi="Arial" w:eastAsia="宋体" w:cs="Arial"/>
                <w:sz w:val="18"/>
                <w:szCs w:val="18"/>
                <w:lang w:eastAsia="zh-CN"/>
              </w:rPr>
            </w:pPr>
            <w:r>
              <w:rPr>
                <w:rFonts w:ascii="Arial" w:hAnsi="Arial" w:eastAsia="宋体" w:cs="Arial"/>
                <w:sz w:val="18"/>
                <w:szCs w:val="18"/>
                <w:lang w:eastAsia="zh-CN"/>
              </w:rPr>
              <w:t>低</w:t>
            </w:r>
          </w:p>
        </w:tc>
        <w:tc>
          <w:tcPr>
            <w:tcW w:w="8860" w:type="dxa"/>
            <w:gridSpan w:val="6"/>
            <w:vMerge w:val="continue"/>
            <w:tcBorders>
              <w:left w:val="nil"/>
              <w:right w:val="nil"/>
            </w:tcBorders>
          </w:tcPr>
          <w:p w14:paraId="454C9037">
            <w:pPr>
              <w:snapToGrid w:val="0"/>
              <w:spacing w:line="300" w:lineRule="auto"/>
              <w:jc w:val="both"/>
              <w:rPr>
                <w:rFonts w:ascii="Arial" w:hAnsi="Arial" w:eastAsia="宋体" w:cs="Arial"/>
                <w:sz w:val="18"/>
                <w:szCs w:val="18"/>
                <w:lang w:eastAsia="zh-CN"/>
              </w:rPr>
            </w:pPr>
          </w:p>
        </w:tc>
      </w:tr>
    </w:tbl>
    <w:p w14:paraId="17ABBCB0">
      <w:pPr>
        <w:snapToGrid w:val="0"/>
        <w:spacing w:before="130" w:line="300" w:lineRule="auto"/>
        <w:ind w:left="499"/>
        <w:jc w:val="both"/>
        <w:rPr>
          <w:rFonts w:ascii="Arial" w:hAnsi="Arial" w:eastAsia="宋体" w:cs="Arial"/>
          <w:sz w:val="21"/>
          <w:szCs w:val="21"/>
          <w:lang w:eastAsia="zh-CN"/>
        </w:rPr>
      </w:pPr>
      <w:r>
        <w:rPr>
          <w:rFonts w:ascii="Arial" w:hAnsi="Arial" w:eastAsia="宋体" w:cs="Arial"/>
          <w:sz w:val="21"/>
          <w:szCs w:val="21"/>
          <w:lang w:eastAsia="zh-CN"/>
        </w:rPr>
        <w:t>+表示预期有杀菌效果；-表示少量或无杀菌效果</w:t>
      </w:r>
    </w:p>
    <w:p w14:paraId="4F08F46B">
      <w:pPr>
        <w:widowControl/>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drawing>
          <wp:inline distT="0" distB="0" distL="0" distR="0">
            <wp:extent cx="6084570" cy="835025"/>
            <wp:effectExtent l="0" t="0" r="0" b="0"/>
            <wp:docPr id="2" name="图片 2" descr="C:\Users\lxd\AppData\Roaming\Tencent\Users\342412028\QQ\WinTemp\RichOle\DDB%J)Q[40KQM4}4O@L0Z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xd\AppData\Roaming\Tencent\Users\342412028\QQ\WinTemp\RichOle\DDB%J)Q[40KQM4}4O@L0Z5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084570" cy="835025"/>
                    </a:xfrm>
                    <a:prstGeom prst="rect">
                      <a:avLst/>
                    </a:prstGeom>
                    <a:noFill/>
                    <a:ln>
                      <a:noFill/>
                    </a:ln>
                  </pic:spPr>
                </pic:pic>
              </a:graphicData>
            </a:graphic>
          </wp:inline>
        </w:drawing>
      </w:r>
    </w:p>
    <w:p w14:paraId="436843F4">
      <w:pPr>
        <w:snapToGrid w:val="0"/>
        <w:spacing w:line="300" w:lineRule="auto"/>
        <w:ind w:left="679"/>
        <w:jc w:val="both"/>
        <w:rPr>
          <w:rFonts w:ascii="Arial" w:hAnsi="Arial" w:eastAsia="宋体" w:cs="Arial"/>
          <w:sz w:val="21"/>
          <w:szCs w:val="21"/>
        </w:rPr>
      </w:pPr>
    </w:p>
    <w:p w14:paraId="79CCBF2E">
      <w:pPr>
        <w:snapToGrid w:val="0"/>
        <w:spacing w:line="300" w:lineRule="auto"/>
        <w:jc w:val="both"/>
        <w:rPr>
          <w:rFonts w:ascii="Arial" w:hAnsi="Arial" w:eastAsia="宋体" w:cs="Arial"/>
          <w:sz w:val="21"/>
          <w:szCs w:val="21"/>
        </w:rPr>
        <w:sectPr>
          <w:pgSz w:w="12240" w:h="15840"/>
          <w:pgMar w:top="1134" w:right="1134" w:bottom="1134" w:left="1134" w:header="720" w:footer="720" w:gutter="0"/>
          <w:cols w:space="720" w:num="1"/>
          <w:docGrid w:linePitch="299" w:charSpace="0"/>
        </w:sectPr>
      </w:pPr>
    </w:p>
    <w:p w14:paraId="649F883A">
      <w:pPr>
        <w:snapToGrid w:val="0"/>
        <w:spacing w:line="300" w:lineRule="auto"/>
        <w:jc w:val="both"/>
        <w:rPr>
          <w:rFonts w:ascii="Arial" w:hAnsi="Arial" w:eastAsia="宋体" w:cs="Arial"/>
          <w:sz w:val="21"/>
          <w:szCs w:val="21"/>
          <w:lang w:eastAsia="zh-CN"/>
        </w:rPr>
      </w:pPr>
      <w:r>
        <w:rPr>
          <w:rFonts w:ascii="Arial" w:hAnsi="Arial" w:eastAsia="宋体" w:cs="Arial"/>
          <w:spacing w:val="36"/>
          <w:sz w:val="21"/>
          <w:szCs w:val="21"/>
          <w:lang w:eastAsia="zh-CN"/>
        </w:rPr>
        <w:t xml:space="preserve">附录 </w:t>
      </w:r>
      <w:r>
        <w:rPr>
          <w:rFonts w:ascii="Arial" w:hAnsi="Arial" w:eastAsia="宋体" w:cs="Arial"/>
          <w:sz w:val="21"/>
          <w:szCs w:val="21"/>
          <w:lang w:eastAsia="zh-CN"/>
        </w:rPr>
        <w:t>6</w:t>
      </w:r>
    </w:p>
    <w:p w14:paraId="7968562A">
      <w:pPr>
        <w:pStyle w:val="21"/>
      </w:pPr>
      <w:bookmarkStart w:id="18" w:name="_Toc484421042"/>
      <w:r>
        <w:t>术语FDA/CDC/EPA的比较</w:t>
      </w:r>
      <w:bookmarkEnd w:id="18"/>
    </w:p>
    <w:p w14:paraId="17D534A7">
      <w:pPr>
        <w:snapToGrid w:val="0"/>
        <w:spacing w:before="3" w:line="300" w:lineRule="auto"/>
        <w:jc w:val="both"/>
        <w:rPr>
          <w:rFonts w:ascii="Arial" w:hAnsi="Arial" w:eastAsia="宋体" w:cs="Arial"/>
          <w:sz w:val="21"/>
          <w:szCs w:val="21"/>
          <w:lang w:eastAsia="zh-CN"/>
        </w:rPr>
      </w:pPr>
    </w:p>
    <w:p w14:paraId="06A2F809">
      <w:p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CDC和FDA使用与化学灭菌剂和消毒剂相关的类似术语。EPA以不同的方式定义这些产品。为提供相关信息，术语的相关性如下：</w:t>
      </w:r>
    </w:p>
    <w:p w14:paraId="64A0C1C9">
      <w:pPr>
        <w:snapToGrid w:val="0"/>
        <w:spacing w:line="300" w:lineRule="auto"/>
        <w:jc w:val="both"/>
        <w:rPr>
          <w:rFonts w:ascii="Arial" w:hAnsi="Arial" w:eastAsia="宋体" w:cs="Arial"/>
          <w:b/>
          <w:bCs/>
          <w:sz w:val="21"/>
          <w:szCs w:val="21"/>
          <w:lang w:eastAsia="zh-CN"/>
        </w:rPr>
      </w:pPr>
    </w:p>
    <w:p w14:paraId="0F621064">
      <w:pPr>
        <w:snapToGrid w:val="0"/>
        <w:spacing w:line="300" w:lineRule="auto"/>
        <w:jc w:val="both"/>
        <w:rPr>
          <w:rFonts w:ascii="Arial" w:hAnsi="Arial" w:eastAsia="宋体" w:cs="Arial"/>
          <w:b/>
          <w:bCs/>
          <w:sz w:val="21"/>
          <w:szCs w:val="21"/>
          <w:lang w:eastAsia="zh-CN"/>
        </w:rPr>
      </w:pPr>
    </w:p>
    <w:p w14:paraId="7F8A2D41">
      <w:pPr>
        <w:snapToGrid w:val="0"/>
        <w:spacing w:line="300" w:lineRule="auto"/>
        <w:jc w:val="both"/>
        <w:rPr>
          <w:rFonts w:ascii="Arial" w:hAnsi="Arial" w:eastAsia="宋体" w:cs="Arial"/>
          <w:b/>
          <w:bCs/>
          <w:sz w:val="21"/>
          <w:szCs w:val="21"/>
          <w:lang w:eastAsia="zh-CN"/>
        </w:rPr>
      </w:pPr>
    </w:p>
    <w:p w14:paraId="7CD18153">
      <w:pPr>
        <w:snapToGrid w:val="0"/>
        <w:spacing w:line="300" w:lineRule="auto"/>
        <w:jc w:val="both"/>
        <w:rPr>
          <w:rFonts w:ascii="Arial" w:hAnsi="Arial" w:eastAsia="宋体" w:cs="Arial"/>
          <w:b/>
          <w:bCs/>
          <w:sz w:val="21"/>
          <w:szCs w:val="21"/>
          <w:lang w:eastAsia="zh-CN"/>
        </w:rPr>
      </w:pPr>
    </w:p>
    <w:p w14:paraId="3F793AA4">
      <w:pPr>
        <w:snapToGrid w:val="0"/>
        <w:spacing w:line="300" w:lineRule="auto"/>
        <w:jc w:val="both"/>
        <w:rPr>
          <w:rFonts w:ascii="Arial" w:hAnsi="Arial" w:eastAsia="宋体" w:cs="Arial"/>
          <w:b/>
          <w:bCs/>
          <w:sz w:val="21"/>
          <w:szCs w:val="21"/>
          <w:lang w:eastAsia="zh-CN"/>
        </w:rPr>
      </w:pPr>
    </w:p>
    <w:p w14:paraId="5429806C">
      <w:pPr>
        <w:snapToGrid w:val="0"/>
        <w:spacing w:line="300" w:lineRule="auto"/>
        <w:jc w:val="both"/>
        <w:rPr>
          <w:rFonts w:ascii="Arial" w:hAnsi="Arial" w:eastAsia="宋体" w:cs="Arial"/>
          <w:b/>
          <w:bCs/>
          <w:sz w:val="21"/>
          <w:szCs w:val="21"/>
          <w:lang w:eastAsia="zh-CN"/>
        </w:rPr>
      </w:pPr>
    </w:p>
    <w:p w14:paraId="74FD4F27">
      <w:pPr>
        <w:tabs>
          <w:tab w:val="left" w:pos="2506"/>
          <w:tab w:val="left" w:pos="5669"/>
        </w:tabs>
        <w:snapToGrid w:val="0"/>
        <w:spacing w:line="300" w:lineRule="auto"/>
        <w:jc w:val="both"/>
        <w:rPr>
          <w:rFonts w:ascii="Arial" w:hAnsi="Arial" w:eastAsia="宋体" w:cs="Arial"/>
          <w:b/>
          <w:bCs/>
          <w:sz w:val="21"/>
          <w:szCs w:val="21"/>
          <w:lang w:eastAsia="zh-CN"/>
        </w:rPr>
      </w:pPr>
      <w:r>
        <w:rPr>
          <w:rFonts w:ascii="Arial" w:hAnsi="Arial" w:eastAsia="宋体" w:cs="Arial"/>
          <w:b/>
          <w:bCs/>
          <w:sz w:val="21"/>
          <w:szCs w:val="21"/>
          <w:lang w:eastAsia="zh-CN"/>
        </w:rPr>
        <w:t>器械风险类别</w:t>
      </w:r>
      <w:r>
        <w:rPr>
          <w:rFonts w:ascii="Arial" w:hAnsi="Arial" w:eastAsia="宋体" w:cs="Arial"/>
          <w:b/>
          <w:bCs/>
          <w:sz w:val="21"/>
          <w:szCs w:val="21"/>
          <w:lang w:eastAsia="zh-CN"/>
        </w:rPr>
        <w:tab/>
      </w:r>
      <w:r>
        <w:rPr>
          <w:rFonts w:ascii="Arial" w:hAnsi="Arial" w:eastAsia="宋体" w:cs="Arial"/>
          <w:b/>
          <w:bCs/>
          <w:sz w:val="21"/>
          <w:szCs w:val="21"/>
          <w:lang w:eastAsia="zh-CN"/>
        </w:rPr>
        <w:t>CDC/FDA 杀菌剂术语</w:t>
      </w:r>
      <w:r>
        <w:rPr>
          <w:rFonts w:ascii="Arial" w:hAnsi="Arial" w:eastAsia="宋体" w:cs="Arial"/>
          <w:b/>
          <w:bCs/>
          <w:sz w:val="21"/>
          <w:szCs w:val="21"/>
          <w:lang w:eastAsia="zh-CN"/>
        </w:rPr>
        <w:tab/>
      </w:r>
      <w:r>
        <w:rPr>
          <w:rFonts w:ascii="Arial" w:hAnsi="Arial" w:eastAsia="宋体" w:cs="Arial"/>
          <w:b/>
          <w:bCs/>
          <w:sz w:val="21"/>
          <w:szCs w:val="21"/>
          <w:lang w:eastAsia="zh-CN"/>
        </w:rPr>
        <w:t>EPA 杀菌剂术语</w:t>
      </w:r>
    </w:p>
    <w:p w14:paraId="05B9A71C">
      <w:pPr>
        <w:snapToGrid w:val="0"/>
        <w:spacing w:before="5" w:line="300" w:lineRule="auto"/>
        <w:jc w:val="both"/>
        <w:rPr>
          <w:rFonts w:ascii="Arial" w:hAnsi="Arial" w:eastAsia="宋体" w:cs="Arial"/>
          <w:b/>
          <w:bCs/>
          <w:sz w:val="21"/>
          <w:szCs w:val="21"/>
          <w:lang w:eastAsia="zh-CN"/>
        </w:rPr>
      </w:pPr>
    </w:p>
    <w:p w14:paraId="11B2FE74">
      <w:pPr>
        <w:snapToGrid w:val="0"/>
        <w:spacing w:line="300" w:lineRule="auto"/>
        <w:ind w:leftChars="-38" w:hanging="84" w:hangingChars="40"/>
        <w:jc w:val="both"/>
        <w:rPr>
          <w:rFonts w:ascii="Arial" w:hAnsi="Arial" w:eastAsia="宋体" w:cs="Arial"/>
          <w:sz w:val="21"/>
          <w:szCs w:val="21"/>
        </w:rPr>
      </w:pPr>
      <w:r>
        <w:rPr>
          <w:rFonts w:ascii="Arial" w:hAnsi="Arial" w:eastAsia="宋体" w:cs="Arial"/>
          <w:sz w:val="21"/>
          <w:szCs w:val="21"/>
          <w:lang w:eastAsia="zh-CN"/>
        </w:rPr>
        <mc:AlternateContent>
          <mc:Choice Requires="wpg">
            <w:drawing>
              <wp:inline distT="0" distB="0" distL="0" distR="0">
                <wp:extent cx="4883785" cy="20955"/>
                <wp:effectExtent l="9525" t="9525" r="2540" b="7620"/>
                <wp:docPr id="7" name="Group 8"/>
                <wp:cNvGraphicFramePr/>
                <a:graphic xmlns:a="http://schemas.openxmlformats.org/drawingml/2006/main">
                  <a:graphicData uri="http://schemas.microsoft.com/office/word/2010/wordprocessingGroup">
                    <wpg:wgp>
                      <wpg:cNvGrpSpPr/>
                      <wpg:grpSpPr>
                        <a:xfrm>
                          <a:off x="0" y="0"/>
                          <a:ext cx="4883785" cy="20955"/>
                          <a:chOff x="0" y="0"/>
                          <a:chExt cx="7691" cy="33"/>
                        </a:xfrm>
                      </wpg:grpSpPr>
                      <wpg:grpSp>
                        <wpg:cNvPr id="8" name="Group 9"/>
                        <wpg:cNvGrpSpPr/>
                        <wpg:grpSpPr>
                          <a:xfrm>
                            <a:off x="16" y="16"/>
                            <a:ext cx="7659" cy="2"/>
                            <a:chOff x="16" y="16"/>
                            <a:chExt cx="7659" cy="2"/>
                          </a:xfrm>
                        </wpg:grpSpPr>
                        <wps:wsp>
                          <wps:cNvPr id="9" name="Freeform 10"/>
                          <wps:cNvSpPr/>
                          <wps:spPr bwMode="auto">
                            <a:xfrm>
                              <a:off x="16" y="16"/>
                              <a:ext cx="7659" cy="2"/>
                            </a:xfrm>
                            <a:custGeom>
                              <a:avLst/>
                              <a:gdLst>
                                <a:gd name="T0" fmla="+- 0 16 16"/>
                                <a:gd name="T1" fmla="*/ T0 w 7659"/>
                                <a:gd name="T2" fmla="+- 0 7675 16"/>
                                <a:gd name="T3" fmla="*/ T2 w 7659"/>
                              </a:gdLst>
                              <a:ahLst/>
                              <a:cxnLst>
                                <a:cxn ang="0">
                                  <a:pos x="T1" y="0"/>
                                </a:cxn>
                                <a:cxn ang="0">
                                  <a:pos x="T3" y="0"/>
                                </a:cxn>
                              </a:cxnLst>
                              <a:rect l="0" t="0" r="r" b="b"/>
                              <a:pathLst>
                                <a:path w="7659">
                                  <a:moveTo>
                                    <a:pt x="0" y="0"/>
                                  </a:moveTo>
                                  <a:lnTo>
                                    <a:pt x="7659" y="0"/>
                                  </a:lnTo>
                                </a:path>
                              </a:pathLst>
                            </a:custGeom>
                            <a:noFill/>
                            <a:ln w="20483">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8" o:spid="_x0000_s1026" o:spt="203" style="height:1.65pt;width:384.55pt;" coordsize="7691,33" o:gfxdata="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uIVW1QAAAAMBAAAPAAAAAAAAAAEAIAAAACIAAABkcnMv&#10;ZG93bnJldi54bWxQSwECFAAUAAAACACHTuJAAHIQdSMDAAAECAAADgAAAAAAAAABACAAAAAkAQAA&#10;ZHJzL2Uyb0RvYy54bWxQSwUGAAAAAAYABgBZAQAAuQYAAAAA&#10;">
                <o:lock v:ext="edit" aspectratio="f"/>
                <v:group id="Group 9" o:spid="_x0000_s1026" o:spt="203" style="position:absolute;left:16;top:16;height:2;width:7659;" coordorigin="16,16" coordsize="7659,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Freeform 10" o:spid="_x0000_s1026" o:spt="100" style="position:absolute;left:16;top:16;height:2;width:7659;" filled="f" stroked="t" coordsize="7659,1" o:gfxdata="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pJVi8AAAA&#10;2gAAAA8AAAAAAAAAAQAgAAAAIgAAAGRycy9kb3ducmV2LnhtbFBLAQIUABQAAAAIAIdO4kAzLwWe&#10;OwAAADkAAAAQAAAAAAAAAAEAIAAAAAsBAABkcnMvc2hhcGV4bWwueG1sUEsFBgAAAAAGAAYAWwEA&#10;ALUDAAAAAA==&#10;" path="m0,0l7659,0e">
                    <v:path o:connectlocs="0,0;7659,0" o:connectangles="0,0"/>
                    <v:fill on="f" focussize="0,0"/>
                    <v:stroke weight="1.61283464566929pt" color="#000000" joinstyle="round"/>
                    <v:imagedata o:title=""/>
                    <o:lock v:ext="edit" aspectratio="f"/>
                  </v:shape>
                </v:group>
                <w10:wrap type="none"/>
                <w10:anchorlock/>
              </v:group>
            </w:pict>
          </mc:Fallback>
        </mc:AlternateContent>
      </w:r>
    </w:p>
    <w:p w14:paraId="48294385">
      <w:pPr>
        <w:snapToGrid w:val="0"/>
        <w:spacing w:before="4" w:line="300" w:lineRule="auto"/>
        <w:jc w:val="both"/>
        <w:rPr>
          <w:rFonts w:ascii="Arial" w:hAnsi="Arial" w:eastAsia="宋体" w:cs="Arial"/>
          <w:b/>
          <w:bCs/>
          <w:sz w:val="21"/>
          <w:szCs w:val="21"/>
        </w:rPr>
      </w:pPr>
    </w:p>
    <w:p w14:paraId="192A879C">
      <w:pPr>
        <w:snapToGrid w:val="0"/>
        <w:spacing w:line="300" w:lineRule="auto"/>
        <w:ind w:left="2533" w:hanging="2532" w:hangingChars="1206"/>
        <w:jc w:val="both"/>
        <w:rPr>
          <w:rFonts w:ascii="Arial" w:hAnsi="Arial" w:eastAsia="宋体" w:cs="Arial"/>
          <w:position w:val="1"/>
          <w:sz w:val="21"/>
          <w:szCs w:val="21"/>
          <w:lang w:eastAsia="zh-CN"/>
        </w:rPr>
      </w:pPr>
      <w:r>
        <w:rPr>
          <w:rFonts w:ascii="Arial" w:hAnsi="Arial" w:eastAsia="宋体" w:cs="Arial"/>
          <w:position w:val="1"/>
          <w:sz w:val="21"/>
          <w:szCs w:val="21"/>
          <w:lang w:eastAsia="zh-CN"/>
        </w:rPr>
        <w:t>关键器械</w:t>
      </w:r>
      <w:r>
        <w:rPr>
          <w:rFonts w:ascii="Arial" w:hAnsi="Arial" w:eastAsia="宋体" w:cs="Arial"/>
          <w:position w:val="1"/>
          <w:sz w:val="21"/>
          <w:szCs w:val="21"/>
          <w:lang w:eastAsia="zh-CN"/>
        </w:rPr>
        <w:tab/>
      </w:r>
      <w:r>
        <w:rPr>
          <w:rFonts w:ascii="Arial" w:hAnsi="Arial" w:eastAsia="宋体" w:cs="Arial"/>
          <w:position w:val="1"/>
          <w:sz w:val="21"/>
          <w:szCs w:val="21"/>
          <w:lang w:eastAsia="zh-CN"/>
        </w:rPr>
        <w:t>灭菌剂</w:t>
      </w:r>
    </w:p>
    <w:p w14:paraId="17D9A330">
      <w:pPr>
        <w:snapToGrid w:val="0"/>
        <w:spacing w:line="300" w:lineRule="auto"/>
        <w:jc w:val="both"/>
        <w:rPr>
          <w:rFonts w:ascii="Arial" w:hAnsi="Arial" w:eastAsia="宋体" w:cs="Arial"/>
          <w:position w:val="1"/>
          <w:sz w:val="21"/>
          <w:szCs w:val="21"/>
          <w:lang w:eastAsia="zh-CN"/>
        </w:rPr>
      </w:pPr>
    </w:p>
    <w:p w14:paraId="7D5572E3">
      <w:pPr>
        <w:snapToGrid w:val="0"/>
        <w:spacing w:line="300" w:lineRule="auto"/>
        <w:jc w:val="both"/>
        <w:rPr>
          <w:rFonts w:ascii="Arial" w:hAnsi="Arial" w:eastAsia="宋体" w:cs="Arial"/>
          <w:position w:val="1"/>
          <w:sz w:val="21"/>
          <w:szCs w:val="21"/>
          <w:lang w:eastAsia="zh-CN"/>
        </w:rPr>
      </w:pPr>
    </w:p>
    <w:p w14:paraId="5A446551">
      <w:pPr>
        <w:snapToGrid w:val="0"/>
        <w:spacing w:line="300" w:lineRule="auto"/>
        <w:ind w:firstLine="5667" w:firstLineChars="2699"/>
        <w:jc w:val="both"/>
        <w:rPr>
          <w:rFonts w:ascii="Arial" w:hAnsi="Arial" w:eastAsia="宋体" w:cs="Arial"/>
          <w:position w:val="1"/>
          <w:sz w:val="21"/>
          <w:szCs w:val="21"/>
          <w:lang w:eastAsia="zh-CN"/>
        </w:rPr>
      </w:pPr>
      <w:r>
        <w:rPr>
          <w:rFonts w:ascii="Arial" w:hAnsi="Arial" w:eastAsia="宋体" w:cs="Arial"/>
          <w:position w:val="1"/>
          <w:sz w:val="21"/>
          <w:szCs w:val="21"/>
          <w:lang w:eastAsia="zh-CN"/>
        </w:rPr>
        <w:t>灭菌剂</w:t>
      </w:r>
    </w:p>
    <w:p w14:paraId="61D90EB6">
      <w:pPr>
        <w:snapToGrid w:val="0"/>
        <w:spacing w:line="300" w:lineRule="auto"/>
        <w:jc w:val="both"/>
        <w:rPr>
          <w:rFonts w:ascii="Arial" w:hAnsi="Arial" w:eastAsia="宋体" w:cs="Arial"/>
          <w:position w:val="1"/>
          <w:sz w:val="21"/>
          <w:szCs w:val="21"/>
          <w:lang w:eastAsia="zh-CN"/>
        </w:rPr>
      </w:pPr>
    </w:p>
    <w:p w14:paraId="06953D79">
      <w:pPr>
        <w:snapToGrid w:val="0"/>
        <w:spacing w:line="300" w:lineRule="auto"/>
        <w:jc w:val="both"/>
        <w:rPr>
          <w:rFonts w:ascii="Arial" w:hAnsi="Arial" w:eastAsia="宋体" w:cs="Arial"/>
          <w:position w:val="1"/>
          <w:sz w:val="21"/>
          <w:szCs w:val="21"/>
          <w:lang w:eastAsia="zh-CN"/>
        </w:rPr>
      </w:pPr>
    </w:p>
    <w:p w14:paraId="370B8C6E">
      <w:pPr>
        <w:tabs>
          <w:tab w:val="left" w:pos="2534"/>
        </w:tabs>
        <w:snapToGrid w:val="0"/>
        <w:spacing w:line="300" w:lineRule="auto"/>
        <w:jc w:val="both"/>
        <w:rPr>
          <w:rFonts w:ascii="Arial" w:hAnsi="Arial" w:eastAsia="宋体" w:cs="Arial"/>
          <w:position w:val="1"/>
          <w:sz w:val="21"/>
          <w:szCs w:val="21"/>
          <w:lang w:eastAsia="zh-CN"/>
        </w:rPr>
      </w:pPr>
      <w:r>
        <w:rPr>
          <w:rFonts w:ascii="Arial" w:hAnsi="Arial" w:eastAsia="宋体" w:cs="Arial"/>
          <w:position w:val="1"/>
          <w:sz w:val="21"/>
          <w:szCs w:val="21"/>
          <w:lang w:eastAsia="zh-CN"/>
        </w:rPr>
        <w:t>半关键器械</w:t>
      </w:r>
      <w:r>
        <w:rPr>
          <w:rFonts w:ascii="Arial" w:hAnsi="Arial" w:eastAsia="宋体" w:cs="Arial"/>
          <w:position w:val="1"/>
          <w:sz w:val="21"/>
          <w:szCs w:val="21"/>
          <w:lang w:eastAsia="zh-CN"/>
        </w:rPr>
        <w:tab/>
      </w:r>
      <w:r>
        <w:rPr>
          <w:rFonts w:ascii="Arial" w:hAnsi="Arial" w:eastAsia="宋体" w:cs="Arial"/>
          <w:position w:val="1"/>
          <w:sz w:val="21"/>
          <w:szCs w:val="21"/>
          <w:lang w:eastAsia="zh-CN"/>
        </w:rPr>
        <w:t>高水平消毒剂</w:t>
      </w:r>
    </w:p>
    <w:p w14:paraId="3594295A">
      <w:pPr>
        <w:snapToGrid w:val="0"/>
        <w:spacing w:line="300" w:lineRule="auto"/>
        <w:ind w:leftChars="-44" w:hanging="96" w:hangingChars="46"/>
        <w:jc w:val="both"/>
        <w:rPr>
          <w:rFonts w:ascii="Arial" w:hAnsi="Arial" w:eastAsia="宋体" w:cs="Arial"/>
          <w:sz w:val="21"/>
          <w:szCs w:val="21"/>
          <w:lang w:eastAsia="zh-CN"/>
        </w:rPr>
      </w:pPr>
    </w:p>
    <w:p w14:paraId="1E53E602">
      <w:pPr>
        <w:snapToGrid w:val="0"/>
        <w:spacing w:line="300" w:lineRule="auto"/>
        <w:jc w:val="both"/>
        <w:rPr>
          <w:rFonts w:ascii="Arial" w:hAnsi="Arial" w:eastAsia="宋体" w:cs="Arial"/>
          <w:sz w:val="21"/>
          <w:szCs w:val="21"/>
        </w:rPr>
      </w:pPr>
      <w:r>
        <w:rPr>
          <w:rFonts w:ascii="Arial" w:hAnsi="Arial" w:eastAsia="宋体" w:cs="Arial"/>
          <w:sz w:val="21"/>
          <w:szCs w:val="21"/>
          <w:lang w:eastAsia="zh-CN"/>
        </w:rPr>
        <mc:AlternateContent>
          <mc:Choice Requires="wpg">
            <w:drawing>
              <wp:inline distT="0" distB="0" distL="0" distR="0">
                <wp:extent cx="4883785" cy="20955"/>
                <wp:effectExtent l="9525" t="9525" r="2540" b="7620"/>
                <wp:docPr id="4" name="Group 45"/>
                <wp:cNvGraphicFramePr/>
                <a:graphic xmlns:a="http://schemas.openxmlformats.org/drawingml/2006/main">
                  <a:graphicData uri="http://schemas.microsoft.com/office/word/2010/wordprocessingGroup">
                    <wpg:wgp>
                      <wpg:cNvGrpSpPr/>
                      <wpg:grpSpPr>
                        <a:xfrm>
                          <a:off x="0" y="0"/>
                          <a:ext cx="4883785" cy="20955"/>
                          <a:chOff x="0" y="0"/>
                          <a:chExt cx="7691" cy="33"/>
                        </a:xfrm>
                      </wpg:grpSpPr>
                      <wpg:grpSp>
                        <wpg:cNvPr id="5" name="Group 46"/>
                        <wpg:cNvGrpSpPr/>
                        <wpg:grpSpPr>
                          <a:xfrm>
                            <a:off x="16" y="16"/>
                            <a:ext cx="7659" cy="2"/>
                            <a:chOff x="16" y="16"/>
                            <a:chExt cx="7659" cy="2"/>
                          </a:xfrm>
                        </wpg:grpSpPr>
                        <wps:wsp>
                          <wps:cNvPr id="6" name="Freeform 47"/>
                          <wps:cNvSpPr/>
                          <wps:spPr bwMode="auto">
                            <a:xfrm>
                              <a:off x="16" y="16"/>
                              <a:ext cx="7659" cy="2"/>
                            </a:xfrm>
                            <a:custGeom>
                              <a:avLst/>
                              <a:gdLst>
                                <a:gd name="T0" fmla="+- 0 16 16"/>
                                <a:gd name="T1" fmla="*/ T0 w 7659"/>
                                <a:gd name="T2" fmla="+- 0 7675 16"/>
                                <a:gd name="T3" fmla="*/ T2 w 7659"/>
                              </a:gdLst>
                              <a:ahLst/>
                              <a:cxnLst>
                                <a:cxn ang="0">
                                  <a:pos x="T1" y="0"/>
                                </a:cxn>
                                <a:cxn ang="0">
                                  <a:pos x="T3" y="0"/>
                                </a:cxn>
                              </a:cxnLst>
                              <a:rect l="0" t="0" r="r" b="b"/>
                              <a:pathLst>
                                <a:path w="7659">
                                  <a:moveTo>
                                    <a:pt x="0" y="0"/>
                                  </a:moveTo>
                                  <a:lnTo>
                                    <a:pt x="7659" y="0"/>
                                  </a:lnTo>
                                </a:path>
                              </a:pathLst>
                            </a:custGeom>
                            <a:noFill/>
                            <a:ln w="20483">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45" o:spid="_x0000_s1026" o:spt="203" style="height:1.65pt;width:384.55pt;" coordsize="7691,33" o:gfxdata="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7iFVtUAAAADAQAADwAAAAAAAAABACAAAAAiAAAAZHJz&#10;L2Rvd25yZXYueG1sUEsBAhQAFAAAAAgAh07iQFYWkeQkAwAABggAAA4AAAAAAAAAAQAgAAAAJAEA&#10;AGRycy9lMm9Eb2MueG1sUEsFBgAAAAAGAAYAWQEAALoGAAAAAA==&#10;">
                <o:lock v:ext="edit" aspectratio="f"/>
                <v:group id="Group 46" o:spid="_x0000_s1026" o:spt="203" style="position:absolute;left:16;top:16;height:2;width:7659;" coordorigin="16,16" coordsize="7659,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Freeform 47" o:spid="_x0000_s1026" o:spt="100" style="position:absolute;left:16;top:16;height:2;width:7659;" filled="f" stroked="t" coordsize="7659,1" o:gfxdata="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NrEqvQAA&#10;ANoAAAAPAAAAAAAAAAEAIAAAACIAAABkcnMvZG93bnJldi54bWxQSwECFAAUAAAACACHTuJAMy8F&#10;njsAAAA5AAAAEAAAAAAAAAABACAAAAAMAQAAZHJzL3NoYXBleG1sLnhtbFBLBQYAAAAABgAGAFsB&#10;AAC2AwAAAAA=&#10;" path="m0,0l7659,0e">
                    <v:path o:connectlocs="0,0;7659,0" o:connectangles="0,0"/>
                    <v:fill on="f" focussize="0,0"/>
                    <v:stroke weight="1.61283464566929pt" color="#000000" joinstyle="round"/>
                    <v:imagedata o:title=""/>
                    <o:lock v:ext="edit" aspectratio="f"/>
                  </v:shape>
                </v:group>
                <w10:wrap type="none"/>
                <w10:anchorlock/>
              </v:group>
            </w:pict>
          </mc:Fallback>
        </mc:AlternateContent>
      </w:r>
    </w:p>
    <w:p w14:paraId="2AC0EF74">
      <w:pPr>
        <w:snapToGrid w:val="0"/>
        <w:spacing w:line="300" w:lineRule="auto"/>
        <w:jc w:val="both"/>
        <w:rPr>
          <w:rFonts w:ascii="Arial" w:hAnsi="Arial" w:eastAsia="宋体" w:cs="Arial"/>
          <w:sz w:val="21"/>
          <w:szCs w:val="21"/>
        </w:rPr>
      </w:pPr>
    </w:p>
    <w:p w14:paraId="3FC002A1">
      <w:pPr>
        <w:tabs>
          <w:tab w:val="left" w:pos="2548"/>
          <w:tab w:val="left" w:pos="5642"/>
        </w:tabs>
        <w:snapToGrid w:val="0"/>
        <w:spacing w:line="300" w:lineRule="auto"/>
        <w:jc w:val="both"/>
        <w:rPr>
          <w:rFonts w:ascii="Arial" w:hAnsi="Arial" w:eastAsia="宋体" w:cs="Arial"/>
          <w:sz w:val="21"/>
          <w:szCs w:val="21"/>
          <w:lang w:eastAsia="zh-CN"/>
        </w:rPr>
      </w:pPr>
      <w:r>
        <w:rPr>
          <w:rFonts w:ascii="Arial" w:hAnsi="Arial" w:eastAsia="宋体" w:cs="Arial"/>
          <w:position w:val="1"/>
          <w:sz w:val="21"/>
          <w:szCs w:val="21"/>
          <w:lang w:eastAsia="zh-CN"/>
        </w:rPr>
        <w:t>非关键器械</w:t>
      </w:r>
      <w:r>
        <w:rPr>
          <w:rFonts w:ascii="Arial" w:hAnsi="Arial" w:eastAsia="宋体" w:cs="Arial"/>
          <w:position w:val="1"/>
          <w:sz w:val="21"/>
          <w:szCs w:val="21"/>
          <w:lang w:eastAsia="zh-CN"/>
        </w:rPr>
        <w:tab/>
      </w:r>
      <w:r>
        <w:rPr>
          <w:rFonts w:ascii="Arial" w:hAnsi="Arial" w:eastAsia="宋体" w:cs="Arial"/>
          <w:position w:val="1"/>
          <w:sz w:val="21"/>
          <w:szCs w:val="21"/>
          <w:lang w:eastAsia="zh-CN"/>
        </w:rPr>
        <w:t>中等水平消毒剂</w:t>
      </w:r>
      <w:r>
        <w:rPr>
          <w:rFonts w:ascii="Arial" w:hAnsi="Arial" w:eastAsia="宋体" w:cs="Arial"/>
          <w:position w:val="1"/>
          <w:sz w:val="21"/>
          <w:szCs w:val="21"/>
          <w:lang w:eastAsia="zh-CN"/>
        </w:rPr>
        <w:tab/>
      </w:r>
      <w:r>
        <w:rPr>
          <w:rFonts w:ascii="Arial" w:hAnsi="Arial" w:eastAsia="宋体" w:cs="Arial"/>
          <w:position w:val="1"/>
          <w:sz w:val="21"/>
          <w:szCs w:val="21"/>
          <w:lang w:eastAsia="zh-CN"/>
        </w:rPr>
        <w:t>医院消毒剂（带TB声明）</w:t>
      </w:r>
    </w:p>
    <w:p w14:paraId="3FB2B910">
      <w:pPr>
        <w:snapToGrid w:val="0"/>
        <w:spacing w:line="300" w:lineRule="auto"/>
        <w:jc w:val="both"/>
        <w:rPr>
          <w:rFonts w:ascii="Arial" w:hAnsi="Arial" w:eastAsia="宋体" w:cs="Arial"/>
          <w:sz w:val="21"/>
          <w:szCs w:val="21"/>
          <w:lang w:eastAsia="zh-CN"/>
        </w:rPr>
      </w:pPr>
    </w:p>
    <w:p w14:paraId="5DF89A83">
      <w:pPr>
        <w:snapToGrid w:val="0"/>
        <w:spacing w:line="300" w:lineRule="auto"/>
        <w:jc w:val="both"/>
        <w:rPr>
          <w:rFonts w:ascii="Arial" w:hAnsi="Arial" w:eastAsia="宋体" w:cs="Arial"/>
          <w:sz w:val="21"/>
          <w:szCs w:val="21"/>
          <w:lang w:eastAsia="zh-CN"/>
        </w:rPr>
      </w:pPr>
    </w:p>
    <w:p w14:paraId="6A194605">
      <w:pPr>
        <w:snapToGrid w:val="0"/>
        <w:spacing w:before="6" w:line="300" w:lineRule="auto"/>
        <w:jc w:val="both"/>
        <w:rPr>
          <w:rFonts w:ascii="Arial" w:hAnsi="Arial" w:eastAsia="宋体" w:cs="Arial"/>
          <w:sz w:val="21"/>
          <w:szCs w:val="21"/>
          <w:lang w:eastAsia="zh-CN"/>
        </w:rPr>
      </w:pPr>
    </w:p>
    <w:p w14:paraId="6255ED37">
      <w:pPr>
        <w:snapToGrid w:val="0"/>
        <w:spacing w:line="300" w:lineRule="auto"/>
        <w:jc w:val="both"/>
        <w:rPr>
          <w:rFonts w:ascii="Arial" w:hAnsi="Arial" w:eastAsia="宋体" w:cs="Arial"/>
          <w:sz w:val="21"/>
          <w:szCs w:val="21"/>
          <w:lang w:eastAsia="zh-CN"/>
        </w:rPr>
      </w:pPr>
    </w:p>
    <w:p w14:paraId="1AB47F0A">
      <w:pPr>
        <w:tabs>
          <w:tab w:val="left" w:pos="2576"/>
          <w:tab w:val="left" w:pos="5669"/>
        </w:tabs>
        <w:snapToGrid w:val="0"/>
        <w:spacing w:line="300" w:lineRule="auto"/>
        <w:jc w:val="both"/>
        <w:rPr>
          <w:rFonts w:ascii="Arial" w:hAnsi="Arial" w:eastAsia="宋体" w:cs="Arial"/>
          <w:position w:val="1"/>
          <w:sz w:val="21"/>
          <w:szCs w:val="21"/>
          <w:lang w:eastAsia="zh-CN"/>
        </w:rPr>
      </w:pPr>
      <w:r>
        <w:rPr>
          <w:rFonts w:ascii="Arial" w:hAnsi="Arial" w:eastAsia="宋体" w:cs="Arial"/>
          <w:position w:val="1"/>
          <w:sz w:val="21"/>
          <w:szCs w:val="21"/>
          <w:lang w:eastAsia="zh-CN"/>
        </w:rPr>
        <w:tab/>
      </w:r>
      <w:r>
        <w:rPr>
          <w:rFonts w:ascii="Arial" w:hAnsi="Arial" w:eastAsia="宋体" w:cs="Arial"/>
          <w:position w:val="1"/>
          <w:sz w:val="21"/>
          <w:szCs w:val="21"/>
          <w:lang w:eastAsia="zh-CN"/>
        </w:rPr>
        <w:t>低水平消毒剂</w:t>
      </w:r>
      <w:r>
        <w:rPr>
          <w:rFonts w:ascii="Arial" w:hAnsi="Arial" w:eastAsia="宋体" w:cs="Arial"/>
          <w:position w:val="1"/>
          <w:sz w:val="21"/>
          <w:szCs w:val="21"/>
          <w:lang w:eastAsia="zh-CN"/>
        </w:rPr>
        <w:tab/>
      </w:r>
      <w:r>
        <w:rPr>
          <w:rFonts w:ascii="Arial" w:hAnsi="Arial" w:eastAsia="宋体" w:cs="Arial"/>
          <w:position w:val="1"/>
          <w:sz w:val="21"/>
          <w:szCs w:val="21"/>
          <w:lang w:eastAsia="zh-CN"/>
        </w:rPr>
        <w:t>医院消毒剂</w:t>
      </w:r>
    </w:p>
    <w:p w14:paraId="5C1F3003">
      <w:pPr>
        <w:snapToGrid w:val="0"/>
        <w:spacing w:line="300" w:lineRule="auto"/>
        <w:jc w:val="both"/>
        <w:rPr>
          <w:rFonts w:ascii="Arial" w:hAnsi="Arial" w:eastAsia="宋体" w:cs="Arial"/>
          <w:position w:val="1"/>
          <w:sz w:val="21"/>
          <w:szCs w:val="21"/>
          <w:lang w:eastAsia="zh-CN"/>
        </w:rPr>
      </w:pPr>
    </w:p>
    <w:p w14:paraId="2EC69973">
      <w:pPr>
        <w:snapToGrid w:val="0"/>
        <w:spacing w:line="300" w:lineRule="auto"/>
        <w:jc w:val="both"/>
        <w:rPr>
          <w:rFonts w:ascii="Arial" w:hAnsi="Arial" w:eastAsia="宋体" w:cs="Arial"/>
          <w:position w:val="1"/>
          <w:sz w:val="21"/>
          <w:szCs w:val="21"/>
          <w:lang w:eastAsia="zh-CN"/>
        </w:rPr>
      </w:pPr>
    </w:p>
    <w:p w14:paraId="46280193">
      <w:pPr>
        <w:snapToGrid w:val="0"/>
        <w:spacing w:line="300" w:lineRule="auto"/>
        <w:ind w:firstLine="5655" w:firstLineChars="2693"/>
        <w:jc w:val="both"/>
        <w:rPr>
          <w:rFonts w:ascii="Arial" w:hAnsi="Arial" w:eastAsia="宋体" w:cs="Arial"/>
          <w:position w:val="1"/>
          <w:sz w:val="21"/>
          <w:szCs w:val="21"/>
          <w:lang w:eastAsia="zh-CN"/>
        </w:rPr>
      </w:pPr>
      <w:r>
        <w:rPr>
          <w:rFonts w:ascii="Arial" w:hAnsi="Arial" w:eastAsia="宋体" w:cs="Arial"/>
          <w:position w:val="1"/>
          <w:sz w:val="21"/>
          <w:szCs w:val="21"/>
          <w:lang w:eastAsia="zh-CN"/>
        </w:rPr>
        <w:t>消毒剂</w:t>
      </w:r>
    </w:p>
    <w:p w14:paraId="7997FDDF">
      <w:pPr>
        <w:snapToGrid w:val="0"/>
        <w:spacing w:line="300" w:lineRule="auto"/>
        <w:jc w:val="both"/>
        <w:rPr>
          <w:rFonts w:ascii="Arial" w:hAnsi="Arial" w:eastAsia="宋体" w:cs="Arial"/>
          <w:sz w:val="21"/>
          <w:szCs w:val="21"/>
          <w:lang w:eastAsia="zh-CN"/>
        </w:rPr>
        <w:sectPr>
          <w:pgSz w:w="12240" w:h="15840"/>
          <w:pgMar w:top="1134" w:right="1134" w:bottom="1134" w:left="1134" w:header="720" w:footer="720" w:gutter="0"/>
          <w:cols w:space="720" w:num="1"/>
          <w:docGrid w:linePitch="299" w:charSpace="0"/>
        </w:sectPr>
      </w:pPr>
    </w:p>
    <w:p w14:paraId="36161322">
      <w:p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附录 7</w:t>
      </w:r>
    </w:p>
    <w:p w14:paraId="16A0E1FC">
      <w:pPr>
        <w:snapToGrid w:val="0"/>
        <w:spacing w:line="300" w:lineRule="auto"/>
        <w:jc w:val="both"/>
        <w:rPr>
          <w:rFonts w:ascii="Arial" w:hAnsi="Arial" w:eastAsia="宋体" w:cs="Arial"/>
          <w:sz w:val="21"/>
          <w:szCs w:val="21"/>
          <w:lang w:eastAsia="zh-CN"/>
        </w:rPr>
      </w:pPr>
    </w:p>
    <w:p w14:paraId="31086E4A">
      <w:pPr>
        <w:pStyle w:val="21"/>
      </w:pPr>
      <w:bookmarkStart w:id="19" w:name="_Toc484421043"/>
      <w:r>
        <w:t>杀菌过程的FDA状态</w:t>
      </w:r>
      <w:bookmarkEnd w:id="19"/>
    </w:p>
    <w:p w14:paraId="06D82E52">
      <w:pPr>
        <w:snapToGrid w:val="0"/>
        <w:spacing w:line="300" w:lineRule="auto"/>
        <w:jc w:val="both"/>
        <w:rPr>
          <w:rFonts w:ascii="Arial" w:hAnsi="Arial" w:eastAsia="宋体" w:cs="Arial"/>
          <w:sz w:val="21"/>
          <w:szCs w:val="21"/>
          <w:lang w:eastAsia="zh-CN"/>
        </w:rPr>
      </w:pPr>
    </w:p>
    <w:p w14:paraId="7A5D13C7">
      <w:pPr>
        <w:pStyle w:val="16"/>
        <w:numPr>
          <w:ilvl w:val="0"/>
          <w:numId w:val="10"/>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灭菌</w:t>
      </w:r>
    </w:p>
    <w:p w14:paraId="60781CC0">
      <w:pPr>
        <w:snapToGrid w:val="0"/>
        <w:spacing w:line="300" w:lineRule="auto"/>
        <w:ind w:left="374" w:leftChars="170"/>
        <w:jc w:val="both"/>
        <w:rPr>
          <w:rFonts w:ascii="Arial" w:hAnsi="Arial" w:eastAsia="宋体" w:cs="Arial"/>
          <w:sz w:val="21"/>
          <w:szCs w:val="21"/>
          <w:lang w:eastAsia="zh-CN"/>
        </w:rPr>
      </w:pPr>
      <w:r>
        <w:rPr>
          <w:rFonts w:ascii="Arial" w:hAnsi="Arial" w:eastAsia="宋体" w:cs="Arial"/>
          <w:sz w:val="21"/>
          <w:szCs w:val="21"/>
          <w:lang w:eastAsia="zh-CN"/>
        </w:rPr>
        <w:t>有许多合法上市的灭菌器。蒸汽、干热、环氧乙烷和沸水灭菌器已在联邦法规中分类。紫外线灭菌适用于水净化。已经发现其他类型的合法上市灭菌器实质等同于上述分类器械。</w:t>
      </w:r>
    </w:p>
    <w:p w14:paraId="64B68175">
      <w:pPr>
        <w:snapToGrid w:val="0"/>
        <w:spacing w:line="300" w:lineRule="auto"/>
        <w:jc w:val="both"/>
        <w:rPr>
          <w:rFonts w:ascii="Arial" w:hAnsi="Arial" w:eastAsia="宋体" w:cs="Arial"/>
          <w:sz w:val="21"/>
          <w:szCs w:val="21"/>
          <w:lang w:eastAsia="zh-CN"/>
        </w:rPr>
      </w:pPr>
    </w:p>
    <w:p w14:paraId="09859485">
      <w:pPr>
        <w:pStyle w:val="16"/>
        <w:numPr>
          <w:ilvl w:val="0"/>
          <w:numId w:val="10"/>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消毒</w:t>
      </w:r>
    </w:p>
    <w:p w14:paraId="26BA8F4B">
      <w:pPr>
        <w:snapToGrid w:val="0"/>
        <w:spacing w:line="300" w:lineRule="auto"/>
        <w:jc w:val="both"/>
        <w:rPr>
          <w:rFonts w:ascii="Arial" w:hAnsi="Arial" w:eastAsia="宋体" w:cs="Arial"/>
          <w:sz w:val="21"/>
          <w:szCs w:val="21"/>
          <w:lang w:eastAsia="zh-CN"/>
        </w:rPr>
      </w:pPr>
    </w:p>
    <w:p w14:paraId="666711E7">
      <w:pPr>
        <w:snapToGrid w:val="0"/>
        <w:spacing w:line="300" w:lineRule="auto"/>
        <w:ind w:left="374" w:leftChars="170"/>
        <w:jc w:val="both"/>
        <w:rPr>
          <w:rFonts w:ascii="Arial" w:hAnsi="Arial" w:eastAsia="宋体" w:cs="Arial"/>
          <w:sz w:val="21"/>
          <w:szCs w:val="21"/>
          <w:lang w:eastAsia="zh-CN"/>
        </w:rPr>
      </w:pPr>
      <w:r>
        <w:rPr>
          <w:rFonts w:ascii="Arial" w:hAnsi="Arial" w:eastAsia="宋体" w:cs="Arial"/>
          <w:sz w:val="21"/>
          <w:szCs w:val="21"/>
          <w:lang w:eastAsia="zh-CN"/>
        </w:rPr>
        <w:t>消毒通常通过使用液体化学杀菌剂来实现。合法上市消毒剂和高水平消毒剂的数量越来越多。也存在许多合法上市的中等水平和低水平消毒剂。</w:t>
      </w:r>
    </w:p>
    <w:p w14:paraId="662EACC2">
      <w:pPr>
        <w:snapToGrid w:val="0"/>
        <w:spacing w:line="300" w:lineRule="auto"/>
        <w:jc w:val="both"/>
        <w:rPr>
          <w:rFonts w:ascii="Arial" w:hAnsi="Arial" w:eastAsia="宋体" w:cs="Arial"/>
          <w:b/>
          <w:bCs/>
          <w:sz w:val="21"/>
          <w:szCs w:val="21"/>
          <w:lang w:eastAsia="zh-CN"/>
        </w:rPr>
      </w:pPr>
    </w:p>
    <w:p w14:paraId="159EA113">
      <w:pPr>
        <w:snapToGrid w:val="0"/>
        <w:spacing w:line="300" w:lineRule="auto"/>
        <w:jc w:val="both"/>
        <w:rPr>
          <w:rFonts w:ascii="Arial" w:hAnsi="Arial" w:eastAsia="宋体" w:cs="Arial"/>
          <w:b/>
          <w:bCs/>
          <w:sz w:val="21"/>
          <w:szCs w:val="21"/>
          <w:lang w:eastAsia="zh-CN"/>
        </w:rPr>
      </w:pPr>
    </w:p>
    <w:p w14:paraId="1CA5A3CA">
      <w:pPr>
        <w:snapToGrid w:val="0"/>
        <w:spacing w:line="300" w:lineRule="auto"/>
        <w:jc w:val="both"/>
        <w:rPr>
          <w:rFonts w:ascii="Arial" w:hAnsi="Arial" w:eastAsia="宋体" w:cs="Arial"/>
          <w:b/>
          <w:bCs/>
          <w:sz w:val="21"/>
          <w:szCs w:val="21"/>
          <w:lang w:eastAsia="zh-CN"/>
        </w:rPr>
      </w:pPr>
    </w:p>
    <w:p w14:paraId="5C07849D">
      <w:pPr>
        <w:snapToGrid w:val="0"/>
        <w:spacing w:line="300" w:lineRule="auto"/>
        <w:jc w:val="both"/>
        <w:rPr>
          <w:rFonts w:ascii="Arial" w:hAnsi="Arial" w:eastAsia="宋体" w:cs="Arial"/>
          <w:b/>
          <w:bCs/>
          <w:sz w:val="21"/>
          <w:szCs w:val="21"/>
          <w:lang w:eastAsia="zh-CN"/>
        </w:rPr>
      </w:pPr>
    </w:p>
    <w:p w14:paraId="64F344D2">
      <w:pPr>
        <w:snapToGrid w:val="0"/>
        <w:spacing w:line="300" w:lineRule="auto"/>
        <w:jc w:val="both"/>
        <w:rPr>
          <w:rFonts w:ascii="Arial" w:hAnsi="Arial" w:eastAsia="宋体" w:cs="Arial"/>
          <w:b/>
          <w:bCs/>
          <w:sz w:val="21"/>
          <w:szCs w:val="21"/>
          <w:lang w:eastAsia="zh-CN"/>
        </w:rPr>
      </w:pPr>
    </w:p>
    <w:p w14:paraId="20576FE0">
      <w:pPr>
        <w:snapToGrid w:val="0"/>
        <w:spacing w:line="300" w:lineRule="auto"/>
        <w:jc w:val="both"/>
        <w:rPr>
          <w:rFonts w:ascii="Arial" w:hAnsi="Arial" w:eastAsia="宋体" w:cs="Arial"/>
          <w:b/>
          <w:bCs/>
          <w:sz w:val="21"/>
          <w:szCs w:val="21"/>
          <w:lang w:eastAsia="zh-CN"/>
        </w:rPr>
      </w:pPr>
    </w:p>
    <w:p w14:paraId="02891596">
      <w:pPr>
        <w:snapToGrid w:val="0"/>
        <w:spacing w:line="300" w:lineRule="auto"/>
        <w:jc w:val="both"/>
        <w:rPr>
          <w:rFonts w:ascii="Arial" w:hAnsi="Arial" w:eastAsia="宋体" w:cs="Arial"/>
          <w:b/>
          <w:bCs/>
          <w:sz w:val="21"/>
          <w:szCs w:val="21"/>
          <w:lang w:eastAsia="zh-CN"/>
        </w:rPr>
      </w:pPr>
    </w:p>
    <w:p w14:paraId="5398EB23">
      <w:pPr>
        <w:snapToGrid w:val="0"/>
        <w:spacing w:line="300" w:lineRule="auto"/>
        <w:jc w:val="both"/>
        <w:rPr>
          <w:rFonts w:ascii="Arial" w:hAnsi="Arial" w:eastAsia="宋体" w:cs="Arial"/>
          <w:b/>
          <w:bCs/>
          <w:sz w:val="21"/>
          <w:szCs w:val="21"/>
          <w:lang w:eastAsia="zh-CN"/>
        </w:rPr>
      </w:pPr>
    </w:p>
    <w:p w14:paraId="694F6B8F">
      <w:pPr>
        <w:snapToGrid w:val="0"/>
        <w:spacing w:line="300" w:lineRule="auto"/>
        <w:jc w:val="both"/>
        <w:rPr>
          <w:rFonts w:ascii="Arial" w:hAnsi="Arial" w:eastAsia="宋体" w:cs="Arial"/>
          <w:b/>
          <w:bCs/>
          <w:sz w:val="21"/>
          <w:szCs w:val="21"/>
          <w:lang w:eastAsia="zh-CN"/>
        </w:rPr>
      </w:pPr>
    </w:p>
    <w:p w14:paraId="51828FD5">
      <w:pPr>
        <w:snapToGrid w:val="0"/>
        <w:spacing w:line="300" w:lineRule="auto"/>
        <w:jc w:val="both"/>
        <w:rPr>
          <w:rFonts w:ascii="Arial" w:hAnsi="Arial" w:eastAsia="宋体" w:cs="Arial"/>
          <w:b/>
          <w:bCs/>
          <w:sz w:val="21"/>
          <w:szCs w:val="21"/>
          <w:lang w:eastAsia="zh-CN"/>
        </w:rPr>
      </w:pPr>
    </w:p>
    <w:p w14:paraId="32AE8AEF">
      <w:pPr>
        <w:snapToGrid w:val="0"/>
        <w:spacing w:line="300" w:lineRule="auto"/>
        <w:jc w:val="both"/>
        <w:rPr>
          <w:rFonts w:ascii="Arial" w:hAnsi="Arial" w:eastAsia="宋体" w:cs="Arial"/>
          <w:b/>
          <w:bCs/>
          <w:sz w:val="21"/>
          <w:szCs w:val="21"/>
          <w:lang w:eastAsia="zh-CN"/>
        </w:rPr>
      </w:pPr>
    </w:p>
    <w:p w14:paraId="1B2766CF">
      <w:pPr>
        <w:snapToGrid w:val="0"/>
        <w:spacing w:line="300" w:lineRule="auto"/>
        <w:jc w:val="both"/>
        <w:rPr>
          <w:rFonts w:ascii="Arial" w:hAnsi="Arial" w:eastAsia="宋体" w:cs="Arial"/>
          <w:b/>
          <w:bCs/>
          <w:sz w:val="21"/>
          <w:szCs w:val="21"/>
          <w:lang w:eastAsia="zh-CN"/>
        </w:rPr>
      </w:pPr>
    </w:p>
    <w:p w14:paraId="22C2854C">
      <w:pPr>
        <w:snapToGrid w:val="0"/>
        <w:spacing w:line="300" w:lineRule="auto"/>
        <w:jc w:val="both"/>
        <w:rPr>
          <w:rFonts w:ascii="Arial" w:hAnsi="Arial" w:eastAsia="宋体" w:cs="Arial"/>
          <w:b/>
          <w:bCs/>
          <w:sz w:val="21"/>
          <w:szCs w:val="21"/>
          <w:lang w:eastAsia="zh-CN"/>
        </w:rPr>
      </w:pPr>
    </w:p>
    <w:p w14:paraId="09C3EAF2">
      <w:pPr>
        <w:snapToGrid w:val="0"/>
        <w:spacing w:line="300" w:lineRule="auto"/>
        <w:jc w:val="both"/>
        <w:rPr>
          <w:rFonts w:ascii="Arial" w:hAnsi="Arial" w:eastAsia="宋体" w:cs="Arial"/>
          <w:b/>
          <w:bCs/>
          <w:sz w:val="21"/>
          <w:szCs w:val="21"/>
          <w:lang w:eastAsia="zh-CN"/>
        </w:rPr>
      </w:pPr>
    </w:p>
    <w:p w14:paraId="00120A15">
      <w:pPr>
        <w:snapToGrid w:val="0"/>
        <w:spacing w:line="300" w:lineRule="auto"/>
        <w:jc w:val="both"/>
        <w:rPr>
          <w:rFonts w:ascii="Arial" w:hAnsi="Arial" w:eastAsia="宋体" w:cs="Arial"/>
          <w:b/>
          <w:bCs/>
          <w:sz w:val="21"/>
          <w:szCs w:val="21"/>
          <w:lang w:eastAsia="zh-CN"/>
        </w:rPr>
      </w:pPr>
    </w:p>
    <w:p w14:paraId="47855F57">
      <w:pPr>
        <w:snapToGrid w:val="0"/>
        <w:spacing w:line="300" w:lineRule="auto"/>
        <w:jc w:val="both"/>
        <w:rPr>
          <w:rFonts w:ascii="Arial" w:hAnsi="Arial" w:eastAsia="宋体" w:cs="Arial"/>
          <w:b/>
          <w:bCs/>
          <w:sz w:val="21"/>
          <w:szCs w:val="21"/>
          <w:lang w:eastAsia="zh-CN"/>
        </w:rPr>
      </w:pPr>
    </w:p>
    <w:p w14:paraId="75B31560">
      <w:pPr>
        <w:snapToGrid w:val="0"/>
        <w:spacing w:line="300" w:lineRule="auto"/>
        <w:jc w:val="both"/>
        <w:rPr>
          <w:rFonts w:ascii="Arial" w:hAnsi="Arial" w:eastAsia="宋体" w:cs="Arial"/>
          <w:b/>
          <w:bCs/>
          <w:sz w:val="21"/>
          <w:szCs w:val="21"/>
          <w:lang w:eastAsia="zh-CN"/>
        </w:rPr>
      </w:pPr>
    </w:p>
    <w:p w14:paraId="29BE7B54">
      <w:pPr>
        <w:snapToGrid w:val="0"/>
        <w:spacing w:line="300" w:lineRule="auto"/>
        <w:jc w:val="both"/>
        <w:rPr>
          <w:rFonts w:ascii="Arial" w:hAnsi="Arial" w:eastAsia="宋体" w:cs="Arial"/>
          <w:b/>
          <w:bCs/>
          <w:sz w:val="21"/>
          <w:szCs w:val="21"/>
          <w:lang w:eastAsia="zh-CN"/>
        </w:rPr>
      </w:pPr>
    </w:p>
    <w:p w14:paraId="3F275532">
      <w:pPr>
        <w:snapToGrid w:val="0"/>
        <w:spacing w:before="8" w:line="300" w:lineRule="auto"/>
        <w:jc w:val="both"/>
        <w:rPr>
          <w:rFonts w:ascii="Arial" w:hAnsi="Arial" w:eastAsia="宋体" w:cs="Arial"/>
          <w:b/>
          <w:bCs/>
          <w:sz w:val="21"/>
          <w:szCs w:val="21"/>
          <w:lang w:eastAsia="zh-CN"/>
        </w:rPr>
      </w:pPr>
    </w:p>
    <w:p w14:paraId="4E2C5DC9">
      <w:pPr>
        <w:snapToGrid w:val="0"/>
        <w:spacing w:line="300" w:lineRule="auto"/>
        <w:ind w:left="4568"/>
        <w:jc w:val="both"/>
        <w:rPr>
          <w:rFonts w:ascii="Arial" w:hAnsi="Arial" w:eastAsia="宋体" w:cs="Arial"/>
          <w:sz w:val="21"/>
          <w:szCs w:val="21"/>
          <w:lang w:eastAsia="zh-CN"/>
        </w:rPr>
      </w:pPr>
    </w:p>
    <w:p w14:paraId="1BBAE3D8">
      <w:pPr>
        <w:snapToGrid w:val="0"/>
        <w:spacing w:line="300" w:lineRule="auto"/>
        <w:jc w:val="both"/>
        <w:rPr>
          <w:rFonts w:ascii="Arial" w:hAnsi="Arial" w:eastAsia="宋体" w:cs="Arial"/>
          <w:sz w:val="21"/>
          <w:szCs w:val="21"/>
          <w:lang w:eastAsia="zh-CN"/>
        </w:rPr>
        <w:sectPr>
          <w:pgSz w:w="12240" w:h="15840"/>
          <w:pgMar w:top="1134" w:right="1134" w:bottom="1134" w:left="1134" w:header="720" w:footer="720" w:gutter="0"/>
          <w:cols w:space="720" w:num="1"/>
          <w:docGrid w:linePitch="299" w:charSpace="0"/>
        </w:sectPr>
      </w:pPr>
    </w:p>
    <w:p w14:paraId="667D94C2">
      <w:pPr>
        <w:snapToGrid w:val="0"/>
        <w:spacing w:before="85" w:line="300" w:lineRule="auto"/>
        <w:jc w:val="both"/>
        <w:rPr>
          <w:rFonts w:ascii="Arial" w:hAnsi="Arial" w:eastAsia="宋体" w:cs="Arial"/>
          <w:w w:val="99"/>
          <w:sz w:val="21"/>
          <w:szCs w:val="21"/>
          <w:lang w:eastAsia="zh-CN"/>
        </w:rPr>
      </w:pPr>
      <w:r>
        <w:rPr>
          <w:rFonts w:ascii="Arial" w:hAnsi="Arial" w:eastAsia="宋体" w:cs="Arial"/>
          <w:spacing w:val="23"/>
          <w:sz w:val="21"/>
          <w:szCs w:val="21"/>
          <w:lang w:eastAsia="zh-CN"/>
        </w:rPr>
        <w:t xml:space="preserve">附录 </w:t>
      </w:r>
      <w:r>
        <w:rPr>
          <w:rFonts w:ascii="Arial" w:hAnsi="Arial" w:eastAsia="宋体" w:cs="Arial"/>
          <w:sz w:val="21"/>
          <w:szCs w:val="21"/>
          <w:lang w:eastAsia="zh-CN"/>
        </w:rPr>
        <w:t>8</w:t>
      </w:r>
      <w:r>
        <w:rPr>
          <w:rFonts w:ascii="Arial" w:hAnsi="Arial" w:eastAsia="宋体" w:cs="Arial"/>
          <w:w w:val="99"/>
          <w:sz w:val="21"/>
          <w:szCs w:val="21"/>
          <w:lang w:eastAsia="zh-CN"/>
        </w:rPr>
        <w:t xml:space="preserve"> </w:t>
      </w:r>
    </w:p>
    <w:p w14:paraId="65F4951D">
      <w:pPr>
        <w:pStyle w:val="21"/>
      </w:pPr>
      <w:bookmarkStart w:id="20" w:name="_Toc484421044"/>
      <w:r>
        <w:t>参考文件</w:t>
      </w:r>
      <w:bookmarkEnd w:id="20"/>
    </w:p>
    <w:p w14:paraId="2F1962DD">
      <w:pPr>
        <w:snapToGrid w:val="0"/>
        <w:spacing w:before="4" w:line="300" w:lineRule="auto"/>
        <w:jc w:val="both"/>
        <w:rPr>
          <w:rFonts w:ascii="Arial" w:hAnsi="Arial" w:eastAsia="宋体" w:cs="Arial"/>
          <w:b/>
          <w:bCs/>
          <w:sz w:val="21"/>
          <w:szCs w:val="21"/>
          <w:lang w:eastAsia="zh-CN"/>
        </w:rPr>
      </w:pPr>
    </w:p>
    <w:p w14:paraId="3F0E3520">
      <w:pPr>
        <w:pStyle w:val="5"/>
        <w:numPr>
          <w:ilvl w:val="0"/>
          <w:numId w:val="11"/>
        </w:numPr>
        <w:snapToGrid w:val="0"/>
        <w:spacing w:line="300" w:lineRule="auto"/>
        <w:jc w:val="both"/>
        <w:rPr>
          <w:rFonts w:ascii="Arial" w:hAnsi="Arial" w:eastAsia="宋体" w:cs="Arial"/>
          <w:b w:val="0"/>
          <w:bCs w:val="0"/>
          <w:sz w:val="21"/>
          <w:szCs w:val="21"/>
          <w:lang w:eastAsia="zh-CN"/>
        </w:rPr>
      </w:pPr>
      <w:r>
        <w:rPr>
          <w:rFonts w:ascii="Arial" w:hAnsi="Arial" w:eastAsia="宋体" w:cs="Arial"/>
          <w:b w:val="0"/>
          <w:bCs w:val="0"/>
          <w:sz w:val="21"/>
          <w:szCs w:val="21"/>
          <w:lang w:eastAsia="zh-CN"/>
        </w:rPr>
        <w:t>Favero，M.S. 和Bond，W.W.，医疗和手术材料的化学消毒。消毒、灭菌和保存。第4版。Philadelphia：Lea＆Febiger，1991年：617-641。</w:t>
      </w:r>
    </w:p>
    <w:p w14:paraId="55D0E7DD">
      <w:pPr>
        <w:pStyle w:val="5"/>
        <w:snapToGrid w:val="0"/>
        <w:spacing w:line="300" w:lineRule="auto"/>
        <w:ind w:left="0" w:firstLine="13"/>
        <w:jc w:val="both"/>
        <w:rPr>
          <w:rFonts w:ascii="Arial" w:hAnsi="Arial" w:eastAsia="宋体" w:cs="Arial"/>
          <w:b w:val="0"/>
          <w:bCs w:val="0"/>
          <w:sz w:val="21"/>
          <w:szCs w:val="21"/>
          <w:lang w:eastAsia="zh-CN"/>
        </w:rPr>
      </w:pPr>
    </w:p>
    <w:p w14:paraId="5B315716">
      <w:pPr>
        <w:pStyle w:val="5"/>
        <w:numPr>
          <w:ilvl w:val="0"/>
          <w:numId w:val="11"/>
        </w:numPr>
        <w:snapToGrid w:val="0"/>
        <w:spacing w:line="300" w:lineRule="auto"/>
        <w:jc w:val="both"/>
        <w:rPr>
          <w:rFonts w:ascii="Arial" w:hAnsi="Arial" w:eastAsia="宋体" w:cs="Arial"/>
          <w:b w:val="0"/>
          <w:bCs w:val="0"/>
          <w:sz w:val="21"/>
          <w:szCs w:val="21"/>
          <w:lang w:eastAsia="zh-CN"/>
        </w:rPr>
      </w:pPr>
      <w:r>
        <w:rPr>
          <w:rFonts w:ascii="Arial" w:hAnsi="Arial" w:eastAsia="宋体" w:cs="Arial"/>
          <w:b w:val="0"/>
          <w:bCs w:val="0"/>
          <w:sz w:val="21"/>
          <w:szCs w:val="21"/>
          <w:lang w:eastAsia="zh-CN"/>
        </w:rPr>
        <w:t>Pflug，I.J.，无菌过程的微生物学与工程，第7版。Minneapolis，环境消毒实验室。1990年，第1-3章。</w:t>
      </w:r>
    </w:p>
    <w:p w14:paraId="26A8FCBD">
      <w:pPr>
        <w:pStyle w:val="5"/>
        <w:snapToGrid w:val="0"/>
        <w:spacing w:line="300" w:lineRule="auto"/>
        <w:ind w:left="0" w:firstLine="13"/>
        <w:jc w:val="both"/>
        <w:rPr>
          <w:rFonts w:ascii="Arial" w:hAnsi="Arial" w:eastAsia="宋体" w:cs="Arial"/>
          <w:b w:val="0"/>
          <w:bCs w:val="0"/>
          <w:sz w:val="21"/>
          <w:szCs w:val="21"/>
          <w:lang w:eastAsia="zh-CN"/>
        </w:rPr>
      </w:pPr>
    </w:p>
    <w:p w14:paraId="120F32D9">
      <w:pPr>
        <w:pStyle w:val="5"/>
        <w:numPr>
          <w:ilvl w:val="0"/>
          <w:numId w:val="11"/>
        </w:numPr>
        <w:snapToGrid w:val="0"/>
        <w:spacing w:line="300" w:lineRule="auto"/>
        <w:jc w:val="both"/>
        <w:rPr>
          <w:rFonts w:ascii="Arial" w:hAnsi="Arial" w:eastAsia="宋体" w:cs="Arial"/>
          <w:b w:val="0"/>
          <w:bCs w:val="0"/>
          <w:sz w:val="21"/>
          <w:szCs w:val="21"/>
          <w:lang w:eastAsia="zh-CN"/>
        </w:rPr>
      </w:pPr>
      <w:r>
        <w:rPr>
          <w:rFonts w:ascii="Arial" w:hAnsi="Arial" w:eastAsia="宋体" w:cs="Arial"/>
          <w:b w:val="0"/>
          <w:bCs w:val="0"/>
          <w:sz w:val="21"/>
          <w:szCs w:val="21"/>
          <w:lang w:eastAsia="zh-CN"/>
        </w:rPr>
        <w:t>无菌医疗器械，GMP研讨会，第4版。HHS出版物（FDA）84-4174。</w:t>
      </w:r>
    </w:p>
    <w:p w14:paraId="4A292376">
      <w:pPr>
        <w:pStyle w:val="5"/>
        <w:snapToGrid w:val="0"/>
        <w:spacing w:line="300" w:lineRule="auto"/>
        <w:ind w:left="0" w:firstLine="13"/>
        <w:jc w:val="both"/>
        <w:rPr>
          <w:rFonts w:ascii="Arial" w:hAnsi="Arial" w:eastAsia="宋体" w:cs="Arial"/>
          <w:b w:val="0"/>
          <w:bCs w:val="0"/>
          <w:sz w:val="21"/>
          <w:szCs w:val="21"/>
          <w:lang w:eastAsia="zh-CN"/>
        </w:rPr>
      </w:pPr>
    </w:p>
    <w:p w14:paraId="5C99F908">
      <w:pPr>
        <w:pStyle w:val="5"/>
        <w:numPr>
          <w:ilvl w:val="0"/>
          <w:numId w:val="11"/>
        </w:numPr>
        <w:snapToGrid w:val="0"/>
        <w:spacing w:line="300" w:lineRule="auto"/>
        <w:jc w:val="both"/>
        <w:rPr>
          <w:rFonts w:ascii="Arial" w:hAnsi="Arial" w:eastAsia="宋体" w:cs="Arial"/>
          <w:b w:val="0"/>
          <w:bCs w:val="0"/>
          <w:sz w:val="21"/>
          <w:szCs w:val="21"/>
          <w:lang w:eastAsia="zh-CN"/>
        </w:rPr>
      </w:pPr>
      <w:r>
        <w:rPr>
          <w:rFonts w:ascii="Arial" w:hAnsi="Arial" w:eastAsia="宋体" w:cs="Arial"/>
          <w:b w:val="0"/>
          <w:bCs w:val="0"/>
          <w:sz w:val="21"/>
          <w:szCs w:val="21"/>
          <w:lang w:eastAsia="zh-CN"/>
        </w:rPr>
        <w:t>Block，S.S.，术语定义。消毒、灭菌和保存。第4版。Philadelphia：Lea＆Febiger，1991年：18-25。</w:t>
      </w:r>
    </w:p>
    <w:p w14:paraId="63B23F1C">
      <w:pPr>
        <w:pStyle w:val="5"/>
        <w:snapToGrid w:val="0"/>
        <w:spacing w:line="300" w:lineRule="auto"/>
        <w:ind w:left="0" w:firstLine="13"/>
        <w:jc w:val="both"/>
        <w:rPr>
          <w:rFonts w:ascii="Arial" w:hAnsi="Arial" w:eastAsia="宋体" w:cs="Arial"/>
          <w:b w:val="0"/>
          <w:bCs w:val="0"/>
          <w:sz w:val="21"/>
          <w:szCs w:val="21"/>
          <w:lang w:eastAsia="zh-CN"/>
        </w:rPr>
      </w:pPr>
    </w:p>
    <w:p w14:paraId="7109691C">
      <w:pPr>
        <w:pStyle w:val="5"/>
        <w:numPr>
          <w:ilvl w:val="0"/>
          <w:numId w:val="11"/>
        </w:numPr>
        <w:snapToGrid w:val="0"/>
        <w:spacing w:line="300" w:lineRule="auto"/>
        <w:jc w:val="both"/>
        <w:rPr>
          <w:rFonts w:ascii="Arial" w:hAnsi="Arial" w:eastAsia="宋体" w:cs="Arial"/>
          <w:b w:val="0"/>
          <w:bCs w:val="0"/>
          <w:sz w:val="21"/>
          <w:szCs w:val="21"/>
          <w:lang w:eastAsia="zh-CN"/>
        </w:rPr>
      </w:pPr>
      <w:r>
        <w:rPr>
          <w:rFonts w:ascii="Arial" w:hAnsi="Arial" w:eastAsia="宋体" w:cs="Arial"/>
          <w:b w:val="0"/>
          <w:bCs w:val="0"/>
          <w:sz w:val="21"/>
          <w:szCs w:val="21"/>
          <w:lang w:eastAsia="zh-CN"/>
        </w:rPr>
        <w:t>灭菌，问答。制造质量保证科，CDRH，FDA。</w:t>
      </w:r>
    </w:p>
    <w:p w14:paraId="23314DD2">
      <w:pPr>
        <w:snapToGrid w:val="0"/>
        <w:spacing w:line="300" w:lineRule="auto"/>
        <w:jc w:val="both"/>
        <w:rPr>
          <w:rFonts w:hint="eastAsia" w:eastAsia="宋体"/>
          <w:lang w:eastAsia="zh-CN"/>
        </w:rPr>
      </w:pPr>
    </w:p>
    <w:p w14:paraId="2F0C2D9E">
      <w:pPr>
        <w:snapToGrid w:val="0"/>
        <w:spacing w:line="300" w:lineRule="auto"/>
        <w:jc w:val="center"/>
        <w:rPr>
          <w:rFonts w:hint="eastAsia" w:eastAsia="宋体"/>
          <w:lang w:eastAsia="zh-CN"/>
        </w:rPr>
      </w:pPr>
    </w:p>
    <w:p w14:paraId="3432EC16">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3" name="图片 13" descr="2"/>
            <wp:cNvGraphicFramePr/>
            <a:graphic xmlns:a="http://schemas.openxmlformats.org/drawingml/2006/main">
              <a:graphicData uri="http://schemas.openxmlformats.org/drawingml/2006/picture">
                <pic:pic xmlns:pic="http://schemas.openxmlformats.org/drawingml/2006/picture">
                  <pic:nvPicPr>
                    <pic:cNvPr id="13" name="图片 13" descr="2"/>
                    <pic:cNvPicPr/>
                  </pic:nvPicPr>
                  <pic:blipFill>
                    <a:blip r:embed="rId9"/>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onsolas">
    <w:panose1 w:val="020B0609020204030204"/>
    <w:charset w:val="00"/>
    <w:family w:val="modern"/>
    <w:pitch w:val="default"/>
    <w:sig w:usb0="E00006FF" w:usb1="0000FCFF" w:usb2="00000001" w:usb3="00000000" w:csb0="6000019F" w:csb1="DFD7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1778899243"/>
      <w:docPartObj>
        <w:docPartGallery w:val="AutoText"/>
      </w:docPartObj>
    </w:sdtPr>
    <w:sdtEndPr>
      <w:rPr>
        <w:rFonts w:ascii="Arial" w:hAnsi="Arial" w:cs="Arial"/>
      </w:rPr>
    </w:sdtEndPr>
    <w:sdtContent>
      <w:p w14:paraId="200E3AE2">
        <w:pPr>
          <w:pStyle w:val="7"/>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eastAsia="zh-CN"/>
          </w:rPr>
          <w:t>ii</w:t>
        </w:r>
        <w:r>
          <w:rPr>
            <w:rFonts w:ascii="Arial" w:hAnsi="Arial" w:cs="Arial"/>
          </w:rPr>
          <w:fldChar w:fldCharType="end"/>
        </w:r>
      </w:p>
    </w:sdtContent>
  </w:sdt>
  <w:p w14:paraId="5F2C887E">
    <w:pPr>
      <w:pStyle w:val="7"/>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1351562069"/>
      <w:docPartObj>
        <w:docPartGallery w:val="AutoText"/>
      </w:docPartObj>
    </w:sdtPr>
    <w:sdtEndPr>
      <w:rPr>
        <w:rFonts w:ascii="Arial" w:hAnsi="Arial" w:cs="Arial"/>
      </w:rPr>
    </w:sdtEndPr>
    <w:sdtContent>
      <w:p w14:paraId="3E9D3644">
        <w:pPr>
          <w:pStyle w:val="7"/>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eastAsia="zh-CN"/>
          </w:rPr>
          <w:t>26</w:t>
        </w:r>
        <w:r>
          <w:rPr>
            <w:rFonts w:ascii="Arial" w:hAnsi="Arial" w:cs="Arial"/>
          </w:rPr>
          <w:fldChar w:fldCharType="end"/>
        </w:r>
      </w:p>
    </w:sdtContent>
  </w:sdt>
  <w:p w14:paraId="07923B9F">
    <w:pPr>
      <w:pStyle w:val="7"/>
      <w:rPr>
        <w:rFonts w:ascii="Arial" w:hAnsi="Arial" w:cs="Aria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E7651"/>
    <w:multiLevelType w:val="multilevel"/>
    <w:tmpl w:val="042E7651"/>
    <w:lvl w:ilvl="0" w:tentative="0">
      <w:start w:val="1"/>
      <w:numFmt w:val="upperLetter"/>
      <w:lvlText w:val="%1."/>
      <w:lvlJc w:val="left"/>
      <w:pPr>
        <w:ind w:left="1573" w:hanging="696"/>
      </w:pPr>
      <w:rPr>
        <w:rFonts w:hint="default" w:ascii="Courier New" w:hAnsi="Courier New" w:eastAsia="Courier New"/>
        <w:b/>
        <w:bCs/>
        <w:w w:val="90"/>
        <w:sz w:val="24"/>
        <w:szCs w:val="24"/>
      </w:rPr>
    </w:lvl>
    <w:lvl w:ilvl="1" w:tentative="0">
      <w:start w:val="1"/>
      <w:numFmt w:val="decimal"/>
      <w:lvlText w:val="%2."/>
      <w:lvlJc w:val="left"/>
      <w:pPr>
        <w:ind w:left="1573" w:hanging="673"/>
      </w:pPr>
      <w:rPr>
        <w:rFonts w:hint="default" w:ascii="Arial" w:hAnsi="Arial" w:eastAsia="Courier New" w:cs="Arial"/>
        <w:b w:val="0"/>
        <w:bCs/>
        <w:w w:val="100"/>
      </w:rPr>
    </w:lvl>
    <w:lvl w:ilvl="2" w:tentative="0">
      <w:start w:val="1"/>
      <w:numFmt w:val="lowerLetter"/>
      <w:lvlText w:val="%3."/>
      <w:lvlJc w:val="left"/>
      <w:pPr>
        <w:ind w:left="2310" w:hanging="692"/>
      </w:pPr>
      <w:rPr>
        <w:rFonts w:hint="default" w:ascii="Arial" w:hAnsi="Arial" w:eastAsia="Courier New" w:cs="Arial"/>
        <w:b w:val="0"/>
        <w:bCs/>
        <w:w w:val="100"/>
      </w:rPr>
    </w:lvl>
    <w:lvl w:ilvl="3" w:tentative="0">
      <w:start w:val="1"/>
      <w:numFmt w:val="bullet"/>
      <w:lvlText w:val="•"/>
      <w:lvlJc w:val="left"/>
      <w:pPr>
        <w:ind w:left="4035" w:hanging="692"/>
      </w:pPr>
      <w:rPr>
        <w:rFonts w:hint="default"/>
      </w:rPr>
    </w:lvl>
    <w:lvl w:ilvl="4" w:tentative="0">
      <w:start w:val="1"/>
      <w:numFmt w:val="bullet"/>
      <w:lvlText w:val="•"/>
      <w:lvlJc w:val="left"/>
      <w:pPr>
        <w:ind w:left="4893" w:hanging="692"/>
      </w:pPr>
      <w:rPr>
        <w:rFonts w:hint="default"/>
      </w:rPr>
    </w:lvl>
    <w:lvl w:ilvl="5" w:tentative="0">
      <w:start w:val="1"/>
      <w:numFmt w:val="bullet"/>
      <w:lvlText w:val="•"/>
      <w:lvlJc w:val="left"/>
      <w:pPr>
        <w:ind w:left="5751" w:hanging="692"/>
      </w:pPr>
      <w:rPr>
        <w:rFonts w:hint="default"/>
      </w:rPr>
    </w:lvl>
    <w:lvl w:ilvl="6" w:tentative="0">
      <w:start w:val="1"/>
      <w:numFmt w:val="bullet"/>
      <w:lvlText w:val="•"/>
      <w:lvlJc w:val="left"/>
      <w:pPr>
        <w:ind w:left="6608" w:hanging="692"/>
      </w:pPr>
      <w:rPr>
        <w:rFonts w:hint="default"/>
      </w:rPr>
    </w:lvl>
    <w:lvl w:ilvl="7" w:tentative="0">
      <w:start w:val="1"/>
      <w:numFmt w:val="bullet"/>
      <w:lvlText w:val="•"/>
      <w:lvlJc w:val="left"/>
      <w:pPr>
        <w:ind w:left="7466" w:hanging="692"/>
      </w:pPr>
      <w:rPr>
        <w:rFonts w:hint="default"/>
      </w:rPr>
    </w:lvl>
    <w:lvl w:ilvl="8" w:tentative="0">
      <w:start w:val="1"/>
      <w:numFmt w:val="bullet"/>
      <w:lvlText w:val="•"/>
      <w:lvlJc w:val="left"/>
      <w:pPr>
        <w:ind w:left="8324" w:hanging="692"/>
      </w:pPr>
      <w:rPr>
        <w:rFonts w:hint="default"/>
      </w:rPr>
    </w:lvl>
  </w:abstractNum>
  <w:abstractNum w:abstractNumId="1">
    <w:nsid w:val="0A6E414C"/>
    <w:multiLevelType w:val="multilevel"/>
    <w:tmpl w:val="0A6E414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6BC51E1"/>
    <w:multiLevelType w:val="multilevel"/>
    <w:tmpl w:val="16BC51E1"/>
    <w:lvl w:ilvl="0" w:tentative="0">
      <w:start w:val="18"/>
      <w:numFmt w:val="upperLetter"/>
      <w:lvlText w:val="%1."/>
      <w:lvlJc w:val="left"/>
      <w:pPr>
        <w:ind w:left="1338" w:hanging="687"/>
      </w:pPr>
      <w:rPr>
        <w:rFonts w:hint="default" w:ascii="Courier New" w:hAnsi="Courier New" w:eastAsia="Courier New"/>
        <w:b/>
        <w:bCs/>
        <w:w w:val="87"/>
        <w:sz w:val="25"/>
        <w:szCs w:val="25"/>
      </w:rPr>
    </w:lvl>
    <w:lvl w:ilvl="1" w:tentative="0">
      <w:start w:val="1"/>
      <w:numFmt w:val="decimal"/>
      <w:lvlText w:val="%2."/>
      <w:lvlJc w:val="left"/>
      <w:pPr>
        <w:ind w:left="1343" w:hanging="673"/>
      </w:pPr>
      <w:rPr>
        <w:rFonts w:hint="default" w:ascii="Arial" w:hAnsi="Arial" w:eastAsia="Courier New" w:cs="Arial"/>
        <w:w w:val="100"/>
        <w:sz w:val="21"/>
        <w:szCs w:val="21"/>
      </w:rPr>
    </w:lvl>
    <w:lvl w:ilvl="2" w:tentative="0">
      <w:start w:val="1"/>
      <w:numFmt w:val="bullet"/>
      <w:lvlText w:val="•"/>
      <w:lvlJc w:val="left"/>
      <w:pPr>
        <w:ind w:left="1480" w:hanging="673"/>
      </w:pPr>
      <w:rPr>
        <w:rFonts w:hint="default"/>
      </w:rPr>
    </w:lvl>
    <w:lvl w:ilvl="3" w:tentative="0">
      <w:start w:val="1"/>
      <w:numFmt w:val="bullet"/>
      <w:lvlText w:val="•"/>
      <w:lvlJc w:val="left"/>
      <w:pPr>
        <w:ind w:left="2510" w:hanging="673"/>
      </w:pPr>
      <w:rPr>
        <w:rFonts w:hint="default"/>
      </w:rPr>
    </w:lvl>
    <w:lvl w:ilvl="4" w:tentative="0">
      <w:start w:val="1"/>
      <w:numFmt w:val="bullet"/>
      <w:lvlText w:val="•"/>
      <w:lvlJc w:val="left"/>
      <w:pPr>
        <w:ind w:left="3540" w:hanging="673"/>
      </w:pPr>
      <w:rPr>
        <w:rFonts w:hint="default"/>
      </w:rPr>
    </w:lvl>
    <w:lvl w:ilvl="5" w:tentative="0">
      <w:start w:val="1"/>
      <w:numFmt w:val="bullet"/>
      <w:lvlText w:val="•"/>
      <w:lvlJc w:val="left"/>
      <w:pPr>
        <w:ind w:left="4570" w:hanging="673"/>
      </w:pPr>
      <w:rPr>
        <w:rFonts w:hint="default"/>
      </w:rPr>
    </w:lvl>
    <w:lvl w:ilvl="6" w:tentative="0">
      <w:start w:val="1"/>
      <w:numFmt w:val="bullet"/>
      <w:lvlText w:val="•"/>
      <w:lvlJc w:val="left"/>
      <w:pPr>
        <w:ind w:left="5600" w:hanging="673"/>
      </w:pPr>
      <w:rPr>
        <w:rFonts w:hint="default"/>
      </w:rPr>
    </w:lvl>
    <w:lvl w:ilvl="7" w:tentative="0">
      <w:start w:val="1"/>
      <w:numFmt w:val="bullet"/>
      <w:lvlText w:val="•"/>
      <w:lvlJc w:val="left"/>
      <w:pPr>
        <w:ind w:left="6630" w:hanging="673"/>
      </w:pPr>
      <w:rPr>
        <w:rFonts w:hint="default"/>
      </w:rPr>
    </w:lvl>
    <w:lvl w:ilvl="8" w:tentative="0">
      <w:start w:val="1"/>
      <w:numFmt w:val="bullet"/>
      <w:lvlText w:val="•"/>
      <w:lvlJc w:val="left"/>
      <w:pPr>
        <w:ind w:left="7660" w:hanging="673"/>
      </w:pPr>
      <w:rPr>
        <w:rFonts w:hint="default"/>
      </w:rPr>
    </w:lvl>
  </w:abstractNum>
  <w:abstractNum w:abstractNumId="3">
    <w:nsid w:val="340F5817"/>
    <w:multiLevelType w:val="multilevel"/>
    <w:tmpl w:val="340F5817"/>
    <w:lvl w:ilvl="0" w:tentative="0">
      <w:start w:val="1"/>
      <w:numFmt w:val="decimal"/>
      <w:lvlText w:val="%1."/>
      <w:lvlJc w:val="left"/>
      <w:pPr>
        <w:ind w:left="373" w:hanging="360"/>
      </w:pPr>
      <w:rPr>
        <w:rFonts w:hint="default"/>
      </w:rPr>
    </w:lvl>
    <w:lvl w:ilvl="1" w:tentative="0">
      <w:start w:val="1"/>
      <w:numFmt w:val="lowerLetter"/>
      <w:lvlText w:val="%2)"/>
      <w:lvlJc w:val="left"/>
      <w:pPr>
        <w:ind w:left="853" w:hanging="420"/>
      </w:pPr>
    </w:lvl>
    <w:lvl w:ilvl="2" w:tentative="0">
      <w:start w:val="1"/>
      <w:numFmt w:val="lowerRoman"/>
      <w:lvlText w:val="%3."/>
      <w:lvlJc w:val="right"/>
      <w:pPr>
        <w:ind w:left="1273" w:hanging="420"/>
      </w:pPr>
    </w:lvl>
    <w:lvl w:ilvl="3" w:tentative="0">
      <w:start w:val="1"/>
      <w:numFmt w:val="decimal"/>
      <w:lvlText w:val="%4."/>
      <w:lvlJc w:val="left"/>
      <w:pPr>
        <w:ind w:left="1693" w:hanging="420"/>
      </w:pPr>
    </w:lvl>
    <w:lvl w:ilvl="4" w:tentative="0">
      <w:start w:val="1"/>
      <w:numFmt w:val="lowerLetter"/>
      <w:lvlText w:val="%5)"/>
      <w:lvlJc w:val="left"/>
      <w:pPr>
        <w:ind w:left="2113" w:hanging="420"/>
      </w:pPr>
    </w:lvl>
    <w:lvl w:ilvl="5" w:tentative="0">
      <w:start w:val="1"/>
      <w:numFmt w:val="lowerRoman"/>
      <w:lvlText w:val="%6."/>
      <w:lvlJc w:val="right"/>
      <w:pPr>
        <w:ind w:left="2533" w:hanging="420"/>
      </w:pPr>
    </w:lvl>
    <w:lvl w:ilvl="6" w:tentative="0">
      <w:start w:val="1"/>
      <w:numFmt w:val="decimal"/>
      <w:lvlText w:val="%7."/>
      <w:lvlJc w:val="left"/>
      <w:pPr>
        <w:ind w:left="2953" w:hanging="420"/>
      </w:pPr>
    </w:lvl>
    <w:lvl w:ilvl="7" w:tentative="0">
      <w:start w:val="1"/>
      <w:numFmt w:val="lowerLetter"/>
      <w:lvlText w:val="%8)"/>
      <w:lvlJc w:val="left"/>
      <w:pPr>
        <w:ind w:left="3373" w:hanging="420"/>
      </w:pPr>
    </w:lvl>
    <w:lvl w:ilvl="8" w:tentative="0">
      <w:start w:val="1"/>
      <w:numFmt w:val="lowerRoman"/>
      <w:lvlText w:val="%9."/>
      <w:lvlJc w:val="right"/>
      <w:pPr>
        <w:ind w:left="3793" w:hanging="420"/>
      </w:pPr>
    </w:lvl>
  </w:abstractNum>
  <w:abstractNum w:abstractNumId="4">
    <w:nsid w:val="40BD4AED"/>
    <w:multiLevelType w:val="multilevel"/>
    <w:tmpl w:val="40BD4AED"/>
    <w:lvl w:ilvl="0" w:tentative="0">
      <w:start w:val="1"/>
      <w:numFmt w:val="decimal"/>
      <w:lvlText w:val="%1."/>
      <w:lvlJc w:val="left"/>
      <w:pPr>
        <w:ind w:left="698" w:hanging="360"/>
      </w:pPr>
      <w:rPr>
        <w:rFonts w:hint="default"/>
      </w:rPr>
    </w:lvl>
    <w:lvl w:ilvl="1" w:tentative="0">
      <w:start w:val="1"/>
      <w:numFmt w:val="lowerLetter"/>
      <w:lvlText w:val="%2)"/>
      <w:lvlJc w:val="left"/>
      <w:pPr>
        <w:ind w:left="1178" w:hanging="420"/>
      </w:pPr>
    </w:lvl>
    <w:lvl w:ilvl="2" w:tentative="0">
      <w:start w:val="1"/>
      <w:numFmt w:val="lowerRoman"/>
      <w:lvlText w:val="%3."/>
      <w:lvlJc w:val="right"/>
      <w:pPr>
        <w:ind w:left="1598" w:hanging="420"/>
      </w:pPr>
    </w:lvl>
    <w:lvl w:ilvl="3" w:tentative="0">
      <w:start w:val="1"/>
      <w:numFmt w:val="decimal"/>
      <w:lvlText w:val="%4."/>
      <w:lvlJc w:val="left"/>
      <w:pPr>
        <w:ind w:left="2018" w:hanging="420"/>
      </w:pPr>
    </w:lvl>
    <w:lvl w:ilvl="4" w:tentative="0">
      <w:start w:val="1"/>
      <w:numFmt w:val="lowerLetter"/>
      <w:lvlText w:val="%5)"/>
      <w:lvlJc w:val="left"/>
      <w:pPr>
        <w:ind w:left="2438" w:hanging="420"/>
      </w:pPr>
    </w:lvl>
    <w:lvl w:ilvl="5" w:tentative="0">
      <w:start w:val="1"/>
      <w:numFmt w:val="lowerRoman"/>
      <w:lvlText w:val="%6."/>
      <w:lvlJc w:val="right"/>
      <w:pPr>
        <w:ind w:left="2858" w:hanging="420"/>
      </w:pPr>
    </w:lvl>
    <w:lvl w:ilvl="6" w:tentative="0">
      <w:start w:val="1"/>
      <w:numFmt w:val="decimal"/>
      <w:lvlText w:val="%7."/>
      <w:lvlJc w:val="left"/>
      <w:pPr>
        <w:ind w:left="3278" w:hanging="420"/>
      </w:pPr>
    </w:lvl>
    <w:lvl w:ilvl="7" w:tentative="0">
      <w:start w:val="1"/>
      <w:numFmt w:val="lowerLetter"/>
      <w:lvlText w:val="%8)"/>
      <w:lvlJc w:val="left"/>
      <w:pPr>
        <w:ind w:left="3698" w:hanging="420"/>
      </w:pPr>
    </w:lvl>
    <w:lvl w:ilvl="8" w:tentative="0">
      <w:start w:val="1"/>
      <w:numFmt w:val="lowerRoman"/>
      <w:lvlText w:val="%9."/>
      <w:lvlJc w:val="right"/>
      <w:pPr>
        <w:ind w:left="4118" w:hanging="420"/>
      </w:pPr>
    </w:lvl>
  </w:abstractNum>
  <w:abstractNum w:abstractNumId="5">
    <w:nsid w:val="42212DBC"/>
    <w:multiLevelType w:val="multilevel"/>
    <w:tmpl w:val="42212DBC"/>
    <w:lvl w:ilvl="0" w:tentative="0">
      <w:start w:val="1"/>
      <w:numFmt w:val="decimal"/>
      <w:lvlText w:val="%1."/>
      <w:lvlJc w:val="left"/>
      <w:pPr>
        <w:ind w:left="1476" w:hanging="678"/>
      </w:pPr>
      <w:rPr>
        <w:rFonts w:hint="default" w:ascii="Arial" w:hAnsi="Arial" w:eastAsia="Courier New" w:cs="Arial"/>
        <w:b w:val="0"/>
        <w:bCs/>
        <w:w w:val="100"/>
      </w:rPr>
    </w:lvl>
    <w:lvl w:ilvl="1" w:tentative="0">
      <w:start w:val="1"/>
      <w:numFmt w:val="bullet"/>
      <w:lvlText w:val="•"/>
      <w:lvlJc w:val="left"/>
      <w:pPr>
        <w:ind w:left="1620" w:hanging="678"/>
      </w:pPr>
      <w:rPr>
        <w:rFonts w:hint="default"/>
      </w:rPr>
    </w:lvl>
    <w:lvl w:ilvl="2" w:tentative="0">
      <w:start w:val="1"/>
      <w:numFmt w:val="bullet"/>
      <w:lvlText w:val="•"/>
      <w:lvlJc w:val="left"/>
      <w:pPr>
        <w:ind w:left="2080" w:hanging="678"/>
      </w:pPr>
      <w:rPr>
        <w:rFonts w:hint="default"/>
      </w:rPr>
    </w:lvl>
    <w:lvl w:ilvl="3" w:tentative="0">
      <w:start w:val="1"/>
      <w:numFmt w:val="bullet"/>
      <w:lvlText w:val="•"/>
      <w:lvlJc w:val="left"/>
      <w:pPr>
        <w:ind w:left="3050" w:hanging="678"/>
      </w:pPr>
      <w:rPr>
        <w:rFonts w:hint="default"/>
      </w:rPr>
    </w:lvl>
    <w:lvl w:ilvl="4" w:tentative="0">
      <w:start w:val="1"/>
      <w:numFmt w:val="bullet"/>
      <w:lvlText w:val="•"/>
      <w:lvlJc w:val="left"/>
      <w:pPr>
        <w:ind w:left="4020" w:hanging="678"/>
      </w:pPr>
      <w:rPr>
        <w:rFonts w:hint="default"/>
      </w:rPr>
    </w:lvl>
    <w:lvl w:ilvl="5" w:tentative="0">
      <w:start w:val="1"/>
      <w:numFmt w:val="bullet"/>
      <w:lvlText w:val="•"/>
      <w:lvlJc w:val="left"/>
      <w:pPr>
        <w:ind w:left="4990" w:hanging="678"/>
      </w:pPr>
      <w:rPr>
        <w:rFonts w:hint="default"/>
      </w:rPr>
    </w:lvl>
    <w:lvl w:ilvl="6" w:tentative="0">
      <w:start w:val="1"/>
      <w:numFmt w:val="bullet"/>
      <w:lvlText w:val="•"/>
      <w:lvlJc w:val="left"/>
      <w:pPr>
        <w:ind w:left="5960" w:hanging="678"/>
      </w:pPr>
      <w:rPr>
        <w:rFonts w:hint="default"/>
      </w:rPr>
    </w:lvl>
    <w:lvl w:ilvl="7" w:tentative="0">
      <w:start w:val="1"/>
      <w:numFmt w:val="bullet"/>
      <w:lvlText w:val="•"/>
      <w:lvlJc w:val="left"/>
      <w:pPr>
        <w:ind w:left="6930" w:hanging="678"/>
      </w:pPr>
      <w:rPr>
        <w:rFonts w:hint="default"/>
      </w:rPr>
    </w:lvl>
    <w:lvl w:ilvl="8" w:tentative="0">
      <w:start w:val="1"/>
      <w:numFmt w:val="bullet"/>
      <w:lvlText w:val="•"/>
      <w:lvlJc w:val="left"/>
      <w:pPr>
        <w:ind w:left="7900" w:hanging="678"/>
      </w:pPr>
      <w:rPr>
        <w:rFonts w:hint="default"/>
      </w:rPr>
    </w:lvl>
  </w:abstractNum>
  <w:abstractNum w:abstractNumId="6">
    <w:nsid w:val="48CE5337"/>
    <w:multiLevelType w:val="multilevel"/>
    <w:tmpl w:val="48CE5337"/>
    <w:lvl w:ilvl="0" w:tentative="0">
      <w:start w:val="4"/>
      <w:numFmt w:val="decimal"/>
      <w:lvlText w:val="%1."/>
      <w:lvlJc w:val="left"/>
      <w:pPr>
        <w:ind w:left="1403" w:hanging="682"/>
      </w:pPr>
      <w:rPr>
        <w:rFonts w:hint="default" w:ascii="Arial" w:hAnsi="Arial" w:eastAsia="Arial"/>
        <w:w w:val="123"/>
        <w:sz w:val="23"/>
        <w:szCs w:val="23"/>
      </w:rPr>
    </w:lvl>
    <w:lvl w:ilvl="1" w:tentative="0">
      <w:start w:val="1"/>
      <w:numFmt w:val="lowerLetter"/>
      <w:lvlText w:val="%2."/>
      <w:lvlJc w:val="left"/>
      <w:pPr>
        <w:ind w:left="2762" w:hanging="696"/>
      </w:pPr>
      <w:rPr>
        <w:rFonts w:hint="default" w:ascii="Arial" w:hAnsi="Arial" w:eastAsia="Courier New" w:cs="Arial"/>
        <w:w w:val="100"/>
        <w:position w:val="0"/>
      </w:rPr>
    </w:lvl>
    <w:lvl w:ilvl="2" w:tentative="0">
      <w:start w:val="1"/>
      <w:numFmt w:val="bullet"/>
      <w:lvlText w:val="•"/>
      <w:lvlJc w:val="left"/>
      <w:pPr>
        <w:ind w:left="3544" w:hanging="696"/>
      </w:pPr>
      <w:rPr>
        <w:rFonts w:hint="default"/>
      </w:rPr>
    </w:lvl>
    <w:lvl w:ilvl="3" w:tentative="0">
      <w:start w:val="1"/>
      <w:numFmt w:val="bullet"/>
      <w:lvlText w:val="•"/>
      <w:lvlJc w:val="left"/>
      <w:pPr>
        <w:ind w:left="4328" w:hanging="696"/>
      </w:pPr>
      <w:rPr>
        <w:rFonts w:hint="default"/>
      </w:rPr>
    </w:lvl>
    <w:lvl w:ilvl="4" w:tentative="0">
      <w:start w:val="1"/>
      <w:numFmt w:val="bullet"/>
      <w:lvlText w:val="•"/>
      <w:lvlJc w:val="left"/>
      <w:pPr>
        <w:ind w:left="5113" w:hanging="696"/>
      </w:pPr>
      <w:rPr>
        <w:rFonts w:hint="default"/>
      </w:rPr>
    </w:lvl>
    <w:lvl w:ilvl="5" w:tentative="0">
      <w:start w:val="1"/>
      <w:numFmt w:val="bullet"/>
      <w:lvlText w:val="•"/>
      <w:lvlJc w:val="left"/>
      <w:pPr>
        <w:ind w:left="5897" w:hanging="696"/>
      </w:pPr>
      <w:rPr>
        <w:rFonts w:hint="default"/>
      </w:rPr>
    </w:lvl>
    <w:lvl w:ilvl="6" w:tentative="0">
      <w:start w:val="1"/>
      <w:numFmt w:val="bullet"/>
      <w:lvlText w:val="•"/>
      <w:lvlJc w:val="left"/>
      <w:pPr>
        <w:ind w:left="6682" w:hanging="696"/>
      </w:pPr>
      <w:rPr>
        <w:rFonts w:hint="default"/>
      </w:rPr>
    </w:lvl>
    <w:lvl w:ilvl="7" w:tentative="0">
      <w:start w:val="1"/>
      <w:numFmt w:val="bullet"/>
      <w:lvlText w:val="•"/>
      <w:lvlJc w:val="left"/>
      <w:pPr>
        <w:ind w:left="7466" w:hanging="696"/>
      </w:pPr>
      <w:rPr>
        <w:rFonts w:hint="default"/>
      </w:rPr>
    </w:lvl>
    <w:lvl w:ilvl="8" w:tentative="0">
      <w:start w:val="1"/>
      <w:numFmt w:val="bullet"/>
      <w:lvlText w:val="•"/>
      <w:lvlJc w:val="left"/>
      <w:pPr>
        <w:ind w:left="8251" w:hanging="696"/>
      </w:pPr>
      <w:rPr>
        <w:rFonts w:hint="default"/>
      </w:rPr>
    </w:lvl>
  </w:abstractNum>
  <w:abstractNum w:abstractNumId="7">
    <w:nsid w:val="5CD05CB0"/>
    <w:multiLevelType w:val="multilevel"/>
    <w:tmpl w:val="5CD05CB0"/>
    <w:lvl w:ilvl="0" w:tentative="0">
      <w:start w:val="1"/>
      <w:numFmt w:val="lowerLetter"/>
      <w:lvlText w:val="%1."/>
      <w:lvlJc w:val="left"/>
      <w:pPr>
        <w:ind w:left="1762" w:hanging="696"/>
      </w:pPr>
      <w:rPr>
        <w:rFonts w:hint="default" w:ascii="Arial" w:hAnsi="Arial" w:eastAsia="Courier New" w:cs="Arial"/>
        <w:b w:val="0"/>
        <w:bCs/>
        <w:w w:val="100"/>
      </w:rPr>
    </w:lvl>
    <w:lvl w:ilvl="1" w:tentative="0">
      <w:start w:val="1"/>
      <w:numFmt w:val="bullet"/>
      <w:lvlText w:val="•"/>
      <w:lvlJc w:val="left"/>
      <w:pPr>
        <w:ind w:left="2524" w:hanging="696"/>
      </w:pPr>
      <w:rPr>
        <w:rFonts w:hint="default"/>
      </w:rPr>
    </w:lvl>
    <w:lvl w:ilvl="2" w:tentative="0">
      <w:start w:val="1"/>
      <w:numFmt w:val="bullet"/>
      <w:lvlText w:val="•"/>
      <w:lvlJc w:val="left"/>
      <w:pPr>
        <w:ind w:left="3288" w:hanging="696"/>
      </w:pPr>
      <w:rPr>
        <w:rFonts w:hint="default"/>
      </w:rPr>
    </w:lvl>
    <w:lvl w:ilvl="3" w:tentative="0">
      <w:start w:val="1"/>
      <w:numFmt w:val="bullet"/>
      <w:lvlText w:val="•"/>
      <w:lvlJc w:val="left"/>
      <w:pPr>
        <w:ind w:left="4052" w:hanging="696"/>
      </w:pPr>
      <w:rPr>
        <w:rFonts w:hint="default"/>
      </w:rPr>
    </w:lvl>
    <w:lvl w:ilvl="4" w:tentative="0">
      <w:start w:val="1"/>
      <w:numFmt w:val="bullet"/>
      <w:lvlText w:val="•"/>
      <w:lvlJc w:val="left"/>
      <w:pPr>
        <w:ind w:left="4816" w:hanging="696"/>
      </w:pPr>
      <w:rPr>
        <w:rFonts w:hint="default"/>
      </w:rPr>
    </w:lvl>
    <w:lvl w:ilvl="5" w:tentative="0">
      <w:start w:val="1"/>
      <w:numFmt w:val="bullet"/>
      <w:lvlText w:val="•"/>
      <w:lvlJc w:val="left"/>
      <w:pPr>
        <w:ind w:left="5580" w:hanging="696"/>
      </w:pPr>
      <w:rPr>
        <w:rFonts w:hint="default"/>
      </w:rPr>
    </w:lvl>
    <w:lvl w:ilvl="6" w:tentative="0">
      <w:start w:val="1"/>
      <w:numFmt w:val="bullet"/>
      <w:lvlText w:val="•"/>
      <w:lvlJc w:val="left"/>
      <w:pPr>
        <w:ind w:left="6344" w:hanging="696"/>
      </w:pPr>
      <w:rPr>
        <w:rFonts w:hint="default"/>
      </w:rPr>
    </w:lvl>
    <w:lvl w:ilvl="7" w:tentative="0">
      <w:start w:val="1"/>
      <w:numFmt w:val="bullet"/>
      <w:lvlText w:val="•"/>
      <w:lvlJc w:val="left"/>
      <w:pPr>
        <w:ind w:left="7108" w:hanging="696"/>
      </w:pPr>
      <w:rPr>
        <w:rFonts w:hint="default"/>
      </w:rPr>
    </w:lvl>
    <w:lvl w:ilvl="8" w:tentative="0">
      <w:start w:val="1"/>
      <w:numFmt w:val="bullet"/>
      <w:lvlText w:val="•"/>
      <w:lvlJc w:val="left"/>
      <w:pPr>
        <w:ind w:left="7872" w:hanging="696"/>
      </w:pPr>
      <w:rPr>
        <w:rFonts w:hint="default"/>
      </w:rPr>
    </w:lvl>
  </w:abstractNum>
  <w:abstractNum w:abstractNumId="8">
    <w:nsid w:val="5F8C4FB2"/>
    <w:multiLevelType w:val="multilevel"/>
    <w:tmpl w:val="5F8C4F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FAF7A4E"/>
    <w:multiLevelType w:val="multilevel"/>
    <w:tmpl w:val="5FAF7A4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B152ECA"/>
    <w:multiLevelType w:val="multilevel"/>
    <w:tmpl w:val="7B152ECA"/>
    <w:lvl w:ilvl="0" w:tentative="0">
      <w:start w:val="1"/>
      <w:numFmt w:val="upperLetter"/>
      <w:lvlText w:val="%1."/>
      <w:lvlJc w:val="left"/>
      <w:pPr>
        <w:ind w:left="775" w:hanging="360"/>
      </w:pPr>
      <w:rPr>
        <w:rFonts w:hint="default"/>
      </w:rPr>
    </w:lvl>
    <w:lvl w:ilvl="1" w:tentative="0">
      <w:start w:val="1"/>
      <w:numFmt w:val="lowerLetter"/>
      <w:lvlText w:val="%2)"/>
      <w:lvlJc w:val="left"/>
      <w:pPr>
        <w:ind w:left="1255" w:hanging="420"/>
      </w:pPr>
    </w:lvl>
    <w:lvl w:ilvl="2" w:tentative="0">
      <w:start w:val="1"/>
      <w:numFmt w:val="lowerRoman"/>
      <w:lvlText w:val="%3."/>
      <w:lvlJc w:val="right"/>
      <w:pPr>
        <w:ind w:left="1675" w:hanging="420"/>
      </w:pPr>
    </w:lvl>
    <w:lvl w:ilvl="3" w:tentative="0">
      <w:start w:val="1"/>
      <w:numFmt w:val="decimal"/>
      <w:lvlText w:val="%4."/>
      <w:lvlJc w:val="left"/>
      <w:pPr>
        <w:ind w:left="2095" w:hanging="420"/>
      </w:pPr>
    </w:lvl>
    <w:lvl w:ilvl="4" w:tentative="0">
      <w:start w:val="1"/>
      <w:numFmt w:val="lowerLetter"/>
      <w:lvlText w:val="%5)"/>
      <w:lvlJc w:val="left"/>
      <w:pPr>
        <w:ind w:left="2515" w:hanging="420"/>
      </w:pPr>
    </w:lvl>
    <w:lvl w:ilvl="5" w:tentative="0">
      <w:start w:val="1"/>
      <w:numFmt w:val="lowerRoman"/>
      <w:lvlText w:val="%6."/>
      <w:lvlJc w:val="right"/>
      <w:pPr>
        <w:ind w:left="2935" w:hanging="420"/>
      </w:pPr>
    </w:lvl>
    <w:lvl w:ilvl="6" w:tentative="0">
      <w:start w:val="1"/>
      <w:numFmt w:val="decimal"/>
      <w:lvlText w:val="%7."/>
      <w:lvlJc w:val="left"/>
      <w:pPr>
        <w:ind w:left="3355" w:hanging="420"/>
      </w:pPr>
    </w:lvl>
    <w:lvl w:ilvl="7" w:tentative="0">
      <w:start w:val="1"/>
      <w:numFmt w:val="lowerLetter"/>
      <w:lvlText w:val="%8)"/>
      <w:lvlJc w:val="left"/>
      <w:pPr>
        <w:ind w:left="3775" w:hanging="420"/>
      </w:pPr>
    </w:lvl>
    <w:lvl w:ilvl="8" w:tentative="0">
      <w:start w:val="1"/>
      <w:numFmt w:val="lowerRoman"/>
      <w:lvlText w:val="%9."/>
      <w:lvlJc w:val="right"/>
      <w:pPr>
        <w:ind w:left="4195" w:hanging="420"/>
      </w:pPr>
    </w:lvl>
  </w:abstractNum>
  <w:num w:numId="1">
    <w:abstractNumId w:val="10"/>
  </w:num>
  <w:num w:numId="2">
    <w:abstractNumId w:val="0"/>
  </w:num>
  <w:num w:numId="3">
    <w:abstractNumId w:val="5"/>
  </w:num>
  <w:num w:numId="4">
    <w:abstractNumId w:val="9"/>
  </w:num>
  <w:num w:numId="5">
    <w:abstractNumId w:val="6"/>
  </w:num>
  <w:num w:numId="6">
    <w:abstractNumId w:val="2"/>
  </w:num>
  <w:num w:numId="7">
    <w:abstractNumId w:val="4"/>
  </w:num>
  <w:num w:numId="8">
    <w:abstractNumId w:val="7"/>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299"/>
    <w:rsid w:val="00026251"/>
    <w:rsid w:val="000344B4"/>
    <w:rsid w:val="00034E9D"/>
    <w:rsid w:val="00060CBA"/>
    <w:rsid w:val="0006516C"/>
    <w:rsid w:val="00065A63"/>
    <w:rsid w:val="00081560"/>
    <w:rsid w:val="00087645"/>
    <w:rsid w:val="00092E6F"/>
    <w:rsid w:val="000E4644"/>
    <w:rsid w:val="001056A5"/>
    <w:rsid w:val="00116BA2"/>
    <w:rsid w:val="00157AB3"/>
    <w:rsid w:val="00170ECC"/>
    <w:rsid w:val="00194834"/>
    <w:rsid w:val="001A16A9"/>
    <w:rsid w:val="001A381E"/>
    <w:rsid w:val="001D4DD0"/>
    <w:rsid w:val="001E175B"/>
    <w:rsid w:val="001F0DB7"/>
    <w:rsid w:val="00200637"/>
    <w:rsid w:val="00201172"/>
    <w:rsid w:val="002042FF"/>
    <w:rsid w:val="002256B5"/>
    <w:rsid w:val="0024271B"/>
    <w:rsid w:val="00244E3B"/>
    <w:rsid w:val="00264C43"/>
    <w:rsid w:val="002718E4"/>
    <w:rsid w:val="00277552"/>
    <w:rsid w:val="002B166A"/>
    <w:rsid w:val="002B313F"/>
    <w:rsid w:val="002D56EE"/>
    <w:rsid w:val="00301F0A"/>
    <w:rsid w:val="00303AFC"/>
    <w:rsid w:val="00304B34"/>
    <w:rsid w:val="00330E4E"/>
    <w:rsid w:val="00336595"/>
    <w:rsid w:val="003556B2"/>
    <w:rsid w:val="003918E6"/>
    <w:rsid w:val="003A6ADD"/>
    <w:rsid w:val="003B39DA"/>
    <w:rsid w:val="003C136A"/>
    <w:rsid w:val="00400436"/>
    <w:rsid w:val="004149A8"/>
    <w:rsid w:val="004151A0"/>
    <w:rsid w:val="00443757"/>
    <w:rsid w:val="00451829"/>
    <w:rsid w:val="00457BF1"/>
    <w:rsid w:val="00460A4D"/>
    <w:rsid w:val="00470674"/>
    <w:rsid w:val="00477A11"/>
    <w:rsid w:val="00482ECA"/>
    <w:rsid w:val="004909F2"/>
    <w:rsid w:val="004A007F"/>
    <w:rsid w:val="004A0CB7"/>
    <w:rsid w:val="004A327E"/>
    <w:rsid w:val="004A3EBD"/>
    <w:rsid w:val="005118E1"/>
    <w:rsid w:val="005157EF"/>
    <w:rsid w:val="00526138"/>
    <w:rsid w:val="005401A8"/>
    <w:rsid w:val="005419AE"/>
    <w:rsid w:val="005436BC"/>
    <w:rsid w:val="0056047A"/>
    <w:rsid w:val="00586E17"/>
    <w:rsid w:val="00593A89"/>
    <w:rsid w:val="005B65F9"/>
    <w:rsid w:val="00607615"/>
    <w:rsid w:val="00617EAA"/>
    <w:rsid w:val="00630CA2"/>
    <w:rsid w:val="006515E4"/>
    <w:rsid w:val="006678DB"/>
    <w:rsid w:val="006C7D46"/>
    <w:rsid w:val="006D4444"/>
    <w:rsid w:val="006E5B51"/>
    <w:rsid w:val="006F1417"/>
    <w:rsid w:val="007065A2"/>
    <w:rsid w:val="00717594"/>
    <w:rsid w:val="00727F97"/>
    <w:rsid w:val="00784707"/>
    <w:rsid w:val="007974EB"/>
    <w:rsid w:val="007B5750"/>
    <w:rsid w:val="007C26A5"/>
    <w:rsid w:val="007E04F0"/>
    <w:rsid w:val="007F35AC"/>
    <w:rsid w:val="00800CCC"/>
    <w:rsid w:val="0081645B"/>
    <w:rsid w:val="00853566"/>
    <w:rsid w:val="008B1E31"/>
    <w:rsid w:val="008C20E2"/>
    <w:rsid w:val="008D5D2C"/>
    <w:rsid w:val="008F4FC5"/>
    <w:rsid w:val="00935B8D"/>
    <w:rsid w:val="00936394"/>
    <w:rsid w:val="00957E3A"/>
    <w:rsid w:val="00973102"/>
    <w:rsid w:val="00973B5B"/>
    <w:rsid w:val="00977012"/>
    <w:rsid w:val="009923CB"/>
    <w:rsid w:val="00993CC0"/>
    <w:rsid w:val="009B6335"/>
    <w:rsid w:val="009B7B61"/>
    <w:rsid w:val="009D441D"/>
    <w:rsid w:val="009F377C"/>
    <w:rsid w:val="009F4800"/>
    <w:rsid w:val="00A25A1E"/>
    <w:rsid w:val="00A43198"/>
    <w:rsid w:val="00A706A2"/>
    <w:rsid w:val="00A729A8"/>
    <w:rsid w:val="00A83431"/>
    <w:rsid w:val="00A83D4E"/>
    <w:rsid w:val="00A90E50"/>
    <w:rsid w:val="00A954BD"/>
    <w:rsid w:val="00A96FD3"/>
    <w:rsid w:val="00AB2AE4"/>
    <w:rsid w:val="00AE04CE"/>
    <w:rsid w:val="00AF5942"/>
    <w:rsid w:val="00B02E0D"/>
    <w:rsid w:val="00B17866"/>
    <w:rsid w:val="00B23D6B"/>
    <w:rsid w:val="00B23F34"/>
    <w:rsid w:val="00B43A33"/>
    <w:rsid w:val="00B45793"/>
    <w:rsid w:val="00B608B0"/>
    <w:rsid w:val="00B67990"/>
    <w:rsid w:val="00B67F46"/>
    <w:rsid w:val="00B73FCB"/>
    <w:rsid w:val="00BA218D"/>
    <w:rsid w:val="00BA4D86"/>
    <w:rsid w:val="00BA5089"/>
    <w:rsid w:val="00BB6FA1"/>
    <w:rsid w:val="00BC297C"/>
    <w:rsid w:val="00BD63E5"/>
    <w:rsid w:val="00BE191A"/>
    <w:rsid w:val="00BF673A"/>
    <w:rsid w:val="00C06299"/>
    <w:rsid w:val="00C12FA5"/>
    <w:rsid w:val="00C21000"/>
    <w:rsid w:val="00C26264"/>
    <w:rsid w:val="00C32A39"/>
    <w:rsid w:val="00C53B91"/>
    <w:rsid w:val="00C75FFF"/>
    <w:rsid w:val="00CC2111"/>
    <w:rsid w:val="00CD72FC"/>
    <w:rsid w:val="00CE5073"/>
    <w:rsid w:val="00D06523"/>
    <w:rsid w:val="00D12FDB"/>
    <w:rsid w:val="00D1723D"/>
    <w:rsid w:val="00D72447"/>
    <w:rsid w:val="00DB62E3"/>
    <w:rsid w:val="00E00B89"/>
    <w:rsid w:val="00E32BE5"/>
    <w:rsid w:val="00E820B6"/>
    <w:rsid w:val="00E90613"/>
    <w:rsid w:val="00EA064E"/>
    <w:rsid w:val="00EA0B30"/>
    <w:rsid w:val="00EA0D34"/>
    <w:rsid w:val="00EA2D62"/>
    <w:rsid w:val="00EA4582"/>
    <w:rsid w:val="00EB2921"/>
    <w:rsid w:val="00ED5388"/>
    <w:rsid w:val="00EF6A88"/>
    <w:rsid w:val="00F0094C"/>
    <w:rsid w:val="00F06056"/>
    <w:rsid w:val="00F144AC"/>
    <w:rsid w:val="00F27175"/>
    <w:rsid w:val="00F56D24"/>
    <w:rsid w:val="00F715D7"/>
    <w:rsid w:val="00FB5103"/>
    <w:rsid w:val="00FD7793"/>
    <w:rsid w:val="00FF2042"/>
    <w:rsid w:val="41BD5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ind w:left="1582"/>
      <w:outlineLvl w:val="0"/>
    </w:pPr>
    <w:rPr>
      <w:rFonts w:ascii="Courier New" w:hAnsi="Courier New" w:eastAsia="Courier New"/>
      <w:b/>
      <w:bCs/>
      <w:sz w:val="27"/>
      <w:szCs w:val="27"/>
    </w:rPr>
  </w:style>
  <w:style w:type="paragraph" w:styleId="3">
    <w:name w:val="heading 2"/>
    <w:basedOn w:val="1"/>
    <w:qFormat/>
    <w:uiPriority w:val="1"/>
    <w:pPr>
      <w:ind w:left="215"/>
      <w:outlineLvl w:val="1"/>
    </w:pPr>
    <w:rPr>
      <w:rFonts w:ascii="Courier New" w:hAnsi="Courier New" w:eastAsia="Courier New"/>
      <w:b/>
      <w:bCs/>
      <w:sz w:val="26"/>
      <w:szCs w:val="26"/>
    </w:rPr>
  </w:style>
  <w:style w:type="paragraph" w:styleId="4">
    <w:name w:val="heading 3"/>
    <w:basedOn w:val="1"/>
    <w:qFormat/>
    <w:uiPriority w:val="1"/>
    <w:pPr>
      <w:ind w:left="20"/>
      <w:outlineLvl w:val="2"/>
    </w:pPr>
    <w:rPr>
      <w:rFonts w:ascii="Consolas" w:hAnsi="Consolas" w:eastAsia="Consolas"/>
      <w:sz w:val="26"/>
      <w:szCs w:val="26"/>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pPr>
      <w:ind w:left="2430"/>
    </w:pPr>
    <w:rPr>
      <w:rFonts w:ascii="Courier New" w:hAnsi="Courier New" w:eastAsia="Courier New"/>
      <w:b/>
      <w:bCs/>
      <w:sz w:val="25"/>
      <w:szCs w:val="25"/>
    </w:rPr>
  </w:style>
  <w:style w:type="paragraph" w:styleId="6">
    <w:name w:val="Balloon Text"/>
    <w:basedOn w:val="1"/>
    <w:link w:val="20"/>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toc 2"/>
    <w:basedOn w:val="1"/>
    <w:next w:val="1"/>
    <w:autoRedefine/>
    <w:unhideWhenUsed/>
    <w:qFormat/>
    <w:uiPriority w:val="39"/>
    <w:pPr>
      <w:ind w:left="420" w:leftChars="20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Char"/>
    <w:basedOn w:val="13"/>
    <w:link w:val="8"/>
    <w:qFormat/>
    <w:uiPriority w:val="99"/>
    <w:rPr>
      <w:sz w:val="18"/>
      <w:szCs w:val="18"/>
    </w:rPr>
  </w:style>
  <w:style w:type="character" w:customStyle="1" w:styleId="19">
    <w:name w:val="页脚 Char"/>
    <w:basedOn w:val="13"/>
    <w:link w:val="7"/>
    <w:qFormat/>
    <w:uiPriority w:val="99"/>
    <w:rPr>
      <w:sz w:val="18"/>
      <w:szCs w:val="18"/>
    </w:rPr>
  </w:style>
  <w:style w:type="character" w:customStyle="1" w:styleId="20">
    <w:name w:val="批注框文本 Char"/>
    <w:basedOn w:val="13"/>
    <w:link w:val="6"/>
    <w:semiHidden/>
    <w:qFormat/>
    <w:uiPriority w:val="99"/>
    <w:rPr>
      <w:sz w:val="18"/>
      <w:szCs w:val="18"/>
    </w:rPr>
  </w:style>
  <w:style w:type="paragraph" w:customStyle="1" w:styleId="21">
    <w:name w:val="样式1"/>
    <w:qFormat/>
    <w:uiPriority w:val="1"/>
    <w:pPr>
      <w:widowControl w:val="0"/>
      <w:tabs>
        <w:tab w:val="left" w:pos="4476"/>
      </w:tabs>
      <w:snapToGrid w:val="0"/>
      <w:spacing w:line="300" w:lineRule="auto"/>
      <w:jc w:val="both"/>
    </w:pPr>
    <w:rPr>
      <w:rFonts w:ascii="Arial" w:hAnsi="Arial" w:eastAsia="宋体" w:cs="Arial"/>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06C21A-3BD7-4BDB-AA6C-29F1A7028EE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11815</Words>
  <Characters>12491</Characters>
  <Lines>99</Lines>
  <Paragraphs>27</Paragraphs>
  <TotalTime>0</TotalTime>
  <ScaleCrop>false</ScaleCrop>
  <LinksUpToDate>false</LinksUpToDate>
  <CharactersWithSpaces>12551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2017-06-09T06:14:00Z</dcterms:created>
  <dc:creator>Author: ODE</dc:creator>
  <cp:keywords>Posted: 02-04-2000. Reuse,cdrhguidance</cp:keywords>
  <cp:lastModifiedBy>太极箫客</cp:lastModifiedBy>
  <dcterms:modified xsi:type="dcterms:W3CDTF">2025-08-14T06:47:09Z</dcterms:modified>
  <dc:subject>Issued: 04-01-1996</dc:subject>
  <dc:title>Labeling Reusable Medical Devices for Reprocessing in Health Care Facilities: FDA Reviewer Guidance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1998-10-06T00:00:00Z</vt:filetime>
  </property>
  <property fmtid="{D5CDD505-2E9C-101B-9397-08002B2CF9AE}" pid="3" name="Creator">
    <vt:lpwstr>Adobe Acrobat 6.0</vt:lpwstr>
  </property>
  <property fmtid="{D5CDD505-2E9C-101B-9397-08002B2CF9AE}" pid="4" name="LastSaved">
    <vt:filetime>2017-03-18T00:00:00Z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C7DEFFF218B747CD9C73A741C8DE04A0_12</vt:lpwstr>
  </property>
</Properties>
</file>