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EB381">
      <w:pPr>
        <w:pBdr>
          <w:bottom w:val="single" w:color="auto" w:sz="4" w:space="1"/>
        </w:pBdr>
        <w:snapToGrid w:val="0"/>
        <w:spacing w:after="156" w:afterLines="50" w:line="300" w:lineRule="auto"/>
        <w:jc w:val="center"/>
        <w:rPr>
          <w:rFonts w:ascii="Arial" w:hAnsi="Arial" w:eastAsia="宋体" w:cs="Arial"/>
          <w:b/>
          <w:sz w:val="52"/>
          <w:szCs w:val="52"/>
        </w:rPr>
      </w:pPr>
      <w:bookmarkStart w:id="73" w:name="_GoBack"/>
      <w:bookmarkEnd w:id="73"/>
      <w:r>
        <w:rPr>
          <w:rFonts w:ascii="Arial" w:hAnsi="Arial" w:eastAsia="宋体" w:cs="Arial"/>
          <w:b/>
          <w:sz w:val="52"/>
          <w:szCs w:val="52"/>
        </w:rPr>
        <w:t>在临床试验中收集</w:t>
      </w:r>
      <w:r>
        <w:rPr>
          <w:rFonts w:hint="eastAsia" w:ascii="Arial" w:hAnsi="Arial" w:eastAsia="宋体" w:cs="Arial"/>
          <w:b/>
          <w:sz w:val="52"/>
          <w:szCs w:val="52"/>
        </w:rPr>
        <w:t>民族和种族</w:t>
      </w:r>
      <w:r>
        <w:rPr>
          <w:rFonts w:ascii="Arial" w:hAnsi="Arial" w:eastAsia="宋体" w:cs="Arial"/>
          <w:b/>
          <w:sz w:val="52"/>
          <w:szCs w:val="52"/>
        </w:rPr>
        <w:t>数据</w:t>
      </w:r>
    </w:p>
    <w:p w14:paraId="19291C87">
      <w:pPr>
        <w:snapToGrid w:val="0"/>
        <w:spacing w:after="156" w:afterLines="5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及食品药品监督管理局</w:t>
      </w:r>
      <w:r>
        <w:rPr>
          <w:rFonts w:ascii="Arial" w:hAnsi="Arial" w:eastAsia="宋体" w:cs="Arial"/>
          <w:b/>
          <w:sz w:val="52"/>
          <w:szCs w:val="52"/>
        </w:rPr>
        <w:t>工作人员指南</w:t>
      </w:r>
    </w:p>
    <w:p w14:paraId="59383784">
      <w:pPr>
        <w:snapToGrid w:val="0"/>
        <w:spacing w:after="156" w:afterLines="50" w:line="300" w:lineRule="auto"/>
        <w:jc w:val="center"/>
        <w:rPr>
          <w:rFonts w:ascii="Arial" w:hAnsi="Arial" w:eastAsia="宋体" w:cs="Arial"/>
          <w:b/>
        </w:rPr>
      </w:pPr>
      <w:r>
        <w:rPr>
          <w:rFonts w:ascii="Arial" w:hAnsi="Arial" w:eastAsia="宋体" w:cs="Arial"/>
          <w:b/>
        </w:rPr>
        <w:t>文件发布于2016年10月26日</w:t>
      </w:r>
    </w:p>
    <w:p w14:paraId="5CB69FF0">
      <w:pPr>
        <w:snapToGrid w:val="0"/>
        <w:spacing w:after="156" w:afterLines="50" w:line="300" w:lineRule="auto"/>
        <w:jc w:val="left"/>
        <w:rPr>
          <w:rFonts w:ascii="Arial" w:hAnsi="Arial" w:eastAsia="宋体" w:cs="Arial"/>
        </w:rPr>
      </w:pPr>
      <w:r>
        <w:rPr>
          <w:rFonts w:ascii="Arial" w:hAnsi="Arial" w:eastAsia="宋体" w:cs="Arial"/>
        </w:rPr>
        <w:t>有关本文档的问题，请致电FDA少数</w:t>
      </w:r>
      <w:r>
        <w:rPr>
          <w:rFonts w:hint="eastAsia" w:ascii="Arial" w:hAnsi="Arial" w:eastAsia="宋体" w:cs="Arial"/>
        </w:rPr>
        <w:t>民族</w:t>
      </w:r>
      <w:r>
        <w:rPr>
          <w:rFonts w:ascii="Arial" w:hAnsi="Arial" w:eastAsia="宋体" w:cs="Arial"/>
        </w:rPr>
        <w:t>健康办公室：240-402-5084，或邮箱：</w:t>
      </w:r>
      <w:r>
        <w:rPr>
          <w:rFonts w:ascii="Arial" w:hAnsi="Arial" w:eastAsia="宋体" w:cs="Arial"/>
          <w:color w:val="0000FF"/>
          <w:u w:val="single"/>
        </w:rPr>
        <w:t>omh@fda.hhs.go</w:t>
      </w:r>
      <w:r>
        <w:rPr>
          <w:rFonts w:hint="eastAsia" w:ascii="Arial" w:hAnsi="Arial" w:eastAsia="宋体" w:cs="Arial"/>
          <w:color w:val="0000FF"/>
          <w:u w:val="single"/>
        </w:rPr>
        <w:t>v</w:t>
      </w:r>
    </w:p>
    <w:p w14:paraId="6522A3FC">
      <w:pPr>
        <w:snapToGrid w:val="0"/>
        <w:spacing w:after="156" w:afterLines="50" w:line="300" w:lineRule="auto"/>
        <w:jc w:val="left"/>
        <w:rPr>
          <w:rFonts w:ascii="Arial" w:hAnsi="Arial" w:eastAsia="宋体" w:cs="Arial"/>
          <w:b/>
        </w:rPr>
      </w:pPr>
    </w:p>
    <w:p w14:paraId="7482DA4F">
      <w:pPr>
        <w:snapToGrid w:val="0"/>
        <w:spacing w:after="156" w:afterLines="50" w:line="300" w:lineRule="auto"/>
        <w:jc w:val="left"/>
        <w:rPr>
          <w:rFonts w:ascii="Arial" w:hAnsi="Arial" w:eastAsia="宋体" w:cs="Arial"/>
          <w:b/>
        </w:rPr>
      </w:pPr>
    </w:p>
    <w:p w14:paraId="5AFE0F45">
      <w:pPr>
        <w:snapToGrid w:val="0"/>
        <w:spacing w:after="156" w:afterLines="50" w:line="300" w:lineRule="auto"/>
        <w:jc w:val="left"/>
        <w:rPr>
          <w:rFonts w:ascii="Arial" w:hAnsi="Arial" w:eastAsia="宋体" w:cs="Arial"/>
          <w:b/>
        </w:rPr>
      </w:pPr>
    </w:p>
    <w:p w14:paraId="5F9CAC98">
      <w:pPr>
        <w:snapToGrid w:val="0"/>
        <w:spacing w:after="156" w:afterLines="50" w:line="300" w:lineRule="auto"/>
        <w:jc w:val="left"/>
        <w:rPr>
          <w:rFonts w:ascii="Arial" w:hAnsi="Arial" w:eastAsia="宋体" w:cs="Arial"/>
          <w:b/>
        </w:rPr>
      </w:pPr>
    </w:p>
    <w:p w14:paraId="18963DF4">
      <w:pPr>
        <w:snapToGrid w:val="0"/>
        <w:spacing w:after="156" w:afterLines="50" w:line="300" w:lineRule="auto"/>
        <w:jc w:val="left"/>
        <w:rPr>
          <w:rFonts w:ascii="Arial" w:hAnsi="Arial" w:eastAsia="宋体" w:cs="Arial"/>
          <w:b/>
        </w:rPr>
      </w:pPr>
    </w:p>
    <w:p w14:paraId="56D38159">
      <w:pPr>
        <w:snapToGrid w:val="0"/>
        <w:spacing w:after="156" w:afterLines="50" w:line="300" w:lineRule="auto"/>
        <w:jc w:val="left"/>
        <w:rPr>
          <w:rFonts w:ascii="Arial" w:hAnsi="Arial" w:eastAsia="宋体" w:cs="Arial"/>
          <w:b/>
        </w:rPr>
      </w:pPr>
    </w:p>
    <w:p w14:paraId="0B1606A8">
      <w:pPr>
        <w:snapToGrid w:val="0"/>
        <w:spacing w:after="156" w:afterLines="50" w:line="300" w:lineRule="auto"/>
        <w:jc w:val="left"/>
        <w:rPr>
          <w:rFonts w:ascii="Arial" w:hAnsi="Arial" w:eastAsia="宋体" w:cs="Arial"/>
          <w:b/>
        </w:rPr>
      </w:pPr>
    </w:p>
    <w:p w14:paraId="60A7B843">
      <w:pPr>
        <w:snapToGrid w:val="0"/>
        <w:spacing w:after="156" w:afterLines="50" w:line="300" w:lineRule="auto"/>
        <w:jc w:val="left"/>
        <w:rPr>
          <w:rFonts w:ascii="Arial" w:hAnsi="Arial" w:eastAsia="宋体" w:cs="Arial"/>
          <w:b/>
        </w:rPr>
      </w:pPr>
    </w:p>
    <w:p w14:paraId="1D54C0C0">
      <w:pPr>
        <w:snapToGrid w:val="0"/>
        <w:spacing w:after="156" w:afterLines="50" w:line="300" w:lineRule="auto"/>
        <w:jc w:val="left"/>
        <w:rPr>
          <w:rFonts w:ascii="Arial" w:hAnsi="Arial" w:eastAsia="宋体" w:cs="Arial"/>
          <w:b/>
        </w:rPr>
      </w:pPr>
    </w:p>
    <w:p w14:paraId="57735A7E">
      <w:pPr>
        <w:snapToGrid w:val="0"/>
        <w:spacing w:after="156" w:afterLines="50" w:line="300" w:lineRule="auto"/>
        <w:jc w:val="left"/>
        <w:rPr>
          <w:rFonts w:ascii="Arial" w:hAnsi="Arial" w:eastAsia="宋体" w:cs="Arial"/>
          <w:b/>
        </w:rPr>
      </w:pPr>
    </w:p>
    <w:p w14:paraId="7F637E51">
      <w:pPr>
        <w:snapToGrid w:val="0"/>
        <w:spacing w:after="156" w:afterLines="50" w:line="300" w:lineRule="auto"/>
        <w:jc w:val="left"/>
        <w:rPr>
          <w:rFonts w:ascii="Arial" w:hAnsi="Arial" w:eastAsia="宋体" w:cs="Arial"/>
          <w:b/>
        </w:rPr>
      </w:pPr>
    </w:p>
    <w:p w14:paraId="27789285">
      <w:pPr>
        <w:snapToGrid w:val="0"/>
        <w:spacing w:after="156" w:afterLines="50" w:line="300" w:lineRule="auto"/>
        <w:jc w:val="left"/>
        <w:rPr>
          <w:rFonts w:ascii="Arial" w:hAnsi="Arial" w:eastAsia="宋体" w:cs="Arial"/>
          <w:b/>
        </w:rPr>
      </w:pPr>
    </w:p>
    <w:p w14:paraId="7CF9E6AA">
      <w:pPr>
        <w:snapToGrid w:val="0"/>
        <w:spacing w:line="300" w:lineRule="auto"/>
        <w:jc w:val="center"/>
        <w:rPr>
          <w:rFonts w:ascii="Arial" w:hAnsi="Arial" w:eastAsia="宋体" w:cs="Arial"/>
          <w:b/>
          <w:sz w:val="24"/>
          <w:szCs w:val="24"/>
        </w:rPr>
      </w:pPr>
      <w:bookmarkStart w:id="0" w:name="OLE_LINK46"/>
      <w:bookmarkStart w:id="1" w:name="OLE_LINK45"/>
      <w:bookmarkStart w:id="2" w:name="OLE_LINK6"/>
      <w:bookmarkStart w:id="3" w:name="OLE_LINK5"/>
      <w:r>
        <w:rPr>
          <w:rFonts w:ascii="Arial" w:hAnsi="Arial" w:eastAsia="宋体" w:cs="Arial"/>
          <w:b/>
          <w:sz w:val="24"/>
          <w:szCs w:val="24"/>
        </w:rPr>
        <w:t>美国</w:t>
      </w:r>
      <w:r>
        <w:rPr>
          <w:rFonts w:hint="eastAsia" w:ascii="Arial" w:hAnsi="Arial" w:eastAsia="宋体" w:cs="Arial"/>
          <w:b/>
          <w:sz w:val="24"/>
          <w:szCs w:val="24"/>
        </w:rPr>
        <w:t>卫生和</w:t>
      </w:r>
      <w:r>
        <w:rPr>
          <w:rFonts w:ascii="Arial" w:hAnsi="Arial" w:eastAsia="宋体" w:cs="Arial"/>
          <w:b/>
          <w:sz w:val="24"/>
          <w:szCs w:val="24"/>
        </w:rPr>
        <w:t>人类服务署（HHS）</w:t>
      </w:r>
    </w:p>
    <w:p w14:paraId="1A130C15">
      <w:pPr>
        <w:snapToGrid w:val="0"/>
        <w:spacing w:line="300" w:lineRule="auto"/>
        <w:jc w:val="center"/>
        <w:rPr>
          <w:rFonts w:ascii="Arial" w:hAnsi="Arial" w:eastAsia="宋体" w:cs="Arial"/>
          <w:b/>
          <w:sz w:val="24"/>
          <w:szCs w:val="24"/>
        </w:rPr>
      </w:pPr>
      <w:r>
        <w:rPr>
          <w:rFonts w:ascii="Arial" w:hAnsi="Arial" w:eastAsia="宋体" w:cs="Arial"/>
          <w:b/>
          <w:sz w:val="24"/>
          <w:szCs w:val="24"/>
        </w:rPr>
        <w:t>食品药品监督管理局（FDA）</w:t>
      </w:r>
    </w:p>
    <w:p w14:paraId="67C35313">
      <w:pPr>
        <w:snapToGrid w:val="0"/>
        <w:spacing w:line="300" w:lineRule="auto"/>
        <w:jc w:val="center"/>
        <w:rPr>
          <w:rFonts w:ascii="Arial" w:hAnsi="Arial" w:eastAsia="宋体" w:cs="Arial"/>
          <w:b/>
          <w:sz w:val="24"/>
          <w:szCs w:val="24"/>
        </w:rPr>
      </w:pPr>
      <w:bookmarkStart w:id="4" w:name="OLE_LINK11"/>
      <w:bookmarkStart w:id="5" w:name="OLE_LINK12"/>
      <w:r>
        <w:rPr>
          <w:rFonts w:ascii="Arial" w:hAnsi="Arial" w:eastAsia="宋体" w:cs="Arial"/>
          <w:b/>
          <w:sz w:val="24"/>
          <w:szCs w:val="24"/>
        </w:rPr>
        <w:t>委员办公室（OC）</w:t>
      </w:r>
    </w:p>
    <w:p w14:paraId="4B56EAC0">
      <w:pPr>
        <w:snapToGrid w:val="0"/>
        <w:spacing w:line="300" w:lineRule="auto"/>
        <w:jc w:val="center"/>
        <w:rPr>
          <w:rFonts w:ascii="Arial" w:hAnsi="Arial" w:eastAsia="宋体" w:cs="Arial"/>
          <w:b/>
          <w:sz w:val="24"/>
          <w:szCs w:val="24"/>
        </w:rPr>
      </w:pPr>
      <w:r>
        <w:rPr>
          <w:rFonts w:ascii="Arial" w:hAnsi="Arial" w:eastAsia="宋体" w:cs="Arial"/>
          <w:b/>
          <w:sz w:val="24"/>
          <w:szCs w:val="24"/>
        </w:rPr>
        <w:t>少数</w:t>
      </w:r>
      <w:r>
        <w:rPr>
          <w:rFonts w:hint="eastAsia" w:ascii="Arial" w:hAnsi="Arial" w:eastAsia="宋体" w:cs="Arial"/>
          <w:b/>
          <w:sz w:val="24"/>
          <w:szCs w:val="24"/>
        </w:rPr>
        <w:t>民族</w:t>
      </w:r>
      <w:r>
        <w:rPr>
          <w:rFonts w:ascii="Arial" w:hAnsi="Arial" w:eastAsia="宋体" w:cs="Arial"/>
          <w:b/>
          <w:sz w:val="24"/>
          <w:szCs w:val="24"/>
        </w:rPr>
        <w:t>健康办公室（OMH）</w:t>
      </w:r>
    </w:p>
    <w:p w14:paraId="6078A256">
      <w:pPr>
        <w:snapToGrid w:val="0"/>
        <w:spacing w:line="300" w:lineRule="auto"/>
        <w:jc w:val="center"/>
        <w:rPr>
          <w:rFonts w:ascii="Arial" w:hAnsi="Arial" w:eastAsia="宋体" w:cs="Arial"/>
          <w:b/>
          <w:sz w:val="24"/>
          <w:szCs w:val="24"/>
        </w:rPr>
      </w:pPr>
      <w:r>
        <w:rPr>
          <w:rFonts w:ascii="Arial" w:hAnsi="Arial" w:eastAsia="宋体" w:cs="Arial"/>
          <w:b/>
          <w:sz w:val="24"/>
          <w:szCs w:val="24"/>
        </w:rPr>
        <w:t>妇女健康办公室（OWH）</w:t>
      </w:r>
    </w:p>
    <w:p w14:paraId="0EF8AE3D">
      <w:pPr>
        <w:snapToGrid w:val="0"/>
        <w:spacing w:line="300" w:lineRule="auto"/>
        <w:jc w:val="center"/>
        <w:rPr>
          <w:rFonts w:ascii="Arial" w:hAnsi="Arial" w:eastAsia="宋体" w:cs="Arial"/>
          <w:b/>
          <w:sz w:val="24"/>
          <w:szCs w:val="24"/>
        </w:rPr>
      </w:pPr>
      <w:r>
        <w:rPr>
          <w:rFonts w:ascii="Arial" w:hAnsi="Arial" w:eastAsia="宋体" w:cs="Arial"/>
          <w:b/>
          <w:sz w:val="24"/>
          <w:szCs w:val="24"/>
        </w:rPr>
        <w:t>药品评价和研究中心（CDER）</w:t>
      </w:r>
    </w:p>
    <w:p w14:paraId="75410A56">
      <w:pPr>
        <w:snapToGrid w:val="0"/>
        <w:spacing w:line="300" w:lineRule="auto"/>
        <w:jc w:val="center"/>
        <w:rPr>
          <w:rFonts w:ascii="Arial" w:hAnsi="Arial" w:eastAsia="宋体" w:cs="Arial"/>
          <w:b/>
          <w:sz w:val="24"/>
          <w:szCs w:val="24"/>
        </w:rPr>
      </w:pPr>
      <w:r>
        <w:rPr>
          <w:rFonts w:ascii="Arial" w:hAnsi="Arial" w:eastAsia="宋体" w:cs="Arial"/>
          <w:b/>
          <w:sz w:val="24"/>
          <w:szCs w:val="24"/>
        </w:rPr>
        <w:t>生物制剂评价和研究中心（CBER）</w:t>
      </w:r>
    </w:p>
    <w:bookmarkEnd w:id="4"/>
    <w:bookmarkEnd w:id="5"/>
    <w:p w14:paraId="5B367D93">
      <w:pPr>
        <w:snapToGrid w:val="0"/>
        <w:spacing w:line="300" w:lineRule="auto"/>
        <w:jc w:val="center"/>
        <w:rPr>
          <w:rFonts w:ascii="Arial" w:hAnsi="Arial" w:eastAsia="宋体" w:cs="Arial"/>
          <w:b/>
          <w:sz w:val="24"/>
          <w:szCs w:val="24"/>
        </w:rPr>
      </w:pPr>
      <w:r>
        <w:rPr>
          <w:rFonts w:ascii="Arial" w:hAnsi="Arial" w:eastAsia="宋体" w:cs="Arial"/>
          <w:b/>
          <w:sz w:val="24"/>
          <w:szCs w:val="24"/>
        </w:rPr>
        <w:t>器械</w:t>
      </w:r>
      <w:r>
        <w:rPr>
          <w:rFonts w:hint="eastAsia" w:ascii="Arial" w:hAnsi="Arial" w:eastAsia="宋体" w:cs="Arial"/>
          <w:b/>
          <w:sz w:val="24"/>
          <w:szCs w:val="24"/>
        </w:rPr>
        <w:t>和放射卫生</w:t>
      </w:r>
      <w:r>
        <w:rPr>
          <w:rFonts w:ascii="Arial" w:hAnsi="Arial" w:eastAsia="宋体" w:cs="Arial"/>
          <w:b/>
          <w:sz w:val="24"/>
          <w:szCs w:val="24"/>
        </w:rPr>
        <w:t>中心（CDRH）</w:t>
      </w:r>
    </w:p>
    <w:bookmarkEnd w:id="0"/>
    <w:bookmarkEnd w:id="1"/>
    <w:p w14:paraId="547C65D0">
      <w:pPr>
        <w:snapToGrid w:val="0"/>
        <w:spacing w:line="300" w:lineRule="auto"/>
        <w:jc w:val="center"/>
        <w:rPr>
          <w:rFonts w:ascii="Arial" w:hAnsi="Arial" w:eastAsia="宋体" w:cs="Arial"/>
          <w:b/>
          <w:sz w:val="24"/>
          <w:szCs w:val="24"/>
        </w:rPr>
      </w:pPr>
    </w:p>
    <w:p w14:paraId="435ACE9A">
      <w:pPr>
        <w:snapToGrid w:val="0"/>
        <w:spacing w:line="300" w:lineRule="auto"/>
        <w:jc w:val="center"/>
        <w:rPr>
          <w:rFonts w:ascii="Arial" w:hAnsi="Arial" w:eastAsia="宋体" w:cs="Arial"/>
          <w:b/>
          <w:sz w:val="24"/>
          <w:szCs w:val="24"/>
        </w:rPr>
      </w:pPr>
      <w:r>
        <w:rPr>
          <w:rFonts w:ascii="Arial" w:hAnsi="Arial" w:eastAsia="宋体" w:cs="Arial"/>
          <w:b/>
          <w:sz w:val="24"/>
          <w:szCs w:val="24"/>
        </w:rPr>
        <w:t>2016年10月</w:t>
      </w:r>
    </w:p>
    <w:p w14:paraId="6D68696D">
      <w:pPr>
        <w:snapToGrid w:val="0"/>
        <w:spacing w:line="300" w:lineRule="auto"/>
        <w:jc w:val="center"/>
        <w:rPr>
          <w:rFonts w:ascii="Arial" w:hAnsi="Arial" w:eastAsia="宋体" w:cs="Arial"/>
        </w:rPr>
      </w:pPr>
      <w:r>
        <w:rPr>
          <w:rFonts w:ascii="Arial" w:hAnsi="Arial" w:eastAsia="宋体" w:cs="Arial"/>
          <w:b/>
          <w:sz w:val="24"/>
          <w:szCs w:val="24"/>
        </w:rPr>
        <w:t>临床医学</w:t>
      </w:r>
      <w:bookmarkEnd w:id="2"/>
      <w:bookmarkEnd w:id="3"/>
      <w:r>
        <w:rPr>
          <w:rFonts w:ascii="Arial" w:hAnsi="Arial" w:eastAsia="宋体" w:cs="Arial"/>
        </w:rPr>
        <w:br w:type="page"/>
      </w:r>
    </w:p>
    <w:p w14:paraId="59A1751B">
      <w:pPr>
        <w:snapToGrid w:val="0"/>
        <w:spacing w:after="156" w:afterLines="50" w:line="300" w:lineRule="auto"/>
        <w:jc w:val="center"/>
        <w:rPr>
          <w:rFonts w:ascii="Arial" w:hAnsi="Arial" w:eastAsia="宋体" w:cs="Arial"/>
          <w:b/>
          <w:sz w:val="44"/>
          <w:szCs w:val="44"/>
        </w:rPr>
      </w:pPr>
      <w:r>
        <w:rPr>
          <w:rFonts w:ascii="Arial" w:hAnsi="Arial" w:eastAsia="宋体" w:cs="Arial"/>
          <w:b/>
          <w:sz w:val="44"/>
          <w:szCs w:val="44"/>
        </w:rPr>
        <w:t>前言</w:t>
      </w:r>
    </w:p>
    <w:p w14:paraId="2216660D">
      <w:pPr>
        <w:snapToGrid w:val="0"/>
        <w:spacing w:after="156" w:afterLines="50" w:line="300" w:lineRule="auto"/>
        <w:jc w:val="left"/>
        <w:rPr>
          <w:rFonts w:ascii="Arial" w:hAnsi="Arial" w:eastAsia="宋体" w:cs="Arial"/>
          <w:b/>
          <w:sz w:val="32"/>
          <w:szCs w:val="32"/>
        </w:rPr>
      </w:pPr>
      <w:r>
        <w:rPr>
          <w:rFonts w:ascii="Arial" w:hAnsi="Arial" w:eastAsia="宋体" w:cs="Arial"/>
          <w:b/>
          <w:sz w:val="32"/>
          <w:szCs w:val="32"/>
        </w:rPr>
        <w:t>公众评论</w:t>
      </w:r>
    </w:p>
    <w:p w14:paraId="5055C103">
      <w:pPr>
        <w:snapToGrid w:val="0"/>
        <w:spacing w:after="156" w:afterLines="50" w:line="300" w:lineRule="auto"/>
        <w:jc w:val="left"/>
        <w:rPr>
          <w:rFonts w:ascii="Arial" w:hAnsi="Arial" w:eastAsia="宋体" w:cs="Arial"/>
        </w:rPr>
      </w:pPr>
      <w:r>
        <w:rPr>
          <w:rFonts w:ascii="Arial" w:hAnsi="Arial" w:eastAsia="宋体" w:cs="Arial"/>
        </w:rPr>
        <w:t>您可以在任何时间向机构提交电子版评论或建议，网址为</w:t>
      </w:r>
      <w:r>
        <w:rPr>
          <w:rFonts w:ascii="Arial" w:hAnsi="Arial" w:eastAsia="宋体" w:cs="Arial"/>
          <w:color w:val="0000FF"/>
          <w:u w:val="single"/>
        </w:rPr>
        <w:t>http://www.regulation.gov</w:t>
      </w:r>
      <w:r>
        <w:rPr>
          <w:rFonts w:ascii="Arial" w:hAnsi="Arial" w:eastAsia="宋体" w:cs="Arial"/>
        </w:rPr>
        <w:t>。纸质评论请提交至食品药品监督管理局档案管理办公室（5630 Fishers Lane，Rm 1061，（HFA-305），Rockville，MD 20852）。</w:t>
      </w:r>
      <w:bookmarkStart w:id="6" w:name="OLE_LINK44"/>
      <w:r>
        <w:rPr>
          <w:rFonts w:ascii="Arial" w:hAnsi="Arial" w:eastAsia="宋体" w:cs="Arial"/>
        </w:rPr>
        <w:t>请为所有的评论注明文档编号FDA-2016-D-3561。</w:t>
      </w:r>
      <w:r>
        <w:rPr>
          <w:rFonts w:hint="eastAsia" w:ascii="Arial" w:hAnsi="Arial" w:eastAsia="宋体" w:cs="Arial"/>
        </w:rPr>
        <w:t>再次进行文件修订或更新之前，本机构可能不会针对评论采取行动</w:t>
      </w:r>
      <w:r>
        <w:rPr>
          <w:rFonts w:ascii="Arial" w:hAnsi="Arial" w:eastAsia="宋体" w:cs="Arial"/>
        </w:rPr>
        <w:t>。</w:t>
      </w:r>
      <w:bookmarkEnd w:id="6"/>
    </w:p>
    <w:p w14:paraId="04DA6417">
      <w:pPr>
        <w:snapToGrid w:val="0"/>
        <w:spacing w:after="156" w:afterLines="50" w:line="300" w:lineRule="auto"/>
        <w:jc w:val="left"/>
        <w:rPr>
          <w:rFonts w:ascii="Arial" w:hAnsi="Arial" w:eastAsia="宋体" w:cs="Arial"/>
          <w:b/>
          <w:sz w:val="32"/>
          <w:szCs w:val="32"/>
        </w:rPr>
      </w:pPr>
      <w:r>
        <w:rPr>
          <w:rFonts w:ascii="Arial" w:hAnsi="Arial" w:eastAsia="宋体" w:cs="Arial"/>
          <w:b/>
          <w:sz w:val="32"/>
          <w:szCs w:val="32"/>
        </w:rPr>
        <w:t>其他副本</w:t>
      </w:r>
    </w:p>
    <w:p w14:paraId="493E6B38">
      <w:pPr>
        <w:snapToGrid w:val="0"/>
        <w:spacing w:after="156" w:afterLines="50" w:line="300" w:lineRule="auto"/>
        <w:jc w:val="left"/>
        <w:rPr>
          <w:rFonts w:ascii="Arial" w:hAnsi="Arial" w:eastAsia="宋体" w:cs="Arial"/>
        </w:rPr>
      </w:pPr>
      <w:r>
        <w:rPr>
          <w:rFonts w:ascii="Arial" w:hAnsi="Arial" w:eastAsia="宋体" w:cs="Arial"/>
        </w:rPr>
        <w:t>其他副本可从互联网获得。您还可以向</w:t>
      </w:r>
      <w:r>
        <w:rPr>
          <w:rFonts w:ascii="Arial" w:hAnsi="Arial" w:eastAsia="宋体" w:cs="Arial"/>
          <w:color w:val="0000FF"/>
          <w:u w:val="single"/>
        </w:rPr>
        <w:t>omh@fda.hhs.gov</w:t>
      </w:r>
      <w:r>
        <w:rPr>
          <w:rFonts w:ascii="Arial" w:hAnsi="Arial" w:eastAsia="宋体" w:cs="Arial"/>
        </w:rPr>
        <w:t>发送电子邮件请求以接收本指南的电子副本。</w:t>
      </w:r>
    </w:p>
    <w:p w14:paraId="7AA42B44">
      <w:pPr>
        <w:snapToGrid w:val="0"/>
        <w:spacing w:after="156" w:afterLines="50" w:line="300" w:lineRule="auto"/>
        <w:jc w:val="left"/>
        <w:rPr>
          <w:rFonts w:ascii="Arial" w:hAnsi="Arial" w:eastAsia="宋体" w:cs="Arial"/>
        </w:rPr>
      </w:pPr>
      <w:r>
        <w:rPr>
          <w:rFonts w:ascii="Arial" w:hAnsi="Arial" w:eastAsia="宋体" w:cs="Arial"/>
        </w:rPr>
        <w:t>其他副本可以通过向委员办公室递交书面申请获取，地址为：少数</w:t>
      </w:r>
      <w:r>
        <w:rPr>
          <w:rFonts w:hint="eastAsia" w:ascii="Arial" w:hAnsi="Arial" w:eastAsia="宋体" w:cs="Arial"/>
        </w:rPr>
        <w:t>民族</w:t>
      </w:r>
      <w:r>
        <w:rPr>
          <w:rFonts w:ascii="Arial" w:hAnsi="Arial" w:eastAsia="宋体" w:cs="Arial"/>
        </w:rPr>
        <w:t>健康办公室（10903 New Hampshire Ave.，WO1，Room 3331A，Silver Spring，MD 20993-0002），电话为240-402-5084，</w:t>
      </w:r>
      <w:r>
        <w:fldChar w:fldCharType="begin"/>
      </w:r>
      <w:r>
        <w:rPr>
          <w:rFonts w:ascii="Arial" w:hAnsi="Arial" w:eastAsia="宋体" w:cs="Arial"/>
        </w:rPr>
        <w:instrText xml:space="preserve"> HYPERLINK "mailto:邮箱为omh@fda.hhs.gov" </w:instrText>
      </w:r>
      <w:r>
        <w:fldChar w:fldCharType="separate"/>
      </w:r>
      <w:r>
        <w:rPr>
          <w:rStyle w:val="13"/>
          <w:rFonts w:ascii="Arial" w:hAnsi="Arial" w:eastAsia="宋体" w:cs="Arial"/>
          <w:color w:val="000000" w:themeColor="text1"/>
          <w:u w:val="none"/>
          <w14:textFill>
            <w14:solidFill>
              <w14:schemeClr w14:val="tx1"/>
            </w14:solidFill>
          </w14:textFill>
        </w:rPr>
        <w:t>邮箱为</w:t>
      </w:r>
      <w:r>
        <w:rPr>
          <w:rStyle w:val="13"/>
          <w:rFonts w:ascii="Arial" w:hAnsi="Arial" w:eastAsia="宋体" w:cs="Arial"/>
          <w:color w:val="0000FF"/>
        </w:rPr>
        <w:t>omh@fda.hhs.gov</w:t>
      </w:r>
      <w:r>
        <w:rPr>
          <w:rStyle w:val="13"/>
          <w:rFonts w:ascii="Arial" w:hAnsi="Arial" w:eastAsia="宋体" w:cs="Arial"/>
          <w:color w:val="0000FF"/>
        </w:rPr>
        <w:fldChar w:fldCharType="end"/>
      </w:r>
      <w:r>
        <w:rPr>
          <w:rFonts w:ascii="Arial" w:hAnsi="Arial" w:eastAsia="宋体" w:cs="Arial"/>
        </w:rPr>
        <w:t>。</w:t>
      </w:r>
    </w:p>
    <w:p w14:paraId="1DF82592">
      <w:pPr>
        <w:snapToGrid w:val="0"/>
        <w:spacing w:line="300" w:lineRule="auto"/>
        <w:jc w:val="center"/>
        <w:rPr>
          <w:rFonts w:ascii="Arial" w:hAnsi="Arial" w:eastAsia="宋体" w:cs="Arial"/>
          <w:b/>
          <w:sz w:val="24"/>
          <w:szCs w:val="24"/>
        </w:rPr>
      </w:pPr>
    </w:p>
    <w:p w14:paraId="53C6127A">
      <w:pPr>
        <w:snapToGrid w:val="0"/>
        <w:spacing w:line="300" w:lineRule="auto"/>
        <w:jc w:val="center"/>
        <w:rPr>
          <w:rFonts w:ascii="Arial" w:hAnsi="Arial" w:eastAsia="宋体" w:cs="Arial"/>
          <w:b/>
          <w:sz w:val="24"/>
          <w:szCs w:val="24"/>
        </w:rPr>
      </w:pPr>
    </w:p>
    <w:p w14:paraId="0572E49A">
      <w:pPr>
        <w:snapToGrid w:val="0"/>
        <w:spacing w:line="300" w:lineRule="auto"/>
        <w:jc w:val="center"/>
        <w:rPr>
          <w:rFonts w:ascii="Arial" w:hAnsi="Arial" w:eastAsia="宋体" w:cs="Arial"/>
          <w:b/>
          <w:sz w:val="24"/>
          <w:szCs w:val="24"/>
        </w:rPr>
      </w:pPr>
    </w:p>
    <w:p w14:paraId="23B8AA42">
      <w:pPr>
        <w:snapToGrid w:val="0"/>
        <w:spacing w:line="300" w:lineRule="auto"/>
        <w:jc w:val="center"/>
        <w:rPr>
          <w:rFonts w:ascii="Arial" w:hAnsi="Arial" w:eastAsia="宋体" w:cs="Arial"/>
          <w:b/>
          <w:sz w:val="24"/>
          <w:szCs w:val="24"/>
        </w:rPr>
      </w:pPr>
    </w:p>
    <w:p w14:paraId="7E68764C">
      <w:pPr>
        <w:snapToGrid w:val="0"/>
        <w:spacing w:line="300" w:lineRule="auto"/>
        <w:jc w:val="center"/>
        <w:rPr>
          <w:rFonts w:ascii="Arial" w:hAnsi="Arial" w:eastAsia="宋体" w:cs="Arial"/>
          <w:b/>
          <w:sz w:val="24"/>
          <w:szCs w:val="24"/>
        </w:rPr>
      </w:pPr>
    </w:p>
    <w:p w14:paraId="088F3707">
      <w:pPr>
        <w:snapToGrid w:val="0"/>
        <w:spacing w:line="300" w:lineRule="auto"/>
        <w:jc w:val="center"/>
        <w:rPr>
          <w:rFonts w:ascii="Arial" w:hAnsi="Arial" w:eastAsia="宋体" w:cs="Arial"/>
          <w:b/>
          <w:sz w:val="24"/>
          <w:szCs w:val="24"/>
        </w:rPr>
      </w:pPr>
    </w:p>
    <w:p w14:paraId="747D18CC">
      <w:pPr>
        <w:snapToGrid w:val="0"/>
        <w:spacing w:line="300" w:lineRule="auto"/>
        <w:jc w:val="center"/>
        <w:rPr>
          <w:rFonts w:ascii="Arial" w:hAnsi="Arial" w:eastAsia="宋体" w:cs="Arial"/>
          <w:b/>
          <w:sz w:val="24"/>
          <w:szCs w:val="24"/>
        </w:rPr>
      </w:pPr>
    </w:p>
    <w:p w14:paraId="7E2D515A">
      <w:pPr>
        <w:snapToGrid w:val="0"/>
        <w:spacing w:line="300" w:lineRule="auto"/>
        <w:jc w:val="center"/>
        <w:rPr>
          <w:rFonts w:ascii="Arial" w:hAnsi="Arial" w:eastAsia="宋体" w:cs="Arial"/>
          <w:b/>
          <w:sz w:val="24"/>
          <w:szCs w:val="24"/>
        </w:rPr>
      </w:pPr>
    </w:p>
    <w:p w14:paraId="2B96E4A7">
      <w:pPr>
        <w:snapToGrid w:val="0"/>
        <w:spacing w:line="300" w:lineRule="auto"/>
        <w:jc w:val="center"/>
        <w:rPr>
          <w:rFonts w:ascii="Arial" w:hAnsi="Arial" w:eastAsia="宋体" w:cs="Arial"/>
          <w:b/>
          <w:sz w:val="24"/>
          <w:szCs w:val="24"/>
        </w:rPr>
      </w:pPr>
    </w:p>
    <w:p w14:paraId="56CEB75A">
      <w:pPr>
        <w:snapToGrid w:val="0"/>
        <w:spacing w:line="300" w:lineRule="auto"/>
        <w:jc w:val="center"/>
        <w:rPr>
          <w:rFonts w:ascii="Arial" w:hAnsi="Arial" w:eastAsia="宋体" w:cs="Arial"/>
          <w:b/>
          <w:sz w:val="24"/>
          <w:szCs w:val="24"/>
        </w:rPr>
      </w:pPr>
    </w:p>
    <w:p w14:paraId="535CEBFC">
      <w:pPr>
        <w:snapToGrid w:val="0"/>
        <w:spacing w:line="300" w:lineRule="auto"/>
        <w:jc w:val="center"/>
        <w:rPr>
          <w:rFonts w:ascii="Arial" w:hAnsi="Arial" w:eastAsia="宋体" w:cs="Arial"/>
          <w:b/>
          <w:sz w:val="24"/>
          <w:szCs w:val="24"/>
        </w:rPr>
      </w:pPr>
    </w:p>
    <w:p w14:paraId="071CCD70">
      <w:pPr>
        <w:snapToGrid w:val="0"/>
        <w:spacing w:line="300" w:lineRule="auto"/>
        <w:jc w:val="center"/>
        <w:rPr>
          <w:rFonts w:ascii="Arial" w:hAnsi="Arial" w:eastAsia="宋体" w:cs="Arial"/>
          <w:b/>
          <w:sz w:val="24"/>
          <w:szCs w:val="24"/>
        </w:rPr>
      </w:pPr>
      <w:r>
        <w:rPr>
          <w:rFonts w:ascii="Arial" w:hAnsi="Arial" w:eastAsia="宋体" w:cs="Arial"/>
          <w:b/>
          <w:sz w:val="24"/>
          <w:szCs w:val="24"/>
        </w:rPr>
        <w:t>美国</w:t>
      </w:r>
      <w:r>
        <w:rPr>
          <w:rFonts w:hint="eastAsia" w:ascii="Arial" w:hAnsi="Arial" w:eastAsia="宋体" w:cs="Arial"/>
          <w:b/>
          <w:sz w:val="24"/>
          <w:szCs w:val="24"/>
        </w:rPr>
        <w:t>卫生和人类</w:t>
      </w:r>
      <w:r>
        <w:rPr>
          <w:rFonts w:ascii="Arial" w:hAnsi="Arial" w:eastAsia="宋体" w:cs="Arial"/>
          <w:b/>
          <w:sz w:val="24"/>
          <w:szCs w:val="24"/>
        </w:rPr>
        <w:t>服务署（HHS）</w:t>
      </w:r>
    </w:p>
    <w:p w14:paraId="7701ED5E">
      <w:pPr>
        <w:snapToGrid w:val="0"/>
        <w:spacing w:line="300" w:lineRule="auto"/>
        <w:jc w:val="center"/>
        <w:rPr>
          <w:rFonts w:ascii="Arial" w:hAnsi="Arial" w:eastAsia="宋体" w:cs="Arial"/>
          <w:b/>
          <w:sz w:val="24"/>
          <w:szCs w:val="24"/>
        </w:rPr>
      </w:pPr>
      <w:r>
        <w:rPr>
          <w:rFonts w:ascii="Arial" w:hAnsi="Arial" w:eastAsia="宋体" w:cs="Arial"/>
          <w:b/>
          <w:sz w:val="24"/>
          <w:szCs w:val="24"/>
        </w:rPr>
        <w:t>食品药品监督管理局（FDA）</w:t>
      </w:r>
    </w:p>
    <w:p w14:paraId="1FFC2B62">
      <w:pPr>
        <w:snapToGrid w:val="0"/>
        <w:spacing w:line="300" w:lineRule="auto"/>
        <w:jc w:val="center"/>
        <w:rPr>
          <w:rFonts w:ascii="Arial" w:hAnsi="Arial" w:eastAsia="宋体" w:cs="Arial"/>
          <w:b/>
          <w:sz w:val="24"/>
          <w:szCs w:val="24"/>
        </w:rPr>
      </w:pPr>
      <w:r>
        <w:rPr>
          <w:rFonts w:ascii="Arial" w:hAnsi="Arial" w:eastAsia="宋体" w:cs="Arial"/>
          <w:b/>
          <w:sz w:val="24"/>
          <w:szCs w:val="24"/>
        </w:rPr>
        <w:t>委员办公室（OC）</w:t>
      </w:r>
    </w:p>
    <w:p w14:paraId="28190860">
      <w:pPr>
        <w:snapToGrid w:val="0"/>
        <w:spacing w:line="300" w:lineRule="auto"/>
        <w:jc w:val="center"/>
        <w:rPr>
          <w:rFonts w:ascii="Arial" w:hAnsi="Arial" w:eastAsia="宋体" w:cs="Arial"/>
          <w:b/>
          <w:sz w:val="24"/>
          <w:szCs w:val="24"/>
        </w:rPr>
      </w:pPr>
      <w:r>
        <w:rPr>
          <w:rFonts w:ascii="Arial" w:hAnsi="Arial" w:eastAsia="宋体" w:cs="Arial"/>
          <w:b/>
          <w:sz w:val="24"/>
          <w:szCs w:val="24"/>
        </w:rPr>
        <w:t>少数民族健康办公室（OMH）</w:t>
      </w:r>
    </w:p>
    <w:p w14:paraId="63630012">
      <w:pPr>
        <w:snapToGrid w:val="0"/>
        <w:spacing w:line="300" w:lineRule="auto"/>
        <w:jc w:val="center"/>
        <w:rPr>
          <w:rFonts w:ascii="Arial" w:hAnsi="Arial" w:eastAsia="宋体" w:cs="Arial"/>
          <w:b/>
          <w:sz w:val="24"/>
          <w:szCs w:val="24"/>
        </w:rPr>
      </w:pPr>
      <w:r>
        <w:rPr>
          <w:rFonts w:ascii="Arial" w:hAnsi="Arial" w:eastAsia="宋体" w:cs="Arial"/>
          <w:b/>
          <w:sz w:val="24"/>
          <w:szCs w:val="24"/>
        </w:rPr>
        <w:t>妇女健康办公室（OWH）</w:t>
      </w:r>
    </w:p>
    <w:p w14:paraId="6806B164">
      <w:pPr>
        <w:snapToGrid w:val="0"/>
        <w:spacing w:line="300" w:lineRule="auto"/>
        <w:jc w:val="center"/>
        <w:rPr>
          <w:rFonts w:ascii="Arial" w:hAnsi="Arial" w:eastAsia="宋体" w:cs="Arial"/>
          <w:b/>
          <w:sz w:val="24"/>
          <w:szCs w:val="24"/>
        </w:rPr>
      </w:pPr>
      <w:r>
        <w:rPr>
          <w:rFonts w:ascii="Arial" w:hAnsi="Arial" w:eastAsia="宋体" w:cs="Arial"/>
          <w:b/>
          <w:sz w:val="24"/>
          <w:szCs w:val="24"/>
        </w:rPr>
        <w:t>药品评价和研究中心（CDER）</w:t>
      </w:r>
    </w:p>
    <w:p w14:paraId="63D03705">
      <w:pPr>
        <w:snapToGrid w:val="0"/>
        <w:spacing w:line="300" w:lineRule="auto"/>
        <w:jc w:val="center"/>
        <w:rPr>
          <w:rFonts w:ascii="Arial" w:hAnsi="Arial" w:eastAsia="宋体" w:cs="Arial"/>
          <w:b/>
          <w:sz w:val="24"/>
          <w:szCs w:val="24"/>
        </w:rPr>
      </w:pPr>
      <w:r>
        <w:rPr>
          <w:rFonts w:ascii="Arial" w:hAnsi="Arial" w:eastAsia="宋体" w:cs="Arial"/>
          <w:b/>
          <w:sz w:val="24"/>
          <w:szCs w:val="24"/>
        </w:rPr>
        <w:t>生物制剂评价和研究中心（CBER）</w:t>
      </w:r>
    </w:p>
    <w:p w14:paraId="45DBB806">
      <w:pPr>
        <w:snapToGrid w:val="0"/>
        <w:spacing w:line="300" w:lineRule="auto"/>
        <w:jc w:val="center"/>
        <w:rPr>
          <w:rFonts w:ascii="Arial" w:hAnsi="Arial" w:eastAsia="宋体" w:cs="Arial"/>
          <w:b/>
          <w:sz w:val="24"/>
          <w:szCs w:val="24"/>
        </w:rPr>
      </w:pPr>
      <w:r>
        <w:rPr>
          <w:rFonts w:ascii="Arial" w:hAnsi="Arial" w:eastAsia="宋体" w:cs="Arial"/>
          <w:b/>
          <w:sz w:val="24"/>
          <w:szCs w:val="24"/>
        </w:rPr>
        <w:t>器械</w:t>
      </w:r>
      <w:r>
        <w:rPr>
          <w:rFonts w:hint="eastAsia" w:ascii="Arial" w:hAnsi="Arial" w:eastAsia="宋体" w:cs="Arial"/>
          <w:b/>
          <w:sz w:val="24"/>
          <w:szCs w:val="24"/>
        </w:rPr>
        <w:t>放射卫生</w:t>
      </w:r>
      <w:r>
        <w:rPr>
          <w:rFonts w:ascii="Arial" w:hAnsi="Arial" w:eastAsia="宋体" w:cs="Arial"/>
          <w:b/>
          <w:sz w:val="24"/>
          <w:szCs w:val="24"/>
        </w:rPr>
        <w:t>中心（CDRH）</w:t>
      </w:r>
    </w:p>
    <w:p w14:paraId="192F85AA">
      <w:pPr>
        <w:snapToGrid w:val="0"/>
        <w:spacing w:line="300" w:lineRule="auto"/>
        <w:jc w:val="center"/>
        <w:rPr>
          <w:rFonts w:ascii="Arial" w:hAnsi="Arial" w:eastAsia="宋体" w:cs="Arial"/>
          <w:b/>
          <w:sz w:val="24"/>
          <w:szCs w:val="24"/>
        </w:rPr>
      </w:pPr>
    </w:p>
    <w:p w14:paraId="4F27892C">
      <w:pPr>
        <w:snapToGrid w:val="0"/>
        <w:spacing w:line="300" w:lineRule="auto"/>
        <w:jc w:val="center"/>
        <w:rPr>
          <w:rFonts w:ascii="Arial" w:hAnsi="Arial" w:eastAsia="宋体" w:cs="Arial"/>
          <w:b/>
          <w:sz w:val="24"/>
          <w:szCs w:val="24"/>
        </w:rPr>
      </w:pPr>
      <w:r>
        <w:rPr>
          <w:rFonts w:ascii="Arial" w:hAnsi="Arial" w:eastAsia="宋体" w:cs="Arial"/>
          <w:b/>
          <w:sz w:val="24"/>
          <w:szCs w:val="24"/>
        </w:rPr>
        <w:t>2016年10月</w:t>
      </w:r>
    </w:p>
    <w:p w14:paraId="62F55A05">
      <w:pPr>
        <w:snapToGrid w:val="0"/>
        <w:spacing w:line="300" w:lineRule="auto"/>
        <w:jc w:val="center"/>
        <w:rPr>
          <w:rFonts w:ascii="Arial" w:hAnsi="Arial" w:eastAsia="宋体" w:cs="Arial"/>
        </w:rPr>
      </w:pPr>
      <w:r>
        <w:rPr>
          <w:rFonts w:ascii="Arial" w:hAnsi="Arial" w:eastAsia="宋体" w:cs="Arial"/>
          <w:b/>
          <w:sz w:val="24"/>
          <w:szCs w:val="24"/>
        </w:rPr>
        <w:t>临床医学</w:t>
      </w:r>
      <w:r>
        <w:rPr>
          <w:rFonts w:ascii="Arial" w:hAnsi="Arial" w:eastAsia="宋体" w:cs="Arial"/>
        </w:rPr>
        <w:br w:type="page"/>
      </w:r>
    </w:p>
    <w:p w14:paraId="7A11C49D">
      <w:pPr>
        <w:snapToGrid w:val="0"/>
        <w:spacing w:after="156" w:afterLines="50" w:line="300" w:lineRule="auto"/>
        <w:jc w:val="center"/>
        <w:rPr>
          <w:rFonts w:ascii="Arial" w:hAnsi="Arial" w:eastAsia="宋体" w:cs="Arial"/>
          <w:b/>
          <w:sz w:val="28"/>
          <w:szCs w:val="28"/>
        </w:rPr>
      </w:pPr>
    </w:p>
    <w:p w14:paraId="16B0B7DE">
      <w:pPr>
        <w:snapToGrid w:val="0"/>
        <w:spacing w:after="156" w:afterLines="50" w:line="300" w:lineRule="auto"/>
        <w:jc w:val="center"/>
        <w:rPr>
          <w:rFonts w:ascii="Arial" w:hAnsi="Arial" w:eastAsia="宋体" w:cs="Arial"/>
          <w:b/>
          <w:sz w:val="28"/>
          <w:szCs w:val="28"/>
        </w:rPr>
      </w:pPr>
    </w:p>
    <w:p w14:paraId="798B505F">
      <w:pPr>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目录</w:t>
      </w:r>
    </w:p>
    <w:sdt>
      <w:sdtPr>
        <w:rPr>
          <w:rFonts w:asciiTheme="minorHAnsi" w:hAnsiTheme="minorHAnsi" w:eastAsiaTheme="minorEastAsia" w:cstheme="minorBidi"/>
          <w:b w:val="0"/>
          <w:bCs w:val="0"/>
          <w:color w:val="auto"/>
          <w:kern w:val="2"/>
          <w:sz w:val="21"/>
          <w:szCs w:val="22"/>
          <w:lang w:val="zh-CN"/>
        </w:rPr>
        <w:id w:val="2132509529"/>
        <w:docPartObj>
          <w:docPartGallery w:val="Table of Contents"/>
          <w:docPartUnique/>
        </w:docPartObj>
      </w:sdtPr>
      <w:sdtEndPr>
        <w:rPr>
          <w:rFonts w:ascii="Arial" w:hAnsi="Arial" w:cs="Arial" w:eastAsiaTheme="minorEastAsia"/>
          <w:b w:val="0"/>
          <w:bCs w:val="0"/>
          <w:color w:val="auto"/>
          <w:kern w:val="2"/>
          <w:sz w:val="21"/>
          <w:szCs w:val="22"/>
          <w:lang w:val="zh-CN"/>
        </w:rPr>
      </w:sdtEndPr>
      <w:sdtContent>
        <w:p w14:paraId="4939EBB7">
          <w:pPr>
            <w:pStyle w:val="24"/>
            <w:snapToGrid w:val="0"/>
            <w:spacing w:before="0"/>
          </w:pPr>
        </w:p>
        <w:p w14:paraId="56A26D2E">
          <w:pPr>
            <w:pStyle w:val="7"/>
            <w:tabs>
              <w:tab w:val="left" w:pos="420"/>
              <w:tab w:val="right" w:leader="dot" w:pos="8296"/>
            </w:tabs>
            <w:spacing w:after="156"/>
            <w:rPr>
              <w:rFonts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"_Toc498073289" </w:instrText>
          </w:r>
          <w:r>
            <w:fldChar w:fldCharType="separate"/>
          </w:r>
          <w:r>
            <w:rPr>
              <w:rStyle w:val="13"/>
              <w:rFonts w:ascii="Arial" w:hAnsi="Arial" w:cs="Arial"/>
              <w:b/>
            </w:rPr>
            <w:t>I.</w:t>
          </w:r>
          <w:r>
            <w:rPr>
              <w:rFonts w:eastAsiaTheme="minorEastAsia"/>
              <w:sz w:val="21"/>
            </w:rPr>
            <w:tab/>
          </w:r>
          <w:r>
            <w:rPr>
              <w:rStyle w:val="13"/>
              <w:rFonts w:hint="eastAsia" w:ascii="Arial" w:hAnsi="Arial" w:cs="Arial"/>
              <w:b/>
            </w:rPr>
            <w:t>前言</w:t>
          </w:r>
          <w:r>
            <w:tab/>
          </w:r>
          <w:r>
            <w:fldChar w:fldCharType="begin"/>
          </w:r>
          <w:r>
            <w:instrText xml:space="preserve"> PAGEREF _Toc498073289 \h </w:instrText>
          </w:r>
          <w:r>
            <w:fldChar w:fldCharType="separate"/>
          </w:r>
          <w:r>
            <w:t>5</w:t>
          </w:r>
          <w:r>
            <w:fldChar w:fldCharType="end"/>
          </w:r>
          <w:r>
            <w:fldChar w:fldCharType="end"/>
          </w:r>
        </w:p>
        <w:p w14:paraId="30435C59">
          <w:pPr>
            <w:pStyle w:val="7"/>
            <w:tabs>
              <w:tab w:val="left" w:pos="420"/>
              <w:tab w:val="right" w:leader="dot" w:pos="8296"/>
            </w:tabs>
            <w:spacing w:after="156"/>
            <w:rPr>
              <w:rFonts w:eastAsiaTheme="minorEastAsia"/>
              <w:sz w:val="21"/>
            </w:rPr>
          </w:pPr>
          <w:r>
            <w:fldChar w:fldCharType="begin"/>
          </w:r>
          <w:r>
            <w:instrText xml:space="preserve"> HYPERLINK \l "_Toc498073290" </w:instrText>
          </w:r>
          <w:r>
            <w:fldChar w:fldCharType="separate"/>
          </w:r>
          <w:r>
            <w:rPr>
              <w:rStyle w:val="13"/>
              <w:rFonts w:ascii="Arial" w:hAnsi="Arial" w:cs="Arial"/>
              <w:b/>
            </w:rPr>
            <w:t>II.</w:t>
          </w:r>
          <w:r>
            <w:rPr>
              <w:rFonts w:eastAsiaTheme="minorEastAsia"/>
              <w:sz w:val="21"/>
            </w:rPr>
            <w:tab/>
          </w:r>
          <w:r>
            <w:rPr>
              <w:rStyle w:val="13"/>
              <w:rFonts w:hint="eastAsia" w:ascii="Arial" w:hAnsi="Arial" w:cs="Arial"/>
              <w:b/>
            </w:rPr>
            <w:t>范围</w:t>
          </w:r>
          <w:r>
            <w:tab/>
          </w:r>
          <w:r>
            <w:fldChar w:fldCharType="begin"/>
          </w:r>
          <w:r>
            <w:instrText xml:space="preserve"> PAGEREF _Toc498073290 \h </w:instrText>
          </w:r>
          <w:r>
            <w:fldChar w:fldCharType="separate"/>
          </w:r>
          <w:r>
            <w:t>2</w:t>
          </w:r>
          <w:r>
            <w:fldChar w:fldCharType="end"/>
          </w:r>
          <w:r>
            <w:fldChar w:fldCharType="end"/>
          </w:r>
        </w:p>
        <w:p w14:paraId="233A859F">
          <w:pPr>
            <w:pStyle w:val="7"/>
            <w:tabs>
              <w:tab w:val="left" w:pos="630"/>
              <w:tab w:val="right" w:leader="dot" w:pos="8296"/>
            </w:tabs>
            <w:spacing w:after="156"/>
            <w:rPr>
              <w:rFonts w:eastAsiaTheme="minorEastAsia"/>
              <w:sz w:val="21"/>
            </w:rPr>
          </w:pPr>
          <w:r>
            <w:fldChar w:fldCharType="begin"/>
          </w:r>
          <w:r>
            <w:instrText xml:space="preserve"> HYPERLINK \l "_Toc498073291" </w:instrText>
          </w:r>
          <w:r>
            <w:fldChar w:fldCharType="separate"/>
          </w:r>
          <w:r>
            <w:rPr>
              <w:rStyle w:val="13"/>
              <w:rFonts w:ascii="Arial" w:hAnsi="Arial" w:cs="Arial"/>
              <w:b/>
            </w:rPr>
            <w:t>III.</w:t>
          </w:r>
          <w:r>
            <w:rPr>
              <w:rFonts w:eastAsiaTheme="minorEastAsia"/>
              <w:sz w:val="21"/>
            </w:rPr>
            <w:tab/>
          </w:r>
          <w:r>
            <w:rPr>
              <w:rStyle w:val="13"/>
              <w:rFonts w:hint="eastAsia" w:ascii="Arial" w:hAnsi="Arial" w:cs="Arial"/>
              <w:b/>
            </w:rPr>
            <w:t>背景</w:t>
          </w:r>
          <w:r>
            <w:tab/>
          </w:r>
          <w:r>
            <w:fldChar w:fldCharType="begin"/>
          </w:r>
          <w:r>
            <w:instrText xml:space="preserve"> PAGEREF _Toc498073291 \h </w:instrText>
          </w:r>
          <w:r>
            <w:fldChar w:fldCharType="separate"/>
          </w:r>
          <w:r>
            <w:t>4</w:t>
          </w:r>
          <w:r>
            <w:fldChar w:fldCharType="end"/>
          </w:r>
          <w:r>
            <w:fldChar w:fldCharType="end"/>
          </w:r>
        </w:p>
        <w:p w14:paraId="1724DC96">
          <w:pPr>
            <w:pStyle w:val="9"/>
            <w:tabs>
              <w:tab w:val="left" w:pos="1050"/>
              <w:tab w:val="right" w:leader="dot" w:pos="8296"/>
            </w:tabs>
            <w:spacing w:after="156"/>
            <w:ind w:left="420"/>
            <w:rPr>
              <w:rFonts w:eastAsiaTheme="minorEastAsia"/>
              <w:sz w:val="21"/>
            </w:rPr>
          </w:pPr>
          <w:r>
            <w:fldChar w:fldCharType="begin"/>
          </w:r>
          <w:r>
            <w:instrText xml:space="preserve"> HYPERLINK \l "_Toc498073292" </w:instrText>
          </w:r>
          <w:r>
            <w:fldChar w:fldCharType="separate"/>
          </w:r>
          <w:r>
            <w:rPr>
              <w:rStyle w:val="13"/>
              <w:rFonts w:ascii="Arial" w:hAnsi="Arial" w:cs="Arial"/>
              <w:b/>
            </w:rPr>
            <w:t>A.</w:t>
          </w:r>
          <w:r>
            <w:rPr>
              <w:rFonts w:eastAsiaTheme="minorEastAsia"/>
              <w:sz w:val="21"/>
            </w:rPr>
            <w:tab/>
          </w:r>
          <w:r>
            <w:rPr>
              <w:rStyle w:val="13"/>
              <w:rFonts w:hint="eastAsia" w:ascii="Arial" w:hAnsi="Arial" w:cs="Arial"/>
              <w:b/>
            </w:rPr>
            <w:t>健康与人类服务署报告和指南</w:t>
          </w:r>
          <w:r>
            <w:tab/>
          </w:r>
          <w:r>
            <w:fldChar w:fldCharType="begin"/>
          </w:r>
          <w:r>
            <w:instrText xml:space="preserve"> PAGEREF _Toc498073292 \h </w:instrText>
          </w:r>
          <w:r>
            <w:fldChar w:fldCharType="separate"/>
          </w:r>
          <w:r>
            <w:t>5</w:t>
          </w:r>
          <w:r>
            <w:fldChar w:fldCharType="end"/>
          </w:r>
          <w:r>
            <w:fldChar w:fldCharType="end"/>
          </w:r>
        </w:p>
        <w:p w14:paraId="7C2F2654">
          <w:pPr>
            <w:pStyle w:val="9"/>
            <w:tabs>
              <w:tab w:val="left" w:pos="1050"/>
              <w:tab w:val="right" w:leader="dot" w:pos="8296"/>
            </w:tabs>
            <w:spacing w:after="156"/>
            <w:ind w:left="420"/>
            <w:rPr>
              <w:rFonts w:eastAsiaTheme="minorEastAsia"/>
              <w:sz w:val="21"/>
            </w:rPr>
          </w:pPr>
          <w:r>
            <w:fldChar w:fldCharType="begin"/>
          </w:r>
          <w:r>
            <w:instrText xml:space="preserve"> HYPERLINK \l "_Toc498073293" </w:instrText>
          </w:r>
          <w:r>
            <w:fldChar w:fldCharType="separate"/>
          </w:r>
          <w:r>
            <w:rPr>
              <w:rStyle w:val="13"/>
              <w:rFonts w:ascii="Arial" w:hAnsi="Arial" w:cs="Arial"/>
              <w:b/>
            </w:rPr>
            <w:t>B.</w:t>
          </w:r>
          <w:r>
            <w:rPr>
              <w:rFonts w:eastAsiaTheme="minorEastAsia"/>
              <w:sz w:val="21"/>
            </w:rPr>
            <w:tab/>
          </w:r>
          <w:r>
            <w:rPr>
              <w:rStyle w:val="13"/>
              <w:rFonts w:ascii="Arial" w:hAnsi="Arial" w:cs="Arial"/>
              <w:b/>
            </w:rPr>
            <w:t>ICH E5——</w:t>
          </w:r>
          <w:r>
            <w:rPr>
              <w:rStyle w:val="13"/>
              <w:rFonts w:hint="eastAsia" w:ascii="Arial" w:hAnsi="Arial" w:cs="Arial"/>
              <w:b/>
            </w:rPr>
            <w:t>国外临床数据可接受性中的种族因素指南</w:t>
          </w:r>
          <w:r>
            <w:tab/>
          </w:r>
          <w:r>
            <w:fldChar w:fldCharType="begin"/>
          </w:r>
          <w:r>
            <w:instrText xml:space="preserve"> PAGEREF _Toc498073293 \h </w:instrText>
          </w:r>
          <w:r>
            <w:fldChar w:fldCharType="separate"/>
          </w:r>
          <w:r>
            <w:t>5</w:t>
          </w:r>
          <w:r>
            <w:fldChar w:fldCharType="end"/>
          </w:r>
          <w:r>
            <w:fldChar w:fldCharType="end"/>
          </w:r>
        </w:p>
        <w:p w14:paraId="37DE5B6D">
          <w:pPr>
            <w:pStyle w:val="9"/>
            <w:tabs>
              <w:tab w:val="left" w:pos="1050"/>
              <w:tab w:val="right" w:leader="dot" w:pos="8296"/>
            </w:tabs>
            <w:spacing w:after="156"/>
            <w:ind w:left="420"/>
            <w:rPr>
              <w:rFonts w:eastAsiaTheme="minorEastAsia"/>
              <w:sz w:val="21"/>
            </w:rPr>
          </w:pPr>
          <w:r>
            <w:fldChar w:fldCharType="begin"/>
          </w:r>
          <w:r>
            <w:instrText xml:space="preserve"> HYPERLINK \l "_Toc498073294" </w:instrText>
          </w:r>
          <w:r>
            <w:fldChar w:fldCharType="separate"/>
          </w:r>
          <w:r>
            <w:rPr>
              <w:rStyle w:val="13"/>
              <w:rFonts w:ascii="Arial" w:hAnsi="Arial" w:cs="Arial"/>
              <w:b/>
            </w:rPr>
            <w:t>C.</w:t>
          </w:r>
          <w:r>
            <w:rPr>
              <w:rFonts w:eastAsiaTheme="minorEastAsia"/>
              <w:sz w:val="21"/>
            </w:rPr>
            <w:tab/>
          </w:r>
          <w:r>
            <w:rPr>
              <w:rStyle w:val="13"/>
              <w:rFonts w:hint="eastAsia" w:ascii="Arial" w:hAnsi="Arial" w:cs="Arial"/>
              <w:b/>
            </w:rPr>
            <w:t>美国国立卫生院倡议，振兴法案</w:t>
          </w:r>
          <w:r>
            <w:tab/>
          </w:r>
          <w:r>
            <w:fldChar w:fldCharType="begin"/>
          </w:r>
          <w:r>
            <w:instrText xml:space="preserve"> PAGEREF _Toc498073294 \h </w:instrText>
          </w:r>
          <w:r>
            <w:fldChar w:fldCharType="separate"/>
          </w:r>
          <w:r>
            <w:t>5</w:t>
          </w:r>
          <w:r>
            <w:fldChar w:fldCharType="end"/>
          </w:r>
          <w:r>
            <w:fldChar w:fldCharType="end"/>
          </w:r>
        </w:p>
        <w:p w14:paraId="686648A0">
          <w:pPr>
            <w:pStyle w:val="9"/>
            <w:tabs>
              <w:tab w:val="left" w:pos="1050"/>
              <w:tab w:val="right" w:leader="dot" w:pos="8296"/>
            </w:tabs>
            <w:spacing w:after="156"/>
            <w:ind w:left="420"/>
            <w:rPr>
              <w:rFonts w:eastAsiaTheme="minorEastAsia"/>
              <w:sz w:val="21"/>
            </w:rPr>
          </w:pPr>
          <w:r>
            <w:fldChar w:fldCharType="begin"/>
          </w:r>
          <w:r>
            <w:instrText xml:space="preserve"> HYPERLINK \l "_Toc498073295" </w:instrText>
          </w:r>
          <w:r>
            <w:fldChar w:fldCharType="separate"/>
          </w:r>
          <w:r>
            <w:rPr>
              <w:rStyle w:val="13"/>
              <w:rFonts w:ascii="Arial" w:hAnsi="Arial" w:cs="Arial"/>
              <w:b/>
            </w:rPr>
            <w:t>D.</w:t>
          </w:r>
          <w:r>
            <w:rPr>
              <w:rFonts w:eastAsiaTheme="minorEastAsia"/>
              <w:sz w:val="21"/>
            </w:rPr>
            <w:tab/>
          </w:r>
          <w:r>
            <w:rPr>
              <w:rStyle w:val="13"/>
              <w:rFonts w:ascii="Arial" w:hAnsi="Arial" w:cs="Arial"/>
              <w:b/>
            </w:rPr>
            <w:t>FDA</w:t>
          </w:r>
          <w:r>
            <w:rPr>
              <w:rStyle w:val="13"/>
              <w:rFonts w:hint="eastAsia" w:ascii="Arial" w:hAnsi="Arial" w:cs="Arial"/>
              <w:b/>
            </w:rPr>
            <w:t>法规、指南以及</w:t>
          </w:r>
          <w:r>
            <w:rPr>
              <w:rStyle w:val="13"/>
              <w:rFonts w:ascii="Arial" w:hAnsi="Arial" w:cs="Arial"/>
              <w:b/>
            </w:rPr>
            <w:t>2012</w:t>
          </w:r>
          <w:r>
            <w:rPr>
              <w:rStyle w:val="13"/>
              <w:rFonts w:hint="eastAsia" w:ascii="Arial" w:hAnsi="Arial" w:cs="Arial"/>
              <w:b/>
            </w:rPr>
            <w:t>年</w:t>
          </w:r>
          <w:r>
            <w:rPr>
              <w:rStyle w:val="13"/>
              <w:rFonts w:ascii="Arial" w:hAnsi="Arial" w:cs="Arial"/>
              <w:b/>
            </w:rPr>
            <w:t>FDA</w:t>
          </w:r>
          <w:r>
            <w:rPr>
              <w:rStyle w:val="13"/>
              <w:rFonts w:hint="eastAsia" w:ascii="Arial" w:hAnsi="Arial" w:cs="Arial"/>
              <w:b/>
            </w:rPr>
            <w:t>安全与创新法案（</w:t>
          </w:r>
          <w:r>
            <w:rPr>
              <w:rStyle w:val="13"/>
              <w:rFonts w:ascii="Arial" w:hAnsi="Arial" w:cs="Arial"/>
              <w:b/>
            </w:rPr>
            <w:t>FDASIA</w:t>
          </w:r>
          <w:r>
            <w:rPr>
              <w:rStyle w:val="13"/>
              <w:rFonts w:hint="eastAsia" w:ascii="Arial" w:hAnsi="Arial" w:cs="Arial"/>
              <w:b/>
            </w:rPr>
            <w:t>）第</w:t>
          </w:r>
          <w:r>
            <w:rPr>
              <w:rStyle w:val="13"/>
              <w:rFonts w:ascii="Arial" w:hAnsi="Arial" w:cs="Arial"/>
              <w:b/>
            </w:rPr>
            <w:t>907</w:t>
          </w:r>
          <w:r>
            <w:rPr>
              <w:rStyle w:val="13"/>
              <w:rFonts w:hint="eastAsia" w:ascii="Arial" w:hAnsi="Arial" w:cs="Arial"/>
              <w:b/>
            </w:rPr>
            <w:t>章</w:t>
          </w:r>
          <w:r>
            <w:tab/>
          </w:r>
          <w:r>
            <w:fldChar w:fldCharType="begin"/>
          </w:r>
          <w:r>
            <w:instrText xml:space="preserve"> PAGEREF _Toc498073295 \h </w:instrText>
          </w:r>
          <w:r>
            <w:fldChar w:fldCharType="separate"/>
          </w:r>
          <w:r>
            <w:t>6</w:t>
          </w:r>
          <w:r>
            <w:fldChar w:fldCharType="end"/>
          </w:r>
          <w:r>
            <w:fldChar w:fldCharType="end"/>
          </w:r>
        </w:p>
        <w:p w14:paraId="36FD0EC6">
          <w:pPr>
            <w:pStyle w:val="7"/>
            <w:tabs>
              <w:tab w:val="left" w:pos="630"/>
              <w:tab w:val="right" w:leader="dot" w:pos="8296"/>
            </w:tabs>
            <w:spacing w:after="156"/>
            <w:rPr>
              <w:rFonts w:eastAsiaTheme="minorEastAsia"/>
              <w:sz w:val="21"/>
            </w:rPr>
          </w:pPr>
          <w:r>
            <w:fldChar w:fldCharType="begin"/>
          </w:r>
          <w:r>
            <w:instrText xml:space="preserve"> HYPERLINK \l "_Toc498073296" </w:instrText>
          </w:r>
          <w:r>
            <w:fldChar w:fldCharType="separate"/>
          </w:r>
          <w:r>
            <w:rPr>
              <w:rStyle w:val="13"/>
              <w:rFonts w:ascii="Arial" w:hAnsi="Arial" w:cs="Arial"/>
              <w:b/>
            </w:rPr>
            <w:t>IV.</w:t>
          </w:r>
          <w:r>
            <w:rPr>
              <w:rFonts w:eastAsiaTheme="minorEastAsia"/>
              <w:sz w:val="21"/>
            </w:rPr>
            <w:tab/>
          </w:r>
          <w:r>
            <w:rPr>
              <w:rStyle w:val="13"/>
              <w:rFonts w:hint="eastAsia" w:ascii="Arial" w:hAnsi="Arial" w:cs="Arial"/>
              <w:b/>
            </w:rPr>
            <w:t>在临床试验中收集民族和种族信息</w:t>
          </w:r>
          <w:r>
            <w:tab/>
          </w:r>
          <w:r>
            <w:fldChar w:fldCharType="begin"/>
          </w:r>
          <w:r>
            <w:instrText xml:space="preserve"> PAGEREF _Toc498073296 \h </w:instrText>
          </w:r>
          <w:r>
            <w:fldChar w:fldCharType="separate"/>
          </w:r>
          <w:r>
            <w:t>9</w:t>
          </w:r>
          <w:r>
            <w:fldChar w:fldCharType="end"/>
          </w:r>
          <w:r>
            <w:fldChar w:fldCharType="end"/>
          </w:r>
        </w:p>
        <w:p w14:paraId="252C83F2">
          <w:pPr>
            <w:pStyle w:val="9"/>
            <w:tabs>
              <w:tab w:val="left" w:pos="1050"/>
              <w:tab w:val="right" w:leader="dot" w:pos="8296"/>
            </w:tabs>
            <w:spacing w:after="156"/>
            <w:ind w:left="420"/>
            <w:rPr>
              <w:rFonts w:eastAsiaTheme="minorEastAsia"/>
              <w:sz w:val="21"/>
            </w:rPr>
          </w:pPr>
          <w:r>
            <w:fldChar w:fldCharType="begin"/>
          </w:r>
          <w:r>
            <w:instrText xml:space="preserve"> HYPERLINK \l "_Toc498073297" </w:instrText>
          </w:r>
          <w:r>
            <w:fldChar w:fldCharType="separate"/>
          </w:r>
          <w:r>
            <w:rPr>
              <w:rStyle w:val="13"/>
              <w:rFonts w:ascii="Arial" w:hAnsi="Arial" w:cs="Arial"/>
              <w:b/>
            </w:rPr>
            <w:t>A.</w:t>
          </w:r>
          <w:r>
            <w:rPr>
              <w:rFonts w:eastAsiaTheme="minorEastAsia"/>
              <w:sz w:val="21"/>
            </w:rPr>
            <w:tab/>
          </w:r>
          <w:r>
            <w:rPr>
              <w:rStyle w:val="13"/>
              <w:rFonts w:hint="eastAsia" w:ascii="Arial" w:hAnsi="Arial" w:cs="Arial"/>
              <w:b/>
            </w:rPr>
            <w:t>双问题格式</w:t>
          </w:r>
          <w:r>
            <w:tab/>
          </w:r>
          <w:r>
            <w:fldChar w:fldCharType="begin"/>
          </w:r>
          <w:r>
            <w:instrText xml:space="preserve"> PAGEREF _Toc498073297 \h </w:instrText>
          </w:r>
          <w:r>
            <w:fldChar w:fldCharType="separate"/>
          </w:r>
          <w:r>
            <w:t>9</w:t>
          </w:r>
          <w:r>
            <w:fldChar w:fldCharType="end"/>
          </w:r>
          <w:r>
            <w:fldChar w:fldCharType="end"/>
          </w:r>
        </w:p>
        <w:p w14:paraId="37CE8F5D">
          <w:pPr>
            <w:pStyle w:val="9"/>
            <w:tabs>
              <w:tab w:val="left" w:pos="1050"/>
              <w:tab w:val="right" w:leader="dot" w:pos="8296"/>
            </w:tabs>
            <w:spacing w:after="156"/>
            <w:ind w:left="420"/>
            <w:rPr>
              <w:rFonts w:eastAsiaTheme="minorEastAsia"/>
              <w:sz w:val="21"/>
            </w:rPr>
          </w:pPr>
          <w:r>
            <w:fldChar w:fldCharType="begin"/>
          </w:r>
          <w:r>
            <w:instrText xml:space="preserve"> HYPERLINK \l "_Toc498073298" </w:instrText>
          </w:r>
          <w:r>
            <w:fldChar w:fldCharType="separate"/>
          </w:r>
          <w:r>
            <w:rPr>
              <w:rStyle w:val="13"/>
              <w:rFonts w:ascii="Arial" w:hAnsi="Arial" w:cs="Arial"/>
              <w:b/>
            </w:rPr>
            <w:t>B.</w:t>
          </w:r>
          <w:r>
            <w:rPr>
              <w:rFonts w:eastAsiaTheme="minorEastAsia"/>
              <w:sz w:val="21"/>
            </w:rPr>
            <w:tab/>
          </w:r>
          <w:r>
            <w:rPr>
              <w:rStyle w:val="13"/>
              <w:rFonts w:hint="eastAsia" w:ascii="Arial" w:hAnsi="Arial" w:cs="Arial"/>
              <w:b/>
            </w:rPr>
            <w:t>自我报告</w:t>
          </w:r>
          <w:r>
            <w:tab/>
          </w:r>
          <w:r>
            <w:fldChar w:fldCharType="begin"/>
          </w:r>
          <w:r>
            <w:instrText xml:space="preserve"> PAGEREF _Toc498073298 \h </w:instrText>
          </w:r>
          <w:r>
            <w:fldChar w:fldCharType="separate"/>
          </w:r>
          <w:r>
            <w:t>9</w:t>
          </w:r>
          <w:r>
            <w:fldChar w:fldCharType="end"/>
          </w:r>
          <w:r>
            <w:fldChar w:fldCharType="end"/>
          </w:r>
        </w:p>
        <w:p w14:paraId="0A5EC253">
          <w:pPr>
            <w:pStyle w:val="9"/>
            <w:tabs>
              <w:tab w:val="left" w:pos="1050"/>
              <w:tab w:val="right" w:leader="dot" w:pos="8296"/>
            </w:tabs>
            <w:spacing w:after="156"/>
            <w:ind w:left="420"/>
            <w:rPr>
              <w:rFonts w:eastAsiaTheme="minorEastAsia"/>
              <w:sz w:val="21"/>
            </w:rPr>
          </w:pPr>
          <w:r>
            <w:fldChar w:fldCharType="begin"/>
          </w:r>
          <w:r>
            <w:instrText xml:space="preserve"> HYPERLINK \l "_Toc498073299" </w:instrText>
          </w:r>
          <w:r>
            <w:fldChar w:fldCharType="separate"/>
          </w:r>
          <w:r>
            <w:rPr>
              <w:rStyle w:val="13"/>
              <w:rFonts w:ascii="Arial" w:hAnsi="Arial" w:cs="Arial"/>
              <w:b/>
            </w:rPr>
            <w:t>C.</w:t>
          </w:r>
          <w:r>
            <w:rPr>
              <w:rFonts w:eastAsiaTheme="minorEastAsia"/>
              <w:sz w:val="21"/>
            </w:rPr>
            <w:tab/>
          </w:r>
          <w:r>
            <w:rPr>
              <w:rStyle w:val="13"/>
              <w:rFonts w:hint="eastAsia" w:ascii="Arial" w:hAnsi="Arial" w:cs="Arial"/>
              <w:b/>
            </w:rPr>
            <w:t>种族</w:t>
          </w:r>
          <w:r>
            <w:tab/>
          </w:r>
          <w:r>
            <w:fldChar w:fldCharType="begin"/>
          </w:r>
          <w:r>
            <w:instrText xml:space="preserve"> PAGEREF _Toc498073299 \h </w:instrText>
          </w:r>
          <w:r>
            <w:fldChar w:fldCharType="separate"/>
          </w:r>
          <w:r>
            <w:t>10</w:t>
          </w:r>
          <w:r>
            <w:fldChar w:fldCharType="end"/>
          </w:r>
          <w:r>
            <w:fldChar w:fldCharType="end"/>
          </w:r>
        </w:p>
        <w:p w14:paraId="70518DF7">
          <w:pPr>
            <w:pStyle w:val="9"/>
            <w:tabs>
              <w:tab w:val="left" w:pos="1050"/>
              <w:tab w:val="right" w:leader="dot" w:pos="8296"/>
            </w:tabs>
            <w:spacing w:after="156"/>
            <w:ind w:left="420"/>
            <w:rPr>
              <w:rFonts w:eastAsiaTheme="minorEastAsia"/>
              <w:sz w:val="21"/>
            </w:rPr>
          </w:pPr>
          <w:r>
            <w:fldChar w:fldCharType="begin"/>
          </w:r>
          <w:r>
            <w:instrText xml:space="preserve"> HYPERLINK \l "_Toc498073300" </w:instrText>
          </w:r>
          <w:r>
            <w:fldChar w:fldCharType="separate"/>
          </w:r>
          <w:r>
            <w:rPr>
              <w:rStyle w:val="13"/>
              <w:rFonts w:ascii="Arial" w:hAnsi="Arial" w:cs="Arial"/>
              <w:b/>
            </w:rPr>
            <w:t>D.</w:t>
          </w:r>
          <w:r>
            <w:rPr>
              <w:rFonts w:eastAsiaTheme="minorEastAsia"/>
              <w:sz w:val="21"/>
            </w:rPr>
            <w:tab/>
          </w:r>
          <w:r>
            <w:rPr>
              <w:rStyle w:val="13"/>
              <w:rFonts w:hint="eastAsia" w:ascii="Arial" w:hAnsi="Arial" w:cs="Arial"/>
              <w:b/>
            </w:rPr>
            <w:t>民族</w:t>
          </w:r>
          <w:r>
            <w:tab/>
          </w:r>
          <w:r>
            <w:fldChar w:fldCharType="begin"/>
          </w:r>
          <w:r>
            <w:instrText xml:space="preserve"> PAGEREF _Toc498073300 \h </w:instrText>
          </w:r>
          <w:r>
            <w:fldChar w:fldCharType="separate"/>
          </w:r>
          <w:r>
            <w:t>10</w:t>
          </w:r>
          <w:r>
            <w:fldChar w:fldCharType="end"/>
          </w:r>
          <w:r>
            <w:fldChar w:fldCharType="end"/>
          </w:r>
        </w:p>
        <w:p w14:paraId="03C03631">
          <w:pPr>
            <w:pStyle w:val="9"/>
            <w:tabs>
              <w:tab w:val="left" w:pos="1050"/>
              <w:tab w:val="right" w:leader="dot" w:pos="8296"/>
            </w:tabs>
            <w:spacing w:after="156"/>
            <w:ind w:left="420"/>
            <w:rPr>
              <w:rFonts w:eastAsiaTheme="minorEastAsia"/>
              <w:sz w:val="21"/>
            </w:rPr>
          </w:pPr>
          <w:r>
            <w:fldChar w:fldCharType="begin"/>
          </w:r>
          <w:r>
            <w:instrText xml:space="preserve"> HYPERLINK \l "_Toc498073301" </w:instrText>
          </w:r>
          <w:r>
            <w:fldChar w:fldCharType="separate"/>
          </w:r>
          <w:r>
            <w:rPr>
              <w:rStyle w:val="13"/>
              <w:rFonts w:ascii="Arial" w:hAnsi="Arial" w:cs="Arial"/>
              <w:b/>
            </w:rPr>
            <w:t>E.</w:t>
          </w:r>
          <w:r>
            <w:rPr>
              <w:rFonts w:eastAsiaTheme="minorEastAsia"/>
              <w:sz w:val="21"/>
            </w:rPr>
            <w:tab/>
          </w:r>
          <w:r>
            <w:rPr>
              <w:rStyle w:val="13"/>
              <w:rFonts w:hint="eastAsia" w:ascii="Arial" w:hAnsi="Arial" w:cs="Arial"/>
              <w:b/>
            </w:rPr>
            <w:t>使用更为详尽的民族和种族分类</w:t>
          </w:r>
          <w:r>
            <w:tab/>
          </w:r>
          <w:r>
            <w:fldChar w:fldCharType="begin"/>
          </w:r>
          <w:r>
            <w:instrText xml:space="preserve"> PAGEREF _Toc498073301 \h </w:instrText>
          </w:r>
          <w:r>
            <w:fldChar w:fldCharType="separate"/>
          </w:r>
          <w:r>
            <w:t>12</w:t>
          </w:r>
          <w:r>
            <w:fldChar w:fldCharType="end"/>
          </w:r>
          <w:r>
            <w:fldChar w:fldCharType="end"/>
          </w:r>
        </w:p>
        <w:p w14:paraId="7FEBBA35">
          <w:pPr>
            <w:pStyle w:val="9"/>
            <w:tabs>
              <w:tab w:val="left" w:pos="840"/>
              <w:tab w:val="right" w:leader="dot" w:pos="8296"/>
            </w:tabs>
            <w:spacing w:after="156"/>
            <w:ind w:left="420"/>
            <w:rPr>
              <w:rFonts w:eastAsiaTheme="minorEastAsia"/>
              <w:sz w:val="21"/>
            </w:rPr>
          </w:pPr>
          <w:r>
            <w:fldChar w:fldCharType="begin"/>
          </w:r>
          <w:r>
            <w:instrText xml:space="preserve"> HYPERLINK \l "_Toc498073302" </w:instrText>
          </w:r>
          <w:r>
            <w:fldChar w:fldCharType="separate"/>
          </w:r>
          <w:r>
            <w:rPr>
              <w:rStyle w:val="13"/>
              <w:rFonts w:ascii="Arial" w:hAnsi="Arial" w:cs="Arial"/>
              <w:b/>
            </w:rPr>
            <w:t>F.</w:t>
          </w:r>
          <w:r>
            <w:rPr>
              <w:rFonts w:eastAsiaTheme="minorEastAsia"/>
              <w:sz w:val="21"/>
            </w:rPr>
            <w:tab/>
          </w:r>
          <w:r>
            <w:rPr>
              <w:rStyle w:val="13"/>
              <w:rFonts w:hint="eastAsia" w:ascii="Arial" w:hAnsi="Arial" w:cs="Arial"/>
              <w:b/>
            </w:rPr>
            <w:t>使用术语</w:t>
          </w:r>
          <w:r>
            <w:rPr>
              <w:rStyle w:val="13"/>
              <w:rFonts w:ascii="宋体" w:hAnsi="宋体" w:cs="Arial"/>
              <w:b/>
            </w:rPr>
            <w:t>“</w:t>
          </w:r>
          <w:r>
            <w:rPr>
              <w:rStyle w:val="13"/>
              <w:rFonts w:hint="eastAsia" w:ascii="Arial" w:hAnsi="Arial" w:cs="Arial"/>
              <w:b/>
            </w:rPr>
            <w:t>非白种人</w:t>
          </w:r>
          <w:r>
            <w:rPr>
              <w:rStyle w:val="13"/>
              <w:rFonts w:ascii="宋体" w:hAnsi="宋体" w:cs="Arial"/>
              <w:b/>
            </w:rPr>
            <w:t>”</w:t>
          </w:r>
          <w:r>
            <w:tab/>
          </w:r>
          <w:r>
            <w:fldChar w:fldCharType="begin"/>
          </w:r>
          <w:r>
            <w:instrText xml:space="preserve"> PAGEREF _Toc498073302 \h </w:instrText>
          </w:r>
          <w:r>
            <w:fldChar w:fldCharType="separate"/>
          </w:r>
          <w:r>
            <w:t>14</w:t>
          </w:r>
          <w:r>
            <w:fldChar w:fldCharType="end"/>
          </w:r>
          <w:r>
            <w:fldChar w:fldCharType="end"/>
          </w:r>
        </w:p>
        <w:p w14:paraId="11537D3E">
          <w:pPr>
            <w:pStyle w:val="7"/>
            <w:tabs>
              <w:tab w:val="left" w:pos="420"/>
              <w:tab w:val="right" w:leader="dot" w:pos="8296"/>
            </w:tabs>
            <w:spacing w:after="156"/>
            <w:rPr>
              <w:rFonts w:eastAsiaTheme="minorEastAsia"/>
              <w:sz w:val="21"/>
            </w:rPr>
          </w:pPr>
          <w:r>
            <w:fldChar w:fldCharType="begin"/>
          </w:r>
          <w:r>
            <w:instrText xml:space="preserve"> HYPERLINK \l "_Toc498073303" </w:instrText>
          </w:r>
          <w:r>
            <w:fldChar w:fldCharType="separate"/>
          </w:r>
          <w:r>
            <w:rPr>
              <w:rStyle w:val="13"/>
              <w:rFonts w:ascii="Arial" w:hAnsi="Arial" w:cs="Arial"/>
              <w:b/>
            </w:rPr>
            <w:t>V.</w:t>
          </w:r>
          <w:r>
            <w:rPr>
              <w:rFonts w:eastAsiaTheme="minorEastAsia"/>
              <w:sz w:val="21"/>
            </w:rPr>
            <w:tab/>
          </w:r>
          <w:r>
            <w:rPr>
              <w:rStyle w:val="13"/>
              <w:rFonts w:hint="eastAsia" w:ascii="Arial" w:hAnsi="Arial" w:cs="Arial"/>
              <w:b/>
            </w:rPr>
            <w:t>提交临床试验的民族和种族数据</w:t>
          </w:r>
          <w:r>
            <w:tab/>
          </w:r>
          <w:r>
            <w:fldChar w:fldCharType="begin"/>
          </w:r>
          <w:r>
            <w:instrText xml:space="preserve"> PAGEREF _Toc498073303 \h </w:instrText>
          </w:r>
          <w:r>
            <w:fldChar w:fldCharType="separate"/>
          </w:r>
          <w:r>
            <w:t>14</w:t>
          </w:r>
          <w:r>
            <w:fldChar w:fldCharType="end"/>
          </w:r>
          <w:r>
            <w:fldChar w:fldCharType="end"/>
          </w:r>
        </w:p>
        <w:p w14:paraId="4AF85BE9">
          <w:pPr>
            <w:pStyle w:val="7"/>
            <w:tabs>
              <w:tab w:val="left" w:pos="630"/>
              <w:tab w:val="right" w:leader="dot" w:pos="8296"/>
            </w:tabs>
            <w:spacing w:after="156"/>
            <w:rPr>
              <w:rFonts w:eastAsiaTheme="minorEastAsia"/>
              <w:sz w:val="21"/>
            </w:rPr>
          </w:pPr>
          <w:r>
            <w:fldChar w:fldCharType="begin"/>
          </w:r>
          <w:r>
            <w:instrText xml:space="preserve"> HYPERLINK \l "_Toc498073304" </w:instrText>
          </w:r>
          <w:r>
            <w:fldChar w:fldCharType="separate"/>
          </w:r>
          <w:r>
            <w:rPr>
              <w:rStyle w:val="13"/>
              <w:rFonts w:ascii="Arial" w:hAnsi="Arial" w:cs="Arial"/>
              <w:b/>
            </w:rPr>
            <w:t>VI.</w:t>
          </w:r>
          <w:r>
            <w:rPr>
              <w:rFonts w:eastAsiaTheme="minorEastAsia"/>
              <w:sz w:val="21"/>
            </w:rPr>
            <w:tab/>
          </w:r>
          <w:r>
            <w:rPr>
              <w:rStyle w:val="13"/>
              <w:rFonts w:hint="eastAsia" w:ascii="Arial" w:hAnsi="Arial" w:cs="Arial"/>
              <w:b/>
            </w:rPr>
            <w:t>参考文献</w:t>
          </w:r>
          <w:r>
            <w:tab/>
          </w:r>
          <w:r>
            <w:fldChar w:fldCharType="begin"/>
          </w:r>
          <w:r>
            <w:instrText xml:space="preserve"> PAGEREF _Toc498073304 \h </w:instrText>
          </w:r>
          <w:r>
            <w:fldChar w:fldCharType="separate"/>
          </w:r>
          <w:r>
            <w:t>15</w:t>
          </w:r>
          <w:r>
            <w:fldChar w:fldCharType="end"/>
          </w:r>
          <w:r>
            <w:fldChar w:fldCharType="end"/>
          </w:r>
        </w:p>
        <w:p w14:paraId="34EACFD0">
          <w:pPr>
            <w:pStyle w:val="7"/>
            <w:tabs>
              <w:tab w:val="left" w:pos="630"/>
              <w:tab w:val="right" w:leader="dot" w:pos="8296"/>
            </w:tabs>
            <w:spacing w:after="156"/>
            <w:rPr>
              <w:rFonts w:eastAsiaTheme="minorEastAsia"/>
              <w:sz w:val="21"/>
            </w:rPr>
          </w:pPr>
          <w:r>
            <w:fldChar w:fldCharType="begin"/>
          </w:r>
          <w:r>
            <w:instrText xml:space="preserve"> HYPERLINK \l "_Toc498073305" </w:instrText>
          </w:r>
          <w:r>
            <w:fldChar w:fldCharType="separate"/>
          </w:r>
          <w:r>
            <w:rPr>
              <w:rStyle w:val="13"/>
              <w:rFonts w:ascii="Arial" w:hAnsi="Arial" w:cs="Arial"/>
              <w:b/>
            </w:rPr>
            <w:t>VII.</w:t>
          </w:r>
          <w:r>
            <w:rPr>
              <w:rFonts w:eastAsiaTheme="minorEastAsia"/>
              <w:sz w:val="21"/>
            </w:rPr>
            <w:tab/>
          </w:r>
          <w:r>
            <w:rPr>
              <w:rStyle w:val="13"/>
              <w:rFonts w:hint="eastAsia" w:ascii="Arial" w:hAnsi="Arial" w:cs="Arial"/>
              <w:b/>
            </w:rPr>
            <w:t>书目</w:t>
          </w:r>
          <w:r>
            <w:tab/>
          </w:r>
          <w:r>
            <w:fldChar w:fldCharType="begin"/>
          </w:r>
          <w:r>
            <w:instrText xml:space="preserve"> PAGEREF _Toc498073305 \h </w:instrText>
          </w:r>
          <w:r>
            <w:fldChar w:fldCharType="separate"/>
          </w:r>
          <w:r>
            <w:t>16</w:t>
          </w:r>
          <w:r>
            <w:fldChar w:fldCharType="end"/>
          </w:r>
          <w:r>
            <w:fldChar w:fldCharType="end"/>
          </w:r>
        </w:p>
        <w:p w14:paraId="2F33340F">
          <w:pPr>
            <w:pStyle w:val="9"/>
            <w:tabs>
              <w:tab w:val="right" w:leader="dot" w:pos="8296"/>
            </w:tabs>
            <w:spacing w:after="156"/>
            <w:ind w:left="420"/>
            <w:rPr>
              <w:rFonts w:eastAsiaTheme="minorEastAsia"/>
              <w:sz w:val="21"/>
            </w:rPr>
          </w:pPr>
          <w:r>
            <w:fldChar w:fldCharType="begin"/>
          </w:r>
          <w:r>
            <w:instrText xml:space="preserve"> HYPERLINK \l "_Toc498073306" </w:instrText>
          </w:r>
          <w:r>
            <w:fldChar w:fldCharType="separate"/>
          </w:r>
          <w:r>
            <w:rPr>
              <w:rStyle w:val="13"/>
              <w:rFonts w:ascii="Arial" w:hAnsi="Arial" w:cs="Arial"/>
              <w:b/>
            </w:rPr>
            <w:t>HHS</w:t>
          </w:r>
          <w:r>
            <w:rPr>
              <w:rStyle w:val="13"/>
              <w:rFonts w:hint="eastAsia" w:ascii="Arial" w:hAnsi="Arial" w:cs="Arial"/>
              <w:b/>
            </w:rPr>
            <w:t>政策与报告</w:t>
          </w:r>
          <w:r>
            <w:tab/>
          </w:r>
          <w:r>
            <w:fldChar w:fldCharType="begin"/>
          </w:r>
          <w:r>
            <w:instrText xml:space="preserve"> PAGEREF _Toc498073306 \h </w:instrText>
          </w:r>
          <w:r>
            <w:fldChar w:fldCharType="separate"/>
          </w:r>
          <w:r>
            <w:t>16</w:t>
          </w:r>
          <w:r>
            <w:fldChar w:fldCharType="end"/>
          </w:r>
          <w:r>
            <w:fldChar w:fldCharType="end"/>
          </w:r>
        </w:p>
        <w:p w14:paraId="5A60E097">
          <w:pPr>
            <w:pStyle w:val="9"/>
            <w:tabs>
              <w:tab w:val="right" w:leader="dot" w:pos="8296"/>
            </w:tabs>
            <w:spacing w:after="156"/>
            <w:ind w:left="420"/>
            <w:rPr>
              <w:rFonts w:eastAsiaTheme="minorEastAsia"/>
              <w:sz w:val="21"/>
            </w:rPr>
          </w:pPr>
          <w:r>
            <w:fldChar w:fldCharType="begin"/>
          </w:r>
          <w:r>
            <w:instrText xml:space="preserve"> HYPERLINK \l "_Toc498073307" </w:instrText>
          </w:r>
          <w:r>
            <w:fldChar w:fldCharType="separate"/>
          </w:r>
          <w:r>
            <w:rPr>
              <w:rStyle w:val="13"/>
              <w:rFonts w:ascii="Arial" w:hAnsi="Arial" w:cs="Arial"/>
              <w:b/>
            </w:rPr>
            <w:t>NIH</w:t>
          </w:r>
          <w:r>
            <w:rPr>
              <w:rStyle w:val="13"/>
              <w:rFonts w:hint="eastAsia" w:ascii="Arial" w:hAnsi="Arial" w:cs="Arial"/>
              <w:b/>
            </w:rPr>
            <w:t>政策、报告与资源研究中纳入妇女和少数民族作为受试者</w:t>
          </w:r>
          <w:r>
            <w:tab/>
          </w:r>
          <w:r>
            <w:fldChar w:fldCharType="begin"/>
          </w:r>
          <w:r>
            <w:instrText xml:space="preserve"> PAGEREF _Toc498073307 \h </w:instrText>
          </w:r>
          <w:r>
            <w:fldChar w:fldCharType="separate"/>
          </w:r>
          <w:r>
            <w:t>16</w:t>
          </w:r>
          <w:r>
            <w:fldChar w:fldCharType="end"/>
          </w:r>
          <w:r>
            <w:fldChar w:fldCharType="end"/>
          </w:r>
        </w:p>
        <w:p w14:paraId="5194E316">
          <w:pPr>
            <w:pStyle w:val="9"/>
            <w:tabs>
              <w:tab w:val="right" w:leader="dot" w:pos="8296"/>
            </w:tabs>
            <w:spacing w:after="156"/>
            <w:ind w:left="420"/>
            <w:rPr>
              <w:rFonts w:eastAsiaTheme="minorEastAsia"/>
              <w:sz w:val="21"/>
            </w:rPr>
          </w:pPr>
          <w:r>
            <w:fldChar w:fldCharType="begin"/>
          </w:r>
          <w:r>
            <w:instrText xml:space="preserve"> HYPERLINK \l "_Toc498073308" </w:instrText>
          </w:r>
          <w:r>
            <w:fldChar w:fldCharType="separate"/>
          </w:r>
          <w:r>
            <w:rPr>
              <w:rStyle w:val="13"/>
              <w:rFonts w:ascii="Arial" w:hAnsi="Arial" w:cs="Arial"/>
              <w:b/>
            </w:rPr>
            <w:t>FDA</w:t>
          </w:r>
          <w:r>
            <w:rPr>
              <w:rStyle w:val="13"/>
              <w:rFonts w:hint="eastAsia" w:ascii="Arial" w:hAnsi="Arial" w:cs="Arial"/>
              <w:b/>
            </w:rPr>
            <w:t>法规、报告与法律</w:t>
          </w:r>
          <w:r>
            <w:tab/>
          </w:r>
          <w:r>
            <w:fldChar w:fldCharType="begin"/>
          </w:r>
          <w:r>
            <w:instrText xml:space="preserve"> PAGEREF _Toc498073308 \h </w:instrText>
          </w:r>
          <w:r>
            <w:fldChar w:fldCharType="separate"/>
          </w:r>
          <w:r>
            <w:t>16</w:t>
          </w:r>
          <w:r>
            <w:fldChar w:fldCharType="end"/>
          </w:r>
          <w:r>
            <w:fldChar w:fldCharType="end"/>
          </w:r>
        </w:p>
        <w:p w14:paraId="57D8A1DA">
          <w:pPr>
            <w:pStyle w:val="9"/>
            <w:tabs>
              <w:tab w:val="right" w:leader="dot" w:pos="8296"/>
            </w:tabs>
            <w:spacing w:after="156"/>
            <w:ind w:left="420"/>
            <w:rPr>
              <w:rFonts w:eastAsiaTheme="minorEastAsia"/>
              <w:sz w:val="21"/>
            </w:rPr>
          </w:pPr>
          <w:r>
            <w:fldChar w:fldCharType="begin"/>
          </w:r>
          <w:r>
            <w:instrText xml:space="preserve"> HYPERLINK \l "_Toc498073309" </w:instrText>
          </w:r>
          <w:r>
            <w:fldChar w:fldCharType="separate"/>
          </w:r>
          <w:r>
            <w:rPr>
              <w:rStyle w:val="13"/>
              <w:rFonts w:ascii="Arial" w:hAnsi="Arial" w:cs="Arial"/>
              <w:b/>
            </w:rPr>
            <w:t>FDA</w:t>
          </w:r>
          <w:r>
            <w:rPr>
              <w:rStyle w:val="13"/>
              <w:rFonts w:hint="eastAsia" w:ascii="Arial" w:hAnsi="Arial" w:cs="Arial"/>
              <w:b/>
            </w:rPr>
            <w:t>行业指南</w:t>
          </w:r>
          <w:r>
            <w:tab/>
          </w:r>
          <w:r>
            <w:fldChar w:fldCharType="begin"/>
          </w:r>
          <w:r>
            <w:instrText xml:space="preserve"> PAGEREF _Toc498073309 \h </w:instrText>
          </w:r>
          <w:r>
            <w:fldChar w:fldCharType="separate"/>
          </w:r>
          <w:r>
            <w:t>17</w:t>
          </w:r>
          <w:r>
            <w:fldChar w:fldCharType="end"/>
          </w:r>
          <w:r>
            <w:fldChar w:fldCharType="end"/>
          </w:r>
        </w:p>
        <w:p w14:paraId="2CC60063">
          <w:pPr>
            <w:pStyle w:val="9"/>
            <w:tabs>
              <w:tab w:val="right" w:leader="dot" w:pos="8296"/>
            </w:tabs>
            <w:spacing w:after="156"/>
            <w:ind w:left="420"/>
            <w:rPr>
              <w:rFonts w:eastAsiaTheme="minorEastAsia"/>
              <w:sz w:val="21"/>
            </w:rPr>
          </w:pPr>
          <w:r>
            <w:fldChar w:fldCharType="begin"/>
          </w:r>
          <w:r>
            <w:instrText xml:space="preserve"> HYPERLINK \l "_Toc498073310" </w:instrText>
          </w:r>
          <w:r>
            <w:fldChar w:fldCharType="separate"/>
          </w:r>
          <w:r>
            <w:rPr>
              <w:rStyle w:val="13"/>
              <w:rFonts w:ascii="Arial" w:hAnsi="Arial" w:cs="Arial"/>
              <w:b/>
            </w:rPr>
            <w:t>ICH</w:t>
          </w:r>
          <w:r>
            <w:rPr>
              <w:rStyle w:val="13"/>
              <w:rFonts w:hint="eastAsia" w:ascii="Arial" w:hAnsi="Arial" w:cs="Arial"/>
              <w:b/>
            </w:rPr>
            <w:t>指南</w:t>
          </w:r>
          <w:r>
            <w:tab/>
          </w:r>
          <w:r>
            <w:fldChar w:fldCharType="begin"/>
          </w:r>
          <w:r>
            <w:instrText xml:space="preserve"> PAGEREF _Toc498073310 \h </w:instrText>
          </w:r>
          <w:r>
            <w:fldChar w:fldCharType="separate"/>
          </w:r>
          <w:r>
            <w:t>18</w:t>
          </w:r>
          <w:r>
            <w:fldChar w:fldCharType="end"/>
          </w:r>
          <w:r>
            <w:fldChar w:fldCharType="end"/>
          </w:r>
        </w:p>
        <w:p w14:paraId="4309A7C9">
          <w:pPr>
            <w:pStyle w:val="9"/>
            <w:tabs>
              <w:tab w:val="right" w:leader="dot" w:pos="8296"/>
            </w:tabs>
            <w:spacing w:after="156"/>
            <w:ind w:left="420"/>
            <w:rPr>
              <w:rFonts w:eastAsiaTheme="minorEastAsia"/>
              <w:sz w:val="21"/>
            </w:rPr>
          </w:pPr>
          <w:r>
            <w:fldChar w:fldCharType="begin"/>
          </w:r>
          <w:r>
            <w:instrText xml:space="preserve"> HYPERLINK \l "_Toc498073311" </w:instrText>
          </w:r>
          <w:r>
            <w:fldChar w:fldCharType="separate"/>
          </w:r>
          <w:r>
            <w:rPr>
              <w:rStyle w:val="13"/>
              <w:rFonts w:hint="eastAsia" w:ascii="Arial" w:hAnsi="Arial" w:cs="Arial"/>
              <w:b/>
            </w:rPr>
            <w:t>其他资源</w:t>
          </w:r>
          <w:r>
            <w:tab/>
          </w:r>
          <w:r>
            <w:fldChar w:fldCharType="begin"/>
          </w:r>
          <w:r>
            <w:instrText xml:space="preserve"> PAGEREF _Toc498073311 \h </w:instrText>
          </w:r>
          <w:r>
            <w:fldChar w:fldCharType="separate"/>
          </w:r>
          <w:r>
            <w:t>18</w:t>
          </w:r>
          <w:r>
            <w:fldChar w:fldCharType="end"/>
          </w:r>
          <w:r>
            <w:fldChar w:fldCharType="end"/>
          </w:r>
        </w:p>
        <w:p w14:paraId="6476B158">
          <w:pPr>
            <w:pStyle w:val="9"/>
            <w:tabs>
              <w:tab w:val="right" w:leader="dot" w:pos="8296"/>
            </w:tabs>
            <w:spacing w:after="156"/>
            <w:ind w:left="420" w:firstLine="360"/>
            <w:rPr>
              <w:rFonts w:eastAsiaTheme="minorEastAsia"/>
              <w:sz w:val="21"/>
            </w:rPr>
          </w:pPr>
          <w:r>
            <w:fldChar w:fldCharType="begin"/>
          </w:r>
          <w:r>
            <w:instrText xml:space="preserve"> HYPERLINK \l "_Toc498073312" </w:instrText>
          </w:r>
          <w:r>
            <w:fldChar w:fldCharType="separate"/>
          </w:r>
          <w:r>
            <w:rPr>
              <w:rStyle w:val="13"/>
              <w:rFonts w:ascii="Arial" w:hAnsi="Arial" w:cs="Arial"/>
              <w:b/>
            </w:rPr>
            <w:t>NIH PHS</w:t>
          </w:r>
          <w:r>
            <w:rPr>
              <w:rStyle w:val="13"/>
              <w:rFonts w:hint="eastAsia" w:ascii="Arial" w:hAnsi="Arial" w:cs="Arial"/>
              <w:b/>
            </w:rPr>
            <w:t>累计纳入报告表</w:t>
          </w:r>
          <w:r>
            <w:tab/>
          </w:r>
          <w:r>
            <w:fldChar w:fldCharType="begin"/>
          </w:r>
          <w:r>
            <w:instrText xml:space="preserve"> PAGEREF _Toc498073312 \h </w:instrText>
          </w:r>
          <w:r>
            <w:fldChar w:fldCharType="separate"/>
          </w:r>
          <w:r>
            <w:t>18</w:t>
          </w:r>
          <w:r>
            <w:fldChar w:fldCharType="end"/>
          </w:r>
          <w:r>
            <w:fldChar w:fldCharType="end"/>
          </w:r>
        </w:p>
        <w:p w14:paraId="4E14A64B">
          <w:pPr>
            <w:rPr>
              <w:rFonts w:ascii="Arial" w:hAnsi="Arial" w:cs="Arial"/>
            </w:rPr>
          </w:pPr>
          <w:r>
            <w:rPr>
              <w:rFonts w:ascii="Arial" w:hAnsi="Arial" w:eastAsia="宋体" w:cs="Arial"/>
              <w:sz w:val="24"/>
            </w:rPr>
            <w:fldChar w:fldCharType="end"/>
          </w:r>
        </w:p>
      </w:sdtContent>
    </w:sdt>
    <w:p w14:paraId="06D77CD6">
      <w:pPr>
        <w:pBdr>
          <w:bottom w:val="single" w:color="auto" w:sz="4" w:space="1"/>
        </w:pBdr>
        <w:snapToGrid w:val="0"/>
        <w:spacing w:after="156" w:afterLines="50" w:line="300" w:lineRule="auto"/>
        <w:jc w:val="center"/>
        <w:rPr>
          <w:rFonts w:ascii="Arial" w:hAnsi="Arial" w:eastAsia="宋体" w:cs="Arial"/>
          <w:b/>
          <w:sz w:val="52"/>
          <w:szCs w:val="52"/>
        </w:rPr>
        <w:sectPr>
          <w:headerReference r:id="rId4" w:type="default"/>
          <w:pgSz w:w="11906" w:h="16838"/>
          <w:pgMar w:top="1440" w:right="1800" w:bottom="1440" w:left="1800" w:header="851" w:footer="992" w:gutter="0"/>
          <w:cols w:space="425" w:num="1"/>
          <w:docGrid w:type="lines" w:linePitch="312" w:charSpace="0"/>
        </w:sectPr>
      </w:pPr>
    </w:p>
    <w:p w14:paraId="64BE56FB">
      <w:pPr>
        <w:pBdr>
          <w:bottom w:val="single" w:color="auto" w:sz="4" w:space="1"/>
        </w:pBdr>
        <w:snapToGrid w:val="0"/>
        <w:spacing w:after="156" w:afterLines="50" w:line="300" w:lineRule="auto"/>
        <w:jc w:val="center"/>
        <w:rPr>
          <w:rFonts w:ascii="Arial" w:hAnsi="Arial" w:eastAsia="宋体" w:cs="Arial"/>
          <w:b/>
          <w:sz w:val="52"/>
          <w:szCs w:val="52"/>
        </w:rPr>
      </w:pPr>
      <w:r>
        <w:rPr>
          <w:rFonts w:ascii="Arial" w:hAnsi="Arial" w:eastAsia="宋体" w:cs="Arial"/>
          <w:b/>
          <w:sz w:val="52"/>
          <w:szCs w:val="52"/>
        </w:rPr>
        <w:t>在临床试验中收集</w:t>
      </w:r>
      <w:r>
        <w:rPr>
          <w:rFonts w:hint="eastAsia" w:ascii="Arial" w:hAnsi="Arial" w:eastAsia="宋体" w:cs="Arial"/>
          <w:b/>
          <w:sz w:val="52"/>
          <w:szCs w:val="52"/>
        </w:rPr>
        <w:t>民族和种族</w:t>
      </w:r>
      <w:r>
        <w:rPr>
          <w:rFonts w:ascii="Arial" w:hAnsi="Arial" w:eastAsia="宋体" w:cs="Arial"/>
          <w:b/>
          <w:sz w:val="52"/>
          <w:szCs w:val="52"/>
        </w:rPr>
        <w:t>数据</w:t>
      </w:r>
    </w:p>
    <w:p w14:paraId="751BB7B8">
      <w:pPr>
        <w:snapToGrid w:val="0"/>
        <w:spacing w:after="156" w:afterLines="5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w:t>
      </w:r>
      <w:r>
        <w:rPr>
          <w:rFonts w:ascii="Arial" w:hAnsi="Arial" w:eastAsia="宋体" w:cs="Arial"/>
          <w:b/>
          <w:sz w:val="52"/>
          <w:szCs w:val="52"/>
        </w:rPr>
        <w:t>FDA工作人员指南</w:t>
      </w:r>
      <w:r>
        <w:rPr>
          <w:rStyle w:val="14"/>
          <w:rFonts w:ascii="Arial" w:hAnsi="Arial" w:eastAsia="宋体" w:cs="Arial"/>
          <w:b/>
          <w:sz w:val="52"/>
          <w:szCs w:val="52"/>
        </w:rPr>
        <w:footnoteReference w:id="0"/>
      </w:r>
    </w:p>
    <w:tbl>
      <w:tblPr>
        <w:tblStyle w:val="11"/>
        <w:tblW w:w="0" w:type="auto"/>
        <w:tblInd w:w="0" w:type="dxa"/>
        <w:tblBorders>
          <w:top w:val="single" w:color="auto" w:sz="4" w:space="0"/>
          <w:left w:val="thinThickSmallGap" w:color="auto" w:sz="24" w:space="0"/>
          <w:bottom w:val="double" w:color="auto" w:sz="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296"/>
      </w:tblGrid>
      <w:tr w14:paraId="20AC585A">
        <w:tblPrEx>
          <w:tblBorders>
            <w:top w:val="single" w:color="auto" w:sz="4" w:space="0"/>
            <w:left w:val="thinThickSmallGap" w:color="auto" w:sz="24" w:space="0"/>
            <w:bottom w:val="double" w:color="auto" w:sz="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296" w:type="dxa"/>
          </w:tcPr>
          <w:p w14:paraId="2B741DEA">
            <w:pPr>
              <w:snapToGrid w:val="0"/>
              <w:spacing w:line="300" w:lineRule="auto"/>
              <w:rPr>
                <w:rFonts w:ascii="Arial" w:hAnsi="Arial" w:eastAsia="宋体" w:cs="Arial"/>
              </w:rPr>
            </w:pPr>
            <w:bookmarkStart w:id="7" w:name="_Hlk495524515"/>
            <w:r>
              <w:rPr>
                <w:rFonts w:ascii="Arial" w:hAnsi="Arial" w:eastAsia="宋体" w:cs="Arial"/>
              </w:rPr>
              <w:t>本指南代表</w:t>
            </w:r>
            <w:bookmarkStart w:id="8" w:name="OLE_LINK7"/>
            <w:bookmarkStart w:id="9" w:name="OLE_LINK8"/>
            <w:r>
              <w:rPr>
                <w:rFonts w:ascii="Arial" w:hAnsi="Arial" w:eastAsia="宋体" w:cs="Arial"/>
              </w:rPr>
              <w:t>FDA</w:t>
            </w:r>
            <w:r>
              <w:rPr>
                <w:rFonts w:hint="eastAsia" w:ascii="Arial" w:hAnsi="Arial" w:eastAsia="宋体" w:cs="Arial"/>
              </w:rPr>
              <w:t>目前</w:t>
            </w:r>
            <w:bookmarkEnd w:id="8"/>
            <w:bookmarkEnd w:id="9"/>
            <w:r>
              <w:rPr>
                <w:rFonts w:hint="eastAsia" w:ascii="Arial" w:hAnsi="Arial" w:eastAsia="宋体" w:cs="Arial"/>
              </w:rPr>
              <w:t>关于</w:t>
            </w:r>
            <w:r>
              <w:rPr>
                <w:rFonts w:ascii="Arial" w:hAnsi="Arial" w:eastAsia="宋体" w:cs="Arial"/>
              </w:rPr>
              <w:t>此主题的</w:t>
            </w:r>
            <w:r>
              <w:rPr>
                <w:rFonts w:hint="eastAsia" w:ascii="Arial" w:hAnsi="Arial" w:eastAsia="宋体" w:cs="Arial"/>
              </w:rPr>
              <w:t>思考</w:t>
            </w:r>
            <w:r>
              <w:rPr>
                <w:rFonts w:ascii="Arial" w:hAnsi="Arial" w:eastAsia="宋体" w:cs="Arial"/>
              </w:rPr>
              <w:t>。其不会为任何人赋予任何权利，也不对FDA或公众具有约束力。如果替代方法满足适用法律、法规的要求，可以使用替代方法。如果希望讨论一种替代方法，请联系与您医疗产品相关的FDA审查部门。</w:t>
            </w:r>
          </w:p>
        </w:tc>
      </w:tr>
      <w:bookmarkEnd w:id="7"/>
    </w:tbl>
    <w:p w14:paraId="14D19AE0">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10" w:name="_Toc498073289"/>
      <w:r>
        <w:rPr>
          <w:rFonts w:ascii="Arial" w:hAnsi="Arial" w:eastAsia="宋体" w:cs="Arial"/>
          <w:b/>
          <w:sz w:val="32"/>
          <w:szCs w:val="32"/>
        </w:rPr>
        <w:t>前言</w:t>
      </w:r>
      <w:bookmarkEnd w:id="10"/>
    </w:p>
    <w:p w14:paraId="33F22B29">
      <w:pPr>
        <w:snapToGrid w:val="0"/>
        <w:spacing w:after="156" w:afterLines="50" w:line="360" w:lineRule="auto"/>
        <w:ind w:left="463" w:leftChars="220" w:hanging="1"/>
        <w:rPr>
          <w:rFonts w:ascii="Arial" w:hAnsi="Arial" w:eastAsia="宋体" w:cs="Arial"/>
          <w:sz w:val="24"/>
          <w:szCs w:val="24"/>
        </w:rPr>
        <w:sectPr>
          <w:headerReference r:id="rId5" w:type="default"/>
          <w:pgSz w:w="11906" w:h="16838"/>
          <w:pgMar w:top="1440" w:right="1800" w:bottom="1440" w:left="1800" w:header="851" w:footer="992" w:gutter="0"/>
          <w:cols w:space="425" w:num="1"/>
          <w:docGrid w:type="lines" w:linePitch="312" w:charSpace="0"/>
        </w:sectPr>
      </w:pPr>
      <w:r>
        <w:rPr>
          <w:rFonts w:ascii="Arial" w:hAnsi="Arial" w:eastAsia="宋体" w:cs="Arial"/>
          <w:sz w:val="24"/>
          <w:szCs w:val="24"/>
        </w:rPr>
        <w:t>本指南旨在为美国境内外开展的针对FDA监管范围内医疗产品临床试验中</w:t>
      </w:r>
      <w:r>
        <w:rPr>
          <w:rFonts w:hint="eastAsia" w:ascii="Arial" w:hAnsi="Arial" w:eastAsia="宋体" w:cs="Arial"/>
          <w:sz w:val="24"/>
          <w:szCs w:val="24"/>
        </w:rPr>
        <w:t>民族和种族</w:t>
      </w:r>
      <w:r>
        <w:rPr>
          <w:rFonts w:ascii="Arial" w:hAnsi="Arial" w:eastAsia="宋体" w:cs="Arial"/>
          <w:sz w:val="24"/>
          <w:szCs w:val="24"/>
        </w:rPr>
        <w:t>数据的收集与报告的标准方法提供FDA的要求和建议。使用标准术语如年龄、生物性别、社会性别、</w:t>
      </w:r>
      <w:r>
        <w:rPr>
          <w:rFonts w:hint="eastAsia" w:ascii="Arial" w:hAnsi="Arial" w:eastAsia="宋体" w:cs="Arial"/>
          <w:sz w:val="24"/>
          <w:szCs w:val="24"/>
        </w:rPr>
        <w:t>民族和种族</w:t>
      </w:r>
      <w:r>
        <w:rPr>
          <w:rFonts w:ascii="Arial" w:hAnsi="Arial" w:eastAsia="宋体" w:cs="Arial"/>
          <w:sz w:val="24"/>
          <w:szCs w:val="24"/>
        </w:rPr>
        <w:t>等可以确保子研究人群数据收集的一致性。推荐的标准化方法建立的依据是</w:t>
      </w:r>
      <w:bookmarkStart w:id="11" w:name="OLE_LINK1"/>
      <w:r>
        <w:rPr>
          <w:rFonts w:ascii="Arial" w:hAnsi="Arial" w:eastAsia="宋体" w:cs="Arial"/>
          <w:sz w:val="24"/>
          <w:szCs w:val="24"/>
        </w:rPr>
        <w:t>管理和预算办公室（</w:t>
      </w:r>
      <w:bookmarkStart w:id="12" w:name="OLE_LINK48"/>
      <w:r>
        <w:rPr>
          <w:rFonts w:ascii="Arial" w:hAnsi="Arial" w:eastAsia="宋体" w:cs="Arial"/>
          <w:sz w:val="24"/>
          <w:szCs w:val="24"/>
        </w:rPr>
        <w:t>OMB</w:t>
      </w:r>
      <w:bookmarkEnd w:id="12"/>
      <w:r>
        <w:rPr>
          <w:rFonts w:ascii="Arial" w:hAnsi="Arial" w:eastAsia="宋体" w:cs="Arial"/>
          <w:sz w:val="24"/>
          <w:szCs w:val="24"/>
        </w:rPr>
        <w:t>）指令15</w:t>
      </w:r>
      <w:bookmarkEnd w:id="11"/>
      <w:r>
        <w:rPr>
          <w:rStyle w:val="14"/>
          <w:rFonts w:ascii="Arial" w:hAnsi="Arial" w:eastAsia="宋体" w:cs="Arial"/>
          <w:sz w:val="24"/>
          <w:szCs w:val="24"/>
        </w:rPr>
        <w:footnoteReference w:id="1"/>
      </w:r>
      <w:r>
        <w:rPr>
          <w:rFonts w:ascii="Arial" w:hAnsi="Arial" w:eastAsia="宋体" w:cs="Arial"/>
          <w:sz w:val="24"/>
          <w:szCs w:val="24"/>
        </w:rPr>
        <w:t>，制定的依据是平价医疗法案第4302章</w:t>
      </w:r>
      <w:r>
        <w:rPr>
          <w:rStyle w:val="14"/>
          <w:rFonts w:ascii="Arial" w:hAnsi="Arial" w:eastAsia="宋体" w:cs="Arial"/>
          <w:sz w:val="24"/>
          <w:szCs w:val="24"/>
        </w:rPr>
        <w:footnoteReference w:id="2"/>
      </w:r>
      <w:bookmarkStart w:id="13" w:name="OLE_LINK3"/>
      <w:bookmarkStart w:id="14" w:name="OLE_LINK2"/>
      <w:r>
        <w:rPr>
          <w:rFonts w:ascii="Arial" w:hAnsi="Arial" w:eastAsia="宋体" w:cs="Arial"/>
          <w:sz w:val="24"/>
          <w:szCs w:val="24"/>
        </w:rPr>
        <w:t>，HHS关于</w:t>
      </w:r>
      <w:r>
        <w:rPr>
          <w:rFonts w:hint="eastAsia" w:ascii="Arial" w:hAnsi="Arial" w:eastAsia="宋体" w:cs="Arial"/>
          <w:sz w:val="24"/>
          <w:szCs w:val="24"/>
        </w:rPr>
        <w:t>民族、种族</w:t>
      </w:r>
      <w:r>
        <w:rPr>
          <w:rFonts w:ascii="Arial" w:hAnsi="Arial" w:eastAsia="宋体" w:cs="Arial"/>
          <w:sz w:val="24"/>
          <w:szCs w:val="24"/>
        </w:rPr>
        <w:t>、性别、母语、残障状态数据收集实施指南</w:t>
      </w:r>
      <w:bookmarkEnd w:id="13"/>
      <w:bookmarkEnd w:id="14"/>
      <w:r>
        <w:rPr>
          <w:rStyle w:val="14"/>
          <w:rFonts w:ascii="Arial" w:hAnsi="Arial" w:eastAsia="宋体" w:cs="Arial"/>
          <w:sz w:val="24"/>
          <w:szCs w:val="24"/>
        </w:rPr>
        <w:footnoteReference w:id="3"/>
      </w:r>
      <w:r>
        <w:rPr>
          <w:rFonts w:ascii="Arial" w:hAnsi="Arial" w:eastAsia="宋体" w:cs="Arial"/>
          <w:sz w:val="24"/>
          <w:szCs w:val="24"/>
        </w:rPr>
        <w:t>，以及</w:t>
      </w:r>
      <w:bookmarkStart w:id="15" w:name="OLE_LINK4"/>
      <w:bookmarkStart w:id="16" w:name="OLE_LINK9"/>
      <w:r>
        <w:rPr>
          <w:rFonts w:ascii="Arial" w:hAnsi="Arial" w:eastAsia="宋体" w:cs="Arial"/>
          <w:sz w:val="24"/>
          <w:szCs w:val="24"/>
        </w:rPr>
        <w:t>FDA安全和创新法案</w:t>
      </w:r>
      <w:bookmarkEnd w:id="15"/>
      <w:bookmarkEnd w:id="16"/>
      <w:r>
        <w:rPr>
          <w:rStyle w:val="14"/>
          <w:rFonts w:ascii="Arial" w:hAnsi="Arial" w:eastAsia="宋体" w:cs="Arial"/>
          <w:sz w:val="24"/>
          <w:szCs w:val="24"/>
        </w:rPr>
        <w:footnoteReference w:id="4"/>
      </w:r>
      <w:r>
        <w:rPr>
          <w:rFonts w:ascii="Arial" w:hAnsi="Arial" w:eastAsia="宋体" w:cs="Arial"/>
          <w:sz w:val="24"/>
          <w:szCs w:val="24"/>
        </w:rPr>
        <w:t>（FDASIA）第907章行动计划</w:t>
      </w:r>
      <w:r>
        <w:rPr>
          <w:rStyle w:val="14"/>
          <w:rFonts w:ascii="Arial" w:hAnsi="Arial" w:eastAsia="宋体" w:cs="Arial"/>
          <w:sz w:val="24"/>
          <w:szCs w:val="24"/>
        </w:rPr>
        <w:footnoteReference w:id="5"/>
      </w:r>
      <w:r>
        <w:rPr>
          <w:rFonts w:ascii="Arial" w:hAnsi="Arial" w:eastAsia="宋体" w:cs="Arial"/>
          <w:sz w:val="24"/>
          <w:szCs w:val="24"/>
        </w:rPr>
        <w:t>。本指南列出了</w:t>
      </w:r>
      <w:r>
        <w:rPr>
          <w:rFonts w:hint="eastAsia" w:ascii="Arial" w:hAnsi="Arial" w:eastAsia="宋体" w:cs="Arial"/>
          <w:sz w:val="24"/>
          <w:szCs w:val="24"/>
        </w:rPr>
        <w:t>民族和种族</w:t>
      </w:r>
      <w:r>
        <w:rPr>
          <w:rFonts w:ascii="Arial" w:hAnsi="Arial" w:eastAsia="宋体" w:cs="Arial"/>
          <w:sz w:val="24"/>
          <w:szCs w:val="24"/>
        </w:rPr>
        <w:t>的OMB分类，并描述了FDA推荐在医疗产品（药品、生物制剂和医疗器械）应用中使用该分类的理由。</w:t>
      </w:r>
    </w:p>
    <w:p w14:paraId="05ABA5C2">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另外，针对按照</w:t>
      </w:r>
      <w:bookmarkStart w:id="17" w:name="OLE_LINK10"/>
      <w:bookmarkStart w:id="18" w:name="OLE_LINK13"/>
      <w:r>
        <w:rPr>
          <w:rFonts w:ascii="Arial" w:hAnsi="Arial" w:eastAsia="宋体" w:cs="Arial"/>
          <w:sz w:val="24"/>
          <w:szCs w:val="24"/>
        </w:rPr>
        <w:t>研究数据表格模型</w:t>
      </w:r>
      <w:bookmarkEnd w:id="17"/>
      <w:bookmarkEnd w:id="18"/>
      <w:r>
        <w:rPr>
          <w:rFonts w:ascii="Arial" w:hAnsi="Arial" w:eastAsia="宋体" w:cs="Arial"/>
          <w:sz w:val="24"/>
          <w:szCs w:val="24"/>
        </w:rPr>
        <w:t>提交的标准数据集</w:t>
      </w:r>
      <w:r>
        <w:rPr>
          <w:rStyle w:val="14"/>
          <w:rFonts w:ascii="Arial" w:hAnsi="Arial" w:eastAsia="宋体" w:cs="Arial"/>
          <w:sz w:val="24"/>
          <w:szCs w:val="24"/>
        </w:rPr>
        <w:footnoteReference w:id="6"/>
      </w:r>
      <w:r>
        <w:rPr>
          <w:rFonts w:ascii="Arial" w:hAnsi="Arial" w:eastAsia="宋体" w:cs="Arial"/>
          <w:sz w:val="24"/>
          <w:szCs w:val="24"/>
        </w:rPr>
        <w:t>、以电子版通用技术文件（eCTD）</w:t>
      </w:r>
      <w:r>
        <w:rPr>
          <w:rStyle w:val="14"/>
          <w:rFonts w:ascii="Arial" w:hAnsi="Arial" w:eastAsia="宋体" w:cs="Arial"/>
          <w:sz w:val="24"/>
          <w:szCs w:val="24"/>
        </w:rPr>
        <w:footnoteReference w:id="7"/>
      </w:r>
      <w:r>
        <w:rPr>
          <w:rFonts w:ascii="Arial" w:hAnsi="Arial" w:eastAsia="宋体" w:cs="Arial"/>
          <w:sz w:val="24"/>
          <w:szCs w:val="24"/>
        </w:rPr>
        <w:t>提交的文件、以及FDA关于监管文件提交电子版格式指南中所规定的格式</w:t>
      </w:r>
      <w:r>
        <w:rPr>
          <w:rStyle w:val="14"/>
          <w:rFonts w:ascii="Arial" w:hAnsi="Arial" w:eastAsia="宋体" w:cs="Arial"/>
          <w:sz w:val="24"/>
          <w:szCs w:val="24"/>
        </w:rPr>
        <w:footnoteReference w:id="8"/>
      </w:r>
      <w:r>
        <w:rPr>
          <w:rFonts w:ascii="Arial" w:hAnsi="Arial" w:eastAsia="宋体" w:cs="Arial"/>
          <w:sz w:val="24"/>
          <w:szCs w:val="24"/>
        </w:rPr>
        <w:t>，本指南推荐了收集</w:t>
      </w:r>
      <w:r>
        <w:rPr>
          <w:rFonts w:hint="eastAsia" w:ascii="Arial" w:hAnsi="Arial" w:eastAsia="宋体" w:cs="Arial"/>
          <w:sz w:val="24"/>
          <w:szCs w:val="24"/>
        </w:rPr>
        <w:t>民族和种族</w:t>
      </w:r>
      <w:r>
        <w:rPr>
          <w:rFonts w:ascii="Arial" w:hAnsi="Arial" w:eastAsia="宋体" w:cs="Arial"/>
          <w:sz w:val="24"/>
          <w:szCs w:val="24"/>
        </w:rPr>
        <w:t>临床研究数据的格式。</w:t>
      </w:r>
    </w:p>
    <w:p w14:paraId="47A5FB18">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本</w:t>
      </w:r>
      <w:r>
        <w:rPr>
          <w:rFonts w:hint="eastAsia" w:ascii="Arial" w:hAnsi="Arial" w:eastAsia="宋体" w:cs="Arial"/>
          <w:sz w:val="24"/>
          <w:szCs w:val="24"/>
        </w:rPr>
        <w:t>文件</w:t>
      </w:r>
      <w:r>
        <w:rPr>
          <w:rFonts w:ascii="Arial" w:hAnsi="Arial" w:eastAsia="宋体" w:cs="Arial"/>
          <w:sz w:val="24"/>
          <w:szCs w:val="24"/>
        </w:rPr>
        <w:t>旨在提供以下内容的指南：</w:t>
      </w:r>
    </w:p>
    <w:p w14:paraId="71830C05">
      <w:pPr>
        <w:pStyle w:val="15"/>
        <w:numPr>
          <w:ilvl w:val="0"/>
          <w:numId w:val="2"/>
        </w:numPr>
        <w:snapToGrid w:val="0"/>
        <w:spacing w:after="156" w:afterLines="50" w:line="360" w:lineRule="auto"/>
        <w:ind w:hanging="336" w:firstLineChars="0"/>
        <w:rPr>
          <w:rFonts w:ascii="Arial" w:hAnsi="Arial" w:eastAsia="宋体" w:cs="Arial"/>
          <w:sz w:val="24"/>
          <w:szCs w:val="24"/>
        </w:rPr>
      </w:pPr>
      <w:r>
        <w:rPr>
          <w:rFonts w:ascii="Arial" w:hAnsi="Arial" w:eastAsia="宋体" w:cs="Arial"/>
          <w:sz w:val="24"/>
          <w:szCs w:val="24"/>
        </w:rPr>
        <w:t>达到1998年颁布的最终规定</w:t>
      </w:r>
      <w:r>
        <w:rPr>
          <w:rStyle w:val="14"/>
          <w:rFonts w:ascii="Arial" w:hAnsi="Arial" w:eastAsia="宋体" w:cs="Arial"/>
          <w:sz w:val="24"/>
          <w:szCs w:val="24"/>
        </w:rPr>
        <w:footnoteReference w:id="9"/>
      </w:r>
      <w:r>
        <w:rPr>
          <w:rFonts w:ascii="Arial" w:hAnsi="Arial" w:eastAsia="宋体" w:cs="Arial"/>
          <w:sz w:val="24"/>
          <w:szCs w:val="24"/>
        </w:rPr>
        <w:t>关于研究性新药（IND）申请和新药申请（NAD）中呈现人口学数据（也称为</w:t>
      </w:r>
      <w:r>
        <w:rPr>
          <w:rFonts w:ascii="宋体" w:hAnsi="宋体" w:eastAsia="宋体" w:cs="Arial"/>
          <w:sz w:val="24"/>
          <w:szCs w:val="24"/>
        </w:rPr>
        <w:t>“</w:t>
      </w:r>
      <w:r>
        <w:rPr>
          <w:rFonts w:ascii="Arial" w:hAnsi="Arial" w:eastAsia="宋体" w:cs="Arial"/>
          <w:sz w:val="24"/>
          <w:szCs w:val="24"/>
        </w:rPr>
        <w:t>人口学规定</w:t>
      </w:r>
      <w:r>
        <w:rPr>
          <w:rFonts w:ascii="宋体" w:hAnsi="宋体" w:eastAsia="宋体" w:cs="Arial"/>
          <w:sz w:val="24"/>
          <w:szCs w:val="24"/>
        </w:rPr>
        <w:t>”</w:t>
      </w:r>
      <w:r>
        <w:rPr>
          <w:rFonts w:ascii="Arial" w:hAnsi="Arial" w:eastAsia="宋体" w:cs="Arial"/>
          <w:sz w:val="24"/>
          <w:szCs w:val="24"/>
        </w:rPr>
        <w:t>），以及在生物制剂许可申请（BLA）和医疗器械应用中手机收集中组合种族数据的要求。</w:t>
      </w:r>
    </w:p>
    <w:p w14:paraId="3743D541">
      <w:pPr>
        <w:pStyle w:val="15"/>
        <w:numPr>
          <w:ilvl w:val="0"/>
          <w:numId w:val="2"/>
        </w:numPr>
        <w:snapToGrid w:val="0"/>
        <w:spacing w:after="156" w:afterLines="50" w:line="360" w:lineRule="auto"/>
        <w:ind w:hanging="336" w:firstLineChars="0"/>
        <w:rPr>
          <w:rFonts w:ascii="Arial" w:hAnsi="Arial" w:eastAsia="宋体" w:cs="Arial"/>
          <w:sz w:val="24"/>
          <w:szCs w:val="24"/>
        </w:rPr>
      </w:pPr>
      <w:r>
        <w:rPr>
          <w:rFonts w:ascii="Arial" w:hAnsi="Arial" w:eastAsia="宋体" w:cs="Arial"/>
          <w:sz w:val="24"/>
          <w:szCs w:val="24"/>
        </w:rPr>
        <w:t>处理FDA安全和创新法案</w:t>
      </w:r>
      <w:r>
        <w:rPr>
          <w:rFonts w:hint="eastAsia" w:ascii="Arial" w:hAnsi="Arial" w:eastAsia="宋体" w:cs="Arial"/>
          <w:sz w:val="24"/>
          <w:szCs w:val="24"/>
        </w:rPr>
        <w:t>第</w:t>
      </w:r>
      <w:r>
        <w:rPr>
          <w:rFonts w:ascii="Arial" w:hAnsi="Arial" w:eastAsia="宋体" w:cs="Arial"/>
          <w:sz w:val="24"/>
          <w:szCs w:val="24"/>
        </w:rPr>
        <w:t>907章行动计划关于改善人群亚组数据缺失，提高数据质量的要求。</w:t>
      </w:r>
    </w:p>
    <w:p w14:paraId="447E2F62">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FDA的指导性文件，包括本指南，不构成具有法律强制力的责任。相反，指南表明了本审查机构</w:t>
      </w:r>
      <w:r>
        <w:rPr>
          <w:rFonts w:hint="eastAsia" w:ascii="Arial" w:hAnsi="Arial" w:eastAsia="宋体" w:cs="Arial"/>
          <w:sz w:val="24"/>
          <w:szCs w:val="24"/>
        </w:rPr>
        <w:t>目前关于此主题的思考</w:t>
      </w:r>
      <w:r>
        <w:rPr>
          <w:rFonts w:ascii="Arial" w:hAnsi="Arial" w:eastAsia="宋体" w:cs="Arial"/>
          <w:sz w:val="24"/>
          <w:szCs w:val="24"/>
        </w:rPr>
        <w:t>，除非引用具体的法规或法律要求，否则只应视为建议。在本审查机构指南中使用词语</w:t>
      </w:r>
      <w:r>
        <w:rPr>
          <w:rFonts w:ascii="宋体" w:hAnsi="宋体" w:eastAsia="宋体" w:cs="Arial"/>
          <w:sz w:val="24"/>
          <w:szCs w:val="24"/>
        </w:rPr>
        <w:t>“</w:t>
      </w:r>
      <w:r>
        <w:rPr>
          <w:rFonts w:ascii="Arial" w:hAnsi="Arial" w:eastAsia="宋体" w:cs="Arial"/>
          <w:sz w:val="24"/>
          <w:szCs w:val="24"/>
        </w:rPr>
        <w:t>应当</w:t>
      </w:r>
      <w:r>
        <w:rPr>
          <w:rFonts w:ascii="宋体" w:hAnsi="宋体" w:eastAsia="宋体" w:cs="Arial"/>
          <w:sz w:val="24"/>
          <w:szCs w:val="24"/>
        </w:rPr>
        <w:t>”</w:t>
      </w:r>
      <w:r>
        <w:rPr>
          <w:rFonts w:ascii="Arial" w:hAnsi="Arial" w:eastAsia="宋体" w:cs="Arial"/>
          <w:sz w:val="24"/>
          <w:szCs w:val="24"/>
        </w:rPr>
        <w:t>是指建议或推荐进行某一事项，并非强制要求。</w:t>
      </w:r>
    </w:p>
    <w:p w14:paraId="482F3786">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19" w:name="_Toc498073290"/>
      <w:r>
        <w:rPr>
          <w:rFonts w:ascii="Arial" w:hAnsi="Arial" w:eastAsia="宋体" w:cs="Arial"/>
          <w:b/>
          <w:sz w:val="32"/>
          <w:szCs w:val="32"/>
        </w:rPr>
        <w:t>范围</w:t>
      </w:r>
      <w:bookmarkEnd w:id="19"/>
    </w:p>
    <w:p w14:paraId="410DFC13">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本</w:t>
      </w:r>
      <w:r>
        <w:rPr>
          <w:rFonts w:hint="eastAsia" w:ascii="Arial" w:hAnsi="Arial" w:eastAsia="宋体" w:cs="Arial"/>
          <w:sz w:val="24"/>
          <w:szCs w:val="24"/>
        </w:rPr>
        <w:t>文件</w:t>
      </w:r>
      <w:r>
        <w:rPr>
          <w:rFonts w:ascii="Arial" w:hAnsi="Arial" w:eastAsia="宋体" w:cs="Arial"/>
          <w:sz w:val="24"/>
          <w:szCs w:val="24"/>
        </w:rPr>
        <w:t>旨在为临床研究中</w:t>
      </w:r>
      <w:r>
        <w:rPr>
          <w:rFonts w:hint="eastAsia" w:ascii="Arial" w:hAnsi="Arial" w:eastAsia="宋体" w:cs="Arial"/>
          <w:sz w:val="24"/>
          <w:szCs w:val="24"/>
        </w:rPr>
        <w:t>民族和种族</w:t>
      </w:r>
      <w:r>
        <w:rPr>
          <w:rFonts w:ascii="Arial" w:hAnsi="Arial" w:eastAsia="宋体" w:cs="Arial"/>
          <w:sz w:val="24"/>
          <w:szCs w:val="24"/>
        </w:rPr>
        <w:t>数据的收集提供指导。本指南为</w:t>
      </w:r>
      <w:r>
        <w:rPr>
          <w:rFonts w:hint="eastAsia" w:ascii="Arial" w:hAnsi="Arial" w:eastAsia="宋体" w:cs="Arial"/>
          <w:sz w:val="24"/>
          <w:szCs w:val="24"/>
        </w:rPr>
        <w:t>民族和种族</w:t>
      </w:r>
      <w:r>
        <w:rPr>
          <w:rFonts w:ascii="Arial" w:hAnsi="Arial" w:eastAsia="宋体" w:cs="Arial"/>
          <w:sz w:val="24"/>
          <w:szCs w:val="24"/>
        </w:rPr>
        <w:t>数据两步收集过程提供了清晰的建议，并用于支持FDASIA 907行动计划以提高人群亚组数据的完整性和质量。本指南取代2005年FDA指南</w:t>
      </w:r>
      <w:bookmarkStart w:id="20" w:name="OLE_LINK16"/>
      <w:bookmarkStart w:id="21" w:name="OLE_LINK15"/>
      <w:r>
        <w:rPr>
          <w:rFonts w:ascii="Arial" w:hAnsi="Arial" w:eastAsia="宋体" w:cs="Arial"/>
          <w:sz w:val="24"/>
          <w:szCs w:val="24"/>
        </w:rPr>
        <w:t>在临床数据中收集</w:t>
      </w:r>
      <w:r>
        <w:rPr>
          <w:rFonts w:hint="eastAsia" w:ascii="Arial" w:hAnsi="Arial" w:eastAsia="宋体" w:cs="Arial"/>
          <w:sz w:val="24"/>
          <w:szCs w:val="24"/>
        </w:rPr>
        <w:t>民族和种族</w:t>
      </w:r>
      <w:r>
        <w:rPr>
          <w:rFonts w:ascii="Arial" w:hAnsi="Arial" w:eastAsia="宋体" w:cs="Arial"/>
          <w:sz w:val="24"/>
          <w:szCs w:val="24"/>
        </w:rPr>
        <w:t>数据</w:t>
      </w:r>
      <w:bookmarkEnd w:id="20"/>
      <w:bookmarkEnd w:id="21"/>
      <w:r>
        <w:rPr>
          <w:rStyle w:val="14"/>
          <w:rFonts w:ascii="Arial" w:hAnsi="Arial" w:eastAsia="宋体" w:cs="Arial"/>
          <w:sz w:val="24"/>
          <w:szCs w:val="24"/>
        </w:rPr>
        <w:footnoteReference w:id="10"/>
      </w:r>
      <w:r>
        <w:rPr>
          <w:rFonts w:ascii="Arial" w:hAnsi="Arial" w:eastAsia="宋体" w:cs="Arial"/>
          <w:sz w:val="24"/>
          <w:szCs w:val="24"/>
        </w:rPr>
        <w:t>。</w:t>
      </w:r>
    </w:p>
    <w:p w14:paraId="465C4BE3">
      <w:pPr>
        <w:widowControl/>
        <w:jc w:val="left"/>
        <w:rPr>
          <w:rFonts w:ascii="Arial" w:hAnsi="Arial" w:eastAsia="宋体" w:cs="Arial"/>
          <w:sz w:val="24"/>
          <w:szCs w:val="24"/>
        </w:rPr>
      </w:pPr>
      <w:r>
        <w:rPr>
          <w:rFonts w:ascii="Arial" w:hAnsi="Arial" w:eastAsia="宋体" w:cs="Arial"/>
          <w:sz w:val="24"/>
          <w:szCs w:val="24"/>
        </w:rPr>
        <w:br w:type="page"/>
      </w:r>
    </w:p>
    <w:p w14:paraId="4A3DDB6A">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对于药品而言，人口学规定要求IND持有者在</w:t>
      </w:r>
      <w:r>
        <w:rPr>
          <w:rFonts w:hint="eastAsia" w:ascii="Arial" w:hAnsi="Arial" w:eastAsia="宋体" w:cs="Arial"/>
          <w:sz w:val="24"/>
          <w:szCs w:val="24"/>
        </w:rPr>
        <w:t>年度报告</w:t>
      </w:r>
      <w:r>
        <w:rPr>
          <w:rFonts w:ascii="Arial" w:hAnsi="Arial" w:eastAsia="宋体" w:cs="Arial"/>
          <w:sz w:val="24"/>
          <w:szCs w:val="24"/>
        </w:rPr>
        <w:t>中以表格形式报告参与者的年龄、种族和性别</w:t>
      </w:r>
      <w:r>
        <w:rPr>
          <w:rStyle w:val="14"/>
          <w:rFonts w:ascii="Arial" w:hAnsi="Arial" w:eastAsia="宋体" w:cs="Arial"/>
          <w:sz w:val="24"/>
          <w:szCs w:val="24"/>
        </w:rPr>
        <w:footnoteReference w:id="11"/>
      </w:r>
      <w:r>
        <w:rPr>
          <w:rFonts w:ascii="Arial" w:hAnsi="Arial" w:eastAsia="宋体" w:cs="Arial"/>
          <w:sz w:val="24"/>
          <w:szCs w:val="24"/>
        </w:rPr>
        <w:t>，并要求NDA的申办方报告重要的人群亚组，包括种族亚组的有效性和安全性数据总结</w:t>
      </w:r>
      <w:r>
        <w:rPr>
          <w:rStyle w:val="14"/>
          <w:rFonts w:ascii="Arial" w:hAnsi="Arial" w:eastAsia="宋体" w:cs="Arial"/>
          <w:sz w:val="24"/>
          <w:szCs w:val="24"/>
        </w:rPr>
        <w:footnoteReference w:id="12"/>
      </w:r>
      <w:r>
        <w:rPr>
          <w:rFonts w:ascii="Arial" w:hAnsi="Arial" w:eastAsia="宋体" w:cs="Arial"/>
          <w:sz w:val="24"/>
          <w:szCs w:val="24"/>
        </w:rPr>
        <w:t>。FDA也强烈建议按照OMB标准和指南收集并报告种族数据（西班牙-拉丁裔/非西班牙-拉丁裔）。</w:t>
      </w:r>
    </w:p>
    <w:p w14:paraId="78BF5BDC">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本指南也旨在帮助申办方填写BLA。</w:t>
      </w:r>
    </w:p>
    <w:p w14:paraId="55B8850E">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对于医疗器械来说，FDA也建议申办方根据OMB的建议收集</w:t>
      </w:r>
      <w:r>
        <w:rPr>
          <w:rFonts w:hint="eastAsia" w:ascii="Arial" w:hAnsi="Arial" w:eastAsia="宋体" w:cs="Arial"/>
          <w:sz w:val="24"/>
          <w:szCs w:val="24"/>
        </w:rPr>
        <w:t>种族</w:t>
      </w:r>
      <w:r>
        <w:rPr>
          <w:rFonts w:ascii="Arial" w:hAnsi="Arial" w:eastAsia="宋体" w:cs="Arial"/>
          <w:sz w:val="24"/>
          <w:szCs w:val="24"/>
        </w:rPr>
        <w:t>和</w:t>
      </w:r>
      <w:r>
        <w:rPr>
          <w:rFonts w:hint="eastAsia" w:ascii="Arial" w:hAnsi="Arial" w:eastAsia="宋体" w:cs="Arial"/>
          <w:sz w:val="24"/>
          <w:szCs w:val="24"/>
        </w:rPr>
        <w:t>民族</w:t>
      </w:r>
      <w:r>
        <w:rPr>
          <w:rFonts w:ascii="Arial" w:hAnsi="Arial" w:eastAsia="宋体" w:cs="Arial"/>
          <w:sz w:val="24"/>
          <w:szCs w:val="24"/>
        </w:rPr>
        <w:t>数据，并在草案固定后按照指南文件及器械和放射卫生中心（CDRH）、生物制剂评价和研究中心（CBER）关于年龄/</w:t>
      </w:r>
      <w:r>
        <w:rPr>
          <w:rFonts w:hint="eastAsia" w:ascii="Arial" w:hAnsi="Arial" w:eastAsia="宋体" w:cs="Arial"/>
          <w:sz w:val="24"/>
          <w:szCs w:val="24"/>
        </w:rPr>
        <w:t>民族</w:t>
      </w:r>
      <w:r>
        <w:rPr>
          <w:rFonts w:ascii="Arial" w:hAnsi="Arial" w:eastAsia="宋体" w:cs="Arial"/>
          <w:sz w:val="24"/>
          <w:szCs w:val="24"/>
        </w:rPr>
        <w:t>/</w:t>
      </w:r>
      <w:r>
        <w:rPr>
          <w:rFonts w:hint="eastAsia" w:ascii="Arial" w:hAnsi="Arial" w:eastAsia="宋体" w:cs="Arial"/>
          <w:sz w:val="24"/>
          <w:szCs w:val="24"/>
        </w:rPr>
        <w:t>种族</w:t>
      </w:r>
      <w:r>
        <w:rPr>
          <w:rFonts w:ascii="Arial" w:hAnsi="Arial" w:eastAsia="宋体" w:cs="Arial"/>
          <w:sz w:val="24"/>
          <w:szCs w:val="24"/>
        </w:rPr>
        <w:t>指南文件草案的标准收集数据</w:t>
      </w:r>
      <w:r>
        <w:rPr>
          <w:rStyle w:val="14"/>
          <w:rFonts w:ascii="Arial" w:hAnsi="Arial" w:eastAsia="宋体" w:cs="Arial"/>
          <w:sz w:val="24"/>
          <w:szCs w:val="24"/>
        </w:rPr>
        <w:footnoteReference w:id="13"/>
      </w:r>
      <w:r>
        <w:rPr>
          <w:rFonts w:ascii="Arial" w:hAnsi="Arial" w:eastAsia="宋体" w:cs="Arial"/>
          <w:sz w:val="24"/>
          <w:szCs w:val="24"/>
        </w:rPr>
        <w:t>。</w:t>
      </w:r>
    </w:p>
    <w:p w14:paraId="70FDC4AA">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FDA希望申办方所纳入的研究参与者反映了在年龄、性别、</w:t>
      </w:r>
      <w:r>
        <w:rPr>
          <w:rFonts w:hint="eastAsia" w:ascii="Arial" w:hAnsi="Arial" w:eastAsia="宋体" w:cs="Arial"/>
          <w:sz w:val="24"/>
          <w:szCs w:val="24"/>
        </w:rPr>
        <w:t>民族和种族</w:t>
      </w:r>
      <w:r>
        <w:rPr>
          <w:rFonts w:ascii="Arial" w:hAnsi="Arial" w:eastAsia="宋体" w:cs="Arial"/>
          <w:sz w:val="24"/>
          <w:szCs w:val="24"/>
        </w:rPr>
        <w:t>方面与临床问题相关的人群</w:t>
      </w:r>
      <w:r>
        <w:rPr>
          <w:rFonts w:ascii="Arial" w:hAnsi="Arial" w:eastAsia="宋体" w:cs="Arial"/>
          <w:sz w:val="24"/>
          <w:szCs w:val="24"/>
          <w:vertAlign w:val="superscript"/>
        </w:rPr>
        <w:t>13</w:t>
      </w:r>
      <w:r>
        <w:rPr>
          <w:rFonts w:ascii="Arial" w:hAnsi="Arial" w:eastAsia="宋体" w:cs="Arial"/>
          <w:sz w:val="24"/>
          <w:szCs w:val="24"/>
        </w:rPr>
        <w:t>。在研发的早期阶段，需要向机构提交用于讨论的临床相关亚人群纳入计划，对于药品和生物制剂则不得晚于2期会议。如果临床相关的亚人群参与数量不足，其数据分析结果会造成产品标签过程中的医疗产品安全性和有效性信息不足。在评价医疗产品的安全性和有效性过程中，患者特征如年龄、生物性别、社会性别、地理位置（如乡村）、情感、生理、感知觉功能等通常为重要的变量。但上述内容不在本指南解决的问题范围内。</w:t>
      </w:r>
    </w:p>
    <w:p w14:paraId="5FE0E75C">
      <w:pPr>
        <w:snapToGrid w:val="0"/>
        <w:spacing w:after="156" w:afterLines="50" w:line="360" w:lineRule="auto"/>
        <w:ind w:left="463" w:leftChars="220" w:hanging="1"/>
        <w:rPr>
          <w:rFonts w:ascii="Arial" w:hAnsi="Arial" w:eastAsia="宋体" w:cs="Arial"/>
          <w:sz w:val="24"/>
          <w:szCs w:val="24"/>
        </w:rPr>
      </w:pPr>
      <w:r>
        <w:rPr>
          <w:rFonts w:ascii="Arial" w:hAnsi="Arial" w:eastAsia="宋体" w:cs="Arial"/>
          <w:sz w:val="24"/>
          <w:szCs w:val="24"/>
        </w:rPr>
        <w:t>本指南并不旨在确定临床研究中不同民族和种族人群的参与水平。与参与水平或试验样本大小相关的问题，申办方应在试验开始前就临床试验设计和人群亚组问题</w:t>
      </w:r>
      <w:r>
        <w:rPr>
          <w:rFonts w:hint="eastAsia" w:ascii="Arial" w:hAnsi="Arial" w:eastAsia="宋体" w:cs="Arial"/>
          <w:sz w:val="24"/>
          <w:szCs w:val="24"/>
        </w:rPr>
        <w:t>咨询</w:t>
      </w:r>
      <w:r>
        <w:rPr>
          <w:rFonts w:ascii="Arial" w:hAnsi="Arial" w:eastAsia="宋体" w:cs="Arial"/>
          <w:sz w:val="24"/>
          <w:szCs w:val="24"/>
        </w:rPr>
        <w:t>评估部门相应的中心和办公室</w:t>
      </w:r>
      <w:r>
        <w:rPr>
          <w:rStyle w:val="14"/>
          <w:rFonts w:ascii="Arial" w:hAnsi="Arial" w:eastAsia="宋体" w:cs="Arial"/>
          <w:sz w:val="24"/>
          <w:szCs w:val="24"/>
        </w:rPr>
        <w:footnoteReference w:id="14"/>
      </w:r>
      <w:r>
        <w:rPr>
          <w:rStyle w:val="14"/>
          <w:rFonts w:ascii="Arial" w:hAnsi="Arial" w:eastAsia="宋体" w:cs="Arial"/>
          <w:sz w:val="24"/>
          <w:szCs w:val="24"/>
        </w:rPr>
        <w:footnoteReference w:id="15"/>
      </w:r>
      <w:r>
        <w:rPr>
          <w:rStyle w:val="14"/>
          <w:rFonts w:ascii="Arial" w:hAnsi="Arial" w:eastAsia="宋体" w:cs="Arial"/>
          <w:sz w:val="24"/>
          <w:szCs w:val="24"/>
        </w:rPr>
        <w:footnoteReference w:id="16"/>
      </w:r>
      <w:r>
        <w:rPr>
          <w:rFonts w:ascii="Arial" w:hAnsi="Arial" w:eastAsia="宋体" w:cs="Arial"/>
          <w:sz w:val="24"/>
          <w:szCs w:val="24"/>
        </w:rPr>
        <w:t>。</w:t>
      </w:r>
    </w:p>
    <w:p w14:paraId="5671F9B4">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22" w:name="_Toc498073291"/>
      <w:r>
        <w:rPr>
          <w:rFonts w:ascii="Arial" w:hAnsi="Arial" w:eastAsia="宋体" w:cs="Arial"/>
          <w:b/>
          <w:sz w:val="32"/>
          <w:szCs w:val="32"/>
        </w:rPr>
        <w:t>背景</w:t>
      </w:r>
      <w:bookmarkEnd w:id="22"/>
    </w:p>
    <w:p w14:paraId="7F586F26">
      <w:pPr>
        <w:snapToGrid w:val="0"/>
        <w:spacing w:after="156" w:afterLines="50" w:line="360" w:lineRule="auto"/>
        <w:rPr>
          <w:rFonts w:ascii="Arial" w:hAnsi="Arial" w:eastAsia="宋体" w:cs="Arial"/>
          <w:sz w:val="24"/>
          <w:szCs w:val="24"/>
        </w:rPr>
      </w:pPr>
      <w:r>
        <w:rPr>
          <w:rFonts w:ascii="Arial" w:hAnsi="Arial" w:eastAsia="宋体" w:cs="Arial"/>
          <w:sz w:val="24"/>
          <w:szCs w:val="24"/>
        </w:rPr>
        <w:t>在过去的数十年间，FDA以及医学界对于临床研究中</w:t>
      </w:r>
      <w:r>
        <w:rPr>
          <w:rFonts w:hint="eastAsia" w:ascii="Arial" w:hAnsi="Arial" w:eastAsia="宋体" w:cs="Arial"/>
          <w:sz w:val="24"/>
          <w:szCs w:val="24"/>
        </w:rPr>
        <w:t>民族和种族</w:t>
      </w:r>
      <w:r>
        <w:rPr>
          <w:rFonts w:ascii="Arial" w:hAnsi="Arial" w:eastAsia="宋体" w:cs="Arial"/>
          <w:sz w:val="24"/>
          <w:szCs w:val="24"/>
        </w:rPr>
        <w:t>信息收集的观点发生了变化。</w:t>
      </w:r>
    </w:p>
    <w:p w14:paraId="75CA45FE">
      <w:pPr>
        <w:snapToGrid w:val="0"/>
        <w:spacing w:after="156" w:afterLines="50" w:line="360" w:lineRule="auto"/>
        <w:rPr>
          <w:rFonts w:ascii="Arial" w:hAnsi="Arial" w:eastAsia="宋体" w:cs="Arial"/>
          <w:sz w:val="24"/>
          <w:szCs w:val="24"/>
        </w:rPr>
      </w:pPr>
      <w:r>
        <w:rPr>
          <w:rFonts w:ascii="Arial" w:hAnsi="Arial" w:eastAsia="宋体" w:cs="Arial"/>
          <w:sz w:val="24"/>
          <w:szCs w:val="24"/>
        </w:rPr>
        <w:t>在提出本指南中的建议前，FDA面向</w:t>
      </w:r>
      <w:r>
        <w:rPr>
          <w:rFonts w:hint="eastAsia" w:ascii="Arial" w:hAnsi="Arial" w:eastAsia="宋体" w:cs="Arial"/>
          <w:sz w:val="24"/>
          <w:szCs w:val="24"/>
        </w:rPr>
        <w:t>众多</w:t>
      </w:r>
      <w:r>
        <w:rPr>
          <w:rFonts w:ascii="Arial" w:hAnsi="Arial" w:eastAsia="宋体" w:cs="Arial"/>
          <w:sz w:val="24"/>
          <w:szCs w:val="24"/>
        </w:rPr>
        <w:t>专家和相关责任方公开征集了对涉及医疗产品的临床研究中的年龄、</w:t>
      </w:r>
      <w:r>
        <w:rPr>
          <w:rFonts w:hint="eastAsia" w:ascii="Arial" w:hAnsi="Arial" w:eastAsia="宋体" w:cs="Arial"/>
          <w:sz w:val="24"/>
          <w:szCs w:val="24"/>
        </w:rPr>
        <w:t>民族和种族</w:t>
      </w:r>
      <w:r>
        <w:rPr>
          <w:rFonts w:ascii="Arial" w:hAnsi="Arial" w:eastAsia="宋体" w:cs="Arial"/>
          <w:sz w:val="24"/>
          <w:szCs w:val="24"/>
        </w:rPr>
        <w:t>因素进行评估的研究。在2014年4月1日，FDA举行了公开听证会</w:t>
      </w:r>
      <w:r>
        <w:rPr>
          <w:rStyle w:val="14"/>
          <w:rFonts w:ascii="Arial" w:hAnsi="Arial" w:eastAsia="宋体" w:cs="Arial"/>
          <w:sz w:val="24"/>
          <w:szCs w:val="24"/>
        </w:rPr>
        <w:footnoteReference w:id="17"/>
      </w:r>
      <w:r>
        <w:rPr>
          <w:rFonts w:ascii="Arial" w:hAnsi="Arial" w:eastAsia="宋体" w:cs="Arial"/>
          <w:sz w:val="24"/>
          <w:szCs w:val="24"/>
        </w:rPr>
        <w:t>获取针对FDASIA 907报告结论的反馈</w:t>
      </w:r>
      <w:r>
        <w:rPr>
          <w:rStyle w:val="14"/>
          <w:rFonts w:ascii="Arial" w:hAnsi="Arial" w:eastAsia="宋体" w:cs="Arial"/>
          <w:sz w:val="24"/>
          <w:szCs w:val="24"/>
        </w:rPr>
        <w:footnoteReference w:id="18"/>
      </w:r>
      <w:r>
        <w:rPr>
          <w:rFonts w:ascii="Arial" w:hAnsi="Arial" w:eastAsia="宋体" w:cs="Arial"/>
          <w:sz w:val="24"/>
          <w:szCs w:val="24"/>
        </w:rPr>
        <w:t>，征集在</w:t>
      </w:r>
      <w:bookmarkStart w:id="23" w:name="OLE_LINK17"/>
      <w:bookmarkStart w:id="24" w:name="OLE_LINK18"/>
      <w:r>
        <w:rPr>
          <w:rFonts w:ascii="Arial" w:hAnsi="Arial" w:eastAsia="宋体" w:cs="Arial"/>
          <w:sz w:val="24"/>
          <w:szCs w:val="24"/>
        </w:rPr>
        <w:t>FDA监管范围内医疗产品批准申请过程中与人群亚组数据（即年龄、性别、</w:t>
      </w:r>
      <w:r>
        <w:rPr>
          <w:rFonts w:hint="eastAsia" w:ascii="Arial" w:hAnsi="Arial" w:eastAsia="宋体" w:cs="Arial"/>
          <w:sz w:val="24"/>
          <w:szCs w:val="24"/>
        </w:rPr>
        <w:t>民族和种族</w:t>
      </w:r>
      <w:r>
        <w:rPr>
          <w:rFonts w:ascii="Arial" w:hAnsi="Arial" w:eastAsia="宋体" w:cs="Arial"/>
          <w:sz w:val="24"/>
          <w:szCs w:val="24"/>
        </w:rPr>
        <w:t>）的收集、分析、和可用性</w:t>
      </w:r>
      <w:bookmarkEnd w:id="23"/>
      <w:bookmarkEnd w:id="24"/>
      <w:r>
        <w:rPr>
          <w:rFonts w:ascii="Arial" w:hAnsi="Arial" w:eastAsia="宋体" w:cs="Arial"/>
          <w:sz w:val="24"/>
          <w:szCs w:val="24"/>
        </w:rPr>
        <w:t>相关的问题和挑战。FDA也开放了公开的报告清单，供进一步报告补充</w:t>
      </w:r>
      <w:r>
        <w:rPr>
          <w:rFonts w:ascii="Arial" w:hAnsi="Arial" w:eastAsia="宋体" w:cs="Arial"/>
          <w:sz w:val="24"/>
          <w:szCs w:val="24"/>
          <w:vertAlign w:val="superscript"/>
        </w:rPr>
        <w:t>18</w:t>
      </w:r>
      <w:r>
        <w:rPr>
          <w:rFonts w:ascii="Arial" w:hAnsi="Arial" w:eastAsia="宋体" w:cs="Arial"/>
          <w:sz w:val="24"/>
          <w:szCs w:val="24"/>
        </w:rPr>
        <w:t>。2015年4月9日</w:t>
      </w:r>
      <w:r>
        <w:rPr>
          <w:rStyle w:val="14"/>
          <w:rFonts w:ascii="Arial" w:hAnsi="Arial" w:eastAsia="宋体" w:cs="Arial"/>
          <w:sz w:val="24"/>
          <w:szCs w:val="24"/>
        </w:rPr>
        <w:footnoteReference w:id="19"/>
      </w:r>
      <w:r>
        <w:rPr>
          <w:rFonts w:ascii="Arial" w:hAnsi="Arial" w:eastAsia="宋体" w:cs="Arial"/>
          <w:sz w:val="24"/>
          <w:szCs w:val="24"/>
        </w:rPr>
        <w:t>及2015年12月2日</w:t>
      </w:r>
      <w:r>
        <w:rPr>
          <w:rStyle w:val="14"/>
          <w:rFonts w:ascii="Arial" w:hAnsi="Arial" w:eastAsia="宋体" w:cs="Arial"/>
          <w:sz w:val="24"/>
          <w:szCs w:val="24"/>
        </w:rPr>
        <w:footnoteReference w:id="20"/>
      </w:r>
      <w:r>
        <w:rPr>
          <w:rFonts w:ascii="Arial" w:hAnsi="Arial" w:eastAsia="宋体" w:cs="Arial"/>
          <w:sz w:val="24"/>
          <w:szCs w:val="24"/>
        </w:rPr>
        <w:t>，多个政府机构、医疗专家团体、以及患者法律团体参加了公开工作坊</w:t>
      </w:r>
      <w:bookmarkStart w:id="25" w:name="OLE_LINK21"/>
      <w:bookmarkStart w:id="26" w:name="OLE_LINK22"/>
      <w:r>
        <w:rPr>
          <w:rFonts w:ascii="Arial" w:hAnsi="Arial" w:eastAsia="宋体" w:cs="Arial"/>
          <w:sz w:val="24"/>
          <w:szCs w:val="24"/>
        </w:rPr>
        <w:t>，讨论</w:t>
      </w:r>
      <w:bookmarkStart w:id="27" w:name="OLE_LINK19"/>
      <w:bookmarkStart w:id="28" w:name="OLE_LINK20"/>
      <w:r>
        <w:rPr>
          <w:rFonts w:ascii="Arial" w:hAnsi="Arial" w:eastAsia="宋体" w:cs="Arial"/>
          <w:sz w:val="24"/>
          <w:szCs w:val="24"/>
        </w:rPr>
        <w:t>确保临床试验参与者的多样性、包容性和有效性的策略</w:t>
      </w:r>
      <w:bookmarkEnd w:id="25"/>
      <w:bookmarkEnd w:id="26"/>
      <w:bookmarkEnd w:id="27"/>
      <w:bookmarkEnd w:id="28"/>
      <w:r>
        <w:rPr>
          <w:rFonts w:ascii="Arial" w:hAnsi="Arial" w:eastAsia="宋体" w:cs="Arial"/>
          <w:sz w:val="24"/>
          <w:szCs w:val="24"/>
        </w:rPr>
        <w:t>。本指南反映了这些会议及其他公开会议产生的思考和建议。下面的内容是关于健康与</w:t>
      </w:r>
      <w:r>
        <w:rPr>
          <w:rFonts w:hint="eastAsia" w:ascii="Arial" w:hAnsi="Arial" w:eastAsia="宋体" w:cs="Arial"/>
          <w:sz w:val="24"/>
          <w:szCs w:val="24"/>
        </w:rPr>
        <w:t>人类</w:t>
      </w:r>
      <w:r>
        <w:rPr>
          <w:rFonts w:ascii="Arial" w:hAnsi="Arial" w:eastAsia="宋体" w:cs="Arial"/>
          <w:sz w:val="24"/>
          <w:szCs w:val="24"/>
        </w:rPr>
        <w:t>服务署（HHS）、美国国立卫生院（NIH）和FDA采用OMB分类法报告</w:t>
      </w:r>
      <w:r>
        <w:rPr>
          <w:rFonts w:hint="eastAsia" w:ascii="Arial" w:hAnsi="Arial" w:eastAsia="宋体" w:cs="Arial"/>
          <w:sz w:val="24"/>
          <w:szCs w:val="24"/>
        </w:rPr>
        <w:t>民族和种族</w:t>
      </w:r>
      <w:r>
        <w:rPr>
          <w:rFonts w:ascii="Arial" w:hAnsi="Arial" w:eastAsia="宋体" w:cs="Arial"/>
          <w:sz w:val="24"/>
          <w:szCs w:val="24"/>
        </w:rPr>
        <w:t>数据的简要历史。</w:t>
      </w:r>
    </w:p>
    <w:p w14:paraId="6D85490D">
      <w:pPr>
        <w:pStyle w:val="15"/>
        <w:numPr>
          <w:ilvl w:val="1"/>
          <w:numId w:val="1"/>
        </w:numPr>
        <w:snapToGrid w:val="0"/>
        <w:spacing w:after="156" w:afterLines="50" w:line="300" w:lineRule="auto"/>
        <w:ind w:left="420" w:leftChars="200" w:firstLine="0" w:firstLineChars="0"/>
        <w:outlineLvl w:val="1"/>
        <w:rPr>
          <w:rFonts w:ascii="Arial" w:hAnsi="Arial" w:eastAsia="宋体" w:cs="Arial"/>
          <w:b/>
          <w:sz w:val="28"/>
          <w:szCs w:val="28"/>
        </w:rPr>
      </w:pPr>
      <w:bookmarkStart w:id="29" w:name="_Toc498073292"/>
      <w:r>
        <w:rPr>
          <w:rFonts w:ascii="Arial" w:hAnsi="Arial" w:eastAsia="宋体" w:cs="Arial"/>
          <w:b/>
          <w:sz w:val="28"/>
          <w:szCs w:val="28"/>
        </w:rPr>
        <w:t>健康与</w:t>
      </w:r>
      <w:r>
        <w:rPr>
          <w:rFonts w:hint="eastAsia" w:ascii="Arial" w:hAnsi="Arial" w:eastAsia="宋体" w:cs="Arial"/>
          <w:b/>
          <w:sz w:val="28"/>
          <w:szCs w:val="28"/>
        </w:rPr>
        <w:t>人类</w:t>
      </w:r>
      <w:r>
        <w:rPr>
          <w:rFonts w:ascii="Arial" w:hAnsi="Arial" w:eastAsia="宋体" w:cs="Arial"/>
          <w:b/>
          <w:sz w:val="28"/>
          <w:szCs w:val="28"/>
        </w:rPr>
        <w:t>服务署报告和指南</w:t>
      </w:r>
      <w:bookmarkEnd w:id="29"/>
    </w:p>
    <w:p w14:paraId="7928C0CB">
      <w:pPr>
        <w:snapToGrid w:val="0"/>
        <w:spacing w:after="156" w:afterLines="50" w:line="300" w:lineRule="auto"/>
        <w:ind w:left="882" w:leftChars="420"/>
        <w:rPr>
          <w:rFonts w:ascii="Arial" w:hAnsi="Arial" w:eastAsia="宋体" w:cs="Arial"/>
          <w:sz w:val="24"/>
          <w:szCs w:val="24"/>
        </w:rPr>
      </w:pPr>
      <w:r>
        <w:rPr>
          <w:rFonts w:ascii="Arial" w:hAnsi="Arial" w:eastAsia="宋体" w:cs="Arial"/>
          <w:sz w:val="24"/>
          <w:szCs w:val="24"/>
        </w:rPr>
        <w:t>1999年，HHS发布了报告</w:t>
      </w:r>
      <w:bookmarkStart w:id="30" w:name="OLE_LINK23"/>
      <w:bookmarkStart w:id="31" w:name="OLE_LINK24"/>
      <w:r>
        <w:rPr>
          <w:rFonts w:ascii="Arial" w:hAnsi="Arial" w:eastAsia="宋体" w:cs="Arial"/>
          <w:sz w:val="24"/>
          <w:szCs w:val="24"/>
        </w:rPr>
        <w:t>，在HHS中推动</w:t>
      </w:r>
      <w:r>
        <w:rPr>
          <w:rFonts w:hint="eastAsia" w:ascii="Arial" w:hAnsi="Arial" w:eastAsia="宋体" w:cs="Arial"/>
          <w:sz w:val="24"/>
          <w:szCs w:val="24"/>
        </w:rPr>
        <w:t>民族和种族</w:t>
      </w:r>
      <w:r>
        <w:rPr>
          <w:rFonts w:ascii="Arial" w:hAnsi="Arial" w:eastAsia="宋体" w:cs="Arial"/>
          <w:sz w:val="24"/>
          <w:szCs w:val="24"/>
        </w:rPr>
        <w:t>数据的收集和使用</w:t>
      </w:r>
      <w:bookmarkEnd w:id="30"/>
      <w:bookmarkEnd w:id="31"/>
      <w:r>
        <w:rPr>
          <w:rStyle w:val="14"/>
          <w:rFonts w:ascii="Arial" w:hAnsi="Arial" w:eastAsia="宋体" w:cs="Arial"/>
          <w:sz w:val="24"/>
          <w:szCs w:val="24"/>
        </w:rPr>
        <w:footnoteReference w:id="21"/>
      </w:r>
      <w:r>
        <w:rPr>
          <w:rFonts w:ascii="Arial" w:hAnsi="Arial" w:eastAsia="宋体" w:cs="Arial"/>
          <w:sz w:val="24"/>
          <w:szCs w:val="24"/>
        </w:rPr>
        <w:t>。该报告描述了HHS关于在HHS项目中收集和使用民族和种族数据的政策。该报告要求HHS所资助的项目中纳入民族和种族分类，并针对所有的HHS项目，包括健康和人类服务项目资助了数据收集和报告系统。该政策旨在（1）帮助监测HHS项目，（2）确定联邦基金是否非歧视性的使用，以及（3）促进不同机构之间标准民族和种族数据的可用性，协助HHS应对重大健康和人类服务问题。该政策于2011年进行了更新，明确指出在HHS数据系统收集和报告数据，或报告HHS资助的统计数据时</w:t>
      </w:r>
      <w:r>
        <w:rPr>
          <w:rStyle w:val="14"/>
          <w:rFonts w:ascii="Arial" w:hAnsi="Arial" w:eastAsia="宋体" w:cs="Arial"/>
          <w:sz w:val="24"/>
          <w:szCs w:val="24"/>
        </w:rPr>
        <w:footnoteReference w:id="22"/>
      </w:r>
      <w:r>
        <w:rPr>
          <w:rFonts w:ascii="Arial" w:hAnsi="Arial" w:eastAsia="宋体" w:cs="Arial"/>
          <w:sz w:val="24"/>
          <w:szCs w:val="24"/>
        </w:rPr>
        <w:t>，应当使用OMB政策指令15中的最低标准分类</w:t>
      </w:r>
      <w:r>
        <w:rPr>
          <w:rFonts w:ascii="Arial" w:hAnsi="Arial" w:eastAsia="宋体" w:cs="Arial"/>
          <w:sz w:val="24"/>
          <w:szCs w:val="24"/>
          <w:vertAlign w:val="superscript"/>
        </w:rPr>
        <w:t>15</w:t>
      </w:r>
      <w:r>
        <w:rPr>
          <w:rFonts w:ascii="Arial" w:hAnsi="Arial" w:eastAsia="宋体" w:cs="Arial"/>
          <w:sz w:val="24"/>
          <w:szCs w:val="24"/>
        </w:rPr>
        <w:t>。</w:t>
      </w:r>
    </w:p>
    <w:p w14:paraId="2D506FAF">
      <w:pPr>
        <w:pStyle w:val="15"/>
        <w:numPr>
          <w:ilvl w:val="1"/>
          <w:numId w:val="1"/>
        </w:numPr>
        <w:snapToGrid w:val="0"/>
        <w:spacing w:after="156" w:afterLines="50" w:line="300" w:lineRule="auto"/>
        <w:ind w:left="420" w:leftChars="200" w:firstLine="0" w:firstLineChars="0"/>
        <w:outlineLvl w:val="1"/>
        <w:rPr>
          <w:rFonts w:ascii="Arial" w:hAnsi="Arial" w:eastAsia="宋体" w:cs="Arial"/>
          <w:b/>
          <w:sz w:val="28"/>
          <w:szCs w:val="28"/>
        </w:rPr>
      </w:pPr>
      <w:bookmarkStart w:id="32" w:name="_Toc498073293"/>
      <w:r>
        <w:rPr>
          <w:rFonts w:ascii="Arial" w:hAnsi="Arial" w:eastAsia="宋体" w:cs="Arial"/>
          <w:b/>
          <w:sz w:val="28"/>
          <w:szCs w:val="28"/>
        </w:rPr>
        <w:t>ICH E5——国外临床数据可接受性中的种族因素指南</w:t>
      </w:r>
      <w:bookmarkEnd w:id="32"/>
    </w:p>
    <w:p w14:paraId="362DFCB0">
      <w:pPr>
        <w:snapToGrid w:val="0"/>
        <w:spacing w:after="156" w:afterLines="50" w:line="300" w:lineRule="auto"/>
        <w:ind w:left="882" w:leftChars="420"/>
        <w:rPr>
          <w:rFonts w:ascii="Arial" w:hAnsi="Arial" w:eastAsia="宋体" w:cs="Arial"/>
          <w:sz w:val="24"/>
          <w:szCs w:val="24"/>
        </w:rPr>
      </w:pPr>
      <w:r>
        <w:rPr>
          <w:rFonts w:ascii="Arial" w:hAnsi="Arial" w:eastAsia="宋体" w:cs="Arial"/>
          <w:sz w:val="24"/>
          <w:szCs w:val="24"/>
        </w:rPr>
        <w:t>1999年，作为美国及其他国家协调药品研发和监管技术需求的国际性合作（国际协调会议（ICH））的一部分，FDA颁布了标题为</w:t>
      </w:r>
      <w:r>
        <w:rPr>
          <w:rFonts w:ascii="宋体" w:hAnsi="宋体" w:eastAsia="宋体" w:cs="Arial"/>
          <w:sz w:val="24"/>
          <w:szCs w:val="24"/>
        </w:rPr>
        <w:t>“</w:t>
      </w:r>
      <w:bookmarkStart w:id="33" w:name="OLE_LINK26"/>
      <w:bookmarkStart w:id="34" w:name="OLE_LINK25"/>
      <w:r>
        <w:rPr>
          <w:rFonts w:ascii="Arial" w:hAnsi="Arial" w:eastAsia="宋体" w:cs="Arial"/>
          <w:sz w:val="24"/>
          <w:szCs w:val="24"/>
        </w:rPr>
        <w:t>E5国外临床数据可用性中的种族因素指南</w:t>
      </w:r>
      <w:bookmarkEnd w:id="33"/>
      <w:bookmarkEnd w:id="34"/>
      <w:r>
        <w:rPr>
          <w:rFonts w:ascii="宋体" w:hAnsi="宋体" w:eastAsia="宋体" w:cs="Arial"/>
          <w:sz w:val="24"/>
          <w:szCs w:val="24"/>
        </w:rPr>
        <w:t>”</w:t>
      </w:r>
      <w:r>
        <w:rPr>
          <w:rFonts w:ascii="Arial" w:hAnsi="Arial" w:eastAsia="宋体" w:cs="Arial"/>
          <w:sz w:val="24"/>
          <w:szCs w:val="24"/>
        </w:rPr>
        <w:t>的指南</w:t>
      </w:r>
      <w:r>
        <w:rPr>
          <w:rStyle w:val="14"/>
          <w:rFonts w:ascii="Arial" w:hAnsi="Arial" w:eastAsia="宋体" w:cs="Arial"/>
          <w:sz w:val="24"/>
          <w:szCs w:val="24"/>
        </w:rPr>
        <w:footnoteReference w:id="23"/>
      </w:r>
      <w:r>
        <w:rPr>
          <w:rFonts w:ascii="Arial" w:hAnsi="Arial" w:eastAsia="宋体" w:cs="Arial"/>
          <w:sz w:val="24"/>
          <w:szCs w:val="24"/>
        </w:rPr>
        <w:t>（63 FR 31790,1998年7月10日），该指南描述了在何种情况下一个地区收集的临床数据可以用于另外一个地区的药品或生物制剂注册或批准，并考虑了种族因素的影响。E5指南定义了种族因素对内部和外部因素两个方面的治疗影响。由于种族因素在某些亚人群组中会对治疗效果产生影响，因此E5指南提供了一般性框架来评价药品对种族因素的敏感性。特别是在E5指南的问答补充部分，指南将多地区临床试验研究作为评价治疗效果的异质性和可扩展性的方法之一。多地区临床试验会存在需要收集和自我报告民族和种族信息的特殊情况。</w:t>
      </w:r>
    </w:p>
    <w:p w14:paraId="01D95F13">
      <w:pPr>
        <w:pStyle w:val="15"/>
        <w:numPr>
          <w:ilvl w:val="1"/>
          <w:numId w:val="1"/>
        </w:numPr>
        <w:snapToGrid w:val="0"/>
        <w:spacing w:after="156" w:afterLines="50" w:line="300" w:lineRule="auto"/>
        <w:ind w:left="420" w:leftChars="200" w:firstLine="0" w:firstLineChars="0"/>
        <w:outlineLvl w:val="1"/>
        <w:rPr>
          <w:rFonts w:ascii="Arial" w:hAnsi="Arial" w:eastAsia="宋体" w:cs="Arial"/>
          <w:b/>
          <w:sz w:val="28"/>
          <w:szCs w:val="28"/>
        </w:rPr>
      </w:pPr>
      <w:bookmarkStart w:id="35" w:name="_Toc498073294"/>
      <w:r>
        <w:rPr>
          <w:rFonts w:ascii="Arial" w:hAnsi="Arial" w:eastAsia="宋体" w:cs="Arial"/>
          <w:b/>
          <w:sz w:val="28"/>
          <w:szCs w:val="28"/>
        </w:rPr>
        <w:t>美国国立卫生院倡议，振兴法案</w:t>
      </w:r>
      <w:bookmarkEnd w:id="35"/>
    </w:p>
    <w:p w14:paraId="78650E54">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1993年，美国国立卫生院（NIH）振兴法案</w:t>
      </w:r>
      <w:r>
        <w:rPr>
          <w:rStyle w:val="14"/>
          <w:rFonts w:ascii="Arial" w:hAnsi="Arial" w:eastAsia="宋体" w:cs="Arial"/>
          <w:sz w:val="24"/>
          <w:szCs w:val="24"/>
        </w:rPr>
        <w:footnoteReference w:id="24"/>
      </w:r>
      <w:r>
        <w:rPr>
          <w:rFonts w:ascii="Arial" w:hAnsi="Arial" w:eastAsia="宋体" w:cs="Arial"/>
          <w:sz w:val="24"/>
          <w:szCs w:val="24"/>
        </w:rPr>
        <w:t>提出NIH要建立在NIH资助的临床研究中纳入妇女和少数民族的指南</w:t>
      </w:r>
      <w:r>
        <w:rPr>
          <w:rStyle w:val="14"/>
          <w:rFonts w:ascii="Arial" w:hAnsi="Arial" w:eastAsia="宋体" w:cs="Arial"/>
          <w:sz w:val="24"/>
          <w:szCs w:val="24"/>
        </w:rPr>
        <w:footnoteReference w:id="25"/>
      </w:r>
      <w:r>
        <w:rPr>
          <w:rFonts w:ascii="Arial" w:hAnsi="Arial" w:eastAsia="宋体" w:cs="Arial"/>
          <w:sz w:val="24"/>
          <w:szCs w:val="24"/>
        </w:rPr>
        <w:t>。2001年NIH提出</w:t>
      </w:r>
      <w:r>
        <w:rPr>
          <w:rStyle w:val="14"/>
          <w:rFonts w:ascii="Arial" w:hAnsi="Arial" w:eastAsia="宋体" w:cs="Arial"/>
          <w:sz w:val="24"/>
          <w:szCs w:val="24"/>
        </w:rPr>
        <w:footnoteReference w:id="26"/>
      </w:r>
      <w:r>
        <w:rPr>
          <w:rFonts w:ascii="Arial" w:hAnsi="Arial" w:eastAsia="宋体" w:cs="Arial"/>
          <w:sz w:val="24"/>
          <w:szCs w:val="24"/>
        </w:rPr>
        <w:t>，除非出现由NIH指南所确定的合理情况，否则必须在研究参与人员中纳入妇女和少数民族。另外，临床试验的研究设计应当尽量保证能够获取不同性别、不同民族和种族亚人群的信息，并考察这些人群之间的差异性作用。</w:t>
      </w:r>
    </w:p>
    <w:p w14:paraId="63E62375">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NIH指南明确规定，在申请进行3期临床试验时，必须对现有证据进行评估，确定治疗的预期效果对于不同性别和种族/种族人群的差异是否具有重要的临床意义。如果已有的研究支持存在重要差异，则试验的主要问题和研究设计必须考虑此问题。例如，如果男性和女性患者对某种治疗的效果存在差异，则3期临床试验设计必须要回答两个独立的主要问题，即男性和女性分别的治疗效果问题。如果已有的研究支持该治疗在不同的性别或种族/种族群体之间不存在显著差异，则虽然强烈建议分为不同的性别和种族/种族进行入组和分析，但性别和种族/种族不要求作为</w:t>
      </w:r>
      <w:r>
        <w:rPr>
          <w:rFonts w:hint="eastAsia" w:ascii="Arial" w:hAnsi="Arial" w:eastAsia="宋体" w:cs="Arial"/>
          <w:sz w:val="24"/>
          <w:szCs w:val="24"/>
        </w:rPr>
        <w:t>受试者</w:t>
      </w:r>
      <w:r>
        <w:rPr>
          <w:rFonts w:ascii="Arial" w:hAnsi="Arial" w:eastAsia="宋体" w:cs="Arial"/>
          <w:sz w:val="24"/>
          <w:szCs w:val="24"/>
        </w:rPr>
        <w:t>选择标准。如果已有的研究既不支持也不否定显著差异，则3期临床试验要求纳入充足且适当的不同性别和种族/种族参与者，保证治疗效果分析的真实性。但临床试验不要求提供上述比较的高统计效力的结果。</w:t>
      </w:r>
    </w:p>
    <w:p w14:paraId="0B210EDB">
      <w:pPr>
        <w:pStyle w:val="15"/>
        <w:numPr>
          <w:ilvl w:val="1"/>
          <w:numId w:val="1"/>
        </w:numPr>
        <w:snapToGrid w:val="0"/>
        <w:spacing w:after="156" w:afterLines="50" w:line="288" w:lineRule="auto"/>
        <w:ind w:left="811" w:leftChars="200" w:hanging="391" w:hangingChars="139"/>
        <w:outlineLvl w:val="1"/>
        <w:rPr>
          <w:rFonts w:ascii="Arial" w:hAnsi="Arial" w:eastAsia="宋体" w:cs="Arial"/>
          <w:b/>
          <w:sz w:val="28"/>
          <w:szCs w:val="28"/>
        </w:rPr>
      </w:pPr>
      <w:bookmarkStart w:id="36" w:name="_Toc498073295"/>
      <w:r>
        <w:rPr>
          <w:rFonts w:ascii="Arial" w:hAnsi="Arial" w:eastAsia="宋体" w:cs="Arial"/>
          <w:b/>
          <w:sz w:val="28"/>
          <w:szCs w:val="28"/>
        </w:rPr>
        <w:t>FDA法规</w:t>
      </w:r>
      <w:r>
        <w:rPr>
          <w:rFonts w:hint="eastAsia" w:ascii="Arial" w:hAnsi="Arial" w:eastAsia="宋体" w:cs="Arial"/>
          <w:b/>
          <w:sz w:val="28"/>
          <w:szCs w:val="28"/>
        </w:rPr>
        <w:t>、</w:t>
      </w:r>
      <w:r>
        <w:rPr>
          <w:rFonts w:ascii="Arial" w:hAnsi="Arial" w:eastAsia="宋体" w:cs="Arial"/>
          <w:b/>
          <w:sz w:val="28"/>
          <w:szCs w:val="28"/>
        </w:rPr>
        <w:t>指南以及2012年FDA安全与创新法案（FDASIA）第907章</w:t>
      </w:r>
      <w:bookmarkEnd w:id="36"/>
    </w:p>
    <w:p w14:paraId="43897FEF">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1997年，OMB发布了联邦机构收集和使用民族和种族数据修订版建议（政策指令15）</w:t>
      </w:r>
      <w:r>
        <w:rPr>
          <w:rFonts w:ascii="Arial" w:hAnsi="Arial" w:eastAsia="宋体" w:cs="Arial"/>
          <w:sz w:val="24"/>
          <w:szCs w:val="24"/>
          <w:vertAlign w:val="superscript"/>
        </w:rPr>
        <w:t>2</w:t>
      </w:r>
      <w:r>
        <w:rPr>
          <w:rFonts w:ascii="Arial" w:hAnsi="Arial" w:eastAsia="宋体" w:cs="Arial"/>
          <w:sz w:val="24"/>
          <w:szCs w:val="24"/>
        </w:rPr>
        <w:t>。OMB提出，民族和种族分类并非为人类学或基于科学的分类名称，而是用于描述当前社会的社会文化构成的分类方式。</w:t>
      </w:r>
    </w:p>
    <w:p w14:paraId="3F38D813">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根据2005年FDA的在临床试验中收集民族和种族数据指南</w:t>
      </w:r>
      <w:r>
        <w:rPr>
          <w:rFonts w:ascii="Arial" w:hAnsi="Arial" w:eastAsia="宋体" w:cs="Arial"/>
          <w:sz w:val="24"/>
          <w:szCs w:val="24"/>
          <w:vertAlign w:val="superscript"/>
        </w:rPr>
        <w:t>11</w:t>
      </w:r>
      <w:r>
        <w:rPr>
          <w:rFonts w:ascii="Arial" w:hAnsi="Arial" w:eastAsia="宋体" w:cs="Arial"/>
          <w:sz w:val="24"/>
          <w:szCs w:val="24"/>
        </w:rPr>
        <w:t>，FDA建议使用标准化OMB民族和种族分类进行临床试验的数据收集，其原因在于两个方面。首先，使用建议的OMB分类标准可以帮助确保提交至FDA的申请</w:t>
      </w:r>
      <w:r>
        <w:rPr>
          <w:rFonts w:ascii="Arial" w:hAnsi="Arial" w:eastAsia="宋体" w:cs="Arial"/>
          <w:sz w:val="24"/>
          <w:szCs w:val="24"/>
          <w:vertAlign w:val="superscript"/>
        </w:rPr>
        <w:t>13</w:t>
      </w:r>
      <w:r>
        <w:rPr>
          <w:rFonts w:ascii="Arial" w:hAnsi="Arial" w:eastAsia="宋体" w:cs="Arial"/>
          <w:sz w:val="24"/>
          <w:szCs w:val="24"/>
        </w:rPr>
        <w:t>中所使用的人群亚组的分析与其他政府机构所收集的数据一致。其次，人群亚组分类的一致性对于评估医疗产品在不同人群亚组中的安全性和有效性差异十分有用。如果要以有效的方式评估不同人群的潜在差异，使用统一的、标准的民族和种族分组方法十分重要。</w:t>
      </w:r>
    </w:p>
    <w:p w14:paraId="527ADB25">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FDA法规要求研究性新药（IND）</w:t>
      </w:r>
      <w:r>
        <w:rPr>
          <w:rStyle w:val="14"/>
          <w:rFonts w:ascii="Arial" w:hAnsi="Arial" w:eastAsia="宋体" w:cs="Arial"/>
          <w:sz w:val="24"/>
          <w:szCs w:val="24"/>
        </w:rPr>
        <w:footnoteReference w:id="27"/>
      </w:r>
      <w:r>
        <w:rPr>
          <w:rFonts w:ascii="Arial" w:hAnsi="Arial" w:eastAsia="宋体" w:cs="Arial"/>
          <w:sz w:val="24"/>
          <w:szCs w:val="24"/>
        </w:rPr>
        <w:t>的申办方报告研究初步计划入组的受试者总数量；目前研究已经入组的患者数量，并以表格形式呈现各年龄组、性别和种族人数；研究中已经达到预期人数的参与者数量；由于任何原因退出研究的数量。FDA关于NDA的规定要求申办方提供不同人群亚组（年龄、性别、种族和适用的其它人群分组）</w:t>
      </w:r>
      <w:r>
        <w:rPr>
          <w:rStyle w:val="14"/>
          <w:rFonts w:ascii="Arial" w:hAnsi="Arial" w:eastAsia="宋体" w:cs="Arial"/>
          <w:sz w:val="24"/>
          <w:szCs w:val="24"/>
        </w:rPr>
        <w:footnoteReference w:id="28"/>
      </w:r>
      <w:r>
        <w:rPr>
          <w:rFonts w:ascii="Arial" w:hAnsi="Arial" w:eastAsia="宋体" w:cs="Arial"/>
          <w:sz w:val="24"/>
          <w:szCs w:val="24"/>
        </w:rPr>
        <w:t>的安全性和有效性数据总结，以及对于特定人群分组是否需要修改剂量或用药间隔的分析</w:t>
      </w:r>
      <w:r>
        <w:rPr>
          <w:rStyle w:val="14"/>
          <w:rFonts w:ascii="Arial" w:hAnsi="Arial" w:eastAsia="宋体" w:cs="Arial"/>
          <w:sz w:val="24"/>
          <w:szCs w:val="24"/>
        </w:rPr>
        <w:footnoteReference w:id="29"/>
      </w:r>
      <w:r>
        <w:rPr>
          <w:rFonts w:ascii="Arial" w:hAnsi="Arial" w:eastAsia="宋体" w:cs="Arial"/>
          <w:sz w:val="24"/>
          <w:szCs w:val="24"/>
        </w:rPr>
        <w:t>。FDA建议在上述总结中确定参与者的种族和/或种族信息。</w:t>
      </w:r>
    </w:p>
    <w:p w14:paraId="52194A22">
      <w:pPr>
        <w:snapToGrid w:val="0"/>
        <w:spacing w:after="156" w:afterLines="50" w:line="288" w:lineRule="auto"/>
        <w:ind w:left="882" w:leftChars="420"/>
        <w:rPr>
          <w:rFonts w:ascii="Arial" w:hAnsi="Arial" w:eastAsia="宋体" w:cs="Arial"/>
          <w:sz w:val="24"/>
          <w:szCs w:val="24"/>
        </w:rPr>
      </w:pPr>
      <w:r>
        <w:rPr>
          <w:rFonts w:ascii="Arial" w:hAnsi="Arial" w:eastAsia="宋体" w:cs="Arial"/>
          <w:sz w:val="24"/>
          <w:szCs w:val="24"/>
        </w:rPr>
        <w:t>FDASIA的第907章要求机构建立报告</w:t>
      </w:r>
      <w:r>
        <w:rPr>
          <w:rStyle w:val="14"/>
          <w:rFonts w:ascii="Arial" w:hAnsi="Arial" w:eastAsia="宋体" w:cs="Arial"/>
          <w:sz w:val="24"/>
          <w:szCs w:val="24"/>
        </w:rPr>
        <w:footnoteReference w:id="30"/>
      </w:r>
      <w:r>
        <w:rPr>
          <w:rFonts w:ascii="宋体" w:hAnsi="宋体" w:eastAsia="宋体" w:cs="Arial"/>
          <w:sz w:val="24"/>
          <w:szCs w:val="24"/>
        </w:rPr>
        <w:t>“</w:t>
      </w:r>
      <w:r>
        <w:rPr>
          <w:rFonts w:ascii="Arial" w:hAnsi="Arial" w:eastAsia="宋体" w:cs="Arial"/>
          <w:sz w:val="24"/>
          <w:szCs w:val="24"/>
        </w:rPr>
        <w:t>确定在提交至FDA的报告中应当包含不同人群亚组，包括性别、年龄、民族和种族等的临床试验参与和纳入的安全性和有效性数据等级</w:t>
      </w:r>
      <w:r>
        <w:rPr>
          <w:rFonts w:ascii="宋体" w:hAnsi="宋体" w:eastAsia="宋体" w:cs="Arial"/>
          <w:sz w:val="24"/>
          <w:szCs w:val="24"/>
        </w:rPr>
        <w:t>”</w:t>
      </w:r>
      <w:r>
        <w:rPr>
          <w:rFonts w:ascii="Arial" w:hAnsi="Arial" w:eastAsia="宋体" w:cs="Arial"/>
          <w:sz w:val="24"/>
          <w:szCs w:val="24"/>
        </w:rPr>
        <w:t>。第907章也规定FDA要建立行动计划明确</w:t>
      </w:r>
      <w:r>
        <w:rPr>
          <w:rFonts w:ascii="宋体" w:hAnsi="宋体" w:eastAsia="宋体" w:cs="Arial"/>
          <w:sz w:val="24"/>
          <w:szCs w:val="24"/>
        </w:rPr>
        <w:t>“</w:t>
      </w:r>
      <w:r>
        <w:rPr>
          <w:rFonts w:ascii="Arial" w:hAnsi="Arial" w:eastAsia="宋体" w:cs="Arial"/>
          <w:sz w:val="24"/>
          <w:szCs w:val="24"/>
        </w:rPr>
        <w:t>提高产品安全性和有效性数据总结和标签中对于不同人群亚组数据分析的完整性和质量的建议；对标签中纳入该数据，或缺少可用的该数据的建议；提高患者、医疗服务提供者和研究人员公开获取该数据便利性的建议。</w:t>
      </w:r>
      <w:r>
        <w:rPr>
          <w:rFonts w:ascii="宋体" w:hAnsi="宋体" w:eastAsia="宋体" w:cs="Arial"/>
          <w:sz w:val="24"/>
          <w:szCs w:val="24"/>
        </w:rPr>
        <w:t>”</w:t>
      </w:r>
      <w:r>
        <w:rPr>
          <w:rFonts w:ascii="Arial" w:hAnsi="Arial" w:eastAsia="宋体" w:cs="Arial"/>
          <w:sz w:val="24"/>
          <w:szCs w:val="24"/>
        </w:rPr>
        <w:t>在该行动计划下，FDA建立了本指南作为行动的一部分，来提高人群亚组数据的完整性和质量。</w:t>
      </w:r>
    </w:p>
    <w:p w14:paraId="0E43AED2">
      <w:pPr>
        <w:snapToGrid w:val="0"/>
        <w:spacing w:after="156" w:afterLines="50" w:line="288" w:lineRule="auto"/>
        <w:ind w:firstLine="1385" w:firstLineChars="575"/>
        <w:rPr>
          <w:rFonts w:ascii="Arial" w:hAnsi="Arial" w:eastAsia="宋体" w:cs="Arial"/>
          <w:b/>
          <w:sz w:val="24"/>
          <w:szCs w:val="24"/>
        </w:rPr>
      </w:pPr>
      <w:r>
        <w:rPr>
          <w:rFonts w:ascii="Arial" w:hAnsi="Arial" w:eastAsia="宋体" w:cs="Arial"/>
          <w:b/>
          <w:sz w:val="24"/>
          <w:szCs w:val="24"/>
        </w:rPr>
        <w:t>人群亚组研究的相关性</w:t>
      </w:r>
    </w:p>
    <w:p w14:paraId="7058C09C">
      <w:pPr>
        <w:snapToGrid w:val="0"/>
        <w:spacing w:after="156" w:afterLines="50" w:line="288" w:lineRule="auto"/>
        <w:ind w:left="1386" w:leftChars="658" w:hanging="4" w:hangingChars="2"/>
        <w:rPr>
          <w:rFonts w:ascii="Arial" w:hAnsi="Arial" w:eastAsia="宋体" w:cs="Arial"/>
          <w:sz w:val="24"/>
          <w:szCs w:val="24"/>
        </w:rPr>
      </w:pPr>
      <w:r>
        <w:rPr>
          <w:rFonts w:ascii="Arial" w:hAnsi="Arial" w:eastAsia="宋体" w:cs="Arial"/>
          <w:sz w:val="24"/>
          <w:szCs w:val="24"/>
        </w:rPr>
        <w:t>已有研究观察到美国的不同民族、种族人群亚组对于医疗产品的治疗效果存在差异</w:t>
      </w:r>
      <w:r>
        <w:rPr>
          <w:rStyle w:val="14"/>
          <w:rFonts w:ascii="Arial" w:hAnsi="Arial" w:eastAsia="宋体" w:cs="Arial"/>
          <w:sz w:val="24"/>
          <w:szCs w:val="24"/>
        </w:rPr>
        <w:footnoteReference w:id="31"/>
      </w:r>
      <w:r>
        <w:rPr>
          <w:rFonts w:ascii="Arial" w:hAnsi="Arial" w:eastAsia="宋体" w:cs="Arial"/>
          <w:sz w:val="24"/>
          <w:szCs w:val="24"/>
        </w:rPr>
        <w:t>。这些差异可能由于内部因素（如基因、代谢、排泄等）、外部因素（如饮食、环境、社会文化因素等）、或上述因素的交互作用（Huang 2008）</w:t>
      </w:r>
      <w:r>
        <w:rPr>
          <w:rStyle w:val="14"/>
          <w:rFonts w:ascii="Arial" w:hAnsi="Arial" w:eastAsia="宋体" w:cs="Arial"/>
          <w:sz w:val="24"/>
          <w:szCs w:val="24"/>
        </w:rPr>
        <w:footnoteReference w:id="32"/>
      </w:r>
      <w:r>
        <w:rPr>
          <w:rFonts w:ascii="Arial" w:hAnsi="Arial" w:eastAsia="宋体" w:cs="Arial"/>
          <w:sz w:val="24"/>
          <w:szCs w:val="24"/>
        </w:rPr>
        <w:t>。</w:t>
      </w:r>
    </w:p>
    <w:p w14:paraId="6560930E">
      <w:pPr>
        <w:snapToGrid w:val="0"/>
        <w:spacing w:after="156" w:afterLines="50" w:line="288" w:lineRule="auto"/>
        <w:ind w:left="1386" w:leftChars="658" w:hanging="4" w:hangingChars="2"/>
        <w:rPr>
          <w:rFonts w:ascii="Arial" w:hAnsi="Arial" w:eastAsia="宋体" w:cs="Arial"/>
          <w:sz w:val="24"/>
          <w:szCs w:val="24"/>
        </w:rPr>
      </w:pPr>
      <w:r>
        <w:rPr>
          <w:rFonts w:ascii="Arial" w:hAnsi="Arial" w:eastAsia="宋体" w:cs="Arial"/>
          <w:sz w:val="24"/>
          <w:szCs w:val="24"/>
        </w:rPr>
        <w:t>FDA对2008年至2013年间的药物审批进行了回顾，发现约有五分之一的新药在不同的</w:t>
      </w:r>
      <w:r>
        <w:rPr>
          <w:rFonts w:hint="eastAsia" w:ascii="Arial" w:hAnsi="Arial" w:eastAsia="宋体" w:cs="Arial"/>
          <w:sz w:val="24"/>
          <w:szCs w:val="24"/>
        </w:rPr>
        <w:t>民族</w:t>
      </w:r>
      <w:r>
        <w:rPr>
          <w:rFonts w:ascii="Arial" w:hAnsi="Arial" w:eastAsia="宋体" w:cs="Arial"/>
          <w:sz w:val="24"/>
          <w:szCs w:val="24"/>
        </w:rPr>
        <w:t>/</w:t>
      </w:r>
      <w:r>
        <w:rPr>
          <w:rFonts w:hint="eastAsia" w:ascii="Arial" w:hAnsi="Arial" w:eastAsia="宋体" w:cs="Arial"/>
          <w:sz w:val="24"/>
          <w:szCs w:val="24"/>
        </w:rPr>
        <w:t>种种族</w:t>
      </w:r>
      <w:r>
        <w:rPr>
          <w:rFonts w:ascii="Arial" w:hAnsi="Arial" w:eastAsia="宋体" w:cs="Arial"/>
          <w:sz w:val="24"/>
          <w:szCs w:val="24"/>
        </w:rPr>
        <w:t>体中呈现出了不同的使用和/或有效性情况（Ramamoorthy 2015）</w:t>
      </w:r>
      <w:r>
        <w:rPr>
          <w:rStyle w:val="14"/>
          <w:rFonts w:ascii="Arial" w:hAnsi="Arial" w:eastAsia="宋体" w:cs="Arial"/>
          <w:sz w:val="24"/>
          <w:szCs w:val="24"/>
        </w:rPr>
        <w:footnoteReference w:id="33"/>
      </w:r>
      <w:r>
        <w:rPr>
          <w:rFonts w:ascii="Arial" w:hAnsi="Arial" w:eastAsia="宋体" w:cs="Arial"/>
          <w:sz w:val="24"/>
          <w:szCs w:val="24"/>
        </w:rPr>
        <w:t>。例如种族差异造成的皮肤结构和生理差异能够影响适用于皮肤疾病和局部适用的药品作用（Taylor 2002）</w:t>
      </w:r>
      <w:r>
        <w:rPr>
          <w:rStyle w:val="14"/>
          <w:rFonts w:ascii="Arial" w:hAnsi="Arial" w:eastAsia="宋体" w:cs="Arial"/>
          <w:sz w:val="24"/>
          <w:szCs w:val="24"/>
        </w:rPr>
        <w:footnoteReference w:id="34"/>
      </w:r>
      <w:r>
        <w:rPr>
          <w:rFonts w:ascii="Arial" w:hAnsi="Arial" w:eastAsia="宋体" w:cs="Arial"/>
          <w:sz w:val="24"/>
          <w:szCs w:val="24"/>
        </w:rPr>
        <w:t>。有研究表明不同民族和种种族体透析患者的死亡率存在差异</w:t>
      </w:r>
      <w:r>
        <w:rPr>
          <w:rStyle w:val="14"/>
          <w:rFonts w:ascii="Arial" w:hAnsi="Arial" w:eastAsia="宋体" w:cs="Arial"/>
          <w:sz w:val="24"/>
          <w:szCs w:val="24"/>
        </w:rPr>
        <w:footnoteReference w:id="35"/>
      </w:r>
      <w:r>
        <w:rPr>
          <w:rFonts w:ascii="Arial" w:hAnsi="Arial" w:eastAsia="宋体" w:cs="Arial"/>
          <w:sz w:val="24"/>
          <w:szCs w:val="24"/>
        </w:rPr>
        <w:t>。若干研究表明黑色人种对多种抗高血压药物（beta受体阻断剂和血管紧张素转化酶（ACE）抑制剂）的作用有限（Exner 2001</w:t>
      </w:r>
      <w:r>
        <w:rPr>
          <w:rStyle w:val="14"/>
          <w:rFonts w:ascii="Arial" w:hAnsi="Arial" w:eastAsia="宋体" w:cs="Arial"/>
          <w:sz w:val="24"/>
          <w:szCs w:val="24"/>
        </w:rPr>
        <w:footnoteReference w:id="36"/>
      </w:r>
      <w:r>
        <w:rPr>
          <w:rFonts w:ascii="Arial" w:hAnsi="Arial" w:eastAsia="宋体" w:cs="Arial"/>
          <w:sz w:val="24"/>
          <w:szCs w:val="24"/>
        </w:rPr>
        <w:t>及Yancy 2001</w:t>
      </w:r>
      <w:r>
        <w:rPr>
          <w:rStyle w:val="14"/>
          <w:rFonts w:ascii="Arial" w:hAnsi="Arial" w:eastAsia="宋体" w:cs="Arial"/>
          <w:sz w:val="24"/>
          <w:szCs w:val="24"/>
        </w:rPr>
        <w:footnoteReference w:id="37"/>
      </w:r>
      <w:r>
        <w:rPr>
          <w:rFonts w:ascii="Arial" w:hAnsi="Arial" w:eastAsia="宋体" w:cs="Arial"/>
          <w:sz w:val="24"/>
          <w:szCs w:val="24"/>
        </w:rPr>
        <w:t>）。对细胞色素P450 2D6（CYP2D6）来说，有一种酶对于广泛应用的药物的代谢十分重要的，包括抗抑郁药物、抗精神病药物、beta受体阻断剂等，该类酶代谢较差的个体比例在白色人种</w:t>
      </w:r>
      <w:r>
        <w:rPr>
          <w:rStyle w:val="14"/>
          <w:rFonts w:ascii="Arial" w:hAnsi="Arial" w:eastAsia="宋体" w:cs="Arial"/>
          <w:sz w:val="24"/>
          <w:szCs w:val="24"/>
        </w:rPr>
        <w:footnoteReference w:id="38"/>
      </w:r>
      <w:r>
        <w:rPr>
          <w:rFonts w:ascii="Arial" w:hAnsi="Arial" w:eastAsia="宋体" w:cs="Arial"/>
          <w:sz w:val="24"/>
          <w:szCs w:val="24"/>
        </w:rPr>
        <w:t>（7-10%）和黑色或非裔美国人（3-8%）中药高于亚裔（Xie 2001）</w:t>
      </w:r>
      <w:r>
        <w:rPr>
          <w:rStyle w:val="14"/>
          <w:rFonts w:ascii="Arial" w:hAnsi="Arial" w:eastAsia="宋体" w:cs="Arial"/>
          <w:sz w:val="24"/>
          <w:szCs w:val="24"/>
        </w:rPr>
        <w:footnoteReference w:id="39"/>
      </w:r>
      <w:r>
        <w:rPr>
          <w:rFonts w:ascii="Arial" w:hAnsi="Arial" w:eastAsia="宋体" w:cs="Arial"/>
          <w:sz w:val="24"/>
          <w:szCs w:val="24"/>
        </w:rPr>
        <w:t>。抗惊厥药卡马西平</w:t>
      </w:r>
      <w:r>
        <w:rPr>
          <w:rStyle w:val="14"/>
          <w:rFonts w:ascii="Arial" w:hAnsi="Arial" w:eastAsia="宋体" w:cs="Arial"/>
          <w:sz w:val="24"/>
          <w:szCs w:val="24"/>
        </w:rPr>
        <w:footnoteReference w:id="40"/>
      </w:r>
      <w:r>
        <w:rPr>
          <w:rFonts w:ascii="Arial" w:hAnsi="Arial" w:eastAsia="宋体" w:cs="Arial"/>
          <w:sz w:val="24"/>
          <w:szCs w:val="24"/>
        </w:rPr>
        <w:t>引发的斯约综合征毒性表皮坏色溶解的发病率与HLA-B*1502有很强的关联（Chung 2004</w:t>
      </w:r>
      <w:r>
        <w:rPr>
          <w:rStyle w:val="14"/>
          <w:rFonts w:ascii="Arial" w:hAnsi="Arial" w:eastAsia="宋体" w:cs="Arial"/>
          <w:sz w:val="24"/>
          <w:szCs w:val="24"/>
        </w:rPr>
        <w:footnoteReference w:id="41"/>
      </w:r>
      <w:r>
        <w:rPr>
          <w:rFonts w:ascii="Arial" w:hAnsi="Arial" w:eastAsia="宋体" w:cs="Arial"/>
          <w:sz w:val="24"/>
          <w:szCs w:val="24"/>
        </w:rPr>
        <w:t>），与非亚裔人口相比，该等位基因在亚裔人口（尤其是中国人）中的存在率非常高。（Huang 2006</w:t>
      </w:r>
      <w:r>
        <w:rPr>
          <w:rStyle w:val="14"/>
          <w:rFonts w:ascii="Arial" w:hAnsi="Arial" w:eastAsia="宋体" w:cs="Arial"/>
          <w:sz w:val="24"/>
          <w:szCs w:val="24"/>
        </w:rPr>
        <w:footnoteReference w:id="42"/>
      </w:r>
      <w:r>
        <w:rPr>
          <w:rFonts w:ascii="Arial" w:hAnsi="Arial" w:eastAsia="宋体" w:cs="Arial"/>
          <w:sz w:val="24"/>
          <w:szCs w:val="24"/>
        </w:rPr>
        <w:t>和Alfirevic 2006</w:t>
      </w:r>
      <w:r>
        <w:rPr>
          <w:rStyle w:val="14"/>
          <w:rFonts w:ascii="Arial" w:hAnsi="Arial" w:eastAsia="宋体" w:cs="Arial"/>
          <w:sz w:val="24"/>
          <w:szCs w:val="24"/>
        </w:rPr>
        <w:footnoteReference w:id="43"/>
      </w:r>
      <w:r>
        <w:rPr>
          <w:rFonts w:ascii="Arial" w:hAnsi="Arial" w:eastAsia="宋体" w:cs="Arial"/>
          <w:sz w:val="24"/>
          <w:szCs w:val="24"/>
        </w:rPr>
        <w:t>）。</w:t>
      </w:r>
    </w:p>
    <w:p w14:paraId="255E9B80">
      <w:pPr>
        <w:snapToGrid w:val="0"/>
        <w:spacing w:after="156" w:afterLines="50" w:line="288" w:lineRule="auto"/>
        <w:ind w:left="1386" w:leftChars="658" w:hanging="4" w:hangingChars="2"/>
        <w:rPr>
          <w:rFonts w:ascii="Arial" w:hAnsi="Arial" w:eastAsia="宋体" w:cs="Arial"/>
          <w:b/>
          <w:sz w:val="32"/>
          <w:szCs w:val="32"/>
        </w:rPr>
      </w:pPr>
      <w:r>
        <w:rPr>
          <w:rFonts w:ascii="Arial" w:hAnsi="Arial" w:eastAsia="宋体" w:cs="Arial"/>
          <w:sz w:val="24"/>
          <w:szCs w:val="24"/>
        </w:rPr>
        <w:t>收集种族和/或种族数据对于确定人群特异的信号十分重要。如上所示，基因研究可能能够解释观察到的不同种族或种族群体间的药代动力学、有效性或安全性的差异，因此FDA也已经建议在临床试验中收集DNA样本</w:t>
      </w:r>
      <w:r>
        <w:rPr>
          <w:rStyle w:val="14"/>
          <w:rFonts w:ascii="Arial" w:hAnsi="Arial" w:eastAsia="宋体" w:cs="Arial"/>
          <w:sz w:val="24"/>
          <w:szCs w:val="24"/>
        </w:rPr>
        <w:footnoteReference w:id="44"/>
      </w:r>
      <w:r>
        <w:rPr>
          <w:rFonts w:ascii="Arial" w:hAnsi="Arial" w:eastAsia="宋体" w:cs="Arial"/>
          <w:sz w:val="24"/>
          <w:szCs w:val="24"/>
        </w:rPr>
        <w:t>。FDA也颁布了关于根据预先或预后的生物标志物（如基因型）选择临床试验参与者的策略指南</w:t>
      </w:r>
      <w:r>
        <w:rPr>
          <w:rStyle w:val="14"/>
          <w:rFonts w:ascii="Arial" w:hAnsi="Arial" w:eastAsia="宋体" w:cs="Arial"/>
          <w:sz w:val="24"/>
          <w:szCs w:val="24"/>
        </w:rPr>
        <w:footnoteReference w:id="45"/>
      </w:r>
      <w:r>
        <w:rPr>
          <w:rFonts w:ascii="Arial" w:hAnsi="Arial" w:eastAsia="宋体" w:cs="Arial"/>
          <w:sz w:val="24"/>
          <w:szCs w:val="24"/>
        </w:rPr>
        <w:t>。</w:t>
      </w:r>
    </w:p>
    <w:p w14:paraId="55966ECB">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37" w:name="_Toc498073296"/>
      <w:r>
        <w:rPr>
          <w:rFonts w:ascii="Arial" w:hAnsi="Arial" w:eastAsia="宋体" w:cs="Arial"/>
          <w:b/>
          <w:sz w:val="32"/>
          <w:szCs w:val="32"/>
        </w:rPr>
        <w:t>在临床试验中收集</w:t>
      </w:r>
      <w:r>
        <w:rPr>
          <w:rFonts w:hint="eastAsia" w:ascii="Arial" w:hAnsi="Arial" w:eastAsia="宋体" w:cs="Arial"/>
          <w:b/>
          <w:sz w:val="32"/>
          <w:szCs w:val="32"/>
        </w:rPr>
        <w:t>民族和种族</w:t>
      </w:r>
      <w:r>
        <w:rPr>
          <w:rFonts w:ascii="Arial" w:hAnsi="Arial" w:eastAsia="宋体" w:cs="Arial"/>
          <w:b/>
          <w:sz w:val="32"/>
          <w:szCs w:val="32"/>
        </w:rPr>
        <w:t>信息</w:t>
      </w:r>
      <w:bookmarkEnd w:id="37"/>
    </w:p>
    <w:p w14:paraId="2D74DA14">
      <w:pPr>
        <w:snapToGrid w:val="0"/>
        <w:spacing w:after="156" w:afterLines="50" w:line="360" w:lineRule="auto"/>
        <w:ind w:left="462" w:leftChars="220"/>
        <w:rPr>
          <w:rFonts w:ascii="Arial" w:hAnsi="Arial" w:eastAsia="宋体" w:cs="Arial"/>
          <w:sz w:val="24"/>
          <w:szCs w:val="24"/>
        </w:rPr>
      </w:pPr>
      <w:r>
        <w:rPr>
          <w:rFonts w:ascii="Arial" w:hAnsi="Arial" w:eastAsia="宋体" w:cs="Arial"/>
          <w:sz w:val="24"/>
          <w:szCs w:val="24"/>
        </w:rPr>
        <w:t>下面讨论的分类标准为联邦报告提供了维护、收集和呈现民族和种族数据的最低标准。与OMB政策指令15一致，该分类标准中的类别为社会-政治产物，不应解释为科学或人类学本质的分类方式。该规则不应用于任何联邦项目参与资格的决定因素。该标准旨在为联邦机构提供统一、一致的民族和种族数据收集和使用一般框架。</w:t>
      </w:r>
    </w:p>
    <w:p w14:paraId="6F03779E">
      <w:pPr>
        <w:snapToGrid w:val="0"/>
        <w:spacing w:after="156" w:afterLines="50" w:line="360" w:lineRule="auto"/>
        <w:ind w:left="462" w:leftChars="220"/>
        <w:rPr>
          <w:rFonts w:ascii="Arial" w:hAnsi="Arial" w:eastAsia="宋体" w:cs="Arial"/>
          <w:sz w:val="24"/>
          <w:szCs w:val="24"/>
        </w:rPr>
      </w:pPr>
      <w:r>
        <w:rPr>
          <w:rFonts w:ascii="Arial" w:hAnsi="Arial" w:eastAsia="宋体" w:cs="Arial"/>
          <w:sz w:val="24"/>
          <w:szCs w:val="24"/>
        </w:rPr>
        <w:t>本章的建议体现了机构对于更为一致的人群亚组数据收集的观点和期待。对于美国境内外开展的研究，机构推荐了以下基于线性OMB指令的民族和种族数据收集流程。这些建议与NIH指南中提出的民族和种族数据收集格式相一致</w:t>
      </w:r>
      <w:r>
        <w:rPr>
          <w:rStyle w:val="14"/>
          <w:rFonts w:ascii="Arial" w:hAnsi="Arial" w:eastAsia="宋体" w:cs="Arial"/>
          <w:sz w:val="24"/>
          <w:szCs w:val="24"/>
        </w:rPr>
        <w:footnoteReference w:id="46"/>
      </w:r>
      <w:r>
        <w:rPr>
          <w:rFonts w:ascii="Arial" w:hAnsi="Arial" w:eastAsia="宋体" w:cs="Arial"/>
          <w:sz w:val="24"/>
          <w:szCs w:val="24"/>
        </w:rPr>
        <w:t>。</w:t>
      </w:r>
    </w:p>
    <w:p w14:paraId="07253B67">
      <w:pPr>
        <w:pStyle w:val="15"/>
        <w:numPr>
          <w:ilvl w:val="1"/>
          <w:numId w:val="1"/>
        </w:numPr>
        <w:snapToGrid w:val="0"/>
        <w:spacing w:after="156" w:afterLines="50" w:line="360" w:lineRule="auto"/>
        <w:ind w:left="1417" w:leftChars="340" w:hanging="703" w:hangingChars="250"/>
        <w:outlineLvl w:val="1"/>
        <w:rPr>
          <w:rFonts w:ascii="Arial" w:hAnsi="Arial" w:eastAsia="宋体" w:cs="Arial"/>
          <w:b/>
          <w:sz w:val="28"/>
          <w:szCs w:val="28"/>
        </w:rPr>
      </w:pPr>
      <w:bookmarkStart w:id="38" w:name="_Toc498073297"/>
      <w:r>
        <w:rPr>
          <w:rFonts w:ascii="Arial" w:hAnsi="Arial" w:eastAsia="宋体" w:cs="Arial"/>
          <w:b/>
          <w:sz w:val="28"/>
          <w:szCs w:val="28"/>
        </w:rPr>
        <w:t>双问题格式</w:t>
      </w:r>
      <w:bookmarkEnd w:id="38"/>
    </w:p>
    <w:p w14:paraId="1E21AC73">
      <w:pPr>
        <w:snapToGrid w:val="0"/>
        <w:spacing w:after="156" w:afterLines="50" w:line="360" w:lineRule="auto"/>
        <w:ind w:left="1426" w:leftChars="679"/>
        <w:rPr>
          <w:rFonts w:ascii="Arial" w:hAnsi="Arial" w:eastAsia="宋体" w:cs="Arial"/>
          <w:sz w:val="24"/>
          <w:szCs w:val="24"/>
        </w:rPr>
      </w:pPr>
      <w:r>
        <w:rPr>
          <w:rFonts w:ascii="Arial" w:hAnsi="Arial" w:eastAsia="宋体" w:cs="Arial"/>
          <w:sz w:val="24"/>
          <w:szCs w:val="24"/>
        </w:rPr>
        <w:t>为了与OMB和其他建议的良好规范相一致，FDA建议使用双问题格式获取民族和种族信息，在询问种族前首先询问种族。例如：</w:t>
      </w:r>
    </w:p>
    <w:p w14:paraId="59480EFC">
      <w:pPr>
        <w:snapToGrid w:val="0"/>
        <w:spacing w:after="156" w:afterLines="50" w:line="360" w:lineRule="auto"/>
        <w:ind w:left="1426" w:leftChars="679"/>
        <w:rPr>
          <w:rFonts w:ascii="Arial" w:hAnsi="Arial" w:eastAsia="宋体" w:cs="Arial"/>
          <w:sz w:val="24"/>
          <w:szCs w:val="24"/>
        </w:rPr>
      </w:pPr>
      <w:r>
        <w:rPr>
          <w:rFonts w:ascii="Arial" w:hAnsi="Arial" w:eastAsia="宋体" w:cs="Arial"/>
          <w:b/>
          <w:sz w:val="24"/>
          <w:szCs w:val="24"/>
        </w:rPr>
        <w:t>问题1（首先回答）：</w:t>
      </w:r>
      <w:r>
        <w:rPr>
          <w:rFonts w:ascii="Arial" w:hAnsi="Arial" w:eastAsia="宋体" w:cs="Arial"/>
          <w:sz w:val="24"/>
          <w:szCs w:val="24"/>
        </w:rPr>
        <w:t>您认为您是否属于西班牙/拉丁裔？</w:t>
      </w:r>
    </w:p>
    <w:p w14:paraId="685AFB15">
      <w:pPr>
        <w:snapToGrid w:val="0"/>
        <w:spacing w:after="156" w:afterLines="50" w:line="360" w:lineRule="auto"/>
        <w:ind w:left="1426" w:leftChars="679"/>
        <w:rPr>
          <w:rFonts w:ascii="Arial" w:hAnsi="Arial" w:eastAsia="宋体" w:cs="Arial"/>
          <w:sz w:val="24"/>
          <w:szCs w:val="24"/>
        </w:rPr>
      </w:pPr>
      <w:r>
        <w:rPr>
          <w:rFonts w:ascii="Arial" w:hAnsi="Arial" w:eastAsia="宋体" w:cs="Arial"/>
          <w:b/>
          <w:sz w:val="24"/>
          <w:szCs w:val="24"/>
        </w:rPr>
        <w:t>问题2（稍后回答）：</w:t>
      </w:r>
      <w:r>
        <w:rPr>
          <w:rFonts w:ascii="Arial" w:hAnsi="Arial" w:eastAsia="宋体" w:cs="Arial"/>
          <w:sz w:val="24"/>
          <w:szCs w:val="24"/>
        </w:rPr>
        <w:t>下列五项种族名称</w:t>
      </w:r>
      <w:r>
        <w:rPr>
          <w:rFonts w:hint="eastAsia" w:ascii="Arial" w:hAnsi="Arial" w:eastAsia="宋体" w:cs="Arial"/>
          <w:sz w:val="24"/>
          <w:szCs w:val="24"/>
        </w:rPr>
        <w:t>中哪种</w:t>
      </w:r>
      <w:r>
        <w:rPr>
          <w:rFonts w:ascii="Arial" w:hAnsi="Arial" w:eastAsia="宋体" w:cs="Arial"/>
          <w:sz w:val="24"/>
          <w:szCs w:val="24"/>
        </w:rPr>
        <w:t>最符合您？可以选择多项。</w:t>
      </w:r>
    </w:p>
    <w:p w14:paraId="3A648B87">
      <w:pPr>
        <w:pStyle w:val="15"/>
        <w:numPr>
          <w:ilvl w:val="1"/>
          <w:numId w:val="1"/>
        </w:numPr>
        <w:snapToGrid w:val="0"/>
        <w:spacing w:after="156" w:afterLines="50" w:line="360" w:lineRule="auto"/>
        <w:ind w:left="1417" w:leftChars="340" w:hanging="703" w:hangingChars="250"/>
        <w:outlineLvl w:val="1"/>
        <w:rPr>
          <w:rFonts w:ascii="Arial" w:hAnsi="Arial" w:eastAsia="宋体" w:cs="Arial"/>
          <w:b/>
          <w:sz w:val="28"/>
          <w:szCs w:val="28"/>
        </w:rPr>
      </w:pPr>
      <w:bookmarkStart w:id="39" w:name="_Toc498073298"/>
      <w:r>
        <w:rPr>
          <w:rFonts w:ascii="Arial" w:hAnsi="Arial" w:eastAsia="宋体" w:cs="Arial"/>
          <w:b/>
          <w:sz w:val="28"/>
          <w:szCs w:val="28"/>
        </w:rPr>
        <w:t>自我报告</w:t>
      </w:r>
      <w:bookmarkEnd w:id="39"/>
    </w:p>
    <w:p w14:paraId="3E46D4C5">
      <w:pPr>
        <w:snapToGrid w:val="0"/>
        <w:spacing w:after="156" w:afterLines="50" w:line="360" w:lineRule="auto"/>
        <w:ind w:left="1426" w:leftChars="679"/>
        <w:rPr>
          <w:rFonts w:ascii="Arial" w:hAnsi="Arial" w:eastAsia="宋体" w:cs="Arial"/>
          <w:sz w:val="24"/>
          <w:szCs w:val="24"/>
        </w:rPr>
      </w:pPr>
      <w:r>
        <w:rPr>
          <w:rFonts w:ascii="Arial" w:hAnsi="Arial" w:eastAsia="宋体" w:cs="Arial"/>
          <w:sz w:val="24"/>
          <w:szCs w:val="24"/>
        </w:rPr>
        <w:t>FDA建议受试者自主报告民族和种族信息，并且个体可以指定多个种族身份。如果通过自我报告的方式收集身份数据不可行（如受试者无法回答），则我们建议从近亲属或其它知情人处获取信息。民族和种族信息不应由开展试验的研究团队指定。</w:t>
      </w:r>
    </w:p>
    <w:p w14:paraId="3E497ADB">
      <w:pPr>
        <w:pStyle w:val="15"/>
        <w:numPr>
          <w:ilvl w:val="1"/>
          <w:numId w:val="1"/>
        </w:numPr>
        <w:snapToGrid w:val="0"/>
        <w:spacing w:after="124" w:afterLines="40" w:line="300" w:lineRule="auto"/>
        <w:ind w:left="1417" w:leftChars="340" w:hanging="703" w:hangingChars="250"/>
        <w:outlineLvl w:val="1"/>
        <w:rPr>
          <w:rFonts w:ascii="Arial" w:hAnsi="Arial" w:eastAsia="宋体" w:cs="Arial"/>
          <w:b/>
          <w:sz w:val="28"/>
          <w:szCs w:val="28"/>
        </w:rPr>
      </w:pPr>
      <w:bookmarkStart w:id="40" w:name="_Toc498073299"/>
      <w:r>
        <w:rPr>
          <w:rFonts w:ascii="Arial" w:hAnsi="Arial" w:eastAsia="宋体" w:cs="Arial"/>
          <w:b/>
          <w:sz w:val="28"/>
          <w:szCs w:val="28"/>
        </w:rPr>
        <w:t>种族</w:t>
      </w:r>
      <w:bookmarkEnd w:id="40"/>
    </w:p>
    <w:p w14:paraId="107E1E63">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对于种族信息，我们建议至少提供下列选项：</w:t>
      </w:r>
    </w:p>
    <w:p w14:paraId="0EDC6EC9">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西班牙或拉丁裔：来自古巴、墨西哥、波多黎各、南美洲或中美洲、或其他西班牙文化或族源，无论种族。除</w:t>
      </w:r>
      <w:r>
        <w:rPr>
          <w:rFonts w:ascii="宋体" w:hAnsi="宋体" w:eastAsia="宋体" w:cs="Arial"/>
          <w:sz w:val="24"/>
          <w:szCs w:val="24"/>
        </w:rPr>
        <w:t>“</w:t>
      </w:r>
      <w:r>
        <w:rPr>
          <w:rFonts w:ascii="Arial" w:hAnsi="Arial" w:eastAsia="宋体" w:cs="Arial"/>
          <w:sz w:val="24"/>
          <w:szCs w:val="24"/>
        </w:rPr>
        <w:t>西班牙或拉丁裔</w:t>
      </w:r>
      <w:r>
        <w:rPr>
          <w:rFonts w:ascii="宋体" w:hAnsi="宋体" w:eastAsia="宋体" w:cs="Arial"/>
          <w:sz w:val="24"/>
          <w:szCs w:val="24"/>
        </w:rPr>
        <w:t>”</w:t>
      </w:r>
      <w:r>
        <w:rPr>
          <w:rFonts w:ascii="Arial" w:hAnsi="Arial" w:eastAsia="宋体" w:cs="Arial"/>
          <w:sz w:val="24"/>
          <w:szCs w:val="24"/>
        </w:rPr>
        <w:t>外也可使用术语</w:t>
      </w:r>
      <w:r>
        <w:rPr>
          <w:rFonts w:ascii="宋体" w:hAnsi="宋体" w:eastAsia="宋体" w:cs="Arial"/>
          <w:sz w:val="24"/>
          <w:szCs w:val="24"/>
        </w:rPr>
        <w:t>“</w:t>
      </w:r>
      <w:r>
        <w:rPr>
          <w:rFonts w:ascii="Arial" w:hAnsi="Arial" w:eastAsia="宋体" w:cs="Arial"/>
          <w:sz w:val="24"/>
          <w:szCs w:val="24"/>
        </w:rPr>
        <w:t>西班牙裔</w:t>
      </w:r>
      <w:r>
        <w:rPr>
          <w:rFonts w:ascii="宋体" w:hAnsi="宋体" w:eastAsia="宋体" w:cs="Arial"/>
          <w:sz w:val="24"/>
          <w:szCs w:val="24"/>
        </w:rPr>
        <w:t>”</w:t>
      </w:r>
      <w:r>
        <w:rPr>
          <w:rFonts w:ascii="Arial" w:hAnsi="Arial" w:eastAsia="宋体" w:cs="Arial"/>
          <w:sz w:val="24"/>
          <w:szCs w:val="24"/>
        </w:rPr>
        <w:t>。</w:t>
      </w:r>
    </w:p>
    <w:p w14:paraId="743A4F73">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非西班牙或拉丁裔</w:t>
      </w:r>
    </w:p>
    <w:p w14:paraId="23FB01F8">
      <w:pPr>
        <w:pStyle w:val="15"/>
        <w:numPr>
          <w:ilvl w:val="1"/>
          <w:numId w:val="1"/>
        </w:numPr>
        <w:snapToGrid w:val="0"/>
        <w:spacing w:after="124" w:afterLines="40" w:line="300" w:lineRule="auto"/>
        <w:ind w:left="1417" w:leftChars="340" w:hanging="703" w:hangingChars="250"/>
        <w:outlineLvl w:val="1"/>
        <w:rPr>
          <w:rFonts w:ascii="Arial" w:hAnsi="Arial" w:eastAsia="宋体" w:cs="Arial"/>
          <w:b/>
          <w:sz w:val="28"/>
          <w:szCs w:val="28"/>
        </w:rPr>
      </w:pPr>
      <w:bookmarkStart w:id="41" w:name="_Toc498073300"/>
      <w:r>
        <w:rPr>
          <w:rFonts w:hint="eastAsia" w:ascii="Arial" w:hAnsi="Arial" w:eastAsia="宋体" w:cs="Arial"/>
          <w:b/>
          <w:sz w:val="28"/>
          <w:szCs w:val="28"/>
        </w:rPr>
        <w:t>民族</w:t>
      </w:r>
      <w:bookmarkEnd w:id="41"/>
    </w:p>
    <w:p w14:paraId="7A49C9F4">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对于民族，我们建议至少提供下列选项：</w:t>
      </w:r>
    </w:p>
    <w:p w14:paraId="714A70B8">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印第安人或阿拉斯加土著：带有北美洲或南美洲（包括中美洲）原住民血统的个体，且仍然维持部落身份或社群附属身份。</w:t>
      </w:r>
    </w:p>
    <w:p w14:paraId="2CB8F81F">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亚裔：带有远东、东南亚或印度次大陆原住民血统的个体，包括如柬埔寨、中国、印度、日本、韩国、马来西亚、巴基斯坦、菲律宾、泰国、越南等。</w:t>
      </w:r>
    </w:p>
    <w:p w14:paraId="294973BE">
      <w:pPr>
        <w:snapToGrid w:val="0"/>
        <w:spacing w:after="124" w:afterLines="40" w:line="300" w:lineRule="auto"/>
        <w:ind w:left="1426" w:leftChars="679"/>
        <w:rPr>
          <w:rFonts w:ascii="Arial" w:hAnsi="Arial" w:eastAsia="宋体" w:cs="Arial"/>
          <w:sz w:val="24"/>
          <w:szCs w:val="24"/>
        </w:rPr>
      </w:pPr>
      <w:bookmarkStart w:id="42" w:name="OLE_LINK29"/>
      <w:r>
        <w:rPr>
          <w:rFonts w:ascii="Arial" w:hAnsi="Arial" w:eastAsia="宋体" w:cs="Arial"/>
          <w:sz w:val="24"/>
          <w:szCs w:val="24"/>
        </w:rPr>
        <w:t>黑人或非裔美国人</w:t>
      </w:r>
      <w:bookmarkEnd w:id="42"/>
      <w:r>
        <w:rPr>
          <w:rFonts w:ascii="Arial" w:hAnsi="Arial" w:eastAsia="宋体" w:cs="Arial"/>
          <w:sz w:val="24"/>
          <w:szCs w:val="24"/>
        </w:rPr>
        <w:t>：带有非洲黑人血统的个体。除</w:t>
      </w:r>
      <w:r>
        <w:rPr>
          <w:rFonts w:ascii="宋体" w:hAnsi="宋体" w:eastAsia="宋体" w:cs="Arial"/>
          <w:sz w:val="24"/>
          <w:szCs w:val="24"/>
        </w:rPr>
        <w:t>“</w:t>
      </w:r>
      <w:r>
        <w:rPr>
          <w:rFonts w:ascii="Arial" w:hAnsi="Arial" w:eastAsia="宋体" w:cs="Arial"/>
          <w:sz w:val="24"/>
          <w:szCs w:val="24"/>
        </w:rPr>
        <w:t>黑人或非裔美国人</w:t>
      </w:r>
      <w:r>
        <w:rPr>
          <w:rFonts w:ascii="宋体" w:hAnsi="宋体" w:eastAsia="宋体" w:cs="Arial"/>
          <w:sz w:val="24"/>
          <w:szCs w:val="24"/>
        </w:rPr>
        <w:t>”</w:t>
      </w:r>
      <w:r>
        <w:rPr>
          <w:rFonts w:ascii="Arial" w:hAnsi="Arial" w:eastAsia="宋体" w:cs="Arial"/>
          <w:sz w:val="24"/>
          <w:szCs w:val="24"/>
        </w:rPr>
        <w:t>外也可使用</w:t>
      </w:r>
      <w:r>
        <w:rPr>
          <w:rFonts w:ascii="宋体" w:hAnsi="宋体" w:eastAsia="宋体" w:cs="Arial"/>
          <w:sz w:val="24"/>
          <w:szCs w:val="24"/>
        </w:rPr>
        <w:t>“</w:t>
      </w:r>
      <w:r>
        <w:rPr>
          <w:rFonts w:ascii="Arial" w:hAnsi="Arial" w:eastAsia="宋体" w:cs="Arial"/>
          <w:sz w:val="24"/>
          <w:szCs w:val="24"/>
        </w:rPr>
        <w:t>海地人</w:t>
      </w:r>
      <w:r>
        <w:rPr>
          <w:rFonts w:ascii="宋体" w:hAnsi="宋体" w:eastAsia="宋体" w:cs="Arial"/>
          <w:sz w:val="24"/>
          <w:szCs w:val="24"/>
        </w:rPr>
        <w:t>”</w:t>
      </w:r>
      <w:r>
        <w:rPr>
          <w:rFonts w:ascii="Arial" w:hAnsi="Arial" w:eastAsia="宋体" w:cs="Arial"/>
          <w:sz w:val="24"/>
          <w:szCs w:val="24"/>
        </w:rPr>
        <w:t>或</w:t>
      </w:r>
      <w:r>
        <w:rPr>
          <w:rFonts w:ascii="宋体" w:hAnsi="宋体" w:eastAsia="宋体" w:cs="Arial"/>
          <w:sz w:val="24"/>
          <w:szCs w:val="24"/>
        </w:rPr>
        <w:t>“</w:t>
      </w:r>
      <w:r>
        <w:rPr>
          <w:rFonts w:ascii="Arial" w:hAnsi="Arial" w:eastAsia="宋体" w:cs="Arial"/>
          <w:sz w:val="24"/>
          <w:szCs w:val="24"/>
        </w:rPr>
        <w:t>黑人</w:t>
      </w:r>
      <w:r>
        <w:rPr>
          <w:rFonts w:ascii="宋体" w:hAnsi="宋体" w:eastAsia="宋体" w:cs="Arial"/>
          <w:sz w:val="24"/>
          <w:szCs w:val="24"/>
        </w:rPr>
        <w:t>”</w:t>
      </w:r>
      <w:r>
        <w:rPr>
          <w:rFonts w:ascii="Arial" w:hAnsi="Arial" w:eastAsia="宋体" w:cs="Arial"/>
          <w:sz w:val="24"/>
          <w:szCs w:val="24"/>
        </w:rPr>
        <w:t>等术语。</w:t>
      </w:r>
    </w:p>
    <w:p w14:paraId="407ABEA8">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夏威夷土著或其他太平洋岛国居民：带有夏威夷、关岛、萨摩亚或其他太平洋岛国血统的个体。</w:t>
      </w:r>
    </w:p>
    <w:p w14:paraId="606F2605">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白人：带有欧洲、中东、或北非血统的个体。</w:t>
      </w:r>
    </w:p>
    <w:p w14:paraId="71F5AF12">
      <w:pPr>
        <w:snapToGrid w:val="0"/>
        <w:spacing w:after="124" w:afterLines="40" w:line="300" w:lineRule="auto"/>
        <w:ind w:left="1426" w:leftChars="679"/>
        <w:rPr>
          <w:rFonts w:ascii="Arial" w:hAnsi="Arial" w:eastAsia="宋体" w:cs="Arial"/>
          <w:sz w:val="24"/>
          <w:szCs w:val="24"/>
        </w:rPr>
      </w:pPr>
      <w:r>
        <w:rPr>
          <w:rFonts w:ascii="Arial" w:hAnsi="Arial" w:eastAsia="宋体" w:cs="Arial"/>
          <w:sz w:val="24"/>
          <w:szCs w:val="24"/>
        </w:rPr>
        <w:t>我们建议提供选择一种或多种民族，或添加其他人群亚组的选项。对于多选问题我们建议使用</w:t>
      </w:r>
      <w:r>
        <w:rPr>
          <w:rFonts w:ascii="宋体" w:hAnsi="宋体" w:eastAsia="宋体" w:cs="Arial"/>
          <w:sz w:val="24"/>
          <w:szCs w:val="24"/>
        </w:rPr>
        <w:t>“</w:t>
      </w:r>
      <w:r>
        <w:rPr>
          <w:rFonts w:ascii="Arial" w:hAnsi="Arial" w:eastAsia="宋体" w:cs="Arial"/>
          <w:sz w:val="24"/>
          <w:szCs w:val="24"/>
        </w:rPr>
        <w:t>填写一项或多项</w:t>
      </w:r>
      <w:r>
        <w:rPr>
          <w:rFonts w:ascii="宋体" w:hAnsi="宋体" w:eastAsia="宋体" w:cs="Arial"/>
          <w:sz w:val="24"/>
          <w:szCs w:val="24"/>
        </w:rPr>
        <w:t>”</w:t>
      </w:r>
      <w:r>
        <w:rPr>
          <w:rFonts w:ascii="Arial" w:hAnsi="Arial" w:eastAsia="宋体" w:cs="Arial"/>
          <w:sz w:val="24"/>
          <w:szCs w:val="24"/>
        </w:rPr>
        <w:t>或</w:t>
      </w:r>
      <w:r>
        <w:rPr>
          <w:rFonts w:ascii="宋体" w:hAnsi="宋体" w:eastAsia="宋体" w:cs="Arial"/>
          <w:sz w:val="24"/>
          <w:szCs w:val="24"/>
        </w:rPr>
        <w:t>“</w:t>
      </w:r>
      <w:r>
        <w:rPr>
          <w:rFonts w:ascii="Arial" w:hAnsi="Arial" w:eastAsia="宋体" w:cs="Arial"/>
          <w:sz w:val="24"/>
          <w:szCs w:val="24"/>
        </w:rPr>
        <w:t>选择一项或多项</w:t>
      </w:r>
      <w:r>
        <w:rPr>
          <w:rFonts w:ascii="宋体" w:hAnsi="宋体" w:eastAsia="宋体" w:cs="Arial"/>
          <w:sz w:val="24"/>
          <w:szCs w:val="24"/>
        </w:rPr>
        <w:t>”</w:t>
      </w:r>
      <w:r>
        <w:rPr>
          <w:rFonts w:ascii="Arial" w:hAnsi="Arial" w:eastAsia="宋体" w:cs="Arial"/>
          <w:sz w:val="24"/>
          <w:szCs w:val="24"/>
        </w:rPr>
        <w:t>的指示说明。</w:t>
      </w:r>
    </w:p>
    <w:p w14:paraId="7016F7A6">
      <w:pPr>
        <w:snapToGrid w:val="0"/>
        <w:spacing w:after="124" w:afterLines="40" w:line="300" w:lineRule="auto"/>
        <w:ind w:left="1426" w:leftChars="679"/>
        <w:rPr>
          <w:rFonts w:ascii="Arial" w:hAnsi="Arial" w:eastAsia="宋体" w:cs="Arial"/>
          <w:b/>
          <w:sz w:val="28"/>
          <w:szCs w:val="28"/>
        </w:rPr>
      </w:pPr>
      <w:r>
        <w:rPr>
          <w:rFonts w:ascii="Arial" w:hAnsi="Arial" w:eastAsia="宋体" w:cs="Arial"/>
          <w:sz w:val="24"/>
          <w:szCs w:val="24"/>
        </w:rPr>
        <w:t>申办方应当报告每项研究中自我报告为西班牙或拉丁裔的受试者数量。在报告分类汇总数据时，负责收集数据的人员应当分别提供填写（或选择）五种人种的受试者数量。除上述数字外，我们也鼓励数据收集人员提供详细的数据分布情况，包括关于民族问题所有可能的多选答案组合。如果不提供多选答案组合的详细情况，则至少应当提供报告</w:t>
      </w:r>
      <w:r>
        <w:rPr>
          <w:rFonts w:ascii="宋体" w:hAnsi="宋体" w:eastAsia="宋体" w:cs="Arial"/>
          <w:sz w:val="24"/>
          <w:szCs w:val="24"/>
        </w:rPr>
        <w:t>“</w:t>
      </w:r>
      <w:r>
        <w:rPr>
          <w:rFonts w:ascii="Arial" w:hAnsi="Arial" w:eastAsia="宋体" w:cs="Arial"/>
          <w:sz w:val="24"/>
          <w:szCs w:val="24"/>
        </w:rPr>
        <w:t>多个民族</w:t>
      </w:r>
      <w:r>
        <w:rPr>
          <w:rFonts w:ascii="宋体" w:hAnsi="宋体" w:eastAsia="宋体" w:cs="Arial"/>
          <w:sz w:val="24"/>
          <w:szCs w:val="24"/>
        </w:rPr>
        <w:t>”</w:t>
      </w:r>
      <w:r>
        <w:rPr>
          <w:rFonts w:ascii="Arial" w:hAnsi="Arial" w:eastAsia="宋体" w:cs="Arial"/>
          <w:sz w:val="24"/>
          <w:szCs w:val="24"/>
        </w:rPr>
        <w:t>的回答者总数量（见附录的NIH PHS入组入选报告表格</w:t>
      </w:r>
      <w:r>
        <w:rPr>
          <w:rStyle w:val="14"/>
          <w:rFonts w:ascii="Arial" w:hAnsi="Arial" w:eastAsia="宋体" w:cs="Arial"/>
          <w:sz w:val="24"/>
          <w:szCs w:val="24"/>
        </w:rPr>
        <w:footnoteReference w:id="47"/>
      </w:r>
      <w:r>
        <w:rPr>
          <w:rFonts w:ascii="Arial" w:hAnsi="Arial" w:eastAsia="宋体" w:cs="Arial"/>
          <w:sz w:val="24"/>
          <w:szCs w:val="24"/>
        </w:rPr>
        <w:t>）。</w:t>
      </w:r>
      <w:r>
        <w:rPr>
          <w:rFonts w:ascii="Arial" w:hAnsi="Arial" w:eastAsia="宋体" w:cs="Arial"/>
          <w:b/>
          <w:sz w:val="28"/>
          <w:szCs w:val="28"/>
        </w:rPr>
        <w:br w:type="page"/>
      </w:r>
    </w:p>
    <w:p w14:paraId="6F875BD6">
      <w:pPr>
        <w:pStyle w:val="15"/>
        <w:numPr>
          <w:ilvl w:val="1"/>
          <w:numId w:val="1"/>
        </w:numPr>
        <w:snapToGrid w:val="0"/>
        <w:spacing w:line="300" w:lineRule="auto"/>
        <w:ind w:left="1417" w:leftChars="340" w:hanging="703" w:hangingChars="250"/>
        <w:outlineLvl w:val="1"/>
        <w:rPr>
          <w:rFonts w:ascii="Arial" w:hAnsi="Arial" w:eastAsia="宋体" w:cs="Arial"/>
          <w:b/>
          <w:sz w:val="28"/>
          <w:szCs w:val="28"/>
        </w:rPr>
      </w:pPr>
      <w:bookmarkStart w:id="43" w:name="_Toc498073301"/>
      <w:r>
        <w:rPr>
          <w:rFonts w:ascii="Arial" w:hAnsi="Arial" w:eastAsia="宋体" w:cs="Arial"/>
          <w:b/>
          <w:sz w:val="28"/>
          <w:szCs w:val="28"/>
        </w:rPr>
        <w:t>使用更为详尽的民族和种族分类</w:t>
      </w:r>
      <w:bookmarkEnd w:id="43"/>
    </w:p>
    <w:p w14:paraId="7A0D024F">
      <w:pPr>
        <w:snapToGrid w:val="0"/>
        <w:spacing w:after="156" w:afterLines="50" w:line="300" w:lineRule="auto"/>
        <w:ind w:left="1426" w:leftChars="679"/>
        <w:rPr>
          <w:rFonts w:ascii="Arial" w:hAnsi="Arial" w:eastAsia="宋体" w:cs="Arial"/>
          <w:sz w:val="24"/>
          <w:szCs w:val="24"/>
        </w:rPr>
      </w:pPr>
      <w:r>
        <w:rPr>
          <w:rFonts w:ascii="Arial" w:hAnsi="Arial" w:eastAsia="宋体" w:cs="Arial"/>
          <w:sz w:val="24"/>
          <w:szCs w:val="24"/>
        </w:rPr>
        <w:t>根据OMB政策指令15的建议，在特定的情况下，可能需要使用更为详细的民族和种族信息。例如在美国外开展的临床试验，FDA认为建议的民族和种族分类是在美国范围内建立的，这些分类对于描述其他国家的民族和种族可能是不够的。除此之外，白种人可能是带有欧洲、中东或北非血统的人群；亚裔则反映了从印度到日本的血统人群。</w:t>
      </w:r>
    </w:p>
    <w:p w14:paraId="06FFDBB4">
      <w:pPr>
        <w:snapToGrid w:val="0"/>
        <w:spacing w:after="156" w:afterLines="50" w:line="300" w:lineRule="auto"/>
        <w:ind w:left="1426" w:leftChars="679"/>
        <w:rPr>
          <w:rFonts w:ascii="Arial" w:hAnsi="Arial" w:eastAsia="宋体" w:cs="Arial"/>
          <w:sz w:val="24"/>
          <w:szCs w:val="24"/>
        </w:rPr>
      </w:pPr>
      <w:r>
        <w:rPr>
          <w:rFonts w:ascii="Arial" w:hAnsi="Arial" w:eastAsia="宋体" w:cs="Arial"/>
          <w:sz w:val="24"/>
          <w:szCs w:val="24"/>
        </w:rPr>
        <w:t>在合适的情况下，FDA建议根据地理区域的不同使用更为详细的分类方式，为申办方提供可以充分确定民族和种族信息的灵活性。根据2011 HHS关于民族、种族、性别、主要语言和残障状态数据收集标准实施指南</w:t>
      </w:r>
      <w:r>
        <w:rPr>
          <w:rFonts w:ascii="Arial" w:hAnsi="Arial" w:eastAsia="宋体" w:cs="Arial"/>
          <w:sz w:val="24"/>
          <w:szCs w:val="24"/>
          <w:vertAlign w:val="superscript"/>
        </w:rPr>
        <w:t>4</w:t>
      </w:r>
      <w:r>
        <w:rPr>
          <w:rFonts w:ascii="Arial" w:hAnsi="Arial" w:eastAsia="宋体" w:cs="Arial"/>
          <w:sz w:val="24"/>
          <w:szCs w:val="24"/>
        </w:rPr>
        <w:t>的规定，如果收集了细颗粒度或更为详细的种族或种族数据用于提高对受试者的了解，则FDA建议这些特征可以追溯至上文的D和C章节中列出的5项最低种族分类和2项最低种族分类。例如（来自上面参考的2011 HHS指南）：</w:t>
      </w:r>
    </w:p>
    <w:p w14:paraId="7B27F3DF">
      <w:pPr>
        <w:snapToGrid w:val="0"/>
        <w:spacing w:line="300" w:lineRule="auto"/>
        <w:ind w:left="1426" w:leftChars="679"/>
        <w:rPr>
          <w:rFonts w:ascii="Arial" w:hAnsi="Arial" w:eastAsia="宋体" w:cs="Arial"/>
          <w:b/>
          <w:szCs w:val="21"/>
          <w:u w:val="single"/>
        </w:rPr>
      </w:pPr>
      <w:r>
        <w:rPr>
          <w:rFonts w:ascii="Arial" w:hAnsi="Arial" w:eastAsia="宋体" w:cs="Arial"/>
          <w:b/>
          <w:szCs w:val="21"/>
          <w:u w:val="single"/>
        </w:rPr>
        <w:t>种族数据标准</w:t>
      </w:r>
    </w:p>
    <w:p w14:paraId="54EFEE03">
      <w:pPr>
        <w:snapToGrid w:val="0"/>
        <w:spacing w:line="300" w:lineRule="auto"/>
        <w:ind w:left="1426" w:leftChars="679"/>
        <w:rPr>
          <w:rFonts w:ascii="Arial" w:hAnsi="Arial" w:eastAsia="宋体" w:cs="Arial"/>
          <w:szCs w:val="21"/>
        </w:rPr>
      </w:pPr>
      <w:r>
        <w:rPr>
          <w:rFonts w:ascii="Arial" w:hAnsi="Arial" w:eastAsia="宋体" w:cs="Arial"/>
          <w:szCs w:val="21"/>
        </w:rPr>
        <w:t>您是否为西班牙/拉丁裔或西班牙裔？（可以选择一项或多项）</w:t>
      </w:r>
    </w:p>
    <w:p w14:paraId="5C3F91B4">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3360" behindDoc="0" locked="0" layoutInCell="1" allowOverlap="1">
                <wp:simplePos x="0" y="0"/>
                <wp:positionH relativeFrom="column">
                  <wp:posOffset>4478020</wp:posOffset>
                </wp:positionH>
                <wp:positionV relativeFrom="paragraph">
                  <wp:posOffset>146685</wp:posOffset>
                </wp:positionV>
                <wp:extent cx="1136650" cy="770890"/>
                <wp:effectExtent l="0" t="0" r="25400" b="10160"/>
                <wp:wrapNone/>
                <wp:docPr id="8" name="文本框 8"/>
                <wp:cNvGraphicFramePr/>
                <a:graphic xmlns:a="http://schemas.openxmlformats.org/drawingml/2006/main">
                  <a:graphicData uri="http://schemas.microsoft.com/office/word/2010/wordprocessingShape">
                    <wps:wsp>
                      <wps:cNvSpPr txBox="1"/>
                      <wps:spPr>
                        <a:xfrm>
                          <a:off x="0" y="0"/>
                          <a:ext cx="1136650" cy="770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77B7B">
                            <w:pPr>
                              <w:snapToGrid w:val="0"/>
                              <w:jc w:val="left"/>
                              <w:rPr>
                                <w:rFonts w:ascii="Arial" w:hAnsi="Arial" w:cs="Arial"/>
                                <w:sz w:val="18"/>
                                <w:szCs w:val="18"/>
                              </w:rPr>
                            </w:pPr>
                            <w:r>
                              <w:rPr>
                                <w:rFonts w:hint="eastAsia" w:ascii="Arial" w:hAnsi="Arial" w:cs="Arial"/>
                                <w:sz w:val="18"/>
                                <w:szCs w:val="18"/>
                              </w:rPr>
                              <w:t>这些分类归为</w:t>
                            </w:r>
                            <w:r>
                              <w:rPr>
                                <w:rFonts w:ascii="Arial" w:hAnsi="Arial" w:cs="Arial"/>
                                <w:sz w:val="18"/>
                                <w:szCs w:val="18"/>
                              </w:rPr>
                              <w:t>OMB</w:t>
                            </w:r>
                            <w:r>
                              <w:rPr>
                                <w:rFonts w:hint="eastAsia" w:ascii="Arial" w:hAnsi="Arial" w:cs="Arial"/>
                                <w:sz w:val="18"/>
                                <w:szCs w:val="18"/>
                              </w:rPr>
                              <w:t>标准中的西班牙或拉丁裔类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6pt;margin-top:11.55pt;height:60.7pt;width:89.5pt;z-index:251663360;mso-width-relative:page;mso-height-relative:page;" fillcolor="#FFFFFF [3201]" filled="t" stroked="t" coordsize="21600,21600" o:gfxdata="UEsDBAoAAAAAAIdO4kAAAAAAAAAAAAAAAAAEAAAAZHJzL1BLAwQUAAAACACHTuJAfAujYtcAAAAK&#10;AQAADwAAAGRycy9kb3ducmV2LnhtbE2Py07DMBBF90j8gzVI7KidR0uUxqkEEhJiR5sNOzeeJlH9&#10;iGy3KX/PsILlzBzdObfZ3axhVwxx8k5CthLA0PVeT26Q0B3enipgMSmnlfEOJXxjhF17f9eoWvvF&#10;feJ1nwZGIS7WSsKY0lxzHvsRrYorP6Oj28kHqxKNYeA6qIXCreG5EBtu1eTow6hmfB2xP+8vVsL7&#10;5iV9Yac/dJEXful4H04mSvn4kIktsIS39AfDrz6pQ0tOR39xOjIj4Vmsc0Il5EUGjICqKmlxJLIs&#10;18Dbhv+v0P4AUEsDBBQAAAAIAIdO4kA/2f2MXwIAAMUEAAAOAAAAZHJzL2Uyb0RvYy54bWytVM1u&#10;EzEQviPxDpbvdJP+pGnUTRVaBSFVtFJBnB2vN2vhP2wnu+UB6Btw4sKd5+pz8NmbpKXl0AM5ODOe&#10;8Tcz38zs6VmnFVkLH6Q1JR3uDSgRhttKmmVJP32cvxlTEiIzFVPWiJLeikDPpq9fnbZuIvZtY1Ul&#10;PAGICZPWlbSJ0U2KIvBGaBb2rBMGxtp6zSJUvywqz1qga1XsDwajorW+ct5yEQJuL3oj3SD6lwDa&#10;upZcXFi+0sLEHtULxSJKCo10gU5ztnUteLyq6yAiUSVFpTGfCAJ5kc5iesomS89cI/kmBfaSFJ7U&#10;pJk0CLqDumCRkZWXz6C05N4GW8c9bnXRF5IZQRXDwRNubhrmRK4FVAe3Iz38P1j+YX3tiaxKirYb&#10;ptHw+x939z9/3//6TsaJntaFCbxuHPxi99Z2GJrtfcBlqrqrvU7/qIfADnJvd+SKLhKeHg0PRqMj&#10;mDhsx8eD8Ulmv3h47XyI74TVJAkl9Whe5pStL0NEJnDduqRgwSpZzaVSWfHLxbnyZM3Q6Hn+pSTx&#10;5C83ZUhb0tEB8ngGkbB3EAvF+JfnCMBTJr0UebY2eSWKeiqSFLtFt+FtYatb0OZtP3fB8blElEsW&#10;4jXzGDTQgVWMVzhqZZGa3UiUNNZ/+9d98kf/YaWkxeCWNHxdMS8oUe8NJuNkeHgI2JiVw6PjfSj+&#10;sWXx2GJW+tyCsiGW3vEsJv+otmLtrf6MjZ2lqDAxwxG7pHErnsd+nbDxXMxm2Qmz7Vi8NDeOJ+hE&#10;mLGzVbS1zI1MNPXcoEVJwXTnZm02Ma3PYz17PXx9p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AujYtcAAAAKAQAADwAAAAAAAAABACAAAAAiAAAAZHJzL2Rvd25yZXYueG1sUEsBAhQAFAAAAAgA&#10;h07iQD/Z/YxfAgAAxQQAAA4AAAAAAAAAAQAgAAAAJgEAAGRycy9lMm9Eb2MueG1sUEsFBgAAAAAG&#10;AAYAWQEAAPcFAAAAAA==&#10;">
                <v:fill on="t" focussize="0,0"/>
                <v:stroke weight="0.5pt" color="#000000 [3204]" joinstyle="round"/>
                <v:imagedata o:title=""/>
                <o:lock v:ext="edit" aspectratio="f"/>
                <v:textbox>
                  <w:txbxContent>
                    <w:p w14:paraId="18B77B7B">
                      <w:pPr>
                        <w:snapToGrid w:val="0"/>
                        <w:jc w:val="left"/>
                        <w:rPr>
                          <w:rFonts w:ascii="Arial" w:hAnsi="Arial" w:cs="Arial"/>
                          <w:sz w:val="18"/>
                          <w:szCs w:val="18"/>
                        </w:rPr>
                      </w:pPr>
                      <w:r>
                        <w:rPr>
                          <w:rFonts w:hint="eastAsia" w:ascii="Arial" w:hAnsi="Arial" w:cs="Arial"/>
                          <w:sz w:val="18"/>
                          <w:szCs w:val="18"/>
                        </w:rPr>
                        <w:t>这些分类归为</w:t>
                      </w:r>
                      <w:r>
                        <w:rPr>
                          <w:rFonts w:ascii="Arial" w:hAnsi="Arial" w:cs="Arial"/>
                          <w:sz w:val="18"/>
                          <w:szCs w:val="18"/>
                        </w:rPr>
                        <w:t>OMB</w:t>
                      </w:r>
                      <w:r>
                        <w:rPr>
                          <w:rFonts w:hint="eastAsia" w:ascii="Arial" w:hAnsi="Arial" w:cs="Arial"/>
                          <w:sz w:val="18"/>
                          <w:szCs w:val="18"/>
                        </w:rPr>
                        <w:t>标准中的西班牙或拉丁裔类</w:t>
                      </w:r>
                    </w:p>
                  </w:txbxContent>
                </v:textbox>
              </v:shape>
            </w:pict>
          </mc:Fallback>
        </mc:AlternateContent>
      </w:r>
      <w:r>
        <w:rPr>
          <w:rFonts w:ascii="Arial" w:hAnsi="Arial" w:eastAsia="宋体" w:cs="Arial"/>
          <w:szCs w:val="21"/>
        </w:rPr>
        <mc:AlternateContent>
          <mc:Choice Requires="wps">
            <w:drawing>
              <wp:anchor distT="0" distB="0" distL="114300" distR="114300" simplePos="0" relativeHeight="251659264" behindDoc="0" locked="0" layoutInCell="1" allowOverlap="1">
                <wp:simplePos x="0" y="0"/>
                <wp:positionH relativeFrom="column">
                  <wp:posOffset>4066540</wp:posOffset>
                </wp:positionH>
                <wp:positionV relativeFrom="paragraph">
                  <wp:posOffset>-5080</wp:posOffset>
                </wp:positionV>
                <wp:extent cx="351155" cy="967740"/>
                <wp:effectExtent l="0" t="0" r="30480" b="23495"/>
                <wp:wrapNone/>
                <wp:docPr id="3" name="右大括号 3"/>
                <wp:cNvGraphicFramePr/>
                <a:graphic xmlns:a="http://schemas.openxmlformats.org/drawingml/2006/main">
                  <a:graphicData uri="http://schemas.microsoft.com/office/word/2010/wordprocessingShape">
                    <wps:wsp>
                      <wps:cNvSpPr/>
                      <wps:spPr>
                        <a:xfrm>
                          <a:off x="0" y="0"/>
                          <a:ext cx="350875" cy="96756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320.2pt;margin-top:-0.4pt;height:76.2pt;width:27.65pt;z-index:251659264;v-text-anchor:middle;mso-width-relative:page;mso-height-relative:page;" filled="f" stroked="t" coordsize="21600,21600" o:gfxdata="UEsDBAoAAAAAAIdO4kAAAAAAAAAAAAAAAAAEAAAAZHJzL1BLAwQUAAAACACHTuJAgrQ10tgAAAAJ&#10;AQAADwAAAGRycy9kb3ducmV2LnhtbE2Py07DMBBF90j8gzVIbBC1A2mAEKcLpCJYVII+9m48JIF4&#10;HMVu0v490xUsR/fozrnF4ug6MeIQWk8akpkCgVR521KtYbtZ3j6CCNGQNZ0n1HDCAIvy8qIwufUT&#10;feK4jrXgEgq50dDE2OdShqpBZ8LM90icffnBmcjnUEs7mInLXSfvlMqkMy3xh8b0+NJg9bM+OA0f&#10;Y2uXq9fkpG7q+/fd7nt6S2nS+voqUc8gIh7jHwxnfVaHkp32/kA2iE5DlqqUUQ3nBZxnT/MHEHsG&#10;50kGsizk/wXlL1BLAwQUAAAACACHTuJA+aoMVHYCAADVBAAADgAAAGRycy9lMm9Eb2MueG1srVTN&#10;bhMxEL4j8Q6W73STtEnbVTdVaFSEVNFKBXGeeO1dS/7DdrIpr8ChL4HEhRsHnqg8B2Pvtg2FQw/k&#10;4Mx4xjP+vv3GJ6dbrciG+yCtqeh4b0QJN8zW0jQV/fD+/NURJSGCqUFZwyt6wwM9nb98cdK5kk9s&#10;a1XNPcEiJpSdq2gboyuLIrCWawh71nGDQWG9hoiub4raQ4fVtSomo9Gs6KyvnbeMh4C7yz5Ih4r+&#10;OQWtEJLxpWVrzU3sq3quICKk0EoX6DzfVgjO4qUQgUeiKopIY16xCdqrtBbzEygbD66VbLgCPOcK&#10;TzBpkAabPpRaQgSy9vKvUloyb4MVcY9ZXfRAMiOIYjx6ws11C45nLEh1cA+kh/9Xlr3bXHki64ru&#10;U2JA4we/u/1x9/Xbry/f725/kv3EUOdCiYnX7soPXkAzwd0Kr9M/AiHbzOrNA6t8GwnDzf3p6Ohw&#10;SgnD0PHscDqbpJrF42HnQ3zDrSbJqKiXTRtfe2AJOpSwuQixP3CfmLaNPZdK4T6UypCuojPsg00A&#10;JSlQCmhqh7CCaSgB1aDWWfS5YrBK1ul0Ohx8szpTnmwgKST/huv9kZZaLyG0fV4OpTQotYw4Dkrq&#10;ih7tnlYGMSbieqqStbL1DZLtba/C4Ni5xLIXEOIVeJQd3h8HM17iIpRFTHawKGmt//yv/ZSPasAo&#10;JR3KGAF/WoPnlKi3BnVyPD44SLrPzsH0cIKO342sdiNmrc8s8jDGJ8CxbKb8qO5N4a3+iPO7SF0x&#10;BIZh757awTmL/XjhC8D4YpHTUOsO4oW5diwV77/fYh2tkPnTPrIzkIZqzxIZJjON066fsx5fo/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grQ10tgAAAAJAQAADwAAAAAAAAABACAAAAAiAAAAZHJz&#10;L2Rvd25yZXYueG1sUEsBAhQAFAAAAAgAh07iQPmqDFR2AgAA1QQAAA4AAAAAAAAAAQAgAAAAJwEA&#10;AGRycy9lMm9Eb2MueG1sUEsFBgAAAAAGAAYAWQEAAA8GAAAAAA==&#10;" adj="652,10800">
                <v:fill on="f" focussize="0,0"/>
                <v:stroke weight="0.5pt" color="#000000 [3213]" miterlimit="8" joinstyle="miter"/>
                <v:imagedata o:title=""/>
                <o:lock v:ext="edit" aspectratio="f"/>
              </v:shape>
            </w:pict>
          </mc:Fallback>
        </mc:AlternateContent>
      </w:r>
      <w:r>
        <w:rPr>
          <w:rFonts w:ascii="Arial" w:hAnsi="Arial" w:eastAsia="宋体" w:cs="Arial"/>
          <w:szCs w:val="21"/>
        </w:rPr>
        <w:t>a. ______否，非西班牙、拉丁裔或西班牙裔</w:t>
      </w:r>
    </w:p>
    <w:p w14:paraId="72463CCD">
      <w:pPr>
        <w:snapToGrid w:val="0"/>
        <w:spacing w:line="300" w:lineRule="auto"/>
        <w:ind w:left="1426" w:leftChars="679"/>
        <w:rPr>
          <w:rFonts w:ascii="Arial" w:hAnsi="Arial" w:eastAsia="宋体" w:cs="Arial"/>
          <w:szCs w:val="21"/>
        </w:rPr>
      </w:pPr>
      <w:r>
        <w:rPr>
          <w:rFonts w:ascii="Arial" w:hAnsi="Arial" w:eastAsia="宋体" w:cs="Arial"/>
          <w:szCs w:val="21"/>
        </w:rPr>
        <w:t>b. ______是，墨西哥人、墨西哥裔美国人、齐卡诺人</w:t>
      </w:r>
    </w:p>
    <w:p w14:paraId="3482E8A4">
      <w:pPr>
        <w:snapToGrid w:val="0"/>
        <w:spacing w:line="300" w:lineRule="auto"/>
        <w:ind w:left="1426" w:leftChars="679"/>
        <w:rPr>
          <w:rFonts w:ascii="Arial" w:hAnsi="Arial" w:eastAsia="宋体" w:cs="Arial"/>
          <w:szCs w:val="21"/>
        </w:rPr>
      </w:pPr>
      <w:r>
        <w:rPr>
          <w:rFonts w:ascii="Arial" w:hAnsi="Arial" w:eastAsia="宋体" w:cs="Arial"/>
          <w:szCs w:val="21"/>
        </w:rPr>
        <w:t>c. ______是，波多黎各人</w:t>
      </w:r>
    </w:p>
    <w:p w14:paraId="29EEFC9F">
      <w:pPr>
        <w:snapToGrid w:val="0"/>
        <w:spacing w:line="300" w:lineRule="auto"/>
        <w:ind w:left="1426" w:leftChars="679"/>
        <w:rPr>
          <w:rFonts w:ascii="Arial" w:hAnsi="Arial" w:eastAsia="宋体" w:cs="Arial"/>
          <w:szCs w:val="21"/>
        </w:rPr>
      </w:pPr>
      <w:r>
        <w:rPr>
          <w:rFonts w:ascii="Arial" w:hAnsi="Arial" w:eastAsia="宋体" w:cs="Arial"/>
          <w:szCs w:val="21"/>
        </w:rPr>
        <w:t>d. ______是，古巴人</w:t>
      </w:r>
    </w:p>
    <w:p w14:paraId="5717A127">
      <w:pPr>
        <w:snapToGrid w:val="0"/>
        <w:spacing w:line="300" w:lineRule="auto"/>
        <w:ind w:left="1426" w:leftChars="679"/>
        <w:rPr>
          <w:rFonts w:ascii="Arial" w:hAnsi="Arial" w:eastAsia="宋体" w:cs="Arial"/>
          <w:szCs w:val="21"/>
        </w:rPr>
      </w:pPr>
      <w:r>
        <w:rPr>
          <w:rFonts w:ascii="Arial" w:hAnsi="Arial" w:eastAsia="宋体" w:cs="Arial"/>
          <w:szCs w:val="21"/>
        </w:rPr>
        <w:t>e. ______是，其他西班牙、拉丁裔或西班牙裔</w:t>
      </w:r>
    </w:p>
    <w:p w14:paraId="49F8A36A">
      <w:pPr>
        <w:snapToGrid w:val="0"/>
        <w:spacing w:line="300" w:lineRule="auto"/>
        <w:ind w:left="1426" w:leftChars="679"/>
        <w:rPr>
          <w:rFonts w:ascii="Arial" w:hAnsi="Arial" w:eastAsia="宋体" w:cs="Arial"/>
          <w:b/>
          <w:szCs w:val="21"/>
          <w:u w:val="single"/>
        </w:rPr>
      </w:pPr>
      <w:r>
        <w:rPr>
          <w:rFonts w:ascii="Arial" w:hAnsi="Arial" w:eastAsia="宋体" w:cs="Arial"/>
          <w:b/>
          <w:szCs w:val="21"/>
          <w:u w:val="single"/>
        </w:rPr>
        <w:t>种族数据标准</w:t>
      </w:r>
    </w:p>
    <w:p w14:paraId="2E0B3B80">
      <w:pPr>
        <w:snapToGrid w:val="0"/>
        <w:spacing w:line="300" w:lineRule="auto"/>
        <w:ind w:left="1426" w:leftChars="679"/>
        <w:rPr>
          <w:rFonts w:ascii="Arial" w:hAnsi="Arial" w:eastAsia="宋体" w:cs="Arial"/>
          <w:szCs w:val="21"/>
        </w:rPr>
      </w:pPr>
      <w:r>
        <w:rPr>
          <w:rFonts w:ascii="Arial" w:hAnsi="Arial" w:eastAsia="宋体" w:cs="Arial"/>
          <w:szCs w:val="21"/>
        </w:rPr>
        <w:t>您的种族是什么？（可以选择一项或多项）</w:t>
      </w:r>
    </w:p>
    <w:p w14:paraId="72BF7AEE">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142240</wp:posOffset>
                </wp:positionV>
                <wp:extent cx="1757045" cy="365760"/>
                <wp:effectExtent l="0" t="0" r="14605" b="15240"/>
                <wp:wrapNone/>
                <wp:docPr id="9" name="文本框 9"/>
                <wp:cNvGraphicFramePr/>
                <a:graphic xmlns:a="http://schemas.openxmlformats.org/drawingml/2006/main">
                  <a:graphicData uri="http://schemas.microsoft.com/office/word/2010/wordprocessingShape">
                    <wps:wsp>
                      <wps:cNvSpPr txBox="1"/>
                      <wps:spPr>
                        <a:xfrm>
                          <a:off x="0" y="0"/>
                          <a:ext cx="175723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0A448">
                            <w:pPr>
                              <w:snapToGrid w:val="0"/>
                              <w:jc w:val="left"/>
                              <w:rPr>
                                <w:rFonts w:ascii="Arial" w:hAnsi="Arial" w:cs="Arial"/>
                                <w:sz w:val="18"/>
                                <w:szCs w:val="18"/>
                              </w:rPr>
                            </w:pPr>
                            <w:r>
                              <w:rPr>
                                <w:rFonts w:hint="eastAsia" w:ascii="Arial" w:hAnsi="Arial" w:cs="Arial"/>
                                <w:sz w:val="18"/>
                                <w:szCs w:val="18"/>
                              </w:rPr>
                              <w:t>这些分类为现有</w:t>
                            </w:r>
                            <w:r>
                              <w:rPr>
                                <w:rFonts w:ascii="Arial" w:hAnsi="Arial" w:cs="Arial"/>
                                <w:sz w:val="18"/>
                                <w:szCs w:val="18"/>
                              </w:rPr>
                              <w:t>OMB</w:t>
                            </w:r>
                            <w:r>
                              <w:rPr>
                                <w:rFonts w:hint="eastAsia" w:ascii="Arial" w:hAnsi="Arial" w:cs="Arial"/>
                                <w:sz w:val="18"/>
                                <w:szCs w:val="18"/>
                              </w:rPr>
                              <w:t>标准的一部分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pt;margin-top:11.2pt;height:28.8pt;width:138.35pt;z-index:251664384;mso-width-relative:page;mso-height-relative:page;" fillcolor="#FFFFFF [3201]" filled="t" stroked="t" coordsize="21600,21600" o:gfxdata="UEsDBAoAAAAAAIdO4kAAAAAAAAAAAAAAAAAEAAAAZHJzL1BLAwQUAAAACACHTuJAJtvxYdYAAAAJ&#10;AQAADwAAAGRycy9kb3ducmV2LnhtbE2PwU7DMBBE70j8g7VI3KidtIQqxKkEEhLiRsmFmxtvkwh7&#10;HdluU/6e5QS3Hc1o9k2zu3gnzhjTFEhDsVIgkPpgJxo0dB8vd1sQKRuyxgVCDd+YYNdeXzWmtmGh&#10;dzzv8yC4hFJtNIw5z7WUqR/Rm7QKMxJ7xxC9ySzjIG00C5d7J0ulKunNRPxhNDM+j9h/7U9ew2v1&#10;lD+xs292Xa7D0sk+Hl3S+vamUI8gMl7yXxh+8RkdWmY6hBPZJJyG+43iLVlDWW5AcGBbVA8gDnyw&#10;IdtG/l/Q/gBQSwMEFAAAAAgAh07iQPxCYXphAgAAxQQAAA4AAABkcnMvZTJvRG9jLnhtbK1UzW7b&#10;MAy+D9g7CLqvzl+TNahTZC0yDCjWAtmwsyzLsTBJ1CQldvcA6xvstMvue648xyg5SdN2hx6Wg0KK&#10;1EfyI+nzi1YrshHOSzA57Z/0KBGGQynNKqefPy3evKXEB2ZKpsCInN4JTy9mr1+dN3YqBlCDKoUj&#10;CGL8tLE5rUOw0yzzvBaa+ROwwqCxAqdZQNWtstKxBtG1yga93jhrwJXWARfe4+1VZ6Q7RPcSQKgq&#10;ycUV8LUWJnSoTigWsCRfS+vpLGVbVYKHm6ryIhCVU6w0pBODoFzEM5uds+nKMVtLvkuBvSSFJzVp&#10;Jg0GPUBdscDI2slnUFpyBx6qcMJBZ10hiRGsot97ws2yZlakWpBqbw+k+/8Hyz9ubh2RZU7PKDFM&#10;Y8O3P++3v/5sf/8gZ5Gexvopei0t+oX2HbQ4NPt7j5ex6rZyOv5jPQTtSO7dgVzRBsLjo8npZDDE&#10;4eJoG45PJ+PEfvbw2jof3gvQJAo5ddi8xCnbXPuAmaDr3iUG86BkuZBKJcWtikvlyIZhoxfpF5PE&#10;J4/clCFNTsfD015CfmSL2AeIQjH+9TkC4ikT44k0W7u8IkUdFVEKbdHueCugvEPaHHRz5y1fSIxy&#10;zXy4ZQ4HDZnCVQw3eFQKMDXYSZTU4L7/6z76Y//RSkmDg5tT/23NnKBEfTA4GWf90ShOelJGyDkq&#10;7thSHFvMWl8CUtbHpbc8idE/qL1YOdBfcGPnMSqamOEYO6dhL16Gbp1w47mYz5MTzrZl4dosLY/Q&#10;kTAD83WASqZGRpo6brBFUcHpTs3abWJcn2M9eT18fW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b8WHWAAAACQEAAA8AAAAAAAAAAQAgAAAAIgAAAGRycy9kb3ducmV2LnhtbFBLAQIUABQAAAAI&#10;AIdO4kD8QmF6YQIAAMUEAAAOAAAAAAAAAAEAIAAAACUBAABkcnMvZTJvRG9jLnhtbFBLBQYAAAAA&#10;BgAGAFkBAAD4BQAAAAA=&#10;">
                <v:fill on="t" focussize="0,0"/>
                <v:stroke weight="0.5pt" color="#000000 [3204]" joinstyle="round"/>
                <v:imagedata o:title=""/>
                <o:lock v:ext="edit" aspectratio="f"/>
                <v:textbox>
                  <w:txbxContent>
                    <w:p w14:paraId="60B0A448">
                      <w:pPr>
                        <w:snapToGrid w:val="0"/>
                        <w:jc w:val="left"/>
                        <w:rPr>
                          <w:rFonts w:ascii="Arial" w:hAnsi="Arial" w:cs="Arial"/>
                          <w:sz w:val="18"/>
                          <w:szCs w:val="18"/>
                        </w:rPr>
                      </w:pPr>
                      <w:r>
                        <w:rPr>
                          <w:rFonts w:hint="eastAsia" w:ascii="Arial" w:hAnsi="Arial" w:cs="Arial"/>
                          <w:sz w:val="18"/>
                          <w:szCs w:val="18"/>
                        </w:rPr>
                        <w:t>这些分类为现有</w:t>
                      </w:r>
                      <w:r>
                        <w:rPr>
                          <w:rFonts w:ascii="Arial" w:hAnsi="Arial" w:cs="Arial"/>
                          <w:sz w:val="18"/>
                          <w:szCs w:val="18"/>
                        </w:rPr>
                        <w:t>OMB</w:t>
                      </w:r>
                      <w:r>
                        <w:rPr>
                          <w:rFonts w:hint="eastAsia" w:ascii="Arial" w:hAnsi="Arial" w:cs="Arial"/>
                          <w:sz w:val="18"/>
                          <w:szCs w:val="18"/>
                        </w:rPr>
                        <w:t>标准的一部分</w:t>
                      </w:r>
                    </w:p>
                  </w:txbxContent>
                </v:textbox>
              </v:shape>
            </w:pict>
          </mc:Fallback>
        </mc:AlternateContent>
      </w:r>
      <w:r>
        <w:rPr>
          <w:rFonts w:ascii="Arial" w:hAnsi="Arial" w:eastAsia="宋体" w:cs="Arial"/>
          <w:szCs w:val="21"/>
        </w:rPr>
        <mc:AlternateContent>
          <mc:Choice Requires="wps">
            <w:drawing>
              <wp:anchor distT="0" distB="0" distL="114300" distR="114300" simplePos="0" relativeHeight="251660288" behindDoc="0" locked="0" layoutInCell="1" allowOverlap="1">
                <wp:simplePos x="0" y="0"/>
                <wp:positionH relativeFrom="column">
                  <wp:posOffset>3223895</wp:posOffset>
                </wp:positionH>
                <wp:positionV relativeFrom="paragraph">
                  <wp:posOffset>88900</wp:posOffset>
                </wp:positionV>
                <wp:extent cx="45720" cy="445135"/>
                <wp:effectExtent l="0" t="0" r="31115" b="12065"/>
                <wp:wrapNone/>
                <wp:docPr id="5" name="右大括号 5"/>
                <wp:cNvGraphicFramePr/>
                <a:graphic xmlns:a="http://schemas.openxmlformats.org/drawingml/2006/main">
                  <a:graphicData uri="http://schemas.microsoft.com/office/word/2010/wordprocessingShape">
                    <wps:wsp>
                      <wps:cNvSpPr/>
                      <wps:spPr>
                        <a:xfrm>
                          <a:off x="0" y="0"/>
                          <a:ext cx="45719" cy="44527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253.85pt;margin-top:7pt;height:35.05pt;width:3.6pt;z-index:251660288;v-text-anchor:middle;mso-width-relative:page;mso-height-relative:page;" filled="f" stroked="t" coordsize="21600,21600" o:gfxdata="UEsDBAoAAAAAAIdO4kAAAAAAAAAAAAAAAAAEAAAAZHJzL1BLAwQUAAAACACHTuJAhHDLH9gAAAAJ&#10;AQAADwAAAGRycy9kb3ducmV2LnhtbE2PQU7DMBBF90jcwRokdtQOpE0JcbpACqiVsqDlAG48JBHx&#10;OIrdptyeYUWXo//05/1ic3GDOOMUek8akoUCgdR421Or4fNQPaxBhGjImsETavjBAJvy9qYwufUz&#10;feB5H1vBJRRyo6GLccylDE2HzoSFH5E4+/KTM5HPqZV2MjOXu0E+KrWSzvTEHzoz4muHzff+5DTU&#10;2/ent7rJkjrMldu6w2qudjut7+8S9QIi4iX+w/Cnz+pQstPRn8gGMWhYqixjlIOUNzGwTNJnEEcN&#10;6zQBWRbyekH5C1BLAwQUAAAACACHTuJAhhhY+HUCAADUBAAADgAAAGRycy9lMm9Eb2MueG1srVTL&#10;bhMxFN0j8Q+W93SSNOlj1EkVGhUhVbRSQaxvPPaMJb+wnUzKL7DoTyCxYceCLyrfwbVn2obCoguy&#10;mFz7Xh/7HJ/rk9OtVmTDfZDWVHS8N6KEG2ZraZqKfnh//uqIkhDB1KCs4RW94YGezl++OOlcySe2&#10;tarmniCICWXnKtrG6MqiCKzlGsKeddxgUlivIeLQN0XtoUN0rYrJaHRQdNbXzlvGQ8DZZZ+kA6J/&#10;DqAVQjK+tGytuYk9qucKIlIKrXSBzvNpheAsXgoReCSqosg05i9ugvEqfYv5CZSNB9dKNhwBnnOE&#10;J5w0SIObPkAtIQJZe/kXlJbM22BF3GNWFz2RrAiyGI+eaHPdguOZC0od3IPo4f/BsnebK09kXdEZ&#10;JQY0Xvjd7Y+7r99+ffl+d/uTzJJCnQslFl67Kz+MAoaJ7lZ4nf6RCNlmVW8eVOXbSBhOTmeH42NK&#10;GGam09nkcD9BFo9rnQ/xDbeapKCiXjZtfO2BJeZQwuYixH7BfWGaNvZcKoXzUCpDuooe7M/wThmg&#10;IwU6AUPtkFUwDSWgGrQ6iz4jBqtknVanxcE3qzPlyQaSQfJvON4fZWnrJYS2r8upVAallhG7QUld&#10;0aPd1cogx6Rbr1SKVra+Qa297U0YHDuXCHsBIV6BR9fh+bEv4yV+hLLIyQ4RJa31n/81n+rRDJil&#10;pEMXI+FPa/CcEvXWoE2Ox9Npsn0e4EVMcOB3M6vdjFnrM4s6jPEFcCyHqT6q+1B4qz9i+y7SrpgC&#10;w3DvXtphcBb77sIHgPHFIpeh1R3EC3PtWALv72+xjlbIfLWP6gyiodmzRYbGTN20O85Vj4/R/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cMsf2AAAAAkBAAAPAAAAAAAAAAEAIAAAACIAAABkcnMv&#10;ZG93bnJldi54bWxQSwECFAAUAAAACACHTuJAhhhY+HUCAADUBAAADgAAAAAAAAABACAAAAAnAQAA&#10;ZHJzL2Uyb0RvYy54bWxQSwUGAAAAAAYABgBZAQAADgYAAAAA&#10;" adj="184,10800">
                <v:fill on="f" focussize="0,0"/>
                <v:stroke weight="0.5pt" color="#000000 [3213]" miterlimit="8" joinstyle="miter"/>
                <v:imagedata o:title=""/>
                <o:lock v:ext="edit" aspectratio="f"/>
              </v:shape>
            </w:pict>
          </mc:Fallback>
        </mc:AlternateContent>
      </w:r>
      <w:r>
        <w:rPr>
          <w:rFonts w:ascii="Arial" w:hAnsi="Arial" w:eastAsia="宋体" w:cs="Arial"/>
          <w:szCs w:val="21"/>
        </w:rPr>
        <w:t>a. ______白人</w:t>
      </w:r>
    </w:p>
    <w:p w14:paraId="0E00C40C">
      <w:pPr>
        <w:snapToGrid w:val="0"/>
        <w:spacing w:line="300" w:lineRule="auto"/>
        <w:ind w:left="1426" w:leftChars="679"/>
        <w:rPr>
          <w:rFonts w:ascii="Arial" w:hAnsi="Arial" w:eastAsia="宋体" w:cs="Arial"/>
          <w:szCs w:val="21"/>
        </w:rPr>
      </w:pPr>
      <w:r>
        <w:rPr>
          <w:rFonts w:ascii="Arial" w:hAnsi="Arial" w:eastAsia="宋体" w:cs="Arial"/>
          <w:szCs w:val="21"/>
        </w:rPr>
        <w:t>b. ______黑人或非裔美国人</w:t>
      </w:r>
    </w:p>
    <w:p w14:paraId="45F210EE">
      <w:pPr>
        <w:snapToGrid w:val="0"/>
        <w:spacing w:line="300" w:lineRule="auto"/>
        <w:ind w:left="1426" w:leftChars="679"/>
        <w:rPr>
          <w:rFonts w:ascii="Arial" w:hAnsi="Arial" w:eastAsia="宋体" w:cs="Arial"/>
          <w:szCs w:val="21"/>
        </w:rPr>
      </w:pPr>
      <w:r>
        <w:rPr>
          <w:rFonts w:ascii="Arial" w:hAnsi="Arial" w:eastAsia="宋体" w:cs="Arial"/>
          <w:szCs w:val="21"/>
        </w:rPr>
        <w:t>c. ______印第安人或阿拉斯加土著</w:t>
      </w:r>
    </w:p>
    <w:p w14:paraId="1CDD3E5E">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1312" behindDoc="0" locked="0" layoutInCell="1" allowOverlap="1">
                <wp:simplePos x="0" y="0"/>
                <wp:positionH relativeFrom="column">
                  <wp:posOffset>2158365</wp:posOffset>
                </wp:positionH>
                <wp:positionV relativeFrom="paragraph">
                  <wp:posOffset>52705</wp:posOffset>
                </wp:positionV>
                <wp:extent cx="45720" cy="1336040"/>
                <wp:effectExtent l="0" t="0" r="31115" b="17145"/>
                <wp:wrapNone/>
                <wp:docPr id="6" name="右大括号 6"/>
                <wp:cNvGraphicFramePr/>
                <a:graphic xmlns:a="http://schemas.openxmlformats.org/drawingml/2006/main">
                  <a:graphicData uri="http://schemas.microsoft.com/office/word/2010/wordprocessingShape">
                    <wps:wsp>
                      <wps:cNvSpPr/>
                      <wps:spPr>
                        <a:xfrm>
                          <a:off x="0" y="0"/>
                          <a:ext cx="45719" cy="133581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169.95pt;margin-top:4.15pt;height:105.2pt;width:3.6pt;z-index:251661312;v-text-anchor:middle;mso-width-relative:page;mso-height-relative:page;" filled="f" stroked="t" coordsize="21600,21600" o:gfxdata="UEsDBAoAAAAAAIdO4kAAAAAAAAAAAAAAAAAEAAAAZHJzL1BLAwQUAAAACACHTuJAKT9AydgAAAAJ&#10;AQAADwAAAGRycy9kb3ducmV2LnhtbE2PS0/DMBCE70j8B2uRuFHnUaVJmk2FkLhFqC09cNzG2yQi&#10;tqPYff17zAmOoxnNfFNtbnoUF57dYA1CvIhAsGmtGkyHcPh8f8lBOE9G0WgNI9zZwaZ+fKioVPZq&#10;dnzZ+06EEuNKQui9n0opXduzJrewE5vgneysyQc5d1LNdA3lepRJFGVS02DCQk8Tv/Xcfu/PGuHj&#10;7rjNlk2SbSnTu0Ox/WqaV8Tnpzhag/B8839h+MUP6FAHpqM9G+XEiJCmRRGiCHkKIvjpchWDOCIk&#10;cb4CWVfy/4P6B1BLAwQUAAAACACHTuJA0iYpgnUCAADVBAAADgAAAGRycy9lMm9Eb2MueG1srVTN&#10;bhMxEL4j8Q6W73ST/tGuuqlCoyKkilYqiPPE69215D/GTjblFTjwEkhcuHHgicpzMPZu21A49EAO&#10;mxnPeDzf5298croxmq0lBuVsxac7E86kFa5Wtq34+3fnL444CxFsDdpZWfEbGfjp7Pmzk96Xctd1&#10;TtcSGRWxoex9xbsYfVkUQXTSQNhxXloKNg4NRHKxLWqEnqobXexOJodF77D26IQMgVYXQ5CPFfEp&#10;BV3TKCEXTqyMtHGoilJDJEihUz7wWe62aaSIl00TZGS64oQ05i8dQvYyfYvZCZQtgu+UGFuAp7Tw&#10;CJMBZenQ+1ILiMBWqP4qZZRAF1wTd4QzxQAkM0IoppNH3Fx34GXGQlQHf096+H9lxdv1FTJVV/yQ&#10;MwuGLvz2y4/br99+ff5+++UnO0wM9T6UlHjtr3D0ApkJ7qZBk/4JCNtkVm/uWZWbyAQt7h+8nB5z&#10;Jigy3ds7OCKHqhQPmz2G+Fo6w5JRcVRtF18hiAQdSlhfhDhsuEtMy9adK61pHUptWU/97x3QpQog&#10;STYkBTKNJ1jBtpyBbknrImKuGJxWddqdNgdsl2ca2RqSQvJvbO+PtHT0AkI35OVQSoPSqEjjoJWp&#10;+NH2bm0JYyJuoCpZS1ffENnoBhUGL84Vlb2AEK8ASXbUPw1mvKRPox1hcqPFWefw07/WUz6pgaKc&#10;9SRjAvxxBSg5028s6eR4ur+fdJ8duoldcnA7styO2JU5c8TDlJ4AL7KZ8qO+Mxt05gPN7zydSiGw&#10;gs4eqB2dsziMF70AQs7nOY207iFe2GsvUvHh/uar6BqVr/aBnZE0UnuWyDiZaZy2/Zz18BrN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pP0DJ2AAAAAkBAAAPAAAAAAAAAAEAIAAAACIAAABkcnMv&#10;ZG93bnJldi54bWxQSwECFAAUAAAACACHTuJA0iYpgnUCAADVBAAADgAAAAAAAAABACAAAAAnAQAA&#10;ZHJzL2Uyb0RvYy54bWxQSwUGAAAAAAYABgBZAQAADgYAAAAA&#10;" adj="61,10800">
                <v:fill on="f" focussize="0,0"/>
                <v:stroke weight="0.5pt" color="#000000 [3213]" miterlimit="8" joinstyle="miter"/>
                <v:imagedata o:title=""/>
                <o:lock v:ext="edit" aspectratio="f"/>
              </v:shape>
            </w:pict>
          </mc:Fallback>
        </mc:AlternateContent>
      </w:r>
      <w:r>
        <w:rPr>
          <w:rFonts w:ascii="Arial" w:hAnsi="Arial" w:eastAsia="宋体" w:cs="Arial"/>
          <w:szCs w:val="21"/>
        </w:rPr>
        <w:t>d. ______印度人</w:t>
      </w:r>
    </w:p>
    <w:p w14:paraId="207E04B0">
      <w:pPr>
        <w:snapToGrid w:val="0"/>
        <w:spacing w:line="300" w:lineRule="auto"/>
        <w:ind w:left="1426" w:leftChars="679"/>
        <w:rPr>
          <w:rFonts w:ascii="Arial" w:hAnsi="Arial" w:eastAsia="宋体" w:cs="Arial"/>
          <w:szCs w:val="21"/>
        </w:rPr>
      </w:pPr>
      <w:r>
        <w:rPr>
          <w:rFonts w:ascii="Arial" w:hAnsi="Arial" w:eastAsia="宋体" w:cs="Arial"/>
          <w:szCs w:val="21"/>
        </w:rPr>
        <w:t>e. ______中国人</w:t>
      </w:r>
    </w:p>
    <w:p w14:paraId="347EE07F">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5408" behindDoc="0" locked="0" layoutInCell="1" allowOverlap="1">
                <wp:simplePos x="0" y="0"/>
                <wp:positionH relativeFrom="column">
                  <wp:posOffset>2307590</wp:posOffset>
                </wp:positionH>
                <wp:positionV relativeFrom="paragraph">
                  <wp:posOffset>81280</wp:posOffset>
                </wp:positionV>
                <wp:extent cx="2417445" cy="365760"/>
                <wp:effectExtent l="0" t="0" r="21590" b="15240"/>
                <wp:wrapNone/>
                <wp:docPr id="10" name="文本框 10"/>
                <wp:cNvGraphicFramePr/>
                <a:graphic xmlns:a="http://schemas.openxmlformats.org/drawingml/2006/main">
                  <a:graphicData uri="http://schemas.microsoft.com/office/word/2010/wordprocessingShape">
                    <wps:wsp>
                      <wps:cNvSpPr txBox="1"/>
                      <wps:spPr>
                        <a:xfrm>
                          <a:off x="0" y="0"/>
                          <a:ext cx="2417197"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26415F">
                            <w:pPr>
                              <w:snapToGrid w:val="0"/>
                              <w:jc w:val="left"/>
                              <w:rPr>
                                <w:rFonts w:ascii="Arial" w:hAnsi="Arial" w:cs="Arial"/>
                                <w:sz w:val="18"/>
                                <w:szCs w:val="18"/>
                              </w:rPr>
                            </w:pPr>
                            <w:r>
                              <w:rPr>
                                <w:rFonts w:hint="eastAsia" w:ascii="Arial" w:hAnsi="Arial" w:cs="Arial"/>
                                <w:sz w:val="18"/>
                                <w:szCs w:val="18"/>
                              </w:rPr>
                              <w:t>这些分类归为OMB标准中的亚裔类</w:t>
                            </w:r>
                          </w:p>
                          <w:p w14:paraId="20ADF8BA">
                            <w:pPr>
                              <w:snapToGrid w:val="0"/>
                              <w:jc w:val="lef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7pt;margin-top:6.4pt;height:28.8pt;width:190.35pt;z-index:251665408;mso-width-relative:page;mso-height-relative:page;" fillcolor="#FFFFFF [3201]" filled="t" stroked="t" coordsize="21600,21600" o:gfxdata="UEsDBAoAAAAAAIdO4kAAAAAAAAAAAAAAAAAEAAAAZHJzL1BLAwQUAAAACACHTuJAIY4EA9UAAAAJ&#10;AQAADwAAAGRycy9kb3ducmV2LnhtbE2PzU7DMBCE70i8g7WVuFE7PwooxKkEEhLiRsmFmxtvk6j2&#10;Oordprw9ywluO5pPszPN7uqduOASp0Aasq0CgdQHO9Ggoft8vX8EEZMha1wg1PCNEXbt7U1jahtW&#10;+sDLPg2CQyjWRsOY0lxLGfsRvYnbMCOxdwyLN4nlMki7mJXDvZO5UpX0ZiL+MJoZX0bsT/uz1/BW&#10;Pacv7Oy7LfIirJ3sl6OLWt9tMvUEIuE1/cHwW5+rQ8udDuFMNgqnoaiKklE2cp7AwENZZiAOfKgS&#10;ZNvI/wvaH1BLAwQUAAAACACHTuJAldlhqWECAADHBAAADgAAAGRycy9lMm9Eb2MueG1srVRLbtsw&#10;EN0X6B0I7hvZjmM3RuTAteGiQNAESIuuaYqyiFIkS9KW0gM0N+iqm+57rpyjj5Tt/LrIol7I89Ob&#10;mTczOjtva0W2wnlpdE77Rz1KhOamkHqd08+flm/eUuID0wVTRouc3ghPz6evX501diIGpjKqEI4A&#10;RPtJY3NahWAnWeZ5JWrmj4wVGs7SuJoFqG6dFY41QK9VNuj1RlljXGGd4cJ7WBedk+4Q3UsATVlK&#10;LhaGb2qhQ4fqhGIBLflKWk+nqdqyFDxclqUXgaicotOQnkgCeRWf2fSMTdaO2UryXQnsJSU86alm&#10;UiPpAWrBAiMbJ59B1ZI7400Zjrips66RxAi66PeecHNdMStSL6Da2wPp/v/B8o/bK0dkgU0AJZrV&#10;mPjdz9u7X3/ufv8gsIGgxvoJ4q4tIkP7zrQI3ts9jLHvtnR1/EdHBH5g3RzoFW0gHMbBsD/un44p&#10;4fAdj07GowSf3b9tnQ/vhalJFHLqML7EKtte+IBKELoPicm8UbJYSqWS4taruXJkyzDqZfrFIvHK&#10;ozClSZPT0fFJLyE/8kXsA8RKMf71OQLwlI75RNquXV2Roo6KKIV21e54W5niBrQ5022et3wpkeWC&#10;+XDFHFYNTOEYwyUepTIozewkSirjvv/LHuOxAfBS0mB1c+q/bZgTlKgPGrtx2h8OARuSMjwZD6C4&#10;h57VQ4/e1HMDyvo4e8uTGOOD2oulM/UX3OwsZoWLaY7cOQ17cR66g8LNczGbpSBst2XhQl9bHqEj&#10;YdrMNsGUMg0y0tRxgxFFBfudhrW7xXhAD/UUdf/9m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Y4EA9UAAAAJAQAADwAAAAAAAAABACAAAAAiAAAAZHJzL2Rvd25yZXYueG1sUEsBAhQAFAAAAAgA&#10;h07iQJXZYalhAgAAxwQAAA4AAAAAAAAAAQAgAAAAJAEAAGRycy9lMm9Eb2MueG1sUEsFBgAAAAAG&#10;AAYAWQEAAPcFAAAAAA==&#10;">
                <v:fill on="t" focussize="0,0"/>
                <v:stroke weight="0.5pt" color="#000000 [3204]" joinstyle="round"/>
                <v:imagedata o:title=""/>
                <o:lock v:ext="edit" aspectratio="f"/>
                <v:textbox>
                  <w:txbxContent>
                    <w:p w14:paraId="5726415F">
                      <w:pPr>
                        <w:snapToGrid w:val="0"/>
                        <w:jc w:val="left"/>
                        <w:rPr>
                          <w:rFonts w:ascii="Arial" w:hAnsi="Arial" w:cs="Arial"/>
                          <w:sz w:val="18"/>
                          <w:szCs w:val="18"/>
                        </w:rPr>
                      </w:pPr>
                      <w:r>
                        <w:rPr>
                          <w:rFonts w:hint="eastAsia" w:ascii="Arial" w:hAnsi="Arial" w:cs="Arial"/>
                          <w:sz w:val="18"/>
                          <w:szCs w:val="18"/>
                        </w:rPr>
                        <w:t>这些分类归为OMB标准中的亚裔类</w:t>
                      </w:r>
                    </w:p>
                    <w:p w14:paraId="20ADF8BA">
                      <w:pPr>
                        <w:snapToGrid w:val="0"/>
                        <w:jc w:val="left"/>
                        <w:rPr>
                          <w:rFonts w:ascii="Arial" w:hAnsi="Arial" w:cs="Arial"/>
                          <w:sz w:val="18"/>
                          <w:szCs w:val="18"/>
                        </w:rPr>
                      </w:pPr>
                    </w:p>
                  </w:txbxContent>
                </v:textbox>
              </v:shape>
            </w:pict>
          </mc:Fallback>
        </mc:AlternateContent>
      </w:r>
      <w:r>
        <w:rPr>
          <w:rFonts w:ascii="Arial" w:hAnsi="Arial" w:eastAsia="宋体" w:cs="Arial"/>
          <w:szCs w:val="21"/>
        </w:rPr>
        <w:t>f. ______菲律宾人</w:t>
      </w:r>
    </w:p>
    <w:p w14:paraId="76080152">
      <w:pPr>
        <w:snapToGrid w:val="0"/>
        <w:spacing w:line="300" w:lineRule="auto"/>
        <w:ind w:left="1426" w:leftChars="679"/>
        <w:rPr>
          <w:rFonts w:ascii="Arial" w:hAnsi="Arial" w:eastAsia="宋体" w:cs="Arial"/>
          <w:szCs w:val="21"/>
        </w:rPr>
      </w:pPr>
      <w:r>
        <w:rPr>
          <w:rFonts w:ascii="Arial" w:hAnsi="Arial" w:eastAsia="宋体" w:cs="Arial"/>
          <w:szCs w:val="21"/>
        </w:rPr>
        <w:t>g. ______日本人</w:t>
      </w:r>
    </w:p>
    <w:p w14:paraId="3558BDA3">
      <w:pPr>
        <w:snapToGrid w:val="0"/>
        <w:spacing w:line="300" w:lineRule="auto"/>
        <w:ind w:left="1426" w:leftChars="679"/>
        <w:rPr>
          <w:rFonts w:ascii="Arial" w:hAnsi="Arial" w:eastAsia="宋体" w:cs="Arial"/>
          <w:szCs w:val="21"/>
        </w:rPr>
      </w:pPr>
      <w:r>
        <w:rPr>
          <w:rFonts w:ascii="Arial" w:hAnsi="Arial" w:eastAsia="宋体" w:cs="Arial"/>
          <w:szCs w:val="21"/>
        </w:rPr>
        <w:t>h. ______韩国人</w:t>
      </w:r>
    </w:p>
    <w:p w14:paraId="2E5315C3">
      <w:pPr>
        <w:snapToGrid w:val="0"/>
        <w:spacing w:line="300" w:lineRule="auto"/>
        <w:ind w:left="1426" w:leftChars="679"/>
        <w:rPr>
          <w:rFonts w:ascii="Arial" w:hAnsi="Arial" w:eastAsia="宋体" w:cs="Arial"/>
          <w:szCs w:val="21"/>
        </w:rPr>
      </w:pPr>
      <w:r>
        <w:rPr>
          <w:rFonts w:ascii="Arial" w:hAnsi="Arial" w:eastAsia="宋体" w:cs="Arial"/>
          <w:szCs w:val="21"/>
        </w:rPr>
        <w:t>i. ______越南人</w:t>
      </w:r>
    </w:p>
    <w:p w14:paraId="1E2AE7D1">
      <w:pPr>
        <w:snapToGrid w:val="0"/>
        <w:spacing w:line="300" w:lineRule="auto"/>
        <w:ind w:left="1426" w:leftChars="679"/>
        <w:rPr>
          <w:rFonts w:ascii="Arial" w:hAnsi="Arial" w:eastAsia="宋体" w:cs="Arial"/>
          <w:szCs w:val="21"/>
        </w:rPr>
      </w:pPr>
      <w:r>
        <w:rPr>
          <w:rFonts w:ascii="Arial" w:hAnsi="Arial" w:eastAsia="宋体" w:cs="Arial"/>
          <w:szCs w:val="21"/>
        </w:rPr>
        <w:t>j. ______其它亚裔</w:t>
      </w:r>
    </w:p>
    <w:p w14:paraId="015DB773">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2336" behindDoc="0" locked="0" layoutInCell="1" allowOverlap="1">
                <wp:simplePos x="0" y="0"/>
                <wp:positionH relativeFrom="column">
                  <wp:posOffset>2880360</wp:posOffset>
                </wp:positionH>
                <wp:positionV relativeFrom="paragraph">
                  <wp:posOffset>129540</wp:posOffset>
                </wp:positionV>
                <wp:extent cx="63500" cy="643890"/>
                <wp:effectExtent l="0" t="0" r="31750" b="22860"/>
                <wp:wrapNone/>
                <wp:docPr id="7" name="右大括号 7"/>
                <wp:cNvGraphicFramePr/>
                <a:graphic xmlns:a="http://schemas.openxmlformats.org/drawingml/2006/main">
                  <a:graphicData uri="http://schemas.microsoft.com/office/word/2010/wordprocessingShape">
                    <wps:wsp>
                      <wps:cNvSpPr/>
                      <wps:spPr>
                        <a:xfrm>
                          <a:off x="0" y="0"/>
                          <a:ext cx="63610" cy="6440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226.8pt;margin-top:10.2pt;height:50.7pt;width:5pt;z-index:251662336;v-text-anchor:middle;mso-width-relative:page;mso-height-relative:page;" filled="f" stroked="t" coordsize="21600,21600" o:gfxdata="UEsDBAoAAAAAAIdO4kAAAAAAAAAAAAAAAAAEAAAAZHJzL1BLAwQUAAAACACHTuJA0EjAk9gAAAAK&#10;AQAADwAAAGRycy9kb3ducmV2LnhtbE2Py07DMBBF90j8gzWV2FE7j0ZRiFNVCBYsaWHBzomnSVQ/&#10;othtA1/PdAXLmTm6c269XaxhF5zD6J2EZC2Aoeu8Hl0v4ePw+lgCC1E5rYx3KOEbA2yb+7taVdpf&#10;3Tte9rFnFOJCpSQMMU4V56Eb0Kqw9hM6uh39bFWkce65ntWVwq3hqRAFt2p09GFQEz4P2J32Zyvh&#10;JTt95Zn5XMRP145T+bbbHHAn5cMqEU/AIi7xD4abPqlDQ06tPzsdmJGQb7KCUAmpyIERkBe3RUtk&#10;mpTAm5r/r9D8AlBLAwQUAAAACACHTuJA6R1cXXMCAADUBAAADgAAAGRycy9lMm9Eb2MueG1srVTN&#10;bhMxEL4j8Q6W73ST0qRl1U0VGhUhVbRSQZwnXm/Wkv8YO9mUV+DQl0Diwo0DT1Seg7F324bCoQdy&#10;cGY84xl/337j45Ot0WwjMShnKz7eG3EmrXC1squKf3h/9uKIsxDB1qCdlRW/loGfzJ4/O+58Kfdd&#10;63QtkVERG8rOV7yN0ZdFEUQrDYQ956WlYOPQQCQXV0WN0FF1o4v90WhadA5rj07IEGh30Qf5UBGf&#10;UtA1jRJy4cTaSBv7qig1RIIUWuUDn+XbNo0U8aJpgoxMV5yQxrxSE7KXaS1mx1CuEHyrxHAFeMoV&#10;HmEyoCw1vS+1gAhsjeqvUkYJdME1cU84U/RAMiOEYjx6xM1VC15mLER18Pekh/9XVrzbXCJTdcUP&#10;ObNg6IPf3vy4/frt15fvtzc/2WFiqPOhpMQrf4mDF8hMcLcNmvRPQNg2s3p9z6rcRiZoc/pyOia6&#10;BUWmBwejySSVLB7OegzxjXSGJaPiqFZtfI0gEnIoYXMeYn/gLjFtW3emtKZ9KLVlXeoySU2AFNmQ&#10;Esg0nlAFu+IM9IqkLiLmisFpVafT6XDA1fJUI9tAEkj+Ddf7Iy21XkBo+7wcSmlQGhVpGrQyFT/a&#10;Pa0tYUy89Uwla+nqa+IaXS/C4MWZorLnEOIlIKmO7k9zGS9oabQjTG6wOGsdfv7XfsonMVCUs45U&#10;TIA/rQElZ/qtJZm8GhPjJPvsHEwO98nB3chyN2LX5tQRD2N6AbzIZsqP+s5s0JmPNL7z1JVCYAX1&#10;7qkdnNPYTxc9AELO5zmNpO4hntsrL1Lx/vvN19E1Kn/aB3YG0kjsWSLDYKZp2vVz1sNjNP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EjAk9gAAAAKAQAADwAAAAAAAAABACAAAAAiAAAAZHJzL2Rv&#10;d25yZXYueG1sUEsBAhQAFAAAAAgAh07iQOkdXF1zAgAA1AQAAA4AAAAAAAAAAQAgAAAAJwEAAGRy&#10;cy9lMm9Eb2MueG1sUEsFBgAAAAAGAAYAWQEAAAwGAAAAAA==&#10;" adj="177,10800">
                <v:fill on="f" focussize="0,0"/>
                <v:stroke weight="0.5pt" color="#000000 [3213]" miterlimit="8" joinstyle="miter"/>
                <v:imagedata o:title=""/>
                <o:lock v:ext="edit" aspectratio="f"/>
              </v:shape>
            </w:pict>
          </mc:Fallback>
        </mc:AlternateContent>
      </w:r>
      <w:r>
        <w:rPr>
          <w:rFonts w:ascii="Arial" w:hAnsi="Arial" w:eastAsia="宋体" w:cs="Arial"/>
          <w:szCs w:val="21"/>
        </w:rPr>
        <w:t>k. ______夏威夷土著</w:t>
      </w:r>
    </w:p>
    <w:p w14:paraId="55D75802">
      <w:pPr>
        <w:snapToGrid w:val="0"/>
        <w:spacing w:line="300" w:lineRule="auto"/>
        <w:ind w:left="1426" w:leftChars="679"/>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6432" behindDoc="0" locked="0" layoutInCell="1" allowOverlap="1">
                <wp:simplePos x="0" y="0"/>
                <wp:positionH relativeFrom="column">
                  <wp:posOffset>3009900</wp:posOffset>
                </wp:positionH>
                <wp:positionV relativeFrom="paragraph">
                  <wp:posOffset>-1270</wp:posOffset>
                </wp:positionV>
                <wp:extent cx="2838450" cy="508635"/>
                <wp:effectExtent l="0" t="0" r="19050" b="24765"/>
                <wp:wrapNone/>
                <wp:docPr id="11" name="文本框 11"/>
                <wp:cNvGraphicFramePr/>
                <a:graphic xmlns:a="http://schemas.openxmlformats.org/drawingml/2006/main">
                  <a:graphicData uri="http://schemas.microsoft.com/office/word/2010/wordprocessingShape">
                    <wps:wsp>
                      <wps:cNvSpPr txBox="1"/>
                      <wps:spPr>
                        <a:xfrm>
                          <a:off x="0" y="0"/>
                          <a:ext cx="2838450" cy="5087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2280F">
                            <w:pPr>
                              <w:snapToGrid w:val="0"/>
                              <w:spacing w:line="300" w:lineRule="auto"/>
                              <w:ind w:left="1426" w:leftChars="679"/>
                              <w:rPr>
                                <w:rFonts w:ascii="Arial" w:hAnsi="Arial" w:eastAsia="宋体" w:cs="Arial"/>
                                <w:szCs w:val="21"/>
                              </w:rPr>
                            </w:pPr>
                            <w:r>
                              <w:rPr>
                                <w:rFonts w:hint="eastAsia" w:ascii="Arial" w:hAnsi="Arial" w:cs="Arial"/>
                                <w:sz w:val="18"/>
                                <w:szCs w:val="18"/>
                              </w:rPr>
                              <w:t>这些分类归为OMB标准中的夏威夷土著或其他太平洋岛国居民类</w:t>
                            </w:r>
                          </w:p>
                          <w:p w14:paraId="52759A68">
                            <w:pPr>
                              <w:snapToGrid w:val="0"/>
                              <w:jc w:val="lef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0.1pt;height:40.05pt;width:223.5pt;z-index:251666432;mso-width-relative:page;mso-height-relative:page;" fillcolor="#FFFFFF [3201]" filled="t" stroked="t" coordsize="21600,21600" o:gfxdata="UEsDBAoAAAAAAIdO4kAAAAAAAAAAAAAAAAAEAAAAZHJzL1BLAwQUAAAACACHTuJAXJ+ditYAAAAI&#10;AQAADwAAAGRycy9kb3ducmV2LnhtbE2PwU7DMBBE70j8g7WVuLVO0qolIZtKICEhbpRcuLnxNolq&#10;ryPbbcrfY05wHM1o5k29v1kjruTD6BghX2UgiDunR+4R2s/X5SOIEBVrZRwTwjcF2Df3d7WqtJv5&#10;g66H2ItUwqFSCEOMUyVl6AayKqzcRJy8k/NWxSR9L7VXcyq3RhZZtpVWjZwWBjXRy0Dd+XCxCG/b&#10;5/hFrX7X62Lt5lZ2/mQC4sMiz55ARLrFvzD84id0aBLT0V1YB2EQNrtN+hIRlgWI5JdFnvQRYVeW&#10;IJta/j/Q/ABQSwMEFAAAAAgAh07iQEs9wOddAgAAxwQAAA4AAABkcnMvZTJvRG9jLnhtbK1UzW4T&#10;MRC+I/EOlu90kzRtQ9RNFRIFIVW0UkGcHa83a+G1je1ktzwAvAEnLtx5rj4Hn72btLQcemAP3vnb&#10;b2Y+z+z5RVsrshPOS6NzOjwaUCI0N4XUm5x+/LB6NaHEB6YLpowWOb0Vnl7MXr44b+xUjExlVCEc&#10;AYj208bmtArBTrPM80rUzB8ZKzScpXE1C1DdJisca4Beq2w0GJxmjXGFdYYL72Fddk7aI7rnAJqy&#10;lFwsDd/WQocO1QnFAlrylbSezlK1ZSl4uCpLLwJROUWnIZ1IAnkdz2x2zqYbx2wleV8Ce04Jj3qq&#10;mdRIeoBassDI1sknULXkznhThiNu6qxrJDGCLoaDR9zcVMyK1Auo9vZAuv9/sPz97toRWWAShpRo&#10;VuPG7358v/v5++7XNwIbCGqsnyLuxiIytG9Mi+C93cMY+25LV8c3OiLwg97bA72iDYTDOJocT8Yn&#10;cHH4TgaTs+EkwmT3X1vnw1thahKFnDpcX2KV7S596EL3ITGZN0oWK6lUUtxmvVCO7BiuepWeHv2v&#10;MKVJk9PTY9TxBCJiHyDWivHPTxFQrdLxS5Gmq68rUtRREaXQrtuet7UpbkGbM93kectXElkumQ/X&#10;zGHUQAeWMVzhKJVBaaaXKKmM+/ove4zHBMBLSYPRzan/smVOUKLeaczG6+F4DNiQlPHJ2QiKe+hZ&#10;P/Tobb0woAzXj+qSGOOD2oulM/Un7Ow8ZoWLaY7cOQ17cRG6hcLOczGfpyBMt2XhUt9YHqEjYdrM&#10;t8GUMl1kpKnjBgMQFcx3GoV+F+MCPdRT1P3/Z/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J+d&#10;itYAAAAIAQAADwAAAAAAAAABACAAAAAiAAAAZHJzL2Rvd25yZXYueG1sUEsBAhQAFAAAAAgAh07i&#10;QEs9wOddAgAAxwQAAA4AAAAAAAAAAQAgAAAAJQEAAGRycy9lMm9Eb2MueG1sUEsFBgAAAAAGAAYA&#10;WQEAAPQFAAAAAA==&#10;">
                <v:fill on="t" focussize="0,0"/>
                <v:stroke weight="0.5pt" color="#000000 [3204]" joinstyle="round"/>
                <v:imagedata o:title=""/>
                <o:lock v:ext="edit" aspectratio="f"/>
                <v:textbox>
                  <w:txbxContent>
                    <w:p w14:paraId="7FA2280F">
                      <w:pPr>
                        <w:snapToGrid w:val="0"/>
                        <w:spacing w:line="300" w:lineRule="auto"/>
                        <w:ind w:left="1426" w:leftChars="679"/>
                        <w:rPr>
                          <w:rFonts w:ascii="Arial" w:hAnsi="Arial" w:eastAsia="宋体" w:cs="Arial"/>
                          <w:szCs w:val="21"/>
                        </w:rPr>
                      </w:pPr>
                      <w:r>
                        <w:rPr>
                          <w:rFonts w:hint="eastAsia" w:ascii="Arial" w:hAnsi="Arial" w:cs="Arial"/>
                          <w:sz w:val="18"/>
                          <w:szCs w:val="18"/>
                        </w:rPr>
                        <w:t>这些分类归为OMB标准中的夏威夷土著或其他太平洋岛国居民类</w:t>
                      </w:r>
                    </w:p>
                    <w:p w14:paraId="52759A68">
                      <w:pPr>
                        <w:snapToGrid w:val="0"/>
                        <w:jc w:val="left"/>
                        <w:rPr>
                          <w:rFonts w:ascii="Arial" w:hAnsi="Arial" w:cs="Arial"/>
                          <w:sz w:val="18"/>
                          <w:szCs w:val="18"/>
                        </w:rPr>
                      </w:pPr>
                    </w:p>
                  </w:txbxContent>
                </v:textbox>
              </v:shape>
            </w:pict>
          </mc:Fallback>
        </mc:AlternateContent>
      </w:r>
      <w:r>
        <w:rPr>
          <w:rFonts w:ascii="Arial" w:hAnsi="Arial" w:eastAsia="宋体" w:cs="Arial"/>
          <w:szCs w:val="21"/>
        </w:rPr>
        <w:t>l. _______关岛或夏末落人</w:t>
      </w:r>
    </w:p>
    <w:p w14:paraId="62CAB23D">
      <w:pPr>
        <w:snapToGrid w:val="0"/>
        <w:spacing w:line="300" w:lineRule="auto"/>
        <w:ind w:left="1426" w:leftChars="679"/>
        <w:rPr>
          <w:rFonts w:ascii="Arial" w:hAnsi="Arial" w:eastAsia="宋体" w:cs="Arial"/>
          <w:szCs w:val="21"/>
        </w:rPr>
      </w:pPr>
      <w:r>
        <w:rPr>
          <w:rFonts w:ascii="Arial" w:hAnsi="Arial" w:eastAsia="宋体" w:cs="Arial"/>
          <w:szCs w:val="21"/>
        </w:rPr>
        <w:t>m. ______萨摩亚人</w:t>
      </w:r>
    </w:p>
    <w:p w14:paraId="610E3F36">
      <w:pPr>
        <w:snapToGrid w:val="0"/>
        <w:spacing w:line="300" w:lineRule="auto"/>
        <w:ind w:left="1426" w:leftChars="679"/>
        <w:rPr>
          <w:rFonts w:ascii="Arial" w:hAnsi="Arial" w:eastAsia="宋体" w:cs="Arial"/>
          <w:szCs w:val="21"/>
        </w:rPr>
      </w:pPr>
      <w:r>
        <w:rPr>
          <w:rFonts w:ascii="Arial" w:hAnsi="Arial" w:eastAsia="宋体" w:cs="Arial"/>
          <w:szCs w:val="21"/>
        </w:rPr>
        <w:t>n. ______其他太平洋岛国居民</w:t>
      </w:r>
    </w:p>
    <w:p w14:paraId="21E8E5ED">
      <w:pPr>
        <w:widowControl/>
        <w:jc w:val="left"/>
        <w:rPr>
          <w:rFonts w:ascii="Arial" w:hAnsi="Arial" w:eastAsia="宋体" w:cs="Arial"/>
          <w:sz w:val="24"/>
          <w:szCs w:val="24"/>
        </w:rPr>
      </w:pPr>
      <w:r>
        <w:rPr>
          <w:rFonts w:ascii="Arial" w:hAnsi="Arial" w:eastAsia="宋体" w:cs="Arial"/>
          <w:sz w:val="24"/>
          <w:szCs w:val="24"/>
        </w:rPr>
        <w:br w:type="page"/>
      </w:r>
    </w:p>
    <w:p w14:paraId="5D76A44E">
      <w:pPr>
        <w:snapToGrid w:val="0"/>
        <w:spacing w:line="300" w:lineRule="auto"/>
        <w:ind w:left="1426" w:leftChars="679"/>
        <w:rPr>
          <w:rFonts w:ascii="Arial" w:hAnsi="Arial" w:eastAsia="宋体" w:cs="Arial"/>
          <w:sz w:val="24"/>
          <w:szCs w:val="24"/>
        </w:rPr>
      </w:pPr>
      <w:r>
        <w:rPr>
          <w:rFonts w:ascii="Arial" w:hAnsi="Arial" w:eastAsia="宋体" w:cs="Arial"/>
          <w:sz w:val="24"/>
          <w:szCs w:val="24"/>
        </w:rPr>
        <w:t>如果对于陈述种族或种族分类存在顾虑，我们鼓励申办方与恰当的评估部门讨论与种族或种族相关的问题。</w:t>
      </w:r>
    </w:p>
    <w:p w14:paraId="36DB0B4B">
      <w:pPr>
        <w:pStyle w:val="15"/>
        <w:numPr>
          <w:ilvl w:val="1"/>
          <w:numId w:val="1"/>
        </w:numPr>
        <w:snapToGrid w:val="0"/>
        <w:spacing w:before="156" w:beforeLines="50" w:after="156" w:afterLines="50" w:line="360" w:lineRule="auto"/>
        <w:ind w:left="1259" w:firstLine="0" w:firstLineChars="0"/>
        <w:outlineLvl w:val="1"/>
        <w:rPr>
          <w:rFonts w:ascii="Arial" w:hAnsi="Arial" w:eastAsia="宋体" w:cs="Arial"/>
          <w:b/>
          <w:sz w:val="24"/>
          <w:szCs w:val="24"/>
        </w:rPr>
      </w:pPr>
      <w:bookmarkStart w:id="44" w:name="_Toc498073302"/>
      <w:r>
        <w:rPr>
          <w:rFonts w:ascii="Arial" w:hAnsi="Arial" w:eastAsia="宋体" w:cs="Arial"/>
          <w:b/>
          <w:sz w:val="24"/>
          <w:szCs w:val="24"/>
        </w:rPr>
        <w:t>使用术语</w:t>
      </w:r>
      <w:r>
        <w:rPr>
          <w:rFonts w:ascii="宋体" w:hAnsi="宋体" w:eastAsia="宋体" w:cs="Arial"/>
          <w:b/>
          <w:sz w:val="24"/>
          <w:szCs w:val="24"/>
        </w:rPr>
        <w:t>“</w:t>
      </w:r>
      <w:r>
        <w:rPr>
          <w:rFonts w:ascii="Arial" w:hAnsi="Arial" w:eastAsia="宋体" w:cs="Arial"/>
          <w:b/>
          <w:sz w:val="24"/>
          <w:szCs w:val="24"/>
        </w:rPr>
        <w:t>非白种人</w:t>
      </w:r>
      <w:r>
        <w:rPr>
          <w:rFonts w:ascii="宋体" w:hAnsi="宋体" w:eastAsia="宋体" w:cs="Arial"/>
          <w:b/>
          <w:sz w:val="24"/>
          <w:szCs w:val="24"/>
        </w:rPr>
        <w:t>”</w:t>
      </w:r>
      <w:bookmarkEnd w:id="44"/>
    </w:p>
    <w:p w14:paraId="59D5FA5C">
      <w:pPr>
        <w:snapToGrid w:val="0"/>
        <w:spacing w:line="300" w:lineRule="auto"/>
        <w:ind w:left="1426" w:leftChars="679"/>
        <w:rPr>
          <w:rFonts w:ascii="Arial" w:hAnsi="Arial" w:eastAsia="宋体" w:cs="Arial"/>
          <w:sz w:val="24"/>
          <w:szCs w:val="24"/>
        </w:rPr>
      </w:pPr>
      <w:r>
        <w:rPr>
          <w:rFonts w:ascii="Arial" w:hAnsi="Arial" w:eastAsia="宋体" w:cs="Arial"/>
          <w:sz w:val="24"/>
          <w:szCs w:val="24"/>
        </w:rPr>
        <w:t>在联邦政府数据中，不可以使用</w:t>
      </w:r>
      <w:r>
        <w:rPr>
          <w:rFonts w:ascii="宋体" w:hAnsi="宋体" w:eastAsia="宋体" w:cs="Arial"/>
          <w:sz w:val="24"/>
          <w:szCs w:val="24"/>
        </w:rPr>
        <w:t>“</w:t>
      </w:r>
      <w:r>
        <w:rPr>
          <w:rFonts w:ascii="Arial" w:hAnsi="Arial" w:eastAsia="宋体" w:cs="Arial"/>
          <w:sz w:val="24"/>
          <w:szCs w:val="24"/>
        </w:rPr>
        <w:t>非白种人</w:t>
      </w:r>
      <w:r>
        <w:rPr>
          <w:rFonts w:ascii="宋体" w:hAnsi="宋体" w:eastAsia="宋体" w:cs="Arial"/>
          <w:sz w:val="24"/>
          <w:szCs w:val="24"/>
        </w:rPr>
        <w:t>”</w:t>
      </w:r>
      <w:r>
        <w:rPr>
          <w:rFonts w:ascii="Arial" w:hAnsi="Arial" w:eastAsia="宋体" w:cs="Arial"/>
          <w:sz w:val="24"/>
          <w:szCs w:val="24"/>
        </w:rPr>
        <w:t>的表述。在任何的出版物或报告文字中均不应当使用。</w:t>
      </w:r>
    </w:p>
    <w:p w14:paraId="0C4CFB1D">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45" w:name="_Toc498073303"/>
      <w:r>
        <w:rPr>
          <w:rFonts w:ascii="Arial" w:hAnsi="Arial" w:eastAsia="宋体" w:cs="Arial"/>
          <w:b/>
          <w:sz w:val="32"/>
          <w:szCs w:val="32"/>
        </w:rPr>
        <w:t>提交临床试验的民族和种族数据</w:t>
      </w:r>
      <w:bookmarkEnd w:id="45"/>
    </w:p>
    <w:p w14:paraId="4BE237A7">
      <w:pPr>
        <w:snapToGrid w:val="0"/>
        <w:spacing w:after="156" w:afterLines="50" w:line="360" w:lineRule="auto"/>
        <w:rPr>
          <w:rFonts w:ascii="Arial" w:hAnsi="Arial" w:eastAsia="宋体" w:cs="Arial"/>
          <w:sz w:val="24"/>
          <w:szCs w:val="24"/>
        </w:rPr>
      </w:pPr>
      <w:r>
        <w:rPr>
          <w:rFonts w:ascii="Arial" w:hAnsi="Arial" w:eastAsia="宋体" w:cs="Arial"/>
          <w:sz w:val="24"/>
          <w:szCs w:val="24"/>
        </w:rPr>
        <w:t>对于IND、NDA和BLA，我们建议对所有的临床试验使用本指南中的民族和种族分类方式，根据人口学法规</w:t>
      </w:r>
      <w:r>
        <w:rPr>
          <w:rFonts w:ascii="Arial" w:hAnsi="Arial" w:eastAsia="宋体" w:cs="Arial"/>
          <w:sz w:val="24"/>
          <w:szCs w:val="24"/>
          <w:vertAlign w:val="superscript"/>
        </w:rPr>
        <w:t>10 13</w:t>
      </w:r>
      <w:r>
        <w:rPr>
          <w:rFonts w:ascii="Arial" w:hAnsi="Arial" w:eastAsia="宋体" w:cs="Arial"/>
          <w:sz w:val="24"/>
          <w:szCs w:val="24"/>
        </w:rPr>
        <w:t>提交表格形式的人口学数据。从2017年5月开始，CDER和CBER要求上市前申请通过电子版提交</w:t>
      </w:r>
      <w:r>
        <w:rPr>
          <w:rStyle w:val="14"/>
          <w:rFonts w:ascii="Arial" w:hAnsi="Arial" w:eastAsia="宋体" w:cs="Arial"/>
          <w:sz w:val="24"/>
          <w:szCs w:val="24"/>
        </w:rPr>
        <w:footnoteReference w:id="48"/>
      </w:r>
      <w:r>
        <w:rPr>
          <w:rFonts w:ascii="Arial" w:hAnsi="Arial" w:eastAsia="宋体" w:cs="Arial"/>
          <w:sz w:val="24"/>
          <w:szCs w:val="24"/>
        </w:rPr>
        <w:t>。CDER和CBER使用额CTD作为电子版申请标准。在提交电子版申请时，人口学数据的表述方式见于ICH M4E eCTD指南（低2.7.4.1.3章和表2.7.4.2）</w:t>
      </w:r>
      <w:r>
        <w:rPr>
          <w:rStyle w:val="14"/>
          <w:rFonts w:ascii="Arial" w:hAnsi="Arial" w:eastAsia="宋体" w:cs="Arial"/>
          <w:sz w:val="24"/>
          <w:szCs w:val="24"/>
        </w:rPr>
        <w:footnoteReference w:id="49"/>
      </w:r>
      <w:r>
        <w:rPr>
          <w:rFonts w:ascii="Arial" w:hAnsi="Arial" w:eastAsia="宋体" w:cs="Arial"/>
          <w:sz w:val="24"/>
          <w:szCs w:val="24"/>
        </w:rPr>
        <w:t>，该指南要求提交不同治疗组（例如活性药物组、安慰剂组）的表格形式的人口学数据（如年龄、性别、种族）</w:t>
      </w:r>
      <w:r>
        <w:rPr>
          <w:rStyle w:val="14"/>
          <w:rFonts w:ascii="Arial" w:hAnsi="Arial" w:eastAsia="宋体" w:cs="Arial"/>
          <w:sz w:val="24"/>
          <w:szCs w:val="24"/>
        </w:rPr>
        <w:footnoteReference w:id="50"/>
      </w:r>
      <w:r>
        <w:rPr>
          <w:rFonts w:ascii="Arial" w:hAnsi="Arial" w:eastAsia="宋体" w:cs="Arial"/>
          <w:sz w:val="24"/>
          <w:szCs w:val="24"/>
        </w:rPr>
        <w:t>。关于对民族和种族的描述，本指南前面的章节（第IV章）建议的分类方式提供了比ICH M4E eCTD指南更为详细的信息。对于相关的器械申请，我们建议按照本指南列出的内容，以及在最终确定后，遵守</w:t>
      </w:r>
      <w:r>
        <w:rPr>
          <w:rFonts w:ascii="Arial" w:hAnsi="Arial" w:eastAsia="宋体" w:cs="Arial"/>
          <w:kern w:val="0"/>
          <w:sz w:val="24"/>
          <w:szCs w:val="24"/>
        </w:rPr>
        <w:t>指南草案文件在医疗器械临床研究中</w:t>
      </w:r>
      <w:r>
        <w:rPr>
          <w:rFonts w:hint="eastAsia" w:ascii="Arial" w:hAnsi="Arial" w:eastAsia="宋体" w:cs="Arial"/>
          <w:kern w:val="0"/>
          <w:sz w:val="24"/>
          <w:szCs w:val="24"/>
        </w:rPr>
        <w:t>心</w:t>
      </w:r>
      <w:r>
        <w:rPr>
          <w:rFonts w:ascii="Arial" w:hAnsi="Arial" w:eastAsia="宋体" w:cs="Arial"/>
          <w:kern w:val="0"/>
          <w:sz w:val="24"/>
          <w:szCs w:val="24"/>
        </w:rPr>
        <w:t>评估和报告年龄、民族和种族数据</w:t>
      </w:r>
      <w:r>
        <w:rPr>
          <w:rFonts w:ascii="Arial" w:hAnsi="Arial" w:eastAsia="宋体" w:cs="Arial"/>
          <w:kern w:val="0"/>
          <w:sz w:val="24"/>
          <w:szCs w:val="24"/>
          <w:vertAlign w:val="superscript"/>
        </w:rPr>
        <w:t>14</w:t>
      </w:r>
      <w:r>
        <w:rPr>
          <w:rFonts w:ascii="Arial" w:hAnsi="Arial" w:eastAsia="宋体" w:cs="Arial"/>
          <w:kern w:val="0"/>
          <w:sz w:val="24"/>
          <w:szCs w:val="24"/>
        </w:rPr>
        <w:t>的建议。</w:t>
      </w:r>
    </w:p>
    <w:p w14:paraId="730AA032">
      <w:pPr>
        <w:widowControl/>
        <w:jc w:val="left"/>
        <w:rPr>
          <w:rFonts w:ascii="Arial" w:hAnsi="Arial" w:eastAsia="宋体" w:cs="Arial"/>
          <w:b/>
          <w:sz w:val="32"/>
          <w:szCs w:val="32"/>
        </w:rPr>
      </w:pPr>
      <w:r>
        <w:rPr>
          <w:rFonts w:ascii="Arial" w:hAnsi="Arial" w:eastAsia="宋体" w:cs="Arial"/>
          <w:b/>
          <w:sz w:val="32"/>
          <w:szCs w:val="32"/>
        </w:rPr>
        <w:br w:type="page"/>
      </w:r>
    </w:p>
    <w:p w14:paraId="004A4A3A">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46" w:name="_Toc498073304"/>
      <w:r>
        <w:rPr>
          <w:rFonts w:ascii="Arial" w:hAnsi="Arial" w:eastAsia="宋体" w:cs="Arial"/>
          <w:b/>
          <w:sz w:val="32"/>
          <w:szCs w:val="32"/>
        </w:rPr>
        <w:t>参考文献</w:t>
      </w:r>
      <w:bookmarkEnd w:id="46"/>
    </w:p>
    <w:p w14:paraId="3D890C1A">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Alfirevic A，Jorgensen AL，Williamson PR，Chadwick DW，Park BK，Pirmohamed M. 2006，</w:t>
      </w:r>
      <w:r>
        <w:rPr>
          <w:rFonts w:ascii="宋体" w:hAnsi="宋体" w:eastAsia="宋体" w:cs="Arial"/>
          <w:color w:val="000000"/>
        </w:rPr>
        <w:t>“</w:t>
      </w:r>
      <w:r>
        <w:rPr>
          <w:rFonts w:ascii="Arial" w:hAnsi="Arial" w:cs="Arial"/>
          <w:color w:val="000000"/>
        </w:rPr>
        <w:t>HLA-B locus in Caucasian patients with carbamazepine hypersensitivity,</w:t>
      </w:r>
      <w:r>
        <w:rPr>
          <w:rFonts w:ascii="宋体" w:hAnsi="宋体" w:eastAsia="宋体" w:cs="Arial"/>
          <w:color w:val="000000"/>
        </w:rPr>
        <w:t>”</w:t>
      </w:r>
      <w:r>
        <w:rPr>
          <w:rFonts w:ascii="Arial" w:hAnsi="Arial" w:cs="Arial"/>
          <w:color w:val="000000"/>
        </w:rPr>
        <w:t xml:space="preserve"> Pharmacogenomics，7:813-818 </w:t>
      </w:r>
    </w:p>
    <w:p w14:paraId="4DA21BF5">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Chung，WH，Hung，SI，Hong，HS，Hsih，MS，Yang，LC，et al，2004，</w:t>
      </w:r>
      <w:r>
        <w:rPr>
          <w:rFonts w:ascii="宋体" w:hAnsi="宋体" w:eastAsia="宋体" w:cs="Arial"/>
          <w:color w:val="000000"/>
        </w:rPr>
        <w:t>“</w:t>
      </w:r>
      <w:r>
        <w:rPr>
          <w:rFonts w:ascii="Arial" w:hAnsi="Arial" w:cs="Arial"/>
          <w:color w:val="000000"/>
        </w:rPr>
        <w:t>A Marker for Stevens-Johnson Syndrome,</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Nature</w:t>
      </w:r>
      <w:r>
        <w:rPr>
          <w:rFonts w:ascii="Arial" w:hAnsi="Arial" w:cs="Arial"/>
          <w:color w:val="000000"/>
        </w:rPr>
        <w:t xml:space="preserve">，428: 486. </w:t>
      </w:r>
    </w:p>
    <w:p w14:paraId="5F177007">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Exner D，Dries D，Donamski M，and Cohn J，2001，</w:t>
      </w:r>
      <w:r>
        <w:rPr>
          <w:rFonts w:ascii="宋体" w:hAnsi="宋体" w:eastAsia="宋体" w:cs="Arial"/>
          <w:color w:val="000000"/>
        </w:rPr>
        <w:t>“</w:t>
      </w:r>
      <w:r>
        <w:rPr>
          <w:rFonts w:ascii="Arial" w:hAnsi="Arial" w:cs="Arial"/>
          <w:color w:val="000000"/>
        </w:rPr>
        <w:t>Lesser Response to Angiotensin</w:t>
      </w:r>
      <w:r>
        <w:rPr>
          <w:rFonts w:ascii="Arial" w:hAnsi="Arial" w:cs="Arial"/>
          <w:color w:val="000000"/>
        </w:rPr>
        <w:softHyphen/>
      </w:r>
      <w:r>
        <w:rPr>
          <w:rFonts w:ascii="Arial" w:hAnsi="Arial" w:cs="Arial"/>
          <w:color w:val="000000"/>
        </w:rPr>
        <w:t>Converting-Enzyme Inhibitor Therapy in Black as Compared with White Patients With Left Ventricular Dysfunction,</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N Engl J Med</w:t>
      </w:r>
      <w:r>
        <w:rPr>
          <w:rFonts w:ascii="Arial" w:hAnsi="Arial" w:cs="Arial"/>
          <w:color w:val="000000"/>
        </w:rPr>
        <w:t xml:space="preserve">，344: 1351-1357. </w:t>
      </w:r>
    </w:p>
    <w:p w14:paraId="21319735">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Huang SM &amp; Temple R，2008，</w:t>
      </w:r>
      <w:r>
        <w:rPr>
          <w:rFonts w:ascii="宋体" w:hAnsi="宋体" w:eastAsia="宋体" w:cs="Arial"/>
          <w:color w:val="000000"/>
        </w:rPr>
        <w:t>“</w:t>
      </w:r>
      <w:r>
        <w:rPr>
          <w:rFonts w:ascii="Arial" w:hAnsi="Arial" w:cs="Arial"/>
          <w:color w:val="000000"/>
        </w:rPr>
        <w:t>Is this the drug or dose for you? Impact and consideration of ethnic factors in global drug development，regulatory review，and clinical practice,</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Clin Pharmacol Ther</w:t>
      </w:r>
      <w:r>
        <w:rPr>
          <w:rFonts w:ascii="Arial" w:hAnsi="Arial" w:cs="Arial"/>
          <w:color w:val="000000"/>
        </w:rPr>
        <w:t xml:space="preserve">，84: 287-294 </w:t>
      </w:r>
    </w:p>
    <w:p w14:paraId="06829DDB">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Hung SI，Chung WH，Jee SH，Chen WC，Chang YT，et al，2006，</w:t>
      </w:r>
      <w:r>
        <w:rPr>
          <w:rFonts w:ascii="宋体" w:hAnsi="宋体" w:eastAsia="宋体" w:cs="Arial"/>
          <w:color w:val="000000"/>
        </w:rPr>
        <w:t>“</w:t>
      </w:r>
      <w:r>
        <w:rPr>
          <w:rFonts w:ascii="Arial" w:hAnsi="Arial" w:cs="Arial"/>
          <w:color w:val="000000"/>
        </w:rPr>
        <w:t>Genetic Susceptibility to Carbamazepine-Induced Cutaneous Adverse Drug Reactions,</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Pharmacogenetics and Genomics</w:t>
      </w:r>
      <w:r>
        <w:rPr>
          <w:rFonts w:ascii="Arial" w:hAnsi="Arial" w:cs="Arial"/>
          <w:color w:val="000000"/>
        </w:rPr>
        <w:t xml:space="preserve">，16: 297-306. </w:t>
      </w:r>
    </w:p>
    <w:p w14:paraId="5BEE869D">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 xml:space="preserve">Ramamoorthy A，Pacanowski MA，Bull，J，and Zhang L，2015，"Racial/ethnic differences in drug disposition and response: review of recently approved drugs," </w:t>
      </w:r>
      <w:r>
        <w:rPr>
          <w:rFonts w:ascii="Arial" w:hAnsi="Arial" w:cs="Arial"/>
          <w:i/>
          <w:iCs/>
          <w:color w:val="000000"/>
        </w:rPr>
        <w:t>Clin Pharmacol Ther，</w:t>
      </w:r>
      <w:r>
        <w:rPr>
          <w:rFonts w:ascii="Arial" w:hAnsi="Arial" w:cs="Arial"/>
          <w:color w:val="000000"/>
        </w:rPr>
        <w:t xml:space="preserve">97: 263-273. </w:t>
      </w:r>
    </w:p>
    <w:p w14:paraId="68AF2DBE">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Taylor S，2002，</w:t>
      </w:r>
      <w:r>
        <w:rPr>
          <w:rFonts w:ascii="宋体" w:hAnsi="宋体" w:eastAsia="宋体" w:cs="Arial"/>
          <w:color w:val="000000"/>
        </w:rPr>
        <w:t>“</w:t>
      </w:r>
      <w:r>
        <w:rPr>
          <w:rFonts w:ascii="Arial" w:hAnsi="Arial" w:cs="Arial"/>
          <w:color w:val="000000"/>
        </w:rPr>
        <w:t>Skin of Color: Biology，Structure，Function，and Implications for Dermatologic Disease,</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Journal of American Academy of Dermatology</w:t>
      </w:r>
      <w:r>
        <w:rPr>
          <w:rFonts w:ascii="Arial" w:hAnsi="Arial" w:cs="Arial"/>
          <w:color w:val="000000"/>
        </w:rPr>
        <w:t xml:space="preserve">，46: S41-62. </w:t>
      </w:r>
    </w:p>
    <w:p w14:paraId="237AC3C4">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Xie H，Kim R，Wood A，and Stein C，2001，</w:t>
      </w:r>
      <w:r>
        <w:rPr>
          <w:rFonts w:ascii="宋体" w:hAnsi="宋体" w:eastAsia="宋体" w:cs="Arial"/>
          <w:color w:val="000000"/>
        </w:rPr>
        <w:t>“</w:t>
      </w:r>
      <w:r>
        <w:rPr>
          <w:rFonts w:ascii="Arial" w:hAnsi="Arial" w:cs="Arial"/>
          <w:color w:val="000000"/>
        </w:rPr>
        <w:t>Molecular Basis of Ethnic Differences in Drug Disposition and Response,</w:t>
      </w:r>
      <w:r>
        <w:rPr>
          <w:rFonts w:ascii="宋体" w:hAnsi="宋体" w:eastAsia="宋体" w:cs="Arial"/>
          <w:color w:val="000000"/>
        </w:rPr>
        <w:t>”</w:t>
      </w:r>
      <w:r>
        <w:rPr>
          <w:rFonts w:ascii="Arial" w:hAnsi="Arial" w:cs="Arial"/>
          <w:color w:val="000000"/>
        </w:rPr>
        <w:t xml:space="preserve"> </w:t>
      </w:r>
      <w:r>
        <w:rPr>
          <w:rFonts w:ascii="Arial" w:hAnsi="Arial" w:cs="Arial"/>
          <w:i/>
          <w:iCs/>
          <w:color w:val="000000"/>
        </w:rPr>
        <w:t>Annu Rev Pharmacol Toxicol</w:t>
      </w:r>
      <w:r>
        <w:rPr>
          <w:rFonts w:ascii="Arial" w:hAnsi="Arial" w:cs="Arial"/>
          <w:color w:val="000000"/>
        </w:rPr>
        <w:t xml:space="preserve">，41: 815-850. </w:t>
      </w:r>
    </w:p>
    <w:p w14:paraId="37B505B4">
      <w:pPr>
        <w:pStyle w:val="22"/>
        <w:snapToGrid w:val="0"/>
        <w:spacing w:after="156" w:afterLines="50" w:line="300" w:lineRule="auto"/>
        <w:ind w:left="866" w:hanging="866" w:hangingChars="361"/>
        <w:jc w:val="both"/>
        <w:rPr>
          <w:rFonts w:ascii="Arial" w:hAnsi="Arial" w:cs="Arial"/>
          <w:color w:val="000000"/>
        </w:rPr>
      </w:pPr>
      <w:r>
        <w:rPr>
          <w:rFonts w:ascii="Arial" w:hAnsi="Arial" w:cs="Arial"/>
          <w:color w:val="000000"/>
        </w:rPr>
        <w:t xml:space="preserve">Yan，Guofen，et al.，2013，"The relationship of age，race，and ethnicity with survival in dialysis patients," Clinical Journal of the American Society of Nephrology，8.6: 953-961. </w:t>
      </w:r>
    </w:p>
    <w:p w14:paraId="5E0C8872">
      <w:pPr>
        <w:pStyle w:val="15"/>
        <w:snapToGrid w:val="0"/>
        <w:spacing w:after="156" w:afterLines="50" w:line="300" w:lineRule="auto"/>
        <w:ind w:left="866" w:hanging="866" w:hangingChars="361"/>
        <w:rPr>
          <w:rFonts w:ascii="Arial" w:hAnsi="Arial" w:eastAsia="宋体" w:cs="Arial"/>
          <w:b/>
          <w:sz w:val="24"/>
          <w:szCs w:val="24"/>
        </w:rPr>
      </w:pPr>
      <w:r>
        <w:rPr>
          <w:rFonts w:ascii="Arial" w:hAnsi="Arial" w:cs="Arial"/>
          <w:color w:val="000000"/>
          <w:sz w:val="24"/>
          <w:szCs w:val="24"/>
        </w:rPr>
        <w:t>Yancy C，Fowler M，Colucci W，Gilbert E，Bristow M，et al.，2001，</w:t>
      </w:r>
      <w:r>
        <w:rPr>
          <w:rFonts w:ascii="宋体" w:hAnsi="宋体" w:eastAsia="宋体" w:cs="Arial"/>
          <w:color w:val="000000"/>
          <w:sz w:val="24"/>
          <w:szCs w:val="24"/>
        </w:rPr>
        <w:t>“</w:t>
      </w:r>
      <w:r>
        <w:rPr>
          <w:rFonts w:ascii="Arial" w:hAnsi="Arial" w:cs="Arial"/>
          <w:color w:val="000000"/>
          <w:sz w:val="24"/>
          <w:szCs w:val="24"/>
        </w:rPr>
        <w:t>Race and the Response to Adrenergic Blockade with Carvedilol in Patients with Chronic Heart Failure,</w:t>
      </w:r>
      <w:r>
        <w:rPr>
          <w:rFonts w:ascii="宋体" w:hAnsi="宋体" w:eastAsia="宋体" w:cs="Arial"/>
          <w:color w:val="000000"/>
          <w:sz w:val="24"/>
          <w:szCs w:val="24"/>
        </w:rPr>
        <w:t>”</w:t>
      </w:r>
      <w:r>
        <w:rPr>
          <w:rFonts w:ascii="Arial" w:hAnsi="Arial" w:cs="Arial"/>
          <w:color w:val="000000"/>
          <w:sz w:val="24"/>
          <w:szCs w:val="24"/>
        </w:rPr>
        <w:t xml:space="preserve"> </w:t>
      </w:r>
      <w:r>
        <w:rPr>
          <w:rFonts w:ascii="Arial" w:hAnsi="Arial" w:cs="Arial"/>
          <w:i/>
          <w:iCs/>
          <w:color w:val="000000"/>
          <w:sz w:val="24"/>
          <w:szCs w:val="24"/>
        </w:rPr>
        <w:t>N Engl J Med</w:t>
      </w:r>
      <w:r>
        <w:rPr>
          <w:rFonts w:ascii="Arial" w:hAnsi="Arial" w:cs="Arial"/>
          <w:color w:val="000000"/>
          <w:sz w:val="24"/>
          <w:szCs w:val="24"/>
        </w:rPr>
        <w:t xml:space="preserve">，344: 1358-1365. </w:t>
      </w:r>
    </w:p>
    <w:p w14:paraId="3D0E3982">
      <w:pPr>
        <w:pStyle w:val="15"/>
        <w:numPr>
          <w:ilvl w:val="0"/>
          <w:numId w:val="1"/>
        </w:numPr>
        <w:snapToGrid w:val="0"/>
        <w:spacing w:before="156" w:beforeLines="50" w:after="156" w:afterLines="50" w:line="300" w:lineRule="auto"/>
        <w:ind w:left="0" w:firstLine="0" w:firstLineChars="0"/>
        <w:outlineLvl w:val="0"/>
        <w:rPr>
          <w:rFonts w:ascii="Arial" w:hAnsi="Arial" w:eastAsia="宋体" w:cs="Arial"/>
          <w:b/>
          <w:sz w:val="32"/>
          <w:szCs w:val="32"/>
        </w:rPr>
      </w:pPr>
      <w:bookmarkStart w:id="47" w:name="_Toc498073305"/>
      <w:r>
        <w:rPr>
          <w:rFonts w:ascii="Arial" w:hAnsi="Arial" w:eastAsia="宋体" w:cs="Arial"/>
          <w:b/>
          <w:sz w:val="32"/>
          <w:szCs w:val="32"/>
        </w:rPr>
        <w:t>书目</w:t>
      </w:r>
      <w:bookmarkEnd w:id="47"/>
    </w:p>
    <w:p w14:paraId="65C11109">
      <w:pPr>
        <w:snapToGrid w:val="0"/>
        <w:spacing w:after="156" w:afterLines="50" w:line="360" w:lineRule="auto"/>
        <w:outlineLvl w:val="1"/>
        <w:rPr>
          <w:rFonts w:ascii="Arial" w:hAnsi="Arial" w:eastAsia="宋体" w:cs="Arial"/>
          <w:b/>
          <w:sz w:val="28"/>
          <w:szCs w:val="28"/>
        </w:rPr>
      </w:pPr>
      <w:bookmarkStart w:id="48" w:name="_Toc498073306"/>
      <w:r>
        <w:rPr>
          <w:rFonts w:ascii="Arial" w:hAnsi="Arial" w:eastAsia="宋体" w:cs="Arial"/>
          <w:b/>
          <w:sz w:val="28"/>
          <w:szCs w:val="28"/>
        </w:rPr>
        <w:t>HHS政策与报告</w:t>
      </w:r>
      <w:bookmarkEnd w:id="48"/>
    </w:p>
    <w:p w14:paraId="41867FB4">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DHHS数据收集项目中纳入民族和种族数据的政策声明（1997年10月24日）</w:t>
      </w:r>
    </w:p>
    <w:p w14:paraId="3AC194D7">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在HHS中推动民族和种族数据的收集和使用（1999年12月1日）</w:t>
      </w:r>
    </w:p>
    <w:p w14:paraId="7533BB9D">
      <w:pPr>
        <w:pStyle w:val="15"/>
        <w:numPr>
          <w:ilvl w:val="0"/>
          <w:numId w:val="3"/>
        </w:numPr>
        <w:snapToGrid w:val="0"/>
        <w:spacing w:after="156" w:afterLines="50"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美国HHS关于民族、种族、性别、母语、残障状态数据收集实施指南（2011年10月31日）</w:t>
      </w:r>
    </w:p>
    <w:p w14:paraId="3AB76235">
      <w:pPr>
        <w:snapToGrid w:val="0"/>
        <w:spacing w:after="156" w:afterLines="50" w:line="300" w:lineRule="auto"/>
        <w:outlineLvl w:val="1"/>
        <w:rPr>
          <w:rFonts w:ascii="Arial" w:hAnsi="Arial" w:eastAsia="宋体" w:cs="Arial"/>
          <w:b/>
          <w:sz w:val="28"/>
          <w:szCs w:val="28"/>
        </w:rPr>
      </w:pPr>
      <w:bookmarkStart w:id="49" w:name="_Toc498073307"/>
      <w:r>
        <w:rPr>
          <w:rFonts w:ascii="Arial" w:hAnsi="Arial" w:eastAsia="宋体" w:cs="Arial"/>
          <w:b/>
          <w:sz w:val="28"/>
          <w:szCs w:val="28"/>
        </w:rPr>
        <w:t>NIH政策、报告与资源研究中纳入妇女和少数民族作为受试者</w:t>
      </w:r>
      <w:bookmarkEnd w:id="49"/>
    </w:p>
    <w:p w14:paraId="5E662E54">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NIH 1993振兴法案，副标题B（PL 103-43）（1993年6月10日）</w:t>
      </w:r>
    </w:p>
    <w:p w14:paraId="52677F4A">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NIH关于报告民族和种族数据的政策：临床研究受试者（2001年8月8日）</w:t>
      </w:r>
    </w:p>
    <w:p w14:paraId="52FF8D52">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NIH关于在临床试验中纳入妇女和少数民族作为受试者的指南（2001年10月）</w:t>
      </w:r>
    </w:p>
    <w:p w14:paraId="3A2DDC1C">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2014年10月17日关于使用心</w:t>
      </w:r>
      <w:r>
        <w:rPr>
          <w:rFonts w:hint="eastAsia" w:ascii="Arial" w:hAnsi="Arial" w:eastAsia="宋体" w:cs="Arial"/>
          <w:sz w:val="24"/>
          <w:szCs w:val="24"/>
          <w:u w:val="single"/>
        </w:rPr>
        <w:t>新的</w:t>
      </w:r>
      <w:r>
        <w:rPr>
          <w:rFonts w:ascii="Arial" w:hAnsi="Arial" w:eastAsia="宋体" w:cs="Arial"/>
          <w:sz w:val="24"/>
          <w:szCs w:val="24"/>
          <w:u w:val="single"/>
        </w:rPr>
        <w:t>入组管理系统的要求（2014年10月2日）</w:t>
      </w:r>
    </w:p>
    <w:p w14:paraId="4467F6F4">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NIH PHS入组入选报告表格（2015年3月25日）</w:t>
      </w:r>
    </w:p>
    <w:p w14:paraId="616E674F">
      <w:pPr>
        <w:pStyle w:val="15"/>
        <w:numPr>
          <w:ilvl w:val="0"/>
          <w:numId w:val="3"/>
        </w:numPr>
        <w:snapToGrid w:val="0"/>
        <w:spacing w:after="156" w:afterLines="50"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NIH政策实施篇：在涉及人类受试者的</w:t>
      </w:r>
      <w:r>
        <w:rPr>
          <w:rFonts w:hint="eastAsia" w:ascii="Arial" w:hAnsi="Arial" w:eastAsia="宋体" w:cs="Arial"/>
          <w:sz w:val="24"/>
          <w:szCs w:val="24"/>
          <w:u w:val="single"/>
        </w:rPr>
        <w:t>研究中作为受试者的妇女和少数民族入组</w:t>
      </w:r>
    </w:p>
    <w:p w14:paraId="283F6039">
      <w:pPr>
        <w:snapToGrid w:val="0"/>
        <w:spacing w:after="156" w:afterLines="50" w:line="300" w:lineRule="auto"/>
        <w:outlineLvl w:val="1"/>
        <w:rPr>
          <w:rFonts w:ascii="Arial" w:hAnsi="Arial" w:eastAsia="宋体" w:cs="Arial"/>
          <w:b/>
          <w:sz w:val="28"/>
          <w:szCs w:val="28"/>
        </w:rPr>
      </w:pPr>
      <w:bookmarkStart w:id="50" w:name="_Toc498073308"/>
      <w:r>
        <w:rPr>
          <w:rFonts w:ascii="Arial" w:hAnsi="Arial" w:eastAsia="宋体" w:cs="Arial"/>
          <w:b/>
          <w:sz w:val="28"/>
          <w:szCs w:val="28"/>
        </w:rPr>
        <w:t>FDA法规、报告与法律</w:t>
      </w:r>
      <w:bookmarkEnd w:id="50"/>
    </w:p>
    <w:p w14:paraId="1F4740FA">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1997食品药品监督管理局现代化法案（公法105-115，1997年11月21日）</w:t>
      </w:r>
    </w:p>
    <w:p w14:paraId="05BD8FEE">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研究性新药申请和新药申请（21 CFR 312和314，1998年2月11日）</w:t>
      </w:r>
    </w:p>
    <w:p w14:paraId="1C4CD27C">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2007食品药品监督管理局修订案（FDAAA），公法编号110-85，联邦食品药品与化妆品法案第901章（2009年9月）</w:t>
      </w:r>
    </w:p>
    <w:p w14:paraId="40FC160D">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FDA安全与创新法案（公法编号112-114（2012年2月9日））</w:t>
      </w:r>
    </w:p>
    <w:p w14:paraId="6C7458BE">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FDA报告：FDA批准的医疗产品人群亚组数据的收集、分析和可用性（2013年8月）</w:t>
      </w:r>
    </w:p>
    <w:p w14:paraId="05BAEB1B">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FDA完善人群亚组数据的收集和使用的行动计划（2014年8月）</w:t>
      </w:r>
    </w:p>
    <w:p w14:paraId="421AD387">
      <w:pPr>
        <w:pStyle w:val="15"/>
        <w:numPr>
          <w:ilvl w:val="0"/>
          <w:numId w:val="3"/>
        </w:numPr>
        <w:snapToGrid w:val="0"/>
        <w:spacing w:line="300" w:lineRule="auto"/>
        <w:ind w:left="754" w:leftChars="213" w:hanging="307" w:hangingChars="128"/>
        <w:rPr>
          <w:rFonts w:ascii="Arial" w:hAnsi="Arial" w:eastAsia="宋体" w:cs="Arial"/>
          <w:sz w:val="24"/>
          <w:szCs w:val="24"/>
          <w:u w:val="single"/>
        </w:rPr>
      </w:pPr>
      <w:r>
        <w:rPr>
          <w:rFonts w:ascii="Arial" w:hAnsi="Arial" w:eastAsia="宋体" w:cs="Arial"/>
          <w:sz w:val="24"/>
          <w:szCs w:val="24"/>
          <w:u w:val="single"/>
        </w:rPr>
        <w:t>食品药品监督管理局（FDA），1998，</w:t>
      </w:r>
      <w:r>
        <w:rPr>
          <w:rFonts w:ascii="宋体" w:hAnsi="宋体" w:eastAsia="宋体" w:cs="Arial"/>
          <w:sz w:val="24"/>
          <w:szCs w:val="24"/>
          <w:u w:val="single"/>
        </w:rPr>
        <w:t>“</w:t>
      </w:r>
      <w:r>
        <w:rPr>
          <w:rFonts w:ascii="Arial" w:hAnsi="Arial" w:eastAsia="宋体" w:cs="Arial"/>
          <w:sz w:val="24"/>
          <w:szCs w:val="24"/>
          <w:u w:val="single"/>
        </w:rPr>
        <w:t>研究性新药申请和新药申请</w:t>
      </w:r>
      <w:r>
        <w:rPr>
          <w:rFonts w:ascii="宋体" w:hAnsi="宋体" w:eastAsia="宋体" w:cs="Arial"/>
          <w:sz w:val="24"/>
          <w:szCs w:val="24"/>
          <w:u w:val="single"/>
        </w:rPr>
        <w:t>”</w:t>
      </w:r>
      <w:r>
        <w:rPr>
          <w:rFonts w:ascii="Arial" w:hAnsi="Arial" w:eastAsia="宋体" w:cs="Arial"/>
          <w:sz w:val="24"/>
          <w:szCs w:val="24"/>
          <w:u w:val="single"/>
        </w:rPr>
        <w:t>（21 CFR 314.50（b），2015年4月1日）</w:t>
      </w:r>
    </w:p>
    <w:p w14:paraId="225B43CD">
      <w:pPr>
        <w:snapToGrid w:val="0"/>
        <w:spacing w:after="156" w:afterLines="50" w:line="300" w:lineRule="auto"/>
        <w:outlineLvl w:val="1"/>
        <w:rPr>
          <w:rFonts w:ascii="Arial" w:hAnsi="Arial" w:eastAsia="宋体" w:cs="Arial"/>
          <w:b/>
          <w:sz w:val="28"/>
          <w:szCs w:val="28"/>
        </w:rPr>
      </w:pPr>
      <w:bookmarkStart w:id="51" w:name="_Toc498073309"/>
      <w:r>
        <w:rPr>
          <w:rFonts w:ascii="Arial" w:hAnsi="Arial" w:eastAsia="宋体" w:cs="Arial"/>
          <w:b/>
          <w:sz w:val="28"/>
          <w:szCs w:val="28"/>
        </w:rPr>
        <w:t>FDA行业指南</w:t>
      </w:r>
      <w:bookmarkEnd w:id="51"/>
    </w:p>
    <w:p w14:paraId="023B216B">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在药物临床评价中研究和评估性别差异指南（1993年7月）</w:t>
      </w:r>
    </w:p>
    <w:p w14:paraId="5DE5AD47">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药品临床评估的一般性思考（21 CFR 312和314，1998年2月11日）</w:t>
      </w:r>
    </w:p>
    <w:p w14:paraId="567C75BC">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IDE政策和流程指南（1998年1月）</w:t>
      </w:r>
    </w:p>
    <w:p w14:paraId="6BB7F9A5">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申请的临床与统计章节格式与内容（1998年7月）</w:t>
      </w:r>
    </w:p>
    <w:p w14:paraId="27644A9A">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M4E：CTD有效性（2001年8月）</w:t>
      </w:r>
    </w:p>
    <w:p w14:paraId="7019FF89">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针对老年人的标签内容和格式（2001年10月）</w:t>
      </w:r>
    </w:p>
    <w:p w14:paraId="6BD18B01">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肝功能损害患者的药代动力学：研究设计、数据分析和对剂量和标签的影响</w:t>
      </w:r>
      <w:r>
        <w:rPr>
          <w:rFonts w:ascii="Arial" w:hAnsi="Arial" w:eastAsia="宋体" w:cs="Arial"/>
          <w:sz w:val="24"/>
          <w:szCs w:val="24"/>
        </w:rPr>
        <w:t>（2003年5月）</w:t>
      </w:r>
    </w:p>
    <w:p w14:paraId="5072AF48">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在临床试验中收集民族和种族信息</w:t>
      </w:r>
      <w:r>
        <w:rPr>
          <w:rFonts w:ascii="Arial" w:hAnsi="Arial" w:eastAsia="宋体" w:cs="Arial"/>
          <w:sz w:val="24"/>
          <w:szCs w:val="24"/>
        </w:rPr>
        <w:t>（2005年9月）</w:t>
      </w:r>
    </w:p>
    <w:p w14:paraId="24EA8C23">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人类处方药物和生物产品的标签，临床研究章节——内容与格式</w:t>
      </w:r>
      <w:r>
        <w:rPr>
          <w:rFonts w:ascii="Arial" w:hAnsi="Arial" w:eastAsia="宋体" w:cs="Arial"/>
          <w:sz w:val="24"/>
          <w:szCs w:val="24"/>
        </w:rPr>
        <w:t>（2006年1月）</w:t>
      </w:r>
    </w:p>
    <w:p w14:paraId="345D8D62">
      <w:pPr>
        <w:pStyle w:val="15"/>
        <w:numPr>
          <w:ilvl w:val="0"/>
          <w:numId w:val="3"/>
        </w:numPr>
        <w:snapToGrid w:val="0"/>
        <w:spacing w:line="300" w:lineRule="auto"/>
        <w:ind w:left="754" w:leftChars="213" w:hanging="307" w:hangingChars="128"/>
        <w:rPr>
          <w:rFonts w:ascii="Arial" w:hAnsi="Arial" w:eastAsia="宋体" w:cs="Arial"/>
          <w:sz w:val="24"/>
          <w:szCs w:val="24"/>
        </w:rPr>
      </w:pPr>
      <w:bookmarkStart w:id="52" w:name="OLE_LINK37"/>
      <w:bookmarkStart w:id="53" w:name="OLE_LINK36"/>
      <w:r>
        <w:rPr>
          <w:rFonts w:ascii="Arial" w:hAnsi="Arial" w:eastAsia="宋体" w:cs="Arial"/>
          <w:i/>
          <w:sz w:val="24"/>
          <w:szCs w:val="24"/>
          <w:u w:val="single"/>
        </w:rPr>
        <w:t>人类处方药物和生物产品的标签，不良事件章节——内容与格式</w:t>
      </w:r>
      <w:r>
        <w:rPr>
          <w:rFonts w:ascii="Arial" w:hAnsi="Arial" w:eastAsia="宋体" w:cs="Arial"/>
          <w:sz w:val="24"/>
          <w:szCs w:val="24"/>
        </w:rPr>
        <w:t>（2006年1月）</w:t>
      </w:r>
    </w:p>
    <w:bookmarkEnd w:id="52"/>
    <w:bookmarkEnd w:id="53"/>
    <w:p w14:paraId="63455DB4">
      <w:pPr>
        <w:pStyle w:val="15"/>
        <w:numPr>
          <w:ilvl w:val="0"/>
          <w:numId w:val="3"/>
        </w:numPr>
        <w:snapToGrid w:val="0"/>
        <w:spacing w:line="300" w:lineRule="auto"/>
        <w:ind w:left="754" w:leftChars="213" w:hanging="307" w:hangingChars="128"/>
        <w:rPr>
          <w:rFonts w:ascii="Arial" w:hAnsi="Arial" w:eastAsia="宋体" w:cs="Arial"/>
          <w:i/>
          <w:sz w:val="24"/>
          <w:szCs w:val="24"/>
          <w:u w:val="single"/>
        </w:rPr>
      </w:pPr>
      <w:r>
        <w:rPr>
          <w:rFonts w:ascii="Arial" w:hAnsi="Arial" w:eastAsia="宋体" w:cs="Arial"/>
          <w:i/>
          <w:sz w:val="24"/>
          <w:szCs w:val="24"/>
          <w:u w:val="single"/>
        </w:rPr>
        <w:t>临床药代动力学：早期临床试验和上市前评估及标签建议</w:t>
      </w:r>
      <w:r>
        <w:rPr>
          <w:rFonts w:ascii="Arial" w:hAnsi="Arial" w:eastAsia="宋体" w:cs="Arial"/>
          <w:sz w:val="24"/>
          <w:szCs w:val="24"/>
        </w:rPr>
        <w:t>（2013年1月）</w:t>
      </w:r>
    </w:p>
    <w:p w14:paraId="69D1AB8C">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医疗器械关键临床研究和设计考虑</w:t>
      </w:r>
      <w:r>
        <w:rPr>
          <w:rFonts w:ascii="Arial" w:hAnsi="Arial" w:eastAsia="宋体" w:cs="Arial"/>
          <w:sz w:val="24"/>
          <w:szCs w:val="24"/>
        </w:rPr>
        <w:t>（2013年11月）</w:t>
      </w:r>
    </w:p>
    <w:p w14:paraId="23857E7E">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医疗器械临床研究性别特异数据评估</w:t>
      </w:r>
      <w:r>
        <w:rPr>
          <w:rFonts w:ascii="Arial" w:hAnsi="Arial" w:eastAsia="宋体" w:cs="Arial"/>
          <w:sz w:val="24"/>
          <w:szCs w:val="24"/>
        </w:rPr>
        <w:t>（2014年8月）</w:t>
      </w:r>
    </w:p>
    <w:p w14:paraId="22D21724">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药品和生物制剂儿童研究的一般性临床药学考虑</w:t>
      </w:r>
      <w:r>
        <w:rPr>
          <w:rFonts w:ascii="Arial" w:hAnsi="Arial" w:eastAsia="宋体" w:cs="Arial"/>
          <w:sz w:val="24"/>
          <w:szCs w:val="24"/>
        </w:rPr>
        <w:t>（2014年12月）</w:t>
      </w:r>
    </w:p>
    <w:p w14:paraId="56C61AF3">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使用电子版提交监管文件——标准化研究数据</w:t>
      </w:r>
      <w:r>
        <w:rPr>
          <w:rFonts w:ascii="Arial" w:hAnsi="Arial" w:eastAsia="宋体" w:cs="Arial"/>
          <w:sz w:val="24"/>
          <w:szCs w:val="24"/>
        </w:rPr>
        <w:t>（2012年12月）</w:t>
      </w:r>
    </w:p>
    <w:p w14:paraId="2594DE4A">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使用电子版提交监管文件——使用</w:t>
      </w:r>
      <w:bookmarkStart w:id="54" w:name="OLE_LINK39"/>
      <w:bookmarkStart w:id="55" w:name="OLE_LINK38"/>
      <w:r>
        <w:rPr>
          <w:rFonts w:ascii="Arial" w:hAnsi="Arial" w:eastAsia="宋体" w:cs="Arial"/>
          <w:i/>
          <w:sz w:val="24"/>
          <w:szCs w:val="24"/>
          <w:u w:val="single"/>
        </w:rPr>
        <w:t>eCTD</w:t>
      </w:r>
      <w:bookmarkEnd w:id="54"/>
      <w:bookmarkEnd w:id="55"/>
      <w:r>
        <w:rPr>
          <w:rFonts w:ascii="Arial" w:hAnsi="Arial" w:eastAsia="宋体" w:cs="Arial"/>
          <w:i/>
          <w:sz w:val="24"/>
          <w:szCs w:val="24"/>
          <w:u w:val="single"/>
        </w:rPr>
        <w:t>格式提交特定人用药品产品</w:t>
      </w:r>
      <w:r>
        <w:rPr>
          <w:rFonts w:ascii="Arial" w:hAnsi="Arial" w:eastAsia="宋体" w:cs="Arial"/>
          <w:i/>
          <w:sz w:val="24"/>
          <w:szCs w:val="24"/>
        </w:rPr>
        <w:t>申请和相关申请</w:t>
      </w:r>
      <w:r>
        <w:rPr>
          <w:rFonts w:ascii="Arial" w:hAnsi="Arial" w:eastAsia="宋体" w:cs="Arial"/>
          <w:sz w:val="24"/>
          <w:szCs w:val="24"/>
        </w:rPr>
        <w:t>（2012年12月）</w:t>
      </w:r>
    </w:p>
    <w:p w14:paraId="28998BCC">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有效性综合总结行业指南</w:t>
      </w:r>
      <w:r>
        <w:rPr>
          <w:rFonts w:ascii="Arial" w:hAnsi="Arial" w:eastAsia="宋体" w:cs="Arial"/>
          <w:sz w:val="24"/>
          <w:szCs w:val="24"/>
        </w:rPr>
        <w:t>（2015年10月）</w:t>
      </w:r>
    </w:p>
    <w:p w14:paraId="2DF8BEA5">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人类免疫缺陷病毒-1感染：用于治疗的抗病毒药物研发</w:t>
      </w:r>
      <w:r>
        <w:rPr>
          <w:rFonts w:ascii="Arial" w:hAnsi="Arial" w:eastAsia="宋体" w:cs="Arial"/>
          <w:sz w:val="24"/>
          <w:szCs w:val="24"/>
        </w:rPr>
        <w:t>（2015年11月）</w:t>
      </w:r>
    </w:p>
    <w:p w14:paraId="26A647EF">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i/>
          <w:sz w:val="24"/>
          <w:szCs w:val="24"/>
          <w:u w:val="single"/>
        </w:rPr>
        <w:t>研究数据技术性合规指南</w:t>
      </w:r>
      <w:r>
        <w:rPr>
          <w:rFonts w:ascii="Arial" w:hAnsi="Arial" w:eastAsia="宋体" w:cs="Arial"/>
          <w:sz w:val="24"/>
          <w:szCs w:val="24"/>
        </w:rPr>
        <w:t>（2016年3月）</w:t>
      </w:r>
    </w:p>
    <w:p w14:paraId="6863FEBB">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糖尿病：研发用于治疗和预防的药物的治疗性生物制剂</w:t>
      </w:r>
      <w:r>
        <w:rPr>
          <w:rFonts w:ascii="Arial" w:hAnsi="Arial" w:eastAsia="宋体" w:cs="Arial"/>
          <w:sz w:val="24"/>
          <w:szCs w:val="24"/>
        </w:rPr>
        <w:t>（2008年2月）</w:t>
      </w:r>
    </w:p>
    <w:p w14:paraId="501E52BA">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肾功能损害患者的药代动力学：</w:t>
      </w:r>
      <w:bookmarkStart w:id="56" w:name="OLE_LINK41"/>
      <w:r>
        <w:rPr>
          <w:rFonts w:ascii="Arial" w:hAnsi="Arial" w:eastAsia="宋体" w:cs="Arial"/>
          <w:i/>
          <w:sz w:val="24"/>
          <w:szCs w:val="24"/>
          <w:u w:val="single"/>
        </w:rPr>
        <w:t>研究设计、数据分析和对剂量和标签的影响</w:t>
      </w:r>
      <w:r>
        <w:rPr>
          <w:rFonts w:ascii="Arial" w:hAnsi="Arial" w:eastAsia="宋体" w:cs="Arial"/>
          <w:sz w:val="24"/>
          <w:szCs w:val="24"/>
        </w:rPr>
        <w:t>（2010年3月）</w:t>
      </w:r>
      <w:bookmarkEnd w:id="56"/>
    </w:p>
    <w:p w14:paraId="5F566D51">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药物相互作用研究——研究设计、数据分析和对剂量和标签的影响</w:t>
      </w:r>
      <w:r>
        <w:rPr>
          <w:rFonts w:ascii="Arial" w:hAnsi="Arial" w:eastAsia="宋体" w:cs="Arial"/>
          <w:sz w:val="24"/>
          <w:szCs w:val="24"/>
        </w:rPr>
        <w:t>（2010年2月）</w:t>
      </w:r>
    </w:p>
    <w:p w14:paraId="57B797E2">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支持人用药品和生物制剂批准的临床试验充实策略</w:t>
      </w:r>
      <w:r>
        <w:rPr>
          <w:rFonts w:ascii="Arial" w:hAnsi="Arial" w:eastAsia="宋体" w:cs="Arial"/>
          <w:sz w:val="24"/>
          <w:szCs w:val="24"/>
        </w:rPr>
        <w:t>（2012年12月）</w:t>
      </w:r>
    </w:p>
    <w:p w14:paraId="5118CFE9">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慢性病性肝炎病毒感染：研发用于治疗的直接作用的抗病毒药物</w:t>
      </w:r>
      <w:r>
        <w:rPr>
          <w:rFonts w:ascii="Arial" w:hAnsi="Arial" w:eastAsia="宋体" w:cs="Arial"/>
          <w:sz w:val="24"/>
          <w:szCs w:val="24"/>
        </w:rPr>
        <w:t>（2016年5月）</w:t>
      </w:r>
    </w:p>
    <w:p w14:paraId="48DD1C3B">
      <w:pPr>
        <w:pStyle w:val="15"/>
        <w:numPr>
          <w:ilvl w:val="0"/>
          <w:numId w:val="3"/>
        </w:numPr>
        <w:snapToGrid w:val="0"/>
        <w:spacing w:line="300" w:lineRule="auto"/>
        <w:ind w:left="754" w:leftChars="213" w:hanging="307" w:hangingChars="128"/>
        <w:rPr>
          <w:rFonts w:ascii="Arial" w:hAnsi="Arial" w:eastAsia="宋体" w:cs="Arial"/>
          <w:sz w:val="24"/>
          <w:szCs w:val="24"/>
        </w:rPr>
      </w:pPr>
      <w:r>
        <w:rPr>
          <w:rFonts w:ascii="Arial" w:hAnsi="Arial" w:eastAsia="宋体" w:cs="Arial"/>
          <w:sz w:val="24"/>
          <w:szCs w:val="24"/>
        </w:rPr>
        <w:t>指南草案：</w:t>
      </w:r>
      <w:r>
        <w:rPr>
          <w:rFonts w:ascii="Arial" w:hAnsi="Arial" w:eastAsia="宋体" w:cs="Arial"/>
          <w:i/>
          <w:sz w:val="24"/>
          <w:szCs w:val="24"/>
          <w:u w:val="single"/>
        </w:rPr>
        <w:t>医疗器械临床试验中的年龄、民族和种族数据的评估和报告</w:t>
      </w:r>
      <w:r>
        <w:rPr>
          <w:rFonts w:ascii="Arial" w:hAnsi="Arial" w:eastAsia="宋体" w:cs="Arial"/>
          <w:sz w:val="24"/>
          <w:szCs w:val="24"/>
        </w:rPr>
        <w:t>（2016年6月）</w:t>
      </w:r>
    </w:p>
    <w:p w14:paraId="2244C1D4">
      <w:pPr>
        <w:snapToGrid w:val="0"/>
        <w:spacing w:after="156" w:afterLines="50" w:line="300" w:lineRule="auto"/>
        <w:outlineLvl w:val="1"/>
        <w:rPr>
          <w:rFonts w:ascii="Arial" w:hAnsi="Arial" w:eastAsia="宋体" w:cs="Arial"/>
          <w:b/>
          <w:sz w:val="28"/>
          <w:szCs w:val="28"/>
        </w:rPr>
      </w:pPr>
      <w:bookmarkStart w:id="57" w:name="_Toc498073310"/>
      <w:r>
        <w:rPr>
          <w:rFonts w:ascii="Arial" w:hAnsi="Arial" w:eastAsia="宋体" w:cs="Arial"/>
          <w:b/>
          <w:sz w:val="28"/>
          <w:szCs w:val="28"/>
        </w:rPr>
        <w:t>ICH指南</w:t>
      </w:r>
      <w:bookmarkEnd w:id="57"/>
    </w:p>
    <w:p w14:paraId="25FF7E71">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ICH，</w:t>
      </w:r>
      <w:r>
        <w:rPr>
          <w:rFonts w:ascii="Arial" w:hAnsi="Arial" w:eastAsia="宋体" w:cs="Arial"/>
          <w:i/>
          <w:kern w:val="0"/>
          <w:sz w:val="24"/>
          <w:szCs w:val="24"/>
          <w:u w:val="single"/>
        </w:rPr>
        <w:t>E7支持特定人群的研究：老年人</w:t>
      </w:r>
      <w:r>
        <w:rPr>
          <w:rFonts w:ascii="Arial" w:hAnsi="Arial" w:eastAsia="宋体" w:cs="Arial"/>
          <w:kern w:val="0"/>
          <w:sz w:val="24"/>
          <w:szCs w:val="24"/>
        </w:rPr>
        <w:t>（1993年6月24日）</w:t>
      </w:r>
    </w:p>
    <w:p w14:paraId="781734CE">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ICH，</w:t>
      </w:r>
      <w:r>
        <w:rPr>
          <w:rFonts w:ascii="Arial" w:hAnsi="Arial" w:eastAsia="宋体" w:cs="Arial"/>
          <w:i/>
          <w:kern w:val="0"/>
          <w:sz w:val="24"/>
          <w:szCs w:val="24"/>
          <w:u w:val="single"/>
        </w:rPr>
        <w:t>E4支持药品注册的剂量效应信息</w:t>
      </w:r>
      <w:r>
        <w:rPr>
          <w:rFonts w:ascii="Arial" w:hAnsi="Arial" w:eastAsia="宋体" w:cs="Arial"/>
          <w:kern w:val="0"/>
          <w:sz w:val="24"/>
          <w:szCs w:val="24"/>
        </w:rPr>
        <w:t>（1994年3月）</w:t>
      </w:r>
    </w:p>
    <w:p w14:paraId="6535524B">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ICH，</w:t>
      </w:r>
      <w:r>
        <w:rPr>
          <w:rFonts w:ascii="Arial" w:hAnsi="Arial" w:eastAsia="宋体" w:cs="Arial"/>
          <w:i/>
          <w:kern w:val="0"/>
          <w:sz w:val="24"/>
          <w:szCs w:val="24"/>
          <w:u w:val="single"/>
        </w:rPr>
        <w:t>E5国外数据可接受性的种族因素</w:t>
      </w:r>
      <w:r>
        <w:rPr>
          <w:rFonts w:ascii="Arial" w:hAnsi="Arial" w:eastAsia="宋体" w:cs="Arial"/>
          <w:kern w:val="0"/>
          <w:sz w:val="24"/>
          <w:szCs w:val="24"/>
        </w:rPr>
        <w:t>（1998年2月5日）</w:t>
      </w:r>
    </w:p>
    <w:p w14:paraId="5AA3A096">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ICH，</w:t>
      </w:r>
      <w:r>
        <w:rPr>
          <w:rFonts w:ascii="Arial" w:hAnsi="Arial" w:eastAsia="宋体" w:cs="Arial"/>
          <w:i/>
          <w:kern w:val="0"/>
          <w:sz w:val="24"/>
          <w:szCs w:val="24"/>
          <w:u w:val="single"/>
        </w:rPr>
        <w:t>E11在老年人人群中进行医疗产品的临床研究</w:t>
      </w:r>
      <w:r>
        <w:rPr>
          <w:rFonts w:ascii="Arial" w:hAnsi="Arial" w:eastAsia="宋体" w:cs="Arial"/>
          <w:kern w:val="0"/>
          <w:sz w:val="24"/>
          <w:szCs w:val="24"/>
        </w:rPr>
        <w:t>（2000年7月20日）</w:t>
      </w:r>
    </w:p>
    <w:p w14:paraId="1B32AA28">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ICH，</w:t>
      </w:r>
      <w:r>
        <w:rPr>
          <w:rFonts w:ascii="Arial" w:hAnsi="Arial" w:eastAsia="宋体" w:cs="Arial"/>
          <w:i/>
          <w:kern w:val="0"/>
          <w:sz w:val="24"/>
          <w:szCs w:val="24"/>
          <w:u w:val="single"/>
        </w:rPr>
        <w:t>M4人类药品注册的一般性技术文件</w:t>
      </w:r>
      <w:r>
        <w:rPr>
          <w:rFonts w:ascii="Arial" w:hAnsi="Arial" w:eastAsia="宋体" w:cs="Arial"/>
          <w:kern w:val="0"/>
          <w:sz w:val="24"/>
          <w:szCs w:val="24"/>
        </w:rPr>
        <w:t>（2004年1月13日）</w:t>
      </w:r>
    </w:p>
    <w:p w14:paraId="42CC97E4">
      <w:pPr>
        <w:snapToGrid w:val="0"/>
        <w:spacing w:after="156" w:afterLines="50" w:line="300" w:lineRule="auto"/>
        <w:outlineLvl w:val="1"/>
        <w:rPr>
          <w:rFonts w:ascii="Arial" w:hAnsi="Arial" w:eastAsia="宋体" w:cs="Arial"/>
          <w:b/>
          <w:sz w:val="28"/>
          <w:szCs w:val="28"/>
        </w:rPr>
      </w:pPr>
      <w:bookmarkStart w:id="58" w:name="_Toc498073311"/>
      <w:r>
        <w:rPr>
          <w:rFonts w:ascii="Arial" w:hAnsi="Arial" w:eastAsia="宋体" w:cs="Arial"/>
          <w:b/>
          <w:sz w:val="28"/>
          <w:szCs w:val="28"/>
        </w:rPr>
        <w:t>其他资源</w:t>
      </w:r>
      <w:bookmarkEnd w:id="58"/>
    </w:p>
    <w:p w14:paraId="5520D694">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总审计局，FDA需要确保处方药品测试中纳入更多性别差异研究，GAO/HFD-93917</w:t>
      </w:r>
      <w:r>
        <w:rPr>
          <w:rFonts w:ascii="Arial" w:hAnsi="Arial" w:eastAsia="宋体" w:cs="Arial"/>
          <w:kern w:val="0"/>
          <w:sz w:val="24"/>
          <w:szCs w:val="24"/>
        </w:rPr>
        <w:t>（1992年10月）</w:t>
      </w:r>
    </w:p>
    <w:p w14:paraId="593808F7">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管理和预算办公室：联邦民族和种族数据分类标准</w:t>
      </w:r>
      <w:r>
        <w:rPr>
          <w:rFonts w:ascii="Arial" w:hAnsi="Arial" w:eastAsia="宋体" w:cs="Arial"/>
          <w:kern w:val="0"/>
          <w:sz w:val="24"/>
          <w:szCs w:val="24"/>
        </w:rPr>
        <w:t>（1994年6月9日）</w:t>
      </w:r>
    </w:p>
    <w:p w14:paraId="2D6E7A53">
      <w:pPr>
        <w:pStyle w:val="15"/>
        <w:numPr>
          <w:ilvl w:val="0"/>
          <w:numId w:val="3"/>
        </w:numPr>
        <w:snapToGrid w:val="0"/>
        <w:spacing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管理和预算办公室（OMB）指令编号15，联邦民族和种族数据分类标准修订版</w:t>
      </w:r>
      <w:r>
        <w:rPr>
          <w:rFonts w:ascii="Arial" w:hAnsi="Arial" w:eastAsia="宋体" w:cs="Arial"/>
          <w:kern w:val="0"/>
          <w:sz w:val="24"/>
          <w:szCs w:val="24"/>
        </w:rPr>
        <w:t>（1997年10月30日）</w:t>
      </w:r>
    </w:p>
    <w:p w14:paraId="1F072D8F">
      <w:pPr>
        <w:pStyle w:val="15"/>
        <w:numPr>
          <w:ilvl w:val="0"/>
          <w:numId w:val="3"/>
        </w:numPr>
        <w:snapToGrid w:val="0"/>
        <w:spacing w:after="156" w:afterLines="50" w:line="300" w:lineRule="auto"/>
        <w:ind w:left="754" w:leftChars="213" w:hanging="307" w:hangingChars="128"/>
        <w:rPr>
          <w:rFonts w:ascii="Arial" w:hAnsi="Arial" w:eastAsia="宋体" w:cs="Arial"/>
          <w:kern w:val="0"/>
          <w:sz w:val="24"/>
          <w:szCs w:val="24"/>
        </w:rPr>
      </w:pPr>
      <w:r>
        <w:rPr>
          <w:rFonts w:ascii="Arial" w:hAnsi="Arial" w:eastAsia="宋体" w:cs="Arial"/>
          <w:kern w:val="0"/>
          <w:sz w:val="24"/>
          <w:szCs w:val="24"/>
          <w:u w:val="single"/>
        </w:rPr>
        <w:t>2002儿童良好药品法案（公法107-109）</w:t>
      </w:r>
      <w:r>
        <w:rPr>
          <w:rFonts w:ascii="Arial" w:hAnsi="Arial" w:eastAsia="宋体" w:cs="Arial"/>
          <w:kern w:val="0"/>
          <w:sz w:val="24"/>
          <w:szCs w:val="24"/>
        </w:rPr>
        <w:t>（2002年2月4日）</w:t>
      </w:r>
    </w:p>
    <w:p w14:paraId="3DEBD04F">
      <w:pPr>
        <w:snapToGrid w:val="0"/>
        <w:spacing w:after="156" w:afterLines="50" w:line="300" w:lineRule="auto"/>
        <w:outlineLvl w:val="1"/>
        <w:rPr>
          <w:rFonts w:ascii="Arial" w:hAnsi="Arial" w:eastAsia="宋体" w:cs="Arial"/>
          <w:b/>
          <w:sz w:val="28"/>
          <w:szCs w:val="28"/>
        </w:rPr>
      </w:pPr>
      <w:bookmarkStart w:id="59" w:name="_Toc498073312"/>
      <w:r>
        <w:rPr>
          <w:rFonts w:ascii="Arial" w:hAnsi="Arial" w:eastAsia="宋体" w:cs="Arial"/>
          <w:b/>
          <w:sz w:val="28"/>
          <w:szCs w:val="28"/>
        </w:rPr>
        <w:t>NIH PHS累计纳入报告表</w:t>
      </w:r>
      <w:bookmarkEnd w:id="59"/>
    </w:p>
    <w:p w14:paraId="2E7E01A8">
      <w:pPr>
        <w:snapToGrid w:val="0"/>
        <w:spacing w:after="156" w:afterLines="50" w:line="300" w:lineRule="auto"/>
        <w:rPr>
          <w:rFonts w:ascii="Arial" w:hAnsi="Arial" w:eastAsia="宋体" w:cs="Arial"/>
          <w:b/>
          <w:sz w:val="28"/>
          <w:szCs w:val="28"/>
        </w:rPr>
      </w:pPr>
      <w:r>
        <w:drawing>
          <wp:inline distT="0" distB="0" distL="0" distR="0">
            <wp:extent cx="5572125" cy="431101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574430" cy="4312441"/>
                    </a:xfrm>
                    <a:prstGeom prst="rect">
                      <a:avLst/>
                    </a:prstGeom>
                  </pic:spPr>
                </pic:pic>
              </a:graphicData>
            </a:graphic>
          </wp:inline>
        </w:drawing>
      </w:r>
    </w:p>
    <w:p w14:paraId="40AAFA39">
      <w:pPr>
        <w:pBdr>
          <w:bottom w:val="single" w:color="auto" w:sz="4" w:space="1"/>
        </w:pBdr>
        <w:snapToGrid w:val="0"/>
        <w:spacing w:after="156" w:afterLines="50" w:line="300" w:lineRule="auto"/>
        <w:jc w:val="center"/>
        <w:rPr>
          <w:rFonts w:hint="eastAsia" w:eastAsia="等线"/>
          <w:lang w:eastAsia="zh-CN"/>
        </w:rPr>
      </w:pPr>
    </w:p>
    <w:p w14:paraId="6158A2A4">
      <w:pPr>
        <w:pBdr>
          <w:bottom w:val="single" w:color="auto" w:sz="4" w:space="1"/>
        </w:pBdr>
        <w:snapToGrid w:val="0"/>
        <w:spacing w:after="156" w:afterLines="50" w:line="300" w:lineRule="auto"/>
        <w:jc w:val="center"/>
        <w:rPr>
          <w:rFonts w:hint="eastAsia" w:eastAsia="等线"/>
          <w:lang w:eastAsia="zh-CN"/>
        </w:rPr>
      </w:pPr>
    </w:p>
    <w:p w14:paraId="5660A8DC">
      <w:pPr>
        <w:pBdr>
          <w:bottom w:val="single" w:color="auto" w:sz="4" w:space="1"/>
        </w:pBdr>
        <w:snapToGrid w:val="0"/>
        <w:spacing w:after="156" w:after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875652782"/>
      <w:docPartObj>
        <w:docPartGallery w:val="AutoText"/>
      </w:docPartObj>
    </w:sdtPr>
    <w:sdtEndPr>
      <w:rPr>
        <w:rFonts w:ascii="Arial" w:hAnsi="Arial" w:cs="Arial"/>
        <w:sz w:val="21"/>
        <w:szCs w:val="21"/>
      </w:rPr>
    </w:sdtEndPr>
    <w:sdtContent>
      <w:p w14:paraId="552C6F16">
        <w:pPr>
          <w:pStyle w:val="5"/>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18</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2">
    <w:p>
      <w:r>
        <w:separator/>
      </w:r>
    </w:p>
  </w:footnote>
  <w:footnote w:type="continuationSeparator" w:id="103">
    <w:p>
      <w:r>
        <w:continuationSeparator/>
      </w:r>
    </w:p>
  </w:footnote>
  <w:footnote w:id="0">
    <w:p w14:paraId="5B422919">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0" w:name="OLE_LINK47"/>
      <w:r>
        <w:rPr>
          <w:rFonts w:ascii="Arial" w:hAnsi="Arial" w:eastAsia="宋体" w:cs="Arial"/>
        </w:rPr>
        <w:t>本指南由全机构</w:t>
      </w:r>
      <w:r>
        <w:rPr>
          <w:rFonts w:hint="eastAsia" w:ascii="Arial" w:hAnsi="Arial" w:eastAsia="宋体" w:cs="Arial"/>
        </w:rPr>
        <w:t>民族和种族</w:t>
      </w:r>
      <w:r>
        <w:rPr>
          <w:rFonts w:ascii="Arial" w:hAnsi="Arial" w:eastAsia="宋体" w:cs="Arial"/>
        </w:rPr>
        <w:t>工作组制定，工作组成员来自美国食品药品监督管理局（FDA）的委员办公室（OC）、少数民族健康办公室（OMH）、妇女健康办公室（OWH）、公共健康策略和分析办公室（OPHSA）、生物制剂评价和研究中心（CBER）、药品评价和研究中心（CDER）、和器械放射卫生中心（CDRH）。</w:t>
      </w:r>
      <w:bookmarkEnd w:id="60"/>
    </w:p>
  </w:footnote>
  <w:footnote w:id="1">
    <w:p w14:paraId="293B90F8">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管理和预算办公室（OMB）指令15，</w:t>
      </w:r>
      <w:r>
        <w:rPr>
          <w:rFonts w:hint="eastAsia" w:ascii="Arial" w:hAnsi="Arial" w:eastAsia="宋体" w:cs="Arial"/>
        </w:rPr>
        <w:t>民族和种族</w:t>
      </w:r>
      <w:r>
        <w:rPr>
          <w:rFonts w:ascii="Arial" w:hAnsi="Arial" w:eastAsia="宋体" w:cs="Arial"/>
        </w:rPr>
        <w:t>联邦数据分类标准修订版（1997年10月30日），见于</w:t>
      </w:r>
      <w:r>
        <w:fldChar w:fldCharType="begin"/>
      </w:r>
      <w:r>
        <w:instrText xml:space="preserve"> HYPERLINK "https://www.whitehouse.gov/omb/fedreg_1997standards" </w:instrText>
      </w:r>
      <w:r>
        <w:fldChar w:fldCharType="separate"/>
      </w:r>
      <w:r>
        <w:rPr>
          <w:rStyle w:val="13"/>
          <w:rFonts w:ascii="Arial" w:hAnsi="Arial" w:eastAsia="宋体" w:cs="Arial"/>
          <w:color w:val="0000FF"/>
        </w:rPr>
        <w:t>https://www.whitehouse.gov/omb/fedreg_1997standards</w:t>
      </w:r>
      <w:r>
        <w:rPr>
          <w:rStyle w:val="13"/>
          <w:rFonts w:ascii="Arial" w:hAnsi="Arial" w:eastAsia="宋体" w:cs="Arial"/>
          <w:color w:val="0000FF"/>
        </w:rPr>
        <w:fldChar w:fldCharType="end"/>
      </w:r>
      <w:r>
        <w:rPr>
          <w:rFonts w:ascii="Arial" w:hAnsi="Arial" w:eastAsia="宋体" w:cs="Arial"/>
        </w:rPr>
        <w:t>。</w:t>
      </w:r>
    </w:p>
  </w:footnote>
  <w:footnote w:id="2">
    <w:p w14:paraId="0C074791">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患者保护和平价医疗法案，公法111-148，第4302章（42 U.S.C. § 300kk）（2010年3月23日），见于</w:t>
      </w:r>
      <w:r>
        <w:fldChar w:fldCharType="begin"/>
      </w:r>
      <w:r>
        <w:instrText xml:space="preserve"> HYPERLINK "https://www.gpo.gov/fdsys/pkg/CREC-2009-11-19/pdf/CREC-2009-11-19-pt1-PgS11607-3.pdf" \l "page=127" </w:instrText>
      </w:r>
      <w:r>
        <w:fldChar w:fldCharType="separate"/>
      </w:r>
      <w:r>
        <w:rPr>
          <w:rStyle w:val="13"/>
          <w:rFonts w:ascii="Arial" w:hAnsi="Arial" w:eastAsia="宋体" w:cs="Arial"/>
          <w:color w:val="0000FF"/>
        </w:rPr>
        <w:t>https://www.gpo.gov/fdsys/pkg/CREC-2009-11-19/pdf/CREC-2009-11-19-pt1-PgS11607-3.pdf#page=127</w:t>
      </w:r>
      <w:r>
        <w:rPr>
          <w:rStyle w:val="13"/>
          <w:rFonts w:ascii="Arial" w:hAnsi="Arial" w:eastAsia="宋体" w:cs="Arial"/>
          <w:color w:val="0000FF"/>
        </w:rPr>
        <w:fldChar w:fldCharType="end"/>
      </w:r>
      <w:r>
        <w:rPr>
          <w:rFonts w:ascii="Arial" w:hAnsi="Arial" w:eastAsia="宋体" w:cs="Arial"/>
        </w:rPr>
        <w:t>。</w:t>
      </w:r>
    </w:p>
  </w:footnote>
  <w:footnote w:id="3">
    <w:p w14:paraId="1942358D">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1" w:name="OLE_LINK34"/>
      <w:bookmarkStart w:id="62" w:name="OLE_LINK35"/>
      <w:r>
        <w:rPr>
          <w:rFonts w:ascii="Arial" w:hAnsi="Arial" w:eastAsia="宋体" w:cs="Arial"/>
        </w:rPr>
        <w:t>HHS关于种族、族群、性别、母语、残障状态数据收集实施指南（2011年10月31日）</w:t>
      </w:r>
      <w:bookmarkEnd w:id="61"/>
      <w:bookmarkEnd w:id="62"/>
      <w:r>
        <w:rPr>
          <w:rFonts w:ascii="Arial" w:hAnsi="Arial" w:eastAsia="宋体" w:cs="Arial"/>
        </w:rPr>
        <w:t>，见于</w:t>
      </w:r>
      <w:r>
        <w:fldChar w:fldCharType="begin"/>
      </w:r>
      <w:r>
        <w:instrText xml:space="preserve"> HYPERLINK "https://aspe.hhs.gov/sites/default/files/pdf/76331/index.pdf" </w:instrText>
      </w:r>
      <w:r>
        <w:fldChar w:fldCharType="separate"/>
      </w:r>
      <w:r>
        <w:rPr>
          <w:rStyle w:val="13"/>
          <w:rFonts w:ascii="Arial" w:hAnsi="Arial" w:eastAsia="宋体" w:cs="Arial"/>
          <w:color w:val="C00000"/>
        </w:rPr>
        <w:t>https://aspe.hhs.gov/sites/default/files/pdf/76331/index.pdf</w:t>
      </w:r>
      <w:r>
        <w:rPr>
          <w:rStyle w:val="13"/>
          <w:rFonts w:ascii="Arial" w:hAnsi="Arial" w:eastAsia="宋体" w:cs="Arial"/>
          <w:color w:val="C00000"/>
        </w:rPr>
        <w:fldChar w:fldCharType="end"/>
      </w:r>
      <w:r>
        <w:rPr>
          <w:rFonts w:ascii="Arial" w:hAnsi="Arial" w:eastAsia="宋体" w:cs="Arial"/>
        </w:rPr>
        <w:t>。</w:t>
      </w:r>
    </w:p>
  </w:footnote>
  <w:footnote w:id="4">
    <w:p w14:paraId="548178A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FDA安全和创新法案（FDASIA），公法112-144（2012年7月9日），见于</w:t>
      </w:r>
      <w:r>
        <w:fldChar w:fldCharType="begin"/>
      </w:r>
      <w:r>
        <w:instrText xml:space="preserve"> HYPERLINK "https://www.congress.gov/bill/112th-congress/senate-bill/3187" </w:instrText>
      </w:r>
      <w:r>
        <w:fldChar w:fldCharType="separate"/>
      </w:r>
      <w:r>
        <w:rPr>
          <w:rStyle w:val="13"/>
          <w:rFonts w:ascii="Arial" w:hAnsi="Arial" w:eastAsia="宋体" w:cs="Arial"/>
          <w:color w:val="0000FF"/>
        </w:rPr>
        <w:t>https://www.congress.gov/bill/112th-congress/senate-bill/3187</w:t>
      </w:r>
      <w:r>
        <w:rPr>
          <w:rStyle w:val="13"/>
          <w:rFonts w:ascii="Arial" w:hAnsi="Arial" w:eastAsia="宋体" w:cs="Arial"/>
          <w:color w:val="0000FF"/>
        </w:rPr>
        <w:fldChar w:fldCharType="end"/>
      </w:r>
      <w:r>
        <w:rPr>
          <w:rFonts w:ascii="Arial" w:hAnsi="Arial" w:eastAsia="宋体" w:cs="Arial"/>
        </w:rPr>
        <w:t>。</w:t>
      </w:r>
    </w:p>
  </w:footnote>
  <w:footnote w:id="5">
    <w:p w14:paraId="773819DA">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FDA关于促进人群亚组数据收集和可用性的行动计划（2014年8月），见于</w:t>
      </w:r>
      <w:r>
        <w:fldChar w:fldCharType="begin"/>
      </w:r>
      <w:r>
        <w:instrText xml:space="preserve"> HYPERLINK "http://www.fda.gov/downloads/RegulatoryInformation/Lefislation/SignificantAmendmentstotheFDCAct/FDASIA/UCM410474.pdf" </w:instrText>
      </w:r>
      <w:r>
        <w:fldChar w:fldCharType="separate"/>
      </w:r>
      <w:r>
        <w:rPr>
          <w:rStyle w:val="13"/>
          <w:rFonts w:ascii="Arial" w:hAnsi="Arial" w:eastAsia="宋体" w:cs="Arial"/>
          <w:color w:val="0000FF"/>
        </w:rPr>
        <w:t>http://www.fda.gov/downloads/RegulatoryInformation/Lefislation/SignificantAmendmentstotheFDCAct/FDASIA/UCM410474.pdf</w:t>
      </w:r>
      <w:r>
        <w:rPr>
          <w:rStyle w:val="13"/>
          <w:rFonts w:ascii="Arial" w:hAnsi="Arial" w:eastAsia="宋体" w:cs="Arial"/>
          <w:color w:val="0000FF"/>
        </w:rPr>
        <w:fldChar w:fldCharType="end"/>
      </w:r>
      <w:r>
        <w:rPr>
          <w:rFonts w:ascii="Arial" w:hAnsi="Arial" w:eastAsia="宋体" w:cs="Arial"/>
        </w:rPr>
        <w:t>。</w:t>
      </w:r>
    </w:p>
  </w:footnote>
  <w:footnote w:id="6">
    <w:p w14:paraId="6DE12ACE">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CDISC标准化研究数据表格模型（SDTM）、分析数据模型（ADaM）、操作数据模型（ODM），</w:t>
      </w:r>
      <w:r>
        <w:fldChar w:fldCharType="begin"/>
      </w:r>
      <w:r>
        <w:instrText xml:space="preserve"> HYPERLINK "http://www.cdisc.org/system/files/members/standard/study_data_tabulation_model_v1_4.pdf" </w:instrText>
      </w:r>
      <w:r>
        <w:fldChar w:fldCharType="separate"/>
      </w:r>
      <w:r>
        <w:rPr>
          <w:rStyle w:val="13"/>
          <w:rFonts w:ascii="Arial" w:hAnsi="Arial" w:eastAsia="宋体" w:cs="Arial"/>
          <w:color w:val="0000FF"/>
        </w:rPr>
        <w:t>http://www.cdisc.org/system/files/members/standard/study_data_tabulation_model_v1_4.pdf</w:t>
      </w:r>
      <w:r>
        <w:rPr>
          <w:rStyle w:val="13"/>
          <w:rFonts w:ascii="Arial" w:hAnsi="Arial" w:eastAsia="宋体" w:cs="Arial"/>
          <w:color w:val="0000FF"/>
        </w:rPr>
        <w:fldChar w:fldCharType="end"/>
      </w:r>
      <w:r>
        <w:rPr>
          <w:rFonts w:ascii="Arial" w:hAnsi="Arial" w:eastAsia="宋体" w:cs="Arial"/>
        </w:rPr>
        <w:t>。</w:t>
      </w:r>
    </w:p>
  </w:footnote>
  <w:footnote w:id="7">
    <w:p w14:paraId="532274F6">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3" w:name="OLE_LINK14"/>
      <w:bookmarkStart w:id="64" w:name="OLE_LINK40"/>
      <w:r>
        <w:rPr>
          <w:rFonts w:ascii="Arial" w:hAnsi="Arial" w:eastAsia="宋体" w:cs="Arial"/>
        </w:rPr>
        <w:t>提交电子版监管数据——</w:t>
      </w:r>
      <w:bookmarkEnd w:id="63"/>
      <w:r>
        <w:rPr>
          <w:rFonts w:ascii="Arial" w:hAnsi="Arial" w:eastAsia="宋体" w:cs="Arial"/>
        </w:rPr>
        <w:t>人用药品产品应用和使用eCTD规范进行相关提交：行业指南（2015年5月）</w:t>
      </w:r>
      <w:bookmarkEnd w:id="64"/>
      <w:r>
        <w:rPr>
          <w:rFonts w:ascii="Arial" w:hAnsi="Arial" w:eastAsia="宋体" w:cs="Arial"/>
        </w:rPr>
        <w:t>，见于</w:t>
      </w:r>
      <w:r>
        <w:fldChar w:fldCharType="begin"/>
      </w:r>
      <w:r>
        <w:instrText xml:space="preserve"> HYPERLINK "http://www.fda.gov/Drugs/DevelopmentApprovalProcess/FormsSubmissionRequirements/ElectronicSubmissions/ucm153574.htm" </w:instrText>
      </w:r>
      <w:r>
        <w:fldChar w:fldCharType="separate"/>
      </w:r>
      <w:r>
        <w:rPr>
          <w:rStyle w:val="13"/>
          <w:rFonts w:ascii="Arial" w:hAnsi="Arial" w:eastAsia="宋体" w:cs="Arial"/>
          <w:color w:val="0000FF"/>
        </w:rPr>
        <w:t>http://www.fda.gov/Drugs/DevelopmentApprovalProcess/FormsSubmissionRequirements/ElectronicSubmissions/ucm153574.htm</w:t>
      </w:r>
      <w:r>
        <w:rPr>
          <w:rStyle w:val="13"/>
          <w:rFonts w:ascii="Arial" w:hAnsi="Arial" w:eastAsia="宋体" w:cs="Arial"/>
          <w:color w:val="0000FF"/>
        </w:rPr>
        <w:fldChar w:fldCharType="end"/>
      </w:r>
      <w:r>
        <w:rPr>
          <w:rFonts w:ascii="Arial" w:hAnsi="Arial" w:eastAsia="宋体" w:cs="Arial"/>
        </w:rPr>
        <w:t>。</w:t>
      </w:r>
    </w:p>
  </w:footnote>
  <w:footnote w:id="8">
    <w:p w14:paraId="0982AE0A">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提交电子版监管数据——标准化研究数据：行业指南（2014年12月），见于</w:t>
      </w:r>
      <w:r>
        <w:fldChar w:fldCharType="begin"/>
      </w:r>
      <w:r>
        <w:instrText xml:space="preserve"> HYPERLINK "http://www.fda.gov/downloads/Drugs/.../Guidances/UCM292334.pdf" </w:instrText>
      </w:r>
      <w:r>
        <w:fldChar w:fldCharType="separate"/>
      </w:r>
      <w:r>
        <w:rPr>
          <w:rStyle w:val="13"/>
          <w:rFonts w:ascii="Arial" w:hAnsi="Arial" w:eastAsia="宋体" w:cs="Arial"/>
          <w:color w:val="0000FF"/>
        </w:rPr>
        <w:t>http://www.fda.gov/downloads/Drugs/.../Guidances/UCM292334.pdf</w:t>
      </w:r>
      <w:r>
        <w:rPr>
          <w:rStyle w:val="13"/>
          <w:rFonts w:ascii="Arial" w:hAnsi="Arial" w:eastAsia="宋体" w:cs="Arial"/>
          <w:color w:val="0000FF"/>
        </w:rPr>
        <w:fldChar w:fldCharType="end"/>
      </w:r>
      <w:r>
        <w:rPr>
          <w:rFonts w:ascii="Arial" w:hAnsi="Arial" w:eastAsia="宋体" w:cs="Arial"/>
        </w:rPr>
        <w:t>。</w:t>
      </w:r>
    </w:p>
  </w:footnote>
  <w:footnote w:id="9">
    <w:p w14:paraId="646421EF">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63 FR 6854（1998年2月11日）（编于21 CFR 312.33(a)(2)和21 CFR 314.50(d)(5)），</w:t>
      </w:r>
      <w:r>
        <w:fldChar w:fldCharType="begin"/>
      </w:r>
      <w:r>
        <w:instrText xml:space="preserve"> HYPERLINK "https://www.gpo.gov/fdsys/pkg/FR-1998-02-11/pdf/98-3422.pdf" </w:instrText>
      </w:r>
      <w:r>
        <w:fldChar w:fldCharType="separate"/>
      </w:r>
      <w:r>
        <w:rPr>
          <w:rStyle w:val="13"/>
          <w:rFonts w:ascii="Arial" w:hAnsi="Arial" w:eastAsia="宋体" w:cs="Arial"/>
          <w:color w:val="0000FF"/>
        </w:rPr>
        <w:t>https://www.gpo.gov/fdsys/pkg/FR-1998-02-11/pdf/98-3422.pdf</w:t>
      </w:r>
      <w:r>
        <w:rPr>
          <w:rStyle w:val="13"/>
          <w:rFonts w:ascii="Arial" w:hAnsi="Arial" w:eastAsia="宋体" w:cs="Arial"/>
          <w:color w:val="0000FF"/>
        </w:rPr>
        <w:fldChar w:fldCharType="end"/>
      </w:r>
      <w:r>
        <w:rPr>
          <w:rFonts w:ascii="Arial" w:hAnsi="Arial" w:eastAsia="宋体" w:cs="Arial"/>
        </w:rPr>
        <w:t>。</w:t>
      </w:r>
    </w:p>
  </w:footnote>
  <w:footnote w:id="10">
    <w:p w14:paraId="7D96A3B9">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在临床数据中收集种族和族群数据（2005年9月），</w:t>
      </w:r>
      <w:r>
        <w:rPr>
          <w:rFonts w:ascii="Arial" w:hAnsi="Arial" w:eastAsia="宋体" w:cs="Arial"/>
          <w:color w:val="0000FF"/>
          <w:u w:val="single"/>
        </w:rPr>
        <w:t>http://www.fda.gov/downloads/RegulatoryInformation/Guidances/ucm126396.pdf</w:t>
      </w:r>
    </w:p>
  </w:footnote>
  <w:footnote w:id="11">
    <w:p w14:paraId="73DCCEDE">
      <w:pPr>
        <w:pStyle w:val="8"/>
        <w:spacing w:line="264" w:lineRule="auto"/>
        <w:jc w:val="both"/>
        <w:rPr>
          <w:rFonts w:ascii="Arial" w:hAnsi="Arial" w:eastAsia="宋体" w:cs="Arial"/>
        </w:rPr>
      </w:pPr>
      <w:r>
        <w:rPr>
          <w:rStyle w:val="14"/>
          <w:rFonts w:ascii="Arial" w:hAnsi="Arial" w:eastAsia="宋体" w:cs="Arial"/>
        </w:rPr>
        <w:footnoteRef/>
      </w:r>
      <w:r>
        <w:rPr>
          <w:rFonts w:ascii="Arial" w:hAnsi="Arial" w:eastAsia="宋体" w:cs="Arial"/>
        </w:rPr>
        <w:t xml:space="preserve"> 在某些FDA文件中，术语生物性别和社会性别可以混用。但根据2001年美国国立卫生院达成的共识报告（美国国立卫生院，生物性别和社会性别的生物学差异理解委员会。</w:t>
      </w:r>
      <w:r>
        <w:rPr>
          <w:rFonts w:ascii="Arial" w:hAnsi="Arial" w:eastAsia="宋体" w:cs="Arial"/>
          <w:color w:val="0000FF"/>
          <w:u w:val="single"/>
        </w:rPr>
        <w:t>探索生物学对人类健康的贡献：性别</w:t>
      </w:r>
      <w:r>
        <w:rPr>
          <w:rFonts w:hint="eastAsia" w:ascii="Arial" w:hAnsi="Arial" w:eastAsia="宋体" w:cs="Arial"/>
          <w:color w:val="0000FF"/>
          <w:u w:val="single"/>
        </w:rPr>
        <w:t>是否</w:t>
      </w:r>
      <w:r>
        <w:rPr>
          <w:rFonts w:ascii="Arial" w:hAnsi="Arial" w:eastAsia="宋体" w:cs="Arial"/>
          <w:color w:val="0000FF"/>
          <w:u w:val="single"/>
        </w:rPr>
        <w:t>重要？</w:t>
      </w:r>
      <w:r>
        <w:rPr>
          <w:rFonts w:ascii="Arial" w:hAnsi="Arial" w:eastAsia="宋体" w:cs="Arial"/>
        </w:rPr>
        <w:t>，国家科学院，2011），上述两个数据有根本性区别，应当始终如一地用于描述研究结论。Sex（生物性别）是对生命体的分类，通常根据染色体组决定的生殖器官和功能，将生命体分为男性和女性。而社会性别指的是个体对于男性或女性的自我表征，或社会机构根据个体的性别表征对个体的回应。社会性别源于生物学，但经过环境和经验的塑造。由于在本政策文件中引用了不同的法律法规，因此“生物性别”和“社会性别”会根据引用的不同原材料来使用。</w:t>
      </w:r>
    </w:p>
  </w:footnote>
  <w:footnote w:id="12">
    <w:p w14:paraId="1DB3D967">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21 CFR § 312.33(a)(2)（2015年4月1日），也见于21 CFR § 314.50(d)(5)(v)和(vi)(a)关于NDA中提交人口学数据的部分，见于</w:t>
      </w:r>
      <w:r>
        <w:fldChar w:fldCharType="begin"/>
      </w:r>
      <w:r>
        <w:instrText xml:space="preserve"> HYPERLINK "http://www.ecfr.gov/cgi-bin/textidx?SID=41aa69ac1cd29cf7eb1c3b24d764f310&amp;mc=true&amp;node=se21.5.314_150&amp;rgn=div8" </w:instrText>
      </w:r>
      <w:r>
        <w:fldChar w:fldCharType="separate"/>
      </w:r>
      <w:r>
        <w:rPr>
          <w:rStyle w:val="13"/>
          <w:rFonts w:ascii="Arial" w:hAnsi="Arial" w:eastAsia="宋体" w:cs="Arial"/>
          <w:color w:val="0000FF"/>
        </w:rPr>
        <w:t>http://www.ecfr.gov/cgi-bin/textidx?SID=41aa69ac1cd29cf7eb1c3b24d764f310&amp;mc=true&amp;node=se21.5.314_150&amp;rgn=div8</w:t>
      </w:r>
      <w:r>
        <w:rPr>
          <w:rStyle w:val="13"/>
          <w:rFonts w:ascii="Arial" w:hAnsi="Arial" w:eastAsia="宋体" w:cs="Arial"/>
          <w:color w:val="0000FF"/>
        </w:rPr>
        <w:fldChar w:fldCharType="end"/>
      </w:r>
      <w:r>
        <w:rPr>
          <w:rFonts w:ascii="Arial" w:hAnsi="Arial" w:eastAsia="宋体" w:cs="Arial"/>
        </w:rPr>
        <w:t>。</w:t>
      </w:r>
    </w:p>
  </w:footnote>
  <w:footnote w:id="13">
    <w:p w14:paraId="315B7717">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5" w:name="OLE_LINK31"/>
      <w:bookmarkStart w:id="66" w:name="OLE_LINK30"/>
      <w:r>
        <w:rPr>
          <w:rFonts w:ascii="Arial" w:hAnsi="Arial" w:eastAsia="宋体" w:cs="Arial"/>
        </w:rPr>
        <w:t>指南草案：在医疗器械临床研究中评估和报告年龄、种族和族群数据</w:t>
      </w:r>
      <w:bookmarkEnd w:id="65"/>
      <w:bookmarkEnd w:id="66"/>
      <w:r>
        <w:rPr>
          <w:rFonts w:ascii="Arial" w:hAnsi="Arial" w:eastAsia="宋体" w:cs="Arial"/>
        </w:rPr>
        <w:t>（2016年6月），见于</w:t>
      </w:r>
      <w:r>
        <w:fldChar w:fldCharType="begin"/>
      </w:r>
      <w:r>
        <w:instrText xml:space="preserve"> HYPERLINK "http://www.fda.gov/downloads/MedicalDevices/DeviceRegulationandGuidance/GuidanceDocuments/UCM507278.pdf" </w:instrText>
      </w:r>
      <w:r>
        <w:fldChar w:fldCharType="separate"/>
      </w:r>
      <w:r>
        <w:rPr>
          <w:rStyle w:val="13"/>
          <w:rFonts w:ascii="Arial" w:hAnsi="Arial" w:eastAsia="宋体" w:cs="Arial"/>
          <w:color w:val="0000FF"/>
        </w:rPr>
        <w:t>http://www.fda.gov/downloads/MedicalDevices/DeviceRegulationandGuidance/GuidanceDocuments/UCM507278.pdf</w:t>
      </w:r>
      <w:r>
        <w:rPr>
          <w:rStyle w:val="13"/>
          <w:rFonts w:ascii="Arial" w:hAnsi="Arial" w:eastAsia="宋体" w:cs="Arial"/>
          <w:color w:val="0000FF"/>
        </w:rPr>
        <w:fldChar w:fldCharType="end"/>
      </w:r>
      <w:r>
        <w:rPr>
          <w:rFonts w:ascii="Arial" w:hAnsi="Arial" w:eastAsia="宋体" w:cs="Arial"/>
        </w:rPr>
        <w:t>。纳入指南草案仅为了文件的完整性。作为指南草案，其在最终版本发布前不会正式施行。</w:t>
      </w:r>
    </w:p>
  </w:footnote>
  <w:footnote w:id="14">
    <w:p w14:paraId="6FC23868">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器械和放射卫生中心，</w:t>
      </w:r>
      <w:r>
        <w:fldChar w:fldCharType="begin"/>
      </w:r>
      <w:r>
        <w:instrText xml:space="preserve"> HYPERLINK "http://www.fda.gov/AboutFDA/CentersOffices/OrganizationCharts/ucm347835.htm" </w:instrText>
      </w:r>
      <w:r>
        <w:fldChar w:fldCharType="separate"/>
      </w:r>
      <w:r>
        <w:rPr>
          <w:rStyle w:val="13"/>
          <w:rFonts w:ascii="Arial" w:hAnsi="Arial" w:eastAsia="宋体" w:cs="Arial"/>
          <w:color w:val="0000FF"/>
        </w:rPr>
        <w:t>http://www.fda.gov/AboutFDA/CentersOffices/OrganizationCharts/ucm347835.htm</w:t>
      </w:r>
      <w:r>
        <w:rPr>
          <w:rStyle w:val="13"/>
          <w:rFonts w:ascii="Arial" w:hAnsi="Arial" w:eastAsia="宋体" w:cs="Arial"/>
          <w:color w:val="0000FF"/>
        </w:rPr>
        <w:fldChar w:fldCharType="end"/>
      </w:r>
      <w:r>
        <w:rPr>
          <w:rFonts w:ascii="Arial" w:hAnsi="Arial" w:eastAsia="宋体" w:cs="Arial"/>
        </w:rPr>
        <w:t>。</w:t>
      </w:r>
    </w:p>
  </w:footnote>
  <w:footnote w:id="15">
    <w:p w14:paraId="2A8CE42A">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CBER办公室和分部，</w:t>
      </w:r>
      <w:r>
        <w:fldChar w:fldCharType="begin"/>
      </w:r>
      <w:r>
        <w:instrText xml:space="preserve"> HYPERLINK "http://www.fda.gov/AboutFDA/CentersOffices/OfficeofMedicalProductsandTobacco/CBER/ucm122875.htm" </w:instrText>
      </w:r>
      <w:r>
        <w:fldChar w:fldCharType="separate"/>
      </w:r>
      <w:r>
        <w:rPr>
          <w:rStyle w:val="13"/>
          <w:rFonts w:ascii="Arial" w:hAnsi="Arial" w:eastAsia="宋体" w:cs="Arial"/>
          <w:color w:val="0000FF"/>
        </w:rPr>
        <w:t>http://www.fda.gov/AboutFDA/CentersOffices/OfficeofMedicalProductsandTobacco/CBER/ucm122875.htm</w:t>
      </w:r>
      <w:r>
        <w:rPr>
          <w:rStyle w:val="13"/>
          <w:rFonts w:ascii="Arial" w:hAnsi="Arial" w:eastAsia="宋体" w:cs="Arial"/>
          <w:color w:val="0000FF"/>
        </w:rPr>
        <w:fldChar w:fldCharType="end"/>
      </w:r>
      <w:r>
        <w:rPr>
          <w:rFonts w:ascii="Arial" w:hAnsi="Arial" w:eastAsia="宋体" w:cs="Arial"/>
        </w:rPr>
        <w:t>。</w:t>
      </w:r>
    </w:p>
  </w:footnote>
  <w:footnote w:id="16">
    <w:p w14:paraId="7C40A330">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CDER办公室和分部，</w:t>
      </w:r>
      <w:r>
        <w:fldChar w:fldCharType="begin"/>
      </w:r>
      <w:r>
        <w:instrText xml:space="preserve"> HYPERLINK "http://www.fda.gov/AboutFDA/CentersOffices/OfficeofMedicalProductsandTobacco/CDER/ucm075128.htm" </w:instrText>
      </w:r>
      <w:r>
        <w:fldChar w:fldCharType="separate"/>
      </w:r>
      <w:r>
        <w:rPr>
          <w:rStyle w:val="13"/>
          <w:rFonts w:ascii="Arial" w:hAnsi="Arial" w:eastAsia="宋体" w:cs="Arial"/>
          <w:color w:val="0000FF"/>
        </w:rPr>
        <w:t>http://www.fda.gov/AboutFDA/CentersOffices/OfficeofMedicalProductsandTobacco/CDER/ucm075128.htm</w:t>
      </w:r>
      <w:r>
        <w:rPr>
          <w:rStyle w:val="13"/>
          <w:rFonts w:ascii="Arial" w:hAnsi="Arial" w:eastAsia="宋体" w:cs="Arial"/>
          <w:color w:val="0000FF"/>
        </w:rPr>
        <w:fldChar w:fldCharType="end"/>
      </w:r>
      <w:r>
        <w:rPr>
          <w:rFonts w:ascii="Arial" w:hAnsi="Arial" w:eastAsia="宋体" w:cs="Arial"/>
        </w:rPr>
        <w:t>。</w:t>
      </w:r>
    </w:p>
  </w:footnote>
  <w:footnote w:id="17">
    <w:p w14:paraId="658E701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公开听证会通知：FDA监管范围内医疗产品批准申请过程中人群亚组数据的收集、分析、和可用性行动计划，79 FR 42，12134（2014年3月4日），见于</w:t>
      </w:r>
      <w:r>
        <w:fldChar w:fldCharType="begin"/>
      </w:r>
      <w:r>
        <w:instrText xml:space="preserve"> HYPERLINK "https://www.federalregister.gov/articles/2014/03/04/2014-04625/action-plan-for-the-collection-analysis-and-availability-of-demographic-subgroup-data-in" </w:instrText>
      </w:r>
      <w:r>
        <w:fldChar w:fldCharType="separate"/>
      </w:r>
      <w:r>
        <w:rPr>
          <w:rStyle w:val="13"/>
          <w:rFonts w:ascii="Arial" w:hAnsi="Arial" w:eastAsia="宋体" w:cs="Arial"/>
          <w:color w:val="0000FF"/>
        </w:rPr>
        <w:t>https://www.federalregister.gov/articles/2014/03/04/2014-04625/action-plan-for-the-collection-analysis-and-availability-of-demographic-subgroup-data-in</w:t>
      </w:r>
      <w:r>
        <w:rPr>
          <w:rStyle w:val="13"/>
          <w:rFonts w:ascii="Arial" w:hAnsi="Arial" w:eastAsia="宋体" w:cs="Arial"/>
          <w:color w:val="0000FF"/>
        </w:rPr>
        <w:fldChar w:fldCharType="end"/>
      </w:r>
      <w:r>
        <w:rPr>
          <w:rFonts w:ascii="Arial" w:hAnsi="Arial" w:eastAsia="宋体" w:cs="Arial"/>
        </w:rPr>
        <w:t>。</w:t>
      </w:r>
    </w:p>
  </w:footnote>
  <w:footnote w:id="18">
    <w:p w14:paraId="4B84340E">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r>
        <w:fldChar w:fldCharType="begin"/>
      </w:r>
      <w:r>
        <w:instrText xml:space="preserve"> HYPERLINK "http://www.fda.gov/downloads/RegulatoryInformation/Legislation/SignificantAmendmentstotheFDCAct/FDASIA/UCM397391.pdf。（2014年4月1" </w:instrText>
      </w:r>
      <w:r>
        <w:fldChar w:fldCharType="separate"/>
      </w:r>
      <w:r>
        <w:rPr>
          <w:rStyle w:val="13"/>
          <w:rFonts w:ascii="Arial" w:hAnsi="Arial" w:eastAsia="宋体" w:cs="Arial"/>
          <w:color w:val="0000FF"/>
        </w:rPr>
        <w:t>http://www.fda.gov/downloads/RegulatoryInformation/Legislation/SignificantAmendmentstotheFDCAct/FDASIA/UCM397391.pdf</w:t>
      </w:r>
      <w:r>
        <w:rPr>
          <w:rStyle w:val="13"/>
          <w:rFonts w:ascii="Arial" w:hAnsi="Arial" w:eastAsia="宋体" w:cs="Arial"/>
          <w:color w:val="000000" w:themeColor="text1"/>
          <w:u w:val="none"/>
          <w14:textFill>
            <w14:solidFill>
              <w14:schemeClr w14:val="tx1"/>
            </w14:solidFill>
          </w14:textFill>
        </w:rPr>
        <w:t>。（2014年4月1</w:t>
      </w:r>
      <w:r>
        <w:rPr>
          <w:rStyle w:val="13"/>
          <w:rFonts w:ascii="Arial" w:hAnsi="Arial" w:eastAsia="宋体" w:cs="Arial"/>
          <w:color w:val="000000" w:themeColor="text1"/>
          <w:u w:val="none"/>
          <w14:textFill>
            <w14:solidFill>
              <w14:schemeClr w14:val="tx1"/>
            </w14:solidFill>
          </w14:textFill>
        </w:rPr>
        <w:fldChar w:fldCharType="end"/>
      </w:r>
      <w:r>
        <w:rPr>
          <w:rFonts w:ascii="Arial" w:hAnsi="Arial" w:eastAsia="宋体" w:cs="Arial"/>
        </w:rPr>
        <w:t>日）</w:t>
      </w:r>
    </w:p>
  </w:footnote>
  <w:footnote w:id="19">
    <w:p w14:paraId="29669DB8">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卫生院工作坊：确保临床试验参与者的多样性、包容性和有效性的策略（2015年4月9日），见于</w:t>
      </w:r>
      <w:r>
        <w:fldChar w:fldCharType="begin"/>
      </w:r>
      <w:r>
        <w:instrText xml:space="preserve"> HYPERLINK "http://www.nationalacademies.org/hmd/Activities/SelectPops/HealthDisparities/2015-APR-09.aspx" </w:instrText>
      </w:r>
      <w:r>
        <w:fldChar w:fldCharType="separate"/>
      </w:r>
      <w:r>
        <w:rPr>
          <w:rStyle w:val="13"/>
          <w:rFonts w:ascii="Arial" w:hAnsi="Arial" w:eastAsia="宋体" w:cs="Arial"/>
          <w:color w:val="0000FF"/>
        </w:rPr>
        <w:t>http://www.nationalacademies.org/hmd/Activities/SelectPops/HealthDisparities/2015-APR-09.aspx</w:t>
      </w:r>
      <w:r>
        <w:rPr>
          <w:rStyle w:val="13"/>
          <w:rFonts w:ascii="Arial" w:hAnsi="Arial" w:eastAsia="宋体" w:cs="Arial"/>
          <w:color w:val="0000FF"/>
        </w:rPr>
        <w:fldChar w:fldCharType="end"/>
      </w:r>
      <w:r>
        <w:rPr>
          <w:rFonts w:ascii="Arial" w:hAnsi="Arial" w:eastAsia="宋体" w:cs="Arial"/>
        </w:rPr>
        <w:t>。</w:t>
      </w:r>
    </w:p>
  </w:footnote>
  <w:footnote w:id="20">
    <w:p w14:paraId="455D83CC">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FDA公开会议：临床试验——评估多样化人群的安全性和有效性，80 FR 210, 66909（2015年10月30日），见于</w:t>
      </w:r>
      <w:r>
        <w:fldChar w:fldCharType="begin"/>
      </w:r>
      <w:r>
        <w:instrText xml:space="preserve"> HYPERLINK "https://www.federalregister.gov/articles/2015/10/30/2015-27728/clinical-trials-assessing-safety-and-efficacy-for-diverse-populations-public-meeting-request-for" </w:instrText>
      </w:r>
      <w:r>
        <w:fldChar w:fldCharType="separate"/>
      </w:r>
      <w:r>
        <w:rPr>
          <w:rStyle w:val="13"/>
          <w:rFonts w:ascii="Arial" w:hAnsi="Arial" w:eastAsia="宋体" w:cs="Arial"/>
          <w:color w:val="0000FF"/>
        </w:rPr>
        <w:t>https://www.federalregister.gov/articles/2015/10/30/2015-27728/clinical-trials-assessing-safety-and-efficacy-for-diverse-populations-public-meeting-request-for</w:t>
      </w:r>
      <w:r>
        <w:rPr>
          <w:rStyle w:val="13"/>
          <w:rFonts w:ascii="Arial" w:hAnsi="Arial" w:eastAsia="宋体" w:cs="Arial"/>
          <w:color w:val="0000FF"/>
        </w:rPr>
        <w:fldChar w:fldCharType="end"/>
      </w:r>
      <w:r>
        <w:rPr>
          <w:rFonts w:ascii="Arial" w:hAnsi="Arial" w:eastAsia="宋体" w:cs="Arial"/>
        </w:rPr>
        <w:t>。</w:t>
      </w:r>
    </w:p>
  </w:footnote>
  <w:footnote w:id="21">
    <w:p w14:paraId="0DC88EF8">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7" w:name="OLE_LINK32"/>
      <w:bookmarkStart w:id="68" w:name="OLE_LINK33"/>
      <w:r>
        <w:rPr>
          <w:rFonts w:ascii="Arial" w:hAnsi="Arial" w:eastAsia="宋体" w:cs="Arial"/>
        </w:rPr>
        <w:t>在HHS中推动</w:t>
      </w:r>
      <w:r>
        <w:rPr>
          <w:rFonts w:hint="eastAsia" w:ascii="Arial" w:hAnsi="Arial" w:eastAsia="宋体" w:cs="Arial"/>
        </w:rPr>
        <w:t>民族和种族</w:t>
      </w:r>
      <w:r>
        <w:rPr>
          <w:rFonts w:ascii="Arial" w:hAnsi="Arial" w:eastAsia="宋体" w:cs="Arial"/>
        </w:rPr>
        <w:t>数据的收集和使用（1999年12月1日），见于</w:t>
      </w:r>
      <w:bookmarkEnd w:id="67"/>
      <w:bookmarkEnd w:id="68"/>
      <w:r>
        <w:fldChar w:fldCharType="begin"/>
      </w:r>
      <w:r>
        <w:rPr>
          <w:rFonts w:ascii="Arial" w:hAnsi="Arial" w:cs="Arial"/>
          <w:color w:val="0000FF"/>
        </w:rPr>
        <w:instrText xml:space="preserve"> HYPERLINK "https://aspe.hhs.gov/report/improving-collection-and-use-racial-and-ethnic-data-hhs" </w:instrText>
      </w:r>
      <w:r>
        <w:fldChar w:fldCharType="separate"/>
      </w:r>
      <w:r>
        <w:rPr>
          <w:rStyle w:val="13"/>
          <w:rFonts w:ascii="Arial" w:hAnsi="Arial" w:eastAsia="宋体" w:cs="Arial"/>
          <w:color w:val="0000FF"/>
        </w:rPr>
        <w:t>https://aspe.hhs.gov/report/improving-collection-and-use-racial-and-ethnic-data-hhs</w:t>
      </w:r>
      <w:r>
        <w:rPr>
          <w:rStyle w:val="13"/>
          <w:rFonts w:ascii="Arial" w:hAnsi="Arial" w:eastAsia="宋体" w:cs="Arial"/>
          <w:color w:val="0000FF"/>
        </w:rPr>
        <w:fldChar w:fldCharType="end"/>
      </w:r>
      <w:r>
        <w:rPr>
          <w:rFonts w:ascii="Arial" w:hAnsi="Arial" w:eastAsia="宋体" w:cs="Arial"/>
        </w:rPr>
        <w:t>。</w:t>
      </w:r>
    </w:p>
  </w:footnote>
  <w:footnote w:id="22">
    <w:p w14:paraId="156F3924">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2016年9月21日，HHS发布了临床试验注册和结果信息提交的最终规定（42 CFR第11部分）。在全面实施后，最终指令要求如果在试验中收集了种族和族群数据，则在总结结果信息中要提交该数据。见于</w:t>
      </w:r>
      <w:r>
        <w:fldChar w:fldCharType="begin"/>
      </w:r>
      <w:r>
        <w:instrText xml:space="preserve"> HYPERLINK "https://www.gpo.gov/fdsys/pkg/FR-2016-09-21/pdf/2016-22129.pdf" </w:instrText>
      </w:r>
      <w:r>
        <w:fldChar w:fldCharType="separate"/>
      </w:r>
      <w:r>
        <w:rPr>
          <w:rStyle w:val="13"/>
          <w:rFonts w:ascii="Arial" w:hAnsi="Arial" w:eastAsia="宋体" w:cs="Arial"/>
          <w:color w:val="0000FF"/>
        </w:rPr>
        <w:t>https://www.gpo.gov/fdsys/pkg/FR-2016-09-21/pdf/2016-22129.pdf</w:t>
      </w:r>
      <w:r>
        <w:rPr>
          <w:rStyle w:val="13"/>
          <w:rFonts w:ascii="Arial" w:hAnsi="Arial" w:eastAsia="宋体" w:cs="Arial"/>
          <w:color w:val="0000FF"/>
        </w:rPr>
        <w:fldChar w:fldCharType="end"/>
      </w:r>
      <w:r>
        <w:rPr>
          <w:rFonts w:ascii="Arial" w:hAnsi="Arial" w:eastAsia="宋体" w:cs="Arial"/>
        </w:rPr>
        <w:t>。</w:t>
      </w:r>
    </w:p>
  </w:footnote>
  <w:footnote w:id="23">
    <w:p w14:paraId="6577D225">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E5国外临床数据可用性中的族群因素指南，见于</w:t>
      </w:r>
      <w:r>
        <w:fldChar w:fldCharType="begin"/>
      </w:r>
      <w:r>
        <w:instrText xml:space="preserve"> HYPERLINK "http://www.ich.org/fileadmin/Public_Web_Site/ICH_Products/Guidelines/Efficacy/E5_R1/Step4/E5_R1__Guideline.pdf" </w:instrText>
      </w:r>
      <w:r>
        <w:fldChar w:fldCharType="separate"/>
      </w:r>
      <w:r>
        <w:rPr>
          <w:rStyle w:val="13"/>
          <w:rFonts w:ascii="Arial" w:hAnsi="Arial" w:eastAsia="宋体" w:cs="Arial"/>
          <w:color w:val="0000FF"/>
        </w:rPr>
        <w:t>http://www.ich.org/fileadmin/Public_Web_Site/ICH_Products/Guidelines/Efficacy/E5_R1/Step4/E5_R1__Guideline.pdf</w:t>
      </w:r>
      <w:r>
        <w:rPr>
          <w:rStyle w:val="13"/>
          <w:rFonts w:ascii="Arial" w:hAnsi="Arial" w:eastAsia="宋体" w:cs="Arial"/>
          <w:color w:val="0000FF"/>
        </w:rPr>
        <w:fldChar w:fldCharType="end"/>
      </w:r>
      <w:r>
        <w:rPr>
          <w:rFonts w:ascii="Arial" w:hAnsi="Arial" w:eastAsia="宋体" w:cs="Arial"/>
        </w:rPr>
        <w:t>。</w:t>
      </w:r>
    </w:p>
  </w:footnote>
  <w:footnote w:id="24">
    <w:p w14:paraId="4A477E3F">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w:t>
      </w:r>
      <w:bookmarkStart w:id="69" w:name="OLE_LINK28"/>
      <w:bookmarkStart w:id="70" w:name="OLE_LINK27"/>
      <w:r>
        <w:rPr>
          <w:rFonts w:ascii="Arial" w:hAnsi="Arial" w:eastAsia="宋体" w:cs="Arial"/>
        </w:rPr>
        <w:t>1993年NIH振兴法案，（(PL 103-43），（1993年6月10日），见于</w:t>
      </w:r>
      <w:bookmarkEnd w:id="69"/>
      <w:bookmarkEnd w:id="70"/>
      <w:r>
        <w:rPr>
          <w:rFonts w:ascii="Arial" w:hAnsi="Arial" w:eastAsia="宋体" w:cs="Arial"/>
        </w:rPr>
        <w:fldChar w:fldCharType="begin"/>
      </w:r>
      <w:r>
        <w:rPr>
          <w:rFonts w:ascii="Arial" w:hAnsi="Arial" w:eastAsia="宋体" w:cs="Arial"/>
        </w:rPr>
        <w:instrText xml:space="preserve"> HYPERLINK "https://grants.nih.gov/grants/olaw/pl103-43.pdf" </w:instrText>
      </w:r>
      <w:r>
        <w:rPr>
          <w:rFonts w:ascii="Arial" w:hAnsi="Arial" w:eastAsia="宋体" w:cs="Arial"/>
        </w:rPr>
        <w:fldChar w:fldCharType="separate"/>
      </w:r>
      <w:r>
        <w:rPr>
          <w:rStyle w:val="13"/>
          <w:rFonts w:ascii="Arial" w:hAnsi="Arial" w:eastAsia="宋体" w:cs="Arial"/>
        </w:rPr>
        <w:t>https://grants.nih.gov/grants/olaw/pl103-43.pdf</w:t>
      </w:r>
      <w:r>
        <w:rPr>
          <w:rFonts w:ascii="Arial" w:hAnsi="Arial" w:eastAsia="宋体" w:cs="Arial"/>
        </w:rPr>
        <w:fldChar w:fldCharType="end"/>
      </w:r>
      <w:r>
        <w:rPr>
          <w:rFonts w:ascii="Arial" w:hAnsi="Arial" w:eastAsia="宋体" w:cs="Arial"/>
        </w:rPr>
        <w:t>。</w:t>
      </w:r>
    </w:p>
  </w:footnote>
  <w:footnote w:id="25">
    <w:p w14:paraId="7AB7E40E">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1993年NIH振兴法案，（(PL 103-43），副标题B（1993年6月10日），见于</w:t>
      </w:r>
      <w:r>
        <w:fldChar w:fldCharType="begin"/>
      </w:r>
      <w:r>
        <w:instrText xml:space="preserve"> HYPERLINK "http://orwh.od.nih.gov/about/pdf/NIH-Revitalization-Act-1993.pdf" </w:instrText>
      </w:r>
      <w:r>
        <w:fldChar w:fldCharType="separate"/>
      </w:r>
      <w:r>
        <w:rPr>
          <w:rStyle w:val="13"/>
          <w:rFonts w:ascii="Arial" w:hAnsi="Arial" w:eastAsia="宋体" w:cs="Arial"/>
          <w:color w:val="0000FF"/>
        </w:rPr>
        <w:t>http://orwh.od.nih.gov/about/pdf/NIH-Revitalization-Act-1993.pdf</w:t>
      </w:r>
      <w:r>
        <w:rPr>
          <w:rStyle w:val="13"/>
          <w:rFonts w:ascii="Arial" w:hAnsi="Arial" w:eastAsia="宋体" w:cs="Arial"/>
          <w:color w:val="0000FF"/>
        </w:rPr>
        <w:fldChar w:fldCharType="end"/>
      </w:r>
      <w:r>
        <w:rPr>
          <w:rFonts w:ascii="Arial" w:hAnsi="Arial" w:eastAsia="宋体" w:cs="Arial"/>
        </w:rPr>
        <w:t>。</w:t>
      </w:r>
    </w:p>
  </w:footnote>
  <w:footnote w:id="26">
    <w:p w14:paraId="3B3B7E19">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NIH关于在临床研究中纳入妇女和少数族群的政策和指南（2001年10月），见于</w:t>
      </w:r>
      <w:r>
        <w:fldChar w:fldCharType="begin"/>
      </w:r>
      <w:r>
        <w:instrText xml:space="preserve"> HYPERLINK "https://grants.nih.gov/grants/funding/women_min/guidelines_amended_10_2001.htm" </w:instrText>
      </w:r>
      <w:r>
        <w:fldChar w:fldCharType="separate"/>
      </w:r>
      <w:r>
        <w:rPr>
          <w:rStyle w:val="13"/>
          <w:rFonts w:ascii="Arial" w:hAnsi="Arial" w:eastAsia="宋体" w:cs="Arial"/>
          <w:color w:val="0000FF"/>
        </w:rPr>
        <w:t>https://grants.nih.gov/grants/funding/women_min/guidelines_amended_10_2001.htm</w:t>
      </w:r>
      <w:r>
        <w:rPr>
          <w:rStyle w:val="13"/>
          <w:rFonts w:ascii="Arial" w:hAnsi="Arial" w:eastAsia="宋体" w:cs="Arial"/>
          <w:color w:val="0000FF"/>
        </w:rPr>
        <w:fldChar w:fldCharType="end"/>
      </w:r>
      <w:r>
        <w:rPr>
          <w:rFonts w:ascii="Arial" w:hAnsi="Arial" w:eastAsia="宋体" w:cs="Arial"/>
        </w:rPr>
        <w:t>。</w:t>
      </w:r>
    </w:p>
  </w:footnote>
  <w:footnote w:id="27">
    <w:p w14:paraId="6A96E029">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21 CFR § 312.33(a)(2)，见于</w:t>
      </w:r>
      <w:r>
        <w:fldChar w:fldCharType="begin"/>
      </w:r>
      <w:r>
        <w:instrText xml:space="preserve"> HYPERLINK "https://www.accessdata.fda.gov/scripts/cdrh/cfdocs/cfcfr/CFRSearch.cfm?fr=312.33" </w:instrText>
      </w:r>
      <w:r>
        <w:fldChar w:fldCharType="separate"/>
      </w:r>
      <w:r>
        <w:rPr>
          <w:rStyle w:val="13"/>
          <w:rFonts w:ascii="Arial" w:hAnsi="Arial" w:eastAsia="宋体" w:cs="Arial"/>
          <w:color w:val="0000FF"/>
        </w:rPr>
        <w:t>https://www.accessdata.fda.gov/scripts/cdrh/cfdocs/cfcfr/CFRSearch.cfm?fr=312.33</w:t>
      </w:r>
      <w:r>
        <w:rPr>
          <w:rStyle w:val="13"/>
          <w:rFonts w:ascii="Arial" w:hAnsi="Arial" w:eastAsia="宋体" w:cs="Arial"/>
          <w:color w:val="0000FF"/>
        </w:rPr>
        <w:fldChar w:fldCharType="end"/>
      </w:r>
      <w:r>
        <w:rPr>
          <w:rFonts w:ascii="Arial" w:hAnsi="Arial" w:eastAsia="宋体" w:cs="Arial"/>
        </w:rPr>
        <w:t>。</w:t>
      </w:r>
    </w:p>
  </w:footnote>
  <w:footnote w:id="28">
    <w:p w14:paraId="04991A2C">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21 CFR § 314.50(d)(5)(v)和(vi)(a)（2015年10月）。也可参照有效性综合总结行业指南，见于</w:t>
      </w:r>
      <w:r>
        <w:fldChar w:fldCharType="begin"/>
      </w:r>
      <w:r>
        <w:instrText xml:space="preserve"> HYPERLINK "http://www.fda.gov/downloads/drugs/guidancecomplianceregulatoryinformation/guidances/ucm079803.pdf" </w:instrText>
      </w:r>
      <w:r>
        <w:fldChar w:fldCharType="separate"/>
      </w:r>
      <w:r>
        <w:rPr>
          <w:rStyle w:val="13"/>
          <w:rFonts w:ascii="Arial" w:hAnsi="Arial" w:eastAsia="宋体" w:cs="Arial"/>
          <w:color w:val="0000FF"/>
        </w:rPr>
        <w:t>http://www.fda.gov/downloads/drugs/guidancecomplianceregulatoryinformation/guidances/ucm079803.pdf</w:t>
      </w:r>
      <w:r>
        <w:rPr>
          <w:rStyle w:val="13"/>
          <w:rFonts w:ascii="Arial" w:hAnsi="Arial" w:eastAsia="宋体" w:cs="Arial"/>
          <w:color w:val="0000FF"/>
        </w:rPr>
        <w:fldChar w:fldCharType="end"/>
      </w:r>
      <w:r>
        <w:rPr>
          <w:rFonts w:ascii="Arial" w:hAnsi="Arial" w:eastAsia="宋体" w:cs="Arial"/>
        </w:rPr>
        <w:t>。</w:t>
      </w:r>
    </w:p>
  </w:footnote>
  <w:footnote w:id="29">
    <w:p w14:paraId="68DF64B0">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根据21 CFR 314.101(d)(3)，如果NDA不完整，不包含21 CFR 314.50所要求的所有信息，则机构可能会拒绝签署NDA。因此，如果对于药品适用人群，包括恰当的人群亚组如性别、年龄和族群等的安全性和/或有效性评估不足，则机构可能会拒绝该申请。参见FDA的政策和流程手册，新药办公室，良好审查规范：拒绝文件（2013年10月10日），见于</w:t>
      </w:r>
      <w:r>
        <w:fldChar w:fldCharType="begin"/>
      </w:r>
      <w:r>
        <w:instrText xml:space="preserve"> HYPERLINK "http://www.fda.gov/downloads/AboutFDA/CentersOffices/OfficeofMedicalProductsandTobacco/CDER/ManualofPoliciesProcedures/UCM370948.pdf" </w:instrText>
      </w:r>
      <w:r>
        <w:fldChar w:fldCharType="separate"/>
      </w:r>
      <w:r>
        <w:rPr>
          <w:rStyle w:val="13"/>
          <w:rFonts w:ascii="Arial" w:hAnsi="Arial" w:eastAsia="宋体" w:cs="Arial"/>
          <w:color w:val="0000FF"/>
        </w:rPr>
        <w:t>http://www.fda.gov/downloads/AboutFDA/CentersOffices/OfficeofMedicalProductsandTobacco/CDER/ManualofPoliciesProcedures/UCM370948.pdf</w:t>
      </w:r>
      <w:r>
        <w:rPr>
          <w:rStyle w:val="13"/>
          <w:rFonts w:ascii="Arial" w:hAnsi="Arial" w:eastAsia="宋体" w:cs="Arial"/>
          <w:color w:val="0000FF"/>
        </w:rPr>
        <w:fldChar w:fldCharType="end"/>
      </w:r>
      <w:r>
        <w:rPr>
          <w:rFonts w:ascii="Arial" w:hAnsi="Arial" w:eastAsia="宋体" w:cs="Arial"/>
        </w:rPr>
        <w:t>。</w:t>
      </w:r>
    </w:p>
  </w:footnote>
  <w:footnote w:id="30">
    <w:p w14:paraId="1B5CA95C">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FDA报告，FDA批准的医疗产品人群亚组数据收集、分析和可用性（2013年8月），见于</w:t>
      </w:r>
      <w:r>
        <w:fldChar w:fldCharType="begin"/>
      </w:r>
      <w:r>
        <w:instrText xml:space="preserve"> HYPERLINK "http://www.fda.gov/downloads/RegulatoryInformation/Legislation/SignificantAmendmentstotheFDCAct/FDASIA/UCM365544.pdf" </w:instrText>
      </w:r>
      <w:r>
        <w:fldChar w:fldCharType="separate"/>
      </w:r>
      <w:r>
        <w:rPr>
          <w:rStyle w:val="13"/>
          <w:rFonts w:ascii="Arial" w:hAnsi="Arial" w:eastAsia="宋体" w:cs="Arial"/>
          <w:color w:val="0000FF"/>
        </w:rPr>
        <w:t>http://www.fda.gov/downloads/RegulatoryInformation/Legislation/SignificantAmendmentstotheFDCAct/FDASIA/UCM365544.pdf</w:t>
      </w:r>
      <w:r>
        <w:rPr>
          <w:rStyle w:val="13"/>
          <w:rFonts w:ascii="Arial" w:hAnsi="Arial" w:eastAsia="宋体" w:cs="Arial"/>
          <w:color w:val="0000FF"/>
        </w:rPr>
        <w:fldChar w:fldCharType="end"/>
      </w:r>
      <w:r>
        <w:rPr>
          <w:rFonts w:ascii="Arial" w:hAnsi="Arial" w:eastAsia="宋体" w:cs="Arial"/>
        </w:rPr>
        <w:t>。</w:t>
      </w:r>
    </w:p>
  </w:footnote>
  <w:footnote w:id="31">
    <w:p w14:paraId="29878736">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事实上，2005年6月，FDA批准了BiDil，为第一种由FDA批准用于治疗特定种族患者疾病的药物。该药物被批准用于治疗黑色人种的心力衰竭。申请人在一般人群中开展了两项试验，结果并没有出现效果，但BiDil在黑种人患者中存在效果。随后该公司在1050</w:t>
      </w:r>
      <w:r>
        <w:rPr>
          <w:rFonts w:hint="eastAsia" w:ascii="Arial" w:hAnsi="Arial" w:eastAsia="宋体" w:cs="Arial"/>
        </w:rPr>
        <w:t>例</w:t>
      </w:r>
      <w:r>
        <w:rPr>
          <w:rFonts w:ascii="Arial" w:hAnsi="Arial" w:eastAsia="宋体" w:cs="Arial"/>
        </w:rPr>
        <w:t>自我报告为黑种人的患者人群中进行了研究，结果显示该药物安全有效。</w:t>
      </w:r>
    </w:p>
  </w:footnote>
  <w:footnote w:id="32">
    <w:p w14:paraId="7253D1EE">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Huang SM &amp; Temple R, 2008, “Is this the drug or dose for you? Impact and consideration of ethnic factors in global drug development, regulatory review, and clinical practice,” Clin Pharmacol Ther, 84: 287-294</w:t>
      </w:r>
    </w:p>
  </w:footnote>
  <w:footnote w:id="33">
    <w:p w14:paraId="45BCB052">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Ramamoorthy A, Pacanowski MA, Bull, J, and Zhang L, 2015, "Racial/ethnic differences in drug disposition andresponse: review of recently approved drugs," Clin Pharmacol Ther, 97: 263-273</w:t>
      </w:r>
    </w:p>
  </w:footnote>
  <w:footnote w:id="34">
    <w:p w14:paraId="65EEEBB9">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Taylor S, 2002, “Skin of Color: Biology, Structure, Function, and Implications for Dermatologic Disease,” Journal of American Academy of Dermatology, 46: S41-62</w:t>
      </w:r>
    </w:p>
  </w:footnote>
  <w:footnote w:id="35">
    <w:p w14:paraId="5ADACAF7">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Yan, Guofen, et al., 2013, "The relationship of age, race, and ethnicity with survival in dialysis patients," Clinical Journal of the American Society of Nephrology, 8.6: 953-961.</w:t>
      </w:r>
    </w:p>
  </w:footnote>
  <w:footnote w:id="36">
    <w:p w14:paraId="4D627320">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Exner D, Dries D, Donamski M, and Cohn J, 2001, “Lesser Response to Angiotensin Converting-Enzyme Inhibitor Therapy in Black as Compared with White Patients With Left Ventricular Dysfunction,” N Engl J Med, 344: 1351-1357</w:t>
      </w:r>
    </w:p>
  </w:footnote>
  <w:footnote w:id="37">
    <w:p w14:paraId="3EEBB185">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Yancy C, Fowler M, Colucci W, Gilbert E, Bristow M, et al., 2001, “Race and the Response to Adrenergic Blockade with Carvedilol in Patients with Chronic Heart Failure,” N Engl J Med, 344: 1358-1365.</w:t>
      </w:r>
    </w:p>
  </w:footnote>
  <w:footnote w:id="38">
    <w:p w14:paraId="10F593C1">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本指南中用于描述不同种族和族群群体的术语均参考OMB。</w:t>
      </w:r>
    </w:p>
  </w:footnote>
  <w:footnote w:id="39">
    <w:p w14:paraId="5E63218B">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Xie H, Kim R, Wood A, and Stein C, 2001, “Molecular Basis of Ethnic Differences in Drug Disposition and Response,” Annu Rev Pharmacol Toxicol, 41: 815-850.</w:t>
      </w:r>
    </w:p>
  </w:footnote>
  <w:footnote w:id="40">
    <w:p w14:paraId="351ABF6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卡马西平上市后药品安全信息（2007年12月12日），见于</w:t>
      </w:r>
      <w:r>
        <w:fldChar w:fldCharType="begin"/>
      </w:r>
      <w:r>
        <w:instrText xml:space="preserve"> HYPERLINK "http://www.fda.gov/Drugs/DrugSafety/PostmarketDrugSafetyInformationforPatientsandProviders/ucm124718.htm" </w:instrText>
      </w:r>
      <w:r>
        <w:fldChar w:fldCharType="separate"/>
      </w:r>
      <w:r>
        <w:rPr>
          <w:rStyle w:val="13"/>
          <w:rFonts w:ascii="Arial" w:hAnsi="Arial" w:eastAsia="宋体" w:cs="Arial"/>
          <w:color w:val="0000FF"/>
        </w:rPr>
        <w:t>http://www.fda.gov/Drugs/DrugSafety/PostmarketDrugSafetyInformationforPatientsandProviders/ucm124718.htm</w:t>
      </w:r>
      <w:r>
        <w:rPr>
          <w:rStyle w:val="13"/>
          <w:rFonts w:ascii="Arial" w:hAnsi="Arial" w:eastAsia="宋体" w:cs="Arial"/>
          <w:color w:val="0000FF"/>
        </w:rPr>
        <w:fldChar w:fldCharType="end"/>
      </w:r>
      <w:r>
        <w:rPr>
          <w:rFonts w:ascii="Arial" w:hAnsi="Arial" w:eastAsia="宋体" w:cs="Arial"/>
        </w:rPr>
        <w:t>。</w:t>
      </w:r>
    </w:p>
  </w:footnote>
  <w:footnote w:id="41">
    <w:p w14:paraId="785FE050">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Chung, WH, Hung, SI, Hong, HS, Hsih, MS, Yang, LC, et al, 2004, “A Marker for Stevens-Johnson Syndrome,” Nature, 428: 486.</w:t>
      </w:r>
    </w:p>
  </w:footnote>
  <w:footnote w:id="42">
    <w:p w14:paraId="71402CE7">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Hung SI, Chung WH, Jee SH, Chen WC, Chang YT, et al, 2006, “Genetic Susceptibility to Carbamazepine-Induced Cutaneous Adverse Drug Reactions,” Pharmacogenetics and Genomics, 16: 297-306</w:t>
      </w:r>
    </w:p>
  </w:footnote>
  <w:footnote w:id="43">
    <w:p w14:paraId="41E3D024">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Alfirevic A, Jorgensen AL, Williamson PR, Chadwick DW, Park BK, Pirmohamed M. 2006, “HLA-B locus in Caucasian patients with carbamazepine hypersensitivity,” Pharmacogenomics, 7:813-818</w:t>
      </w:r>
    </w:p>
  </w:footnote>
  <w:footnote w:id="44">
    <w:p w14:paraId="50C12DE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行业指南：临床药物基因组学：早期临床研究上市前评估及标签建议（2013年1月），见于</w:t>
      </w:r>
      <w:r>
        <w:fldChar w:fldCharType="begin"/>
      </w:r>
      <w:r>
        <w:instrText xml:space="preserve"> HYPERLINK "http://www.fda.gov/downloads/drugs/guidancecomplianceregulatoryinformation/guidances/ucm337169.pdf" </w:instrText>
      </w:r>
      <w:r>
        <w:fldChar w:fldCharType="separate"/>
      </w:r>
      <w:r>
        <w:rPr>
          <w:rStyle w:val="13"/>
          <w:rFonts w:ascii="Arial" w:hAnsi="Arial" w:eastAsia="宋体" w:cs="Arial"/>
          <w:color w:val="0000FF"/>
        </w:rPr>
        <w:t>http://www.fda.gov/downloads/drugs/guidancecomplianceregulatoryinformation/guidances/ucm337169.pdf</w:t>
      </w:r>
      <w:r>
        <w:rPr>
          <w:rStyle w:val="13"/>
          <w:rFonts w:ascii="Arial" w:hAnsi="Arial" w:eastAsia="宋体" w:cs="Arial"/>
          <w:color w:val="0000FF"/>
        </w:rPr>
        <w:fldChar w:fldCharType="end"/>
      </w:r>
      <w:r>
        <w:rPr>
          <w:rFonts w:ascii="Arial" w:hAnsi="Arial" w:eastAsia="宋体" w:cs="Arial"/>
        </w:rPr>
        <w:t>。</w:t>
      </w:r>
    </w:p>
    <w:p w14:paraId="6460A765">
      <w:pPr>
        <w:pStyle w:val="8"/>
        <w:spacing w:line="264" w:lineRule="auto"/>
        <w:rPr>
          <w:rFonts w:ascii="Arial" w:hAnsi="Arial" w:eastAsia="宋体" w:cs="Arial"/>
        </w:rPr>
      </w:pPr>
    </w:p>
    <w:p w14:paraId="6B02A940">
      <w:pPr>
        <w:pStyle w:val="8"/>
        <w:spacing w:line="264" w:lineRule="auto"/>
        <w:rPr>
          <w:rFonts w:ascii="Arial" w:hAnsi="Arial" w:eastAsia="宋体" w:cs="Arial"/>
        </w:rPr>
      </w:pPr>
    </w:p>
  </w:footnote>
  <w:footnote w:id="45">
    <w:p w14:paraId="3E79773D">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指南草案：</w:t>
      </w:r>
      <w:bookmarkStart w:id="71" w:name="OLE_LINK43"/>
      <w:bookmarkStart w:id="72" w:name="OLE_LINK42"/>
      <w:r>
        <w:rPr>
          <w:rFonts w:ascii="Arial" w:hAnsi="Arial" w:eastAsia="宋体" w:cs="Arial"/>
        </w:rPr>
        <w:t>支持人用药品和生物制剂批准的临床试验充实策略</w:t>
      </w:r>
      <w:bookmarkEnd w:id="71"/>
      <w:bookmarkEnd w:id="72"/>
      <w:r>
        <w:rPr>
          <w:rFonts w:ascii="Arial" w:hAnsi="Arial" w:eastAsia="宋体" w:cs="Arial"/>
        </w:rPr>
        <w:t>，见于</w:t>
      </w:r>
      <w:r>
        <w:fldChar w:fldCharType="begin"/>
      </w:r>
      <w:r>
        <w:instrText xml:space="preserve"> HYPERLINK "http://www.fda.gov/downloads/drugs/guidancecomplianceregulatoryinformation/guidances/ucm332181.pdf" </w:instrText>
      </w:r>
      <w:r>
        <w:fldChar w:fldCharType="separate"/>
      </w:r>
      <w:r>
        <w:rPr>
          <w:rStyle w:val="13"/>
          <w:rFonts w:ascii="Arial" w:hAnsi="Arial" w:eastAsia="宋体" w:cs="Arial"/>
          <w:color w:val="0000FF"/>
        </w:rPr>
        <w:t>http://www.fda.gov/downloads/drugs/guidancecomplianceregulatoryinformation/guidances/ucm332181.pdf</w:t>
      </w:r>
      <w:r>
        <w:rPr>
          <w:rStyle w:val="13"/>
          <w:rFonts w:ascii="Arial" w:hAnsi="Arial" w:eastAsia="宋体" w:cs="Arial"/>
          <w:color w:val="0000FF"/>
        </w:rPr>
        <w:fldChar w:fldCharType="end"/>
      </w:r>
      <w:r>
        <w:rPr>
          <w:rFonts w:ascii="Arial" w:hAnsi="Arial" w:eastAsia="宋体" w:cs="Arial"/>
        </w:rPr>
        <w:t>。</w:t>
      </w:r>
    </w:p>
  </w:footnote>
  <w:footnote w:id="46">
    <w:p w14:paraId="225ED55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NIH关于在临床研究中纳入妇女和少数族群作为受试者的政策和指南（修订版，2001年10月），见于</w:t>
      </w:r>
      <w:r>
        <w:fldChar w:fldCharType="begin"/>
      </w:r>
      <w:r>
        <w:instrText xml:space="preserve"> HYPERLINK "https://grants.nih.gov/grants/funding/women_min/guidelines_amended_10_2001.htm" </w:instrText>
      </w:r>
      <w:r>
        <w:fldChar w:fldCharType="separate"/>
      </w:r>
      <w:r>
        <w:rPr>
          <w:rStyle w:val="13"/>
          <w:rFonts w:ascii="Arial" w:hAnsi="Arial" w:eastAsia="宋体" w:cs="Arial"/>
          <w:color w:val="0000FF"/>
        </w:rPr>
        <w:t>https://grants.nih.gov/grants/funding/women_min/guidelines_amended_10_2001.htm</w:t>
      </w:r>
      <w:r>
        <w:rPr>
          <w:rStyle w:val="13"/>
          <w:rFonts w:ascii="Arial" w:hAnsi="Arial" w:eastAsia="宋体" w:cs="Arial"/>
          <w:color w:val="0000FF"/>
        </w:rPr>
        <w:fldChar w:fldCharType="end"/>
      </w:r>
      <w:r>
        <w:rPr>
          <w:rFonts w:ascii="Arial" w:hAnsi="Arial" w:eastAsia="宋体" w:cs="Arial"/>
        </w:rPr>
        <w:t>。</w:t>
      </w:r>
    </w:p>
  </w:footnote>
  <w:footnote w:id="47">
    <w:p w14:paraId="6AAC084F">
      <w:pPr>
        <w:pStyle w:val="8"/>
        <w:spacing w:line="264" w:lineRule="auto"/>
        <w:rPr>
          <w:rFonts w:ascii="Arial" w:hAnsi="Arial" w:eastAsia="宋体" w:cs="Arial"/>
          <w:lang w:val="de-DE"/>
        </w:rPr>
      </w:pPr>
      <w:r>
        <w:rPr>
          <w:rStyle w:val="14"/>
          <w:rFonts w:ascii="Arial" w:hAnsi="Arial" w:eastAsia="宋体" w:cs="Arial"/>
        </w:rPr>
        <w:footnoteRef/>
      </w:r>
      <w:r>
        <w:rPr>
          <w:rFonts w:ascii="Arial" w:hAnsi="Arial" w:eastAsia="宋体" w:cs="Arial"/>
          <w:lang w:val="de-DE"/>
        </w:rPr>
        <w:t xml:space="preserve"> NIH PHS</w:t>
      </w:r>
      <w:r>
        <w:rPr>
          <w:rFonts w:ascii="Arial" w:hAnsi="Arial" w:eastAsia="宋体" w:cs="Arial"/>
        </w:rPr>
        <w:t>入组入选报告表格</w:t>
      </w:r>
      <w:r>
        <w:rPr>
          <w:rFonts w:ascii="Arial" w:hAnsi="Arial" w:eastAsia="宋体" w:cs="Arial"/>
          <w:lang w:val="de-DE"/>
        </w:rPr>
        <w:t>（2015</w:t>
      </w:r>
      <w:r>
        <w:rPr>
          <w:rFonts w:ascii="Arial" w:hAnsi="Arial" w:eastAsia="宋体" w:cs="Arial"/>
        </w:rPr>
        <w:t>年</w:t>
      </w:r>
      <w:r>
        <w:rPr>
          <w:rFonts w:ascii="Arial" w:hAnsi="Arial" w:eastAsia="宋体" w:cs="Arial"/>
          <w:lang w:val="de-DE"/>
        </w:rPr>
        <w:t>3</w:t>
      </w:r>
      <w:r>
        <w:rPr>
          <w:rFonts w:ascii="Arial" w:hAnsi="Arial" w:eastAsia="宋体" w:cs="Arial"/>
        </w:rPr>
        <w:t>月</w:t>
      </w:r>
      <w:r>
        <w:rPr>
          <w:rFonts w:ascii="Arial" w:hAnsi="Arial" w:eastAsia="宋体" w:cs="Arial"/>
          <w:lang w:val="de-DE"/>
        </w:rPr>
        <w:t>25</w:t>
      </w:r>
      <w:r>
        <w:rPr>
          <w:rFonts w:ascii="Arial" w:hAnsi="Arial" w:eastAsia="宋体" w:cs="Arial"/>
        </w:rPr>
        <w:t>日</w:t>
      </w:r>
      <w:r>
        <w:rPr>
          <w:rFonts w:ascii="Arial" w:hAnsi="Arial" w:eastAsia="宋体" w:cs="Arial"/>
          <w:lang w:val="de-DE"/>
        </w:rPr>
        <w:t>），</w:t>
      </w:r>
      <w:r>
        <w:rPr>
          <w:rFonts w:ascii="Arial" w:hAnsi="Arial" w:eastAsia="宋体" w:cs="Arial"/>
        </w:rPr>
        <w:t>见于</w:t>
      </w:r>
      <w:r>
        <w:rPr>
          <w:rFonts w:ascii="Arial" w:hAnsi="Arial" w:eastAsia="宋体" w:cs="Arial"/>
          <w:color w:val="0000FF"/>
          <w:u w:val="single"/>
          <w:lang w:val="de-DE"/>
        </w:rPr>
        <w:t>http://grants.nih.gov/grants/forms/inclusion-enrollment-report.pdf</w:t>
      </w:r>
      <w:r>
        <w:rPr>
          <w:rFonts w:ascii="Arial" w:hAnsi="Arial" w:eastAsia="宋体" w:cs="Arial"/>
        </w:rPr>
        <w:t>。</w:t>
      </w:r>
    </w:p>
  </w:footnote>
  <w:footnote w:id="48">
    <w:p w14:paraId="71EF8865">
      <w:pPr>
        <w:pStyle w:val="8"/>
        <w:spacing w:line="264" w:lineRule="auto"/>
        <w:rPr>
          <w:rFonts w:ascii="Arial" w:hAnsi="Arial" w:eastAsia="宋体" w:cs="Arial"/>
          <w:lang w:val="de-DE"/>
        </w:rPr>
      </w:pPr>
      <w:r>
        <w:rPr>
          <w:rStyle w:val="14"/>
          <w:rFonts w:ascii="Arial" w:hAnsi="Arial" w:eastAsia="宋体" w:cs="Arial"/>
        </w:rPr>
        <w:footnoteRef/>
      </w:r>
      <w:r>
        <w:rPr>
          <w:rFonts w:ascii="Arial" w:hAnsi="Arial" w:eastAsia="宋体" w:cs="Arial"/>
          <w:lang w:val="de-DE"/>
        </w:rPr>
        <w:t xml:space="preserve"> </w:t>
      </w:r>
      <w:r>
        <w:rPr>
          <w:rFonts w:ascii="Arial" w:hAnsi="Arial" w:eastAsia="宋体" w:cs="Arial"/>
        </w:rPr>
        <w:t>以电子版格式提交监管文件</w:t>
      </w:r>
      <w:r>
        <w:rPr>
          <w:rFonts w:ascii="Arial" w:hAnsi="Arial" w:eastAsia="宋体" w:cs="Arial"/>
          <w:lang w:val="de-DE"/>
        </w:rPr>
        <w:t>——</w:t>
      </w:r>
      <w:r>
        <w:rPr>
          <w:rFonts w:ascii="Arial" w:hAnsi="Arial" w:eastAsia="宋体" w:cs="Arial"/>
        </w:rPr>
        <w:t>使用</w:t>
      </w:r>
      <w:r>
        <w:rPr>
          <w:rFonts w:ascii="Arial" w:hAnsi="Arial" w:eastAsia="宋体" w:cs="Arial"/>
          <w:lang w:val="de-DE"/>
        </w:rPr>
        <w:t>eCTD</w:t>
      </w:r>
      <w:r>
        <w:rPr>
          <w:rFonts w:ascii="Arial" w:hAnsi="Arial" w:eastAsia="宋体" w:cs="Arial"/>
        </w:rPr>
        <w:t>格式提交特定的人用药品产品应用和相关申请</w:t>
      </w:r>
      <w:r>
        <w:rPr>
          <w:rFonts w:ascii="Arial" w:hAnsi="Arial" w:eastAsia="宋体" w:cs="Arial"/>
          <w:lang w:val="de-DE"/>
        </w:rPr>
        <w:t>：</w:t>
      </w:r>
      <w:r>
        <w:rPr>
          <w:rFonts w:ascii="Arial" w:hAnsi="Arial" w:eastAsia="宋体" w:cs="Arial"/>
        </w:rPr>
        <w:t>行业指南</w:t>
      </w:r>
      <w:r>
        <w:rPr>
          <w:rFonts w:ascii="Arial" w:hAnsi="Arial" w:eastAsia="宋体" w:cs="Arial"/>
          <w:lang w:val="de-DE"/>
        </w:rPr>
        <w:t>（2015</w:t>
      </w:r>
      <w:r>
        <w:rPr>
          <w:rFonts w:ascii="Arial" w:hAnsi="Arial" w:eastAsia="宋体" w:cs="Arial"/>
        </w:rPr>
        <w:t>年</w:t>
      </w:r>
      <w:r>
        <w:rPr>
          <w:rFonts w:ascii="Arial" w:hAnsi="Arial" w:eastAsia="宋体" w:cs="Arial"/>
          <w:lang w:val="de-DE"/>
        </w:rPr>
        <w:t>5</w:t>
      </w:r>
      <w:r>
        <w:rPr>
          <w:rFonts w:ascii="Arial" w:hAnsi="Arial" w:eastAsia="宋体" w:cs="Arial"/>
        </w:rPr>
        <w:t>月</w:t>
      </w:r>
      <w:r>
        <w:rPr>
          <w:rFonts w:ascii="Arial" w:hAnsi="Arial" w:eastAsia="宋体" w:cs="Arial"/>
          <w:lang w:val="de-DE"/>
        </w:rPr>
        <w:t>），</w:t>
      </w:r>
      <w:r>
        <w:rPr>
          <w:rFonts w:ascii="Arial" w:hAnsi="Arial" w:eastAsia="宋体" w:cs="Arial"/>
        </w:rPr>
        <w:t>见于</w:t>
      </w:r>
      <w:r>
        <w:fldChar w:fldCharType="begin"/>
      </w:r>
      <w:r>
        <w:instrText xml:space="preserve"> HYPERLINK "http://www.fda.gov/downloads/Drugs/GuidanceComplianceRegulatoryInformation/Guidances/UCM333969.pdf" </w:instrText>
      </w:r>
      <w:r>
        <w:fldChar w:fldCharType="separate"/>
      </w:r>
      <w:r>
        <w:rPr>
          <w:rStyle w:val="13"/>
          <w:rFonts w:ascii="Arial" w:hAnsi="Arial" w:eastAsia="宋体" w:cs="Arial"/>
          <w:color w:val="0000FF"/>
          <w:lang w:val="de-DE"/>
        </w:rPr>
        <w:t>http://www.fda.gov/downloads/Drugs/GuidanceComplianceRegulatoryInformation/Guidances/UCM333969.pdf</w:t>
      </w:r>
      <w:r>
        <w:rPr>
          <w:rStyle w:val="13"/>
          <w:rFonts w:ascii="Arial" w:hAnsi="Arial" w:eastAsia="宋体" w:cs="Arial"/>
          <w:color w:val="0000FF"/>
          <w:lang w:val="de-DE"/>
        </w:rPr>
        <w:fldChar w:fldCharType="end"/>
      </w:r>
      <w:r>
        <w:rPr>
          <w:rFonts w:ascii="Arial" w:hAnsi="Arial" w:eastAsia="宋体" w:cs="Arial"/>
        </w:rPr>
        <w:t>。</w:t>
      </w:r>
    </w:p>
  </w:footnote>
  <w:footnote w:id="49">
    <w:p w14:paraId="4A6A8985">
      <w:pPr>
        <w:pStyle w:val="8"/>
        <w:spacing w:line="264" w:lineRule="auto"/>
        <w:rPr>
          <w:rFonts w:ascii="Arial" w:hAnsi="Arial" w:eastAsia="宋体" w:cs="Arial"/>
          <w:lang w:val="de-DE"/>
        </w:rPr>
      </w:pPr>
      <w:r>
        <w:rPr>
          <w:rStyle w:val="14"/>
          <w:rFonts w:ascii="Arial" w:hAnsi="Arial" w:eastAsia="宋体" w:cs="Arial"/>
        </w:rPr>
        <w:footnoteRef/>
      </w:r>
      <w:r>
        <w:rPr>
          <w:rFonts w:ascii="Arial" w:hAnsi="Arial" w:eastAsia="宋体" w:cs="Arial"/>
          <w:lang w:val="de-DE"/>
        </w:rPr>
        <w:t xml:space="preserve"> M4E</w:t>
      </w:r>
      <w:r>
        <w:rPr>
          <w:rFonts w:ascii="Arial" w:hAnsi="Arial" w:eastAsia="宋体" w:cs="Arial"/>
        </w:rPr>
        <w:t>指南修订版</w:t>
      </w:r>
      <w:r>
        <w:rPr>
          <w:rFonts w:ascii="Arial" w:hAnsi="Arial" w:eastAsia="宋体" w:cs="Arial"/>
          <w:lang w:val="de-DE"/>
        </w:rPr>
        <w:t>：</w:t>
      </w:r>
      <w:r>
        <w:rPr>
          <w:rFonts w:ascii="Arial" w:hAnsi="Arial" w:eastAsia="宋体" w:cs="Arial"/>
        </w:rPr>
        <w:t>完善</w:t>
      </w:r>
      <w:r>
        <w:rPr>
          <w:rFonts w:ascii="Arial" w:hAnsi="Arial" w:eastAsia="宋体" w:cs="Arial"/>
          <w:lang w:val="de-DE"/>
        </w:rPr>
        <w:t>ICH</w:t>
      </w:r>
      <w:r>
        <w:rPr>
          <w:rFonts w:ascii="Arial" w:hAnsi="Arial" w:eastAsia="宋体" w:cs="Arial"/>
        </w:rPr>
        <w:t>有效性数据格式和收益</w:t>
      </w:r>
      <w:r>
        <w:rPr>
          <w:rFonts w:ascii="Arial" w:hAnsi="Arial" w:eastAsia="宋体" w:cs="Arial"/>
          <w:lang w:val="de-DE"/>
        </w:rPr>
        <w:t>-</w:t>
      </w:r>
      <w:r>
        <w:rPr>
          <w:rFonts w:ascii="Arial" w:hAnsi="Arial" w:eastAsia="宋体" w:cs="Arial"/>
        </w:rPr>
        <w:t>风险信息结构</w:t>
      </w:r>
      <w:r>
        <w:rPr>
          <w:rFonts w:ascii="Arial" w:hAnsi="Arial" w:eastAsia="宋体" w:cs="Arial"/>
          <w:lang w:val="de-DE"/>
        </w:rPr>
        <w:t>——M4E（2016</w:t>
      </w:r>
      <w:r>
        <w:rPr>
          <w:rFonts w:ascii="Arial" w:hAnsi="Arial" w:eastAsia="宋体" w:cs="Arial"/>
        </w:rPr>
        <w:t>年</w:t>
      </w:r>
      <w:r>
        <w:rPr>
          <w:rFonts w:ascii="Arial" w:hAnsi="Arial" w:eastAsia="宋体" w:cs="Arial"/>
          <w:lang w:val="de-DE"/>
        </w:rPr>
        <w:t>6</w:t>
      </w:r>
      <w:r>
        <w:rPr>
          <w:rFonts w:ascii="Arial" w:hAnsi="Arial" w:eastAsia="宋体" w:cs="Arial"/>
        </w:rPr>
        <w:t>月</w:t>
      </w:r>
      <w:r>
        <w:rPr>
          <w:rFonts w:ascii="Arial" w:hAnsi="Arial" w:eastAsia="宋体" w:cs="Arial"/>
          <w:lang w:val="de-DE"/>
        </w:rPr>
        <w:t>15），</w:t>
      </w:r>
      <w:r>
        <w:rPr>
          <w:rFonts w:ascii="Arial" w:hAnsi="Arial" w:eastAsia="宋体" w:cs="Arial"/>
        </w:rPr>
        <w:t>见于</w:t>
      </w:r>
      <w:r>
        <w:fldChar w:fldCharType="begin"/>
      </w:r>
      <w:r>
        <w:instrText xml:space="preserve"> HYPERLINK "http://www.ich.org/fileadmin/Public_Web_Site/ICH_Products/CTD/M4E_R2_Efficacy/M4E_R2__Step_4.pdf" </w:instrText>
      </w:r>
      <w:r>
        <w:fldChar w:fldCharType="separate"/>
      </w:r>
      <w:r>
        <w:rPr>
          <w:rStyle w:val="13"/>
          <w:rFonts w:ascii="Arial" w:hAnsi="Arial" w:eastAsia="宋体" w:cs="Arial"/>
          <w:color w:val="0000FF"/>
          <w:lang w:val="de-DE"/>
        </w:rPr>
        <w:t>http://www.ich.org/fileadmin/Public_Web_Site/ICH_Products/CTD/M4E_R2_Efficacy/M4E_R2__Step_4.pdf</w:t>
      </w:r>
      <w:r>
        <w:rPr>
          <w:rStyle w:val="13"/>
          <w:rFonts w:ascii="Arial" w:hAnsi="Arial" w:eastAsia="宋体" w:cs="Arial"/>
          <w:color w:val="0000FF"/>
          <w:lang w:val="de-DE"/>
        </w:rPr>
        <w:fldChar w:fldCharType="end"/>
      </w:r>
      <w:r>
        <w:rPr>
          <w:rFonts w:ascii="Arial" w:hAnsi="Arial" w:eastAsia="宋体" w:cs="Arial"/>
        </w:rPr>
        <w:t>。</w:t>
      </w:r>
    </w:p>
  </w:footnote>
  <w:footnote w:id="50">
    <w:p w14:paraId="561A0163">
      <w:pPr>
        <w:pStyle w:val="8"/>
        <w:spacing w:line="264" w:lineRule="auto"/>
        <w:rPr>
          <w:rFonts w:ascii="Arial" w:hAnsi="Arial" w:eastAsia="宋体" w:cs="Arial"/>
        </w:rPr>
      </w:pPr>
      <w:r>
        <w:rPr>
          <w:rStyle w:val="14"/>
          <w:rFonts w:ascii="Arial" w:hAnsi="Arial" w:eastAsia="宋体" w:cs="Arial"/>
        </w:rPr>
        <w:footnoteRef/>
      </w:r>
      <w:r>
        <w:rPr>
          <w:rFonts w:ascii="Arial" w:hAnsi="Arial" w:eastAsia="宋体" w:cs="Arial"/>
        </w:rPr>
        <w:t xml:space="preserve"> ICH M4 eCTD文件建议临床试验中收集特定类型的人口学信息，但并没有对数据应如何展示和记录提供硬性要求，例如“如果控制试验中某人群分组的相对暴露率要高于整体，则可能需要提供独立的表格。”以何种方式总结人口学数据取决于需要传递的数据的本质。对于某些试验来说，展示某个人群亚组的特征在另外一个分组中的分布式有意义的信息（例如参加控制实验的男性和女性的年龄分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C25B">
    <w:pPr>
      <w:pStyle w:val="6"/>
      <w:pBdr>
        <w:bottom w:val="none" w:color="auto" w:sz="0" w:space="0"/>
      </w:pBdr>
      <w:rPr>
        <w:rFonts w:ascii="Arial" w:hAnsi="Arial" w:cs="Arial"/>
        <w:sz w:val="21"/>
        <w:szCs w:val="21"/>
      </w:rPr>
    </w:pPr>
    <w:r>
      <w:rPr>
        <w:rFonts w:hint="eastAsia" w:ascii="Arial" w:hAnsi="Arial" w:cs="Arial"/>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0133">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D97A">
    <w:pPr>
      <w:pStyle w:val="6"/>
      <w:pBdr>
        <w:bottom w:val="none" w:color="auto" w:sz="0" w:space="0"/>
      </w:pBdr>
      <w:rPr>
        <w:rFonts w:ascii="Arial" w:hAnsi="Arial" w:cs="Arial"/>
        <w:sz w:val="21"/>
        <w:szCs w:val="21"/>
      </w:rPr>
    </w:pPr>
    <w:r>
      <w:rPr>
        <w:rFonts w:hint="eastAsia" w:ascii="Arial" w:hAnsi="Arial" w:cs="Arial"/>
        <w:i/>
        <w:iCs/>
        <w:sz w:val="21"/>
        <w:szCs w:val="21"/>
      </w:rPr>
      <w:t>所含建议不具约束力</w:t>
    </w:r>
  </w:p>
  <w:p w14:paraId="7D5B04A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460D0"/>
    <w:multiLevelType w:val="multilevel"/>
    <w:tmpl w:val="06A460D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AA2015A"/>
    <w:multiLevelType w:val="multilevel"/>
    <w:tmpl w:val="1AA2015A"/>
    <w:lvl w:ilvl="0" w:tentative="0">
      <w:start w:val="1"/>
      <w:numFmt w:val="upperRoman"/>
      <w:lvlText w:val="%1."/>
      <w:lvlJc w:val="left"/>
      <w:pPr>
        <w:ind w:left="1140" w:hanging="720"/>
      </w:pPr>
      <w:rPr>
        <w:rFonts w:hint="default"/>
      </w:rPr>
    </w:lvl>
    <w:lvl w:ilvl="1" w:tentative="0">
      <w:start w:val="1"/>
      <w:numFmt w:val="upp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4376E67"/>
    <w:multiLevelType w:val="multilevel"/>
    <w:tmpl w:val="34376E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2"/>
    <w:footnote w:id="10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68"/>
    <w:rsid w:val="00026695"/>
    <w:rsid w:val="0003340D"/>
    <w:rsid w:val="00034165"/>
    <w:rsid w:val="00036AE3"/>
    <w:rsid w:val="00053D72"/>
    <w:rsid w:val="00082C6B"/>
    <w:rsid w:val="00087D18"/>
    <w:rsid w:val="0009226D"/>
    <w:rsid w:val="00093BCD"/>
    <w:rsid w:val="00095339"/>
    <w:rsid w:val="000A0EE1"/>
    <w:rsid w:val="000D6B80"/>
    <w:rsid w:val="000E04BA"/>
    <w:rsid w:val="000E06C1"/>
    <w:rsid w:val="000E5AA2"/>
    <w:rsid w:val="000F22FA"/>
    <w:rsid w:val="00101E99"/>
    <w:rsid w:val="00111A4E"/>
    <w:rsid w:val="001154C3"/>
    <w:rsid w:val="001265DC"/>
    <w:rsid w:val="001378B7"/>
    <w:rsid w:val="00140AC0"/>
    <w:rsid w:val="00142C29"/>
    <w:rsid w:val="00167B81"/>
    <w:rsid w:val="001974EC"/>
    <w:rsid w:val="001A2C74"/>
    <w:rsid w:val="001A6B7E"/>
    <w:rsid w:val="001A6DFC"/>
    <w:rsid w:val="001A6F39"/>
    <w:rsid w:val="00217683"/>
    <w:rsid w:val="00217A17"/>
    <w:rsid w:val="0022150F"/>
    <w:rsid w:val="00224B12"/>
    <w:rsid w:val="00226EC8"/>
    <w:rsid w:val="00230B96"/>
    <w:rsid w:val="00231922"/>
    <w:rsid w:val="0023707A"/>
    <w:rsid w:val="00255BA2"/>
    <w:rsid w:val="0025665A"/>
    <w:rsid w:val="0026759A"/>
    <w:rsid w:val="00274B81"/>
    <w:rsid w:val="0029178C"/>
    <w:rsid w:val="00295EB6"/>
    <w:rsid w:val="00296285"/>
    <w:rsid w:val="00297D6A"/>
    <w:rsid w:val="002B607A"/>
    <w:rsid w:val="002C33F0"/>
    <w:rsid w:val="002C623B"/>
    <w:rsid w:val="002D44B9"/>
    <w:rsid w:val="002E28DE"/>
    <w:rsid w:val="00321F1B"/>
    <w:rsid w:val="00322B6E"/>
    <w:rsid w:val="00323E17"/>
    <w:rsid w:val="003A0874"/>
    <w:rsid w:val="003A2953"/>
    <w:rsid w:val="003A6106"/>
    <w:rsid w:val="003A7108"/>
    <w:rsid w:val="003A7BB6"/>
    <w:rsid w:val="003B2910"/>
    <w:rsid w:val="003B5794"/>
    <w:rsid w:val="003F73F1"/>
    <w:rsid w:val="00401EF3"/>
    <w:rsid w:val="00425CF1"/>
    <w:rsid w:val="004265E3"/>
    <w:rsid w:val="00461626"/>
    <w:rsid w:val="00461719"/>
    <w:rsid w:val="0049635E"/>
    <w:rsid w:val="00497415"/>
    <w:rsid w:val="004A2982"/>
    <w:rsid w:val="004D4484"/>
    <w:rsid w:val="004D6C3A"/>
    <w:rsid w:val="004E1F32"/>
    <w:rsid w:val="004E2C73"/>
    <w:rsid w:val="004E794F"/>
    <w:rsid w:val="005501DD"/>
    <w:rsid w:val="00550E7C"/>
    <w:rsid w:val="00556272"/>
    <w:rsid w:val="005576A5"/>
    <w:rsid w:val="00562236"/>
    <w:rsid w:val="00564BFC"/>
    <w:rsid w:val="00567A9D"/>
    <w:rsid w:val="00571037"/>
    <w:rsid w:val="00573936"/>
    <w:rsid w:val="005812CC"/>
    <w:rsid w:val="00586004"/>
    <w:rsid w:val="00586084"/>
    <w:rsid w:val="005A2E68"/>
    <w:rsid w:val="005B692E"/>
    <w:rsid w:val="005C538C"/>
    <w:rsid w:val="005C663A"/>
    <w:rsid w:val="005D6E86"/>
    <w:rsid w:val="005E1985"/>
    <w:rsid w:val="005E52A3"/>
    <w:rsid w:val="005E6BE1"/>
    <w:rsid w:val="00613095"/>
    <w:rsid w:val="00622885"/>
    <w:rsid w:val="006416F5"/>
    <w:rsid w:val="006456C5"/>
    <w:rsid w:val="00653FB3"/>
    <w:rsid w:val="006550CE"/>
    <w:rsid w:val="0066065C"/>
    <w:rsid w:val="006769FF"/>
    <w:rsid w:val="00687649"/>
    <w:rsid w:val="006906B1"/>
    <w:rsid w:val="006A3369"/>
    <w:rsid w:val="006A3FE4"/>
    <w:rsid w:val="006C5964"/>
    <w:rsid w:val="006D012E"/>
    <w:rsid w:val="006F14F5"/>
    <w:rsid w:val="006F3F71"/>
    <w:rsid w:val="006F7D76"/>
    <w:rsid w:val="0070432F"/>
    <w:rsid w:val="00707243"/>
    <w:rsid w:val="00710F8B"/>
    <w:rsid w:val="00711F0E"/>
    <w:rsid w:val="00730D77"/>
    <w:rsid w:val="00745023"/>
    <w:rsid w:val="00747664"/>
    <w:rsid w:val="00754EAC"/>
    <w:rsid w:val="00755E13"/>
    <w:rsid w:val="00760C47"/>
    <w:rsid w:val="007738F0"/>
    <w:rsid w:val="007942A4"/>
    <w:rsid w:val="007B74E8"/>
    <w:rsid w:val="007C048F"/>
    <w:rsid w:val="007C0925"/>
    <w:rsid w:val="007C5EBE"/>
    <w:rsid w:val="00811A81"/>
    <w:rsid w:val="00825538"/>
    <w:rsid w:val="008375B2"/>
    <w:rsid w:val="008646BC"/>
    <w:rsid w:val="00865636"/>
    <w:rsid w:val="00877162"/>
    <w:rsid w:val="0088403A"/>
    <w:rsid w:val="00890B0E"/>
    <w:rsid w:val="0089121A"/>
    <w:rsid w:val="008A49AD"/>
    <w:rsid w:val="008B02F8"/>
    <w:rsid w:val="008C4845"/>
    <w:rsid w:val="008D312E"/>
    <w:rsid w:val="008E27B4"/>
    <w:rsid w:val="008E57C9"/>
    <w:rsid w:val="008E6B93"/>
    <w:rsid w:val="008E726F"/>
    <w:rsid w:val="008F5FA7"/>
    <w:rsid w:val="00906498"/>
    <w:rsid w:val="0093664D"/>
    <w:rsid w:val="00940515"/>
    <w:rsid w:val="009474A9"/>
    <w:rsid w:val="00963A10"/>
    <w:rsid w:val="00965F62"/>
    <w:rsid w:val="009763B0"/>
    <w:rsid w:val="00993731"/>
    <w:rsid w:val="00994099"/>
    <w:rsid w:val="009A48F0"/>
    <w:rsid w:val="009D2606"/>
    <w:rsid w:val="009D4065"/>
    <w:rsid w:val="009E77B9"/>
    <w:rsid w:val="00A04F8E"/>
    <w:rsid w:val="00A0729A"/>
    <w:rsid w:val="00A32E9D"/>
    <w:rsid w:val="00A45AED"/>
    <w:rsid w:val="00A76C3B"/>
    <w:rsid w:val="00AC0020"/>
    <w:rsid w:val="00AC5CBF"/>
    <w:rsid w:val="00AC7E04"/>
    <w:rsid w:val="00AE202B"/>
    <w:rsid w:val="00AF0B06"/>
    <w:rsid w:val="00B6739B"/>
    <w:rsid w:val="00B92634"/>
    <w:rsid w:val="00B96BDE"/>
    <w:rsid w:val="00BA62DB"/>
    <w:rsid w:val="00BB26F7"/>
    <w:rsid w:val="00BB573B"/>
    <w:rsid w:val="00BC317F"/>
    <w:rsid w:val="00BC7DA4"/>
    <w:rsid w:val="00BD0732"/>
    <w:rsid w:val="00BD690F"/>
    <w:rsid w:val="00BD786A"/>
    <w:rsid w:val="00BE282A"/>
    <w:rsid w:val="00C01ECD"/>
    <w:rsid w:val="00C12DFA"/>
    <w:rsid w:val="00C3132A"/>
    <w:rsid w:val="00C33642"/>
    <w:rsid w:val="00C34F75"/>
    <w:rsid w:val="00C532B3"/>
    <w:rsid w:val="00C70001"/>
    <w:rsid w:val="00C801E5"/>
    <w:rsid w:val="00C8370F"/>
    <w:rsid w:val="00C85B97"/>
    <w:rsid w:val="00C91CD2"/>
    <w:rsid w:val="00C9641D"/>
    <w:rsid w:val="00CB2247"/>
    <w:rsid w:val="00CB24E3"/>
    <w:rsid w:val="00CC0E72"/>
    <w:rsid w:val="00D10900"/>
    <w:rsid w:val="00D35A9B"/>
    <w:rsid w:val="00D429AA"/>
    <w:rsid w:val="00D65C63"/>
    <w:rsid w:val="00D71B41"/>
    <w:rsid w:val="00D733BA"/>
    <w:rsid w:val="00D77EF1"/>
    <w:rsid w:val="00D9259F"/>
    <w:rsid w:val="00D946FD"/>
    <w:rsid w:val="00DA02D5"/>
    <w:rsid w:val="00DA2312"/>
    <w:rsid w:val="00DA2C16"/>
    <w:rsid w:val="00DA6C9E"/>
    <w:rsid w:val="00DD0E0D"/>
    <w:rsid w:val="00DD2482"/>
    <w:rsid w:val="00DE20A9"/>
    <w:rsid w:val="00DF3FD9"/>
    <w:rsid w:val="00E0715F"/>
    <w:rsid w:val="00E234EC"/>
    <w:rsid w:val="00E2655D"/>
    <w:rsid w:val="00E27BE2"/>
    <w:rsid w:val="00E37A05"/>
    <w:rsid w:val="00E42AF8"/>
    <w:rsid w:val="00E43425"/>
    <w:rsid w:val="00E54ADB"/>
    <w:rsid w:val="00E81703"/>
    <w:rsid w:val="00E8432E"/>
    <w:rsid w:val="00E90C30"/>
    <w:rsid w:val="00E92441"/>
    <w:rsid w:val="00E97F1E"/>
    <w:rsid w:val="00EB00DA"/>
    <w:rsid w:val="00EB47CE"/>
    <w:rsid w:val="00EC131D"/>
    <w:rsid w:val="00EF6D22"/>
    <w:rsid w:val="00F0405C"/>
    <w:rsid w:val="00F10494"/>
    <w:rsid w:val="00F1445E"/>
    <w:rsid w:val="00F5284D"/>
    <w:rsid w:val="00F5291D"/>
    <w:rsid w:val="00F56CEF"/>
    <w:rsid w:val="00F62655"/>
    <w:rsid w:val="00F74CAA"/>
    <w:rsid w:val="00F774DD"/>
    <w:rsid w:val="00F8558C"/>
    <w:rsid w:val="00F93AF7"/>
    <w:rsid w:val="00F97698"/>
    <w:rsid w:val="00FA5DD3"/>
    <w:rsid w:val="00FC6BD6"/>
    <w:rsid w:val="00FD0AE1"/>
    <w:rsid w:val="00FD69F9"/>
    <w:rsid w:val="00FD7855"/>
    <w:rsid w:val="00FE6BF9"/>
    <w:rsid w:val="00FF2C25"/>
    <w:rsid w:val="00FF6A25"/>
    <w:rsid w:val="1F61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snapToGrid w:val="0"/>
      <w:spacing w:after="50" w:afterLines="50" w:line="300" w:lineRule="auto"/>
    </w:pPr>
    <w:rPr>
      <w:rFonts w:eastAsia="宋体"/>
      <w:sz w:val="24"/>
    </w:rPr>
  </w:style>
  <w:style w:type="paragraph" w:styleId="8">
    <w:name w:val="footnote text"/>
    <w:basedOn w:val="1"/>
    <w:link w:val="16"/>
    <w:semiHidden/>
    <w:unhideWhenUsed/>
    <w:qFormat/>
    <w:uiPriority w:val="99"/>
    <w:pPr>
      <w:snapToGrid w:val="0"/>
      <w:jc w:val="left"/>
    </w:pPr>
    <w:rPr>
      <w:sz w:val="18"/>
      <w:szCs w:val="18"/>
    </w:rPr>
  </w:style>
  <w:style w:type="paragraph" w:styleId="9">
    <w:name w:val="toc 2"/>
    <w:basedOn w:val="1"/>
    <w:next w:val="1"/>
    <w:autoRedefine/>
    <w:unhideWhenUsed/>
    <w:qFormat/>
    <w:uiPriority w:val="39"/>
    <w:pPr>
      <w:snapToGrid w:val="0"/>
      <w:spacing w:after="50" w:afterLines="50" w:line="300" w:lineRule="auto"/>
      <w:ind w:left="200" w:leftChars="200"/>
    </w:pPr>
    <w:rPr>
      <w:rFonts w:eastAsia="宋体"/>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paragraph" w:styleId="15">
    <w:name w:val="List Paragraph"/>
    <w:basedOn w:val="1"/>
    <w:qFormat/>
    <w:uiPriority w:val="34"/>
    <w:pPr>
      <w:ind w:firstLine="420" w:firstLineChars="200"/>
    </w:pPr>
  </w:style>
  <w:style w:type="character" w:customStyle="1" w:styleId="16">
    <w:name w:val="脚注文本 Char"/>
    <w:basedOn w:val="12"/>
    <w:link w:val="8"/>
    <w:semiHidden/>
    <w:qFormat/>
    <w:uiPriority w:val="99"/>
    <w:rPr>
      <w:sz w:val="18"/>
      <w:szCs w:val="18"/>
    </w:rPr>
  </w:style>
  <w:style w:type="character" w:customStyle="1" w:styleId="17">
    <w:name w:val="日期 Char"/>
    <w:basedOn w:val="12"/>
    <w:link w:val="3"/>
    <w:semiHidden/>
    <w:qFormat/>
    <w:uiPriority w:val="99"/>
  </w:style>
  <w:style w:type="character" w:customStyle="1" w:styleId="18">
    <w:name w:val="页眉 Char"/>
    <w:basedOn w:val="12"/>
    <w:link w:val="6"/>
    <w:qFormat/>
    <w:uiPriority w:val="99"/>
    <w:rPr>
      <w:sz w:val="18"/>
      <w:szCs w:val="18"/>
    </w:rPr>
  </w:style>
  <w:style w:type="character" w:customStyle="1" w:styleId="19">
    <w:name w:val="页脚 Char"/>
    <w:basedOn w:val="12"/>
    <w:link w:val="5"/>
    <w:qFormat/>
    <w:uiPriority w:val="99"/>
    <w:rPr>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Char"/>
    <w:basedOn w:val="12"/>
    <w:link w:val="4"/>
    <w:semiHidden/>
    <w:qFormat/>
    <w:uiPriority w:val="99"/>
    <w:rPr>
      <w:sz w:val="18"/>
      <w:szCs w:val="18"/>
    </w:rPr>
  </w:style>
  <w:style w:type="paragraph" w:customStyle="1" w:styleId="22">
    <w:name w:val="CM49"/>
    <w:basedOn w:val="1"/>
    <w:next w:val="1"/>
    <w:qFormat/>
    <w:uiPriority w:val="99"/>
    <w:pPr>
      <w:autoSpaceDE w:val="0"/>
      <w:autoSpaceDN w:val="0"/>
      <w:adjustRightInd w:val="0"/>
      <w:jc w:val="left"/>
    </w:pPr>
    <w:rPr>
      <w:rFonts w:ascii="Times New Roman" w:hAnsi="Times New Roman" w:cs="Times New Roman"/>
      <w:kern w:val="0"/>
      <w:sz w:val="24"/>
      <w:szCs w:val="24"/>
    </w:rPr>
  </w:style>
  <w:style w:type="character" w:customStyle="1" w:styleId="23">
    <w:name w:val="标题 1 Char"/>
    <w:basedOn w:val="12"/>
    <w:link w:val="2"/>
    <w:qFormat/>
    <w:uiPriority w:val="9"/>
    <w:rPr>
      <w:b/>
      <w:bCs/>
      <w:kern w:val="44"/>
      <w:sz w:val="44"/>
      <w:szCs w:val="44"/>
    </w:rPr>
  </w:style>
  <w:style w:type="paragraph" w:customStyle="1" w:styleId="2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F200A-F87F-497D-AD79-51E42DB2A1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8958</Words>
  <Characters>11463</Characters>
  <Lines>96</Lines>
  <Paragraphs>27</Paragraphs>
  <TotalTime>7</TotalTime>
  <ScaleCrop>false</ScaleCrop>
  <LinksUpToDate>false</LinksUpToDate>
  <CharactersWithSpaces>11850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2017-10-22T05:37:00Z</dcterms:created>
  <dc:creator>Guozhen Liu</dc:creator>
  <cp:lastModifiedBy>太极箫客</cp:lastModifiedBy>
  <dcterms:modified xsi:type="dcterms:W3CDTF">2025-08-14T06:47:03Z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7A5984571A1E48E5B546CE59B46D7345_12</vt:lpwstr>
  </property>
</Properties>
</file>