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FDEED">
      <w:pPr>
        <w:snapToGrid w:val="0"/>
        <w:spacing w:line="300" w:lineRule="auto"/>
        <w:jc w:val="both"/>
        <w:rPr>
          <w:rFonts w:ascii="Arial" w:hAnsi="Arial" w:eastAsia="宋体" w:cs="Arial"/>
          <w:sz w:val="24"/>
          <w:szCs w:val="24"/>
          <w:lang w:eastAsia="zh-CN"/>
        </w:rPr>
      </w:pPr>
      <w:bookmarkStart w:id="2" w:name="_GoBack"/>
      <w:bookmarkEnd w:id="2"/>
      <w:r>
        <w:rPr>
          <w:rFonts w:ascii="Arial" w:hAnsi="Arial" w:eastAsia="宋体" w:cs="Arial"/>
          <w:sz w:val="18"/>
          <w:szCs w:val="18"/>
          <w:lang w:eastAsia="zh-CN"/>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065956F2">
      <w:pPr>
        <w:snapToGrid w:val="0"/>
        <w:spacing w:line="300" w:lineRule="auto"/>
        <w:jc w:val="both"/>
        <w:rPr>
          <w:rFonts w:ascii="Arial" w:hAnsi="Arial" w:eastAsia="宋体" w:cs="Arial"/>
          <w:sz w:val="24"/>
          <w:szCs w:val="24"/>
          <w:lang w:eastAsia="zh-CN"/>
        </w:rPr>
      </w:pPr>
    </w:p>
    <w:p w14:paraId="13EAE07C">
      <w:pPr>
        <w:snapToGrid w:val="0"/>
        <w:spacing w:before="11" w:line="300" w:lineRule="auto"/>
        <w:jc w:val="both"/>
        <w:rPr>
          <w:rFonts w:ascii="Arial" w:hAnsi="Arial" w:eastAsia="宋体" w:cs="Arial"/>
          <w:sz w:val="25"/>
          <w:szCs w:val="25"/>
          <w:lang w:eastAsia="zh-CN"/>
        </w:rPr>
      </w:pPr>
    </w:p>
    <w:p w14:paraId="32856161">
      <w:pPr>
        <w:snapToGrid w:val="0"/>
        <w:spacing w:line="300" w:lineRule="auto"/>
        <w:jc w:val="center"/>
        <w:rPr>
          <w:rFonts w:ascii="Arial" w:hAnsi="Arial" w:eastAsia="宋体" w:cs="Arial"/>
          <w:b/>
          <w:sz w:val="28"/>
          <w:szCs w:val="28"/>
          <w:lang w:eastAsia="zh-CN"/>
        </w:rPr>
      </w:pPr>
      <w:r>
        <w:rPr>
          <w:rFonts w:ascii="Arial" w:hAnsi="Arial" w:eastAsia="宋体" w:cs="Arial"/>
          <w:b/>
          <w:sz w:val="28"/>
          <w:szCs w:val="28"/>
          <w:lang w:eastAsia="zh-CN"/>
        </w:rPr>
        <w:t>会议纪要</w:t>
      </w:r>
    </w:p>
    <w:p w14:paraId="2D9294C7">
      <w:pPr>
        <w:snapToGrid w:val="0"/>
        <w:spacing w:before="2" w:line="300" w:lineRule="auto"/>
        <w:jc w:val="center"/>
        <w:rPr>
          <w:rFonts w:ascii="Arial" w:hAnsi="Arial" w:eastAsia="宋体" w:cs="Arial"/>
          <w:b/>
          <w:sz w:val="28"/>
          <w:lang w:eastAsia="zh-CN"/>
        </w:rPr>
      </w:pPr>
      <w:r>
        <w:rPr>
          <w:rFonts w:ascii="Arial" w:hAnsi="Arial" w:eastAsia="宋体" w:cs="Arial"/>
          <w:b/>
          <w:sz w:val="28"/>
          <w:lang w:eastAsia="zh-CN"/>
        </w:rPr>
        <w:t>第二次会议</w:t>
      </w:r>
    </w:p>
    <w:p w14:paraId="18C2A50A">
      <w:pPr>
        <w:snapToGrid w:val="0"/>
        <w:spacing w:before="2" w:line="300" w:lineRule="auto"/>
        <w:jc w:val="center"/>
        <w:rPr>
          <w:rFonts w:ascii="Arial" w:hAnsi="Arial" w:eastAsia="宋体" w:cs="Arial"/>
          <w:b/>
          <w:sz w:val="28"/>
          <w:szCs w:val="28"/>
          <w:lang w:eastAsia="zh-CN"/>
        </w:rPr>
      </w:pPr>
      <w:r>
        <w:rPr>
          <w:rFonts w:ascii="Arial" w:hAnsi="Arial" w:eastAsia="宋体" w:cs="Arial"/>
          <w:b/>
          <w:sz w:val="28"/>
          <w:lang w:eastAsia="zh-CN"/>
        </w:rPr>
        <w:t>神经学器械小组</w:t>
      </w:r>
    </w:p>
    <w:p w14:paraId="02D175F1">
      <w:pPr>
        <w:snapToGrid w:val="0"/>
        <w:spacing w:line="300" w:lineRule="auto"/>
        <w:jc w:val="center"/>
        <w:rPr>
          <w:rFonts w:ascii="Arial" w:hAnsi="Arial" w:eastAsia="宋体" w:cs="Arial"/>
          <w:b/>
          <w:sz w:val="28"/>
          <w:szCs w:val="28"/>
          <w:lang w:eastAsia="zh-CN"/>
        </w:rPr>
      </w:pPr>
      <w:r>
        <w:rPr>
          <w:rFonts w:ascii="Arial" w:hAnsi="Arial" w:eastAsia="宋体" w:cs="Arial"/>
          <w:b/>
          <w:sz w:val="28"/>
          <w:szCs w:val="28"/>
          <w:lang w:eastAsia="zh-CN"/>
        </w:rPr>
        <w:t>在临床研究设计中对于缓解疼痛设备的一般考虑</w:t>
      </w:r>
    </w:p>
    <w:p w14:paraId="54B4F42C">
      <w:pPr>
        <w:snapToGrid w:val="0"/>
        <w:spacing w:line="300" w:lineRule="auto"/>
        <w:jc w:val="both"/>
        <w:rPr>
          <w:rFonts w:ascii="Arial" w:hAnsi="Arial" w:eastAsia="宋体" w:cs="Arial"/>
          <w:b/>
          <w:bCs/>
          <w:sz w:val="28"/>
          <w:szCs w:val="28"/>
          <w:lang w:eastAsia="zh-CN"/>
        </w:rPr>
      </w:pPr>
    </w:p>
    <w:p w14:paraId="2BA05C8C">
      <w:pPr>
        <w:pStyle w:val="2"/>
        <w:snapToGrid w:val="0"/>
        <w:spacing w:before="248" w:line="300" w:lineRule="auto"/>
        <w:ind w:left="0"/>
        <w:jc w:val="center"/>
        <w:rPr>
          <w:rFonts w:ascii="Arial" w:hAnsi="Arial" w:eastAsia="宋体" w:cs="Arial"/>
          <w:b w:val="0"/>
          <w:bCs w:val="0"/>
          <w:lang w:eastAsia="zh-CN"/>
        </w:rPr>
      </w:pPr>
      <w:r>
        <w:rPr>
          <w:rFonts w:ascii="Arial" w:hAnsi="Arial" w:eastAsia="宋体" w:cs="Arial"/>
          <w:lang w:eastAsia="zh-CN"/>
        </w:rPr>
        <w:t>1988年5月12日</w:t>
      </w:r>
    </w:p>
    <w:p w14:paraId="28DB0128">
      <w:pPr>
        <w:pStyle w:val="3"/>
        <w:snapToGrid w:val="0"/>
        <w:spacing w:before="3" w:line="300" w:lineRule="auto"/>
        <w:ind w:left="0"/>
        <w:jc w:val="center"/>
        <w:rPr>
          <w:rFonts w:ascii="Arial" w:hAnsi="Arial" w:eastAsia="宋体" w:cs="Arial"/>
          <w:lang w:eastAsia="zh-CN"/>
        </w:rPr>
      </w:pPr>
      <w:r>
        <w:rPr>
          <w:rFonts w:ascii="Arial" w:hAnsi="Arial" w:eastAsia="宋体" w:cs="Arial"/>
          <w:lang w:eastAsia="zh-CN"/>
        </w:rPr>
        <w:t>（于1997年12月18日重新编排）</w:t>
      </w:r>
    </w:p>
    <w:p w14:paraId="4A8BDE15">
      <w:pPr>
        <w:snapToGrid w:val="0"/>
        <w:spacing w:line="300" w:lineRule="auto"/>
        <w:jc w:val="both"/>
        <w:rPr>
          <w:rFonts w:ascii="Arial" w:hAnsi="Arial" w:eastAsia="宋体" w:cs="Arial"/>
          <w:sz w:val="24"/>
          <w:szCs w:val="24"/>
          <w:lang w:eastAsia="zh-CN"/>
        </w:rPr>
      </w:pPr>
    </w:p>
    <w:p w14:paraId="4D9750BB">
      <w:pPr>
        <w:snapToGrid w:val="0"/>
        <w:spacing w:line="300" w:lineRule="auto"/>
        <w:jc w:val="both"/>
        <w:rPr>
          <w:rFonts w:ascii="Arial" w:hAnsi="Arial" w:eastAsia="宋体" w:cs="Arial"/>
          <w:sz w:val="24"/>
          <w:szCs w:val="24"/>
          <w:lang w:eastAsia="zh-CN"/>
        </w:rPr>
      </w:pPr>
    </w:p>
    <w:p w14:paraId="53EB8C0E">
      <w:pPr>
        <w:snapToGrid w:val="0"/>
        <w:spacing w:before="9" w:line="300" w:lineRule="auto"/>
        <w:jc w:val="both"/>
        <w:rPr>
          <w:rFonts w:ascii="Arial" w:hAnsi="Arial" w:eastAsia="宋体" w:cs="Arial"/>
          <w:sz w:val="26"/>
          <w:szCs w:val="26"/>
          <w:lang w:eastAsia="zh-CN"/>
        </w:rPr>
      </w:pPr>
    </w:p>
    <w:p w14:paraId="4A5492F8">
      <w:pPr>
        <w:pStyle w:val="2"/>
        <w:snapToGrid w:val="0"/>
        <w:spacing w:line="300" w:lineRule="auto"/>
        <w:ind w:left="0"/>
        <w:jc w:val="both"/>
        <w:rPr>
          <w:rFonts w:ascii="Arial" w:hAnsi="Arial" w:eastAsia="宋体" w:cs="Arial"/>
          <w:b w:val="0"/>
          <w:bCs w:val="0"/>
          <w:sz w:val="21"/>
          <w:szCs w:val="21"/>
          <w:lang w:eastAsia="zh-CN"/>
        </w:rPr>
      </w:pPr>
      <w:r>
        <w:rPr>
          <w:rFonts w:ascii="Arial" w:hAnsi="Arial" w:eastAsia="宋体" w:cs="Arial"/>
          <w:sz w:val="21"/>
          <w:szCs w:val="21"/>
          <w:lang w:eastAsia="zh-CN"/>
        </w:rPr>
        <w:t>本指导性文件可能包含对现在已经弃用的地址和电话号码的引用。贵公司应使用以下联系信息：</w:t>
      </w:r>
    </w:p>
    <w:p w14:paraId="4B8C94C0">
      <w:pPr>
        <w:pStyle w:val="10"/>
        <w:numPr>
          <w:ilvl w:val="0"/>
          <w:numId w:val="1"/>
        </w:numPr>
        <w:tabs>
          <w:tab w:val="left" w:pos="461"/>
        </w:tabs>
        <w:snapToGrid w:val="0"/>
        <w:spacing w:line="300" w:lineRule="auto"/>
        <w:ind w:left="306" w:hanging="306" w:hangingChars="145"/>
        <w:jc w:val="both"/>
        <w:rPr>
          <w:rFonts w:ascii="Arial" w:hAnsi="Arial" w:eastAsia="宋体" w:cs="Arial"/>
          <w:b/>
          <w:bCs/>
          <w:sz w:val="21"/>
          <w:szCs w:val="21"/>
          <w:lang w:eastAsia="zh-CN"/>
        </w:rPr>
      </w:pPr>
      <w:r>
        <w:rPr>
          <w:rFonts w:ascii="Arial" w:hAnsi="Arial" w:eastAsia="宋体" w:cs="Arial"/>
          <w:b/>
          <w:bCs/>
          <w:sz w:val="21"/>
          <w:szCs w:val="21"/>
          <w:lang w:eastAsia="zh-CN"/>
        </w:rPr>
        <w:t>尽管本指导性文件是最终文件，但贵公司可随时提交评论和建议至修复器械科（地址为：9200 Corporate Blvd.，HFZ-410，Rockville，MD 20850），供部门审议。</w:t>
      </w:r>
    </w:p>
    <w:p w14:paraId="6E7ED798">
      <w:pPr>
        <w:pStyle w:val="10"/>
        <w:numPr>
          <w:ilvl w:val="0"/>
          <w:numId w:val="1"/>
        </w:numPr>
        <w:tabs>
          <w:tab w:val="left" w:pos="461"/>
        </w:tabs>
        <w:snapToGrid w:val="0"/>
        <w:spacing w:line="300" w:lineRule="auto"/>
        <w:ind w:left="306" w:hanging="306" w:hangingChars="145"/>
        <w:jc w:val="both"/>
        <w:rPr>
          <w:rFonts w:ascii="Arial" w:hAnsi="Arial" w:eastAsia="宋体" w:cs="Arial"/>
          <w:b/>
          <w:bCs/>
          <w:sz w:val="21"/>
          <w:szCs w:val="21"/>
          <w:lang w:eastAsia="zh-CN"/>
        </w:rPr>
      </w:pPr>
      <w:r>
        <w:rPr>
          <w:rFonts w:ascii="Arial" w:hAnsi="Arial" w:eastAsia="宋体" w:cs="Arial"/>
          <w:b/>
          <w:bCs/>
          <w:sz w:val="21"/>
          <w:szCs w:val="21"/>
          <w:lang w:eastAsia="zh-CN"/>
        </w:rPr>
        <w:t>有关使用或解释本指南的问题，请致电301-594-1296与修复器械科联系。</w:t>
      </w:r>
    </w:p>
    <w:p w14:paraId="3A57A9AD">
      <w:pPr>
        <w:pStyle w:val="10"/>
        <w:numPr>
          <w:ilvl w:val="0"/>
          <w:numId w:val="1"/>
        </w:numPr>
        <w:tabs>
          <w:tab w:val="left" w:pos="461"/>
        </w:tabs>
        <w:snapToGrid w:val="0"/>
        <w:spacing w:line="300" w:lineRule="auto"/>
        <w:ind w:left="306" w:hanging="306" w:hangingChars="145"/>
        <w:jc w:val="both"/>
        <w:rPr>
          <w:rFonts w:ascii="Arial" w:hAnsi="Arial" w:eastAsia="宋体" w:cs="Arial"/>
          <w:b/>
          <w:bCs/>
          <w:sz w:val="21"/>
          <w:szCs w:val="21"/>
          <w:lang w:eastAsia="zh-CN"/>
        </w:rPr>
      </w:pPr>
      <w:r>
        <w:rPr>
          <w:rFonts w:ascii="Arial" w:hAnsi="Arial" w:eastAsia="宋体" w:cs="Arial"/>
          <w:b/>
          <w:bCs/>
          <w:sz w:val="21"/>
          <w:szCs w:val="21"/>
          <w:lang w:eastAsia="zh-CN"/>
        </w:rPr>
        <w:t>如要联系小型制造商协助司（DSMA），请致电800-638-2041或301-443-6597；发送传真至301-443-8818；发送电子邮件至dsmo@cdrh.fda.gov；或写信给DSMA（HFZ-200），食品药品监督管理局，1350 Piccard Drive，Rockville，Maryland 20850-4307。</w:t>
      </w:r>
      <w:r>
        <w:rPr>
          <w:rFonts w:hint="eastAsia" w:ascii="Arial" w:hAnsi="Arial" w:eastAsia="宋体" w:cs="Arial"/>
          <w:b/>
          <w:bCs/>
          <w:sz w:val="21"/>
          <w:szCs w:val="21"/>
          <w:lang w:eastAsia="zh-CN"/>
        </w:rPr>
        <w:t>资源索取自动回传系统（</w:t>
      </w:r>
      <w:r>
        <w:rPr>
          <w:rFonts w:ascii="Arial" w:hAnsi="Arial" w:eastAsia="宋体" w:cs="Arial"/>
          <w:b/>
          <w:bCs/>
          <w:sz w:val="21"/>
          <w:szCs w:val="21"/>
          <w:lang w:eastAsia="zh-CN"/>
        </w:rPr>
        <w:t>800-899-0381</w:t>
      </w:r>
      <w:r>
        <w:rPr>
          <w:rFonts w:hint="eastAsia" w:ascii="Arial" w:hAnsi="Arial" w:eastAsia="宋体" w:cs="Arial"/>
          <w:b/>
          <w:bCs/>
          <w:sz w:val="21"/>
          <w:szCs w:val="21"/>
          <w:lang w:eastAsia="zh-CN"/>
        </w:rPr>
        <w:t>或</w:t>
      </w:r>
      <w:r>
        <w:rPr>
          <w:rFonts w:ascii="Arial" w:hAnsi="Arial" w:eastAsia="宋体" w:cs="Arial"/>
          <w:b/>
          <w:bCs/>
          <w:sz w:val="21"/>
          <w:szCs w:val="21"/>
          <w:lang w:eastAsia="zh-CN"/>
        </w:rPr>
        <w:t>301-827-0111</w:t>
      </w:r>
      <w:r>
        <w:rPr>
          <w:rFonts w:hint="eastAsia" w:ascii="Arial" w:hAnsi="Arial" w:eastAsia="宋体" w:cs="Arial"/>
          <w:b/>
          <w:bCs/>
          <w:sz w:val="21"/>
          <w:szCs w:val="21"/>
          <w:lang w:eastAsia="zh-CN"/>
        </w:rPr>
        <w:t>）和万维网（</w:t>
      </w:r>
      <w:r>
        <w:rPr>
          <w:rFonts w:ascii="Arial" w:hAnsi="Arial" w:eastAsia="宋体" w:cs="Arial"/>
          <w:b/>
          <w:bCs/>
          <w:sz w:val="21"/>
          <w:szCs w:val="21"/>
          <w:lang w:eastAsia="zh-CN"/>
        </w:rPr>
        <w:t>CDRH</w:t>
      </w:r>
      <w:r>
        <w:rPr>
          <w:rFonts w:hint="eastAsia" w:ascii="Arial" w:hAnsi="Arial" w:eastAsia="宋体" w:cs="Arial"/>
          <w:b/>
          <w:bCs/>
          <w:sz w:val="21"/>
          <w:szCs w:val="21"/>
          <w:lang w:eastAsia="zh-CN"/>
        </w:rPr>
        <w:t>主页：</w:t>
      </w:r>
      <w:r>
        <w:rPr>
          <w:rFonts w:ascii="Arial" w:hAnsi="Arial" w:eastAsia="宋体" w:cs="Arial"/>
          <w:b/>
          <w:bCs/>
          <w:sz w:val="21"/>
          <w:szCs w:val="21"/>
          <w:lang w:eastAsia="zh-CN"/>
        </w:rPr>
        <w:t>http;//www.fda.gov/cdrh/index.html</w:t>
      </w:r>
      <w:r>
        <w:rPr>
          <w:rFonts w:hint="eastAsia" w:ascii="Arial" w:hAnsi="Arial" w:eastAsia="宋体" w:cs="Arial"/>
          <w:b/>
          <w:bCs/>
          <w:sz w:val="21"/>
          <w:szCs w:val="21"/>
          <w:lang w:eastAsia="zh-CN"/>
        </w:rPr>
        <w:t>）也可</w:t>
      </w:r>
      <w:r>
        <w:rPr>
          <w:rFonts w:ascii="Arial" w:hAnsi="Arial" w:eastAsia="宋体" w:cs="Arial"/>
          <w:b/>
          <w:bCs/>
          <w:sz w:val="21"/>
          <w:szCs w:val="21"/>
          <w:lang w:eastAsia="zh-CN"/>
        </w:rPr>
        <w:t>轻松访问</w:t>
      </w:r>
      <w:r>
        <w:rPr>
          <w:rFonts w:hint="eastAsia" w:ascii="Arial" w:hAnsi="Arial" w:eastAsia="宋体" w:cs="Arial"/>
          <w:b/>
          <w:bCs/>
          <w:sz w:val="21"/>
          <w:szCs w:val="21"/>
          <w:lang w:eastAsia="zh-CN"/>
        </w:rPr>
        <w:t>最新信息和管理政策和程序。</w:t>
      </w:r>
    </w:p>
    <w:p w14:paraId="1C2EA8C0">
      <w:pPr>
        <w:snapToGrid w:val="0"/>
        <w:spacing w:line="300" w:lineRule="auto"/>
        <w:jc w:val="both"/>
        <w:rPr>
          <w:rFonts w:ascii="Arial" w:hAnsi="Arial" w:eastAsia="宋体" w:cs="Arial"/>
          <w:b/>
          <w:bCs/>
          <w:sz w:val="21"/>
          <w:szCs w:val="21"/>
          <w:lang w:eastAsia="zh-CN"/>
        </w:rPr>
      </w:pPr>
    </w:p>
    <w:p w14:paraId="5D778A73">
      <w:pPr>
        <w:snapToGrid w:val="0"/>
        <w:spacing w:line="300" w:lineRule="auto"/>
        <w:jc w:val="both"/>
        <w:rPr>
          <w:rFonts w:ascii="Arial" w:hAnsi="Arial" w:eastAsia="宋体" w:cs="Arial"/>
          <w:b/>
          <w:bCs/>
          <w:sz w:val="21"/>
          <w:szCs w:val="21"/>
          <w:lang w:eastAsia="zh-CN"/>
        </w:rPr>
      </w:pPr>
    </w:p>
    <w:p w14:paraId="352BB971">
      <w:pPr>
        <w:snapToGrid w:val="0"/>
        <w:spacing w:before="3" w:line="300" w:lineRule="auto"/>
        <w:jc w:val="both"/>
        <w:rPr>
          <w:rFonts w:ascii="Arial" w:hAnsi="Arial" w:eastAsia="宋体" w:cs="Arial"/>
          <w:b/>
          <w:bCs/>
          <w:sz w:val="21"/>
          <w:szCs w:val="21"/>
          <w:lang w:eastAsia="zh-CN"/>
        </w:rPr>
      </w:pPr>
    </w:p>
    <w:p w14:paraId="7B0884EA">
      <w:pPr>
        <w:snapToGrid w:val="0"/>
        <w:spacing w:before="3" w:line="300" w:lineRule="auto"/>
        <w:jc w:val="both"/>
        <w:rPr>
          <w:rFonts w:ascii="Arial" w:hAnsi="Arial" w:eastAsia="宋体" w:cs="Arial"/>
          <w:b/>
          <w:bCs/>
          <w:sz w:val="21"/>
          <w:szCs w:val="21"/>
          <w:lang w:eastAsia="zh-CN"/>
        </w:rPr>
      </w:pPr>
    </w:p>
    <w:p w14:paraId="22A3ECB9">
      <w:pPr>
        <w:snapToGrid w:val="0"/>
        <w:spacing w:before="3" w:line="300" w:lineRule="auto"/>
        <w:jc w:val="both"/>
        <w:rPr>
          <w:rFonts w:ascii="Arial" w:hAnsi="Arial" w:eastAsia="宋体" w:cs="Arial"/>
          <w:b/>
          <w:bCs/>
          <w:sz w:val="21"/>
          <w:szCs w:val="21"/>
          <w:lang w:eastAsia="zh-CN"/>
        </w:rPr>
      </w:pPr>
    </w:p>
    <w:p w14:paraId="79E25A87">
      <w:pPr>
        <w:pStyle w:val="3"/>
        <w:snapToGrid w:val="0"/>
        <w:spacing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美国卫生与公众服务部</w:t>
      </w:r>
    </w:p>
    <w:p w14:paraId="5286CF7F">
      <w:pPr>
        <w:pStyle w:val="3"/>
        <w:snapToGrid w:val="0"/>
        <w:spacing w:line="300" w:lineRule="auto"/>
        <w:ind w:left="0"/>
        <w:jc w:val="center"/>
        <w:rPr>
          <w:rFonts w:ascii="Arial" w:hAnsi="Arial" w:eastAsia="宋体" w:cs="Arial"/>
          <w:sz w:val="21"/>
          <w:szCs w:val="21"/>
          <w:lang w:eastAsia="zh-CN"/>
        </w:rPr>
      </w:pPr>
      <w:r>
        <w:rPr>
          <w:rFonts w:ascii="Arial" w:hAnsi="Arial" w:eastAsia="宋体" w:cs="Arial"/>
          <w:sz w:val="21"/>
          <w:szCs w:val="21"/>
          <w:lang w:eastAsia="zh-CN"/>
        </w:rPr>
        <w:t>食品药品监督管理局</w:t>
      </w:r>
    </w:p>
    <w:p w14:paraId="174D26FF">
      <w:pPr>
        <w:pStyle w:val="3"/>
        <w:snapToGrid w:val="0"/>
        <w:spacing w:line="300" w:lineRule="auto"/>
        <w:ind w:left="0"/>
        <w:jc w:val="center"/>
        <w:rPr>
          <w:rFonts w:ascii="Arial" w:hAnsi="Arial" w:eastAsia="宋体" w:cs="Arial"/>
          <w:sz w:val="21"/>
          <w:szCs w:val="21"/>
        </w:rPr>
      </w:pPr>
      <w:r>
        <w:rPr>
          <w:rFonts w:ascii="Arial" w:hAnsi="Arial" w:eastAsia="宋体" w:cs="Arial"/>
          <w:sz w:val="21"/>
          <w:szCs w:val="21"/>
          <w:lang w:eastAsia="zh-CN"/>
        </w:rPr>
        <w:t>器械</w:t>
      </w:r>
      <w:r>
        <w:rPr>
          <w:rFonts w:hint="eastAsia" w:ascii="Arial" w:hAnsi="Arial" w:eastAsia="宋体" w:cs="Arial"/>
          <w:sz w:val="21"/>
          <w:szCs w:val="21"/>
          <w:lang w:eastAsia="zh-CN"/>
        </w:rPr>
        <w:t>和放射卫生</w:t>
      </w:r>
      <w:r>
        <w:rPr>
          <w:rFonts w:ascii="Arial" w:hAnsi="Arial" w:eastAsia="宋体" w:cs="Arial"/>
          <w:sz w:val="21"/>
          <w:szCs w:val="21"/>
          <w:lang w:eastAsia="zh-CN"/>
        </w:rPr>
        <w:t>中心</w:t>
      </w:r>
    </w:p>
    <w:p w14:paraId="6F2BC5EF">
      <w:pPr>
        <w:pStyle w:val="3"/>
        <w:snapToGrid w:val="0"/>
        <w:spacing w:line="300" w:lineRule="auto"/>
        <w:ind w:left="0"/>
        <w:jc w:val="center"/>
        <w:rPr>
          <w:rFonts w:ascii="Arial" w:hAnsi="Arial" w:eastAsia="宋体" w:cs="Arial"/>
          <w:sz w:val="21"/>
          <w:szCs w:val="21"/>
        </w:rPr>
      </w:pPr>
      <w:r>
        <w:rPr>
          <w:rFonts w:ascii="Arial" w:hAnsi="Arial" w:eastAsia="宋体" w:cs="Arial"/>
          <w:sz w:val="21"/>
          <w:szCs w:val="21"/>
        </w:rPr>
        <w:t>Rockville, MD 20850</w:t>
      </w:r>
    </w:p>
    <w:p w14:paraId="7EBD9595">
      <w:pPr>
        <w:snapToGrid w:val="0"/>
        <w:spacing w:line="300" w:lineRule="auto"/>
        <w:jc w:val="both"/>
        <w:rPr>
          <w:rFonts w:ascii="Arial" w:hAnsi="Arial" w:eastAsia="宋体" w:cs="Arial"/>
        </w:rPr>
        <w:sectPr>
          <w:footerReference r:id="rId3" w:type="default"/>
          <w:type w:val="continuous"/>
          <w:pgSz w:w="12240" w:h="15840"/>
          <w:pgMar w:top="1100" w:right="1420" w:bottom="960" w:left="1340" w:header="720" w:footer="771" w:gutter="0"/>
          <w:pgNumType w:start="1"/>
          <w:cols w:space="720" w:num="1"/>
        </w:sectPr>
      </w:pPr>
    </w:p>
    <w:p w14:paraId="79A9E3D3">
      <w:pPr>
        <w:pStyle w:val="3"/>
        <w:snapToGrid w:val="0"/>
        <w:spacing w:before="53" w:line="300" w:lineRule="auto"/>
        <w:ind w:left="0"/>
        <w:jc w:val="both"/>
        <w:rPr>
          <w:rFonts w:ascii="Arial" w:hAnsi="Arial" w:eastAsia="宋体" w:cs="Arial"/>
        </w:rPr>
      </w:pPr>
      <w:r>
        <w:rPr>
          <w:rFonts w:ascii="Arial" w:hAnsi="Arial" w:eastAsia="宋体" w:cs="Arial"/>
        </w:rPr>
        <w:t>Room 416</w:t>
      </w:r>
    </w:p>
    <w:p w14:paraId="5DD867F8">
      <w:pPr>
        <w:pStyle w:val="3"/>
        <w:snapToGrid w:val="0"/>
        <w:spacing w:before="7" w:line="300" w:lineRule="auto"/>
        <w:ind w:left="0"/>
        <w:jc w:val="both"/>
        <w:rPr>
          <w:rFonts w:ascii="Arial" w:hAnsi="Arial" w:eastAsia="宋体" w:cs="Arial"/>
          <w:spacing w:val="-1"/>
        </w:rPr>
      </w:pPr>
      <w:r>
        <w:rPr>
          <w:rFonts w:ascii="Arial" w:hAnsi="Arial" w:eastAsia="宋体" w:cs="Arial"/>
        </w:rPr>
        <w:t>Twinbrook Building</w:t>
      </w:r>
      <w:r>
        <w:rPr>
          <w:rFonts w:ascii="Arial" w:hAnsi="Arial" w:eastAsia="宋体" w:cs="Arial"/>
          <w:spacing w:val="-17"/>
        </w:rPr>
        <w:t xml:space="preserve"> </w:t>
      </w:r>
      <w:r>
        <w:rPr>
          <w:rFonts w:ascii="Arial" w:hAnsi="Arial" w:eastAsia="宋体" w:cs="Arial"/>
        </w:rPr>
        <w:t>#4</w:t>
      </w:r>
      <w:r>
        <w:rPr>
          <w:rFonts w:ascii="Arial" w:hAnsi="Arial" w:eastAsia="宋体" w:cs="Arial"/>
          <w:spacing w:val="-1"/>
        </w:rPr>
        <w:t xml:space="preserve"> </w:t>
      </w:r>
    </w:p>
    <w:p w14:paraId="032DB397">
      <w:pPr>
        <w:pStyle w:val="3"/>
        <w:snapToGrid w:val="0"/>
        <w:spacing w:before="7" w:line="300" w:lineRule="auto"/>
        <w:ind w:left="0"/>
        <w:jc w:val="both"/>
        <w:rPr>
          <w:rFonts w:ascii="Arial" w:hAnsi="Arial" w:eastAsia="宋体" w:cs="Arial"/>
          <w:spacing w:val="-1"/>
        </w:rPr>
      </w:pPr>
      <w:r>
        <w:rPr>
          <w:rFonts w:ascii="Arial" w:hAnsi="Arial" w:eastAsia="宋体" w:cs="Arial"/>
        </w:rPr>
        <w:t>Twinbrook</w:t>
      </w:r>
      <w:r>
        <w:rPr>
          <w:rFonts w:ascii="Arial" w:hAnsi="Arial" w:eastAsia="宋体" w:cs="Arial"/>
          <w:spacing w:val="-5"/>
        </w:rPr>
        <w:t xml:space="preserve"> </w:t>
      </w:r>
      <w:r>
        <w:rPr>
          <w:rFonts w:ascii="Arial" w:hAnsi="Arial" w:eastAsia="宋体" w:cs="Arial"/>
        </w:rPr>
        <w:t>Parkway</w:t>
      </w:r>
      <w:r>
        <w:rPr>
          <w:rFonts w:ascii="Arial" w:hAnsi="Arial" w:eastAsia="宋体" w:cs="Arial"/>
          <w:spacing w:val="-1"/>
        </w:rPr>
        <w:t xml:space="preserve"> </w:t>
      </w:r>
    </w:p>
    <w:p w14:paraId="10362D84">
      <w:pPr>
        <w:pStyle w:val="3"/>
        <w:snapToGrid w:val="0"/>
        <w:spacing w:before="7" w:line="300" w:lineRule="auto"/>
        <w:ind w:left="0"/>
        <w:jc w:val="both"/>
        <w:rPr>
          <w:rFonts w:ascii="Arial" w:hAnsi="Arial" w:eastAsia="宋体" w:cs="Arial"/>
        </w:rPr>
      </w:pPr>
      <w:r>
        <w:rPr>
          <w:rFonts w:ascii="Arial" w:hAnsi="Arial" w:eastAsia="宋体" w:cs="Arial"/>
        </w:rPr>
        <w:t>Rockville,</w:t>
      </w:r>
      <w:r>
        <w:rPr>
          <w:rFonts w:ascii="Arial" w:hAnsi="Arial" w:eastAsia="宋体" w:cs="Arial"/>
          <w:spacing w:val="-19"/>
        </w:rPr>
        <w:t xml:space="preserve"> </w:t>
      </w:r>
      <w:r>
        <w:rPr>
          <w:rFonts w:ascii="Arial" w:hAnsi="Arial" w:eastAsia="宋体" w:cs="Arial"/>
        </w:rPr>
        <w:t>Maryland</w:t>
      </w:r>
    </w:p>
    <w:p w14:paraId="1FEE4389">
      <w:pPr>
        <w:pStyle w:val="3"/>
        <w:snapToGrid w:val="0"/>
        <w:spacing w:line="300" w:lineRule="auto"/>
        <w:ind w:left="0"/>
        <w:jc w:val="both"/>
        <w:rPr>
          <w:rFonts w:ascii="Arial" w:hAnsi="Arial" w:eastAsia="宋体" w:cs="Arial"/>
          <w:u w:val="single" w:color="000000"/>
        </w:rPr>
      </w:pPr>
    </w:p>
    <w:p w14:paraId="7C2F9F3E">
      <w:pPr>
        <w:pStyle w:val="3"/>
        <w:snapToGrid w:val="0"/>
        <w:spacing w:line="300" w:lineRule="auto"/>
        <w:ind w:left="0"/>
        <w:jc w:val="both"/>
        <w:rPr>
          <w:rFonts w:ascii="Arial" w:hAnsi="Arial" w:eastAsia="宋体" w:cs="Arial"/>
          <w:u w:val="single"/>
        </w:rPr>
      </w:pPr>
      <w:r>
        <w:rPr>
          <w:rFonts w:ascii="Arial" w:hAnsi="Arial" w:eastAsia="宋体" w:cs="Arial"/>
          <w:u w:val="single"/>
          <w:lang w:eastAsia="zh-CN"/>
        </w:rPr>
        <w:t>小组成员</w:t>
      </w:r>
    </w:p>
    <w:p w14:paraId="2EF655B9">
      <w:pPr>
        <w:pStyle w:val="3"/>
        <w:snapToGrid w:val="0"/>
        <w:spacing w:before="7" w:line="300" w:lineRule="auto"/>
        <w:ind w:left="0"/>
        <w:jc w:val="both"/>
        <w:rPr>
          <w:rFonts w:ascii="Arial" w:hAnsi="Arial" w:eastAsia="宋体" w:cs="Arial"/>
        </w:rPr>
      </w:pPr>
      <w:r>
        <w:rPr>
          <w:rFonts w:ascii="Arial" w:hAnsi="Arial" w:eastAsia="宋体" w:cs="Arial"/>
        </w:rPr>
        <w:t xml:space="preserve">Harold Stevens, M.D., Ph.D., </w:t>
      </w:r>
    </w:p>
    <w:p w14:paraId="6266A42A">
      <w:pPr>
        <w:pStyle w:val="3"/>
        <w:snapToGrid w:val="0"/>
        <w:spacing w:before="7" w:line="300" w:lineRule="auto"/>
        <w:ind w:left="0"/>
        <w:jc w:val="both"/>
        <w:rPr>
          <w:rFonts w:ascii="Arial" w:hAnsi="Arial" w:eastAsia="宋体" w:cs="Arial"/>
        </w:rPr>
      </w:pPr>
      <w:r>
        <w:rPr>
          <w:rFonts w:ascii="Arial" w:hAnsi="Arial" w:eastAsia="宋体" w:cs="Arial"/>
        </w:rPr>
        <w:t>Chair Wen H. Ko,</w:t>
      </w:r>
      <w:r>
        <w:rPr>
          <w:rFonts w:ascii="Arial" w:hAnsi="Arial" w:eastAsia="宋体" w:cs="Arial"/>
          <w:spacing w:val="-1"/>
        </w:rPr>
        <w:t xml:space="preserve"> </w:t>
      </w:r>
      <w:r>
        <w:rPr>
          <w:rFonts w:ascii="Arial" w:hAnsi="Arial" w:eastAsia="宋体" w:cs="Arial"/>
        </w:rPr>
        <w:t>Ph.D.</w:t>
      </w:r>
    </w:p>
    <w:p w14:paraId="2821A453">
      <w:pPr>
        <w:pStyle w:val="3"/>
        <w:snapToGrid w:val="0"/>
        <w:spacing w:line="300" w:lineRule="auto"/>
        <w:ind w:left="0"/>
        <w:jc w:val="both"/>
        <w:rPr>
          <w:rFonts w:ascii="Arial" w:hAnsi="Arial" w:eastAsia="宋体" w:cs="Arial"/>
          <w:spacing w:val="-1"/>
          <w:w w:val="99"/>
        </w:rPr>
      </w:pPr>
      <w:r>
        <w:rPr>
          <w:rFonts w:ascii="Arial" w:hAnsi="Arial" w:eastAsia="宋体" w:cs="Arial"/>
        </w:rPr>
        <w:t>Howard H. Kaufman,</w:t>
      </w:r>
      <w:r>
        <w:rPr>
          <w:rFonts w:ascii="Arial" w:hAnsi="Arial" w:eastAsia="宋体" w:cs="Arial"/>
          <w:spacing w:val="-19"/>
        </w:rPr>
        <w:t xml:space="preserve"> </w:t>
      </w:r>
      <w:r>
        <w:rPr>
          <w:rFonts w:ascii="Arial" w:hAnsi="Arial" w:eastAsia="宋体" w:cs="Arial"/>
        </w:rPr>
        <w:t>M.D.</w:t>
      </w:r>
      <w:r>
        <w:rPr>
          <w:rFonts w:ascii="Arial" w:hAnsi="Arial" w:eastAsia="宋体" w:cs="Arial"/>
          <w:spacing w:val="-1"/>
          <w:w w:val="99"/>
        </w:rPr>
        <w:t xml:space="preserve"> </w:t>
      </w:r>
    </w:p>
    <w:p w14:paraId="3C1DD860">
      <w:pPr>
        <w:pStyle w:val="3"/>
        <w:snapToGrid w:val="0"/>
        <w:spacing w:line="300" w:lineRule="auto"/>
        <w:ind w:left="0"/>
        <w:jc w:val="both"/>
        <w:rPr>
          <w:rFonts w:ascii="Arial" w:hAnsi="Arial" w:eastAsia="宋体" w:cs="Arial"/>
          <w:spacing w:val="-1"/>
          <w:w w:val="99"/>
          <w:lang w:eastAsia="zh-CN"/>
        </w:rPr>
      </w:pPr>
      <w:r>
        <w:rPr>
          <w:rFonts w:ascii="Arial" w:hAnsi="Arial" w:eastAsia="宋体" w:cs="Arial"/>
        </w:rPr>
        <w:t>Raj K. Narayan,</w:t>
      </w:r>
      <w:r>
        <w:rPr>
          <w:rFonts w:ascii="Arial" w:hAnsi="Arial" w:eastAsia="宋体" w:cs="Arial"/>
          <w:spacing w:val="-2"/>
        </w:rPr>
        <w:t xml:space="preserve"> </w:t>
      </w:r>
      <w:r>
        <w:rPr>
          <w:rFonts w:ascii="Arial" w:hAnsi="Arial" w:eastAsia="宋体" w:cs="Arial"/>
        </w:rPr>
        <w:t>M.D.</w:t>
      </w:r>
      <w:r>
        <w:rPr>
          <w:rFonts w:ascii="Arial" w:hAnsi="Arial" w:eastAsia="宋体" w:cs="Arial"/>
          <w:spacing w:val="-1"/>
          <w:w w:val="99"/>
        </w:rPr>
        <w:t xml:space="preserve"> </w:t>
      </w:r>
    </w:p>
    <w:p w14:paraId="08554854">
      <w:pPr>
        <w:pStyle w:val="3"/>
        <w:snapToGrid w:val="0"/>
        <w:spacing w:line="300" w:lineRule="auto"/>
        <w:ind w:left="0"/>
        <w:jc w:val="both"/>
        <w:rPr>
          <w:rFonts w:ascii="Arial" w:hAnsi="Arial" w:eastAsia="宋体" w:cs="Arial"/>
        </w:rPr>
      </w:pPr>
      <w:r>
        <w:rPr>
          <w:rFonts w:ascii="Arial" w:hAnsi="Arial" w:eastAsia="宋体" w:cs="Arial"/>
        </w:rPr>
        <w:t>Mary K. Gumerlock,</w:t>
      </w:r>
      <w:r>
        <w:rPr>
          <w:rFonts w:ascii="Arial" w:hAnsi="Arial" w:eastAsia="宋体" w:cs="Arial"/>
          <w:spacing w:val="-21"/>
        </w:rPr>
        <w:t xml:space="preserve"> </w:t>
      </w:r>
      <w:r>
        <w:rPr>
          <w:rFonts w:ascii="Arial" w:hAnsi="Arial" w:eastAsia="宋体" w:cs="Arial"/>
        </w:rPr>
        <w:t>M.D.</w:t>
      </w:r>
    </w:p>
    <w:p w14:paraId="28E80554">
      <w:pPr>
        <w:pStyle w:val="3"/>
        <w:snapToGrid w:val="0"/>
        <w:spacing w:line="300" w:lineRule="auto"/>
        <w:ind w:left="0"/>
        <w:jc w:val="both"/>
        <w:rPr>
          <w:rFonts w:ascii="Arial" w:hAnsi="Arial" w:eastAsia="宋体" w:cs="Arial"/>
          <w:spacing w:val="-1"/>
          <w:lang w:eastAsia="zh-CN"/>
        </w:rPr>
      </w:pPr>
      <w:r>
        <w:rPr>
          <w:rFonts w:ascii="Arial" w:hAnsi="Arial" w:eastAsia="宋体" w:cs="Arial"/>
        </w:rPr>
        <w:t>Edith Irby Jones, M.D.</w:t>
      </w:r>
      <w:r>
        <w:rPr>
          <w:rFonts w:ascii="Arial" w:hAnsi="Arial" w:eastAsia="宋体" w:cs="Arial"/>
          <w:lang w:eastAsia="zh-CN"/>
        </w:rPr>
        <w:t>（消费者代表）</w:t>
      </w:r>
    </w:p>
    <w:p w14:paraId="136CDEE9">
      <w:pPr>
        <w:pStyle w:val="3"/>
        <w:snapToGrid w:val="0"/>
        <w:spacing w:line="300" w:lineRule="auto"/>
        <w:ind w:left="0"/>
        <w:jc w:val="both"/>
        <w:rPr>
          <w:rFonts w:ascii="Arial" w:hAnsi="Arial" w:eastAsia="宋体" w:cs="Arial"/>
          <w:lang w:eastAsia="zh-CN"/>
        </w:rPr>
      </w:pPr>
      <w:r>
        <w:rPr>
          <w:rFonts w:ascii="Arial" w:hAnsi="Arial" w:eastAsia="宋体" w:cs="Arial"/>
        </w:rPr>
        <w:t>Marvin</w:t>
      </w:r>
      <w:r>
        <w:rPr>
          <w:rFonts w:ascii="Arial" w:hAnsi="Arial" w:eastAsia="宋体" w:cs="Arial"/>
          <w:spacing w:val="-9"/>
        </w:rPr>
        <w:t xml:space="preserve"> </w:t>
      </w:r>
      <w:r>
        <w:rPr>
          <w:rFonts w:ascii="Arial" w:hAnsi="Arial" w:eastAsia="宋体" w:cs="Arial"/>
        </w:rPr>
        <w:t>L.</w:t>
      </w:r>
      <w:r>
        <w:rPr>
          <w:rFonts w:ascii="Arial" w:hAnsi="Arial" w:eastAsia="宋体" w:cs="Arial"/>
          <w:spacing w:val="-9"/>
        </w:rPr>
        <w:t xml:space="preserve"> </w:t>
      </w:r>
      <w:r>
        <w:rPr>
          <w:rFonts w:ascii="Arial" w:hAnsi="Arial" w:eastAsia="宋体" w:cs="Arial"/>
        </w:rPr>
        <w:t>Sussman,</w:t>
      </w:r>
      <w:r>
        <w:rPr>
          <w:rFonts w:ascii="Arial" w:hAnsi="Arial" w:eastAsia="宋体" w:cs="Arial"/>
          <w:spacing w:val="-9"/>
        </w:rPr>
        <w:t xml:space="preserve"> </w:t>
      </w:r>
      <w:r>
        <w:rPr>
          <w:rFonts w:ascii="Arial" w:hAnsi="Arial" w:eastAsia="宋体" w:cs="Arial"/>
        </w:rPr>
        <w:t>Ph.D.</w:t>
      </w:r>
      <w:r>
        <w:rPr>
          <w:rFonts w:ascii="Arial" w:hAnsi="Arial" w:eastAsia="宋体" w:cs="Arial"/>
          <w:spacing w:val="-9"/>
        </w:rPr>
        <w:t xml:space="preserve"> </w:t>
      </w:r>
      <w:r>
        <w:rPr>
          <w:rFonts w:ascii="Arial" w:hAnsi="Arial" w:eastAsia="宋体" w:cs="Arial"/>
          <w:lang w:eastAsia="zh-CN"/>
        </w:rPr>
        <w:t>（行业代表）</w:t>
      </w:r>
    </w:p>
    <w:p w14:paraId="6DAA161B">
      <w:pPr>
        <w:snapToGrid w:val="0"/>
        <w:spacing w:line="300" w:lineRule="auto"/>
        <w:jc w:val="both"/>
        <w:rPr>
          <w:rFonts w:ascii="Arial" w:hAnsi="Arial" w:eastAsia="宋体" w:cs="Arial"/>
          <w:sz w:val="24"/>
          <w:szCs w:val="24"/>
        </w:rPr>
      </w:pPr>
    </w:p>
    <w:p w14:paraId="2DE373C5">
      <w:pPr>
        <w:pStyle w:val="3"/>
        <w:snapToGrid w:val="0"/>
        <w:spacing w:line="300" w:lineRule="auto"/>
        <w:ind w:left="0"/>
        <w:jc w:val="both"/>
        <w:rPr>
          <w:rFonts w:ascii="Arial" w:hAnsi="Arial" w:eastAsia="宋体" w:cs="Arial"/>
          <w:u w:val="single"/>
        </w:rPr>
      </w:pPr>
      <w:r>
        <w:rPr>
          <w:rFonts w:ascii="Arial" w:hAnsi="Arial" w:eastAsia="宋体" w:cs="Arial"/>
          <w:u w:val="single"/>
          <w:lang w:eastAsia="zh-CN"/>
        </w:rPr>
        <w:t>小组顾问</w:t>
      </w:r>
    </w:p>
    <w:p w14:paraId="0BC70563">
      <w:pPr>
        <w:pStyle w:val="3"/>
        <w:snapToGrid w:val="0"/>
        <w:spacing w:before="7" w:line="300" w:lineRule="auto"/>
        <w:ind w:left="0"/>
        <w:jc w:val="both"/>
        <w:rPr>
          <w:rFonts w:ascii="Arial" w:hAnsi="Arial" w:eastAsia="宋体" w:cs="Arial"/>
          <w:spacing w:val="-1"/>
          <w:w w:val="99"/>
        </w:rPr>
      </w:pPr>
      <w:r>
        <w:rPr>
          <w:rFonts w:ascii="Arial" w:hAnsi="Arial" w:eastAsia="宋体" w:cs="Arial"/>
        </w:rPr>
        <w:t>Ruth B. Loewenson,</w:t>
      </w:r>
      <w:r>
        <w:rPr>
          <w:rFonts w:ascii="Arial" w:hAnsi="Arial" w:eastAsia="宋体" w:cs="Arial"/>
          <w:spacing w:val="-14"/>
        </w:rPr>
        <w:t xml:space="preserve"> </w:t>
      </w:r>
      <w:r>
        <w:rPr>
          <w:rFonts w:ascii="Arial" w:hAnsi="Arial" w:eastAsia="宋体" w:cs="Arial"/>
        </w:rPr>
        <w:t>Ph.D.</w:t>
      </w:r>
      <w:r>
        <w:rPr>
          <w:rFonts w:ascii="Arial" w:hAnsi="Arial" w:eastAsia="宋体" w:cs="Arial"/>
          <w:spacing w:val="-1"/>
          <w:w w:val="99"/>
        </w:rPr>
        <w:t xml:space="preserve"> </w:t>
      </w:r>
    </w:p>
    <w:p w14:paraId="13A1DCE7">
      <w:pPr>
        <w:pStyle w:val="3"/>
        <w:snapToGrid w:val="0"/>
        <w:spacing w:before="7" w:line="300" w:lineRule="auto"/>
        <w:ind w:left="0"/>
        <w:jc w:val="both"/>
        <w:rPr>
          <w:rFonts w:ascii="Arial" w:hAnsi="Arial" w:eastAsia="宋体" w:cs="Arial"/>
          <w:spacing w:val="-1"/>
          <w:w w:val="99"/>
        </w:rPr>
      </w:pPr>
      <w:r>
        <w:rPr>
          <w:rFonts w:ascii="Arial" w:hAnsi="Arial" w:eastAsia="宋体" w:cs="Arial"/>
        </w:rPr>
        <w:t>Wilbert Fordyce,</w:t>
      </w:r>
      <w:r>
        <w:rPr>
          <w:rFonts w:ascii="Arial" w:hAnsi="Arial" w:eastAsia="宋体" w:cs="Arial"/>
          <w:spacing w:val="-6"/>
        </w:rPr>
        <w:t xml:space="preserve"> </w:t>
      </w:r>
      <w:r>
        <w:rPr>
          <w:rFonts w:ascii="Arial" w:hAnsi="Arial" w:eastAsia="宋体" w:cs="Arial"/>
        </w:rPr>
        <w:t>Ph.D.</w:t>
      </w:r>
      <w:r>
        <w:rPr>
          <w:rFonts w:ascii="Arial" w:hAnsi="Arial" w:eastAsia="宋体" w:cs="Arial"/>
          <w:spacing w:val="-1"/>
          <w:w w:val="99"/>
        </w:rPr>
        <w:t xml:space="preserve"> </w:t>
      </w:r>
    </w:p>
    <w:p w14:paraId="4CC907C3">
      <w:pPr>
        <w:pStyle w:val="3"/>
        <w:snapToGrid w:val="0"/>
        <w:spacing w:before="7" w:line="300" w:lineRule="auto"/>
        <w:ind w:left="0"/>
        <w:jc w:val="both"/>
        <w:rPr>
          <w:rFonts w:ascii="Arial" w:hAnsi="Arial" w:eastAsia="宋体" w:cs="Arial"/>
        </w:rPr>
      </w:pPr>
      <w:r>
        <w:rPr>
          <w:rFonts w:ascii="Arial" w:hAnsi="Arial" w:eastAsia="宋体" w:cs="Arial"/>
        </w:rPr>
        <w:t>Michael H. Weisman, M.D.</w:t>
      </w:r>
    </w:p>
    <w:p w14:paraId="7D12AAC2">
      <w:pPr>
        <w:pStyle w:val="3"/>
        <w:snapToGrid w:val="0"/>
        <w:spacing w:line="300" w:lineRule="auto"/>
        <w:ind w:left="0"/>
        <w:jc w:val="both"/>
        <w:rPr>
          <w:rFonts w:ascii="Arial" w:hAnsi="Arial" w:eastAsia="宋体" w:cs="Arial"/>
          <w:spacing w:val="-1"/>
          <w:w w:val="99"/>
          <w:lang w:eastAsia="zh-CN"/>
        </w:rPr>
      </w:pPr>
      <w:r>
        <w:rPr>
          <w:rFonts w:ascii="Arial" w:hAnsi="Arial" w:eastAsia="宋体" w:cs="Arial"/>
        </w:rPr>
        <w:t>Mitchell</w:t>
      </w:r>
      <w:r>
        <w:rPr>
          <w:rFonts w:ascii="Arial" w:hAnsi="Arial" w:eastAsia="宋体" w:cs="Arial"/>
          <w:spacing w:val="-7"/>
        </w:rPr>
        <w:t xml:space="preserve"> </w:t>
      </w:r>
      <w:r>
        <w:rPr>
          <w:rFonts w:ascii="Arial" w:hAnsi="Arial" w:eastAsia="宋体" w:cs="Arial"/>
        </w:rPr>
        <w:t>Max,</w:t>
      </w:r>
      <w:r>
        <w:rPr>
          <w:rFonts w:ascii="Arial" w:hAnsi="Arial" w:eastAsia="宋体" w:cs="Arial"/>
          <w:spacing w:val="-7"/>
        </w:rPr>
        <w:t xml:space="preserve"> </w:t>
      </w:r>
      <w:r>
        <w:rPr>
          <w:rFonts w:ascii="Arial" w:hAnsi="Arial" w:eastAsia="宋体" w:cs="Arial"/>
        </w:rPr>
        <w:t>M.D.,</w:t>
      </w:r>
      <w:r>
        <w:rPr>
          <w:rFonts w:ascii="Arial" w:hAnsi="Arial" w:eastAsia="宋体" w:cs="Arial"/>
          <w:spacing w:val="-7"/>
        </w:rPr>
        <w:t xml:space="preserve"> </w:t>
      </w:r>
      <w:r>
        <w:rPr>
          <w:rFonts w:ascii="Arial" w:hAnsi="Arial" w:eastAsia="宋体" w:cs="Arial"/>
          <w:lang w:eastAsia="zh-CN"/>
        </w:rPr>
        <w:t>国立卫生研究院</w:t>
      </w:r>
      <w:r>
        <w:rPr>
          <w:rFonts w:ascii="Arial" w:hAnsi="Arial" w:eastAsia="宋体" w:cs="Arial"/>
          <w:spacing w:val="-7"/>
        </w:rPr>
        <w:t xml:space="preserve"> </w:t>
      </w:r>
      <w:r>
        <w:rPr>
          <w:rFonts w:ascii="Arial" w:hAnsi="Arial" w:eastAsia="宋体" w:cs="Arial"/>
        </w:rPr>
        <w:t>（NIH）</w:t>
      </w:r>
      <w:r>
        <w:rPr>
          <w:rFonts w:ascii="Arial" w:hAnsi="Arial" w:eastAsia="宋体" w:cs="Arial"/>
          <w:spacing w:val="-1"/>
          <w:w w:val="99"/>
        </w:rPr>
        <w:t xml:space="preserve"> </w:t>
      </w:r>
    </w:p>
    <w:p w14:paraId="7BD25511">
      <w:pPr>
        <w:pStyle w:val="3"/>
        <w:snapToGrid w:val="0"/>
        <w:spacing w:line="300" w:lineRule="auto"/>
        <w:ind w:left="0"/>
        <w:jc w:val="both"/>
        <w:rPr>
          <w:rFonts w:ascii="Arial" w:hAnsi="Arial" w:eastAsia="宋体" w:cs="Arial"/>
        </w:rPr>
      </w:pPr>
      <w:r>
        <w:rPr>
          <w:rFonts w:ascii="Arial" w:hAnsi="Arial" w:eastAsia="宋体" w:cs="Arial"/>
        </w:rPr>
        <w:t>Lawrence Friedman, M.D.</w:t>
      </w:r>
      <w:r>
        <w:rPr>
          <w:rFonts w:ascii="Arial" w:hAnsi="Arial" w:eastAsia="宋体" w:cs="Arial"/>
          <w:spacing w:val="-29"/>
        </w:rPr>
        <w:t xml:space="preserve"> </w:t>
      </w:r>
      <w:r>
        <w:rPr>
          <w:rFonts w:ascii="Arial" w:hAnsi="Arial" w:eastAsia="宋体" w:cs="Arial"/>
        </w:rPr>
        <w:t>（NIH）</w:t>
      </w:r>
    </w:p>
    <w:p w14:paraId="6EC90CD9">
      <w:pPr>
        <w:snapToGrid w:val="0"/>
        <w:spacing w:before="2" w:line="300" w:lineRule="auto"/>
        <w:jc w:val="both"/>
        <w:rPr>
          <w:rFonts w:ascii="Arial" w:hAnsi="Arial" w:eastAsia="宋体" w:cs="Arial"/>
          <w:sz w:val="25"/>
          <w:szCs w:val="25"/>
        </w:rPr>
      </w:pPr>
    </w:p>
    <w:p w14:paraId="21908B50">
      <w:pPr>
        <w:pStyle w:val="3"/>
        <w:snapToGrid w:val="0"/>
        <w:spacing w:line="300" w:lineRule="auto"/>
        <w:ind w:left="0"/>
        <w:jc w:val="both"/>
        <w:rPr>
          <w:rFonts w:ascii="Arial" w:hAnsi="Arial" w:eastAsia="宋体" w:cs="Arial"/>
        </w:rPr>
      </w:pPr>
      <w:r>
        <w:rPr>
          <w:rFonts w:ascii="Arial" w:hAnsi="Arial" w:eastAsia="宋体" w:cs="Arial"/>
          <w:u w:val="single" w:color="000000"/>
        </w:rPr>
        <w:t>FDA</w:t>
      </w:r>
      <w:r>
        <w:rPr>
          <w:rFonts w:ascii="Arial" w:hAnsi="Arial" w:eastAsia="宋体" w:cs="Arial"/>
          <w:spacing w:val="-19"/>
          <w:u w:val="single" w:color="000000"/>
        </w:rPr>
        <w:t xml:space="preserve"> </w:t>
      </w:r>
      <w:r>
        <w:rPr>
          <w:rFonts w:ascii="Arial" w:hAnsi="Arial" w:eastAsia="宋体" w:cs="Arial"/>
          <w:spacing w:val="-19"/>
          <w:u w:val="single" w:color="000000"/>
          <w:lang w:eastAsia="zh-CN"/>
        </w:rPr>
        <w:t>代表</w:t>
      </w:r>
    </w:p>
    <w:p w14:paraId="1C66BD96">
      <w:pPr>
        <w:pStyle w:val="3"/>
        <w:snapToGrid w:val="0"/>
        <w:spacing w:before="7" w:line="300" w:lineRule="auto"/>
        <w:ind w:left="0"/>
        <w:jc w:val="both"/>
        <w:rPr>
          <w:rFonts w:ascii="Arial" w:hAnsi="Arial" w:eastAsia="宋体" w:cs="Arial"/>
        </w:rPr>
      </w:pPr>
      <w:r>
        <w:rPr>
          <w:rFonts w:ascii="Arial" w:hAnsi="Arial" w:eastAsia="宋体" w:cs="Arial"/>
        </w:rPr>
        <w:t>George</w:t>
      </w:r>
      <w:r>
        <w:rPr>
          <w:rFonts w:ascii="Arial" w:hAnsi="Arial" w:eastAsia="宋体" w:cs="Arial"/>
          <w:spacing w:val="-8"/>
        </w:rPr>
        <w:t xml:space="preserve"> </w:t>
      </w:r>
      <w:r>
        <w:rPr>
          <w:rFonts w:ascii="Arial" w:hAnsi="Arial" w:eastAsia="宋体" w:cs="Arial"/>
        </w:rPr>
        <w:t>C.</w:t>
      </w:r>
      <w:r>
        <w:rPr>
          <w:rFonts w:ascii="Arial" w:hAnsi="Arial" w:eastAsia="宋体" w:cs="Arial"/>
          <w:spacing w:val="-8"/>
        </w:rPr>
        <w:t xml:space="preserve"> </w:t>
      </w:r>
      <w:r>
        <w:rPr>
          <w:rFonts w:ascii="Arial" w:hAnsi="Arial" w:eastAsia="宋体" w:cs="Arial"/>
        </w:rPr>
        <w:t>Murray,</w:t>
      </w:r>
      <w:r>
        <w:rPr>
          <w:rFonts w:ascii="Arial" w:hAnsi="Arial" w:eastAsia="宋体" w:cs="Arial"/>
          <w:spacing w:val="-8"/>
        </w:rPr>
        <w:t xml:space="preserve"> </w:t>
      </w:r>
      <w:r>
        <w:rPr>
          <w:rFonts w:ascii="Arial" w:hAnsi="Arial" w:eastAsia="宋体" w:cs="Arial"/>
        </w:rPr>
        <w:t>Ph.D.,</w:t>
      </w:r>
      <w:r>
        <w:rPr>
          <w:rFonts w:ascii="Arial" w:hAnsi="Arial" w:eastAsia="宋体" w:cs="Arial"/>
          <w:spacing w:val="-8"/>
        </w:rPr>
        <w:t xml:space="preserve"> </w:t>
      </w:r>
      <w:r>
        <w:rPr>
          <w:rFonts w:ascii="Arial" w:hAnsi="Arial" w:eastAsia="宋体" w:cs="Arial"/>
        </w:rPr>
        <w:t>主任，</w:t>
      </w:r>
      <w:r>
        <w:rPr>
          <w:rFonts w:ascii="Arial" w:hAnsi="Arial" w:eastAsia="宋体" w:cs="Arial"/>
          <w:spacing w:val="-8"/>
        </w:rPr>
        <w:t>麻醉学部门，神经学和放射学设备</w:t>
      </w:r>
      <w:r>
        <w:rPr>
          <w:rFonts w:ascii="Arial" w:hAnsi="Arial" w:eastAsia="宋体" w:cs="Arial"/>
        </w:rPr>
        <w:t xml:space="preserve"> （DANRD）, </w:t>
      </w:r>
    </w:p>
    <w:p w14:paraId="554AD07E">
      <w:pPr>
        <w:pStyle w:val="3"/>
        <w:snapToGrid w:val="0"/>
        <w:spacing w:before="7" w:line="300" w:lineRule="auto"/>
        <w:ind w:left="0"/>
        <w:jc w:val="both"/>
        <w:rPr>
          <w:rFonts w:ascii="Arial" w:hAnsi="Arial" w:eastAsia="宋体" w:cs="Arial"/>
          <w:lang w:eastAsia="zh-CN"/>
        </w:rPr>
      </w:pPr>
      <w:r>
        <w:rPr>
          <w:rFonts w:ascii="Arial" w:hAnsi="Arial" w:eastAsia="宋体" w:cs="Arial"/>
          <w:lang w:eastAsia="zh-CN"/>
        </w:rPr>
        <w:t>器械评估办公室 （ODE）, 器械与放射健康中心（CDRH）.</w:t>
      </w:r>
    </w:p>
    <w:p w14:paraId="344A8D81">
      <w:pPr>
        <w:pStyle w:val="3"/>
        <w:snapToGrid w:val="0"/>
        <w:spacing w:line="300" w:lineRule="auto"/>
        <w:ind w:left="0"/>
        <w:jc w:val="both"/>
        <w:rPr>
          <w:rFonts w:ascii="Arial" w:hAnsi="Arial" w:eastAsia="宋体" w:cs="Arial"/>
        </w:rPr>
      </w:pPr>
      <w:r>
        <w:rPr>
          <w:rFonts w:ascii="Arial" w:hAnsi="Arial" w:eastAsia="宋体" w:cs="Arial"/>
        </w:rPr>
        <w:t>Carolyn</w:t>
      </w:r>
      <w:r>
        <w:rPr>
          <w:rFonts w:ascii="Arial" w:hAnsi="Arial" w:eastAsia="宋体" w:cs="Arial"/>
          <w:spacing w:val="-8"/>
        </w:rPr>
        <w:t xml:space="preserve"> </w:t>
      </w:r>
      <w:r>
        <w:rPr>
          <w:rFonts w:ascii="Arial" w:hAnsi="Arial" w:eastAsia="宋体" w:cs="Arial"/>
        </w:rPr>
        <w:t>Deffer,</w:t>
      </w:r>
      <w:r>
        <w:rPr>
          <w:rFonts w:ascii="Arial" w:hAnsi="Arial" w:eastAsia="宋体" w:cs="Arial"/>
          <w:spacing w:val="-8"/>
        </w:rPr>
        <w:t xml:space="preserve"> </w:t>
      </w:r>
      <w:r>
        <w:rPr>
          <w:rFonts w:ascii="Arial" w:hAnsi="Arial" w:eastAsia="宋体" w:cs="Arial"/>
          <w:lang w:eastAsia="zh-CN"/>
        </w:rPr>
        <w:t>副</w:t>
      </w:r>
      <w:r>
        <w:rPr>
          <w:rFonts w:ascii="Arial" w:hAnsi="Arial" w:eastAsia="宋体" w:cs="Arial"/>
        </w:rPr>
        <w:t>主任，</w:t>
      </w:r>
      <w:r>
        <w:rPr>
          <w:rFonts w:ascii="Arial" w:hAnsi="Arial" w:eastAsia="宋体" w:cs="Arial"/>
          <w:spacing w:val="-8"/>
        </w:rPr>
        <w:t xml:space="preserve"> </w:t>
      </w:r>
      <w:r>
        <w:rPr>
          <w:rFonts w:ascii="Arial" w:hAnsi="Arial" w:eastAsia="宋体" w:cs="Arial"/>
        </w:rPr>
        <w:t>DANRD,</w:t>
      </w:r>
      <w:r>
        <w:rPr>
          <w:rFonts w:ascii="Arial" w:hAnsi="Arial" w:eastAsia="宋体" w:cs="Arial"/>
          <w:spacing w:val="-8"/>
        </w:rPr>
        <w:t xml:space="preserve"> </w:t>
      </w:r>
      <w:r>
        <w:rPr>
          <w:rFonts w:ascii="Arial" w:hAnsi="Arial" w:eastAsia="宋体" w:cs="Arial"/>
        </w:rPr>
        <w:t>ODE,</w:t>
      </w:r>
      <w:r>
        <w:rPr>
          <w:rFonts w:ascii="Arial" w:hAnsi="Arial" w:eastAsia="宋体" w:cs="Arial"/>
          <w:spacing w:val="-8"/>
        </w:rPr>
        <w:t xml:space="preserve"> </w:t>
      </w:r>
      <w:r>
        <w:rPr>
          <w:rFonts w:ascii="Arial" w:hAnsi="Arial" w:eastAsia="宋体" w:cs="Arial"/>
        </w:rPr>
        <w:t>CDRH</w:t>
      </w:r>
    </w:p>
    <w:p w14:paraId="5A1FAE92">
      <w:pPr>
        <w:pStyle w:val="3"/>
        <w:snapToGrid w:val="0"/>
        <w:spacing w:before="7" w:line="300" w:lineRule="auto"/>
        <w:ind w:left="0"/>
        <w:jc w:val="both"/>
        <w:rPr>
          <w:rFonts w:ascii="Arial" w:hAnsi="Arial" w:eastAsia="宋体" w:cs="Arial"/>
        </w:rPr>
      </w:pPr>
      <w:r>
        <w:rPr>
          <w:rFonts w:ascii="Arial" w:hAnsi="Arial" w:eastAsia="宋体" w:cs="Arial"/>
        </w:rPr>
        <w:t>Richard</w:t>
      </w:r>
      <w:r>
        <w:rPr>
          <w:rFonts w:ascii="Arial" w:hAnsi="Arial" w:eastAsia="宋体" w:cs="Arial"/>
          <w:spacing w:val="-7"/>
        </w:rPr>
        <w:t xml:space="preserve"> </w:t>
      </w:r>
      <w:r>
        <w:rPr>
          <w:rFonts w:ascii="Arial" w:hAnsi="Arial" w:eastAsia="宋体" w:cs="Arial"/>
        </w:rPr>
        <w:t>Chiacchierini,</w:t>
      </w:r>
      <w:r>
        <w:rPr>
          <w:rFonts w:ascii="Arial" w:hAnsi="Arial" w:eastAsia="宋体" w:cs="Arial"/>
          <w:spacing w:val="-7"/>
        </w:rPr>
        <w:t xml:space="preserve"> </w:t>
      </w:r>
      <w:r>
        <w:rPr>
          <w:rFonts w:ascii="Arial" w:hAnsi="Arial" w:eastAsia="宋体" w:cs="Arial"/>
        </w:rPr>
        <w:t>Ph.D.,</w:t>
      </w:r>
      <w:r>
        <w:rPr>
          <w:rFonts w:ascii="Arial" w:hAnsi="Arial" w:eastAsia="宋体" w:cs="Arial"/>
          <w:spacing w:val="-7"/>
        </w:rPr>
        <w:t xml:space="preserve"> </w:t>
      </w:r>
      <w:r>
        <w:rPr>
          <w:rFonts w:ascii="Arial" w:hAnsi="Arial" w:eastAsia="宋体" w:cs="Arial"/>
        </w:rPr>
        <w:t>主任，</w:t>
      </w:r>
      <w:r>
        <w:rPr>
          <w:rFonts w:ascii="Arial" w:hAnsi="Arial" w:eastAsia="宋体" w:cs="Arial"/>
          <w:lang w:eastAsia="zh-CN"/>
        </w:rPr>
        <w:t>计量生物学部门</w:t>
      </w:r>
      <w:r>
        <w:rPr>
          <w:rFonts w:ascii="Arial" w:hAnsi="Arial" w:eastAsia="宋体" w:cs="Arial"/>
        </w:rPr>
        <w:t>,</w:t>
      </w:r>
      <w:r>
        <w:rPr>
          <w:rFonts w:ascii="Arial" w:hAnsi="Arial" w:eastAsia="宋体" w:cs="Arial"/>
          <w:spacing w:val="-7"/>
        </w:rPr>
        <w:t xml:space="preserve"> </w:t>
      </w:r>
      <w:r>
        <w:rPr>
          <w:rFonts w:ascii="Arial" w:hAnsi="Arial" w:eastAsia="宋体" w:cs="Arial"/>
          <w:lang w:eastAsia="zh-CN"/>
        </w:rPr>
        <w:t>科学与技术办公室</w:t>
      </w:r>
      <w:r>
        <w:rPr>
          <w:rFonts w:ascii="Arial" w:hAnsi="Arial" w:eastAsia="宋体" w:cs="Arial"/>
        </w:rPr>
        <w:t>,</w:t>
      </w:r>
      <w:r>
        <w:rPr>
          <w:rFonts w:ascii="Arial" w:hAnsi="Arial" w:eastAsia="宋体" w:cs="Arial"/>
          <w:spacing w:val="-16"/>
        </w:rPr>
        <w:t xml:space="preserve"> </w:t>
      </w:r>
      <w:r>
        <w:rPr>
          <w:rFonts w:ascii="Arial" w:hAnsi="Arial" w:eastAsia="宋体" w:cs="Arial"/>
        </w:rPr>
        <w:t>CDRH</w:t>
      </w:r>
    </w:p>
    <w:p w14:paraId="30D428AF">
      <w:pPr>
        <w:pStyle w:val="3"/>
        <w:snapToGrid w:val="0"/>
        <w:spacing w:line="300" w:lineRule="auto"/>
        <w:ind w:left="0"/>
        <w:jc w:val="both"/>
        <w:rPr>
          <w:rFonts w:ascii="Arial" w:hAnsi="Arial" w:eastAsia="宋体" w:cs="Arial"/>
        </w:rPr>
      </w:pPr>
      <w:r>
        <w:rPr>
          <w:rFonts w:ascii="Arial" w:hAnsi="Arial" w:eastAsia="宋体" w:cs="Arial"/>
        </w:rPr>
        <w:t xml:space="preserve">Robert F. Munzner, Ph.D., </w:t>
      </w:r>
      <w:r>
        <w:rPr>
          <w:rFonts w:ascii="Arial" w:hAnsi="Arial" w:eastAsia="宋体" w:cs="Arial"/>
          <w:lang w:eastAsia="zh-CN"/>
        </w:rPr>
        <w:t>行政秘书</w:t>
      </w:r>
      <w:r>
        <w:rPr>
          <w:rFonts w:ascii="Arial" w:hAnsi="Arial" w:eastAsia="宋体" w:cs="Arial"/>
        </w:rPr>
        <w:t xml:space="preserve">, </w:t>
      </w:r>
      <w:r>
        <w:rPr>
          <w:rFonts w:ascii="Arial" w:hAnsi="Arial" w:eastAsia="宋体" w:cs="Arial"/>
          <w:lang w:eastAsia="zh-CN"/>
        </w:rPr>
        <w:t>神经学器械小组</w:t>
      </w:r>
      <w:r>
        <w:rPr>
          <w:rFonts w:ascii="Arial" w:hAnsi="Arial" w:eastAsia="宋体" w:cs="Arial"/>
        </w:rPr>
        <w:t>, DANRD,</w:t>
      </w:r>
      <w:r>
        <w:rPr>
          <w:rFonts w:ascii="Arial" w:hAnsi="Arial" w:eastAsia="宋体" w:cs="Arial"/>
          <w:spacing w:val="-10"/>
        </w:rPr>
        <w:t xml:space="preserve"> </w:t>
      </w:r>
      <w:r>
        <w:rPr>
          <w:rFonts w:ascii="Arial" w:hAnsi="Arial" w:eastAsia="宋体" w:cs="Arial"/>
        </w:rPr>
        <w:t>ODE,</w:t>
      </w:r>
      <w:r>
        <w:rPr>
          <w:rFonts w:ascii="Arial" w:hAnsi="Arial" w:eastAsia="宋体" w:cs="Arial"/>
          <w:spacing w:val="-1"/>
        </w:rPr>
        <w:t xml:space="preserve"> </w:t>
      </w:r>
      <w:r>
        <w:rPr>
          <w:rFonts w:ascii="Arial" w:hAnsi="Arial" w:eastAsia="宋体" w:cs="Arial"/>
        </w:rPr>
        <w:t>CDRH</w:t>
      </w:r>
    </w:p>
    <w:p w14:paraId="27F26E60">
      <w:pPr>
        <w:pStyle w:val="3"/>
        <w:snapToGrid w:val="0"/>
        <w:spacing w:line="300" w:lineRule="auto"/>
        <w:ind w:left="0"/>
        <w:jc w:val="both"/>
        <w:rPr>
          <w:rFonts w:ascii="Arial" w:hAnsi="Arial" w:eastAsia="宋体" w:cs="Arial"/>
          <w:lang w:eastAsia="zh-CN"/>
        </w:rPr>
      </w:pPr>
      <w:r>
        <w:rPr>
          <w:rFonts w:ascii="Arial" w:hAnsi="Arial" w:eastAsia="宋体" w:cs="Arial"/>
        </w:rPr>
        <w:t>John</w:t>
      </w:r>
      <w:r>
        <w:rPr>
          <w:rFonts w:ascii="Arial" w:hAnsi="Arial" w:eastAsia="宋体" w:cs="Arial"/>
          <w:spacing w:val="-6"/>
        </w:rPr>
        <w:t xml:space="preserve"> </w:t>
      </w:r>
      <w:r>
        <w:rPr>
          <w:rFonts w:ascii="Arial" w:hAnsi="Arial" w:eastAsia="宋体" w:cs="Arial"/>
        </w:rPr>
        <w:t>G.</w:t>
      </w:r>
      <w:r>
        <w:rPr>
          <w:rFonts w:ascii="Arial" w:hAnsi="Arial" w:eastAsia="宋体" w:cs="Arial"/>
          <w:spacing w:val="-6"/>
        </w:rPr>
        <w:t xml:space="preserve"> </w:t>
      </w:r>
      <w:r>
        <w:rPr>
          <w:rFonts w:ascii="Arial" w:hAnsi="Arial" w:eastAsia="宋体" w:cs="Arial"/>
        </w:rPr>
        <w:t>Harter,</w:t>
      </w:r>
      <w:r>
        <w:rPr>
          <w:rFonts w:ascii="Arial" w:hAnsi="Arial" w:eastAsia="宋体" w:cs="Arial"/>
          <w:spacing w:val="-6"/>
        </w:rPr>
        <w:t xml:space="preserve"> </w:t>
      </w:r>
      <w:r>
        <w:rPr>
          <w:rFonts w:ascii="Arial" w:hAnsi="Arial" w:eastAsia="宋体" w:cs="Arial"/>
        </w:rPr>
        <w:t>M.D.,</w:t>
      </w:r>
      <w:r>
        <w:rPr>
          <w:rFonts w:ascii="Arial" w:hAnsi="Arial" w:eastAsia="宋体" w:cs="Arial"/>
          <w:spacing w:val="-6"/>
        </w:rPr>
        <w:t xml:space="preserve"> </w:t>
      </w:r>
      <w:r>
        <w:rPr>
          <w:rFonts w:ascii="Arial" w:hAnsi="Arial" w:eastAsia="宋体" w:cs="Arial"/>
        </w:rPr>
        <w:t>药物评价与研究中心</w:t>
      </w:r>
    </w:p>
    <w:p w14:paraId="1C5CFD5F">
      <w:pPr>
        <w:pStyle w:val="3"/>
        <w:snapToGrid w:val="0"/>
        <w:spacing w:line="300" w:lineRule="auto"/>
        <w:ind w:left="0"/>
        <w:jc w:val="both"/>
        <w:rPr>
          <w:rFonts w:ascii="Arial" w:hAnsi="Arial" w:eastAsia="宋体" w:cs="Arial"/>
        </w:rPr>
      </w:pPr>
      <w:r>
        <w:rPr>
          <w:rFonts w:ascii="Arial" w:hAnsi="Arial" w:eastAsia="宋体" w:cs="Arial"/>
        </w:rPr>
        <w:t>John Dawson, DANRD, ODE,</w:t>
      </w:r>
      <w:r>
        <w:rPr>
          <w:rFonts w:ascii="Arial" w:hAnsi="Arial" w:eastAsia="宋体" w:cs="Arial"/>
          <w:spacing w:val="-1"/>
        </w:rPr>
        <w:t xml:space="preserve"> </w:t>
      </w:r>
      <w:r>
        <w:rPr>
          <w:rFonts w:ascii="Arial" w:hAnsi="Arial" w:eastAsia="宋体" w:cs="Arial"/>
        </w:rPr>
        <w:t>CDRH</w:t>
      </w:r>
    </w:p>
    <w:p w14:paraId="4E09B2B1">
      <w:pPr>
        <w:pStyle w:val="3"/>
        <w:snapToGrid w:val="0"/>
        <w:spacing w:line="300" w:lineRule="auto"/>
        <w:ind w:left="0"/>
        <w:jc w:val="both"/>
        <w:rPr>
          <w:rFonts w:ascii="Arial" w:hAnsi="Arial" w:eastAsia="宋体" w:cs="Arial"/>
          <w:spacing w:val="-1"/>
          <w:w w:val="99"/>
          <w:lang w:eastAsia="zh-CN"/>
        </w:rPr>
      </w:pPr>
      <w:r>
        <w:rPr>
          <w:rFonts w:ascii="Arial" w:hAnsi="Arial" w:eastAsia="宋体" w:cs="Arial"/>
        </w:rPr>
        <w:t>Doyle Gantt, DANRD, ODE,</w:t>
      </w:r>
      <w:r>
        <w:rPr>
          <w:rFonts w:ascii="Arial" w:hAnsi="Arial" w:eastAsia="宋体" w:cs="Arial"/>
          <w:spacing w:val="-13"/>
        </w:rPr>
        <w:t xml:space="preserve"> </w:t>
      </w:r>
      <w:r>
        <w:rPr>
          <w:rFonts w:ascii="Arial" w:hAnsi="Arial" w:eastAsia="宋体" w:cs="Arial"/>
        </w:rPr>
        <w:t>CDRH</w:t>
      </w:r>
      <w:r>
        <w:rPr>
          <w:rFonts w:ascii="Arial" w:hAnsi="Arial" w:eastAsia="宋体" w:cs="Arial"/>
          <w:spacing w:val="-1"/>
          <w:w w:val="99"/>
        </w:rPr>
        <w:t xml:space="preserve"> </w:t>
      </w:r>
    </w:p>
    <w:p w14:paraId="49001498">
      <w:pPr>
        <w:pStyle w:val="3"/>
        <w:snapToGrid w:val="0"/>
        <w:spacing w:line="300" w:lineRule="auto"/>
        <w:ind w:left="0"/>
        <w:jc w:val="both"/>
        <w:rPr>
          <w:rFonts w:ascii="Arial" w:hAnsi="Arial" w:eastAsia="宋体" w:cs="Arial"/>
        </w:rPr>
      </w:pPr>
      <w:r>
        <w:rPr>
          <w:rFonts w:ascii="Arial" w:hAnsi="Arial" w:eastAsia="宋体" w:cs="Arial"/>
        </w:rPr>
        <w:t>Julie Hollander, DANRD, ODE,</w:t>
      </w:r>
      <w:r>
        <w:rPr>
          <w:rFonts w:ascii="Arial" w:hAnsi="Arial" w:eastAsia="宋体" w:cs="Arial"/>
          <w:spacing w:val="-1"/>
        </w:rPr>
        <w:t xml:space="preserve"> </w:t>
      </w:r>
      <w:r>
        <w:rPr>
          <w:rFonts w:ascii="Arial" w:hAnsi="Arial" w:eastAsia="宋体" w:cs="Arial"/>
        </w:rPr>
        <w:t>CDRH</w:t>
      </w:r>
    </w:p>
    <w:p w14:paraId="6A1EB721">
      <w:pPr>
        <w:snapToGrid w:val="0"/>
        <w:spacing w:before="6" w:line="300" w:lineRule="auto"/>
        <w:jc w:val="both"/>
        <w:rPr>
          <w:rFonts w:ascii="Arial" w:hAnsi="Arial" w:eastAsia="宋体" w:cs="Arial"/>
          <w:sz w:val="24"/>
          <w:szCs w:val="24"/>
        </w:rPr>
      </w:pPr>
    </w:p>
    <w:p w14:paraId="3C9C8EE9">
      <w:pPr>
        <w:pStyle w:val="3"/>
        <w:snapToGrid w:val="0"/>
        <w:spacing w:line="300" w:lineRule="auto"/>
        <w:ind w:left="0"/>
        <w:jc w:val="both"/>
        <w:rPr>
          <w:rFonts w:ascii="Arial" w:hAnsi="Arial" w:eastAsia="宋体" w:cs="Arial"/>
          <w:u w:val="single"/>
        </w:rPr>
      </w:pPr>
      <w:r>
        <w:rPr>
          <w:rFonts w:ascii="Arial" w:hAnsi="Arial" w:eastAsia="宋体" w:cs="Arial"/>
          <w:u w:val="single"/>
          <w:lang w:eastAsia="zh-CN"/>
        </w:rPr>
        <w:t>听众</w:t>
      </w:r>
    </w:p>
    <w:p w14:paraId="077A753E">
      <w:pPr>
        <w:pStyle w:val="3"/>
        <w:snapToGrid w:val="0"/>
        <w:spacing w:before="7" w:line="300" w:lineRule="auto"/>
        <w:ind w:left="0"/>
        <w:rPr>
          <w:rFonts w:ascii="Arial" w:hAnsi="Arial" w:eastAsia="宋体" w:cs="Arial"/>
          <w:spacing w:val="-1"/>
          <w:lang w:eastAsia="zh-CN"/>
        </w:rPr>
      </w:pPr>
      <w:r>
        <w:rPr>
          <w:rFonts w:ascii="Arial" w:hAnsi="Arial" w:eastAsia="宋体" w:cs="Arial"/>
        </w:rPr>
        <w:t>Kelvyn H. Cullimore,</w:t>
      </w:r>
      <w:r>
        <w:rPr>
          <w:rFonts w:ascii="Arial" w:hAnsi="Arial" w:eastAsia="宋体" w:cs="Arial"/>
          <w:spacing w:val="-10"/>
        </w:rPr>
        <w:t xml:space="preserve"> </w:t>
      </w:r>
      <w:r>
        <w:rPr>
          <w:rFonts w:ascii="Arial" w:hAnsi="Arial" w:eastAsia="宋体" w:cs="Arial"/>
        </w:rPr>
        <w:t>Dynatronics</w:t>
      </w:r>
      <w:r>
        <w:rPr>
          <w:rFonts w:ascii="Arial" w:hAnsi="Arial" w:eastAsia="宋体" w:cs="Arial"/>
          <w:spacing w:val="-1"/>
        </w:rPr>
        <w:t xml:space="preserve"> </w:t>
      </w:r>
      <w:r>
        <w:rPr>
          <w:rFonts w:ascii="Arial" w:hAnsi="Arial" w:eastAsia="宋体" w:cs="Arial"/>
        </w:rPr>
        <w:t>William Beaver, M.D.,</w:t>
      </w:r>
      <w:r>
        <w:rPr>
          <w:rFonts w:ascii="Arial" w:hAnsi="Arial" w:eastAsia="宋体" w:cs="Arial"/>
          <w:spacing w:val="-12"/>
        </w:rPr>
        <w:t xml:space="preserve"> </w:t>
      </w:r>
      <w:r>
        <w:rPr>
          <w:rFonts w:ascii="Arial" w:hAnsi="Arial" w:eastAsia="宋体" w:cs="Arial"/>
          <w:spacing w:val="-12"/>
        </w:rPr>
        <w:br w:type="textWrapping"/>
      </w:r>
      <w:r>
        <w:rPr>
          <w:rFonts w:ascii="Arial" w:hAnsi="Arial" w:eastAsia="宋体" w:cs="Arial"/>
        </w:rPr>
        <w:t>Dynatronics</w:t>
      </w:r>
      <w:r>
        <w:rPr>
          <w:rFonts w:ascii="Arial" w:hAnsi="Arial" w:eastAsia="宋体" w:cs="Arial"/>
          <w:spacing w:val="-1"/>
        </w:rPr>
        <w:t xml:space="preserve"> </w:t>
      </w:r>
      <w:r>
        <w:rPr>
          <w:rFonts w:ascii="Arial" w:hAnsi="Arial" w:eastAsia="宋体" w:cs="Arial"/>
        </w:rPr>
        <w:t>Kenneth Nudleman, M.D.,</w:t>
      </w:r>
      <w:r>
        <w:rPr>
          <w:rFonts w:ascii="Arial" w:hAnsi="Arial" w:eastAsia="宋体" w:cs="Arial"/>
          <w:spacing w:val="-28"/>
        </w:rPr>
        <w:t xml:space="preserve"> </w:t>
      </w:r>
      <w:r>
        <w:rPr>
          <w:rFonts w:ascii="Arial" w:hAnsi="Arial" w:eastAsia="宋体" w:cs="Arial"/>
        </w:rPr>
        <w:t>Dynatronics</w:t>
      </w:r>
      <w:r>
        <w:rPr>
          <w:rFonts w:ascii="Arial" w:hAnsi="Arial" w:eastAsia="宋体" w:cs="Arial"/>
          <w:spacing w:val="-1"/>
        </w:rPr>
        <w:t xml:space="preserve"> </w:t>
      </w:r>
      <w:r>
        <w:rPr>
          <w:rFonts w:ascii="Arial" w:hAnsi="Arial" w:eastAsia="宋体" w:cs="Arial"/>
        </w:rPr>
        <w:t>John Burkart, Ph.D.,</w:t>
      </w:r>
      <w:r>
        <w:rPr>
          <w:rFonts w:ascii="Arial" w:hAnsi="Arial" w:eastAsia="宋体" w:cs="Arial"/>
          <w:spacing w:val="-9"/>
        </w:rPr>
        <w:t xml:space="preserve"> </w:t>
      </w:r>
      <w:r>
        <w:rPr>
          <w:rFonts w:ascii="Arial" w:hAnsi="Arial" w:eastAsia="宋体" w:cs="Arial"/>
        </w:rPr>
        <w:t>Dynatronics</w:t>
      </w:r>
      <w:r>
        <w:rPr>
          <w:rFonts w:ascii="Arial" w:hAnsi="Arial" w:eastAsia="宋体" w:cs="Arial"/>
          <w:spacing w:val="-1"/>
        </w:rPr>
        <w:t xml:space="preserve"> </w:t>
      </w:r>
    </w:p>
    <w:p w14:paraId="2DBEECAB">
      <w:pPr>
        <w:pStyle w:val="3"/>
        <w:snapToGrid w:val="0"/>
        <w:spacing w:before="7" w:line="300" w:lineRule="auto"/>
        <w:ind w:left="0"/>
        <w:rPr>
          <w:rFonts w:ascii="Arial" w:hAnsi="Arial" w:eastAsia="宋体" w:cs="Arial"/>
          <w:spacing w:val="-1"/>
          <w:lang w:eastAsia="zh-CN"/>
        </w:rPr>
      </w:pPr>
      <w:r>
        <w:rPr>
          <w:rFonts w:ascii="Arial" w:hAnsi="Arial" w:eastAsia="宋体" w:cs="Arial"/>
        </w:rPr>
        <w:t>Kelvyn W. Cullimore, Jr.,</w:t>
      </w:r>
      <w:r>
        <w:rPr>
          <w:rFonts w:ascii="Arial" w:hAnsi="Arial" w:eastAsia="宋体" w:cs="Arial"/>
          <w:spacing w:val="-25"/>
        </w:rPr>
        <w:t xml:space="preserve"> </w:t>
      </w:r>
      <w:r>
        <w:rPr>
          <w:rFonts w:ascii="Arial" w:hAnsi="Arial" w:eastAsia="宋体" w:cs="Arial"/>
        </w:rPr>
        <w:t>Dynatronics</w:t>
      </w:r>
      <w:r>
        <w:rPr>
          <w:rFonts w:ascii="Arial" w:hAnsi="Arial" w:eastAsia="宋体" w:cs="Arial"/>
          <w:spacing w:val="-1"/>
        </w:rPr>
        <w:t xml:space="preserve"> </w:t>
      </w:r>
    </w:p>
    <w:p w14:paraId="0839F7EA">
      <w:pPr>
        <w:pStyle w:val="3"/>
        <w:snapToGrid w:val="0"/>
        <w:spacing w:before="7" w:line="300" w:lineRule="auto"/>
        <w:ind w:left="0"/>
        <w:rPr>
          <w:rFonts w:ascii="Arial" w:hAnsi="Arial" w:eastAsia="宋体" w:cs="Arial"/>
        </w:rPr>
      </w:pPr>
      <w:r>
        <w:rPr>
          <w:rFonts w:ascii="Arial" w:hAnsi="Arial" w:eastAsia="宋体" w:cs="Arial"/>
        </w:rPr>
        <w:t>Kay Cullimore,</w:t>
      </w:r>
      <w:r>
        <w:rPr>
          <w:rFonts w:ascii="Arial" w:hAnsi="Arial" w:eastAsia="宋体" w:cs="Arial"/>
          <w:spacing w:val="-26"/>
        </w:rPr>
        <w:t xml:space="preserve"> </w:t>
      </w:r>
      <w:r>
        <w:rPr>
          <w:rFonts w:ascii="Arial" w:hAnsi="Arial" w:eastAsia="宋体" w:cs="Arial"/>
        </w:rPr>
        <w:t>Dynatronics</w:t>
      </w:r>
    </w:p>
    <w:p w14:paraId="251F9649">
      <w:pPr>
        <w:pStyle w:val="3"/>
        <w:snapToGrid w:val="0"/>
        <w:spacing w:line="300" w:lineRule="auto"/>
        <w:ind w:left="0"/>
        <w:rPr>
          <w:rFonts w:ascii="Arial" w:hAnsi="Arial" w:eastAsia="宋体" w:cs="Arial"/>
          <w:spacing w:val="-1"/>
          <w:lang w:eastAsia="zh-CN"/>
        </w:rPr>
      </w:pPr>
      <w:r>
        <w:rPr>
          <w:rFonts w:ascii="Arial" w:hAnsi="Arial" w:eastAsia="宋体" w:cs="Arial"/>
        </w:rPr>
        <w:t>Steve Woodhead,</w:t>
      </w:r>
      <w:r>
        <w:rPr>
          <w:rFonts w:ascii="Arial" w:hAnsi="Arial" w:eastAsia="宋体" w:cs="Arial"/>
          <w:spacing w:val="-7"/>
        </w:rPr>
        <w:t xml:space="preserve"> </w:t>
      </w:r>
      <w:r>
        <w:rPr>
          <w:rFonts w:ascii="Arial" w:hAnsi="Arial" w:eastAsia="宋体" w:cs="Arial"/>
        </w:rPr>
        <w:t>Dynatronics</w:t>
      </w:r>
      <w:r>
        <w:rPr>
          <w:rFonts w:ascii="Arial" w:hAnsi="Arial" w:eastAsia="宋体" w:cs="Arial"/>
          <w:spacing w:val="-1"/>
        </w:rPr>
        <w:t xml:space="preserve"> </w:t>
      </w:r>
    </w:p>
    <w:p w14:paraId="76A946E8">
      <w:pPr>
        <w:pStyle w:val="3"/>
        <w:snapToGrid w:val="0"/>
        <w:spacing w:line="300" w:lineRule="auto"/>
        <w:ind w:left="0"/>
        <w:rPr>
          <w:rFonts w:ascii="Arial" w:hAnsi="Arial" w:eastAsia="宋体" w:cs="Arial"/>
          <w:lang w:eastAsia="zh-CN"/>
        </w:rPr>
      </w:pPr>
      <w:r>
        <w:rPr>
          <w:rFonts w:ascii="Arial" w:hAnsi="Arial" w:eastAsia="宋体" w:cs="Arial"/>
        </w:rPr>
        <w:t>Lawrence Altshuller, M.D.,</w:t>
      </w:r>
      <w:r>
        <w:rPr>
          <w:rFonts w:ascii="Arial" w:hAnsi="Arial" w:eastAsia="宋体" w:cs="Arial"/>
          <w:spacing w:val="-38"/>
        </w:rPr>
        <w:t xml:space="preserve"> </w:t>
      </w:r>
      <w:r>
        <w:rPr>
          <w:rFonts w:ascii="Arial" w:hAnsi="Arial" w:eastAsia="宋体" w:cs="Arial"/>
        </w:rPr>
        <w:t>Dynatronics</w:t>
      </w:r>
    </w:p>
    <w:p w14:paraId="268AA75C">
      <w:pPr>
        <w:pStyle w:val="3"/>
        <w:snapToGrid w:val="0"/>
        <w:spacing w:before="53" w:line="300" w:lineRule="auto"/>
        <w:ind w:left="0"/>
        <w:rPr>
          <w:rFonts w:ascii="Arial" w:hAnsi="Arial" w:eastAsia="宋体" w:cs="Arial"/>
        </w:rPr>
      </w:pPr>
      <w:r>
        <w:rPr>
          <w:rFonts w:ascii="Arial" w:hAnsi="Arial" w:eastAsia="宋体" w:cs="Arial"/>
        </w:rPr>
        <w:t>Edward Loeser, M.D.,</w:t>
      </w:r>
      <w:r>
        <w:rPr>
          <w:rFonts w:ascii="Arial" w:hAnsi="Arial" w:eastAsia="宋体" w:cs="Arial"/>
          <w:spacing w:val="-24"/>
        </w:rPr>
        <w:t xml:space="preserve"> </w:t>
      </w:r>
      <w:r>
        <w:rPr>
          <w:rFonts w:ascii="Arial" w:hAnsi="Arial" w:eastAsia="宋体" w:cs="Arial"/>
        </w:rPr>
        <w:t>Dynatronics</w:t>
      </w:r>
      <w:r>
        <w:rPr>
          <w:rFonts w:ascii="Arial" w:hAnsi="Arial" w:eastAsia="宋体" w:cs="Arial"/>
          <w:spacing w:val="-1"/>
        </w:rPr>
        <w:t xml:space="preserve"> </w:t>
      </w:r>
      <w:r>
        <w:rPr>
          <w:rFonts w:ascii="Arial" w:hAnsi="Arial" w:eastAsia="宋体" w:cs="Arial"/>
        </w:rPr>
        <w:t>Jeffrey Basford, M.D.,</w:t>
      </w:r>
      <w:r>
        <w:rPr>
          <w:rFonts w:ascii="Arial" w:hAnsi="Arial" w:eastAsia="宋体" w:cs="Arial"/>
          <w:spacing w:val="-29"/>
        </w:rPr>
        <w:t xml:space="preserve"> </w:t>
      </w:r>
      <w:r>
        <w:rPr>
          <w:rFonts w:ascii="Arial" w:hAnsi="Arial" w:eastAsia="宋体" w:cs="Arial"/>
          <w:spacing w:val="-29"/>
        </w:rPr>
        <w:br w:type="textWrapping"/>
      </w:r>
      <w:r>
        <w:rPr>
          <w:rFonts w:ascii="Arial" w:hAnsi="Arial" w:eastAsia="宋体" w:cs="Arial"/>
        </w:rPr>
        <w:t>Dynatronics</w:t>
      </w:r>
      <w:r>
        <w:rPr>
          <w:rFonts w:ascii="Arial" w:hAnsi="Arial" w:eastAsia="宋体" w:cs="Arial"/>
          <w:spacing w:val="-1"/>
        </w:rPr>
        <w:t xml:space="preserve"> </w:t>
      </w:r>
      <w:r>
        <w:rPr>
          <w:rFonts w:ascii="Arial" w:hAnsi="Arial" w:eastAsia="宋体" w:cs="Arial"/>
        </w:rPr>
        <w:t>David Harris, Ph.D.,</w:t>
      </w:r>
      <w:r>
        <w:rPr>
          <w:rFonts w:ascii="Arial" w:hAnsi="Arial" w:eastAsia="宋体" w:cs="Arial"/>
          <w:spacing w:val="-29"/>
        </w:rPr>
        <w:t xml:space="preserve"> </w:t>
      </w:r>
      <w:r>
        <w:rPr>
          <w:rFonts w:ascii="Arial" w:hAnsi="Arial" w:eastAsia="宋体" w:cs="Arial"/>
        </w:rPr>
        <w:t>Dynatronics</w:t>
      </w:r>
    </w:p>
    <w:p w14:paraId="15271703">
      <w:pPr>
        <w:pStyle w:val="3"/>
        <w:snapToGrid w:val="0"/>
        <w:spacing w:line="300" w:lineRule="auto"/>
        <w:ind w:left="0"/>
        <w:rPr>
          <w:rFonts w:ascii="Arial" w:hAnsi="Arial" w:eastAsia="宋体" w:cs="Arial"/>
        </w:rPr>
      </w:pPr>
      <w:r>
        <w:rPr>
          <w:rFonts w:ascii="Arial" w:hAnsi="Arial" w:eastAsia="宋体" w:cs="Arial"/>
        </w:rPr>
        <w:t>J. William Dirksen, Ph.D., Dynatronics David Conger, M.D.,</w:t>
      </w:r>
      <w:r>
        <w:rPr>
          <w:rFonts w:ascii="Arial" w:hAnsi="Arial" w:eastAsia="宋体" w:cs="Arial"/>
          <w:spacing w:val="-28"/>
        </w:rPr>
        <w:t xml:space="preserve"> </w:t>
      </w:r>
      <w:r>
        <w:rPr>
          <w:rFonts w:ascii="Arial" w:hAnsi="Arial" w:eastAsia="宋体" w:cs="Arial"/>
        </w:rPr>
        <w:t>Dynatronics</w:t>
      </w:r>
    </w:p>
    <w:p w14:paraId="2CCE5F91">
      <w:pPr>
        <w:pStyle w:val="3"/>
        <w:snapToGrid w:val="0"/>
        <w:spacing w:line="300" w:lineRule="auto"/>
        <w:ind w:left="0"/>
        <w:rPr>
          <w:rFonts w:ascii="Arial" w:hAnsi="Arial" w:eastAsia="宋体" w:cs="Arial"/>
        </w:rPr>
      </w:pPr>
      <w:r>
        <w:rPr>
          <w:rFonts w:ascii="Arial" w:hAnsi="Arial" w:eastAsia="宋体" w:cs="Arial"/>
        </w:rPr>
        <w:t>Jeff Booth '</w:t>
      </w:r>
      <w:r>
        <w:rPr>
          <w:rFonts w:ascii="Arial" w:hAnsi="Arial" w:eastAsia="宋体" w:cs="Arial"/>
          <w:spacing w:val="-17"/>
        </w:rPr>
        <w:t xml:space="preserve"> </w:t>
      </w:r>
      <w:r>
        <w:rPr>
          <w:rFonts w:ascii="Arial" w:hAnsi="Arial" w:eastAsia="宋体" w:cs="Arial"/>
        </w:rPr>
        <w:t>Dynatronics</w:t>
      </w:r>
      <w:r>
        <w:rPr>
          <w:rFonts w:ascii="Arial" w:hAnsi="Arial" w:eastAsia="宋体" w:cs="Arial"/>
          <w:spacing w:val="-1"/>
        </w:rPr>
        <w:t xml:space="preserve"> </w:t>
      </w:r>
      <w:r>
        <w:rPr>
          <w:rFonts w:ascii="Arial" w:hAnsi="Arial" w:eastAsia="宋体" w:cs="Arial"/>
        </w:rPr>
        <w:t>Duane Hall,</w:t>
      </w:r>
      <w:r>
        <w:rPr>
          <w:rFonts w:ascii="Arial" w:hAnsi="Arial" w:eastAsia="宋体" w:cs="Arial"/>
          <w:spacing w:val="-21"/>
        </w:rPr>
        <w:t xml:space="preserve"> </w:t>
      </w:r>
      <w:r>
        <w:rPr>
          <w:rFonts w:ascii="Arial" w:hAnsi="Arial" w:eastAsia="宋体" w:cs="Arial"/>
        </w:rPr>
        <w:t>Dynatronics</w:t>
      </w:r>
    </w:p>
    <w:p w14:paraId="78B25C95">
      <w:pPr>
        <w:pStyle w:val="3"/>
        <w:snapToGrid w:val="0"/>
        <w:spacing w:line="300" w:lineRule="auto"/>
        <w:ind w:left="0"/>
        <w:rPr>
          <w:rFonts w:ascii="Arial" w:hAnsi="Arial" w:eastAsia="宋体" w:cs="Arial"/>
          <w:spacing w:val="-1"/>
          <w:lang w:eastAsia="zh-CN"/>
        </w:rPr>
      </w:pPr>
      <w:r>
        <w:rPr>
          <w:rFonts w:ascii="Arial" w:hAnsi="Arial" w:eastAsia="宋体" w:cs="Arial"/>
        </w:rPr>
        <w:t>Keith Hansen, M.D.,</w:t>
      </w:r>
      <w:r>
        <w:rPr>
          <w:rFonts w:ascii="Arial" w:hAnsi="Arial" w:eastAsia="宋体" w:cs="Arial"/>
          <w:spacing w:val="-11"/>
        </w:rPr>
        <w:t xml:space="preserve"> </w:t>
      </w:r>
      <w:r>
        <w:rPr>
          <w:rFonts w:ascii="Arial" w:hAnsi="Arial" w:eastAsia="宋体" w:cs="Arial"/>
        </w:rPr>
        <w:t>Dynatronics</w:t>
      </w:r>
      <w:r>
        <w:rPr>
          <w:rFonts w:ascii="Arial" w:hAnsi="Arial" w:eastAsia="宋体" w:cs="Arial"/>
          <w:spacing w:val="-1"/>
        </w:rPr>
        <w:t xml:space="preserve"> </w:t>
      </w:r>
    </w:p>
    <w:p w14:paraId="52B1C5E6">
      <w:pPr>
        <w:pStyle w:val="3"/>
        <w:snapToGrid w:val="0"/>
        <w:spacing w:line="300" w:lineRule="auto"/>
        <w:ind w:left="0"/>
        <w:rPr>
          <w:rFonts w:ascii="Arial" w:hAnsi="Arial" w:eastAsia="宋体" w:cs="Arial"/>
        </w:rPr>
      </w:pPr>
      <w:r>
        <w:rPr>
          <w:rFonts w:ascii="Arial" w:hAnsi="Arial" w:eastAsia="宋体" w:cs="Arial"/>
        </w:rPr>
        <w:t>Jess Stribling, Esq., King &amp; Spalding Lenore L.</w:t>
      </w:r>
      <w:r>
        <w:rPr>
          <w:rFonts w:ascii="Arial" w:hAnsi="Arial" w:eastAsia="宋体" w:cs="Arial"/>
          <w:spacing w:val="-19"/>
        </w:rPr>
        <w:t xml:space="preserve"> </w:t>
      </w:r>
      <w:r>
        <w:rPr>
          <w:rFonts w:ascii="Arial" w:hAnsi="Arial" w:eastAsia="宋体" w:cs="Arial"/>
        </w:rPr>
        <w:t>Stribling</w:t>
      </w:r>
    </w:p>
    <w:p w14:paraId="47AAB141">
      <w:pPr>
        <w:pStyle w:val="3"/>
        <w:snapToGrid w:val="0"/>
        <w:spacing w:line="300" w:lineRule="auto"/>
        <w:ind w:left="0"/>
        <w:rPr>
          <w:rFonts w:ascii="Arial" w:hAnsi="Arial" w:eastAsia="宋体" w:cs="Arial"/>
        </w:rPr>
      </w:pPr>
      <w:r>
        <w:rPr>
          <w:rFonts w:ascii="Arial" w:hAnsi="Arial" w:eastAsia="宋体" w:cs="Arial"/>
        </w:rPr>
        <w:t>Nancy Taylor, Senator Hatch's</w:t>
      </w:r>
      <w:r>
        <w:rPr>
          <w:rFonts w:ascii="Arial" w:hAnsi="Arial" w:eastAsia="宋体" w:cs="Arial"/>
          <w:spacing w:val="-35"/>
        </w:rPr>
        <w:t xml:space="preserve"> </w:t>
      </w:r>
      <w:r>
        <w:rPr>
          <w:rFonts w:ascii="Arial" w:hAnsi="Arial" w:eastAsia="宋体" w:cs="Arial"/>
        </w:rPr>
        <w:t>Office</w:t>
      </w:r>
      <w:r>
        <w:rPr>
          <w:rFonts w:ascii="Arial" w:hAnsi="Arial" w:eastAsia="宋体" w:cs="Arial"/>
          <w:spacing w:val="-1"/>
        </w:rPr>
        <w:t xml:space="preserve"> </w:t>
      </w:r>
      <w:r>
        <w:rPr>
          <w:rFonts w:ascii="Arial" w:hAnsi="Arial" w:eastAsia="宋体" w:cs="Arial"/>
        </w:rPr>
        <w:t>Kent R. 14offman,</w:t>
      </w:r>
      <w:r>
        <w:rPr>
          <w:rFonts w:ascii="Arial" w:hAnsi="Arial" w:eastAsia="宋体" w:cs="Arial"/>
          <w:spacing w:val="-24"/>
        </w:rPr>
        <w:t xml:space="preserve"> </w:t>
      </w:r>
      <w:r>
        <w:rPr>
          <w:rFonts w:ascii="Arial" w:hAnsi="Arial" w:eastAsia="宋体" w:cs="Arial"/>
        </w:rPr>
        <w:t>Murray</w:t>
      </w:r>
    </w:p>
    <w:p w14:paraId="18B55FB7">
      <w:pPr>
        <w:pStyle w:val="3"/>
        <w:snapToGrid w:val="0"/>
        <w:spacing w:line="300" w:lineRule="auto"/>
        <w:ind w:left="0"/>
        <w:rPr>
          <w:rFonts w:ascii="Arial" w:hAnsi="Arial" w:eastAsia="宋体" w:cs="Arial"/>
        </w:rPr>
      </w:pPr>
      <w:r>
        <w:rPr>
          <w:rFonts w:ascii="Arial" w:hAnsi="Arial" w:eastAsia="宋体" w:cs="Arial"/>
        </w:rPr>
        <w:t>Thome Gould,</w:t>
      </w:r>
      <w:r>
        <w:rPr>
          <w:rFonts w:ascii="Arial" w:hAnsi="Arial" w:eastAsia="宋体" w:cs="Arial"/>
          <w:spacing w:val="-19"/>
        </w:rPr>
        <w:t xml:space="preserve"> </w:t>
      </w:r>
      <w:r>
        <w:rPr>
          <w:rFonts w:ascii="Arial" w:hAnsi="Arial" w:eastAsia="宋体" w:cs="Arial"/>
        </w:rPr>
        <w:t>Murray</w:t>
      </w:r>
    </w:p>
    <w:p w14:paraId="7E1E27B7">
      <w:pPr>
        <w:pStyle w:val="3"/>
        <w:snapToGrid w:val="0"/>
        <w:spacing w:before="7" w:line="300" w:lineRule="auto"/>
        <w:ind w:left="0"/>
        <w:rPr>
          <w:rFonts w:ascii="Arial" w:hAnsi="Arial" w:eastAsia="宋体" w:cs="Arial"/>
        </w:rPr>
      </w:pPr>
      <w:r>
        <w:rPr>
          <w:rFonts w:ascii="Arial" w:hAnsi="Arial" w:eastAsia="宋体" w:cs="Arial"/>
        </w:rPr>
        <w:t>Glenn</w:t>
      </w:r>
      <w:r>
        <w:rPr>
          <w:rFonts w:ascii="Arial" w:hAnsi="Arial" w:eastAsia="宋体" w:cs="Arial"/>
          <w:spacing w:val="-10"/>
        </w:rPr>
        <w:t xml:space="preserve"> </w:t>
      </w:r>
      <w:r>
        <w:rPr>
          <w:rFonts w:ascii="Arial" w:hAnsi="Arial" w:eastAsia="宋体" w:cs="Arial"/>
        </w:rPr>
        <w:t>Rahmoeller,</w:t>
      </w:r>
      <w:r>
        <w:rPr>
          <w:rFonts w:ascii="Arial" w:hAnsi="Arial" w:eastAsia="宋体" w:cs="Arial"/>
          <w:spacing w:val="-10"/>
        </w:rPr>
        <w:t xml:space="preserve"> </w:t>
      </w:r>
      <w:r>
        <w:rPr>
          <w:rFonts w:ascii="Arial" w:hAnsi="Arial" w:eastAsia="宋体" w:cs="Arial"/>
        </w:rPr>
        <w:t>Biometric</w:t>
      </w:r>
      <w:r>
        <w:rPr>
          <w:rFonts w:ascii="Arial" w:hAnsi="Arial" w:eastAsia="宋体" w:cs="Arial"/>
          <w:spacing w:val="-10"/>
        </w:rPr>
        <w:t xml:space="preserve"> </w:t>
      </w:r>
      <w:r>
        <w:rPr>
          <w:rFonts w:ascii="Arial" w:hAnsi="Arial" w:eastAsia="宋体" w:cs="Arial"/>
        </w:rPr>
        <w:t>Research</w:t>
      </w:r>
      <w:r>
        <w:rPr>
          <w:rFonts w:ascii="Arial" w:hAnsi="Arial" w:eastAsia="宋体" w:cs="Arial"/>
          <w:spacing w:val="-10"/>
        </w:rPr>
        <w:t xml:space="preserve"> </w:t>
      </w:r>
      <w:r>
        <w:rPr>
          <w:rFonts w:ascii="Arial" w:hAnsi="Arial" w:eastAsia="宋体" w:cs="Arial"/>
        </w:rPr>
        <w:t>Institute,</w:t>
      </w:r>
      <w:r>
        <w:rPr>
          <w:rFonts w:ascii="Arial" w:hAnsi="Arial" w:eastAsia="宋体" w:cs="Arial"/>
          <w:spacing w:val="-10"/>
        </w:rPr>
        <w:t xml:space="preserve"> </w:t>
      </w:r>
      <w:r>
        <w:rPr>
          <w:rFonts w:ascii="Arial" w:hAnsi="Arial" w:eastAsia="宋体" w:cs="Arial"/>
        </w:rPr>
        <w:t>Inc.</w:t>
      </w:r>
      <w:r>
        <w:rPr>
          <w:rFonts w:ascii="Arial" w:hAnsi="Arial" w:eastAsia="宋体" w:cs="Arial"/>
          <w:spacing w:val="-1"/>
        </w:rPr>
        <w:t xml:space="preserve"> </w:t>
      </w:r>
      <w:r>
        <w:rPr>
          <w:rFonts w:ascii="Arial" w:hAnsi="Arial" w:eastAsia="宋体" w:cs="Arial"/>
        </w:rPr>
        <w:t>Peggy</w:t>
      </w:r>
      <w:r>
        <w:rPr>
          <w:rFonts w:ascii="Arial" w:hAnsi="Arial" w:eastAsia="宋体" w:cs="Arial"/>
          <w:spacing w:val="-10"/>
        </w:rPr>
        <w:t xml:space="preserve"> </w:t>
      </w:r>
      <w:r>
        <w:rPr>
          <w:rFonts w:ascii="Arial" w:hAnsi="Arial" w:eastAsia="宋体" w:cs="Arial"/>
        </w:rPr>
        <w:t>Kearney,</w:t>
      </w:r>
      <w:r>
        <w:rPr>
          <w:rFonts w:ascii="Arial" w:hAnsi="Arial" w:eastAsia="宋体" w:cs="Arial"/>
          <w:spacing w:val="-10"/>
        </w:rPr>
        <w:t xml:space="preserve"> </w:t>
      </w:r>
      <w:r>
        <w:rPr>
          <w:rFonts w:ascii="Arial" w:hAnsi="Arial" w:eastAsia="宋体" w:cs="Arial"/>
          <w:spacing w:val="-10"/>
        </w:rPr>
        <w:br w:type="textWrapping"/>
      </w:r>
      <w:r>
        <w:rPr>
          <w:rFonts w:ascii="Arial" w:hAnsi="Arial" w:eastAsia="宋体" w:cs="Arial"/>
        </w:rPr>
        <w:t>Biometric</w:t>
      </w:r>
      <w:r>
        <w:rPr>
          <w:rFonts w:ascii="Arial" w:hAnsi="Arial" w:eastAsia="宋体" w:cs="Arial"/>
          <w:spacing w:val="-10"/>
        </w:rPr>
        <w:t xml:space="preserve"> </w:t>
      </w:r>
      <w:r>
        <w:rPr>
          <w:rFonts w:ascii="Arial" w:hAnsi="Arial" w:eastAsia="宋体" w:cs="Arial"/>
        </w:rPr>
        <w:t>Research</w:t>
      </w:r>
      <w:r>
        <w:rPr>
          <w:rFonts w:ascii="Arial" w:hAnsi="Arial" w:eastAsia="宋体" w:cs="Arial"/>
          <w:spacing w:val="-10"/>
        </w:rPr>
        <w:t xml:space="preserve"> </w:t>
      </w:r>
      <w:r>
        <w:rPr>
          <w:rFonts w:ascii="Arial" w:hAnsi="Arial" w:eastAsia="宋体" w:cs="Arial"/>
        </w:rPr>
        <w:t>Institute,</w:t>
      </w:r>
      <w:r>
        <w:rPr>
          <w:rFonts w:ascii="Arial" w:hAnsi="Arial" w:eastAsia="宋体" w:cs="Arial"/>
          <w:spacing w:val="-10"/>
        </w:rPr>
        <w:t xml:space="preserve"> </w:t>
      </w:r>
      <w:r>
        <w:rPr>
          <w:rFonts w:ascii="Arial" w:hAnsi="Arial" w:eastAsia="宋体" w:cs="Arial"/>
        </w:rPr>
        <w:t>Inc.</w:t>
      </w:r>
    </w:p>
    <w:p w14:paraId="0CF4DEB3">
      <w:pPr>
        <w:pStyle w:val="3"/>
        <w:snapToGrid w:val="0"/>
        <w:spacing w:line="300" w:lineRule="auto"/>
        <w:ind w:left="0"/>
        <w:rPr>
          <w:rFonts w:ascii="Arial" w:hAnsi="Arial" w:eastAsia="宋体" w:cs="Arial"/>
          <w:spacing w:val="-1"/>
          <w:lang w:eastAsia="zh-CN"/>
        </w:rPr>
      </w:pPr>
      <w:r>
        <w:rPr>
          <w:rFonts w:ascii="Arial" w:hAnsi="Arial" w:eastAsia="宋体" w:cs="Arial"/>
        </w:rPr>
        <w:t>Bruce Johnson, Nontoxic &amp; Drug Research,</w:t>
      </w:r>
      <w:r>
        <w:rPr>
          <w:rFonts w:ascii="Arial" w:hAnsi="Arial" w:eastAsia="宋体" w:cs="Arial"/>
          <w:spacing w:val="-36"/>
        </w:rPr>
        <w:t xml:space="preserve"> </w:t>
      </w:r>
      <w:r>
        <w:rPr>
          <w:rFonts w:ascii="Arial" w:hAnsi="Arial" w:eastAsia="宋体" w:cs="Arial"/>
        </w:rPr>
        <w:t>Inc.</w:t>
      </w:r>
      <w:r>
        <w:rPr>
          <w:rFonts w:ascii="Arial" w:hAnsi="Arial" w:eastAsia="宋体" w:cs="Arial"/>
          <w:spacing w:val="-1"/>
        </w:rPr>
        <w:t xml:space="preserve"> </w:t>
      </w:r>
    </w:p>
    <w:p w14:paraId="33946098">
      <w:pPr>
        <w:pStyle w:val="3"/>
        <w:snapToGrid w:val="0"/>
        <w:spacing w:line="300" w:lineRule="auto"/>
        <w:ind w:left="0"/>
        <w:rPr>
          <w:rFonts w:ascii="Arial" w:hAnsi="Arial" w:eastAsia="宋体" w:cs="Arial"/>
        </w:rPr>
      </w:pPr>
      <w:r>
        <w:rPr>
          <w:rFonts w:ascii="Arial" w:hAnsi="Arial" w:eastAsia="宋体" w:cs="Arial"/>
        </w:rPr>
        <w:t>Naser Salman,</w:t>
      </w:r>
      <w:r>
        <w:rPr>
          <w:rFonts w:ascii="Arial" w:hAnsi="Arial" w:eastAsia="宋体" w:cs="Arial"/>
          <w:spacing w:val="-15"/>
        </w:rPr>
        <w:t xml:space="preserve"> </w:t>
      </w:r>
      <w:r>
        <w:rPr>
          <w:rFonts w:ascii="Arial" w:hAnsi="Arial" w:eastAsia="宋体" w:cs="Arial"/>
        </w:rPr>
        <w:t>BMP</w:t>
      </w:r>
    </w:p>
    <w:p w14:paraId="7CC388CB">
      <w:pPr>
        <w:pStyle w:val="3"/>
        <w:snapToGrid w:val="0"/>
        <w:spacing w:line="300" w:lineRule="auto"/>
        <w:ind w:left="0"/>
        <w:rPr>
          <w:rFonts w:ascii="Arial" w:hAnsi="Arial" w:eastAsia="宋体" w:cs="Arial"/>
        </w:rPr>
      </w:pPr>
      <w:r>
        <w:rPr>
          <w:rFonts w:ascii="Arial" w:hAnsi="Arial" w:eastAsia="宋体" w:cs="Arial"/>
        </w:rPr>
        <w:t>T.Q. Garvey 111, M.D., Garvey Assoc.</w:t>
      </w:r>
      <w:r>
        <w:rPr>
          <w:rFonts w:ascii="Arial" w:hAnsi="Arial" w:eastAsia="宋体" w:cs="Arial"/>
          <w:spacing w:val="18"/>
        </w:rPr>
        <w:t xml:space="preserve"> </w:t>
      </w:r>
      <w:r>
        <w:rPr>
          <w:rFonts w:ascii="Arial" w:hAnsi="Arial" w:eastAsia="宋体" w:cs="Arial"/>
        </w:rPr>
        <w:t>Inc.</w:t>
      </w:r>
    </w:p>
    <w:p w14:paraId="57EBA67B">
      <w:pPr>
        <w:pStyle w:val="3"/>
        <w:snapToGrid w:val="0"/>
        <w:spacing w:before="7" w:line="300" w:lineRule="auto"/>
        <w:ind w:left="0"/>
        <w:rPr>
          <w:rFonts w:ascii="Arial" w:hAnsi="Arial" w:eastAsia="宋体" w:cs="Arial"/>
        </w:rPr>
      </w:pPr>
      <w:r>
        <w:rPr>
          <w:rFonts w:ascii="Arial" w:hAnsi="Arial" w:eastAsia="宋体" w:cs="Arial"/>
        </w:rPr>
        <w:t>I.M. Brandt,</w:t>
      </w:r>
      <w:r>
        <w:rPr>
          <w:rFonts w:ascii="Arial" w:hAnsi="Arial" w:eastAsia="宋体" w:cs="Arial"/>
          <w:spacing w:val="-18"/>
        </w:rPr>
        <w:t xml:space="preserve"> </w:t>
      </w:r>
      <w:r>
        <w:rPr>
          <w:rFonts w:ascii="Arial" w:hAnsi="Arial" w:eastAsia="宋体" w:cs="Arial"/>
        </w:rPr>
        <w:t>Lilly</w:t>
      </w:r>
    </w:p>
    <w:p w14:paraId="74D4A6AD">
      <w:pPr>
        <w:pStyle w:val="3"/>
        <w:snapToGrid w:val="0"/>
        <w:spacing w:before="7" w:line="300" w:lineRule="auto"/>
        <w:ind w:left="0"/>
        <w:rPr>
          <w:rFonts w:ascii="Arial" w:hAnsi="Arial" w:eastAsia="宋体" w:cs="Arial"/>
        </w:rPr>
      </w:pPr>
      <w:r>
        <w:rPr>
          <w:rFonts w:ascii="Arial" w:hAnsi="Arial" w:eastAsia="宋体" w:cs="Arial"/>
        </w:rPr>
        <w:t>Milton Allen, Temple</w:t>
      </w:r>
      <w:r>
        <w:rPr>
          <w:rFonts w:ascii="Arial" w:hAnsi="Arial" w:eastAsia="宋体" w:cs="Arial"/>
          <w:spacing w:val="-28"/>
        </w:rPr>
        <w:t xml:space="preserve"> </w:t>
      </w:r>
      <w:r>
        <w:rPr>
          <w:rFonts w:ascii="Arial" w:hAnsi="Arial" w:eastAsia="宋体" w:cs="Arial"/>
        </w:rPr>
        <w:t>University</w:t>
      </w:r>
    </w:p>
    <w:p w14:paraId="3CADA66D">
      <w:pPr>
        <w:pStyle w:val="3"/>
        <w:snapToGrid w:val="0"/>
        <w:spacing w:before="7" w:line="300" w:lineRule="auto"/>
        <w:ind w:left="0"/>
        <w:rPr>
          <w:rFonts w:ascii="Arial" w:hAnsi="Arial" w:eastAsia="宋体" w:cs="Arial"/>
          <w:lang w:eastAsia="zh-CN"/>
        </w:rPr>
      </w:pPr>
      <w:r>
        <w:rPr>
          <w:rFonts w:ascii="Arial" w:hAnsi="Arial" w:eastAsia="宋体" w:cs="Arial"/>
        </w:rPr>
        <w:t>G. Killeen, Arter</w:t>
      </w:r>
      <w:r>
        <w:rPr>
          <w:rFonts w:ascii="Arial" w:hAnsi="Arial" w:eastAsia="宋体" w:cs="Arial"/>
          <w:spacing w:val="-21"/>
        </w:rPr>
        <w:t xml:space="preserve"> </w:t>
      </w:r>
      <w:r>
        <w:rPr>
          <w:rFonts w:ascii="Arial" w:hAnsi="Arial" w:eastAsia="宋体" w:cs="Arial"/>
        </w:rPr>
        <w:t>Hadden</w:t>
      </w:r>
    </w:p>
    <w:p w14:paraId="09ABBFDA">
      <w:pPr>
        <w:pStyle w:val="3"/>
        <w:snapToGrid w:val="0"/>
        <w:spacing w:before="7" w:line="300" w:lineRule="auto"/>
        <w:ind w:left="0"/>
        <w:rPr>
          <w:rFonts w:ascii="Arial" w:hAnsi="Arial" w:eastAsia="宋体" w:cs="Arial"/>
        </w:rPr>
      </w:pPr>
      <w:r>
        <w:rPr>
          <w:rFonts w:ascii="Arial" w:hAnsi="Arial" w:eastAsia="宋体" w:cs="Arial"/>
        </w:rPr>
        <w:t>S.K. Davi, Physiotechnology,</w:t>
      </w:r>
      <w:r>
        <w:rPr>
          <w:rFonts w:ascii="Arial" w:hAnsi="Arial" w:eastAsia="宋体" w:cs="Arial"/>
          <w:spacing w:val="-32"/>
        </w:rPr>
        <w:t xml:space="preserve"> </w:t>
      </w:r>
      <w:r>
        <w:rPr>
          <w:rFonts w:ascii="Arial" w:hAnsi="Arial" w:eastAsia="宋体" w:cs="Arial"/>
        </w:rPr>
        <w:t>Inc.</w:t>
      </w:r>
      <w:r>
        <w:rPr>
          <w:rFonts w:ascii="Arial" w:hAnsi="Arial" w:eastAsia="宋体" w:cs="Arial"/>
          <w:spacing w:val="-1"/>
        </w:rPr>
        <w:t xml:space="preserve"> </w:t>
      </w:r>
      <w:r>
        <w:rPr>
          <w:rFonts w:ascii="Arial" w:hAnsi="Arial" w:eastAsia="宋体" w:cs="Arial"/>
        </w:rPr>
        <w:t>Matthew Weasky,</w:t>
      </w:r>
      <w:r>
        <w:rPr>
          <w:rFonts w:ascii="Arial" w:hAnsi="Arial" w:eastAsia="宋体" w:cs="Arial"/>
          <w:spacing w:val="-19"/>
        </w:rPr>
        <w:t xml:space="preserve"> </w:t>
      </w:r>
      <w:r>
        <w:rPr>
          <w:rFonts w:ascii="Arial" w:hAnsi="Arial" w:eastAsia="宋体" w:cs="Arial"/>
        </w:rPr>
        <w:t>WCG</w:t>
      </w:r>
    </w:p>
    <w:p w14:paraId="7D133251">
      <w:pPr>
        <w:pStyle w:val="3"/>
        <w:snapToGrid w:val="0"/>
        <w:spacing w:line="300" w:lineRule="auto"/>
        <w:ind w:left="0"/>
        <w:rPr>
          <w:rFonts w:ascii="Arial" w:hAnsi="Arial" w:eastAsia="宋体" w:cs="Arial"/>
        </w:rPr>
      </w:pPr>
      <w:r>
        <w:rPr>
          <w:rFonts w:ascii="Arial" w:hAnsi="Arial" w:eastAsia="宋体" w:cs="Arial"/>
        </w:rPr>
        <w:t>M.S. Wenley,</w:t>
      </w:r>
      <w:r>
        <w:rPr>
          <w:rFonts w:ascii="Arial" w:hAnsi="Arial" w:eastAsia="宋体" w:cs="Arial"/>
          <w:spacing w:val="-14"/>
        </w:rPr>
        <w:t xml:space="preserve"> </w:t>
      </w:r>
      <w:r>
        <w:rPr>
          <w:rFonts w:ascii="Arial" w:hAnsi="Arial" w:eastAsia="宋体" w:cs="Arial"/>
        </w:rPr>
        <w:t>WCG</w:t>
      </w:r>
    </w:p>
    <w:p w14:paraId="7234CADB">
      <w:pPr>
        <w:pStyle w:val="3"/>
        <w:snapToGrid w:val="0"/>
        <w:spacing w:before="7" w:line="300" w:lineRule="auto"/>
        <w:ind w:left="0"/>
        <w:rPr>
          <w:rFonts w:ascii="Arial" w:hAnsi="Arial" w:eastAsia="宋体" w:cs="Arial"/>
          <w:spacing w:val="-1"/>
          <w:lang w:eastAsia="zh-CN"/>
        </w:rPr>
      </w:pPr>
      <w:r>
        <w:rPr>
          <w:rFonts w:ascii="Arial" w:hAnsi="Arial" w:eastAsia="宋体" w:cs="Arial"/>
        </w:rPr>
        <w:t>C. Harrington, The Gray</w:t>
      </w:r>
      <w:r>
        <w:rPr>
          <w:rFonts w:ascii="Arial" w:hAnsi="Arial" w:eastAsia="宋体" w:cs="Arial"/>
          <w:spacing w:val="-24"/>
        </w:rPr>
        <w:t xml:space="preserve"> </w:t>
      </w:r>
      <w:r>
        <w:rPr>
          <w:rFonts w:ascii="Arial" w:hAnsi="Arial" w:eastAsia="宋体" w:cs="Arial"/>
        </w:rPr>
        <w:t>Sheet</w:t>
      </w:r>
      <w:r>
        <w:rPr>
          <w:rFonts w:ascii="Arial" w:hAnsi="Arial" w:eastAsia="宋体" w:cs="Arial"/>
          <w:spacing w:val="-1"/>
        </w:rPr>
        <w:t xml:space="preserve"> </w:t>
      </w:r>
      <w:r>
        <w:rPr>
          <w:rFonts w:ascii="Arial" w:hAnsi="Arial" w:eastAsia="宋体" w:cs="Arial"/>
        </w:rPr>
        <w:t>Walter Solomon,</w:t>
      </w:r>
      <w:r>
        <w:rPr>
          <w:rFonts w:ascii="Arial" w:hAnsi="Arial" w:eastAsia="宋体" w:cs="Arial"/>
          <w:spacing w:val="-9"/>
        </w:rPr>
        <w:t xml:space="preserve"> </w:t>
      </w:r>
      <w:r>
        <w:rPr>
          <w:rFonts w:ascii="Arial" w:hAnsi="Arial" w:eastAsia="宋体" w:cs="Arial"/>
        </w:rPr>
        <w:t>Litechnica</w:t>
      </w:r>
      <w:r>
        <w:rPr>
          <w:rFonts w:ascii="Arial" w:hAnsi="Arial" w:eastAsia="宋体" w:cs="Arial"/>
          <w:spacing w:val="-1"/>
        </w:rPr>
        <w:t xml:space="preserve"> </w:t>
      </w:r>
    </w:p>
    <w:p w14:paraId="088E474D">
      <w:pPr>
        <w:pStyle w:val="3"/>
        <w:snapToGrid w:val="0"/>
        <w:spacing w:before="7" w:line="300" w:lineRule="auto"/>
        <w:ind w:left="0"/>
        <w:rPr>
          <w:rFonts w:ascii="Arial" w:hAnsi="Arial" w:eastAsia="宋体" w:cs="Arial"/>
        </w:rPr>
      </w:pPr>
      <w:r>
        <w:rPr>
          <w:rFonts w:ascii="Arial" w:hAnsi="Arial" w:eastAsia="宋体" w:cs="Arial"/>
        </w:rPr>
        <w:t>Paul</w:t>
      </w:r>
      <w:r>
        <w:rPr>
          <w:rFonts w:ascii="Arial" w:hAnsi="Arial" w:eastAsia="宋体" w:cs="Arial"/>
          <w:spacing w:val="-11"/>
        </w:rPr>
        <w:t xml:space="preserve"> </w:t>
      </w:r>
      <w:r>
        <w:rPr>
          <w:rFonts w:ascii="Arial" w:hAnsi="Arial" w:eastAsia="宋体" w:cs="Arial"/>
        </w:rPr>
        <w:t>Taylor</w:t>
      </w:r>
    </w:p>
    <w:p w14:paraId="6972DE88">
      <w:pPr>
        <w:pStyle w:val="3"/>
        <w:snapToGrid w:val="0"/>
        <w:spacing w:line="300" w:lineRule="auto"/>
        <w:ind w:left="0"/>
        <w:rPr>
          <w:rFonts w:ascii="Arial" w:hAnsi="Arial" w:eastAsia="宋体" w:cs="Arial"/>
          <w:w w:val="99"/>
          <w:lang w:eastAsia="zh-CN"/>
        </w:rPr>
      </w:pPr>
      <w:r>
        <w:rPr>
          <w:rFonts w:ascii="Arial" w:hAnsi="Arial" w:eastAsia="宋体" w:cs="Arial"/>
        </w:rPr>
        <w:t>Kshitij Mohan, Ph.D., ODE,</w:t>
      </w:r>
      <w:r>
        <w:rPr>
          <w:rFonts w:ascii="Arial" w:hAnsi="Arial" w:eastAsia="宋体" w:cs="Arial"/>
          <w:spacing w:val="-1"/>
        </w:rPr>
        <w:t xml:space="preserve"> </w:t>
      </w:r>
      <w:r>
        <w:rPr>
          <w:rFonts w:ascii="Arial" w:hAnsi="Arial" w:eastAsia="宋体" w:cs="Arial"/>
        </w:rPr>
        <w:t>CDRH</w:t>
      </w:r>
      <w:r>
        <w:rPr>
          <w:rFonts w:ascii="Arial" w:hAnsi="Arial" w:eastAsia="宋体" w:cs="Arial"/>
          <w:w w:val="99"/>
        </w:rPr>
        <w:t xml:space="preserve"> </w:t>
      </w:r>
    </w:p>
    <w:p w14:paraId="58AF905E">
      <w:pPr>
        <w:pStyle w:val="3"/>
        <w:snapToGrid w:val="0"/>
        <w:spacing w:line="300" w:lineRule="auto"/>
        <w:ind w:left="0"/>
        <w:rPr>
          <w:rFonts w:ascii="Arial" w:hAnsi="Arial" w:eastAsia="宋体" w:cs="Arial"/>
          <w:spacing w:val="-1"/>
          <w:w w:val="99"/>
          <w:lang w:eastAsia="zh-CN"/>
        </w:rPr>
      </w:pPr>
      <w:r>
        <w:rPr>
          <w:rFonts w:ascii="Arial" w:hAnsi="Arial" w:eastAsia="宋体" w:cs="Arial"/>
        </w:rPr>
        <w:t>Stephen Hinckley, DANRD, ODE,</w:t>
      </w:r>
      <w:r>
        <w:rPr>
          <w:rFonts w:ascii="Arial" w:hAnsi="Arial" w:eastAsia="宋体" w:cs="Arial"/>
          <w:spacing w:val="-28"/>
        </w:rPr>
        <w:t xml:space="preserve"> </w:t>
      </w:r>
      <w:r>
        <w:rPr>
          <w:rFonts w:ascii="Arial" w:hAnsi="Arial" w:eastAsia="宋体" w:cs="Arial"/>
        </w:rPr>
        <w:t>CDRH</w:t>
      </w:r>
      <w:r>
        <w:rPr>
          <w:rFonts w:ascii="Arial" w:hAnsi="Arial" w:eastAsia="宋体" w:cs="Arial"/>
          <w:spacing w:val="-1"/>
          <w:w w:val="99"/>
        </w:rPr>
        <w:t xml:space="preserve"> </w:t>
      </w:r>
      <w:r>
        <w:rPr>
          <w:rFonts w:ascii="Arial" w:hAnsi="Arial" w:eastAsia="宋体" w:cs="Arial"/>
        </w:rPr>
        <w:t>Kathleen Frost, DANRD, ODE,</w:t>
      </w:r>
      <w:r>
        <w:rPr>
          <w:rFonts w:ascii="Arial" w:hAnsi="Arial" w:eastAsia="宋体" w:cs="Arial"/>
          <w:spacing w:val="-15"/>
        </w:rPr>
        <w:t xml:space="preserve"> </w:t>
      </w:r>
      <w:r>
        <w:rPr>
          <w:rFonts w:ascii="Arial" w:hAnsi="Arial" w:eastAsia="宋体" w:cs="Arial"/>
          <w:spacing w:val="-15"/>
        </w:rPr>
        <w:br w:type="textWrapping"/>
      </w:r>
      <w:r>
        <w:rPr>
          <w:rFonts w:ascii="Arial" w:hAnsi="Arial" w:eastAsia="宋体" w:cs="Arial"/>
        </w:rPr>
        <w:t>CDRH</w:t>
      </w:r>
      <w:r>
        <w:rPr>
          <w:rFonts w:ascii="Arial" w:hAnsi="Arial" w:eastAsia="宋体" w:cs="Arial"/>
          <w:spacing w:val="-1"/>
          <w:w w:val="99"/>
        </w:rPr>
        <w:t xml:space="preserve"> </w:t>
      </w:r>
      <w:r>
        <w:rPr>
          <w:rFonts w:ascii="Arial" w:hAnsi="Arial" w:eastAsia="宋体" w:cs="Arial"/>
        </w:rPr>
        <w:t>Levering Keely, DANRD, ODE,</w:t>
      </w:r>
      <w:r>
        <w:rPr>
          <w:rFonts w:ascii="Arial" w:hAnsi="Arial" w:eastAsia="宋体" w:cs="Arial"/>
          <w:spacing w:val="-20"/>
        </w:rPr>
        <w:t xml:space="preserve"> </w:t>
      </w:r>
      <w:r>
        <w:rPr>
          <w:rFonts w:ascii="Arial" w:hAnsi="Arial" w:eastAsia="宋体" w:cs="Arial"/>
        </w:rPr>
        <w:t>CDRH</w:t>
      </w:r>
      <w:r>
        <w:rPr>
          <w:rFonts w:ascii="Arial" w:hAnsi="Arial" w:eastAsia="宋体" w:cs="Arial"/>
          <w:spacing w:val="-1"/>
          <w:w w:val="99"/>
        </w:rPr>
        <w:t xml:space="preserve"> </w:t>
      </w:r>
    </w:p>
    <w:p w14:paraId="66098298">
      <w:pPr>
        <w:pStyle w:val="3"/>
        <w:snapToGrid w:val="0"/>
        <w:spacing w:line="300" w:lineRule="auto"/>
        <w:ind w:left="0"/>
        <w:rPr>
          <w:rFonts w:ascii="Arial" w:hAnsi="Arial" w:eastAsia="宋体" w:cs="Arial"/>
        </w:rPr>
      </w:pPr>
      <w:r>
        <w:rPr>
          <w:rFonts w:ascii="Arial" w:hAnsi="Arial" w:eastAsia="宋体" w:cs="Arial"/>
        </w:rPr>
        <w:t>Robert Eccleston, CDRH</w:t>
      </w:r>
    </w:p>
    <w:p w14:paraId="7A809CD8">
      <w:pPr>
        <w:pStyle w:val="3"/>
        <w:snapToGrid w:val="0"/>
        <w:spacing w:line="300" w:lineRule="auto"/>
        <w:ind w:left="0"/>
        <w:rPr>
          <w:rFonts w:ascii="Arial" w:hAnsi="Arial" w:eastAsia="宋体" w:cs="Arial"/>
        </w:rPr>
      </w:pPr>
      <w:r>
        <w:rPr>
          <w:rFonts w:ascii="Arial" w:hAnsi="Arial" w:eastAsia="宋体" w:cs="Arial"/>
        </w:rPr>
        <w:t>Richard Chamberlin,</w:t>
      </w:r>
      <w:r>
        <w:rPr>
          <w:rFonts w:ascii="Arial" w:hAnsi="Arial" w:eastAsia="宋体" w:cs="Arial"/>
          <w:spacing w:val="-21"/>
        </w:rPr>
        <w:t xml:space="preserve"> </w:t>
      </w:r>
      <w:r>
        <w:rPr>
          <w:rFonts w:ascii="Arial" w:hAnsi="Arial" w:eastAsia="宋体" w:cs="Arial"/>
        </w:rPr>
        <w:t>FDA</w:t>
      </w:r>
    </w:p>
    <w:p w14:paraId="640D95EB">
      <w:pPr>
        <w:pStyle w:val="3"/>
        <w:snapToGrid w:val="0"/>
        <w:spacing w:before="7" w:line="300" w:lineRule="auto"/>
        <w:ind w:left="0"/>
        <w:rPr>
          <w:rFonts w:ascii="Arial" w:hAnsi="Arial" w:eastAsia="宋体" w:cs="Arial"/>
        </w:rPr>
      </w:pPr>
      <w:r>
        <w:rPr>
          <w:rFonts w:ascii="Arial" w:hAnsi="Arial" w:eastAsia="宋体" w:cs="Arial"/>
        </w:rPr>
        <w:t>Sharon Findley, DANRD, ODE,</w:t>
      </w:r>
      <w:r>
        <w:rPr>
          <w:rFonts w:ascii="Arial" w:hAnsi="Arial" w:eastAsia="宋体" w:cs="Arial"/>
          <w:spacing w:val="-29"/>
        </w:rPr>
        <w:t xml:space="preserve"> </w:t>
      </w:r>
      <w:r>
        <w:rPr>
          <w:rFonts w:ascii="Arial" w:hAnsi="Arial" w:eastAsia="宋体" w:cs="Arial"/>
        </w:rPr>
        <w:t>CDRH</w:t>
      </w:r>
    </w:p>
    <w:p w14:paraId="6F6BC513">
      <w:pPr>
        <w:pStyle w:val="3"/>
        <w:snapToGrid w:val="0"/>
        <w:spacing w:before="7" w:line="300" w:lineRule="auto"/>
        <w:ind w:left="0"/>
        <w:rPr>
          <w:rFonts w:ascii="Arial" w:hAnsi="Arial" w:eastAsia="宋体" w:cs="Arial"/>
        </w:rPr>
      </w:pPr>
      <w:r>
        <w:rPr>
          <w:rFonts w:ascii="Arial" w:hAnsi="Arial" w:eastAsia="宋体" w:cs="Arial"/>
        </w:rPr>
        <w:t>Marcia Withiam-Wilson, DANRD, ODE, CDRH</w:t>
      </w:r>
      <w:r>
        <w:rPr>
          <w:rFonts w:ascii="Arial" w:hAnsi="Arial" w:eastAsia="宋体" w:cs="Arial"/>
          <w:w w:val="99"/>
        </w:rPr>
        <w:t xml:space="preserve"> </w:t>
      </w:r>
      <w:r>
        <w:rPr>
          <w:rFonts w:ascii="Arial" w:hAnsi="Arial" w:eastAsia="宋体" w:cs="Arial"/>
        </w:rPr>
        <w:t>James Dillard, DANRD, ODE,</w:t>
      </w:r>
      <w:r>
        <w:rPr>
          <w:rFonts w:ascii="Arial" w:hAnsi="Arial" w:eastAsia="宋体" w:cs="Arial"/>
          <w:spacing w:val="-1"/>
        </w:rPr>
        <w:t xml:space="preserve"> </w:t>
      </w:r>
      <w:r>
        <w:rPr>
          <w:rFonts w:ascii="Arial" w:hAnsi="Arial" w:eastAsia="宋体" w:cs="Arial"/>
        </w:rPr>
        <w:t>CDRH</w:t>
      </w:r>
    </w:p>
    <w:p w14:paraId="5181E070">
      <w:pPr>
        <w:pStyle w:val="3"/>
        <w:snapToGrid w:val="0"/>
        <w:spacing w:line="300" w:lineRule="auto"/>
        <w:ind w:left="0"/>
        <w:rPr>
          <w:rFonts w:ascii="Arial" w:hAnsi="Arial" w:eastAsia="宋体" w:cs="Arial"/>
          <w:w w:val="99"/>
          <w:lang w:eastAsia="zh-CN"/>
        </w:rPr>
      </w:pPr>
      <w:r>
        <w:rPr>
          <w:rFonts w:ascii="Arial" w:hAnsi="Arial" w:eastAsia="宋体" w:cs="Arial"/>
        </w:rPr>
        <w:t>Louis Hlavinka, PMA, ODE,</w:t>
      </w:r>
      <w:r>
        <w:rPr>
          <w:rFonts w:ascii="Arial" w:hAnsi="Arial" w:eastAsia="宋体" w:cs="Arial"/>
          <w:spacing w:val="-25"/>
        </w:rPr>
        <w:t xml:space="preserve"> </w:t>
      </w:r>
      <w:r>
        <w:rPr>
          <w:rFonts w:ascii="Arial" w:hAnsi="Arial" w:eastAsia="宋体" w:cs="Arial"/>
        </w:rPr>
        <w:t>CDRH</w:t>
      </w:r>
      <w:r>
        <w:rPr>
          <w:rFonts w:ascii="Arial" w:hAnsi="Arial" w:eastAsia="宋体" w:cs="Arial"/>
          <w:spacing w:val="-1"/>
          <w:w w:val="99"/>
        </w:rPr>
        <w:t xml:space="preserve"> </w:t>
      </w:r>
      <w:r>
        <w:rPr>
          <w:rFonts w:ascii="Arial" w:hAnsi="Arial" w:eastAsia="宋体" w:cs="Arial"/>
        </w:rPr>
        <w:t>Donald Watchko, DCO, OC, CDRH</w:t>
      </w:r>
      <w:r>
        <w:rPr>
          <w:rFonts w:ascii="Arial" w:hAnsi="Arial" w:eastAsia="宋体" w:cs="Arial"/>
          <w:w w:val="99"/>
        </w:rPr>
        <w:t xml:space="preserve"> </w:t>
      </w:r>
      <w:r>
        <w:rPr>
          <w:rFonts w:ascii="Arial" w:hAnsi="Arial" w:eastAsia="宋体" w:cs="Arial"/>
        </w:rPr>
        <w:t>Judith Kalson, DPS, OC,</w:t>
      </w:r>
      <w:r>
        <w:rPr>
          <w:rFonts w:ascii="Arial" w:hAnsi="Arial" w:eastAsia="宋体" w:cs="Arial"/>
          <w:spacing w:val="-1"/>
        </w:rPr>
        <w:t xml:space="preserve"> </w:t>
      </w:r>
      <w:r>
        <w:rPr>
          <w:rFonts w:ascii="Arial" w:hAnsi="Arial" w:eastAsia="宋体" w:cs="Arial"/>
        </w:rPr>
        <w:t>CDRH</w:t>
      </w:r>
      <w:r>
        <w:rPr>
          <w:rFonts w:ascii="Arial" w:hAnsi="Arial" w:eastAsia="宋体" w:cs="Arial"/>
          <w:w w:val="99"/>
        </w:rPr>
        <w:t xml:space="preserve"> </w:t>
      </w:r>
    </w:p>
    <w:p w14:paraId="620A1E32">
      <w:pPr>
        <w:pStyle w:val="3"/>
        <w:snapToGrid w:val="0"/>
        <w:spacing w:line="300" w:lineRule="auto"/>
        <w:ind w:left="0"/>
        <w:rPr>
          <w:rFonts w:ascii="Arial" w:hAnsi="Arial" w:eastAsia="宋体" w:cs="Arial"/>
        </w:rPr>
      </w:pPr>
      <w:r>
        <w:rPr>
          <w:rFonts w:ascii="Arial" w:hAnsi="Arial" w:eastAsia="宋体" w:cs="Arial"/>
        </w:rPr>
        <w:t>Sheila Hemeon-Heyer, OST,</w:t>
      </w:r>
      <w:r>
        <w:rPr>
          <w:rFonts w:ascii="Arial" w:hAnsi="Arial" w:eastAsia="宋体" w:cs="Arial"/>
          <w:spacing w:val="-22"/>
        </w:rPr>
        <w:t xml:space="preserve"> </w:t>
      </w:r>
      <w:r>
        <w:rPr>
          <w:rFonts w:ascii="Arial" w:hAnsi="Arial" w:eastAsia="宋体" w:cs="Arial"/>
        </w:rPr>
        <w:t>CDRH</w:t>
      </w:r>
      <w:r>
        <w:rPr>
          <w:rFonts w:ascii="Arial" w:hAnsi="Arial" w:eastAsia="宋体" w:cs="Arial"/>
          <w:spacing w:val="-1"/>
          <w:w w:val="99"/>
        </w:rPr>
        <w:t xml:space="preserve"> </w:t>
      </w:r>
      <w:r>
        <w:rPr>
          <w:rFonts w:ascii="Arial" w:hAnsi="Arial" w:eastAsia="宋体" w:cs="Arial"/>
        </w:rPr>
        <w:t>Anita Rayner, OST,</w:t>
      </w:r>
      <w:r>
        <w:rPr>
          <w:rFonts w:ascii="Arial" w:hAnsi="Arial" w:eastAsia="宋体" w:cs="Arial"/>
          <w:spacing w:val="-20"/>
        </w:rPr>
        <w:t xml:space="preserve"> </w:t>
      </w:r>
      <w:r>
        <w:rPr>
          <w:rFonts w:ascii="Arial" w:hAnsi="Arial" w:eastAsia="宋体" w:cs="Arial"/>
        </w:rPr>
        <w:t>CDRH</w:t>
      </w:r>
    </w:p>
    <w:p w14:paraId="468DC573">
      <w:pPr>
        <w:pStyle w:val="3"/>
        <w:snapToGrid w:val="0"/>
        <w:spacing w:line="300" w:lineRule="auto"/>
        <w:ind w:left="0"/>
        <w:rPr>
          <w:rFonts w:ascii="Arial" w:hAnsi="Arial" w:eastAsia="宋体" w:cs="Arial"/>
          <w:spacing w:val="-2"/>
          <w:w w:val="99"/>
          <w:lang w:eastAsia="zh-CN"/>
        </w:rPr>
      </w:pPr>
      <w:r>
        <w:rPr>
          <w:rFonts w:ascii="Arial" w:hAnsi="Arial" w:eastAsia="宋体" w:cs="Arial"/>
        </w:rPr>
        <w:t>Barbara Loyd, OLA,</w:t>
      </w:r>
      <w:r>
        <w:rPr>
          <w:rFonts w:ascii="Arial" w:hAnsi="Arial" w:eastAsia="宋体" w:cs="Arial"/>
          <w:spacing w:val="-16"/>
        </w:rPr>
        <w:t xml:space="preserve"> </w:t>
      </w:r>
      <w:r>
        <w:rPr>
          <w:rFonts w:ascii="Arial" w:hAnsi="Arial" w:eastAsia="宋体" w:cs="Arial"/>
          <w:spacing w:val="-2"/>
        </w:rPr>
        <w:t>FDA</w:t>
      </w:r>
      <w:r>
        <w:rPr>
          <w:rFonts w:ascii="Arial" w:hAnsi="Arial" w:eastAsia="宋体" w:cs="Arial"/>
          <w:spacing w:val="-2"/>
          <w:w w:val="99"/>
        </w:rPr>
        <w:t xml:space="preserve"> </w:t>
      </w:r>
    </w:p>
    <w:p w14:paraId="43E4500D">
      <w:pPr>
        <w:pStyle w:val="3"/>
        <w:snapToGrid w:val="0"/>
        <w:spacing w:line="300" w:lineRule="auto"/>
        <w:ind w:left="0"/>
        <w:rPr>
          <w:rFonts w:ascii="Arial" w:hAnsi="Arial" w:eastAsia="宋体" w:cs="Arial"/>
        </w:rPr>
      </w:pPr>
      <w:r>
        <w:rPr>
          <w:rFonts w:ascii="Arial" w:hAnsi="Arial" w:eastAsia="宋体" w:cs="Arial"/>
        </w:rPr>
        <w:t>Nirmal Mishra, DSRD,</w:t>
      </w:r>
      <w:r>
        <w:rPr>
          <w:rFonts w:ascii="Arial" w:hAnsi="Arial" w:eastAsia="宋体" w:cs="Arial"/>
          <w:spacing w:val="-1"/>
        </w:rPr>
        <w:t xml:space="preserve"> </w:t>
      </w:r>
      <w:r>
        <w:rPr>
          <w:rFonts w:ascii="Arial" w:hAnsi="Arial" w:eastAsia="宋体" w:cs="Arial"/>
        </w:rPr>
        <w:t>CDRH</w:t>
      </w:r>
      <w:r>
        <w:rPr>
          <w:rFonts w:ascii="Arial" w:hAnsi="Arial" w:eastAsia="宋体" w:cs="Arial"/>
          <w:w w:val="99"/>
        </w:rPr>
        <w:t xml:space="preserve"> </w:t>
      </w:r>
      <w:r>
        <w:rPr>
          <w:rFonts w:ascii="Arial" w:hAnsi="Arial" w:eastAsia="宋体" w:cs="Arial"/>
        </w:rPr>
        <w:t>Peggy Hamilton, OST,</w:t>
      </w:r>
      <w:r>
        <w:rPr>
          <w:rFonts w:ascii="Arial" w:hAnsi="Arial" w:eastAsia="宋体" w:cs="Arial"/>
          <w:spacing w:val="-22"/>
        </w:rPr>
        <w:t xml:space="preserve"> </w:t>
      </w:r>
      <w:r>
        <w:rPr>
          <w:rFonts w:ascii="Arial" w:hAnsi="Arial" w:eastAsia="宋体" w:cs="Arial"/>
        </w:rPr>
        <w:t>CDRH</w:t>
      </w:r>
    </w:p>
    <w:p w14:paraId="1849D9D0">
      <w:pPr>
        <w:pStyle w:val="3"/>
        <w:snapToGrid w:val="0"/>
        <w:spacing w:line="300" w:lineRule="auto"/>
        <w:ind w:left="0"/>
        <w:rPr>
          <w:rFonts w:ascii="Arial" w:hAnsi="Arial" w:eastAsia="宋体" w:cs="Arial"/>
          <w:spacing w:val="-1"/>
          <w:w w:val="99"/>
          <w:lang w:eastAsia="zh-CN"/>
        </w:rPr>
      </w:pPr>
      <w:r>
        <w:rPr>
          <w:rFonts w:ascii="Arial" w:hAnsi="Arial" w:eastAsia="宋体" w:cs="Arial"/>
        </w:rPr>
        <w:t>Jerome Dennis, DRP, OC,</w:t>
      </w:r>
      <w:r>
        <w:rPr>
          <w:rFonts w:ascii="Arial" w:hAnsi="Arial" w:eastAsia="宋体" w:cs="Arial"/>
          <w:spacing w:val="-1"/>
        </w:rPr>
        <w:t xml:space="preserve"> </w:t>
      </w:r>
      <w:r>
        <w:rPr>
          <w:rFonts w:ascii="Arial" w:hAnsi="Arial" w:eastAsia="宋体" w:cs="Arial"/>
        </w:rPr>
        <w:t>CDRH</w:t>
      </w:r>
      <w:r>
        <w:rPr>
          <w:rFonts w:ascii="Arial" w:hAnsi="Arial" w:eastAsia="宋体" w:cs="Arial"/>
          <w:w w:val="99"/>
        </w:rPr>
        <w:t xml:space="preserve"> </w:t>
      </w:r>
      <w:r>
        <w:rPr>
          <w:rFonts w:ascii="Arial" w:hAnsi="Arial" w:eastAsia="宋体" w:cs="Arial"/>
        </w:rPr>
        <w:t>Marie Schroeder, DSRD,</w:t>
      </w:r>
      <w:r>
        <w:rPr>
          <w:rFonts w:ascii="Arial" w:hAnsi="Arial" w:eastAsia="宋体" w:cs="Arial"/>
          <w:spacing w:val="-10"/>
        </w:rPr>
        <w:t xml:space="preserve"> </w:t>
      </w:r>
      <w:r>
        <w:rPr>
          <w:rFonts w:ascii="Arial" w:hAnsi="Arial" w:eastAsia="宋体" w:cs="Arial"/>
        </w:rPr>
        <w:t>CDRH</w:t>
      </w:r>
      <w:r>
        <w:rPr>
          <w:rFonts w:ascii="Arial" w:hAnsi="Arial" w:eastAsia="宋体" w:cs="Arial"/>
          <w:spacing w:val="-1"/>
          <w:w w:val="99"/>
        </w:rPr>
        <w:t xml:space="preserve"> </w:t>
      </w:r>
    </w:p>
    <w:p w14:paraId="3416CCF5">
      <w:pPr>
        <w:pStyle w:val="3"/>
        <w:snapToGrid w:val="0"/>
        <w:spacing w:line="300" w:lineRule="auto"/>
        <w:ind w:left="0"/>
        <w:rPr>
          <w:rFonts w:ascii="Arial" w:hAnsi="Arial" w:eastAsia="宋体" w:cs="Arial"/>
        </w:rPr>
      </w:pPr>
      <w:r>
        <w:rPr>
          <w:rFonts w:ascii="Arial" w:hAnsi="Arial" w:eastAsia="宋体" w:cs="Arial"/>
        </w:rPr>
        <w:t>Mary K. Barrick, DBS, OST,</w:t>
      </w:r>
      <w:r>
        <w:rPr>
          <w:rFonts w:ascii="Arial" w:hAnsi="Arial" w:eastAsia="宋体" w:cs="Arial"/>
          <w:spacing w:val="-26"/>
        </w:rPr>
        <w:t xml:space="preserve"> </w:t>
      </w:r>
      <w:r>
        <w:rPr>
          <w:rFonts w:ascii="Arial" w:hAnsi="Arial" w:eastAsia="宋体" w:cs="Arial"/>
        </w:rPr>
        <w:t>CDRH</w:t>
      </w:r>
    </w:p>
    <w:p w14:paraId="33E5F51B">
      <w:pPr>
        <w:snapToGrid w:val="0"/>
        <w:spacing w:line="300" w:lineRule="auto"/>
        <w:rPr>
          <w:rFonts w:ascii="Arial" w:hAnsi="Arial" w:eastAsia="宋体" w:cs="Arial"/>
          <w:lang w:eastAsia="zh-CN"/>
        </w:rPr>
      </w:pPr>
    </w:p>
    <w:p w14:paraId="215BD55C">
      <w:pPr>
        <w:snapToGrid w:val="0"/>
        <w:spacing w:line="300" w:lineRule="auto"/>
        <w:rPr>
          <w:rFonts w:ascii="Arial" w:hAnsi="Arial" w:eastAsia="宋体" w:cs="Arial"/>
          <w:lang w:eastAsia="zh-CN"/>
        </w:rPr>
      </w:pPr>
    </w:p>
    <w:p w14:paraId="51D530DD">
      <w:pPr>
        <w:snapToGrid w:val="0"/>
        <w:spacing w:line="300" w:lineRule="auto"/>
        <w:rPr>
          <w:rFonts w:ascii="Arial" w:hAnsi="Arial" w:eastAsia="宋体" w:cs="Arial"/>
          <w:lang w:eastAsia="zh-CN"/>
        </w:rPr>
      </w:pPr>
    </w:p>
    <w:p w14:paraId="41E620FB">
      <w:pPr>
        <w:pStyle w:val="3"/>
        <w:snapToGrid w:val="0"/>
        <w:spacing w:before="53" w:line="300" w:lineRule="auto"/>
        <w:ind w:left="0"/>
        <w:rPr>
          <w:rFonts w:ascii="Arial" w:hAnsi="Arial" w:eastAsia="宋体" w:cs="Arial"/>
        </w:rPr>
      </w:pPr>
      <w:r>
        <w:rPr>
          <w:rFonts w:ascii="Arial" w:hAnsi="Arial" w:eastAsia="宋体" w:cs="Arial"/>
        </w:rPr>
        <w:t>Richard P. Felten, DLS, OST,</w:t>
      </w:r>
      <w:r>
        <w:rPr>
          <w:rFonts w:ascii="Arial" w:hAnsi="Arial" w:eastAsia="宋体" w:cs="Arial"/>
          <w:spacing w:val="-27"/>
        </w:rPr>
        <w:t xml:space="preserve"> </w:t>
      </w:r>
      <w:r>
        <w:rPr>
          <w:rFonts w:ascii="Arial" w:hAnsi="Arial" w:eastAsia="宋体" w:cs="Arial"/>
        </w:rPr>
        <w:t>CDRH</w:t>
      </w:r>
      <w:r>
        <w:rPr>
          <w:rFonts w:ascii="Arial" w:hAnsi="Arial" w:eastAsia="宋体" w:cs="Arial"/>
          <w:spacing w:val="-1"/>
          <w:w w:val="99"/>
        </w:rPr>
        <w:t xml:space="preserve"> </w:t>
      </w:r>
      <w:r>
        <w:rPr>
          <w:rFonts w:ascii="Arial" w:hAnsi="Arial" w:eastAsia="宋体" w:cs="Arial"/>
          <w:spacing w:val="-1"/>
          <w:w w:val="99"/>
        </w:rPr>
        <w:br w:type="textWrapping"/>
      </w:r>
      <w:r>
        <w:rPr>
          <w:rFonts w:ascii="Arial" w:hAnsi="Arial" w:eastAsia="宋体" w:cs="Arial"/>
        </w:rPr>
        <w:t>Carolyn Neuland, DGGD,</w:t>
      </w:r>
      <w:r>
        <w:rPr>
          <w:rFonts w:ascii="Arial" w:hAnsi="Arial" w:eastAsia="宋体" w:cs="Arial"/>
          <w:spacing w:val="-24"/>
        </w:rPr>
        <w:t xml:space="preserve"> </w:t>
      </w:r>
      <w:r>
        <w:rPr>
          <w:rFonts w:ascii="Arial" w:hAnsi="Arial" w:eastAsia="宋体" w:cs="Arial"/>
        </w:rPr>
        <w:t>CDRH</w:t>
      </w:r>
    </w:p>
    <w:p w14:paraId="7E706598">
      <w:pPr>
        <w:pStyle w:val="3"/>
        <w:snapToGrid w:val="0"/>
        <w:spacing w:line="300" w:lineRule="auto"/>
        <w:ind w:left="0"/>
        <w:rPr>
          <w:rFonts w:ascii="Arial" w:hAnsi="Arial" w:eastAsia="宋体" w:cs="Arial"/>
        </w:rPr>
      </w:pPr>
      <w:r>
        <w:rPr>
          <w:rFonts w:ascii="Arial" w:hAnsi="Arial" w:eastAsia="宋体" w:cs="Arial"/>
        </w:rPr>
        <w:t>Michael J. Blackwell, DSRD, ODE, CDRH</w:t>
      </w:r>
    </w:p>
    <w:p w14:paraId="4143BE66">
      <w:pPr>
        <w:pStyle w:val="3"/>
        <w:snapToGrid w:val="0"/>
        <w:spacing w:before="7" w:line="300" w:lineRule="auto"/>
        <w:ind w:left="0"/>
        <w:rPr>
          <w:rFonts w:ascii="Arial" w:hAnsi="Arial" w:eastAsia="宋体" w:cs="Arial"/>
        </w:rPr>
      </w:pPr>
      <w:r>
        <w:rPr>
          <w:rFonts w:ascii="Arial" w:hAnsi="Arial" w:eastAsia="宋体" w:cs="Arial"/>
        </w:rPr>
        <w:t>A. Torres-Cabassa, DSRD, ODE,</w:t>
      </w:r>
      <w:r>
        <w:rPr>
          <w:rFonts w:ascii="Arial" w:hAnsi="Arial" w:eastAsia="宋体" w:cs="Arial"/>
          <w:spacing w:val="-28"/>
        </w:rPr>
        <w:t xml:space="preserve"> </w:t>
      </w:r>
      <w:r>
        <w:rPr>
          <w:rFonts w:ascii="Arial" w:hAnsi="Arial" w:eastAsia="宋体" w:cs="Arial"/>
          <w:spacing w:val="-28"/>
        </w:rPr>
        <w:br w:type="textWrapping"/>
      </w:r>
      <w:r>
        <w:rPr>
          <w:rFonts w:ascii="Arial" w:hAnsi="Arial" w:eastAsia="宋体" w:cs="Arial"/>
        </w:rPr>
        <w:t>CDRH</w:t>
      </w:r>
      <w:r>
        <w:rPr>
          <w:rFonts w:ascii="Arial" w:hAnsi="Arial" w:eastAsia="宋体" w:cs="Arial"/>
          <w:spacing w:val="-1"/>
          <w:w w:val="99"/>
        </w:rPr>
        <w:t xml:space="preserve"> </w:t>
      </w:r>
      <w:r>
        <w:rPr>
          <w:rFonts w:ascii="Arial" w:hAnsi="Arial" w:eastAsia="宋体" w:cs="Arial"/>
        </w:rPr>
        <w:t>Robert H. James, DPS, OST,</w:t>
      </w:r>
      <w:r>
        <w:rPr>
          <w:rFonts w:ascii="Arial" w:hAnsi="Arial" w:eastAsia="宋体" w:cs="Arial"/>
          <w:spacing w:val="-1"/>
        </w:rPr>
        <w:t xml:space="preserve"> </w:t>
      </w:r>
      <w:r>
        <w:rPr>
          <w:rFonts w:ascii="Arial" w:hAnsi="Arial" w:eastAsia="宋体" w:cs="Arial"/>
          <w:spacing w:val="-1"/>
        </w:rPr>
        <w:br w:type="textWrapping"/>
      </w:r>
      <w:r>
        <w:rPr>
          <w:rFonts w:ascii="Arial" w:hAnsi="Arial" w:eastAsia="宋体" w:cs="Arial"/>
        </w:rPr>
        <w:t>CDRH</w:t>
      </w:r>
      <w:r>
        <w:rPr>
          <w:rFonts w:ascii="Arial" w:hAnsi="Arial" w:eastAsia="宋体" w:cs="Arial"/>
          <w:w w:val="99"/>
        </w:rPr>
        <w:t xml:space="preserve"> </w:t>
      </w:r>
      <w:r>
        <w:rPr>
          <w:rFonts w:ascii="Arial" w:hAnsi="Arial" w:eastAsia="宋体" w:cs="Arial"/>
        </w:rPr>
        <w:t>Steve Babcock, MDR, OC,</w:t>
      </w:r>
      <w:r>
        <w:rPr>
          <w:rFonts w:ascii="Arial" w:hAnsi="Arial" w:eastAsia="宋体" w:cs="Arial"/>
          <w:spacing w:val="-10"/>
        </w:rPr>
        <w:t xml:space="preserve"> </w:t>
      </w:r>
      <w:r>
        <w:rPr>
          <w:rFonts w:ascii="Arial" w:hAnsi="Arial" w:eastAsia="宋体" w:cs="Arial"/>
          <w:spacing w:val="-10"/>
        </w:rPr>
        <w:br w:type="textWrapping"/>
      </w:r>
      <w:r>
        <w:rPr>
          <w:rFonts w:ascii="Arial" w:hAnsi="Arial" w:eastAsia="宋体" w:cs="Arial"/>
        </w:rPr>
        <w:t>CDRH</w:t>
      </w:r>
      <w:r>
        <w:rPr>
          <w:rFonts w:ascii="Arial" w:hAnsi="Arial" w:eastAsia="宋体" w:cs="Arial"/>
          <w:spacing w:val="-1"/>
          <w:w w:val="99"/>
        </w:rPr>
        <w:t xml:space="preserve"> </w:t>
      </w:r>
      <w:r>
        <w:rPr>
          <w:rFonts w:ascii="Arial" w:hAnsi="Arial" w:eastAsia="宋体" w:cs="Arial"/>
        </w:rPr>
        <w:t>Gideon Kantor, DPS, OST,</w:t>
      </w:r>
      <w:r>
        <w:rPr>
          <w:rFonts w:ascii="Arial" w:hAnsi="Arial" w:eastAsia="宋体" w:cs="Arial"/>
          <w:spacing w:val="-1"/>
        </w:rPr>
        <w:t xml:space="preserve"> </w:t>
      </w:r>
      <w:r>
        <w:rPr>
          <w:rFonts w:ascii="Arial" w:hAnsi="Arial" w:eastAsia="宋体" w:cs="Arial"/>
          <w:spacing w:val="-1"/>
        </w:rPr>
        <w:br w:type="textWrapping"/>
      </w:r>
      <w:r>
        <w:rPr>
          <w:rFonts w:ascii="Arial" w:hAnsi="Arial" w:eastAsia="宋体" w:cs="Arial"/>
        </w:rPr>
        <w:t>CDRH</w:t>
      </w:r>
      <w:r>
        <w:rPr>
          <w:rFonts w:ascii="Arial" w:hAnsi="Arial" w:eastAsia="宋体" w:cs="Arial"/>
          <w:w w:val="99"/>
        </w:rPr>
        <w:t xml:space="preserve"> </w:t>
      </w:r>
      <w:r>
        <w:rPr>
          <w:rFonts w:ascii="Arial" w:hAnsi="Arial" w:eastAsia="宋体" w:cs="Arial"/>
        </w:rPr>
        <w:t>George Koustenis, OC,</w:t>
      </w:r>
      <w:r>
        <w:rPr>
          <w:rFonts w:ascii="Arial" w:hAnsi="Arial" w:eastAsia="宋体" w:cs="Arial"/>
          <w:spacing w:val="-23"/>
        </w:rPr>
        <w:t xml:space="preserve"> </w:t>
      </w:r>
      <w:r>
        <w:rPr>
          <w:rFonts w:ascii="Arial" w:hAnsi="Arial" w:eastAsia="宋体" w:cs="Arial"/>
        </w:rPr>
        <w:t>CDRH</w:t>
      </w:r>
    </w:p>
    <w:p w14:paraId="450D95FE">
      <w:pPr>
        <w:pStyle w:val="3"/>
        <w:snapToGrid w:val="0"/>
        <w:spacing w:line="300" w:lineRule="auto"/>
        <w:ind w:left="0"/>
        <w:rPr>
          <w:rFonts w:ascii="Arial" w:hAnsi="Arial" w:eastAsia="宋体" w:cs="Arial"/>
        </w:rPr>
      </w:pPr>
      <w:r>
        <w:rPr>
          <w:rFonts w:ascii="Arial" w:hAnsi="Arial" w:eastAsia="宋体" w:cs="Arial"/>
        </w:rPr>
        <w:t xml:space="preserve">Tim Wells, </w:t>
      </w:r>
      <w:r>
        <w:rPr>
          <w:rFonts w:ascii="Arial" w:hAnsi="Arial" w:eastAsia="宋体" w:cs="Arial"/>
          <w:lang w:eastAsia="zh-CN"/>
        </w:rPr>
        <w:t>行政秘书办公室</w:t>
      </w:r>
      <w:r>
        <w:rPr>
          <w:rFonts w:ascii="Arial" w:hAnsi="Arial" w:eastAsia="宋体" w:cs="Arial"/>
        </w:rPr>
        <w:t>,</w:t>
      </w:r>
      <w:r>
        <w:rPr>
          <w:rFonts w:ascii="Arial" w:hAnsi="Arial" w:eastAsia="宋体" w:cs="Arial"/>
          <w:spacing w:val="-35"/>
        </w:rPr>
        <w:t xml:space="preserve"> </w:t>
      </w:r>
      <w:r>
        <w:rPr>
          <w:rFonts w:ascii="Arial" w:hAnsi="Arial" w:eastAsia="宋体" w:cs="Arial"/>
        </w:rPr>
        <w:t>FDA</w:t>
      </w:r>
      <w:r>
        <w:rPr>
          <w:rFonts w:ascii="Arial" w:hAnsi="Arial" w:eastAsia="宋体" w:cs="Arial"/>
          <w:spacing w:val="-1"/>
          <w:w w:val="99"/>
        </w:rPr>
        <w:t xml:space="preserve"> </w:t>
      </w:r>
      <w:r>
        <w:rPr>
          <w:rFonts w:ascii="Arial" w:hAnsi="Arial" w:eastAsia="宋体" w:cs="Arial"/>
          <w:spacing w:val="-1"/>
          <w:w w:val="99"/>
        </w:rPr>
        <w:br w:type="textWrapping"/>
      </w:r>
      <w:r>
        <w:rPr>
          <w:rFonts w:ascii="Arial" w:hAnsi="Arial" w:eastAsia="宋体" w:cs="Arial"/>
        </w:rPr>
        <w:t>Joyce Rollings, DCP, OC,</w:t>
      </w:r>
      <w:r>
        <w:rPr>
          <w:rFonts w:ascii="Arial" w:hAnsi="Arial" w:eastAsia="宋体" w:cs="Arial"/>
          <w:spacing w:val="-25"/>
        </w:rPr>
        <w:t xml:space="preserve"> </w:t>
      </w:r>
      <w:r>
        <w:rPr>
          <w:rFonts w:ascii="Arial" w:hAnsi="Arial" w:eastAsia="宋体" w:cs="Arial"/>
        </w:rPr>
        <w:t>CDRH</w:t>
      </w:r>
    </w:p>
    <w:p w14:paraId="6B4F87F4">
      <w:pPr>
        <w:pStyle w:val="3"/>
        <w:snapToGrid w:val="0"/>
        <w:spacing w:line="300" w:lineRule="auto"/>
        <w:ind w:left="0"/>
        <w:rPr>
          <w:rFonts w:ascii="Arial" w:hAnsi="Arial" w:eastAsia="宋体" w:cs="Arial"/>
          <w:lang w:eastAsia="zh-CN"/>
        </w:rPr>
      </w:pPr>
      <w:r>
        <w:rPr>
          <w:rFonts w:ascii="Arial" w:hAnsi="Arial" w:eastAsia="宋体" w:cs="Arial"/>
          <w:lang w:eastAsia="zh-CN"/>
        </w:rPr>
        <w:t>Carol Lee, DCA, OTA,</w:t>
      </w:r>
      <w:r>
        <w:rPr>
          <w:rFonts w:ascii="Arial" w:hAnsi="Arial" w:eastAsia="宋体" w:cs="Arial"/>
          <w:spacing w:val="-21"/>
          <w:lang w:eastAsia="zh-CN"/>
        </w:rPr>
        <w:t xml:space="preserve"> </w:t>
      </w:r>
      <w:r>
        <w:rPr>
          <w:rFonts w:ascii="Arial" w:hAnsi="Arial" w:eastAsia="宋体" w:cs="Arial"/>
          <w:lang w:eastAsia="zh-CN"/>
        </w:rPr>
        <w:t>CDRH</w:t>
      </w:r>
    </w:p>
    <w:p w14:paraId="7864A9CF">
      <w:pPr>
        <w:snapToGrid w:val="0"/>
        <w:spacing w:line="300" w:lineRule="auto"/>
        <w:jc w:val="both"/>
        <w:rPr>
          <w:rFonts w:ascii="Arial" w:hAnsi="Arial" w:eastAsia="宋体" w:cs="Arial"/>
          <w:sz w:val="24"/>
          <w:szCs w:val="24"/>
          <w:lang w:eastAsia="zh-CN"/>
        </w:rPr>
      </w:pPr>
    </w:p>
    <w:p w14:paraId="089E6D8D">
      <w:pPr>
        <w:snapToGrid w:val="0"/>
        <w:spacing w:before="11" w:line="300" w:lineRule="auto"/>
        <w:jc w:val="both"/>
        <w:rPr>
          <w:rFonts w:ascii="Arial" w:hAnsi="Arial" w:eastAsia="宋体" w:cs="Arial"/>
          <w:sz w:val="26"/>
          <w:szCs w:val="26"/>
          <w:lang w:eastAsia="zh-CN"/>
        </w:rPr>
      </w:pPr>
    </w:p>
    <w:p w14:paraId="34F3734A">
      <w:pPr>
        <w:pStyle w:val="2"/>
        <w:snapToGrid w:val="0"/>
        <w:spacing w:line="300" w:lineRule="auto"/>
        <w:ind w:left="0"/>
        <w:jc w:val="both"/>
        <w:rPr>
          <w:rFonts w:ascii="Arial" w:hAnsi="Arial" w:eastAsia="宋体" w:cs="Arial"/>
          <w:b w:val="0"/>
          <w:bCs w:val="0"/>
          <w:lang w:eastAsia="zh-CN"/>
        </w:rPr>
      </w:pPr>
      <w:r>
        <w:rPr>
          <w:rFonts w:ascii="Arial" w:hAnsi="Arial" w:eastAsia="宋体" w:cs="Arial"/>
          <w:spacing w:val="-1"/>
          <w:u w:val="thick" w:color="000000"/>
          <w:lang w:eastAsia="zh-CN"/>
        </w:rPr>
        <w:t>开放式小组讨论</w:t>
      </w:r>
    </w:p>
    <w:p w14:paraId="67C93EC7">
      <w:pPr>
        <w:snapToGrid w:val="0"/>
        <w:spacing w:before="10" w:line="300" w:lineRule="auto"/>
        <w:jc w:val="both"/>
        <w:rPr>
          <w:rFonts w:ascii="Arial" w:hAnsi="Arial" w:eastAsia="宋体" w:cs="Arial"/>
          <w:b/>
          <w:bCs/>
          <w:sz w:val="18"/>
          <w:szCs w:val="18"/>
          <w:lang w:eastAsia="zh-CN"/>
        </w:rPr>
      </w:pPr>
    </w:p>
    <w:p w14:paraId="694CE480">
      <w:pPr>
        <w:pStyle w:val="3"/>
        <w:snapToGrid w:val="0"/>
        <w:spacing w:before="69" w:line="300" w:lineRule="auto"/>
        <w:ind w:left="0"/>
        <w:jc w:val="both"/>
        <w:rPr>
          <w:rFonts w:ascii="Arial" w:hAnsi="Arial" w:eastAsia="宋体" w:cs="Arial"/>
          <w:lang w:eastAsia="zh-CN"/>
        </w:rPr>
      </w:pPr>
      <w:r>
        <w:rPr>
          <w:rFonts w:ascii="Arial" w:hAnsi="Arial" w:eastAsia="宋体" w:cs="Arial"/>
          <w:u w:val="single" w:color="000000"/>
          <w:lang w:eastAsia="zh-CN"/>
        </w:rPr>
        <w:t>疼痛研究设计</w:t>
      </w:r>
      <w:r>
        <w:rPr>
          <w:rFonts w:ascii="Arial" w:hAnsi="Arial" w:eastAsia="宋体" w:cs="Arial"/>
          <w:lang w:eastAsia="zh-CN"/>
        </w:rPr>
        <w:t>。FDA要求该小组就制定有关用于获取数据以确保缓解疼痛设备的安全性和有效性的临床研究的指南提供建议。Max医生和Friedman医生与NIH进行了讨论。FDA员工介绍了其认为可代表旨在衡量疼痛疗法的临床试验设计中所涉及共识的设计摘要。（请参见</w:t>
      </w:r>
      <w:r>
        <w:rPr>
          <w:rFonts w:hint="eastAsia" w:ascii="Arial" w:hAnsi="Arial" w:eastAsia="宋体" w:cs="Arial"/>
          <w:color w:val="0000FF"/>
          <w:lang w:eastAsia="zh-CN"/>
        </w:rPr>
        <w:t>附件</w:t>
      </w:r>
      <w:r>
        <w:rPr>
          <w:rFonts w:ascii="Arial" w:hAnsi="Arial" w:eastAsia="宋体" w:cs="Arial"/>
          <w:color w:val="0000FF"/>
          <w:lang w:eastAsia="zh-CN"/>
        </w:rPr>
        <w:t>A</w:t>
      </w:r>
      <w:r>
        <w:rPr>
          <w:rFonts w:hint="eastAsia" w:ascii="Arial" w:hAnsi="Arial" w:eastAsia="宋体" w:cs="Arial"/>
          <w:color w:val="0000FF"/>
          <w:lang w:eastAsia="zh-CN"/>
        </w:rPr>
        <w:t>和</w:t>
      </w:r>
      <w:r>
        <w:rPr>
          <w:rFonts w:ascii="Arial" w:hAnsi="Arial" w:eastAsia="宋体" w:cs="Arial"/>
          <w:color w:val="0000FF"/>
          <w:lang w:eastAsia="zh-CN"/>
        </w:rPr>
        <w:t>B</w:t>
      </w:r>
      <w:r>
        <w:rPr>
          <w:rFonts w:ascii="Arial" w:hAnsi="Arial" w:eastAsia="宋体" w:cs="Arial"/>
          <w:lang w:eastAsia="zh-CN"/>
        </w:rPr>
        <w:t>）。</w:t>
      </w:r>
    </w:p>
    <w:p w14:paraId="5EE38A16">
      <w:pPr>
        <w:snapToGrid w:val="0"/>
        <w:spacing w:before="6" w:line="300" w:lineRule="auto"/>
        <w:jc w:val="both"/>
        <w:rPr>
          <w:rFonts w:ascii="Arial" w:hAnsi="Arial" w:eastAsia="宋体" w:cs="Arial"/>
          <w:sz w:val="24"/>
          <w:szCs w:val="24"/>
          <w:lang w:eastAsia="zh-CN"/>
        </w:rPr>
      </w:pPr>
    </w:p>
    <w:p w14:paraId="346C23B2">
      <w:pPr>
        <w:pStyle w:val="3"/>
        <w:snapToGrid w:val="0"/>
        <w:spacing w:line="300" w:lineRule="auto"/>
        <w:ind w:left="0"/>
        <w:jc w:val="both"/>
        <w:rPr>
          <w:rFonts w:ascii="Arial" w:hAnsi="Arial" w:eastAsia="宋体" w:cs="Arial"/>
          <w:lang w:eastAsia="zh-CN"/>
        </w:rPr>
      </w:pPr>
      <w:r>
        <w:rPr>
          <w:rFonts w:ascii="Arial" w:hAnsi="Arial" w:eastAsia="宋体" w:cs="Arial"/>
          <w:u w:val="single" w:color="000000"/>
          <w:lang w:eastAsia="zh-CN"/>
        </w:rPr>
        <w:t>方案</w:t>
      </w:r>
      <w:r>
        <w:rPr>
          <w:rFonts w:ascii="Arial" w:hAnsi="Arial" w:eastAsia="宋体" w:cs="Arial"/>
          <w:lang w:eastAsia="zh-CN"/>
        </w:rPr>
        <w:t>。该小组鼓励FDA在允许临床研究开始之前检查每项研究的设计。他们还建议FDA在批准之前考虑打算进行临床疼痛研究的人员的资格。他们指出，一般来说，疼痛在使人类免受疾病和伤害方面发挥必要作用。</w:t>
      </w:r>
    </w:p>
    <w:p w14:paraId="79164C1D">
      <w:pPr>
        <w:snapToGrid w:val="0"/>
        <w:spacing w:before="6" w:line="300" w:lineRule="auto"/>
        <w:jc w:val="both"/>
        <w:rPr>
          <w:rFonts w:ascii="Arial" w:hAnsi="Arial" w:eastAsia="宋体" w:cs="Arial"/>
          <w:sz w:val="24"/>
          <w:szCs w:val="24"/>
          <w:lang w:eastAsia="zh-CN"/>
        </w:rPr>
      </w:pPr>
    </w:p>
    <w:p w14:paraId="682142FE">
      <w:pPr>
        <w:pStyle w:val="3"/>
        <w:snapToGrid w:val="0"/>
        <w:spacing w:line="300" w:lineRule="auto"/>
        <w:ind w:left="0"/>
        <w:jc w:val="both"/>
        <w:rPr>
          <w:rFonts w:ascii="Arial" w:hAnsi="Arial" w:eastAsia="宋体" w:cs="Arial"/>
          <w:lang w:eastAsia="zh-CN"/>
        </w:rPr>
      </w:pPr>
      <w:r>
        <w:rPr>
          <w:rFonts w:ascii="Arial" w:hAnsi="Arial" w:eastAsia="宋体" w:cs="Arial"/>
          <w:u w:val="single" w:color="000000"/>
          <w:lang w:eastAsia="zh-CN"/>
        </w:rPr>
        <w:t>研究人群</w:t>
      </w:r>
      <w:r>
        <w:rPr>
          <w:rFonts w:ascii="Arial" w:hAnsi="Arial" w:eastAsia="宋体" w:cs="Arial"/>
          <w:lang w:eastAsia="zh-CN"/>
        </w:rPr>
        <w:t>。小组成员建议应特别注意就疼痛的严重程度和疾病的病因获得同质人群。</w:t>
      </w:r>
    </w:p>
    <w:p w14:paraId="7BE42EC8">
      <w:pPr>
        <w:snapToGrid w:val="0"/>
        <w:spacing w:before="6" w:line="300" w:lineRule="auto"/>
        <w:jc w:val="both"/>
        <w:rPr>
          <w:rFonts w:ascii="Arial" w:hAnsi="Arial" w:eastAsia="宋体" w:cs="Arial"/>
          <w:sz w:val="24"/>
          <w:szCs w:val="24"/>
          <w:lang w:eastAsia="zh-CN"/>
        </w:rPr>
      </w:pPr>
    </w:p>
    <w:p w14:paraId="4F9E7880">
      <w:pPr>
        <w:snapToGrid w:val="0"/>
        <w:spacing w:before="6" w:line="300" w:lineRule="auto"/>
        <w:jc w:val="both"/>
        <w:rPr>
          <w:rFonts w:ascii="Arial" w:hAnsi="Arial" w:eastAsia="宋体" w:cs="Arial"/>
          <w:sz w:val="24"/>
          <w:szCs w:val="24"/>
          <w:lang w:eastAsia="zh-CN"/>
        </w:rPr>
      </w:pPr>
    </w:p>
    <w:p w14:paraId="24D197F5">
      <w:pPr>
        <w:pStyle w:val="3"/>
        <w:snapToGrid w:val="0"/>
        <w:spacing w:line="300" w:lineRule="auto"/>
        <w:ind w:left="0"/>
        <w:jc w:val="both"/>
        <w:rPr>
          <w:rFonts w:ascii="Arial" w:hAnsi="Arial" w:eastAsia="宋体" w:cs="Arial"/>
          <w:lang w:eastAsia="zh-CN"/>
        </w:rPr>
      </w:pPr>
      <w:r>
        <w:rPr>
          <w:rFonts w:ascii="Arial" w:hAnsi="Arial" w:eastAsia="宋体" w:cs="Arial"/>
          <w:u w:val="single" w:color="000000"/>
          <w:lang w:eastAsia="zh-CN"/>
        </w:rPr>
        <w:t>评估方法</w:t>
      </w:r>
      <w:r>
        <w:rPr>
          <w:rFonts w:ascii="Arial" w:hAnsi="Arial" w:eastAsia="宋体" w:cs="Arial"/>
          <w:lang w:eastAsia="zh-CN"/>
        </w:rPr>
        <w:t>。在笼统地讨论疼痛测量的方法后，该小组达成的共识是，有效测量难以构建，因为疼痛是一种主观的情感体验。他们指出，急性疼痛与慢性疼痛的区别在构建评估方法中至关重要；即有必要了解潜在疾病过程的自然时间进程，并在设计研究中考虑时间进程。</w:t>
      </w:r>
    </w:p>
    <w:p w14:paraId="1CA10A71">
      <w:pPr>
        <w:snapToGrid w:val="0"/>
        <w:spacing w:before="6" w:line="300" w:lineRule="auto"/>
        <w:jc w:val="both"/>
        <w:rPr>
          <w:rFonts w:ascii="Arial" w:hAnsi="Arial" w:eastAsia="宋体" w:cs="Arial"/>
          <w:sz w:val="24"/>
          <w:szCs w:val="24"/>
          <w:lang w:eastAsia="zh-CN"/>
        </w:rPr>
      </w:pPr>
    </w:p>
    <w:p w14:paraId="73837C34">
      <w:pPr>
        <w:pStyle w:val="3"/>
        <w:snapToGrid w:val="0"/>
        <w:spacing w:line="300" w:lineRule="auto"/>
        <w:ind w:left="0"/>
        <w:jc w:val="both"/>
        <w:rPr>
          <w:rFonts w:ascii="Arial" w:hAnsi="Arial" w:eastAsia="宋体" w:cs="Arial"/>
          <w:lang w:eastAsia="zh-CN"/>
        </w:rPr>
      </w:pPr>
      <w:r>
        <w:rPr>
          <w:rFonts w:ascii="Arial" w:hAnsi="Arial" w:eastAsia="宋体" w:cs="Arial"/>
          <w:u w:val="single" w:color="000000"/>
          <w:lang w:eastAsia="zh-CN"/>
        </w:rPr>
        <w:t>样本量</w:t>
      </w:r>
      <w:r>
        <w:rPr>
          <w:rFonts w:ascii="Arial" w:hAnsi="Arial" w:eastAsia="宋体" w:cs="Arial"/>
          <w:lang w:eastAsia="zh-CN"/>
        </w:rPr>
        <w:t>。他们建议，受试者的数量应足以确保否决任何零假设的错误概率小于0.05。</w:t>
      </w:r>
    </w:p>
    <w:p w14:paraId="2AE750E2">
      <w:pPr>
        <w:snapToGrid w:val="0"/>
        <w:spacing w:before="6" w:line="300" w:lineRule="auto"/>
        <w:jc w:val="both"/>
        <w:rPr>
          <w:rFonts w:ascii="Arial" w:hAnsi="Arial" w:eastAsia="宋体" w:cs="Arial"/>
          <w:sz w:val="24"/>
          <w:szCs w:val="24"/>
          <w:lang w:eastAsia="zh-CN"/>
        </w:rPr>
      </w:pPr>
    </w:p>
    <w:p w14:paraId="3F017D1A">
      <w:pPr>
        <w:pStyle w:val="3"/>
        <w:snapToGrid w:val="0"/>
        <w:spacing w:line="300" w:lineRule="auto"/>
        <w:ind w:left="0"/>
        <w:rPr>
          <w:rFonts w:ascii="Arial" w:hAnsi="Arial" w:eastAsia="宋体" w:cs="Arial"/>
          <w:lang w:eastAsia="zh-CN"/>
        </w:rPr>
        <w:sectPr>
          <w:pgSz w:w="12240" w:h="15840"/>
          <w:pgMar w:top="1100" w:right="1380" w:bottom="960" w:left="1340" w:header="0" w:footer="771" w:gutter="0"/>
          <w:cols w:space="720" w:num="1"/>
        </w:sectPr>
      </w:pPr>
      <w:r>
        <w:rPr>
          <w:rFonts w:ascii="Arial" w:hAnsi="Arial" w:eastAsia="宋体" w:cs="Arial"/>
          <w:u w:val="single" w:color="000000"/>
          <w:lang w:eastAsia="zh-CN"/>
        </w:rPr>
        <w:t>随机化</w:t>
      </w:r>
      <w:r>
        <w:rPr>
          <w:rFonts w:ascii="Arial" w:hAnsi="Arial" w:eastAsia="宋体" w:cs="Arial"/>
          <w:lang w:eastAsia="zh-CN"/>
        </w:rPr>
        <w:t>。他们指出，在一些研究中可能无法实现随机化，因为不存在适当的替代疗法，例如对深部脑刺激物的研究。尽管随机化是有助于减少主观反应不确定性的有用技术，但其无法减少由不确定的先前经验因素引起的不确定性。</w:t>
      </w:r>
    </w:p>
    <w:p w14:paraId="7F5A8A05">
      <w:pPr>
        <w:pStyle w:val="3"/>
        <w:snapToGrid w:val="0"/>
        <w:spacing w:before="53" w:line="300" w:lineRule="auto"/>
        <w:ind w:left="0"/>
        <w:jc w:val="both"/>
        <w:rPr>
          <w:rFonts w:ascii="Arial" w:hAnsi="Arial" w:eastAsia="宋体" w:cs="Arial"/>
          <w:lang w:eastAsia="zh-CN"/>
        </w:rPr>
      </w:pPr>
      <w:r>
        <w:rPr>
          <w:rFonts w:ascii="Arial" w:hAnsi="Arial" w:eastAsia="宋体" w:cs="Arial"/>
          <w:u w:val="single" w:color="000000"/>
          <w:lang w:eastAsia="zh-CN"/>
        </w:rPr>
        <w:t>安慰剂</w:t>
      </w:r>
      <w:r>
        <w:rPr>
          <w:rFonts w:ascii="Arial" w:hAnsi="Arial" w:eastAsia="宋体" w:cs="Arial"/>
          <w:lang w:eastAsia="zh-CN"/>
        </w:rPr>
        <w:t>。该小组建议应将这个主题推广来涵盖各种对照方法。该小组建议应考虑以下事项：</w:t>
      </w:r>
    </w:p>
    <w:p w14:paraId="76D8D8BB">
      <w:pPr>
        <w:pStyle w:val="10"/>
        <w:numPr>
          <w:ilvl w:val="0"/>
          <w:numId w:val="2"/>
        </w:numPr>
        <w:tabs>
          <w:tab w:val="left" w:pos="642"/>
        </w:tabs>
        <w:snapToGrid w:val="0"/>
        <w:spacing w:before="119" w:line="300" w:lineRule="auto"/>
        <w:ind w:left="530" w:hanging="530" w:hangingChars="221"/>
        <w:jc w:val="both"/>
        <w:rPr>
          <w:rFonts w:ascii="Arial" w:hAnsi="Arial" w:eastAsia="宋体" w:cs="Arial"/>
          <w:sz w:val="24"/>
          <w:szCs w:val="24"/>
          <w:lang w:eastAsia="zh-CN"/>
        </w:rPr>
      </w:pPr>
      <w:r>
        <w:rPr>
          <w:rFonts w:ascii="Arial" w:hAnsi="Arial" w:eastAsia="宋体" w:cs="Arial"/>
          <w:sz w:val="24"/>
          <w:szCs w:val="24"/>
          <w:lang w:eastAsia="zh-CN"/>
        </w:rPr>
        <w:t>安慰剂不可用时可以使用阳性对照；然而，使用阳性对照获得的适当数据分析不同于用于采用安慰剂的研究的分析。支持将“Phyler's Theorem”用于有阳性对照的研究。</w:t>
      </w:r>
    </w:p>
    <w:p w14:paraId="5A41237C">
      <w:pPr>
        <w:pStyle w:val="10"/>
        <w:numPr>
          <w:ilvl w:val="0"/>
          <w:numId w:val="2"/>
        </w:numPr>
        <w:tabs>
          <w:tab w:val="left" w:pos="642"/>
        </w:tabs>
        <w:snapToGrid w:val="0"/>
        <w:spacing w:before="119" w:line="300" w:lineRule="auto"/>
        <w:ind w:left="530" w:hanging="530" w:hangingChars="221"/>
        <w:jc w:val="both"/>
        <w:rPr>
          <w:rFonts w:ascii="Arial" w:hAnsi="Arial" w:eastAsia="宋体" w:cs="Arial"/>
          <w:sz w:val="24"/>
          <w:szCs w:val="24"/>
          <w:lang w:eastAsia="zh-CN"/>
        </w:rPr>
      </w:pPr>
      <w:r>
        <w:rPr>
          <w:rFonts w:ascii="Arial" w:hAnsi="Arial" w:eastAsia="宋体" w:cs="Arial"/>
          <w:sz w:val="24"/>
          <w:szCs w:val="24"/>
          <w:lang w:eastAsia="zh-CN"/>
        </w:rPr>
        <w:t>有必要区分依赖于对疾病过程的影响的疼痛疗法以及具有严格止痛效果的疼痛疗法。这两种治疗方式的时间进程的差异很大；因此，用于对照和分析数据的方法也不同。</w:t>
      </w:r>
    </w:p>
    <w:p w14:paraId="6F07445A">
      <w:pPr>
        <w:pStyle w:val="10"/>
        <w:numPr>
          <w:ilvl w:val="0"/>
          <w:numId w:val="2"/>
        </w:numPr>
        <w:tabs>
          <w:tab w:val="left" w:pos="642"/>
        </w:tabs>
        <w:snapToGrid w:val="0"/>
        <w:spacing w:before="119" w:line="300" w:lineRule="auto"/>
        <w:ind w:left="530" w:hanging="530" w:hangingChars="221"/>
        <w:jc w:val="both"/>
        <w:rPr>
          <w:rFonts w:ascii="Arial" w:hAnsi="Arial" w:eastAsia="宋体" w:cs="Arial"/>
          <w:sz w:val="24"/>
          <w:szCs w:val="24"/>
        </w:rPr>
      </w:pPr>
      <w:r>
        <w:rPr>
          <w:rFonts w:ascii="Arial" w:hAnsi="Arial" w:eastAsia="宋体" w:cs="Arial"/>
          <w:sz w:val="24"/>
          <w:szCs w:val="24"/>
          <w:lang w:eastAsia="zh-CN"/>
        </w:rPr>
        <w:t>使用主观措施时，安慰剂对照至关重要，因为人们感知和报告疼痛的方式有很大的差异。这些差异与各种因素有关，如文化差异、先前经验和次要收益。</w:t>
      </w:r>
      <w:r>
        <w:rPr>
          <w:rFonts w:ascii="Arial" w:hAnsi="Arial" w:eastAsia="宋体" w:cs="Arial"/>
          <w:sz w:val="24"/>
          <w:szCs w:val="24"/>
        </w:rPr>
        <w:t>使用MMPI筛选可用于限制患者</w:t>
      </w:r>
      <w:r>
        <w:rPr>
          <w:rFonts w:ascii="Arial" w:hAnsi="Arial" w:eastAsia="宋体" w:cs="Arial"/>
          <w:sz w:val="24"/>
          <w:szCs w:val="24"/>
          <w:lang w:eastAsia="zh-CN"/>
        </w:rPr>
        <w:t>可变</w:t>
      </w:r>
      <w:r>
        <w:rPr>
          <w:rFonts w:ascii="Arial" w:hAnsi="Arial" w:eastAsia="宋体" w:cs="Arial"/>
          <w:sz w:val="24"/>
          <w:szCs w:val="24"/>
        </w:rPr>
        <w:t>性。</w:t>
      </w:r>
    </w:p>
    <w:p w14:paraId="5571F2EE">
      <w:pPr>
        <w:pStyle w:val="3"/>
        <w:snapToGrid w:val="0"/>
        <w:spacing w:line="300" w:lineRule="auto"/>
        <w:ind w:left="0"/>
        <w:jc w:val="both"/>
        <w:rPr>
          <w:rFonts w:ascii="Arial" w:hAnsi="Arial" w:eastAsia="宋体" w:cs="Arial"/>
          <w:lang w:eastAsia="zh-CN"/>
        </w:rPr>
      </w:pPr>
      <w:r>
        <w:rPr>
          <w:rFonts w:hint="eastAsia" w:ascii="Arial" w:hAnsi="Arial" w:eastAsia="宋体" w:cs="Arial"/>
          <w:u w:val="single"/>
          <w:lang w:eastAsia="zh-CN"/>
        </w:rPr>
        <w:t>设盲</w:t>
      </w:r>
      <w:r>
        <w:rPr>
          <w:rFonts w:ascii="Arial" w:hAnsi="Arial" w:eastAsia="宋体" w:cs="Arial"/>
          <w:lang w:eastAsia="zh-CN"/>
        </w:rPr>
        <w:t>。该小组的共识是，应在最大程度上对患者、医师、研究者、护理该受试者的其他人员和评价人员进行设盲，然而，他们认识到，尝试可能会意外失败。此外，他们还认识到，有时无法实施良好设盲。</w:t>
      </w:r>
    </w:p>
    <w:p w14:paraId="62DE7DFE">
      <w:pPr>
        <w:pStyle w:val="3"/>
        <w:snapToGrid w:val="0"/>
        <w:spacing w:line="300" w:lineRule="auto"/>
        <w:ind w:left="0"/>
        <w:jc w:val="both"/>
        <w:rPr>
          <w:rFonts w:ascii="Arial" w:hAnsi="Arial" w:eastAsia="宋体" w:cs="Arial"/>
          <w:lang w:eastAsia="zh-CN"/>
        </w:rPr>
      </w:pPr>
    </w:p>
    <w:p w14:paraId="6B86FCE9">
      <w:pPr>
        <w:pStyle w:val="2"/>
        <w:snapToGrid w:val="0"/>
        <w:spacing w:line="300" w:lineRule="auto"/>
        <w:ind w:left="0"/>
        <w:jc w:val="both"/>
        <w:rPr>
          <w:rFonts w:ascii="Arial" w:hAnsi="Arial" w:eastAsia="宋体" w:cs="Arial"/>
          <w:b w:val="0"/>
          <w:bCs w:val="0"/>
          <w:lang w:eastAsia="zh-CN"/>
        </w:rPr>
      </w:pPr>
      <w:r>
        <w:rPr>
          <w:rFonts w:ascii="Arial" w:hAnsi="Arial" w:eastAsia="宋体" w:cs="Arial"/>
          <w:u w:val="thick" w:color="000000"/>
          <w:lang w:eastAsia="zh-CN"/>
        </w:rPr>
        <w:t>封闭式会议</w:t>
      </w:r>
    </w:p>
    <w:p w14:paraId="3D00F2D4">
      <w:pPr>
        <w:snapToGrid w:val="0"/>
        <w:spacing w:before="10" w:line="300" w:lineRule="auto"/>
        <w:jc w:val="both"/>
        <w:rPr>
          <w:rFonts w:ascii="Arial" w:hAnsi="Arial" w:eastAsia="宋体" w:cs="Arial"/>
          <w:b/>
          <w:bCs/>
          <w:sz w:val="18"/>
          <w:szCs w:val="18"/>
          <w:lang w:eastAsia="zh-CN"/>
        </w:rPr>
      </w:pPr>
    </w:p>
    <w:p w14:paraId="32D6D8E5">
      <w:pPr>
        <w:pStyle w:val="3"/>
        <w:snapToGrid w:val="0"/>
        <w:spacing w:before="69" w:line="300" w:lineRule="auto"/>
        <w:ind w:left="0"/>
        <w:jc w:val="both"/>
        <w:rPr>
          <w:rFonts w:ascii="Arial" w:hAnsi="Arial" w:eastAsia="宋体" w:cs="Arial"/>
          <w:lang w:eastAsia="zh-CN"/>
        </w:rPr>
      </w:pPr>
      <w:r>
        <w:rPr>
          <w:rFonts w:ascii="Arial" w:hAnsi="Arial" w:eastAsia="宋体" w:cs="Arial"/>
          <w:lang w:eastAsia="zh-CN"/>
        </w:rPr>
        <w:t>开展封闭式会议，以讨论批准申请文件P860013的实验室试验部分所包含的商业秘密数据；然而，在对功率输出测量准确性进行简要讨论之后，确定无需讨论任何商业秘密数据。于是，会议立即重新开放。</w:t>
      </w:r>
    </w:p>
    <w:p w14:paraId="3F88DA50">
      <w:pPr>
        <w:snapToGrid w:val="0"/>
        <w:spacing w:before="11" w:line="300" w:lineRule="auto"/>
        <w:jc w:val="both"/>
        <w:rPr>
          <w:rFonts w:ascii="Arial" w:hAnsi="Arial" w:eastAsia="宋体" w:cs="Arial"/>
          <w:sz w:val="24"/>
          <w:szCs w:val="24"/>
          <w:lang w:eastAsia="zh-CN"/>
        </w:rPr>
      </w:pPr>
    </w:p>
    <w:p w14:paraId="3CEAFCC4">
      <w:pPr>
        <w:pStyle w:val="2"/>
        <w:snapToGrid w:val="0"/>
        <w:spacing w:line="300" w:lineRule="auto"/>
        <w:ind w:left="0"/>
        <w:jc w:val="both"/>
        <w:rPr>
          <w:rFonts w:ascii="Arial" w:hAnsi="Arial" w:eastAsia="宋体" w:cs="Arial"/>
          <w:u w:val="thick" w:color="000000"/>
          <w:lang w:eastAsia="zh-CN"/>
        </w:rPr>
      </w:pPr>
      <w:r>
        <w:rPr>
          <w:rFonts w:ascii="Arial" w:hAnsi="Arial" w:eastAsia="宋体" w:cs="Arial"/>
          <w:u w:val="thick" w:color="000000"/>
          <w:lang w:eastAsia="zh-CN"/>
        </w:rPr>
        <w:t>开放式小组讨论</w:t>
      </w:r>
    </w:p>
    <w:p w14:paraId="029A8875">
      <w:pPr>
        <w:snapToGrid w:val="0"/>
        <w:spacing w:before="10" w:line="300" w:lineRule="auto"/>
        <w:jc w:val="both"/>
        <w:rPr>
          <w:rFonts w:ascii="Arial" w:hAnsi="Arial" w:eastAsia="宋体" w:cs="Arial"/>
          <w:b/>
          <w:bCs/>
          <w:sz w:val="18"/>
          <w:szCs w:val="18"/>
          <w:lang w:eastAsia="zh-CN"/>
        </w:rPr>
      </w:pPr>
    </w:p>
    <w:p w14:paraId="2579EB01">
      <w:pPr>
        <w:pStyle w:val="3"/>
        <w:snapToGrid w:val="0"/>
        <w:spacing w:line="300" w:lineRule="auto"/>
        <w:ind w:left="0"/>
        <w:jc w:val="both"/>
        <w:rPr>
          <w:rFonts w:ascii="Arial" w:hAnsi="Arial" w:eastAsia="宋体" w:cs="Arial"/>
          <w:lang w:eastAsia="zh-CN"/>
        </w:rPr>
      </w:pPr>
      <w:r>
        <w:rPr>
          <w:rFonts w:ascii="Arial" w:hAnsi="Arial" w:eastAsia="宋体" w:cs="Arial"/>
          <w:lang w:eastAsia="zh-CN"/>
        </w:rPr>
        <w:t>FDA员工总结了用于低功率氦氖激光器的上市前批准申请P860013，此类激光器旨在缓解手指关节因关节炎引起的疼痛，并简要审查了上市前批准申请中提供的临床前和临床试验。</w:t>
      </w:r>
    </w:p>
    <w:p w14:paraId="5657369C">
      <w:pPr>
        <w:snapToGrid w:val="0"/>
        <w:spacing w:before="6" w:line="300" w:lineRule="auto"/>
        <w:jc w:val="both"/>
        <w:rPr>
          <w:rFonts w:ascii="Arial" w:hAnsi="Arial" w:eastAsia="宋体" w:cs="Arial"/>
          <w:sz w:val="24"/>
          <w:szCs w:val="24"/>
          <w:lang w:eastAsia="zh-CN"/>
        </w:rPr>
      </w:pPr>
    </w:p>
    <w:p w14:paraId="5798F3A7">
      <w:pPr>
        <w:pStyle w:val="3"/>
        <w:snapToGrid w:val="0"/>
        <w:spacing w:line="300" w:lineRule="auto"/>
        <w:ind w:left="0"/>
        <w:jc w:val="both"/>
        <w:rPr>
          <w:rFonts w:ascii="Arial" w:hAnsi="Arial" w:eastAsia="宋体" w:cs="Arial"/>
          <w:lang w:eastAsia="zh-CN"/>
        </w:rPr>
      </w:pPr>
      <w:r>
        <w:rPr>
          <w:rFonts w:ascii="Arial" w:hAnsi="Arial" w:eastAsia="宋体" w:cs="Arial"/>
          <w:u w:val="single" w:color="000000"/>
          <w:lang w:eastAsia="zh-CN"/>
        </w:rPr>
        <w:t>实验室试验</w:t>
      </w:r>
      <w:r>
        <w:rPr>
          <w:rFonts w:ascii="Arial" w:hAnsi="Arial" w:eastAsia="宋体" w:cs="Arial"/>
          <w:lang w:eastAsia="zh-CN"/>
        </w:rPr>
        <w:t>。简要讨论了用于确定适当制造控制的实验室测试。其中，所指出的一个问题涉及激光器的所述输出的差异。</w:t>
      </w:r>
    </w:p>
    <w:p w14:paraId="60349E86">
      <w:pPr>
        <w:snapToGrid w:val="0"/>
        <w:spacing w:before="6" w:line="300" w:lineRule="auto"/>
        <w:jc w:val="both"/>
        <w:rPr>
          <w:rFonts w:ascii="Arial" w:hAnsi="Arial" w:eastAsia="宋体" w:cs="Arial"/>
          <w:sz w:val="24"/>
          <w:szCs w:val="24"/>
          <w:lang w:eastAsia="zh-CN"/>
        </w:rPr>
      </w:pPr>
    </w:p>
    <w:p w14:paraId="5A257941">
      <w:pPr>
        <w:pStyle w:val="3"/>
        <w:snapToGrid w:val="0"/>
        <w:spacing w:line="300" w:lineRule="auto"/>
        <w:ind w:left="0"/>
        <w:jc w:val="both"/>
        <w:rPr>
          <w:rFonts w:ascii="Arial" w:hAnsi="Arial" w:eastAsia="宋体" w:cs="Arial"/>
          <w:u w:val="single" w:color="000000"/>
          <w:lang w:eastAsia="zh-CN"/>
        </w:rPr>
      </w:pPr>
      <w:r>
        <w:rPr>
          <w:rFonts w:ascii="Arial" w:hAnsi="Arial" w:eastAsia="宋体" w:cs="Arial"/>
          <w:u w:val="single" w:color="000000"/>
          <w:lang w:eastAsia="zh-CN"/>
        </w:rPr>
        <w:t>临床前研究</w:t>
      </w:r>
      <w:r>
        <w:rPr>
          <w:rFonts w:ascii="Arial" w:hAnsi="Arial" w:eastAsia="宋体" w:cs="Arial"/>
          <w:lang w:eastAsia="zh-CN"/>
        </w:rPr>
        <w:t>。简要讨论了该公司委托、用于支持器械安全性的动物研究。尽管在这些研究中未报道有不良反应，但FDA员工指出，所有研究均未提供确保因与类风湿性关节炎有关疼痛而接受治疗人员的长期安全性的数据。既未提供科学数据来解释激光器可能有效治疗与类风湿关节炎相关的手部疼痛的方法，也没有任何生理过程显示与激光器的疼痛缓解性质相关。FDA员工表示，其并不认为有必要解释作用机制；但是，提供有关有效性的有效科学证据的负担必须完全由申请人进行的临床研究的结果支持。</w:t>
      </w:r>
    </w:p>
    <w:p w14:paraId="5B4D269E">
      <w:pPr>
        <w:pStyle w:val="3"/>
        <w:snapToGrid w:val="0"/>
        <w:spacing w:before="53" w:line="300" w:lineRule="auto"/>
        <w:ind w:left="0"/>
        <w:jc w:val="both"/>
        <w:rPr>
          <w:rFonts w:ascii="Arial" w:hAnsi="Arial" w:eastAsia="宋体" w:cs="Arial"/>
          <w:u w:val="single" w:color="000000"/>
          <w:lang w:eastAsia="zh-CN"/>
        </w:rPr>
      </w:pPr>
    </w:p>
    <w:p w14:paraId="44E7A209">
      <w:pPr>
        <w:pStyle w:val="3"/>
        <w:pageBreakBefore/>
        <w:snapToGrid w:val="0"/>
        <w:spacing w:before="53" w:line="300" w:lineRule="auto"/>
        <w:ind w:left="0"/>
        <w:jc w:val="both"/>
        <w:rPr>
          <w:rFonts w:ascii="Arial" w:hAnsi="Arial" w:eastAsia="宋体" w:cs="Arial"/>
          <w:lang w:eastAsia="zh-CN"/>
        </w:rPr>
      </w:pPr>
      <w:r>
        <w:rPr>
          <w:rFonts w:hint="eastAsia" w:ascii="Arial" w:hAnsi="Arial" w:eastAsia="宋体" w:cs="Arial"/>
          <w:u w:val="single"/>
          <w:lang w:eastAsia="zh-CN"/>
        </w:rPr>
        <w:t>临床研究</w:t>
      </w:r>
      <w:r>
        <w:rPr>
          <w:rFonts w:ascii="Arial" w:hAnsi="Arial" w:eastAsia="宋体" w:cs="Arial"/>
          <w:lang w:eastAsia="zh-CN"/>
        </w:rPr>
        <w:t>。FDA审查员指出，几项已发表的激光疼痛治疗临床研究已被纳入申请；然而，很难将这些研究与申请人的器械联系起来，因为其采用了具有不同波长和不同剂量的激光器。此外，其中一些研究涉及除类风湿性关节炎以外的病因的疼痛治疗，且其他研究没有提供足够的细节，以便从中得出任何结论。审查员的结论是，PMA中提供的所有已发表研究报告均无法用于确定该公司的有效性声明。纳入由Judith Walker医生进行的初步研究的数据，并将结果用于制定主要研究方案。</w:t>
      </w:r>
    </w:p>
    <w:p w14:paraId="7AC84C71">
      <w:pPr>
        <w:snapToGrid w:val="0"/>
        <w:spacing w:before="6" w:line="300" w:lineRule="auto"/>
        <w:jc w:val="both"/>
        <w:rPr>
          <w:rFonts w:ascii="Arial" w:hAnsi="Arial" w:eastAsia="宋体" w:cs="Arial"/>
          <w:sz w:val="24"/>
          <w:szCs w:val="24"/>
          <w:lang w:eastAsia="zh-CN"/>
        </w:rPr>
      </w:pPr>
    </w:p>
    <w:p w14:paraId="2420EC4C">
      <w:pPr>
        <w:pStyle w:val="3"/>
        <w:snapToGrid w:val="0"/>
        <w:spacing w:line="300" w:lineRule="auto"/>
        <w:ind w:left="0"/>
        <w:jc w:val="both"/>
        <w:rPr>
          <w:rFonts w:ascii="Arial" w:hAnsi="Arial" w:eastAsia="宋体" w:cs="Arial"/>
          <w:lang w:eastAsia="zh-CN"/>
        </w:rPr>
      </w:pPr>
      <w:r>
        <w:rPr>
          <w:rFonts w:ascii="Arial" w:hAnsi="Arial" w:eastAsia="宋体" w:cs="Arial"/>
          <w:lang w:eastAsia="zh-CN"/>
        </w:rPr>
        <w:t>主要研究为平行的随机双盲研究。所有受试者被确诊为典型或确定性类风湿关节炎，如美国风湿病协会（ARA）所进行的分类。必须满足11个ARA标准中的7个才能进入该研究。</w:t>
      </w:r>
    </w:p>
    <w:p w14:paraId="0DCD6233">
      <w:pPr>
        <w:snapToGrid w:val="0"/>
        <w:spacing w:before="6" w:line="300" w:lineRule="auto"/>
        <w:jc w:val="both"/>
        <w:rPr>
          <w:rFonts w:ascii="Arial" w:hAnsi="Arial" w:eastAsia="宋体" w:cs="Arial"/>
          <w:sz w:val="24"/>
          <w:szCs w:val="24"/>
          <w:lang w:eastAsia="zh-CN"/>
        </w:rPr>
      </w:pPr>
    </w:p>
    <w:p w14:paraId="34D947B1">
      <w:pPr>
        <w:pStyle w:val="3"/>
        <w:snapToGrid w:val="0"/>
        <w:spacing w:line="300" w:lineRule="auto"/>
        <w:ind w:left="0"/>
        <w:jc w:val="both"/>
        <w:rPr>
          <w:rFonts w:ascii="Arial" w:hAnsi="Arial" w:eastAsia="宋体" w:cs="Arial"/>
          <w:lang w:eastAsia="zh-CN"/>
        </w:rPr>
      </w:pPr>
      <w:r>
        <w:rPr>
          <w:rFonts w:ascii="Arial" w:hAnsi="Arial" w:eastAsia="宋体" w:cs="Arial"/>
          <w:lang w:eastAsia="zh-CN"/>
        </w:rPr>
        <w:t>该方案要求每周进行三次治疗，持续进行三周，其中，治疗施用于惯用手的掌骨和近端指间关节上，在0.95 mW下暴露60秒。使用Steinbroker的功能分类后，只能选择二类或三类中的受试者。所有受试者均具有活动性疾病，这可以通过活动性滑膜炎、手部中至少有一些关节出现疼痛和压痛来测量。在整个治疗期间，所有受试者应保持稳定的用药剂量，包括阿司匹林、非类固醇、金、口服皮质类固醇和细胞毒素。</w:t>
      </w:r>
    </w:p>
    <w:p w14:paraId="4505DE3E">
      <w:pPr>
        <w:snapToGrid w:val="0"/>
        <w:spacing w:before="6" w:line="300" w:lineRule="auto"/>
        <w:jc w:val="both"/>
        <w:rPr>
          <w:rFonts w:ascii="Arial" w:hAnsi="Arial" w:eastAsia="宋体" w:cs="Arial"/>
          <w:sz w:val="24"/>
          <w:szCs w:val="24"/>
          <w:lang w:eastAsia="zh-CN"/>
        </w:rPr>
      </w:pPr>
    </w:p>
    <w:p w14:paraId="3769A0DF">
      <w:pPr>
        <w:pStyle w:val="3"/>
        <w:snapToGrid w:val="0"/>
        <w:spacing w:line="300" w:lineRule="auto"/>
        <w:ind w:left="0"/>
        <w:jc w:val="both"/>
        <w:rPr>
          <w:rFonts w:ascii="Arial" w:hAnsi="Arial" w:eastAsia="宋体" w:cs="Arial"/>
          <w:lang w:eastAsia="zh-CN"/>
        </w:rPr>
      </w:pPr>
      <w:r>
        <w:rPr>
          <w:rFonts w:ascii="Arial" w:hAnsi="Arial" w:eastAsia="宋体" w:cs="Arial"/>
          <w:lang w:eastAsia="zh-CN"/>
        </w:rPr>
        <w:t>五名研究者在总共152例患者中进行了七次临床试验。其中两名研究者还研究了第二系列患者。FDA审查员对获得的临床数据关注以下问题：</w:t>
      </w:r>
    </w:p>
    <w:p w14:paraId="15C22CDA">
      <w:pPr>
        <w:snapToGrid w:val="0"/>
        <w:spacing w:before="6" w:line="300" w:lineRule="auto"/>
        <w:jc w:val="both"/>
        <w:rPr>
          <w:rFonts w:ascii="Arial" w:hAnsi="Arial" w:eastAsia="宋体" w:cs="Arial"/>
          <w:sz w:val="24"/>
          <w:szCs w:val="24"/>
          <w:lang w:eastAsia="zh-CN"/>
        </w:rPr>
      </w:pPr>
    </w:p>
    <w:p w14:paraId="19945C15">
      <w:pPr>
        <w:pStyle w:val="10"/>
        <w:numPr>
          <w:ilvl w:val="0"/>
          <w:numId w:val="3"/>
        </w:numPr>
        <w:tabs>
          <w:tab w:val="left" w:pos="533"/>
        </w:tabs>
        <w:snapToGrid w:val="0"/>
        <w:spacing w:line="300" w:lineRule="auto"/>
        <w:ind w:left="446" w:hanging="446" w:hangingChars="186"/>
        <w:jc w:val="both"/>
        <w:rPr>
          <w:rFonts w:ascii="Arial" w:hAnsi="Arial" w:eastAsia="宋体" w:cs="Arial"/>
          <w:sz w:val="24"/>
          <w:lang w:eastAsia="zh-CN"/>
        </w:rPr>
      </w:pPr>
      <w:r>
        <w:rPr>
          <w:rFonts w:ascii="Arial" w:hAnsi="Arial" w:eastAsia="宋体" w:cs="Arial"/>
          <w:sz w:val="24"/>
          <w:lang w:eastAsia="zh-CN"/>
        </w:rPr>
        <w:t>研究者获得的结果有着显著差异。</w:t>
      </w:r>
    </w:p>
    <w:p w14:paraId="569FB0FA">
      <w:pPr>
        <w:pStyle w:val="10"/>
        <w:numPr>
          <w:ilvl w:val="0"/>
          <w:numId w:val="3"/>
        </w:numPr>
        <w:tabs>
          <w:tab w:val="left" w:pos="533"/>
        </w:tabs>
        <w:snapToGrid w:val="0"/>
        <w:spacing w:line="300" w:lineRule="auto"/>
        <w:ind w:left="446" w:hanging="446" w:hangingChars="186"/>
        <w:jc w:val="both"/>
        <w:rPr>
          <w:rFonts w:ascii="Arial" w:hAnsi="Arial" w:eastAsia="宋体" w:cs="Arial"/>
          <w:sz w:val="24"/>
        </w:rPr>
      </w:pPr>
      <w:r>
        <w:rPr>
          <w:rFonts w:ascii="Arial" w:hAnsi="Arial" w:eastAsia="宋体" w:cs="Arial"/>
          <w:sz w:val="24"/>
          <w:lang w:eastAsia="zh-CN"/>
        </w:rPr>
        <w:t>设盲</w:t>
      </w:r>
      <w:r>
        <w:rPr>
          <w:rFonts w:ascii="Arial" w:hAnsi="Arial" w:eastAsia="宋体" w:cs="Arial"/>
          <w:sz w:val="24"/>
        </w:rPr>
        <w:t>易受到</w:t>
      </w:r>
      <w:r>
        <w:rPr>
          <w:rFonts w:ascii="Arial" w:hAnsi="Arial" w:eastAsia="宋体" w:cs="Arial"/>
          <w:sz w:val="24"/>
          <w:lang w:eastAsia="zh-CN"/>
        </w:rPr>
        <w:t>破坏</w:t>
      </w:r>
      <w:r>
        <w:rPr>
          <w:rFonts w:ascii="Arial" w:hAnsi="Arial" w:eastAsia="宋体" w:cs="Arial"/>
          <w:sz w:val="24"/>
        </w:rPr>
        <w:t>。</w:t>
      </w:r>
    </w:p>
    <w:p w14:paraId="4BCA0B33">
      <w:pPr>
        <w:pStyle w:val="10"/>
        <w:numPr>
          <w:ilvl w:val="0"/>
          <w:numId w:val="3"/>
        </w:numPr>
        <w:tabs>
          <w:tab w:val="left" w:pos="533"/>
        </w:tabs>
        <w:snapToGrid w:val="0"/>
        <w:spacing w:line="300" w:lineRule="auto"/>
        <w:ind w:left="446" w:hanging="446" w:hangingChars="186"/>
        <w:jc w:val="both"/>
        <w:rPr>
          <w:rFonts w:ascii="Arial" w:hAnsi="Arial" w:eastAsia="宋体" w:cs="Arial"/>
          <w:sz w:val="24"/>
        </w:rPr>
      </w:pPr>
      <w:r>
        <w:rPr>
          <w:rFonts w:ascii="Arial" w:hAnsi="Arial" w:eastAsia="宋体" w:cs="Arial"/>
          <w:sz w:val="24"/>
          <w:lang w:eastAsia="zh-CN"/>
        </w:rPr>
        <w:t>参与研究的许多受试者可能没有活动性类风湿性关节炎。（根据申请人的说法，152名受试者中有38人未服用药物。</w:t>
      </w:r>
      <w:r>
        <w:rPr>
          <w:rFonts w:ascii="Arial" w:hAnsi="Arial" w:eastAsia="宋体" w:cs="Arial"/>
          <w:sz w:val="24"/>
        </w:rPr>
        <w:t>）</w:t>
      </w:r>
    </w:p>
    <w:p w14:paraId="7B359EC7">
      <w:pPr>
        <w:pStyle w:val="10"/>
        <w:numPr>
          <w:ilvl w:val="0"/>
          <w:numId w:val="3"/>
        </w:numPr>
        <w:tabs>
          <w:tab w:val="left" w:pos="533"/>
        </w:tabs>
        <w:snapToGrid w:val="0"/>
        <w:spacing w:line="300" w:lineRule="auto"/>
        <w:ind w:left="446" w:hanging="446" w:hangingChars="186"/>
        <w:jc w:val="both"/>
        <w:rPr>
          <w:rFonts w:ascii="Arial" w:hAnsi="Arial" w:eastAsia="宋体" w:cs="Arial"/>
          <w:sz w:val="24"/>
          <w:szCs w:val="24"/>
          <w:lang w:eastAsia="zh-CN"/>
        </w:rPr>
      </w:pPr>
      <w:r>
        <w:rPr>
          <w:rFonts w:ascii="Arial" w:hAnsi="Arial" w:eastAsia="宋体" w:cs="Arial"/>
          <w:sz w:val="24"/>
          <w:lang w:eastAsia="zh-CN"/>
        </w:rPr>
        <w:t>伴随药物治疗并未受到方案要求的良好控制。受试者使用了50多种不同的药物，且许多受试者并未以相同的方法服用药物，或者根据“需要”服用药物。未提供任何文档证明各受试者的服药情况在进入研究之前的六个月内已经稳定下来。</w:t>
      </w:r>
    </w:p>
    <w:p w14:paraId="692D39EC">
      <w:pPr>
        <w:pStyle w:val="10"/>
        <w:numPr>
          <w:ilvl w:val="0"/>
          <w:numId w:val="3"/>
        </w:numPr>
        <w:tabs>
          <w:tab w:val="left" w:pos="533"/>
        </w:tabs>
        <w:snapToGrid w:val="0"/>
        <w:spacing w:line="300" w:lineRule="auto"/>
        <w:ind w:left="446" w:hanging="446" w:hangingChars="186"/>
        <w:jc w:val="both"/>
        <w:rPr>
          <w:rFonts w:ascii="Arial" w:hAnsi="Arial" w:eastAsia="宋体" w:cs="Arial"/>
          <w:sz w:val="24"/>
          <w:lang w:eastAsia="zh-CN"/>
        </w:rPr>
      </w:pPr>
      <w:r>
        <w:rPr>
          <w:rFonts w:ascii="Arial" w:hAnsi="Arial" w:eastAsia="宋体" w:cs="Arial"/>
          <w:sz w:val="24"/>
          <w:lang w:eastAsia="zh-CN"/>
        </w:rPr>
        <w:t>不足三分之二的受试者的随访信息可用。未提供有关丢失受试者的理由或解释。</w:t>
      </w:r>
    </w:p>
    <w:p w14:paraId="54ACFC85">
      <w:pPr>
        <w:pStyle w:val="10"/>
        <w:numPr>
          <w:ilvl w:val="0"/>
          <w:numId w:val="3"/>
        </w:numPr>
        <w:tabs>
          <w:tab w:val="left" w:pos="533"/>
        </w:tabs>
        <w:snapToGrid w:val="0"/>
        <w:spacing w:line="300" w:lineRule="auto"/>
        <w:ind w:left="446" w:hanging="446" w:hangingChars="186"/>
        <w:jc w:val="both"/>
        <w:rPr>
          <w:rFonts w:ascii="Arial" w:hAnsi="Arial" w:eastAsia="宋体" w:cs="Arial"/>
          <w:sz w:val="24"/>
          <w:szCs w:val="24"/>
          <w:lang w:eastAsia="zh-CN"/>
        </w:rPr>
      </w:pPr>
      <w:r>
        <w:rPr>
          <w:rFonts w:ascii="Arial" w:hAnsi="Arial" w:eastAsia="宋体" w:cs="Arial"/>
          <w:sz w:val="24"/>
          <w:lang w:eastAsia="zh-CN"/>
        </w:rPr>
        <w:t>在对结果作出的各种客观测量中，申请人可以总结认为，只有一项，即握力，得到改善。该公司未提供任何数据来支持他们的假设，即系统效应导致治疗手部和未治疗手部中出现所观察到的改善。</w:t>
      </w:r>
    </w:p>
    <w:p w14:paraId="316CAB40">
      <w:pPr>
        <w:rPr>
          <w:rFonts w:ascii="Arial" w:hAnsi="Arial" w:eastAsia="宋体" w:cs="Arial"/>
          <w:sz w:val="24"/>
          <w:szCs w:val="24"/>
          <w:lang w:eastAsia="zh-CN"/>
        </w:rPr>
      </w:pPr>
      <w:r>
        <w:rPr>
          <w:rFonts w:ascii="Arial" w:hAnsi="Arial" w:eastAsia="宋体" w:cs="Arial"/>
          <w:sz w:val="24"/>
          <w:szCs w:val="24"/>
          <w:lang w:eastAsia="zh-CN"/>
        </w:rPr>
        <w:br w:type="page"/>
      </w:r>
    </w:p>
    <w:p w14:paraId="654AAE6E">
      <w:pPr>
        <w:pStyle w:val="10"/>
        <w:numPr>
          <w:ilvl w:val="0"/>
          <w:numId w:val="3"/>
        </w:numPr>
        <w:tabs>
          <w:tab w:val="left" w:pos="533"/>
        </w:tabs>
        <w:snapToGrid w:val="0"/>
        <w:spacing w:before="53" w:line="300" w:lineRule="auto"/>
        <w:ind w:left="446" w:hanging="446" w:hangingChars="186"/>
        <w:jc w:val="both"/>
        <w:rPr>
          <w:rFonts w:ascii="Arial" w:hAnsi="Arial" w:eastAsia="宋体" w:cs="Arial"/>
          <w:sz w:val="24"/>
          <w:szCs w:val="24"/>
          <w:lang w:eastAsia="zh-CN"/>
        </w:rPr>
      </w:pPr>
      <w:r>
        <w:rPr>
          <w:rFonts w:ascii="Arial" w:hAnsi="Arial" w:eastAsia="宋体" w:cs="Arial"/>
          <w:sz w:val="24"/>
          <w:szCs w:val="24"/>
          <w:lang w:eastAsia="zh-CN"/>
        </w:rPr>
        <w:t>疼痛评估方法没有明确定义手指疼痛或广泛疼痛是否进行评估。</w:t>
      </w:r>
    </w:p>
    <w:p w14:paraId="1E4BAF70">
      <w:pPr>
        <w:pStyle w:val="10"/>
        <w:numPr>
          <w:ilvl w:val="0"/>
          <w:numId w:val="3"/>
        </w:numPr>
        <w:tabs>
          <w:tab w:val="left" w:pos="533"/>
        </w:tabs>
        <w:snapToGrid w:val="0"/>
        <w:spacing w:line="300" w:lineRule="auto"/>
        <w:ind w:left="446" w:hanging="446" w:hangingChars="186"/>
        <w:jc w:val="both"/>
        <w:rPr>
          <w:rFonts w:ascii="Arial" w:hAnsi="Arial" w:eastAsia="宋体" w:cs="Arial"/>
          <w:sz w:val="24"/>
          <w:szCs w:val="24"/>
          <w:lang w:eastAsia="zh-CN"/>
        </w:rPr>
      </w:pPr>
      <w:r>
        <w:rPr>
          <w:rFonts w:ascii="Arial" w:hAnsi="Arial" w:eastAsia="宋体" w:cs="Arial"/>
          <w:sz w:val="24"/>
          <w:szCs w:val="24"/>
          <w:lang w:eastAsia="zh-CN"/>
        </w:rPr>
        <w:t>在分析疼痛缓解数据时，申请人将改善定义为：在五个类别量表上，感知疼痛缓解方面至少出现一个类别的有利变化。如果使用更严格定义来界定改善，即在感知疼痛缓解方面至少有两个类别的改善，则所有收益并不具统计显著性。FDA顾问担心，单一类别标准的改善不足以确定这些受试者中的显著收益。</w:t>
      </w:r>
    </w:p>
    <w:p w14:paraId="33B7D159">
      <w:pPr>
        <w:pStyle w:val="10"/>
        <w:numPr>
          <w:ilvl w:val="0"/>
          <w:numId w:val="3"/>
        </w:numPr>
        <w:tabs>
          <w:tab w:val="left" w:pos="533"/>
        </w:tabs>
        <w:snapToGrid w:val="0"/>
        <w:spacing w:line="300" w:lineRule="auto"/>
        <w:ind w:left="446" w:hanging="446" w:hangingChars="186"/>
        <w:jc w:val="both"/>
        <w:rPr>
          <w:rFonts w:ascii="Arial" w:hAnsi="Arial" w:eastAsia="宋体" w:cs="Arial"/>
          <w:sz w:val="24"/>
          <w:szCs w:val="24"/>
          <w:lang w:eastAsia="zh-CN"/>
        </w:rPr>
      </w:pPr>
      <w:r>
        <w:rPr>
          <w:rFonts w:ascii="Arial" w:hAnsi="Arial" w:eastAsia="宋体" w:cs="Arial"/>
          <w:sz w:val="24"/>
          <w:szCs w:val="24"/>
          <w:lang w:eastAsia="zh-CN"/>
        </w:rPr>
        <w:t>申请人提供的数据表明，治疗效果发生在三周治疗期结束时，但未提供数据证明持续治疗具有安全性或有效性。有人担心，数据表明需要三周才能产生效果，但未获得任何可证明其持续时间的数据。FDA员工还担心，未提供数据来支持重复治疗的安全性。</w:t>
      </w:r>
    </w:p>
    <w:p w14:paraId="32C0FCC9">
      <w:pPr>
        <w:pStyle w:val="10"/>
        <w:numPr>
          <w:ilvl w:val="0"/>
          <w:numId w:val="3"/>
        </w:numPr>
        <w:tabs>
          <w:tab w:val="left" w:pos="533"/>
        </w:tabs>
        <w:snapToGrid w:val="0"/>
        <w:spacing w:line="300" w:lineRule="auto"/>
        <w:ind w:left="446" w:hanging="446" w:hangingChars="186"/>
        <w:jc w:val="both"/>
        <w:rPr>
          <w:rFonts w:ascii="Arial" w:hAnsi="Arial" w:eastAsia="宋体" w:cs="Arial"/>
          <w:sz w:val="24"/>
          <w:szCs w:val="24"/>
          <w:lang w:eastAsia="zh-CN"/>
        </w:rPr>
      </w:pPr>
      <w:r>
        <w:rPr>
          <w:rFonts w:ascii="Arial" w:hAnsi="Arial" w:eastAsia="宋体" w:cs="Arial"/>
          <w:sz w:val="24"/>
          <w:szCs w:val="24"/>
          <w:lang w:eastAsia="zh-CN"/>
        </w:rPr>
        <w:t>FDA审​​查员估计，申请人进行了250次以上的统计试验，但只有相对很少的试验可支持激光治疗。在所研究的15个评价标准中，申请人从对结果的分析中得出结论，其发现这些标准中有6个标准具有统计显著性且可支持激光治疗，其中，置信区间基于p = 0.05或更低的可接受误差。这些措施包括：现有疼痛、长达24小时的疼痛、握力、研究者对治疗反应的总体看法以及受试者对疼痛缓解和活动变化的总体看法。该小组的统计审查员认为，当进行多次试验时，应设置更高的置信水平。</w:t>
      </w:r>
    </w:p>
    <w:p w14:paraId="24985B2A">
      <w:pPr>
        <w:pStyle w:val="10"/>
        <w:tabs>
          <w:tab w:val="left" w:pos="533"/>
        </w:tabs>
        <w:snapToGrid w:val="0"/>
        <w:spacing w:line="300" w:lineRule="auto"/>
        <w:jc w:val="both"/>
        <w:rPr>
          <w:rFonts w:ascii="Arial" w:hAnsi="Arial" w:eastAsia="宋体" w:cs="Arial"/>
          <w:sz w:val="24"/>
          <w:szCs w:val="24"/>
          <w:lang w:eastAsia="zh-CN"/>
        </w:rPr>
      </w:pPr>
    </w:p>
    <w:p w14:paraId="6389C0CA">
      <w:pPr>
        <w:pStyle w:val="2"/>
        <w:snapToGrid w:val="0"/>
        <w:spacing w:line="300" w:lineRule="auto"/>
        <w:ind w:left="0"/>
        <w:jc w:val="both"/>
        <w:rPr>
          <w:rFonts w:ascii="Arial" w:hAnsi="Arial" w:eastAsia="宋体" w:cs="Arial"/>
          <w:b w:val="0"/>
          <w:bCs w:val="0"/>
          <w:lang w:eastAsia="zh-CN"/>
        </w:rPr>
      </w:pPr>
      <w:r>
        <w:rPr>
          <w:rFonts w:ascii="Arial" w:hAnsi="Arial" w:eastAsia="宋体" w:cs="Arial"/>
          <w:u w:val="thick" w:color="000000"/>
          <w:lang w:eastAsia="zh-CN"/>
        </w:rPr>
        <w:t>开放式公众听证会</w:t>
      </w:r>
    </w:p>
    <w:p w14:paraId="2B1263E8">
      <w:pPr>
        <w:snapToGrid w:val="0"/>
        <w:spacing w:before="10" w:line="300" w:lineRule="auto"/>
        <w:jc w:val="both"/>
        <w:rPr>
          <w:rFonts w:ascii="Arial" w:hAnsi="Arial" w:eastAsia="宋体" w:cs="Arial"/>
          <w:b/>
          <w:bCs/>
          <w:sz w:val="18"/>
          <w:szCs w:val="18"/>
          <w:lang w:eastAsia="zh-CN"/>
        </w:rPr>
      </w:pPr>
    </w:p>
    <w:p w14:paraId="7E5928A4">
      <w:pPr>
        <w:pStyle w:val="3"/>
        <w:snapToGrid w:val="0"/>
        <w:spacing w:before="69" w:line="300" w:lineRule="auto"/>
        <w:ind w:left="0"/>
        <w:jc w:val="both"/>
        <w:rPr>
          <w:rFonts w:ascii="Arial" w:hAnsi="Arial" w:eastAsia="宋体" w:cs="Arial"/>
          <w:lang w:eastAsia="zh-CN"/>
        </w:rPr>
      </w:pPr>
      <w:r>
        <w:rPr>
          <w:rFonts w:ascii="Arial" w:hAnsi="Arial" w:eastAsia="宋体" w:cs="Arial"/>
          <w:lang w:eastAsia="zh-CN"/>
        </w:rPr>
        <w:t>Dynatronics Inc.的代表介绍了该公司的简史，并概述了该PMA申请的历史。制造商口头叙述了PMA中提供的大部分数据，包括对器械、研究方案以及临床结果的描述。</w:t>
      </w:r>
    </w:p>
    <w:p w14:paraId="36F66359">
      <w:pPr>
        <w:pStyle w:val="3"/>
        <w:snapToGrid w:val="0"/>
        <w:spacing w:before="69" w:line="300" w:lineRule="auto"/>
        <w:ind w:left="0"/>
        <w:jc w:val="both"/>
        <w:rPr>
          <w:rFonts w:ascii="Arial" w:hAnsi="Arial" w:eastAsia="宋体" w:cs="Arial"/>
          <w:lang w:eastAsia="zh-CN"/>
        </w:rPr>
      </w:pPr>
    </w:p>
    <w:p w14:paraId="34B1B066">
      <w:pPr>
        <w:pStyle w:val="3"/>
        <w:snapToGrid w:val="0"/>
        <w:spacing w:before="69" w:line="300" w:lineRule="auto"/>
        <w:ind w:left="0"/>
        <w:jc w:val="both"/>
        <w:rPr>
          <w:rFonts w:ascii="Arial" w:hAnsi="Arial" w:eastAsia="宋体" w:cs="Arial"/>
          <w:lang w:eastAsia="zh-CN"/>
        </w:rPr>
      </w:pPr>
      <w:r>
        <w:rPr>
          <w:rFonts w:ascii="Arial" w:hAnsi="Arial" w:eastAsia="宋体" w:cs="Arial"/>
          <w:lang w:eastAsia="zh-CN"/>
        </w:rPr>
        <w:t>他们指出，该产品的标签表明，其适用于辅助治疗，暂时缓解在接受类风湿关节炎治疗人员手部的关节疼痛。</w:t>
      </w:r>
    </w:p>
    <w:p w14:paraId="18491DF5">
      <w:pPr>
        <w:snapToGrid w:val="0"/>
        <w:spacing w:before="6" w:line="300" w:lineRule="auto"/>
        <w:jc w:val="both"/>
        <w:rPr>
          <w:rFonts w:ascii="Arial" w:hAnsi="Arial" w:eastAsia="宋体" w:cs="Arial"/>
          <w:sz w:val="24"/>
          <w:szCs w:val="24"/>
          <w:lang w:eastAsia="zh-CN"/>
        </w:rPr>
      </w:pPr>
    </w:p>
    <w:p w14:paraId="69717591">
      <w:pPr>
        <w:pStyle w:val="3"/>
        <w:snapToGrid w:val="0"/>
        <w:spacing w:line="300" w:lineRule="auto"/>
        <w:ind w:left="0"/>
        <w:jc w:val="both"/>
        <w:rPr>
          <w:rFonts w:ascii="Arial" w:hAnsi="Arial" w:eastAsia="宋体" w:cs="Arial"/>
          <w:lang w:eastAsia="zh-CN"/>
        </w:rPr>
      </w:pPr>
      <w:r>
        <w:rPr>
          <w:rFonts w:ascii="Arial" w:hAnsi="Arial" w:eastAsia="宋体" w:cs="Arial"/>
          <w:lang w:eastAsia="zh-CN"/>
        </w:rPr>
        <w:t>该公司总体概述了目前的疼痛治疗方法，其中包括非类固醇、药物、抗抑郁药、麻醉剂阻断剂、使用加热和制冷、TENS器械和用热蜡进行的物理治疗。也提到了其他治疗方式，如咨询、生物反馈、催眠和消融程序，即神经根切开术和脊髓前侧住切断术。他们认为，这些治疗方式的作用机制比激光器更不为人所知。期间还讨论了关于类风湿关节炎患者的激光器可疑作用机制。</w:t>
      </w:r>
    </w:p>
    <w:p w14:paraId="7722A0C9">
      <w:pPr>
        <w:snapToGrid w:val="0"/>
        <w:spacing w:before="6" w:line="300" w:lineRule="auto"/>
        <w:jc w:val="both"/>
        <w:rPr>
          <w:rFonts w:ascii="Arial" w:hAnsi="Arial" w:eastAsia="宋体" w:cs="Arial"/>
          <w:sz w:val="24"/>
          <w:szCs w:val="24"/>
          <w:lang w:eastAsia="zh-CN"/>
        </w:rPr>
      </w:pPr>
    </w:p>
    <w:p w14:paraId="1F27EB07">
      <w:pPr>
        <w:pStyle w:val="3"/>
        <w:snapToGrid w:val="0"/>
        <w:spacing w:line="300" w:lineRule="auto"/>
        <w:ind w:left="0"/>
        <w:jc w:val="both"/>
        <w:rPr>
          <w:rFonts w:ascii="Arial" w:hAnsi="Arial" w:eastAsia="宋体" w:cs="Arial"/>
          <w:lang w:eastAsia="zh-CN"/>
        </w:rPr>
      </w:pPr>
      <w:r>
        <w:rPr>
          <w:rFonts w:ascii="Arial" w:hAnsi="Arial" w:eastAsia="宋体" w:cs="Arial"/>
          <w:lang w:eastAsia="zh-CN"/>
        </w:rPr>
        <w:t>他们强调，这种激光治疗旨在作为其他治疗的辅助手段，如果发现其可有益于特定患者，则治疗的频率可能会被削减、停止或重复以用于使用药物干预进行的另一疗程。</w:t>
      </w:r>
    </w:p>
    <w:p w14:paraId="777F5C2D">
      <w:pPr>
        <w:snapToGrid w:val="0"/>
        <w:spacing w:line="300" w:lineRule="auto"/>
        <w:jc w:val="both"/>
        <w:rPr>
          <w:rFonts w:ascii="Arial" w:hAnsi="Arial" w:eastAsia="宋体" w:cs="Arial"/>
          <w:lang w:eastAsia="zh-CN"/>
        </w:rPr>
        <w:sectPr>
          <w:pgSz w:w="12240" w:h="15840"/>
          <w:pgMar w:top="1100" w:right="1360" w:bottom="960" w:left="1340" w:header="0" w:footer="771" w:gutter="0"/>
          <w:cols w:space="720" w:num="1"/>
        </w:sectPr>
      </w:pPr>
    </w:p>
    <w:p w14:paraId="1C2BB5B2">
      <w:pPr>
        <w:pStyle w:val="2"/>
        <w:snapToGrid w:val="0"/>
        <w:spacing w:before="58" w:line="300" w:lineRule="auto"/>
        <w:ind w:left="0"/>
        <w:jc w:val="both"/>
        <w:rPr>
          <w:rFonts w:ascii="Arial" w:hAnsi="Arial" w:eastAsia="宋体" w:cs="Arial"/>
          <w:b w:val="0"/>
          <w:bCs w:val="0"/>
          <w:u w:val="single"/>
          <w:lang w:eastAsia="zh-CN"/>
        </w:rPr>
      </w:pPr>
      <w:r>
        <w:rPr>
          <w:rFonts w:ascii="Arial" w:hAnsi="Arial" w:eastAsia="宋体" w:cs="Arial"/>
          <w:u w:val="single"/>
          <w:lang w:eastAsia="zh-CN"/>
        </w:rPr>
        <w:t>开放式委员会讨论 - 建议</w:t>
      </w:r>
    </w:p>
    <w:p w14:paraId="06A91A28">
      <w:pPr>
        <w:snapToGrid w:val="0"/>
        <w:spacing w:before="10" w:line="300" w:lineRule="auto"/>
        <w:jc w:val="both"/>
        <w:rPr>
          <w:rFonts w:ascii="Arial" w:hAnsi="Arial" w:eastAsia="宋体" w:cs="Arial"/>
          <w:b/>
          <w:bCs/>
          <w:sz w:val="18"/>
          <w:szCs w:val="18"/>
          <w:lang w:eastAsia="zh-CN"/>
        </w:rPr>
      </w:pPr>
    </w:p>
    <w:p w14:paraId="0C806CC7">
      <w:pPr>
        <w:pStyle w:val="3"/>
        <w:snapToGrid w:val="0"/>
        <w:spacing w:line="300" w:lineRule="auto"/>
        <w:ind w:left="0"/>
        <w:jc w:val="both"/>
        <w:rPr>
          <w:rFonts w:ascii="Arial" w:hAnsi="Arial" w:eastAsia="宋体" w:cs="Arial"/>
          <w:spacing w:val="-3"/>
          <w:lang w:eastAsia="zh-CN"/>
        </w:rPr>
      </w:pPr>
      <w:r>
        <w:rPr>
          <w:rFonts w:ascii="Arial" w:hAnsi="Arial" w:eastAsia="宋体" w:cs="Arial"/>
          <w:spacing w:val="-3"/>
          <w:lang w:eastAsia="zh-CN"/>
        </w:rPr>
        <w:t>小组成员和顾问就批准该申请表达了以下意见：</w:t>
      </w:r>
    </w:p>
    <w:p w14:paraId="294D8081">
      <w:pPr>
        <w:pStyle w:val="3"/>
        <w:snapToGrid w:val="0"/>
        <w:spacing w:line="300" w:lineRule="auto"/>
        <w:ind w:left="0"/>
        <w:jc w:val="both"/>
        <w:rPr>
          <w:rFonts w:ascii="Arial" w:hAnsi="Arial" w:eastAsia="宋体" w:cs="Arial"/>
          <w:spacing w:val="-3"/>
          <w:lang w:eastAsia="zh-CN"/>
        </w:rPr>
      </w:pPr>
    </w:p>
    <w:p w14:paraId="5058B840">
      <w:pPr>
        <w:pStyle w:val="3"/>
        <w:snapToGrid w:val="0"/>
        <w:spacing w:line="300" w:lineRule="auto"/>
        <w:ind w:left="0"/>
        <w:jc w:val="both"/>
        <w:rPr>
          <w:rFonts w:ascii="Arial" w:hAnsi="Arial" w:eastAsia="宋体" w:cs="Arial"/>
          <w:spacing w:val="-3"/>
          <w:lang w:eastAsia="zh-CN"/>
        </w:rPr>
      </w:pPr>
      <w:r>
        <w:rPr>
          <w:rFonts w:ascii="Arial" w:hAnsi="Arial" w:eastAsia="宋体" w:cs="Arial"/>
          <w:spacing w:val="-3"/>
          <w:lang w:eastAsia="zh-CN"/>
        </w:rPr>
        <w:t>主要研究中使用的测量，如运动范围、手寸和握力等似乎是对骨关节炎的测量，而不是对类风湿性关节炎的测量。未纳入更适当的测量，如运动疼痛、手指关节的压痛和肿胀。未提供对类风湿关节炎活动的测量，如血沉速度或关节检查，以表明该疾病具有活动性。</w:t>
      </w:r>
    </w:p>
    <w:p w14:paraId="239B7C09">
      <w:pPr>
        <w:snapToGrid w:val="0"/>
        <w:spacing w:before="6" w:line="300" w:lineRule="auto"/>
        <w:jc w:val="both"/>
        <w:rPr>
          <w:rFonts w:ascii="Arial" w:hAnsi="Arial" w:eastAsia="宋体" w:cs="Arial"/>
          <w:sz w:val="24"/>
          <w:szCs w:val="24"/>
          <w:lang w:eastAsia="zh-CN"/>
        </w:rPr>
      </w:pPr>
    </w:p>
    <w:p w14:paraId="0F0CDF17">
      <w:pPr>
        <w:pStyle w:val="3"/>
        <w:snapToGrid w:val="0"/>
        <w:spacing w:line="300" w:lineRule="auto"/>
        <w:ind w:left="0"/>
        <w:jc w:val="both"/>
        <w:rPr>
          <w:rFonts w:ascii="Arial" w:hAnsi="Arial" w:eastAsia="宋体" w:cs="Arial"/>
          <w:lang w:eastAsia="zh-CN"/>
        </w:rPr>
      </w:pPr>
      <w:r>
        <w:rPr>
          <w:rFonts w:ascii="Arial" w:hAnsi="Arial" w:eastAsia="宋体" w:cs="Arial"/>
          <w:lang w:eastAsia="zh-CN"/>
        </w:rPr>
        <w:t>虽然方案规定不得对药物进行更改，但在研究过程中使用伴随镇痛药与之相矛盾。通过使用未经FDA批准用于类风湿性关节炎的药物，如甲氨蝶呤和柳氮磺胺吡啶，也已违反该方案。</w:t>
      </w:r>
    </w:p>
    <w:p w14:paraId="2504B4B0">
      <w:pPr>
        <w:pStyle w:val="3"/>
        <w:snapToGrid w:val="0"/>
        <w:spacing w:line="300" w:lineRule="auto"/>
        <w:ind w:left="0"/>
        <w:jc w:val="both"/>
        <w:rPr>
          <w:rFonts w:ascii="Arial" w:hAnsi="Arial" w:eastAsia="宋体" w:cs="Arial"/>
          <w:lang w:eastAsia="zh-CN"/>
        </w:rPr>
      </w:pPr>
    </w:p>
    <w:p w14:paraId="276B4545">
      <w:pPr>
        <w:pStyle w:val="3"/>
        <w:snapToGrid w:val="0"/>
        <w:spacing w:line="300" w:lineRule="auto"/>
        <w:ind w:left="0"/>
        <w:jc w:val="both"/>
        <w:rPr>
          <w:rFonts w:ascii="Arial" w:hAnsi="Arial" w:eastAsia="宋体" w:cs="Arial"/>
          <w:lang w:eastAsia="zh-CN"/>
        </w:rPr>
      </w:pPr>
      <w:r>
        <w:rPr>
          <w:rFonts w:ascii="Arial" w:hAnsi="Arial" w:eastAsia="宋体" w:cs="Arial"/>
          <w:lang w:eastAsia="zh-CN"/>
        </w:rPr>
        <w:t>关节炎疼痛的药物治疗临床试验包括实验剂量调整，为试验的一部分。在研究难以设盲的治疗时，需要提供剂量反应关系。</w:t>
      </w:r>
    </w:p>
    <w:p w14:paraId="44E12E0A">
      <w:pPr>
        <w:snapToGrid w:val="0"/>
        <w:spacing w:before="6" w:line="300" w:lineRule="auto"/>
        <w:jc w:val="both"/>
        <w:rPr>
          <w:rFonts w:ascii="Arial" w:hAnsi="Arial" w:eastAsia="宋体" w:cs="Arial"/>
          <w:sz w:val="24"/>
          <w:szCs w:val="24"/>
          <w:lang w:eastAsia="zh-CN"/>
        </w:rPr>
      </w:pPr>
    </w:p>
    <w:p w14:paraId="066F66FC">
      <w:pPr>
        <w:snapToGrid w:val="0"/>
        <w:spacing w:before="6" w:line="300" w:lineRule="auto"/>
        <w:jc w:val="both"/>
        <w:rPr>
          <w:rFonts w:ascii="Arial" w:hAnsi="Arial" w:eastAsia="宋体" w:cs="Arial"/>
          <w:sz w:val="24"/>
          <w:szCs w:val="24"/>
          <w:lang w:eastAsia="zh-CN"/>
        </w:rPr>
      </w:pPr>
    </w:p>
    <w:p w14:paraId="4EFB8F45">
      <w:pPr>
        <w:pStyle w:val="3"/>
        <w:snapToGrid w:val="0"/>
        <w:spacing w:line="300" w:lineRule="auto"/>
        <w:ind w:left="0"/>
        <w:jc w:val="both"/>
        <w:rPr>
          <w:rFonts w:ascii="Arial" w:hAnsi="Arial" w:eastAsia="宋体" w:cs="Arial"/>
          <w:lang w:eastAsia="zh-CN"/>
        </w:rPr>
      </w:pPr>
      <w:r>
        <w:rPr>
          <w:rFonts w:ascii="Arial" w:hAnsi="Arial" w:eastAsia="宋体" w:cs="Arial"/>
          <w:lang w:eastAsia="zh-CN"/>
        </w:rPr>
        <w:t>这项研究的主要缺陷是招入了不具有实质性疾病表现的患者。方案要求患者稳定使用药物6个月。他们怀疑，满足这一标准的患者可能没有活动性类风湿性关节炎。经验表明，由于疾病活动的波动，难以获取符合方案中保持稳定药物剂量一个月以上要求的类风湿关节炎患者。</w:t>
      </w:r>
    </w:p>
    <w:p w14:paraId="6FF065E1">
      <w:pPr>
        <w:pStyle w:val="3"/>
        <w:snapToGrid w:val="0"/>
        <w:spacing w:line="300" w:lineRule="auto"/>
        <w:ind w:left="0"/>
        <w:jc w:val="both"/>
        <w:rPr>
          <w:rFonts w:ascii="Arial" w:hAnsi="Arial" w:eastAsia="宋体" w:cs="Arial"/>
          <w:lang w:eastAsia="zh-CN"/>
        </w:rPr>
      </w:pPr>
    </w:p>
    <w:p w14:paraId="2E6FB330">
      <w:pPr>
        <w:pStyle w:val="3"/>
        <w:snapToGrid w:val="0"/>
        <w:spacing w:line="300" w:lineRule="auto"/>
        <w:ind w:left="0"/>
        <w:jc w:val="both"/>
        <w:rPr>
          <w:rFonts w:ascii="Arial" w:hAnsi="Arial" w:eastAsia="宋体" w:cs="Arial"/>
          <w:lang w:eastAsia="zh-CN"/>
        </w:rPr>
      </w:pPr>
      <w:r>
        <w:rPr>
          <w:rFonts w:ascii="Arial" w:hAnsi="Arial" w:eastAsia="宋体" w:cs="Arial"/>
          <w:lang w:eastAsia="zh-CN"/>
        </w:rPr>
        <w:t>设计任何类风湿关节炎方案的一个重要方面是确定允许类固醇量的限值。类固醇剂量在一段给定的时间内也必须保持不变。但主要研究未能做到这一点。</w:t>
      </w:r>
    </w:p>
    <w:p w14:paraId="6967B8A9">
      <w:pPr>
        <w:pStyle w:val="3"/>
        <w:snapToGrid w:val="0"/>
        <w:spacing w:line="300" w:lineRule="auto"/>
        <w:ind w:left="0"/>
        <w:jc w:val="both"/>
        <w:rPr>
          <w:rFonts w:ascii="Arial" w:hAnsi="Arial" w:eastAsia="宋体" w:cs="Arial"/>
          <w:lang w:eastAsia="zh-CN"/>
        </w:rPr>
      </w:pPr>
    </w:p>
    <w:p w14:paraId="4834C2FA">
      <w:pPr>
        <w:pStyle w:val="3"/>
        <w:snapToGrid w:val="0"/>
        <w:spacing w:line="300" w:lineRule="auto"/>
        <w:ind w:left="0"/>
        <w:jc w:val="both"/>
        <w:rPr>
          <w:rFonts w:ascii="Arial" w:hAnsi="Arial" w:eastAsia="宋体" w:cs="Arial"/>
          <w:lang w:eastAsia="zh-CN"/>
        </w:rPr>
      </w:pPr>
      <w:r>
        <w:rPr>
          <w:rFonts w:ascii="Arial" w:hAnsi="Arial" w:eastAsia="宋体" w:cs="Arial"/>
          <w:lang w:eastAsia="zh-CN"/>
        </w:rPr>
        <w:t>类风湿关节炎患者的疾病活动的变异性以及活动的出现和消失，使观察的持续时间极为重要。研究期间必须足够长来允许波动衰减。</w:t>
      </w:r>
    </w:p>
    <w:p w14:paraId="59807948">
      <w:pPr>
        <w:pStyle w:val="3"/>
        <w:snapToGrid w:val="0"/>
        <w:spacing w:line="300" w:lineRule="auto"/>
        <w:ind w:left="0"/>
        <w:jc w:val="both"/>
        <w:rPr>
          <w:rFonts w:ascii="Arial" w:hAnsi="Arial" w:eastAsia="宋体" w:cs="Arial"/>
          <w:lang w:eastAsia="zh-CN"/>
        </w:rPr>
      </w:pPr>
    </w:p>
    <w:p w14:paraId="3FCE3F53">
      <w:pPr>
        <w:pStyle w:val="3"/>
        <w:snapToGrid w:val="0"/>
        <w:spacing w:line="300" w:lineRule="auto"/>
        <w:ind w:left="0"/>
        <w:jc w:val="both"/>
        <w:rPr>
          <w:rFonts w:ascii="Arial" w:hAnsi="Arial" w:eastAsia="宋体" w:cs="Arial"/>
          <w:lang w:eastAsia="zh-CN"/>
        </w:rPr>
      </w:pPr>
      <w:r>
        <w:rPr>
          <w:rFonts w:ascii="Arial" w:hAnsi="Arial" w:eastAsia="宋体" w:cs="Arial"/>
          <w:lang w:eastAsia="zh-CN"/>
        </w:rPr>
        <w:t>有人对一些研究者的医疗凭证表示关切。一名研究者报告称，尽管他已将其患者分入具有重大功能障碍的类别中，但其受试者都没有使用任何抗风湿药物。</w:t>
      </w:r>
    </w:p>
    <w:p w14:paraId="6283D913">
      <w:pPr>
        <w:snapToGrid w:val="0"/>
        <w:spacing w:before="6" w:line="300" w:lineRule="auto"/>
        <w:jc w:val="both"/>
        <w:rPr>
          <w:rFonts w:ascii="Arial" w:hAnsi="Arial" w:eastAsia="宋体" w:cs="Arial"/>
          <w:sz w:val="24"/>
          <w:szCs w:val="24"/>
          <w:lang w:eastAsia="zh-CN"/>
        </w:rPr>
      </w:pPr>
    </w:p>
    <w:p w14:paraId="49375161">
      <w:pPr>
        <w:pStyle w:val="3"/>
        <w:snapToGrid w:val="0"/>
        <w:spacing w:line="300" w:lineRule="auto"/>
        <w:ind w:left="0"/>
        <w:jc w:val="both"/>
        <w:rPr>
          <w:rFonts w:ascii="Arial" w:hAnsi="Arial" w:eastAsia="宋体" w:cs="Arial"/>
          <w:lang w:eastAsia="zh-CN"/>
        </w:rPr>
      </w:pPr>
      <w:r>
        <w:rPr>
          <w:rFonts w:ascii="Arial" w:hAnsi="Arial" w:eastAsia="宋体" w:cs="Arial"/>
          <w:lang w:eastAsia="zh-CN"/>
        </w:rPr>
        <w:t>仅治疗疼痛而未同时缓解其他疾病症状可引起有关使用激光治疗关节的可能出现的物理过程的担忧，因为已知失神经关节处于极大的风险之中。需要对关节的长程效应进行研究。</w:t>
      </w:r>
    </w:p>
    <w:p w14:paraId="091D45AB">
      <w:pPr>
        <w:pStyle w:val="3"/>
        <w:snapToGrid w:val="0"/>
        <w:spacing w:line="300" w:lineRule="auto"/>
        <w:ind w:left="0"/>
        <w:jc w:val="both"/>
        <w:rPr>
          <w:rFonts w:ascii="Arial" w:hAnsi="Arial" w:eastAsia="宋体" w:cs="Arial"/>
          <w:lang w:eastAsia="zh-CN"/>
        </w:rPr>
      </w:pPr>
    </w:p>
    <w:p w14:paraId="19D67EAB">
      <w:pPr>
        <w:pStyle w:val="3"/>
        <w:snapToGrid w:val="0"/>
        <w:spacing w:line="300" w:lineRule="auto"/>
        <w:ind w:left="0"/>
        <w:jc w:val="both"/>
        <w:rPr>
          <w:rFonts w:ascii="Arial" w:hAnsi="Arial" w:eastAsia="宋体" w:cs="Arial"/>
          <w:lang w:eastAsia="zh-CN"/>
        </w:rPr>
      </w:pPr>
      <w:r>
        <w:rPr>
          <w:rFonts w:ascii="Arial" w:hAnsi="Arial" w:eastAsia="宋体" w:cs="Arial"/>
          <w:lang w:eastAsia="zh-CN"/>
        </w:rPr>
        <w:t>使用治疗不同患者不同关节但未进行标准化的初步研究使得无法对数据进行解释。</w:t>
      </w:r>
    </w:p>
    <w:p w14:paraId="4397E5D9">
      <w:pPr>
        <w:pStyle w:val="3"/>
        <w:snapToGrid w:val="0"/>
        <w:spacing w:before="53" w:line="300" w:lineRule="auto"/>
        <w:ind w:left="0"/>
        <w:jc w:val="both"/>
        <w:rPr>
          <w:rFonts w:ascii="Arial" w:hAnsi="Arial" w:eastAsia="宋体" w:cs="Arial"/>
          <w:lang w:eastAsia="zh-CN"/>
        </w:rPr>
      </w:pPr>
    </w:p>
    <w:p w14:paraId="7F18C36F">
      <w:pPr>
        <w:rPr>
          <w:rFonts w:ascii="Arial" w:hAnsi="Arial" w:eastAsia="宋体" w:cs="Arial"/>
          <w:sz w:val="24"/>
          <w:szCs w:val="24"/>
          <w:lang w:eastAsia="zh-CN"/>
        </w:rPr>
      </w:pPr>
      <w:r>
        <w:rPr>
          <w:rFonts w:ascii="Arial" w:hAnsi="Arial" w:eastAsia="宋体" w:cs="Arial"/>
          <w:lang w:eastAsia="zh-CN"/>
        </w:rPr>
        <w:br w:type="page"/>
      </w:r>
    </w:p>
    <w:p w14:paraId="4E18A97B">
      <w:pPr>
        <w:pStyle w:val="3"/>
        <w:snapToGrid w:val="0"/>
        <w:spacing w:before="69" w:line="300" w:lineRule="auto"/>
        <w:ind w:left="0"/>
        <w:jc w:val="both"/>
        <w:rPr>
          <w:rFonts w:ascii="Arial" w:hAnsi="Arial" w:eastAsia="宋体" w:cs="Arial"/>
          <w:lang w:eastAsia="zh-CN"/>
        </w:rPr>
      </w:pPr>
      <w:r>
        <w:rPr>
          <w:rFonts w:ascii="Arial" w:hAnsi="Arial" w:eastAsia="宋体" w:cs="Arial"/>
          <w:lang w:eastAsia="zh-CN"/>
        </w:rPr>
        <w:t>随机化的结构系统受滥用的影响。有人建议使用其他随机化方法，例如通过代码进行中央在线分配。</w:t>
      </w:r>
    </w:p>
    <w:p w14:paraId="0DA15D97">
      <w:pPr>
        <w:snapToGrid w:val="0"/>
        <w:spacing w:before="6" w:line="300" w:lineRule="auto"/>
        <w:jc w:val="both"/>
        <w:rPr>
          <w:rFonts w:ascii="Arial" w:hAnsi="Arial" w:eastAsia="宋体" w:cs="Arial"/>
          <w:sz w:val="24"/>
          <w:szCs w:val="24"/>
          <w:lang w:eastAsia="zh-CN"/>
        </w:rPr>
      </w:pPr>
    </w:p>
    <w:p w14:paraId="67939971">
      <w:pPr>
        <w:pStyle w:val="3"/>
        <w:snapToGrid w:val="0"/>
        <w:spacing w:line="300" w:lineRule="auto"/>
        <w:ind w:left="0"/>
        <w:jc w:val="both"/>
        <w:rPr>
          <w:rFonts w:ascii="Arial" w:hAnsi="Arial" w:eastAsia="宋体" w:cs="Arial"/>
          <w:lang w:eastAsia="zh-CN"/>
        </w:rPr>
      </w:pPr>
      <w:r>
        <w:rPr>
          <w:rFonts w:ascii="Arial" w:hAnsi="Arial" w:eastAsia="宋体" w:cs="Arial"/>
          <w:lang w:eastAsia="zh-CN"/>
        </w:rPr>
        <w:t>该小组一致表决建议不批准激光疼痛治疗器械的PMA，因为其未提供足够的数据来合理确保该器械对于预期患者人群的安全性和有效性。</w:t>
      </w:r>
    </w:p>
    <w:p w14:paraId="774BBE70">
      <w:pPr>
        <w:pStyle w:val="3"/>
        <w:snapToGrid w:val="0"/>
        <w:spacing w:line="300" w:lineRule="auto"/>
        <w:ind w:left="0"/>
        <w:jc w:val="both"/>
        <w:rPr>
          <w:rFonts w:ascii="Arial" w:hAnsi="Arial" w:eastAsia="宋体" w:cs="Arial"/>
          <w:lang w:eastAsia="zh-CN"/>
        </w:rPr>
      </w:pPr>
    </w:p>
    <w:p w14:paraId="662E7F1B">
      <w:pPr>
        <w:pStyle w:val="3"/>
        <w:snapToGrid w:val="0"/>
        <w:spacing w:line="300" w:lineRule="auto"/>
        <w:ind w:left="0"/>
        <w:jc w:val="both"/>
        <w:rPr>
          <w:rFonts w:ascii="Arial" w:hAnsi="Arial" w:eastAsia="宋体" w:cs="Arial"/>
          <w:u w:val="single"/>
          <w:lang w:eastAsia="zh-CN"/>
        </w:rPr>
      </w:pPr>
      <w:r>
        <w:rPr>
          <w:rFonts w:ascii="Arial" w:hAnsi="Arial" w:eastAsia="宋体" w:cs="Arial"/>
          <w:u w:val="single"/>
          <w:lang w:eastAsia="zh-CN"/>
        </w:rPr>
        <w:t>致申请人关于未来研究获得PMA批准的建议</w:t>
      </w:r>
    </w:p>
    <w:p w14:paraId="27FEE4ED">
      <w:pPr>
        <w:snapToGrid w:val="0"/>
        <w:spacing w:before="3" w:line="300" w:lineRule="auto"/>
        <w:jc w:val="both"/>
        <w:rPr>
          <w:rFonts w:ascii="Arial" w:hAnsi="Arial" w:eastAsia="宋体" w:cs="Arial"/>
          <w:sz w:val="19"/>
          <w:szCs w:val="19"/>
          <w:lang w:eastAsia="zh-CN"/>
        </w:rPr>
      </w:pPr>
    </w:p>
    <w:p w14:paraId="5710CDB5">
      <w:pPr>
        <w:pStyle w:val="3"/>
        <w:snapToGrid w:val="0"/>
        <w:spacing w:before="69" w:line="300" w:lineRule="auto"/>
        <w:ind w:left="0"/>
        <w:jc w:val="both"/>
        <w:rPr>
          <w:rFonts w:ascii="Arial" w:hAnsi="Arial" w:eastAsia="宋体" w:cs="Arial"/>
          <w:lang w:eastAsia="zh-CN"/>
        </w:rPr>
      </w:pPr>
      <w:r>
        <w:rPr>
          <w:rFonts w:ascii="Arial" w:hAnsi="Arial" w:eastAsia="宋体" w:cs="Arial"/>
          <w:lang w:eastAsia="zh-CN"/>
        </w:rPr>
        <w:t>除了纠正上述问题外，该小组还建议，任何未来研究应包括以下内容：</w:t>
      </w:r>
    </w:p>
    <w:p w14:paraId="126F9D0C">
      <w:pPr>
        <w:pStyle w:val="3"/>
        <w:snapToGrid w:val="0"/>
        <w:spacing w:before="69" w:line="300" w:lineRule="auto"/>
        <w:ind w:left="0"/>
        <w:jc w:val="both"/>
        <w:rPr>
          <w:rFonts w:ascii="Arial" w:hAnsi="Arial" w:eastAsia="宋体" w:cs="Arial"/>
          <w:lang w:eastAsia="zh-CN"/>
        </w:rPr>
      </w:pPr>
    </w:p>
    <w:p w14:paraId="4B914C85">
      <w:pPr>
        <w:pStyle w:val="10"/>
        <w:numPr>
          <w:ilvl w:val="0"/>
          <w:numId w:val="4"/>
        </w:numPr>
        <w:tabs>
          <w:tab w:val="left" w:pos="533"/>
        </w:tabs>
        <w:snapToGrid w:val="0"/>
        <w:spacing w:before="119"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应使用多重基线评价来评价未接受任何治疗的患者之间的可变性。</w:t>
      </w:r>
    </w:p>
    <w:p w14:paraId="3A5AB471">
      <w:pPr>
        <w:pStyle w:val="10"/>
        <w:numPr>
          <w:ilvl w:val="0"/>
          <w:numId w:val="4"/>
        </w:numPr>
        <w:tabs>
          <w:tab w:val="left" w:pos="533"/>
        </w:tabs>
        <w:snapToGrid w:val="0"/>
        <w:spacing w:before="119"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研究中的每个受试者应该保留记录疼痛、僵硬和药物的每日日记。</w:t>
      </w:r>
    </w:p>
    <w:p w14:paraId="7AC2578A">
      <w:pPr>
        <w:pStyle w:val="10"/>
        <w:numPr>
          <w:ilvl w:val="0"/>
          <w:numId w:val="4"/>
        </w:numPr>
        <w:tabs>
          <w:tab w:val="left" w:pos="533"/>
        </w:tabs>
        <w:snapToGrid w:val="0"/>
        <w:spacing w:before="119"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在尝试设计研究之前，必须明确界定研究的目标（即疼痛治疗或类风湿关节炎治疗）。结果测量必须明确说明。</w:t>
      </w:r>
    </w:p>
    <w:p w14:paraId="7486BC9B">
      <w:pPr>
        <w:pStyle w:val="10"/>
        <w:numPr>
          <w:ilvl w:val="0"/>
          <w:numId w:val="4"/>
        </w:numPr>
        <w:tabs>
          <w:tab w:val="left" w:pos="533"/>
        </w:tabs>
        <w:snapToGrid w:val="0"/>
        <w:spacing w:before="119"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必须明确界定任何允许的辅助治疗。</w:t>
      </w:r>
    </w:p>
    <w:p w14:paraId="73068FD8">
      <w:pPr>
        <w:pStyle w:val="10"/>
        <w:numPr>
          <w:ilvl w:val="0"/>
          <w:numId w:val="4"/>
        </w:numPr>
        <w:tabs>
          <w:tab w:val="left" w:pos="533"/>
        </w:tabs>
        <w:snapToGrid w:val="0"/>
        <w:spacing w:before="119" w:line="300" w:lineRule="auto"/>
        <w:ind w:left="475" w:hanging="475" w:hangingChars="198"/>
        <w:jc w:val="both"/>
        <w:rPr>
          <w:rFonts w:ascii="Arial" w:hAnsi="Arial" w:eastAsia="宋体" w:cs="Arial"/>
          <w:sz w:val="24"/>
        </w:rPr>
      </w:pPr>
      <w:r>
        <w:rPr>
          <w:rFonts w:ascii="Arial" w:hAnsi="Arial" w:eastAsia="宋体" w:cs="Arial"/>
          <w:sz w:val="24"/>
          <w:lang w:eastAsia="zh-CN"/>
        </w:rPr>
        <w:t>疾病状况和疼痛状况的记录需要独立建立，以便将其分离。（这可能需要进行初步研究。</w:t>
      </w:r>
      <w:r>
        <w:rPr>
          <w:rFonts w:ascii="Arial" w:hAnsi="Arial" w:eastAsia="宋体" w:cs="Arial"/>
          <w:sz w:val="24"/>
        </w:rPr>
        <w:t>）</w:t>
      </w:r>
    </w:p>
    <w:p w14:paraId="42A596FF">
      <w:pPr>
        <w:pStyle w:val="10"/>
        <w:numPr>
          <w:ilvl w:val="0"/>
          <w:numId w:val="4"/>
        </w:numPr>
        <w:tabs>
          <w:tab w:val="left" w:pos="533"/>
        </w:tabs>
        <w:snapToGrid w:val="0"/>
        <w:spacing w:before="119"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应获得剂量反应曲线，确定最大效果。</w:t>
      </w:r>
    </w:p>
    <w:p w14:paraId="5E3D3E61">
      <w:pPr>
        <w:pStyle w:val="10"/>
        <w:numPr>
          <w:ilvl w:val="0"/>
          <w:numId w:val="4"/>
        </w:numPr>
        <w:tabs>
          <w:tab w:val="left" w:pos="533"/>
        </w:tabs>
        <w:snapToGrid w:val="0"/>
        <w:spacing w:before="119"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进行规划时需要风湿病学家、药理学家和统计学家的建议和审查。</w:t>
      </w:r>
    </w:p>
    <w:p w14:paraId="651FB42E">
      <w:pPr>
        <w:pStyle w:val="10"/>
        <w:numPr>
          <w:ilvl w:val="0"/>
          <w:numId w:val="4"/>
        </w:numPr>
        <w:tabs>
          <w:tab w:val="left" w:pos="533"/>
        </w:tabs>
        <w:snapToGrid w:val="0"/>
        <w:spacing w:before="119"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需建立独立的外部同行评审委员会，以客观评价数据。</w:t>
      </w:r>
    </w:p>
    <w:p w14:paraId="670E8160">
      <w:pPr>
        <w:pStyle w:val="10"/>
        <w:numPr>
          <w:ilvl w:val="0"/>
          <w:numId w:val="4"/>
        </w:numPr>
        <w:tabs>
          <w:tab w:val="left" w:pos="533"/>
        </w:tabs>
        <w:snapToGrid w:val="0"/>
        <w:spacing w:before="119"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在整个研究期间，应确定并纳入已知已成功获得同行评审资助的人员。这些顾问包括用于有关特定疾病过程和患者人群背景的人员。</w:t>
      </w:r>
    </w:p>
    <w:p w14:paraId="52294E8D">
      <w:pPr>
        <w:pStyle w:val="10"/>
        <w:numPr>
          <w:ilvl w:val="0"/>
          <w:numId w:val="4"/>
        </w:numPr>
        <w:tabs>
          <w:tab w:val="left" w:pos="533"/>
        </w:tabs>
        <w:snapToGrid w:val="0"/>
        <w:spacing w:before="127"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在研究用于缓解类风湿性关节炎相关疼痛的激光器时，研究者应该熟悉使用药物、物理治疗和其他方式进行的类风湿关节炎治疗。</w:t>
      </w:r>
    </w:p>
    <w:p w14:paraId="4DF7F594">
      <w:pPr>
        <w:pStyle w:val="10"/>
        <w:numPr>
          <w:ilvl w:val="0"/>
          <w:numId w:val="4"/>
        </w:numPr>
        <w:tabs>
          <w:tab w:val="left" w:pos="533"/>
        </w:tabs>
        <w:snapToGrid w:val="0"/>
        <w:spacing w:before="127"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该公司可能考虑研究另一种具有相关疼痛的疾病过程，以使疾病效果与疼痛效应分离。</w:t>
      </w:r>
    </w:p>
    <w:p w14:paraId="685BC42C">
      <w:pPr>
        <w:pStyle w:val="10"/>
        <w:numPr>
          <w:ilvl w:val="0"/>
          <w:numId w:val="4"/>
        </w:numPr>
        <w:tabs>
          <w:tab w:val="left" w:pos="533"/>
        </w:tabs>
        <w:snapToGrid w:val="0"/>
        <w:spacing w:before="127" w:line="300" w:lineRule="auto"/>
        <w:ind w:left="475" w:hanging="475" w:hangingChars="198"/>
        <w:jc w:val="both"/>
        <w:rPr>
          <w:rFonts w:ascii="Arial" w:hAnsi="Arial" w:eastAsia="宋体" w:cs="Arial"/>
          <w:sz w:val="24"/>
        </w:rPr>
      </w:pPr>
      <w:r>
        <w:rPr>
          <w:rFonts w:ascii="Arial" w:hAnsi="Arial" w:eastAsia="宋体" w:cs="Arial"/>
          <w:sz w:val="24"/>
        </w:rPr>
        <w:t>必须尽全力确保</w:t>
      </w:r>
      <w:r>
        <w:rPr>
          <w:rFonts w:ascii="Arial" w:hAnsi="Arial" w:eastAsia="宋体" w:cs="Arial"/>
          <w:sz w:val="24"/>
          <w:lang w:eastAsia="zh-CN"/>
        </w:rPr>
        <w:t>设盲</w:t>
      </w:r>
      <w:r>
        <w:rPr>
          <w:rFonts w:ascii="Arial" w:hAnsi="Arial" w:eastAsia="宋体" w:cs="Arial"/>
          <w:sz w:val="24"/>
        </w:rPr>
        <w:t>。</w:t>
      </w:r>
    </w:p>
    <w:p w14:paraId="2B051176">
      <w:pPr>
        <w:pStyle w:val="10"/>
        <w:numPr>
          <w:ilvl w:val="0"/>
          <w:numId w:val="4"/>
        </w:numPr>
        <w:tabs>
          <w:tab w:val="left" w:pos="533"/>
        </w:tabs>
        <w:snapToGrid w:val="0"/>
        <w:spacing w:before="127"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这项研究的持续时间应该足够长，以证明效果可与日俱增。</w:t>
      </w:r>
    </w:p>
    <w:p w14:paraId="0B76A8FE">
      <w:pPr>
        <w:pStyle w:val="10"/>
        <w:numPr>
          <w:ilvl w:val="0"/>
          <w:numId w:val="4"/>
        </w:numPr>
        <w:tabs>
          <w:tab w:val="left" w:pos="533"/>
        </w:tabs>
        <w:snapToGrid w:val="0"/>
        <w:spacing w:before="127" w:line="300" w:lineRule="auto"/>
        <w:ind w:left="475" w:hanging="475" w:hangingChars="198"/>
        <w:jc w:val="both"/>
        <w:rPr>
          <w:rFonts w:ascii="Arial" w:hAnsi="Arial" w:eastAsia="宋体" w:cs="Arial"/>
          <w:sz w:val="24"/>
          <w:lang w:eastAsia="zh-CN"/>
        </w:rPr>
      </w:pPr>
      <w:r>
        <w:rPr>
          <w:rFonts w:ascii="Arial" w:hAnsi="Arial" w:eastAsia="宋体" w:cs="Arial"/>
          <w:sz w:val="24"/>
          <w:lang w:eastAsia="zh-CN"/>
        </w:rPr>
        <w:t>需要提供额外的功能测量。</w:t>
      </w:r>
    </w:p>
    <w:p w14:paraId="1A4073C8">
      <w:pPr>
        <w:snapToGrid w:val="0"/>
        <w:spacing w:line="300" w:lineRule="auto"/>
        <w:jc w:val="both"/>
        <w:rPr>
          <w:rFonts w:ascii="Arial" w:hAnsi="Arial" w:eastAsia="宋体" w:cs="Arial"/>
          <w:sz w:val="24"/>
          <w:szCs w:val="24"/>
          <w:lang w:eastAsia="zh-CN"/>
        </w:rPr>
        <w:sectPr>
          <w:pgSz w:w="12240" w:h="15840"/>
          <w:pgMar w:top="1100" w:right="1380" w:bottom="960" w:left="1340" w:header="0" w:footer="771" w:gutter="0"/>
          <w:cols w:space="720" w:num="1"/>
        </w:sectPr>
      </w:pPr>
    </w:p>
    <w:p w14:paraId="68F561C2">
      <w:pPr>
        <w:pStyle w:val="3"/>
        <w:snapToGrid w:val="0"/>
        <w:spacing w:before="53" w:line="300" w:lineRule="auto"/>
        <w:ind w:left="0"/>
        <w:jc w:val="both"/>
        <w:rPr>
          <w:rFonts w:ascii="Arial" w:hAnsi="Arial" w:eastAsia="宋体" w:cs="Arial"/>
          <w:lang w:eastAsia="zh-CN"/>
        </w:rPr>
      </w:pPr>
      <w:r>
        <w:rPr>
          <w:rFonts w:ascii="Arial" w:hAnsi="Arial" w:eastAsia="宋体" w:cs="Arial"/>
          <w:lang w:eastAsia="zh-CN"/>
        </w:rPr>
        <w:t>我同意本摘要记录的会议记录。</w:t>
      </w:r>
    </w:p>
    <w:p w14:paraId="51F23133">
      <w:pPr>
        <w:snapToGrid w:val="0"/>
        <w:spacing w:line="300" w:lineRule="auto"/>
        <w:jc w:val="both"/>
        <w:rPr>
          <w:rFonts w:ascii="Arial" w:hAnsi="Arial" w:eastAsia="宋体" w:cs="Arial"/>
          <w:sz w:val="20"/>
          <w:szCs w:val="20"/>
          <w:lang w:eastAsia="zh-CN"/>
        </w:rPr>
      </w:pPr>
    </w:p>
    <w:p w14:paraId="597A71A7">
      <w:pPr>
        <w:snapToGrid w:val="0"/>
        <w:spacing w:line="300" w:lineRule="auto"/>
        <w:jc w:val="both"/>
        <w:rPr>
          <w:rFonts w:ascii="Arial" w:hAnsi="Arial" w:eastAsia="宋体" w:cs="Arial"/>
          <w:sz w:val="20"/>
          <w:szCs w:val="20"/>
          <w:lang w:eastAsia="zh-CN"/>
        </w:rPr>
      </w:pPr>
    </w:p>
    <w:p w14:paraId="5B2B782B">
      <w:pPr>
        <w:snapToGrid w:val="0"/>
        <w:spacing w:line="300" w:lineRule="auto"/>
        <w:jc w:val="both"/>
        <w:rPr>
          <w:rFonts w:ascii="Arial" w:hAnsi="Arial" w:eastAsia="宋体" w:cs="Arial"/>
          <w:sz w:val="20"/>
          <w:szCs w:val="20"/>
          <w:lang w:eastAsia="zh-CN"/>
        </w:rPr>
      </w:pPr>
    </w:p>
    <w:p w14:paraId="111E7C68">
      <w:pPr>
        <w:snapToGrid w:val="0"/>
        <w:spacing w:before="8" w:line="300" w:lineRule="auto"/>
        <w:jc w:val="both"/>
        <w:rPr>
          <w:rFonts w:ascii="Arial" w:hAnsi="Arial" w:eastAsia="宋体" w:cs="Arial"/>
          <w:sz w:val="17"/>
          <w:szCs w:val="17"/>
          <w:lang w:eastAsia="zh-CN"/>
        </w:rPr>
      </w:pPr>
      <w:r>
        <w:rPr>
          <w:rFonts w:ascii="Arial" w:hAnsi="Arial" w:eastAsia="宋体" w:cs="Arial"/>
          <w:sz w:val="2"/>
          <w:szCs w:val="2"/>
          <w:lang w:eastAsia="zh-CN"/>
        </w:rPr>
        <mc:AlternateContent>
          <mc:Choice Requires="wpg">
            <w:drawing>
              <wp:inline distT="0" distB="0" distL="0" distR="0">
                <wp:extent cx="2365375" cy="51435"/>
                <wp:effectExtent l="9525" t="0" r="6350" b="0"/>
                <wp:docPr id="4" name="Group 8"/>
                <wp:cNvGraphicFramePr/>
                <a:graphic xmlns:a="http://schemas.openxmlformats.org/drawingml/2006/main">
                  <a:graphicData uri="http://schemas.microsoft.com/office/word/2010/wordprocessingGroup">
                    <wpg:wgp>
                      <wpg:cNvGrpSpPr/>
                      <wpg:grpSpPr>
                        <a:xfrm>
                          <a:off x="0" y="0"/>
                          <a:ext cx="2365375" cy="51435"/>
                          <a:chOff x="0" y="0"/>
                          <a:chExt cx="3370" cy="10"/>
                        </a:xfrm>
                      </wpg:grpSpPr>
                      <wpg:grpSp>
                        <wpg:cNvPr id="5" name="Group 9"/>
                        <wpg:cNvGrpSpPr/>
                        <wpg:grpSpPr>
                          <a:xfrm>
                            <a:off x="5" y="5"/>
                            <a:ext cx="3360" cy="2"/>
                            <a:chOff x="5" y="5"/>
                            <a:chExt cx="3360" cy="2"/>
                          </a:xfrm>
                        </wpg:grpSpPr>
                        <wps:wsp>
                          <wps:cNvPr id="6" name="Freeform 10"/>
                          <wps:cNvSpPr/>
                          <wps:spPr bwMode="auto">
                            <a:xfrm>
                              <a:off x="5" y="5"/>
                              <a:ext cx="3360" cy="2"/>
                            </a:xfrm>
                            <a:custGeom>
                              <a:avLst/>
                              <a:gdLst>
                                <a:gd name="T0" fmla="+- 0 5 5"/>
                                <a:gd name="T1" fmla="*/ T0 w 3360"/>
                                <a:gd name="T2" fmla="+- 0 3365 5"/>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4.05pt;width:186.25pt;" coordsize="3370,10" o:gfxdata="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At1xod1QAAAAMBAAAPAAAAAAAAAAEAIAAAACIAAABkcnMvZG93bnJldi54&#10;bWxQSwECFAAUAAAACACHTuJAxwAklRoDAAD6BwAADgAAAAAAAAABACAAAAAkAQAAZHJzL2Uyb0Rv&#10;Yy54bWxQSwUGAAAAAAYABgBZAQAAsAYAAAAA&#10;">
                <o:lock v:ext="edit" aspectratio="f"/>
                <v:group id="Group 9" o:spid="_x0000_s1026" o:spt="203" style="position:absolute;left:5;top:5;height:2;width:3360;" coordorigin="5,5" coordsize="336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10" o:spid="_x0000_s1026" o:spt="100" style="position:absolute;left:5;top:5;height:2;width:3360;" filled="f" stroked="t" coordsize="3360,1" o:gfxdata="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UOG91twAAANoAAAAP&#10;AAAAAAAAAAEAIAAAACIAAABkcnMvZG93bnJldi54bWxQSwECFAAUAAAACACHTuJAMy8FnjsAAAA5&#10;AAAAEAAAAAAAAAABACAAAAAGAQAAZHJzL3NoYXBleG1sLnhtbFBLBQYAAAAABgAGAFsBAACwAwAA&#10;AAA=&#10;" path="m0,0l3360,0e">
                    <v:path o:connectlocs="0,0;3360,0" o:connectangles="0,0"/>
                    <v:fill on="f" focussize="0,0"/>
                    <v:stroke weight="0.48pt" color="#000000" joinstyle="round"/>
                    <v:imagedata o:title=""/>
                    <o:lock v:ext="edit" aspectratio="f"/>
                  </v:shape>
                </v:group>
                <w10:wrap type="none"/>
                <w10:anchorlock/>
              </v:group>
            </w:pict>
          </mc:Fallback>
        </mc:AlternateContent>
      </w:r>
    </w:p>
    <w:p w14:paraId="46256564">
      <w:pPr>
        <w:snapToGrid w:val="0"/>
        <w:spacing w:line="300" w:lineRule="auto"/>
        <w:jc w:val="both"/>
        <w:rPr>
          <w:rFonts w:ascii="Arial" w:hAnsi="Arial" w:eastAsia="宋体" w:cs="Arial"/>
          <w:sz w:val="2"/>
          <w:szCs w:val="2"/>
        </w:rPr>
      </w:pPr>
    </w:p>
    <w:p w14:paraId="4873B5B4">
      <w:pPr>
        <w:pStyle w:val="3"/>
        <w:snapToGrid w:val="0"/>
        <w:spacing w:line="300" w:lineRule="auto"/>
        <w:ind w:left="0"/>
        <w:jc w:val="both"/>
        <w:rPr>
          <w:rFonts w:ascii="Arial" w:hAnsi="Arial" w:eastAsia="宋体" w:cs="Arial"/>
          <w:lang w:eastAsia="zh-CN"/>
        </w:rPr>
      </w:pPr>
      <w:r>
        <w:rPr>
          <w:rFonts w:ascii="Arial" w:hAnsi="Arial" w:eastAsia="宋体" w:cs="Arial"/>
        </w:rPr>
        <w:t>Harold Stevens, Ph.D., M.D.,</w:t>
      </w:r>
      <w:r>
        <w:rPr>
          <w:rFonts w:ascii="Arial" w:hAnsi="Arial" w:eastAsia="宋体" w:cs="Arial"/>
          <w:spacing w:val="-29"/>
        </w:rPr>
        <w:t xml:space="preserve"> </w:t>
      </w:r>
      <w:r>
        <w:rPr>
          <w:rFonts w:ascii="Arial" w:hAnsi="Arial" w:eastAsia="宋体" w:cs="Arial"/>
        </w:rPr>
        <w:t>（</w:t>
      </w:r>
      <w:r>
        <w:rPr>
          <w:rFonts w:ascii="Arial" w:hAnsi="Arial" w:eastAsia="宋体" w:cs="Arial"/>
          <w:lang w:eastAsia="zh-CN"/>
        </w:rPr>
        <w:t>日期</w:t>
      </w:r>
      <w:r>
        <w:rPr>
          <w:rFonts w:ascii="Arial" w:hAnsi="Arial" w:eastAsia="宋体" w:cs="Arial"/>
        </w:rPr>
        <w:t>）</w:t>
      </w:r>
      <w:r>
        <w:rPr>
          <w:rFonts w:ascii="Arial" w:hAnsi="Arial" w:eastAsia="宋体" w:cs="Arial"/>
          <w:spacing w:val="-1"/>
        </w:rPr>
        <w:t xml:space="preserve"> </w:t>
      </w:r>
    </w:p>
    <w:p w14:paraId="70E68B8A">
      <w:pPr>
        <w:pStyle w:val="3"/>
        <w:snapToGrid w:val="0"/>
        <w:spacing w:line="300" w:lineRule="auto"/>
        <w:ind w:left="0"/>
        <w:jc w:val="both"/>
        <w:rPr>
          <w:rFonts w:ascii="Arial" w:hAnsi="Arial" w:eastAsia="宋体" w:cs="Arial"/>
          <w:lang w:eastAsia="zh-CN"/>
        </w:rPr>
      </w:pPr>
      <w:r>
        <w:rPr>
          <w:rFonts w:ascii="Arial" w:hAnsi="Arial" w:eastAsia="宋体" w:cs="Arial"/>
          <w:lang w:eastAsia="zh-CN"/>
        </w:rPr>
        <w:t>主席</w:t>
      </w:r>
    </w:p>
    <w:p w14:paraId="12FD0090">
      <w:pPr>
        <w:snapToGrid w:val="0"/>
        <w:spacing w:line="300" w:lineRule="auto"/>
        <w:jc w:val="both"/>
        <w:rPr>
          <w:rFonts w:ascii="Arial" w:hAnsi="Arial" w:eastAsia="宋体" w:cs="Arial"/>
          <w:sz w:val="24"/>
          <w:szCs w:val="24"/>
          <w:lang w:eastAsia="zh-CN"/>
        </w:rPr>
      </w:pPr>
    </w:p>
    <w:p w14:paraId="5A5F6147">
      <w:pPr>
        <w:snapToGrid w:val="0"/>
        <w:spacing w:line="300" w:lineRule="auto"/>
        <w:jc w:val="both"/>
        <w:rPr>
          <w:rFonts w:ascii="Arial" w:hAnsi="Arial" w:eastAsia="宋体" w:cs="Arial"/>
          <w:sz w:val="24"/>
          <w:szCs w:val="24"/>
          <w:lang w:eastAsia="zh-CN"/>
        </w:rPr>
      </w:pPr>
    </w:p>
    <w:p w14:paraId="52B17CC9">
      <w:pPr>
        <w:snapToGrid w:val="0"/>
        <w:spacing w:before="9" w:line="300" w:lineRule="auto"/>
        <w:jc w:val="both"/>
        <w:rPr>
          <w:rFonts w:ascii="Arial" w:hAnsi="Arial" w:eastAsia="宋体" w:cs="Arial"/>
          <w:sz w:val="25"/>
          <w:szCs w:val="25"/>
          <w:lang w:eastAsia="zh-CN"/>
        </w:rPr>
      </w:pPr>
    </w:p>
    <w:p w14:paraId="5A1F0C17">
      <w:pPr>
        <w:pStyle w:val="3"/>
        <w:snapToGrid w:val="0"/>
        <w:spacing w:line="300" w:lineRule="auto"/>
        <w:ind w:left="0"/>
        <w:jc w:val="both"/>
        <w:rPr>
          <w:rFonts w:ascii="Arial" w:hAnsi="Arial" w:eastAsia="宋体" w:cs="Arial"/>
          <w:lang w:eastAsia="zh-CN"/>
        </w:rPr>
      </w:pPr>
      <w:r>
        <w:rPr>
          <w:rFonts w:ascii="Arial" w:hAnsi="Arial" w:eastAsia="宋体" w:cs="Arial"/>
          <w:lang w:eastAsia="zh-CN"/>
        </w:rPr>
        <w:t>兹证明，我于1988年5月12日参加了神经学器械小组的会议，这些会议记录准确反映了会议内容。</w:t>
      </w:r>
    </w:p>
    <w:p w14:paraId="41B1750C">
      <w:pPr>
        <w:snapToGrid w:val="0"/>
        <w:spacing w:line="300" w:lineRule="auto"/>
        <w:jc w:val="both"/>
        <w:rPr>
          <w:rFonts w:ascii="Arial" w:hAnsi="Arial" w:eastAsia="宋体" w:cs="Arial"/>
          <w:sz w:val="20"/>
          <w:szCs w:val="20"/>
          <w:lang w:eastAsia="zh-CN"/>
        </w:rPr>
      </w:pPr>
    </w:p>
    <w:p w14:paraId="0E78FD89">
      <w:pPr>
        <w:snapToGrid w:val="0"/>
        <w:spacing w:line="300" w:lineRule="auto"/>
        <w:jc w:val="both"/>
        <w:rPr>
          <w:rFonts w:ascii="Arial" w:hAnsi="Arial" w:eastAsia="宋体" w:cs="Arial"/>
          <w:sz w:val="20"/>
          <w:szCs w:val="20"/>
          <w:lang w:eastAsia="zh-CN"/>
        </w:rPr>
      </w:pPr>
    </w:p>
    <w:p w14:paraId="4C2BBD59">
      <w:pPr>
        <w:snapToGrid w:val="0"/>
        <w:spacing w:line="300" w:lineRule="auto"/>
        <w:jc w:val="both"/>
        <w:rPr>
          <w:rFonts w:ascii="Arial" w:hAnsi="Arial" w:eastAsia="宋体" w:cs="Arial"/>
          <w:sz w:val="20"/>
          <w:szCs w:val="20"/>
          <w:lang w:eastAsia="zh-CN"/>
        </w:rPr>
      </w:pPr>
    </w:p>
    <w:p w14:paraId="04005EAA">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2695575" cy="45085"/>
                <wp:effectExtent l="9525" t="0" r="9525" b="0"/>
                <wp:docPr id="1" name="Group 2"/>
                <wp:cNvGraphicFramePr/>
                <a:graphic xmlns:a="http://schemas.openxmlformats.org/drawingml/2006/main">
                  <a:graphicData uri="http://schemas.microsoft.com/office/word/2010/wordprocessingGroup">
                    <wpg:wgp>
                      <wpg:cNvGrpSpPr/>
                      <wpg:grpSpPr>
                        <a:xfrm flipV="1">
                          <a:off x="0" y="0"/>
                          <a:ext cx="2695575" cy="45085"/>
                          <a:chOff x="0" y="0"/>
                          <a:chExt cx="3370" cy="10"/>
                        </a:xfrm>
                      </wpg:grpSpPr>
                      <wpg:grpSp>
                        <wpg:cNvPr id="2" name="Group 3"/>
                        <wpg:cNvGrpSpPr/>
                        <wpg:grpSpPr>
                          <a:xfrm>
                            <a:off x="5" y="5"/>
                            <a:ext cx="3360" cy="2"/>
                            <a:chOff x="5" y="5"/>
                            <a:chExt cx="3360" cy="2"/>
                          </a:xfrm>
                        </wpg:grpSpPr>
                        <wps:wsp>
                          <wps:cNvPr id="3" name="Freeform 4"/>
                          <wps:cNvSpPr/>
                          <wps:spPr bwMode="auto">
                            <a:xfrm>
                              <a:off x="5" y="5"/>
                              <a:ext cx="3360" cy="2"/>
                            </a:xfrm>
                            <a:custGeom>
                              <a:avLst/>
                              <a:gdLst>
                                <a:gd name="T0" fmla="+- 0 5 5"/>
                                <a:gd name="T1" fmla="*/ T0 w 3360"/>
                                <a:gd name="T2" fmla="+- 0 3365 5"/>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flip:y;height:3.55pt;width:212.25pt;" coordsize="3370,10" o:gfxdata="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5GC2TtMAAAADAQAADwAAAAAAAAABACAAAAAiAAAAZHJzL2Rvd25y&#10;ZXYueG1sUEsBAhQAFAAAAAgAh07iQFWWzmAgAwAAAwgAAA4AAAAAAAAAAQAgAAAAIgEAAGRycy9l&#10;Mm9Eb2MueG1sUEsFBgAAAAAGAAYAWQEAALQGAAAAAA==&#10;">
                <o:lock v:ext="edit" aspectratio="f"/>
                <v:group id="Group 3" o:spid="_x0000_s1026" o:spt="203" style="position:absolute;left:5;top:5;height:2;width:3360;" coordorigin="5,5" coordsize="3360,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4" o:spid="_x0000_s1026" o:spt="100" style="position:absolute;left:5;top:5;height:2;width:3360;" filled="f" stroked="t" coordsize="3360,1" o:gfxdata="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RPzO25AAAA2gAA&#10;AA8AAAAAAAAAAQAgAAAAIgAAAGRycy9kb3ducmV2LnhtbFBLAQIUABQAAAAIAIdO4kAzLwWeOwAA&#10;ADkAAAAQAAAAAAAAAAEAIAAAAAgBAABkcnMvc2hhcGV4bWwueG1sUEsFBgAAAAAGAAYAWwEAALID&#10;AAAAAA==&#10;" path="m0,0l3360,0e">
                    <v:path o:connectlocs="0,0;3360,0" o:connectangles="0,0"/>
                    <v:fill on="f" focussize="0,0"/>
                    <v:stroke weight="0.48pt" color="#000000" joinstyle="round"/>
                    <v:imagedata o:title=""/>
                    <o:lock v:ext="edit" aspectratio="f"/>
                  </v:shape>
                </v:group>
                <w10:wrap type="none"/>
                <w10:anchorlock/>
              </v:group>
            </w:pict>
          </mc:Fallback>
        </mc:AlternateContent>
      </w:r>
    </w:p>
    <w:p w14:paraId="0DB492E4">
      <w:pPr>
        <w:pStyle w:val="3"/>
        <w:snapToGrid w:val="0"/>
        <w:spacing w:line="300" w:lineRule="auto"/>
        <w:ind w:left="0"/>
        <w:rPr>
          <w:rFonts w:ascii="Arial" w:hAnsi="Arial" w:eastAsia="宋体" w:cs="Arial"/>
          <w:lang w:eastAsia="zh-CN"/>
        </w:rPr>
      </w:pPr>
      <w:r>
        <w:rPr>
          <w:rFonts w:ascii="Arial" w:hAnsi="Arial" w:eastAsia="宋体" w:cs="Arial"/>
          <w:lang w:eastAsia="zh-CN"/>
        </w:rPr>
        <w:t>Robert F. Munzner, Ph.D.</w:t>
      </w:r>
      <w:r>
        <w:rPr>
          <w:rFonts w:hint="eastAsia" w:ascii="Arial" w:hAnsi="Arial" w:eastAsia="宋体" w:cs="Arial"/>
          <w:lang w:eastAsia="zh-CN"/>
        </w:rPr>
        <w:t>（</w:t>
      </w:r>
      <w:r>
        <w:rPr>
          <w:rFonts w:ascii="Arial" w:hAnsi="Arial" w:eastAsia="宋体" w:cs="Arial"/>
          <w:lang w:eastAsia="zh-CN"/>
        </w:rPr>
        <w:t>日期</w:t>
      </w:r>
      <w:r>
        <w:rPr>
          <w:rFonts w:hint="eastAsia" w:ascii="Arial" w:hAnsi="Arial" w:eastAsia="宋体" w:cs="Arial"/>
          <w:lang w:eastAsia="zh-CN"/>
        </w:rPr>
        <w:t>）</w:t>
      </w:r>
      <w:r>
        <w:rPr>
          <w:rFonts w:ascii="Arial" w:hAnsi="Arial" w:eastAsia="宋体" w:cs="Arial"/>
          <w:lang w:eastAsia="zh-CN"/>
        </w:rPr>
        <w:br w:type="textWrapping"/>
      </w:r>
      <w:r>
        <w:rPr>
          <w:rFonts w:ascii="Arial" w:hAnsi="Arial" w:eastAsia="宋体" w:cs="Arial"/>
          <w:lang w:eastAsia="zh-CN"/>
        </w:rPr>
        <w:t xml:space="preserve">执行秘书, </w:t>
      </w:r>
    </w:p>
    <w:p w14:paraId="7852F6CB">
      <w:pPr>
        <w:pStyle w:val="3"/>
        <w:snapToGrid w:val="0"/>
        <w:spacing w:line="300" w:lineRule="auto"/>
        <w:ind w:left="0"/>
        <w:rPr>
          <w:rFonts w:ascii="Arial" w:hAnsi="Arial" w:eastAsia="宋体" w:cs="Arial"/>
          <w:lang w:eastAsia="zh-CN"/>
        </w:rPr>
      </w:pPr>
      <w:r>
        <w:rPr>
          <w:rFonts w:ascii="Arial" w:hAnsi="Arial" w:eastAsia="宋体" w:cs="Arial"/>
          <w:lang w:eastAsia="zh-CN"/>
        </w:rPr>
        <w:t>神经学器械小组</w:t>
      </w:r>
    </w:p>
    <w:p w14:paraId="272FFC64">
      <w:pPr>
        <w:pStyle w:val="3"/>
        <w:snapToGrid w:val="0"/>
        <w:spacing w:line="300" w:lineRule="auto"/>
        <w:ind w:left="0"/>
        <w:jc w:val="both"/>
        <w:rPr>
          <w:rFonts w:ascii="Arial" w:hAnsi="Arial" w:eastAsia="宋体" w:cs="Arial"/>
          <w:lang w:eastAsia="zh-CN"/>
        </w:rPr>
        <w:sectPr>
          <w:pgSz w:w="12240" w:h="15840"/>
          <w:pgMar w:top="1100" w:right="1360" w:bottom="960" w:left="1320" w:header="0" w:footer="771" w:gutter="0"/>
          <w:cols w:space="720" w:num="1"/>
        </w:sectPr>
      </w:pPr>
    </w:p>
    <w:p w14:paraId="2D3B0441">
      <w:pPr>
        <w:pStyle w:val="2"/>
        <w:snapToGrid w:val="0"/>
        <w:spacing w:before="58" w:line="300" w:lineRule="auto"/>
        <w:ind w:left="0"/>
        <w:jc w:val="both"/>
        <w:rPr>
          <w:rFonts w:ascii="Arial" w:hAnsi="Arial" w:eastAsia="宋体" w:cs="Arial"/>
          <w:b w:val="0"/>
          <w:bCs w:val="0"/>
          <w:sz w:val="28"/>
          <w:szCs w:val="28"/>
          <w:lang w:eastAsia="zh-CN"/>
        </w:rPr>
      </w:pPr>
      <w:bookmarkStart w:id="0" w:name="_bookmark0"/>
      <w:bookmarkEnd w:id="0"/>
      <w:r>
        <w:rPr>
          <w:rFonts w:ascii="Arial" w:hAnsi="Arial" w:eastAsia="宋体" w:cs="Arial"/>
          <w:spacing w:val="-1"/>
          <w:sz w:val="28"/>
          <w:szCs w:val="28"/>
          <w:lang w:eastAsia="zh-CN"/>
        </w:rPr>
        <w:t xml:space="preserve">附件 </w:t>
      </w:r>
      <w:r>
        <w:rPr>
          <w:rFonts w:ascii="Arial" w:hAnsi="Arial" w:eastAsia="宋体" w:cs="Arial"/>
          <w:sz w:val="28"/>
          <w:szCs w:val="28"/>
          <w:lang w:eastAsia="zh-CN"/>
        </w:rPr>
        <w:t>A</w:t>
      </w:r>
    </w:p>
    <w:p w14:paraId="5ED95766">
      <w:pPr>
        <w:snapToGrid w:val="0"/>
        <w:spacing w:before="3" w:line="300" w:lineRule="auto"/>
        <w:jc w:val="both"/>
        <w:rPr>
          <w:rFonts w:ascii="Arial" w:hAnsi="Arial" w:eastAsia="宋体" w:cs="Arial"/>
          <w:b/>
          <w:bCs/>
          <w:sz w:val="28"/>
          <w:szCs w:val="28"/>
          <w:lang w:eastAsia="zh-CN"/>
        </w:rPr>
      </w:pPr>
    </w:p>
    <w:p w14:paraId="0BE8F2A6">
      <w:pPr>
        <w:snapToGrid w:val="0"/>
        <w:spacing w:line="300" w:lineRule="auto"/>
        <w:jc w:val="center"/>
        <w:rPr>
          <w:rFonts w:ascii="Arial" w:hAnsi="Arial" w:eastAsia="宋体" w:cs="Arial"/>
          <w:b/>
          <w:sz w:val="28"/>
          <w:szCs w:val="28"/>
          <w:lang w:eastAsia="zh-CN"/>
        </w:rPr>
      </w:pPr>
      <w:r>
        <w:rPr>
          <w:rFonts w:ascii="Arial" w:hAnsi="Arial" w:eastAsia="宋体" w:cs="Arial"/>
          <w:b/>
          <w:sz w:val="28"/>
          <w:szCs w:val="28"/>
          <w:lang w:eastAsia="zh-CN"/>
        </w:rPr>
        <w:t>在临床研究设计中对于缓解疼痛设备的一般考虑</w:t>
      </w:r>
    </w:p>
    <w:p w14:paraId="6D6A217A">
      <w:pPr>
        <w:snapToGrid w:val="0"/>
        <w:spacing w:before="2" w:line="300" w:lineRule="auto"/>
        <w:jc w:val="both"/>
        <w:rPr>
          <w:rFonts w:ascii="Arial" w:hAnsi="Arial" w:eastAsia="宋体" w:cs="Arial"/>
          <w:b/>
          <w:bCs/>
          <w:sz w:val="25"/>
          <w:szCs w:val="25"/>
          <w:lang w:eastAsia="zh-CN"/>
        </w:rPr>
      </w:pPr>
    </w:p>
    <w:p w14:paraId="0067EFF0">
      <w:pPr>
        <w:pStyle w:val="3"/>
        <w:snapToGrid w:val="0"/>
        <w:spacing w:line="300" w:lineRule="auto"/>
        <w:ind w:left="0"/>
        <w:jc w:val="both"/>
        <w:rPr>
          <w:rFonts w:ascii="Arial" w:hAnsi="Arial" w:eastAsia="宋体" w:cs="Arial"/>
          <w:lang w:eastAsia="zh-CN"/>
        </w:rPr>
      </w:pPr>
      <w:r>
        <w:rPr>
          <w:rFonts w:ascii="Arial" w:hAnsi="Arial" w:eastAsia="宋体" w:cs="Arial"/>
          <w:b/>
          <w:lang w:eastAsia="zh-CN"/>
        </w:rPr>
        <w:t>方案。</w:t>
      </w:r>
      <w:r>
        <w:rPr>
          <w:rFonts w:ascii="Arial" w:hAnsi="Arial" w:eastAsia="宋体" w:cs="Arial"/>
          <w:lang w:eastAsia="zh-CN"/>
        </w:rPr>
        <w:t>在研究开始之前，应制定研究方案，并且其应在整个研究中保持基本不变。该方案应明确规定并界定研究的总体目标，以及研究中涉及的主要问题和任何附属问题。研究的设计应明确说明研究人群、受试者入选程序、治疗干预、 随访访问时间表以及用于确定反应变量的方法。应说明研究的组织结构，包括预期</w:t>
      </w:r>
      <w:r>
        <w:rPr>
          <w:rFonts w:hint="eastAsia" w:ascii="Arial" w:hAnsi="Arial" w:eastAsia="宋体" w:cs="Arial"/>
          <w:lang w:eastAsia="zh-CN"/>
        </w:rPr>
        <w:t>中心</w:t>
      </w:r>
      <w:r>
        <w:rPr>
          <w:rFonts w:ascii="Arial" w:hAnsi="Arial" w:eastAsia="宋体" w:cs="Arial"/>
          <w:lang w:eastAsia="zh-CN"/>
        </w:rPr>
        <w:t>数量和用于数据监测的方法。</w:t>
      </w:r>
    </w:p>
    <w:p w14:paraId="4878034C">
      <w:pPr>
        <w:pStyle w:val="3"/>
        <w:snapToGrid w:val="0"/>
        <w:spacing w:before="124" w:line="300" w:lineRule="auto"/>
        <w:ind w:left="0"/>
        <w:jc w:val="both"/>
        <w:rPr>
          <w:rFonts w:ascii="Arial" w:hAnsi="Arial" w:eastAsia="宋体" w:cs="Arial"/>
          <w:lang w:eastAsia="zh-CN"/>
        </w:rPr>
      </w:pPr>
    </w:p>
    <w:p w14:paraId="2E93FF5B">
      <w:pPr>
        <w:pStyle w:val="3"/>
        <w:snapToGrid w:val="0"/>
        <w:spacing w:before="124" w:line="300" w:lineRule="auto"/>
        <w:ind w:left="0"/>
        <w:jc w:val="both"/>
        <w:rPr>
          <w:rFonts w:ascii="Arial" w:hAnsi="Arial" w:eastAsia="宋体" w:cs="Arial"/>
          <w:lang w:eastAsia="zh-CN"/>
        </w:rPr>
      </w:pPr>
      <w:r>
        <w:rPr>
          <w:rFonts w:ascii="Arial" w:hAnsi="Arial" w:eastAsia="宋体" w:cs="Arial"/>
          <w:b/>
          <w:lang w:eastAsia="zh-CN"/>
        </w:rPr>
        <w:t>研究人群。</w:t>
      </w:r>
      <w:r>
        <w:rPr>
          <w:rFonts w:ascii="Arial" w:hAnsi="Arial" w:eastAsia="宋体" w:cs="Arial"/>
          <w:lang w:eastAsia="zh-CN"/>
        </w:rPr>
        <w:t>研究人群应该提前界定，并提供明确的入选和排除标准，以便能够获得适当的同质人群。这对于证明医疗器械可有效治疗特定疾病或病症来说尤其重要。应选择研究人群，使疾病具有足够的严重程度，并使得存在通过标准治疗或研究器械证明改善的合理机会。</w:t>
      </w:r>
    </w:p>
    <w:p w14:paraId="0B30736B">
      <w:pPr>
        <w:pStyle w:val="3"/>
        <w:snapToGrid w:val="0"/>
        <w:spacing w:before="124" w:line="300" w:lineRule="auto"/>
        <w:ind w:left="0"/>
        <w:jc w:val="both"/>
        <w:rPr>
          <w:rFonts w:ascii="Arial" w:hAnsi="Arial" w:eastAsia="宋体" w:cs="Arial"/>
          <w:b/>
          <w:lang w:eastAsia="zh-CN"/>
        </w:rPr>
      </w:pPr>
    </w:p>
    <w:p w14:paraId="6CD6A803">
      <w:pPr>
        <w:pStyle w:val="3"/>
        <w:snapToGrid w:val="0"/>
        <w:spacing w:before="124" w:line="300" w:lineRule="auto"/>
        <w:ind w:left="0"/>
        <w:jc w:val="both"/>
        <w:rPr>
          <w:rFonts w:ascii="Arial" w:hAnsi="Arial" w:eastAsia="宋体" w:cs="Arial"/>
          <w:lang w:eastAsia="zh-CN"/>
        </w:rPr>
      </w:pPr>
      <w:r>
        <w:rPr>
          <w:rFonts w:ascii="Arial" w:hAnsi="Arial" w:eastAsia="宋体" w:cs="Arial"/>
          <w:b/>
          <w:lang w:eastAsia="zh-CN"/>
        </w:rPr>
        <w:t>评估方法。</w:t>
      </w:r>
      <w:r>
        <w:rPr>
          <w:rFonts w:ascii="Arial" w:hAnsi="Arial" w:eastAsia="宋体" w:cs="Arial"/>
          <w:lang w:eastAsia="zh-CN"/>
        </w:rPr>
        <w:t>必须针对所研究的特定患者人群确认用于监测患者疼痛的评估方法。应详细描述患者评估方案和数据收集程序。</w:t>
      </w:r>
    </w:p>
    <w:p w14:paraId="7CD1759E">
      <w:pPr>
        <w:pStyle w:val="3"/>
        <w:snapToGrid w:val="0"/>
        <w:spacing w:before="124" w:line="300" w:lineRule="auto"/>
        <w:ind w:left="0"/>
        <w:jc w:val="both"/>
        <w:rPr>
          <w:rFonts w:ascii="Arial" w:hAnsi="Arial" w:eastAsia="宋体" w:cs="Arial"/>
          <w:lang w:eastAsia="zh-CN"/>
        </w:rPr>
      </w:pPr>
    </w:p>
    <w:p w14:paraId="2D78E82B">
      <w:pPr>
        <w:pStyle w:val="3"/>
        <w:snapToGrid w:val="0"/>
        <w:spacing w:before="124" w:line="300" w:lineRule="auto"/>
        <w:ind w:left="0"/>
        <w:jc w:val="both"/>
        <w:rPr>
          <w:rFonts w:ascii="Arial" w:hAnsi="Arial" w:eastAsia="宋体" w:cs="Arial"/>
          <w:lang w:eastAsia="zh-CN"/>
        </w:rPr>
      </w:pPr>
      <w:r>
        <w:rPr>
          <w:rFonts w:ascii="Arial" w:hAnsi="Arial" w:eastAsia="宋体" w:cs="Arial"/>
          <w:b/>
          <w:lang w:eastAsia="zh-CN"/>
        </w:rPr>
        <w:t>样本量。</w:t>
      </w:r>
      <w:r>
        <w:rPr>
          <w:rFonts w:ascii="Arial" w:hAnsi="Arial" w:eastAsia="宋体" w:cs="Arial"/>
          <w:lang w:eastAsia="zh-CN"/>
        </w:rPr>
        <w:t>重要的是要在研究规划的早期阶段确定研究规模。该过程并不是一个孤立事件，而是依赖于基础研究设计。必须将用于确定结果及其临床意义的测量类型等因素纳入确定研究规模的过程中。研究者应该确定具有此类临床价值的最小差异，此类价值使得研究者极度想要检测到。因此，方案应该包括某一样本量的计算，该样本量足以提供正确分析数据的足够显著性和能力水平。</w:t>
      </w:r>
    </w:p>
    <w:p w14:paraId="76AF5F57">
      <w:pPr>
        <w:pStyle w:val="3"/>
        <w:snapToGrid w:val="0"/>
        <w:spacing w:line="300" w:lineRule="auto"/>
        <w:ind w:left="0"/>
        <w:jc w:val="both"/>
        <w:rPr>
          <w:rFonts w:ascii="Arial" w:hAnsi="Arial" w:eastAsia="宋体" w:cs="Arial"/>
          <w:lang w:eastAsia="zh-CN"/>
        </w:rPr>
      </w:pPr>
    </w:p>
    <w:p w14:paraId="7C13686C">
      <w:pPr>
        <w:pStyle w:val="3"/>
        <w:snapToGrid w:val="0"/>
        <w:spacing w:before="124" w:line="300" w:lineRule="auto"/>
        <w:ind w:left="0"/>
        <w:jc w:val="both"/>
        <w:rPr>
          <w:rFonts w:ascii="Arial" w:hAnsi="Arial" w:eastAsia="宋体" w:cs="Arial"/>
          <w:lang w:eastAsia="zh-CN"/>
        </w:rPr>
      </w:pPr>
      <w:r>
        <w:rPr>
          <w:rFonts w:ascii="Arial" w:hAnsi="Arial" w:eastAsia="宋体" w:cs="Arial"/>
          <w:b/>
          <w:lang w:eastAsia="zh-CN"/>
        </w:rPr>
        <w:t>随机化。</w:t>
      </w:r>
      <w:r>
        <w:rPr>
          <w:rFonts w:ascii="Arial" w:hAnsi="Arial" w:eastAsia="宋体" w:cs="Arial"/>
          <w:lang w:eastAsia="zh-CN"/>
        </w:rPr>
        <w:t>在分配治疗期间应随机分配患者。用于随机化过程的方法在结果确认方面很重要。随机化趋向于确保各组之间在已知和未知的风险因素方面的可比性，消除研究者在分配受试者中的偏倚，并保证统计试验具有有效意义。</w:t>
      </w:r>
    </w:p>
    <w:p w14:paraId="5239AFB0">
      <w:pPr>
        <w:pStyle w:val="3"/>
        <w:snapToGrid w:val="0"/>
        <w:spacing w:before="124" w:line="300" w:lineRule="auto"/>
        <w:ind w:left="0"/>
        <w:jc w:val="both"/>
        <w:rPr>
          <w:rFonts w:ascii="Arial" w:hAnsi="Arial" w:eastAsia="宋体" w:cs="Arial"/>
          <w:lang w:eastAsia="zh-CN"/>
        </w:rPr>
      </w:pPr>
    </w:p>
    <w:p w14:paraId="2053FC5D">
      <w:pPr>
        <w:pStyle w:val="3"/>
        <w:snapToGrid w:val="0"/>
        <w:spacing w:before="124" w:line="300" w:lineRule="auto"/>
        <w:ind w:left="0"/>
        <w:jc w:val="both"/>
        <w:rPr>
          <w:rFonts w:ascii="Arial" w:hAnsi="Arial" w:eastAsia="宋体" w:cs="Arial"/>
          <w:b/>
          <w:lang w:eastAsia="zh-CN"/>
        </w:rPr>
      </w:pPr>
      <w:r>
        <w:rPr>
          <w:rFonts w:ascii="Arial" w:hAnsi="Arial" w:eastAsia="宋体" w:cs="Arial"/>
          <w:b/>
          <w:lang w:eastAsia="zh-CN"/>
        </w:rPr>
        <w:t>安慰剂。</w:t>
      </w:r>
      <w:r>
        <w:rPr>
          <w:rFonts w:ascii="Arial" w:hAnsi="Arial" w:eastAsia="宋体" w:cs="Arial"/>
          <w:lang w:eastAsia="zh-CN"/>
        </w:rPr>
        <w:t>如果可以在伦理上将安慰剂用于研究中，则应该将其纳入。重要的是，应告知患者可能须接受安慰剂。如果目的在于观察新的干预措施与标准治疗是否比安慰剂与标准治疗更好或更差，使用安慰剂可提供一定帮助。使用安慰剂组时，应合理证明该组中人员并不了解其接受的治疗。研究者应该意识到安慰剂治疗有时与标准治疗一样有效。</w:t>
      </w:r>
    </w:p>
    <w:p w14:paraId="5A965A2D">
      <w:pPr>
        <w:pStyle w:val="3"/>
        <w:snapToGrid w:val="0"/>
        <w:spacing w:before="58" w:line="300" w:lineRule="auto"/>
        <w:ind w:left="0"/>
        <w:jc w:val="both"/>
        <w:rPr>
          <w:rFonts w:ascii="Arial" w:hAnsi="Arial" w:eastAsia="宋体" w:cs="Arial"/>
          <w:b/>
          <w:lang w:eastAsia="zh-CN"/>
        </w:rPr>
      </w:pPr>
    </w:p>
    <w:p w14:paraId="78CF9588">
      <w:pPr>
        <w:pStyle w:val="3"/>
        <w:snapToGrid w:val="0"/>
        <w:spacing w:before="58" w:line="300" w:lineRule="auto"/>
        <w:ind w:left="0"/>
        <w:jc w:val="both"/>
        <w:rPr>
          <w:rFonts w:ascii="Arial" w:hAnsi="Arial" w:eastAsia="宋体" w:cs="Arial"/>
          <w:lang w:eastAsia="zh-CN"/>
        </w:rPr>
      </w:pPr>
      <w:r>
        <w:rPr>
          <w:rFonts w:ascii="Arial" w:hAnsi="Arial" w:eastAsia="宋体" w:cs="Arial"/>
          <w:b/>
          <w:lang w:eastAsia="zh-CN"/>
        </w:rPr>
        <w:t>伴随治疗。</w:t>
      </w:r>
      <w:r>
        <w:rPr>
          <w:rFonts w:ascii="Arial" w:hAnsi="Arial" w:eastAsia="宋体" w:cs="Arial"/>
          <w:lang w:eastAsia="zh-CN"/>
        </w:rPr>
        <w:t>必须在研究设计的早期阶段考虑患者对伴随治疗的影响。必须尽一切努力确保不会因伴随治疗而将偏倚引入研究结果。伴随治疗可能有多种形式，并不一定局限于伴随药物治疗。例如，患者评价之前的各种物理治疗形式可能会影响患者结果。伴随治疗可能会影响反应变量。如果只有一部分治疗人群接受伴随治疗，则可能需要较大的样本量。当伴随治疗是研究中的一个问题时，接受伴随治疗的患者必须在研究组之间随机分配。</w:t>
      </w:r>
    </w:p>
    <w:p w14:paraId="692A160C">
      <w:pPr>
        <w:snapToGrid w:val="0"/>
        <w:spacing w:before="11" w:line="300" w:lineRule="auto"/>
        <w:jc w:val="both"/>
        <w:rPr>
          <w:rFonts w:ascii="Arial" w:hAnsi="Arial" w:eastAsia="宋体" w:cs="Arial"/>
          <w:sz w:val="24"/>
          <w:szCs w:val="24"/>
          <w:lang w:eastAsia="zh-CN"/>
        </w:rPr>
      </w:pPr>
    </w:p>
    <w:p w14:paraId="2EA8CEE5">
      <w:pPr>
        <w:pStyle w:val="3"/>
        <w:snapToGrid w:val="0"/>
        <w:spacing w:line="300" w:lineRule="auto"/>
        <w:ind w:left="0"/>
        <w:jc w:val="both"/>
        <w:rPr>
          <w:rFonts w:ascii="Arial" w:hAnsi="Arial" w:eastAsia="宋体" w:cs="Arial"/>
          <w:lang w:eastAsia="zh-CN"/>
        </w:rPr>
      </w:pPr>
      <w:r>
        <w:rPr>
          <w:rFonts w:ascii="Arial" w:hAnsi="Arial" w:eastAsia="宋体" w:cs="Arial"/>
          <w:b/>
          <w:lang w:eastAsia="zh-CN"/>
        </w:rPr>
        <w:t>设盲。</w:t>
      </w:r>
      <w:r>
        <w:rPr>
          <w:rFonts w:ascii="Arial" w:hAnsi="Arial" w:eastAsia="宋体" w:cs="Arial"/>
          <w:lang w:eastAsia="zh-CN"/>
        </w:rPr>
        <w:t>方案应包括确保不将偏倚引入研究结果的充分条例。在进行研究期间，系统性错误可能会在知情或不知情条件下引入到数据中。该错误将导致实际真实值与从收集数据获得的值之间存在差异。这种类型的错误通常通过除采样变异性之外的方式引入，且必须尽可能得到控制。因此，建议在研究设计中尽可能使用设盲。设盲方法（如果可能）必须仔细规划并界定，以确保保持设盲。</w:t>
      </w:r>
    </w:p>
    <w:p w14:paraId="7FFD4980">
      <w:pPr>
        <w:snapToGrid w:val="0"/>
        <w:spacing w:before="11" w:line="300" w:lineRule="auto"/>
        <w:jc w:val="both"/>
        <w:rPr>
          <w:rFonts w:ascii="Arial" w:hAnsi="Arial" w:eastAsia="宋体" w:cs="Arial"/>
          <w:sz w:val="24"/>
          <w:szCs w:val="24"/>
          <w:lang w:eastAsia="zh-CN"/>
        </w:rPr>
      </w:pPr>
    </w:p>
    <w:p w14:paraId="2FD46B97">
      <w:pPr>
        <w:pStyle w:val="3"/>
        <w:snapToGrid w:val="0"/>
        <w:spacing w:line="300" w:lineRule="auto"/>
        <w:ind w:left="0"/>
        <w:jc w:val="both"/>
        <w:rPr>
          <w:rFonts w:ascii="Arial" w:hAnsi="Arial" w:eastAsia="宋体" w:cs="Arial"/>
          <w:lang w:eastAsia="zh-CN"/>
        </w:rPr>
      </w:pPr>
      <w:r>
        <w:rPr>
          <w:rFonts w:ascii="Arial" w:hAnsi="Arial" w:eastAsia="宋体" w:cs="Arial"/>
          <w:b/>
          <w:lang w:eastAsia="zh-CN"/>
        </w:rPr>
        <w:t>随访。</w:t>
      </w:r>
      <w:r>
        <w:rPr>
          <w:rFonts w:ascii="Arial" w:hAnsi="Arial" w:eastAsia="宋体" w:cs="Arial"/>
          <w:lang w:eastAsia="zh-CN"/>
        </w:rPr>
        <w:t>在患者脱离治疗后，应将适当的随访期纳入研究设计。基础研究设计的许多方面将决定随访期的适当性。</w:t>
      </w:r>
    </w:p>
    <w:p w14:paraId="77CBEE38">
      <w:pPr>
        <w:snapToGrid w:val="0"/>
        <w:spacing w:before="11" w:line="300" w:lineRule="auto"/>
        <w:jc w:val="both"/>
        <w:rPr>
          <w:rFonts w:ascii="Arial" w:hAnsi="Arial" w:eastAsia="宋体" w:cs="Arial"/>
          <w:sz w:val="24"/>
          <w:szCs w:val="24"/>
          <w:lang w:eastAsia="zh-CN"/>
        </w:rPr>
      </w:pPr>
    </w:p>
    <w:p w14:paraId="234F8C7E">
      <w:pPr>
        <w:pStyle w:val="3"/>
        <w:snapToGrid w:val="0"/>
        <w:spacing w:line="300" w:lineRule="auto"/>
        <w:ind w:left="0"/>
        <w:jc w:val="both"/>
        <w:rPr>
          <w:rFonts w:ascii="Arial" w:hAnsi="Arial" w:eastAsia="宋体" w:cs="Arial"/>
          <w:lang w:eastAsia="zh-CN"/>
        </w:rPr>
      </w:pPr>
      <w:r>
        <w:rPr>
          <w:rFonts w:ascii="Arial" w:hAnsi="Arial" w:eastAsia="宋体" w:cs="Arial"/>
          <w:b/>
          <w:lang w:eastAsia="zh-CN"/>
        </w:rPr>
        <w:t>多</w:t>
      </w:r>
      <w:r>
        <w:rPr>
          <w:rFonts w:hint="eastAsia" w:ascii="Arial" w:hAnsi="Arial" w:eastAsia="宋体" w:cs="Arial"/>
          <w:b/>
          <w:lang w:eastAsia="zh-CN"/>
        </w:rPr>
        <w:t>中心</w:t>
      </w:r>
      <w:r>
        <w:rPr>
          <w:rFonts w:ascii="Arial" w:hAnsi="Arial" w:eastAsia="宋体" w:cs="Arial"/>
          <w:b/>
          <w:lang w:eastAsia="zh-CN"/>
        </w:rPr>
        <w:t>试验。</w:t>
      </w:r>
      <w:r>
        <w:rPr>
          <w:rFonts w:ascii="Arial" w:hAnsi="Arial" w:eastAsia="宋体" w:cs="Arial"/>
          <w:lang w:eastAsia="zh-CN"/>
        </w:rPr>
        <w:t>一般来说，应进行多</w:t>
      </w:r>
      <w:r>
        <w:rPr>
          <w:rFonts w:hint="eastAsia" w:ascii="Arial" w:hAnsi="Arial" w:eastAsia="宋体" w:cs="Arial"/>
          <w:lang w:eastAsia="zh-CN"/>
        </w:rPr>
        <w:t>中心</w:t>
      </w:r>
      <w:r>
        <w:rPr>
          <w:rFonts w:ascii="Arial" w:hAnsi="Arial" w:eastAsia="宋体" w:cs="Arial"/>
          <w:lang w:eastAsia="zh-CN"/>
        </w:rPr>
        <w:t>研究。对于没有对器械通过产生效果的机制确定生理基础的器械研究，且因此临床试验为评估治疗的安全性和有效性提供唯一依据，必须进行确认所报告结果的独立研究。</w:t>
      </w:r>
    </w:p>
    <w:p w14:paraId="66E1349E">
      <w:pPr>
        <w:snapToGrid w:val="0"/>
        <w:spacing w:before="11" w:line="300" w:lineRule="auto"/>
        <w:jc w:val="both"/>
        <w:rPr>
          <w:rFonts w:ascii="Arial" w:hAnsi="Arial" w:eastAsia="宋体" w:cs="Arial"/>
          <w:sz w:val="24"/>
          <w:szCs w:val="24"/>
          <w:lang w:eastAsia="zh-CN"/>
        </w:rPr>
      </w:pPr>
    </w:p>
    <w:p w14:paraId="5076B408">
      <w:pPr>
        <w:pStyle w:val="3"/>
        <w:snapToGrid w:val="0"/>
        <w:spacing w:line="300" w:lineRule="auto"/>
        <w:ind w:left="0"/>
        <w:jc w:val="both"/>
        <w:rPr>
          <w:rFonts w:ascii="Arial" w:hAnsi="Arial" w:eastAsia="宋体" w:cs="Arial"/>
          <w:lang w:eastAsia="zh-CN"/>
        </w:rPr>
      </w:pPr>
      <w:r>
        <w:rPr>
          <w:rFonts w:hint="eastAsia" w:ascii="Arial" w:hAnsi="Arial" w:eastAsia="宋体" w:cs="Arial"/>
          <w:b/>
          <w:lang w:eastAsia="zh-CN"/>
        </w:rPr>
        <w:t>亚组分析</w:t>
      </w:r>
      <w:r>
        <w:rPr>
          <w:rFonts w:ascii="Arial" w:hAnsi="Arial" w:eastAsia="宋体" w:cs="Arial"/>
          <w:lang w:eastAsia="zh-CN"/>
        </w:rPr>
        <w:t>是许多研究的一个重要方面。进行亚组分析时，研究者应在研究开始之前确定要使用的统计学技术以及要分析的亚组，以避免在研究结果的后续分析中引入偏倚。研究者可能会基于对数据的事后分析根据治疗结果对患者人群进行分组。这种类型的分析可能由数据本身提出。因此，许多比较在理论上是可行的；然而，有关所得数据或数据疏浚（有时这么称）显著性的试验最好留在生成未来研究假设的领域中。</w:t>
      </w:r>
    </w:p>
    <w:p w14:paraId="3E1422C7">
      <w:pPr>
        <w:snapToGrid w:val="0"/>
        <w:spacing w:line="300" w:lineRule="auto"/>
        <w:jc w:val="both"/>
        <w:rPr>
          <w:rFonts w:ascii="Arial" w:hAnsi="Arial" w:eastAsia="宋体" w:cs="Arial"/>
          <w:sz w:val="24"/>
          <w:szCs w:val="24"/>
          <w:lang w:eastAsia="zh-CN"/>
        </w:rPr>
      </w:pPr>
    </w:p>
    <w:p w14:paraId="69A6DB40">
      <w:pPr>
        <w:snapToGrid w:val="0"/>
        <w:spacing w:before="7" w:line="300" w:lineRule="auto"/>
        <w:jc w:val="both"/>
        <w:rPr>
          <w:rFonts w:ascii="Arial" w:hAnsi="Arial" w:eastAsia="宋体" w:cs="Arial"/>
          <w:sz w:val="25"/>
          <w:szCs w:val="25"/>
          <w:lang w:eastAsia="zh-CN"/>
        </w:rPr>
      </w:pPr>
    </w:p>
    <w:p w14:paraId="7B7A1B1F">
      <w:pPr>
        <w:pStyle w:val="2"/>
        <w:snapToGrid w:val="0"/>
        <w:spacing w:line="300" w:lineRule="auto"/>
        <w:ind w:left="0"/>
        <w:jc w:val="both"/>
        <w:rPr>
          <w:rFonts w:ascii="Arial" w:hAnsi="Arial" w:eastAsia="宋体" w:cs="Arial"/>
          <w:b w:val="0"/>
          <w:bCs w:val="0"/>
          <w:lang w:eastAsia="zh-CN"/>
        </w:rPr>
      </w:pPr>
      <w:r>
        <w:rPr>
          <w:rFonts w:ascii="Arial" w:hAnsi="Arial" w:eastAsia="宋体" w:cs="Arial"/>
          <w:lang w:eastAsia="zh-CN"/>
        </w:rPr>
        <w:t>参考文件</w:t>
      </w:r>
    </w:p>
    <w:p w14:paraId="690550CD">
      <w:pPr>
        <w:pStyle w:val="10"/>
        <w:numPr>
          <w:ilvl w:val="0"/>
          <w:numId w:val="5"/>
        </w:numPr>
        <w:tabs>
          <w:tab w:val="left" w:pos="821"/>
        </w:tabs>
        <w:snapToGrid w:val="0"/>
        <w:spacing w:before="15" w:line="300" w:lineRule="auto"/>
        <w:ind w:left="446" w:hanging="446" w:hangingChars="186"/>
        <w:jc w:val="both"/>
        <w:rPr>
          <w:rFonts w:ascii="Arial" w:hAnsi="Arial" w:eastAsia="宋体" w:cs="Arial"/>
          <w:sz w:val="24"/>
          <w:szCs w:val="24"/>
        </w:rPr>
      </w:pPr>
      <w:r>
        <w:rPr>
          <w:rFonts w:ascii="Arial" w:hAnsi="Arial" w:eastAsia="宋体" w:cs="Arial"/>
          <w:sz w:val="24"/>
        </w:rPr>
        <w:t xml:space="preserve">Friedman, L.M., Furberg, C.D., </w:t>
      </w:r>
      <w:r>
        <w:rPr>
          <w:rFonts w:ascii="Arial" w:hAnsi="Arial" w:eastAsia="宋体" w:cs="Arial"/>
          <w:sz w:val="24"/>
          <w:lang w:eastAsia="zh-CN"/>
        </w:rPr>
        <w:t>和</w:t>
      </w:r>
      <w:r>
        <w:rPr>
          <w:rFonts w:ascii="Arial" w:hAnsi="Arial" w:eastAsia="宋体" w:cs="Arial"/>
          <w:sz w:val="24"/>
        </w:rPr>
        <w:t xml:space="preserve">DeMets, D.L.: </w:t>
      </w:r>
      <w:r>
        <w:rPr>
          <w:rFonts w:ascii="Arial" w:hAnsi="Arial" w:eastAsia="宋体" w:cs="Arial"/>
          <w:sz w:val="24"/>
          <w:u w:val="single" w:color="000000"/>
          <w:lang w:eastAsia="zh-CN"/>
        </w:rPr>
        <w:t>临床试验的基础</w:t>
      </w:r>
      <w:r>
        <w:rPr>
          <w:rFonts w:ascii="Arial" w:hAnsi="Arial" w:eastAsia="宋体" w:cs="Arial"/>
          <w:sz w:val="24"/>
        </w:rPr>
        <w:t>.</w:t>
      </w:r>
      <w:r>
        <w:rPr>
          <w:rFonts w:ascii="Arial" w:hAnsi="Arial" w:eastAsia="宋体" w:cs="Arial"/>
          <w:spacing w:val="-9"/>
          <w:sz w:val="24"/>
        </w:rPr>
        <w:t xml:space="preserve"> </w:t>
      </w:r>
      <w:r>
        <w:rPr>
          <w:rFonts w:ascii="Arial" w:hAnsi="Arial" w:eastAsia="宋体" w:cs="Arial"/>
          <w:sz w:val="24"/>
          <w:lang w:eastAsia="zh-CN"/>
        </w:rPr>
        <w:t>第2版</w:t>
      </w:r>
      <w:r>
        <w:rPr>
          <w:rFonts w:ascii="Arial" w:hAnsi="Arial" w:eastAsia="宋体" w:cs="Arial"/>
          <w:sz w:val="24"/>
        </w:rPr>
        <w:t>.,</w:t>
      </w:r>
      <w:r>
        <w:rPr>
          <w:rFonts w:ascii="Arial" w:hAnsi="Arial" w:eastAsia="宋体" w:cs="Arial"/>
          <w:spacing w:val="-9"/>
          <w:sz w:val="24"/>
        </w:rPr>
        <w:t xml:space="preserve"> </w:t>
      </w:r>
      <w:r>
        <w:rPr>
          <w:rFonts w:ascii="Arial" w:hAnsi="Arial" w:eastAsia="宋体" w:cs="Arial"/>
          <w:sz w:val="24"/>
        </w:rPr>
        <w:t>PSG</w:t>
      </w:r>
      <w:r>
        <w:rPr>
          <w:rFonts w:ascii="Arial" w:hAnsi="Arial" w:eastAsia="宋体" w:cs="Arial"/>
          <w:spacing w:val="-9"/>
          <w:sz w:val="24"/>
        </w:rPr>
        <w:t xml:space="preserve"> </w:t>
      </w:r>
      <w:r>
        <w:rPr>
          <w:rFonts w:ascii="Arial" w:hAnsi="Arial" w:eastAsia="宋体" w:cs="Arial"/>
          <w:sz w:val="24"/>
        </w:rPr>
        <w:t>Publishing</w:t>
      </w:r>
      <w:r>
        <w:rPr>
          <w:rFonts w:ascii="Arial" w:hAnsi="Arial" w:eastAsia="宋体" w:cs="Arial"/>
          <w:spacing w:val="-9"/>
          <w:sz w:val="24"/>
        </w:rPr>
        <w:t xml:space="preserve"> </w:t>
      </w:r>
      <w:r>
        <w:rPr>
          <w:rFonts w:ascii="Arial" w:hAnsi="Arial" w:eastAsia="宋体" w:cs="Arial"/>
          <w:sz w:val="24"/>
        </w:rPr>
        <w:t>Company,</w:t>
      </w:r>
      <w:r>
        <w:rPr>
          <w:rFonts w:ascii="Arial" w:hAnsi="Arial" w:eastAsia="宋体" w:cs="Arial"/>
          <w:spacing w:val="-9"/>
          <w:sz w:val="24"/>
        </w:rPr>
        <w:t xml:space="preserve"> </w:t>
      </w:r>
      <w:r>
        <w:rPr>
          <w:rFonts w:ascii="Arial" w:hAnsi="Arial" w:eastAsia="宋体" w:cs="Arial"/>
          <w:sz w:val="24"/>
        </w:rPr>
        <w:t>Inc.,</w:t>
      </w:r>
      <w:r>
        <w:rPr>
          <w:rFonts w:ascii="Arial" w:hAnsi="Arial" w:eastAsia="宋体" w:cs="Arial"/>
          <w:spacing w:val="-9"/>
          <w:sz w:val="24"/>
        </w:rPr>
        <w:t xml:space="preserve"> </w:t>
      </w:r>
      <w:r>
        <w:rPr>
          <w:rFonts w:ascii="Arial" w:hAnsi="Arial" w:eastAsia="宋体" w:cs="Arial"/>
          <w:sz w:val="24"/>
        </w:rPr>
        <w:t>Littleton,</w:t>
      </w:r>
      <w:r>
        <w:rPr>
          <w:rFonts w:ascii="Arial" w:hAnsi="Arial" w:eastAsia="宋体" w:cs="Arial"/>
          <w:spacing w:val="-9"/>
          <w:sz w:val="24"/>
        </w:rPr>
        <w:t xml:space="preserve"> </w:t>
      </w:r>
      <w:r>
        <w:rPr>
          <w:rFonts w:ascii="Arial" w:hAnsi="Arial" w:eastAsia="宋体" w:cs="Arial"/>
          <w:sz w:val="24"/>
        </w:rPr>
        <w:t>Massachusetts,</w:t>
      </w:r>
      <w:r>
        <w:rPr>
          <w:rFonts w:ascii="Arial" w:hAnsi="Arial" w:eastAsia="宋体" w:cs="Arial"/>
          <w:spacing w:val="-9"/>
          <w:sz w:val="24"/>
        </w:rPr>
        <w:t xml:space="preserve"> </w:t>
      </w:r>
      <w:r>
        <w:rPr>
          <w:rFonts w:ascii="Arial" w:hAnsi="Arial" w:eastAsia="宋体" w:cs="Arial"/>
          <w:sz w:val="24"/>
        </w:rPr>
        <w:t>1985.</w:t>
      </w:r>
    </w:p>
    <w:p w14:paraId="52FAB501">
      <w:pPr>
        <w:snapToGrid w:val="0"/>
        <w:spacing w:before="10" w:line="300" w:lineRule="auto"/>
        <w:ind w:left="446" w:hanging="446" w:hangingChars="186"/>
        <w:jc w:val="both"/>
        <w:rPr>
          <w:rFonts w:ascii="Arial" w:hAnsi="Arial" w:eastAsia="宋体" w:cs="Arial"/>
          <w:sz w:val="24"/>
          <w:szCs w:val="24"/>
        </w:rPr>
      </w:pPr>
    </w:p>
    <w:p w14:paraId="2DA42A13">
      <w:pPr>
        <w:pStyle w:val="10"/>
        <w:numPr>
          <w:ilvl w:val="0"/>
          <w:numId w:val="5"/>
        </w:numPr>
        <w:tabs>
          <w:tab w:val="left" w:pos="821"/>
        </w:tabs>
        <w:snapToGrid w:val="0"/>
        <w:spacing w:line="300" w:lineRule="auto"/>
        <w:ind w:left="446" w:hanging="446" w:hangingChars="186"/>
        <w:jc w:val="both"/>
        <w:rPr>
          <w:rFonts w:ascii="Arial" w:hAnsi="Arial" w:eastAsia="宋体" w:cs="Arial"/>
          <w:sz w:val="24"/>
          <w:szCs w:val="24"/>
        </w:rPr>
      </w:pPr>
      <w:r>
        <w:rPr>
          <w:rFonts w:ascii="Arial" w:hAnsi="Arial" w:eastAsia="宋体" w:cs="Arial"/>
          <w:sz w:val="24"/>
        </w:rPr>
        <w:t xml:space="preserve">Pocock, S.J.: </w:t>
      </w:r>
      <w:r>
        <w:rPr>
          <w:rFonts w:ascii="Arial" w:hAnsi="Arial" w:eastAsia="宋体" w:cs="Arial"/>
          <w:sz w:val="24"/>
          <w:u w:val="single" w:color="000000"/>
          <w:lang w:eastAsia="zh-CN"/>
        </w:rPr>
        <w:t>临床试验</w:t>
      </w:r>
      <w:r>
        <w:rPr>
          <w:rFonts w:ascii="Arial" w:hAnsi="Arial" w:eastAsia="宋体" w:cs="Arial"/>
          <w:sz w:val="24"/>
        </w:rPr>
        <w:t>. John Wiley &amp; Sons, New York, 1983.</w:t>
      </w:r>
    </w:p>
    <w:p w14:paraId="17622DED">
      <w:pPr>
        <w:snapToGrid w:val="0"/>
        <w:spacing w:before="3" w:line="300" w:lineRule="auto"/>
        <w:ind w:left="353" w:hanging="353" w:hangingChars="186"/>
        <w:jc w:val="both"/>
        <w:rPr>
          <w:rFonts w:ascii="Arial" w:hAnsi="Arial" w:eastAsia="宋体" w:cs="Arial"/>
          <w:sz w:val="19"/>
          <w:szCs w:val="19"/>
        </w:rPr>
      </w:pPr>
    </w:p>
    <w:p w14:paraId="3B9BB418">
      <w:pPr>
        <w:pStyle w:val="10"/>
        <w:numPr>
          <w:ilvl w:val="0"/>
          <w:numId w:val="5"/>
        </w:numPr>
        <w:tabs>
          <w:tab w:val="left" w:pos="821"/>
        </w:tabs>
        <w:snapToGrid w:val="0"/>
        <w:spacing w:before="69" w:line="300" w:lineRule="auto"/>
        <w:ind w:left="446" w:hanging="446" w:hangingChars="186"/>
        <w:jc w:val="both"/>
        <w:rPr>
          <w:rFonts w:ascii="Arial" w:hAnsi="Arial" w:eastAsia="宋体" w:cs="Arial"/>
          <w:sz w:val="24"/>
          <w:szCs w:val="24"/>
        </w:rPr>
      </w:pPr>
      <w:r>
        <w:rPr>
          <w:rFonts w:ascii="Arial" w:hAnsi="Arial" w:eastAsia="宋体" w:cs="Arial"/>
          <w:sz w:val="24"/>
        </w:rPr>
        <w:t xml:space="preserve">Melzack, R.: </w:t>
      </w:r>
      <w:r>
        <w:rPr>
          <w:rFonts w:ascii="Arial" w:hAnsi="Arial" w:eastAsia="宋体" w:cs="Arial"/>
          <w:sz w:val="24"/>
          <w:u w:val="single" w:color="000000"/>
          <w:lang w:eastAsia="zh-CN"/>
        </w:rPr>
        <w:t>疼痛衡量和评定</w:t>
      </w:r>
      <w:r>
        <w:rPr>
          <w:rFonts w:ascii="Arial" w:hAnsi="Arial" w:eastAsia="宋体" w:cs="Arial"/>
          <w:sz w:val="24"/>
        </w:rPr>
        <w:t>. Raven Press, New York,</w:t>
      </w:r>
      <w:r>
        <w:rPr>
          <w:rFonts w:ascii="Arial" w:hAnsi="Arial" w:eastAsia="宋体" w:cs="Arial"/>
          <w:spacing w:val="56"/>
          <w:sz w:val="24"/>
        </w:rPr>
        <w:t xml:space="preserve"> </w:t>
      </w:r>
      <w:r>
        <w:rPr>
          <w:rFonts w:ascii="Arial" w:hAnsi="Arial" w:eastAsia="宋体" w:cs="Arial"/>
          <w:sz w:val="24"/>
        </w:rPr>
        <w:t>1983.</w:t>
      </w:r>
    </w:p>
    <w:p w14:paraId="4BDB5039">
      <w:pPr>
        <w:snapToGrid w:val="0"/>
        <w:spacing w:line="300" w:lineRule="auto"/>
        <w:jc w:val="both"/>
        <w:rPr>
          <w:rFonts w:ascii="Arial" w:hAnsi="Arial" w:eastAsia="宋体" w:cs="Arial"/>
          <w:sz w:val="24"/>
          <w:szCs w:val="24"/>
        </w:rPr>
        <w:sectPr>
          <w:pgSz w:w="12240" w:h="15840"/>
          <w:pgMar w:top="1100" w:right="1360" w:bottom="960" w:left="1340" w:header="0" w:footer="771" w:gutter="0"/>
          <w:cols w:space="720" w:num="1"/>
        </w:sectPr>
      </w:pPr>
    </w:p>
    <w:p w14:paraId="69F82EA5">
      <w:pPr>
        <w:pStyle w:val="2"/>
        <w:snapToGrid w:val="0"/>
        <w:spacing w:before="58" w:line="300" w:lineRule="auto"/>
        <w:ind w:left="0"/>
        <w:jc w:val="both"/>
        <w:rPr>
          <w:rFonts w:ascii="Arial" w:hAnsi="Arial" w:eastAsia="宋体" w:cs="Arial"/>
          <w:b w:val="0"/>
          <w:bCs w:val="0"/>
          <w:sz w:val="28"/>
          <w:szCs w:val="28"/>
          <w:lang w:eastAsia="zh-CN"/>
        </w:rPr>
      </w:pPr>
      <w:bookmarkStart w:id="1" w:name="_bookmark1"/>
      <w:bookmarkEnd w:id="1"/>
      <w:r>
        <w:rPr>
          <w:rFonts w:ascii="Arial" w:hAnsi="Arial" w:eastAsia="宋体" w:cs="Arial"/>
          <w:spacing w:val="-1"/>
          <w:sz w:val="28"/>
          <w:szCs w:val="28"/>
          <w:lang w:eastAsia="zh-CN"/>
        </w:rPr>
        <w:t xml:space="preserve">附件 </w:t>
      </w:r>
      <w:r>
        <w:rPr>
          <w:rFonts w:ascii="Arial" w:hAnsi="Arial" w:eastAsia="宋体" w:cs="Arial"/>
          <w:sz w:val="28"/>
          <w:szCs w:val="28"/>
          <w:lang w:eastAsia="zh-CN"/>
        </w:rPr>
        <w:t>B</w:t>
      </w:r>
    </w:p>
    <w:p w14:paraId="36D9A2B2">
      <w:pPr>
        <w:snapToGrid w:val="0"/>
        <w:spacing w:before="3" w:line="300" w:lineRule="auto"/>
        <w:jc w:val="both"/>
        <w:rPr>
          <w:rFonts w:ascii="Arial" w:hAnsi="Arial" w:eastAsia="宋体" w:cs="Arial"/>
          <w:b/>
          <w:bCs/>
          <w:sz w:val="28"/>
          <w:szCs w:val="28"/>
          <w:lang w:eastAsia="zh-CN"/>
        </w:rPr>
      </w:pPr>
    </w:p>
    <w:p w14:paraId="0D6286DC">
      <w:pPr>
        <w:snapToGrid w:val="0"/>
        <w:spacing w:line="300" w:lineRule="auto"/>
        <w:jc w:val="center"/>
        <w:rPr>
          <w:rFonts w:ascii="Arial" w:hAnsi="Arial" w:eastAsia="宋体" w:cs="Arial"/>
          <w:sz w:val="28"/>
          <w:szCs w:val="28"/>
          <w:lang w:eastAsia="zh-CN"/>
        </w:rPr>
      </w:pPr>
      <w:r>
        <w:rPr>
          <w:rFonts w:ascii="Arial" w:hAnsi="Arial" w:eastAsia="宋体" w:cs="Arial"/>
          <w:b/>
          <w:sz w:val="28"/>
          <w:szCs w:val="28"/>
          <w:lang w:eastAsia="zh-CN"/>
        </w:rPr>
        <w:t>在临床研究设计中对于缓解疼痛设备的考虑</w:t>
      </w:r>
    </w:p>
    <w:p w14:paraId="6CCA0BB4">
      <w:pPr>
        <w:snapToGrid w:val="0"/>
        <w:spacing w:before="6" w:line="300" w:lineRule="auto"/>
        <w:jc w:val="both"/>
        <w:rPr>
          <w:rFonts w:ascii="Arial" w:hAnsi="Arial" w:eastAsia="宋体" w:cs="Arial"/>
          <w:b/>
          <w:bCs/>
          <w:sz w:val="24"/>
          <w:szCs w:val="24"/>
          <w:lang w:eastAsia="zh-CN"/>
        </w:rPr>
      </w:pPr>
    </w:p>
    <w:p w14:paraId="41958A52">
      <w:pPr>
        <w:snapToGrid w:val="0"/>
        <w:spacing w:line="300" w:lineRule="auto"/>
        <w:jc w:val="both"/>
        <w:rPr>
          <w:rFonts w:ascii="Arial" w:hAnsi="Arial" w:eastAsia="宋体" w:cs="Arial"/>
          <w:sz w:val="24"/>
          <w:szCs w:val="24"/>
        </w:rPr>
      </w:pPr>
      <w:r>
        <w:rPr>
          <w:rFonts w:ascii="Arial" w:hAnsi="Arial" w:eastAsia="宋体" w:cs="Arial"/>
          <w:sz w:val="24"/>
          <w:szCs w:val="24"/>
          <w:lang w:eastAsia="zh-CN"/>
        </w:rPr>
        <w:t>讨论要点</w:t>
      </w:r>
    </w:p>
    <w:p w14:paraId="60777C1A">
      <w:pPr>
        <w:snapToGrid w:val="0"/>
        <w:spacing w:before="10" w:line="300" w:lineRule="auto"/>
        <w:jc w:val="both"/>
        <w:rPr>
          <w:rFonts w:ascii="Arial" w:hAnsi="Arial" w:eastAsia="宋体" w:cs="Arial"/>
          <w:b/>
          <w:bCs/>
          <w:sz w:val="24"/>
          <w:szCs w:val="24"/>
        </w:rPr>
      </w:pPr>
    </w:p>
    <w:p w14:paraId="6A17C2CD">
      <w:pPr>
        <w:pStyle w:val="10"/>
        <w:numPr>
          <w:ilvl w:val="0"/>
          <w:numId w:val="6"/>
        </w:numPr>
        <w:tabs>
          <w:tab w:val="left" w:pos="821"/>
        </w:tabs>
        <w:snapToGrid w:val="0"/>
        <w:spacing w:line="300" w:lineRule="auto"/>
        <w:ind w:left="475" w:hanging="475" w:hangingChars="198"/>
        <w:jc w:val="both"/>
        <w:rPr>
          <w:rFonts w:ascii="Arial" w:hAnsi="Arial" w:eastAsia="宋体" w:cs="Arial"/>
          <w:sz w:val="24"/>
          <w:szCs w:val="24"/>
          <w:lang w:eastAsia="zh-CN"/>
        </w:rPr>
      </w:pPr>
      <w:r>
        <w:rPr>
          <w:rFonts w:ascii="Arial" w:hAnsi="Arial" w:eastAsia="宋体" w:cs="Arial"/>
          <w:sz w:val="24"/>
          <w:szCs w:val="24"/>
          <w:lang w:eastAsia="zh-CN"/>
        </w:rPr>
        <w:t>尽管疼痛具有临床意义，但已证明疼痛难以衡量。因此，其只是某些病理类型的严重程度的近似指标以及治疗有效性的不精确指标。已经开发了许多方法来试图对这一重要症状进行一些定量，其中一些依赖于与疼痛相关的直接可观察病症（即可能与潜在病理相关的客观测量），其他则试图衡量患者对疼痛本身的感知，如视觉模拟量表、数字评分量表、盒子量表、口头评分量表以及更全面的麦吉尔疼痛问卷。</w:t>
      </w:r>
    </w:p>
    <w:p w14:paraId="45321C2E">
      <w:pPr>
        <w:pStyle w:val="10"/>
        <w:tabs>
          <w:tab w:val="left" w:pos="1542"/>
        </w:tabs>
        <w:snapToGrid w:val="0"/>
        <w:spacing w:line="300" w:lineRule="auto"/>
        <w:jc w:val="both"/>
        <w:rPr>
          <w:rFonts w:ascii="Arial" w:hAnsi="Arial" w:eastAsia="宋体" w:cs="Arial"/>
          <w:sz w:val="24"/>
          <w:szCs w:val="24"/>
          <w:lang w:eastAsia="zh-CN"/>
        </w:rPr>
      </w:pPr>
    </w:p>
    <w:p w14:paraId="7E2295B7">
      <w:pPr>
        <w:pStyle w:val="10"/>
        <w:numPr>
          <w:ilvl w:val="1"/>
          <w:numId w:val="6"/>
        </w:numPr>
        <w:tabs>
          <w:tab w:val="left" w:pos="1050"/>
        </w:tabs>
        <w:snapToGrid w:val="0"/>
        <w:spacing w:line="300" w:lineRule="auto"/>
        <w:ind w:left="0" w:firstLine="489" w:firstLineChars="204"/>
        <w:jc w:val="both"/>
        <w:rPr>
          <w:rFonts w:ascii="Arial" w:hAnsi="Arial" w:eastAsia="宋体" w:cs="Arial"/>
          <w:sz w:val="24"/>
          <w:lang w:eastAsia="zh-CN"/>
        </w:rPr>
      </w:pPr>
      <w:r>
        <w:rPr>
          <w:rFonts w:ascii="Arial" w:hAnsi="Arial" w:eastAsia="宋体" w:cs="Arial"/>
          <w:sz w:val="24"/>
          <w:lang w:eastAsia="zh-CN"/>
        </w:rPr>
        <w:t>在你看来，什么可良好衡量疼痛？</w:t>
      </w:r>
    </w:p>
    <w:p w14:paraId="39FDD699">
      <w:pPr>
        <w:pStyle w:val="10"/>
        <w:tabs>
          <w:tab w:val="left" w:pos="1050"/>
        </w:tabs>
        <w:snapToGrid w:val="0"/>
        <w:spacing w:line="300" w:lineRule="auto"/>
        <w:ind w:firstLine="489" w:firstLineChars="204"/>
        <w:jc w:val="both"/>
        <w:rPr>
          <w:rFonts w:ascii="Arial" w:hAnsi="Arial" w:eastAsia="宋体" w:cs="Arial"/>
          <w:sz w:val="24"/>
          <w:lang w:eastAsia="zh-CN"/>
        </w:rPr>
      </w:pPr>
    </w:p>
    <w:p w14:paraId="264A2E86">
      <w:pPr>
        <w:pStyle w:val="10"/>
        <w:numPr>
          <w:ilvl w:val="1"/>
          <w:numId w:val="6"/>
        </w:numPr>
        <w:tabs>
          <w:tab w:val="left" w:pos="1050"/>
        </w:tabs>
        <w:snapToGrid w:val="0"/>
        <w:spacing w:line="300" w:lineRule="auto"/>
        <w:ind w:left="0" w:firstLine="489" w:firstLineChars="204"/>
        <w:jc w:val="both"/>
        <w:rPr>
          <w:rFonts w:ascii="Arial" w:hAnsi="Arial" w:eastAsia="宋体" w:cs="Arial"/>
          <w:sz w:val="24"/>
          <w:lang w:eastAsia="zh-CN"/>
        </w:rPr>
      </w:pPr>
      <w:r>
        <w:rPr>
          <w:rFonts w:ascii="Arial" w:hAnsi="Arial" w:eastAsia="宋体" w:cs="Arial"/>
          <w:sz w:val="24"/>
          <w:lang w:eastAsia="zh-CN"/>
        </w:rPr>
        <w:t>在何种情况下应使用多种评估？</w:t>
      </w:r>
    </w:p>
    <w:p w14:paraId="7DF90522">
      <w:pPr>
        <w:pStyle w:val="10"/>
        <w:tabs>
          <w:tab w:val="left" w:pos="1050"/>
        </w:tabs>
        <w:snapToGrid w:val="0"/>
        <w:spacing w:line="300" w:lineRule="auto"/>
        <w:ind w:firstLine="489" w:firstLineChars="204"/>
        <w:jc w:val="both"/>
        <w:rPr>
          <w:rFonts w:ascii="Arial" w:hAnsi="Arial" w:eastAsia="宋体" w:cs="Arial"/>
          <w:sz w:val="24"/>
          <w:lang w:eastAsia="zh-CN"/>
        </w:rPr>
      </w:pPr>
    </w:p>
    <w:p w14:paraId="120F120E">
      <w:pPr>
        <w:pStyle w:val="10"/>
        <w:numPr>
          <w:ilvl w:val="1"/>
          <w:numId w:val="6"/>
        </w:numPr>
        <w:tabs>
          <w:tab w:val="left" w:pos="1050"/>
        </w:tabs>
        <w:snapToGrid w:val="0"/>
        <w:spacing w:line="300" w:lineRule="auto"/>
        <w:ind w:left="0" w:firstLine="489" w:firstLineChars="204"/>
        <w:jc w:val="both"/>
        <w:rPr>
          <w:rFonts w:ascii="Arial" w:hAnsi="Arial" w:eastAsia="宋体" w:cs="Arial"/>
          <w:sz w:val="24"/>
          <w:lang w:eastAsia="zh-CN"/>
        </w:rPr>
      </w:pPr>
      <w:r>
        <w:rPr>
          <w:rFonts w:ascii="Arial" w:hAnsi="Arial" w:eastAsia="宋体" w:cs="Arial"/>
          <w:sz w:val="24"/>
          <w:lang w:eastAsia="zh-CN"/>
        </w:rPr>
        <w:t>在什么情况下可以采用客观的测量来衡量疼痛？</w:t>
      </w:r>
    </w:p>
    <w:p w14:paraId="71CBE8B1">
      <w:pPr>
        <w:snapToGrid w:val="0"/>
        <w:spacing w:before="3" w:line="300" w:lineRule="auto"/>
        <w:jc w:val="both"/>
        <w:rPr>
          <w:rFonts w:ascii="Arial" w:hAnsi="Arial" w:eastAsia="宋体" w:cs="Arial"/>
          <w:sz w:val="25"/>
          <w:szCs w:val="25"/>
          <w:lang w:eastAsia="zh-CN"/>
        </w:rPr>
      </w:pPr>
    </w:p>
    <w:p w14:paraId="5B8FA5EF">
      <w:pPr>
        <w:pStyle w:val="10"/>
        <w:numPr>
          <w:ilvl w:val="0"/>
          <w:numId w:val="6"/>
        </w:numPr>
        <w:tabs>
          <w:tab w:val="left" w:pos="821"/>
        </w:tabs>
        <w:snapToGrid w:val="0"/>
        <w:spacing w:line="300" w:lineRule="auto"/>
        <w:ind w:left="495" w:hanging="495" w:hangingChars="198"/>
        <w:jc w:val="both"/>
        <w:rPr>
          <w:rFonts w:ascii="Arial" w:hAnsi="Arial" w:eastAsia="宋体" w:cs="Arial"/>
          <w:sz w:val="24"/>
          <w:szCs w:val="24"/>
          <w:lang w:eastAsia="zh-CN"/>
        </w:rPr>
      </w:pPr>
      <w:r>
        <w:rPr>
          <w:rFonts w:ascii="Arial" w:hAnsi="Arial" w:eastAsia="宋体" w:cs="Arial"/>
          <w:sz w:val="25"/>
          <w:szCs w:val="25"/>
          <w:lang w:eastAsia="zh-CN"/>
        </w:rPr>
        <w:t>许多作者讨论了在研究中遇到的特定潜在偏倚来源，其中，结果必须以主观方式测量，例如安慰剂效应、患者/观察者偏倚以及患者</w:t>
      </w:r>
      <w:r>
        <w:rPr>
          <w:rFonts w:ascii="Arial" w:hAnsi="Arial" w:eastAsia="宋体" w:cs="Arial"/>
          <w:sz w:val="24"/>
          <w:szCs w:val="24"/>
          <w:lang w:eastAsia="zh-CN"/>
        </w:rPr>
        <w:t>之间</w:t>
      </w:r>
      <w:r>
        <w:rPr>
          <w:rFonts w:ascii="Arial" w:hAnsi="Arial" w:eastAsia="宋体" w:cs="Arial"/>
          <w:sz w:val="25"/>
          <w:szCs w:val="25"/>
          <w:lang w:eastAsia="zh-CN"/>
        </w:rPr>
        <w:t>和患者中的变异性。</w:t>
      </w:r>
    </w:p>
    <w:p w14:paraId="6F77F520">
      <w:pPr>
        <w:snapToGrid w:val="0"/>
        <w:spacing w:before="3" w:line="300" w:lineRule="auto"/>
        <w:jc w:val="both"/>
        <w:rPr>
          <w:rFonts w:ascii="Arial" w:hAnsi="Arial" w:eastAsia="宋体" w:cs="Arial"/>
          <w:sz w:val="25"/>
          <w:szCs w:val="25"/>
          <w:lang w:eastAsia="zh-CN"/>
        </w:rPr>
      </w:pPr>
    </w:p>
    <w:p w14:paraId="7D1158AA">
      <w:pPr>
        <w:pStyle w:val="10"/>
        <w:numPr>
          <w:ilvl w:val="1"/>
          <w:numId w:val="6"/>
        </w:numPr>
        <w:tabs>
          <w:tab w:val="left" w:pos="1542"/>
        </w:tabs>
        <w:snapToGrid w:val="0"/>
        <w:spacing w:line="300" w:lineRule="auto"/>
        <w:ind w:left="1079" w:leftChars="230" w:hanging="573" w:hangingChars="239"/>
        <w:jc w:val="both"/>
        <w:rPr>
          <w:rFonts w:ascii="Arial" w:hAnsi="Arial" w:eastAsia="宋体" w:cs="Arial"/>
          <w:sz w:val="24"/>
          <w:lang w:eastAsia="zh-CN"/>
        </w:rPr>
      </w:pPr>
      <w:r>
        <w:rPr>
          <w:rFonts w:ascii="Arial" w:hAnsi="Arial" w:eastAsia="宋体" w:cs="Arial"/>
          <w:sz w:val="24"/>
          <w:lang w:eastAsia="zh-CN"/>
        </w:rPr>
        <w:t>在什么情况下应使用安慰剂？</w:t>
      </w:r>
    </w:p>
    <w:p w14:paraId="1333CB23">
      <w:pPr>
        <w:pStyle w:val="10"/>
        <w:tabs>
          <w:tab w:val="left" w:pos="1542"/>
        </w:tabs>
        <w:snapToGrid w:val="0"/>
        <w:spacing w:line="300" w:lineRule="auto"/>
        <w:ind w:left="1079" w:leftChars="230" w:hanging="573" w:hangingChars="239"/>
        <w:jc w:val="both"/>
        <w:rPr>
          <w:rFonts w:ascii="Arial" w:hAnsi="Arial" w:eastAsia="宋体" w:cs="Arial"/>
          <w:sz w:val="24"/>
          <w:lang w:eastAsia="zh-CN"/>
        </w:rPr>
      </w:pPr>
    </w:p>
    <w:p w14:paraId="4DF17D8D">
      <w:pPr>
        <w:pStyle w:val="10"/>
        <w:numPr>
          <w:ilvl w:val="1"/>
          <w:numId w:val="6"/>
        </w:numPr>
        <w:tabs>
          <w:tab w:val="left" w:pos="1542"/>
        </w:tabs>
        <w:snapToGrid w:val="0"/>
        <w:spacing w:line="300" w:lineRule="auto"/>
        <w:ind w:left="1079" w:leftChars="230" w:hanging="573" w:hangingChars="239"/>
        <w:jc w:val="both"/>
        <w:rPr>
          <w:rFonts w:ascii="Arial" w:hAnsi="Arial" w:eastAsia="宋体" w:cs="Arial"/>
          <w:sz w:val="24"/>
          <w:lang w:eastAsia="zh-CN"/>
        </w:rPr>
      </w:pPr>
      <w:r>
        <w:rPr>
          <w:rFonts w:ascii="Arial" w:hAnsi="Arial" w:eastAsia="宋体" w:cs="Arial"/>
          <w:sz w:val="24"/>
          <w:lang w:eastAsia="zh-CN"/>
        </w:rPr>
        <w:t>在什么情况下疼痛研究为双盲或三盲研究？</w:t>
      </w:r>
    </w:p>
    <w:p w14:paraId="33C6A4D2">
      <w:pPr>
        <w:pStyle w:val="10"/>
        <w:tabs>
          <w:tab w:val="left" w:pos="1542"/>
        </w:tabs>
        <w:snapToGrid w:val="0"/>
        <w:spacing w:line="300" w:lineRule="auto"/>
        <w:ind w:left="1079" w:leftChars="230" w:hanging="573" w:hangingChars="239"/>
        <w:jc w:val="both"/>
        <w:rPr>
          <w:rFonts w:ascii="Arial" w:hAnsi="Arial" w:eastAsia="宋体" w:cs="Arial"/>
          <w:sz w:val="24"/>
          <w:lang w:eastAsia="zh-CN"/>
        </w:rPr>
      </w:pPr>
    </w:p>
    <w:p w14:paraId="6FF4A9AF">
      <w:pPr>
        <w:pStyle w:val="10"/>
        <w:numPr>
          <w:ilvl w:val="1"/>
          <w:numId w:val="6"/>
        </w:numPr>
        <w:tabs>
          <w:tab w:val="left" w:pos="1542"/>
        </w:tabs>
        <w:snapToGrid w:val="0"/>
        <w:spacing w:line="300" w:lineRule="auto"/>
        <w:ind w:left="1079" w:leftChars="230" w:hanging="573" w:hangingChars="239"/>
        <w:jc w:val="both"/>
        <w:rPr>
          <w:rFonts w:ascii="Arial" w:hAnsi="Arial" w:eastAsia="宋体" w:cs="Arial"/>
          <w:sz w:val="24"/>
          <w:lang w:eastAsia="zh-CN"/>
        </w:rPr>
      </w:pPr>
      <w:r>
        <w:rPr>
          <w:rFonts w:ascii="Arial" w:hAnsi="Arial" w:eastAsia="宋体" w:cs="Arial"/>
          <w:sz w:val="24"/>
          <w:lang w:eastAsia="zh-CN"/>
        </w:rPr>
        <w:t>在何种情况下应使用交叉研究？</w:t>
      </w:r>
    </w:p>
    <w:p w14:paraId="3AC590D8">
      <w:pPr>
        <w:pStyle w:val="10"/>
        <w:tabs>
          <w:tab w:val="left" w:pos="1542"/>
        </w:tabs>
        <w:snapToGrid w:val="0"/>
        <w:spacing w:line="300" w:lineRule="auto"/>
        <w:ind w:left="1079" w:leftChars="230" w:hanging="573" w:hangingChars="239"/>
        <w:jc w:val="both"/>
        <w:rPr>
          <w:rFonts w:ascii="Arial" w:hAnsi="Arial" w:eastAsia="宋体" w:cs="Arial"/>
          <w:sz w:val="24"/>
          <w:lang w:eastAsia="zh-CN"/>
        </w:rPr>
      </w:pPr>
    </w:p>
    <w:p w14:paraId="7ECB716E">
      <w:pPr>
        <w:pStyle w:val="10"/>
        <w:numPr>
          <w:ilvl w:val="1"/>
          <w:numId w:val="6"/>
        </w:numPr>
        <w:tabs>
          <w:tab w:val="left" w:pos="1542"/>
        </w:tabs>
        <w:snapToGrid w:val="0"/>
        <w:spacing w:line="300" w:lineRule="auto"/>
        <w:ind w:left="1079" w:leftChars="230" w:hanging="573" w:hangingChars="239"/>
        <w:jc w:val="both"/>
        <w:rPr>
          <w:rFonts w:ascii="Arial" w:hAnsi="Arial" w:eastAsia="宋体" w:cs="Arial"/>
          <w:sz w:val="24"/>
          <w:lang w:eastAsia="zh-CN"/>
        </w:rPr>
      </w:pPr>
      <w:r>
        <w:rPr>
          <w:rFonts w:ascii="Arial" w:hAnsi="Arial" w:eastAsia="宋体" w:cs="Arial"/>
          <w:sz w:val="24"/>
          <w:lang w:eastAsia="zh-CN"/>
        </w:rPr>
        <w:t>在何种情况下应重复测量？</w:t>
      </w:r>
    </w:p>
    <w:p w14:paraId="39ABC828">
      <w:pPr>
        <w:pStyle w:val="10"/>
        <w:tabs>
          <w:tab w:val="left" w:pos="1542"/>
        </w:tabs>
        <w:snapToGrid w:val="0"/>
        <w:spacing w:line="300" w:lineRule="auto"/>
        <w:ind w:left="1079" w:leftChars="230" w:hanging="573" w:hangingChars="239"/>
        <w:jc w:val="both"/>
        <w:rPr>
          <w:rFonts w:ascii="Arial" w:hAnsi="Arial" w:eastAsia="宋体" w:cs="Arial"/>
          <w:sz w:val="24"/>
          <w:lang w:eastAsia="zh-CN"/>
        </w:rPr>
      </w:pPr>
    </w:p>
    <w:p w14:paraId="726B0F4E">
      <w:pPr>
        <w:pStyle w:val="10"/>
        <w:numPr>
          <w:ilvl w:val="1"/>
          <w:numId w:val="6"/>
        </w:numPr>
        <w:tabs>
          <w:tab w:val="left" w:pos="1542"/>
        </w:tabs>
        <w:snapToGrid w:val="0"/>
        <w:spacing w:line="300" w:lineRule="auto"/>
        <w:ind w:left="1079" w:leftChars="230" w:hanging="573" w:hangingChars="239"/>
        <w:jc w:val="both"/>
        <w:rPr>
          <w:rFonts w:ascii="Arial" w:hAnsi="Arial" w:eastAsia="宋体" w:cs="Arial"/>
          <w:sz w:val="24"/>
          <w:lang w:eastAsia="zh-CN"/>
        </w:rPr>
      </w:pPr>
      <w:r>
        <w:rPr>
          <w:rFonts w:ascii="Arial" w:hAnsi="Arial" w:eastAsia="宋体" w:cs="Arial"/>
          <w:sz w:val="24"/>
          <w:lang w:eastAsia="zh-CN"/>
        </w:rPr>
        <w:t>何时进行疼痛测量，例如在进入研究之后、在治疗之前和之后、治疗间？</w:t>
      </w:r>
    </w:p>
    <w:p w14:paraId="21DE0879">
      <w:pPr>
        <w:snapToGrid w:val="0"/>
        <w:spacing w:before="6" w:line="300" w:lineRule="auto"/>
        <w:ind w:left="1079" w:leftChars="230" w:hanging="573" w:hangingChars="239"/>
        <w:jc w:val="both"/>
        <w:rPr>
          <w:rFonts w:ascii="Arial" w:hAnsi="Arial" w:eastAsia="宋体" w:cs="Arial"/>
          <w:sz w:val="24"/>
          <w:szCs w:val="24"/>
          <w:lang w:eastAsia="zh-CN"/>
        </w:rPr>
      </w:pPr>
    </w:p>
    <w:p w14:paraId="02849B20">
      <w:pPr>
        <w:pStyle w:val="10"/>
        <w:numPr>
          <w:ilvl w:val="1"/>
          <w:numId w:val="6"/>
        </w:numPr>
        <w:tabs>
          <w:tab w:val="left" w:pos="1543"/>
        </w:tabs>
        <w:snapToGrid w:val="0"/>
        <w:spacing w:line="300" w:lineRule="auto"/>
        <w:ind w:left="1055" w:leftChars="230" w:hanging="549" w:hangingChars="239"/>
        <w:jc w:val="both"/>
        <w:rPr>
          <w:rFonts w:ascii="Arial" w:hAnsi="Arial" w:eastAsia="宋体" w:cs="Arial"/>
          <w:spacing w:val="-5"/>
          <w:sz w:val="24"/>
          <w:lang w:eastAsia="zh-CN"/>
        </w:rPr>
      </w:pPr>
      <w:r>
        <w:rPr>
          <w:rFonts w:ascii="Arial" w:hAnsi="Arial" w:eastAsia="宋体" w:cs="Arial"/>
          <w:spacing w:val="-5"/>
          <w:sz w:val="24"/>
          <w:lang w:eastAsia="zh-CN"/>
        </w:rPr>
        <w:t>在何种情况下未进行设盲的研究结果可用于证明疼痛得到缓解？</w:t>
      </w:r>
    </w:p>
    <w:p w14:paraId="5BC38E78">
      <w:pPr>
        <w:pStyle w:val="10"/>
        <w:tabs>
          <w:tab w:val="left" w:pos="1543"/>
        </w:tabs>
        <w:snapToGrid w:val="0"/>
        <w:spacing w:line="300" w:lineRule="auto"/>
        <w:ind w:left="1055" w:leftChars="230" w:hanging="549" w:hangingChars="239"/>
        <w:jc w:val="both"/>
        <w:rPr>
          <w:rFonts w:ascii="Arial" w:hAnsi="Arial" w:eastAsia="宋体" w:cs="Arial"/>
          <w:spacing w:val="-5"/>
          <w:sz w:val="24"/>
          <w:lang w:eastAsia="zh-CN"/>
        </w:rPr>
      </w:pPr>
    </w:p>
    <w:p w14:paraId="5E5F7C3C">
      <w:pPr>
        <w:pStyle w:val="10"/>
        <w:numPr>
          <w:ilvl w:val="1"/>
          <w:numId w:val="6"/>
        </w:numPr>
        <w:tabs>
          <w:tab w:val="left" w:pos="1543"/>
        </w:tabs>
        <w:snapToGrid w:val="0"/>
        <w:spacing w:line="300" w:lineRule="auto"/>
        <w:ind w:left="1055" w:leftChars="230" w:hanging="549" w:hangingChars="239"/>
        <w:jc w:val="both"/>
        <w:rPr>
          <w:rFonts w:ascii="Arial" w:hAnsi="Arial" w:eastAsia="宋体" w:cs="Arial"/>
          <w:spacing w:val="-5"/>
          <w:sz w:val="24"/>
          <w:lang w:eastAsia="zh-CN"/>
        </w:rPr>
      </w:pPr>
      <w:r>
        <w:rPr>
          <w:rFonts w:ascii="Arial" w:hAnsi="Arial" w:eastAsia="宋体" w:cs="Arial"/>
          <w:spacing w:val="-5"/>
          <w:sz w:val="24"/>
          <w:lang w:eastAsia="zh-CN"/>
        </w:rPr>
        <w:t>在什么情况下无法将未提供随机并行控制的研究结果用于证明疼痛得到缓解？</w:t>
      </w:r>
    </w:p>
    <w:p w14:paraId="150B5C87">
      <w:pPr>
        <w:snapToGrid w:val="0"/>
        <w:spacing w:before="6" w:line="300" w:lineRule="auto"/>
        <w:jc w:val="both"/>
        <w:rPr>
          <w:rFonts w:ascii="Arial" w:hAnsi="Arial" w:eastAsia="宋体" w:cs="Arial"/>
          <w:sz w:val="24"/>
          <w:szCs w:val="24"/>
          <w:lang w:eastAsia="zh-CN"/>
        </w:rPr>
      </w:pPr>
    </w:p>
    <w:p w14:paraId="6E7699BA">
      <w:pPr>
        <w:pStyle w:val="10"/>
        <w:numPr>
          <w:ilvl w:val="0"/>
          <w:numId w:val="6"/>
        </w:numPr>
        <w:tabs>
          <w:tab w:val="left" w:pos="821"/>
        </w:tabs>
        <w:snapToGrid w:val="0"/>
        <w:spacing w:line="300" w:lineRule="auto"/>
        <w:ind w:left="475" w:hanging="475" w:hangingChars="198"/>
        <w:jc w:val="both"/>
        <w:rPr>
          <w:rFonts w:ascii="Arial" w:hAnsi="Arial" w:eastAsia="宋体" w:cs="Arial"/>
          <w:sz w:val="24"/>
          <w:lang w:eastAsia="zh-CN"/>
        </w:rPr>
      </w:pPr>
      <w:r>
        <w:rPr>
          <w:rFonts w:ascii="Arial" w:hAnsi="Arial" w:eastAsia="宋体" w:cs="Arial"/>
          <w:sz w:val="24"/>
          <w:szCs w:val="24"/>
          <w:lang w:eastAsia="zh-CN"/>
        </w:rPr>
        <w:t>应确定哪些标准来确定临床收益？</w:t>
      </w:r>
    </w:p>
    <w:p w14:paraId="3461877A">
      <w:pPr>
        <w:pStyle w:val="10"/>
        <w:numPr>
          <w:ilvl w:val="0"/>
          <w:numId w:val="6"/>
        </w:numPr>
        <w:tabs>
          <w:tab w:val="left" w:pos="821"/>
        </w:tabs>
        <w:snapToGrid w:val="0"/>
        <w:spacing w:line="300" w:lineRule="auto"/>
        <w:ind w:left="475" w:hanging="475" w:hangingChars="198"/>
        <w:jc w:val="both"/>
        <w:rPr>
          <w:rFonts w:ascii="Arial" w:hAnsi="Arial" w:eastAsia="宋体" w:cs="Arial"/>
          <w:sz w:val="24"/>
          <w:szCs w:val="24"/>
          <w:lang w:eastAsia="zh-CN"/>
        </w:rPr>
      </w:pPr>
      <w:r>
        <w:rPr>
          <w:rFonts w:ascii="Arial" w:hAnsi="Arial" w:eastAsia="宋体" w:cs="Arial"/>
          <w:sz w:val="24"/>
          <w:szCs w:val="24"/>
          <w:lang w:eastAsia="zh-CN"/>
        </w:rPr>
        <w:t>在研究疼痛方面是否还有其他特殊技术需要考虑，例如在选择受试者或控制伴随治疗方面？</w:t>
      </w:r>
    </w:p>
    <w:p w14:paraId="4CEAE06B">
      <w:pPr>
        <w:tabs>
          <w:tab w:val="left" w:pos="821"/>
        </w:tabs>
        <w:snapToGrid w:val="0"/>
        <w:spacing w:before="53" w:line="300" w:lineRule="auto"/>
        <w:jc w:val="both"/>
        <w:rPr>
          <w:rFonts w:ascii="Arial" w:hAnsi="Arial" w:eastAsia="宋体" w:cs="Arial"/>
          <w:sz w:val="24"/>
          <w:szCs w:val="24"/>
          <w:lang w:eastAsia="zh-CN"/>
        </w:rPr>
      </w:pPr>
    </w:p>
    <w:p w14:paraId="5F6DA17B">
      <w:pPr>
        <w:pStyle w:val="10"/>
        <w:numPr>
          <w:ilvl w:val="0"/>
          <w:numId w:val="6"/>
        </w:numPr>
        <w:tabs>
          <w:tab w:val="left" w:pos="821"/>
        </w:tabs>
        <w:snapToGrid w:val="0"/>
        <w:spacing w:line="300" w:lineRule="auto"/>
        <w:ind w:left="475" w:hanging="475" w:hangingChars="198"/>
        <w:jc w:val="both"/>
        <w:rPr>
          <w:rFonts w:ascii="Arial" w:hAnsi="Arial" w:eastAsia="宋体" w:cs="Arial"/>
          <w:sz w:val="24"/>
          <w:szCs w:val="24"/>
          <w:lang w:eastAsia="zh-CN"/>
        </w:rPr>
      </w:pPr>
      <w:r>
        <w:rPr>
          <w:rFonts w:ascii="Arial" w:hAnsi="Arial" w:eastAsia="宋体" w:cs="Arial"/>
          <w:sz w:val="24"/>
          <w:szCs w:val="24"/>
          <w:lang w:eastAsia="zh-CN"/>
        </w:rPr>
        <w:t>至少有一位作者报道说，与单身体部位或部分疼痛的患者相比，在解剖上不同部位出现疼痛的患者更易于说明他们的疼痛程度。他们还指出，数据表明，这些患者的较泛口头报告风格在描述符的类别中一致，且感觉描述也可能被混淆。</w:t>
      </w:r>
    </w:p>
    <w:p w14:paraId="00118AB4">
      <w:pPr>
        <w:snapToGrid w:val="0"/>
        <w:spacing w:before="6" w:line="300" w:lineRule="auto"/>
        <w:jc w:val="both"/>
        <w:rPr>
          <w:rFonts w:ascii="Arial" w:hAnsi="Arial" w:eastAsia="宋体" w:cs="Arial"/>
          <w:sz w:val="24"/>
          <w:szCs w:val="24"/>
          <w:lang w:eastAsia="zh-CN"/>
        </w:rPr>
      </w:pPr>
    </w:p>
    <w:p w14:paraId="00AB0392">
      <w:pPr>
        <w:pStyle w:val="10"/>
        <w:numPr>
          <w:ilvl w:val="1"/>
          <w:numId w:val="6"/>
        </w:numPr>
        <w:tabs>
          <w:tab w:val="left" w:pos="1542"/>
        </w:tabs>
        <w:snapToGrid w:val="0"/>
        <w:spacing w:line="300" w:lineRule="auto"/>
        <w:ind w:left="1077" w:leftChars="241" w:hanging="547" w:hangingChars="228"/>
        <w:jc w:val="both"/>
        <w:rPr>
          <w:rFonts w:ascii="Arial" w:hAnsi="Arial" w:eastAsia="宋体" w:cs="Arial"/>
          <w:sz w:val="24"/>
          <w:lang w:eastAsia="zh-CN"/>
        </w:rPr>
      </w:pPr>
      <w:r>
        <w:rPr>
          <w:rFonts w:ascii="Arial" w:hAnsi="Arial" w:eastAsia="宋体" w:cs="Arial"/>
          <w:sz w:val="24"/>
          <w:lang w:eastAsia="zh-CN"/>
        </w:rPr>
        <w:t>根据你的经验，其是否是在设计和进行疼痛研究时应该考虑的一个现象？</w:t>
      </w:r>
    </w:p>
    <w:p w14:paraId="4A958C4D">
      <w:pPr>
        <w:pStyle w:val="10"/>
        <w:tabs>
          <w:tab w:val="left" w:pos="1542"/>
        </w:tabs>
        <w:snapToGrid w:val="0"/>
        <w:spacing w:line="300" w:lineRule="auto"/>
        <w:ind w:left="1077" w:leftChars="241" w:hanging="547" w:hangingChars="228"/>
        <w:jc w:val="both"/>
        <w:rPr>
          <w:rFonts w:ascii="Arial" w:hAnsi="Arial" w:eastAsia="宋体" w:cs="Arial"/>
          <w:sz w:val="24"/>
          <w:lang w:eastAsia="zh-CN"/>
        </w:rPr>
      </w:pPr>
    </w:p>
    <w:p w14:paraId="502BF617">
      <w:pPr>
        <w:pStyle w:val="10"/>
        <w:numPr>
          <w:ilvl w:val="1"/>
          <w:numId w:val="6"/>
        </w:numPr>
        <w:tabs>
          <w:tab w:val="left" w:pos="1542"/>
        </w:tabs>
        <w:snapToGrid w:val="0"/>
        <w:spacing w:line="300" w:lineRule="auto"/>
        <w:ind w:left="1077" w:leftChars="241" w:hanging="547" w:hangingChars="228"/>
        <w:jc w:val="both"/>
        <w:rPr>
          <w:rFonts w:ascii="Arial" w:hAnsi="Arial" w:eastAsia="宋体" w:cs="Arial"/>
          <w:sz w:val="24"/>
          <w:lang w:eastAsia="zh-CN"/>
        </w:rPr>
      </w:pPr>
      <w:r>
        <w:rPr>
          <w:rFonts w:ascii="Arial" w:hAnsi="Arial" w:eastAsia="宋体" w:cs="Arial"/>
          <w:sz w:val="24"/>
          <w:lang w:eastAsia="zh-CN"/>
        </w:rPr>
        <w:t>如果是这样，研究者应采取哪些步骤来确保这些患者疼痛主观评估的可靠性？</w:t>
      </w:r>
    </w:p>
    <w:p w14:paraId="6497B847">
      <w:pPr>
        <w:snapToGrid w:val="0"/>
        <w:spacing w:before="6" w:line="300" w:lineRule="auto"/>
        <w:jc w:val="both"/>
        <w:rPr>
          <w:rFonts w:ascii="Arial" w:hAnsi="Arial" w:eastAsia="宋体" w:cs="Arial"/>
          <w:sz w:val="24"/>
          <w:szCs w:val="24"/>
          <w:lang w:eastAsia="zh-CN"/>
        </w:rPr>
      </w:pPr>
    </w:p>
    <w:p w14:paraId="0D3A8AE5">
      <w:pPr>
        <w:pStyle w:val="10"/>
        <w:numPr>
          <w:ilvl w:val="0"/>
          <w:numId w:val="6"/>
        </w:numPr>
        <w:tabs>
          <w:tab w:val="left" w:pos="821"/>
        </w:tabs>
        <w:snapToGrid w:val="0"/>
        <w:spacing w:line="300" w:lineRule="auto"/>
        <w:ind w:left="475" w:hanging="475" w:hangingChars="198"/>
        <w:jc w:val="both"/>
        <w:rPr>
          <w:rFonts w:ascii="Arial" w:hAnsi="Arial" w:eastAsia="宋体" w:cs="Arial"/>
          <w:sz w:val="24"/>
          <w:szCs w:val="24"/>
          <w:lang w:eastAsia="zh-CN"/>
        </w:rPr>
      </w:pPr>
      <w:r>
        <w:rPr>
          <w:rFonts w:ascii="Arial" w:hAnsi="Arial" w:eastAsia="宋体" w:cs="Arial"/>
          <w:sz w:val="24"/>
          <w:szCs w:val="24"/>
          <w:lang w:eastAsia="zh-CN"/>
        </w:rPr>
        <w:t>在什么情况下，贵公司可以通过证明一个解剖部位的疼痛缓解来预测其他部位的缓解？即如果证明在某一部位出现特定的局部效果，需要什么信息来提供合理保证，即通过对身体另一部分进行类似治疗可能会产生相同效果？</w:t>
      </w:r>
    </w:p>
    <w:p w14:paraId="091F05D9">
      <w:pPr>
        <w:snapToGrid w:val="0"/>
        <w:spacing w:before="6" w:line="300" w:lineRule="auto"/>
        <w:jc w:val="both"/>
        <w:rPr>
          <w:rFonts w:ascii="Arial" w:hAnsi="Arial" w:eastAsia="宋体" w:cs="Arial"/>
          <w:sz w:val="24"/>
          <w:szCs w:val="24"/>
          <w:lang w:eastAsia="zh-CN"/>
        </w:rPr>
      </w:pPr>
    </w:p>
    <w:p w14:paraId="1B9053BC">
      <w:pPr>
        <w:pStyle w:val="10"/>
        <w:numPr>
          <w:ilvl w:val="0"/>
          <w:numId w:val="6"/>
        </w:numPr>
        <w:tabs>
          <w:tab w:val="left" w:pos="821"/>
        </w:tabs>
        <w:snapToGrid w:val="0"/>
        <w:spacing w:line="300" w:lineRule="auto"/>
        <w:ind w:left="475" w:hanging="475" w:hangingChars="198"/>
        <w:jc w:val="both"/>
        <w:rPr>
          <w:rFonts w:ascii="Arial" w:hAnsi="Arial" w:eastAsia="宋体" w:cs="Arial"/>
          <w:sz w:val="24"/>
          <w:szCs w:val="24"/>
          <w:lang w:eastAsia="zh-CN"/>
        </w:rPr>
      </w:pPr>
      <w:r>
        <w:rPr>
          <w:rFonts w:ascii="Arial" w:hAnsi="Arial" w:eastAsia="宋体" w:cs="Arial"/>
          <w:sz w:val="24"/>
          <w:szCs w:val="24"/>
          <w:lang w:eastAsia="zh-CN"/>
        </w:rPr>
        <w:t>应确定什么标准以供独立研究者确定的结果复现性？当多个研究者获得矛盾结果时应该怎么办？</w:t>
      </w:r>
    </w:p>
    <w:p w14:paraId="2E7EC716">
      <w:pPr>
        <w:pStyle w:val="10"/>
        <w:snapToGrid w:val="0"/>
        <w:spacing w:line="300" w:lineRule="auto"/>
        <w:jc w:val="both"/>
        <w:rPr>
          <w:rFonts w:ascii="Arial" w:hAnsi="Arial" w:eastAsia="宋体" w:cs="Arial"/>
          <w:sz w:val="24"/>
          <w:szCs w:val="24"/>
          <w:lang w:eastAsia="zh-CN"/>
        </w:rPr>
      </w:pPr>
    </w:p>
    <w:p w14:paraId="76F980DB">
      <w:pPr>
        <w:pStyle w:val="10"/>
        <w:tabs>
          <w:tab w:val="left" w:pos="821"/>
        </w:tabs>
        <w:snapToGrid w:val="0"/>
        <w:spacing w:line="300" w:lineRule="auto"/>
        <w:jc w:val="both"/>
        <w:rPr>
          <w:rFonts w:ascii="Arial" w:hAnsi="Arial" w:eastAsia="宋体" w:cs="Arial"/>
          <w:sz w:val="24"/>
          <w:szCs w:val="24"/>
          <w:lang w:eastAsia="zh-CN"/>
        </w:rPr>
      </w:pPr>
    </w:p>
    <w:p w14:paraId="67D3FD49">
      <w:pPr>
        <w:snapToGrid w:val="0"/>
        <w:spacing w:line="300" w:lineRule="auto"/>
        <w:jc w:val="both"/>
        <w:rPr>
          <w:rFonts w:hint="eastAsia" w:eastAsia="宋体"/>
          <w:lang w:eastAsia="zh-CN"/>
        </w:rPr>
      </w:pPr>
    </w:p>
    <w:p w14:paraId="64D2AD41">
      <w:pPr>
        <w:snapToGrid w:val="0"/>
        <w:spacing w:line="300" w:lineRule="auto"/>
        <w:jc w:val="center"/>
        <w:rPr>
          <w:rFonts w:hint="eastAsia" w:eastAsia="宋体"/>
          <w:lang w:eastAsia="zh-CN"/>
        </w:rPr>
      </w:pPr>
    </w:p>
    <w:p w14:paraId="2F977B78">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7" name="图片 7" descr="2"/>
            <wp:cNvGraphicFramePr/>
            <a:graphic xmlns:a="http://schemas.openxmlformats.org/drawingml/2006/main">
              <a:graphicData uri="http://schemas.openxmlformats.org/drawingml/2006/picture">
                <pic:pic xmlns:pic="http://schemas.openxmlformats.org/drawingml/2006/picture">
                  <pic:nvPicPr>
                    <pic:cNvPr id="7" name="图片 7" descr="2"/>
                    <pic:cNvPicPr/>
                  </pic:nvPicPr>
                  <pic:blipFill>
                    <a:blip r:embed="rId5"/>
                    <a:stretch>
                      <a:fillRect/>
                    </a:stretch>
                  </pic:blipFill>
                  <pic:spPr>
                    <a:xfrm>
                      <a:off x="0" y="0"/>
                      <a:ext cx="5210175" cy="7343775"/>
                    </a:xfrm>
                    <a:prstGeom prst="rect">
                      <a:avLst/>
                    </a:prstGeom>
                  </pic:spPr>
                </pic:pic>
              </a:graphicData>
            </a:graphic>
          </wp:inline>
        </w:drawing>
      </w:r>
    </w:p>
    <w:sectPr>
      <w:pgSz w:w="12240" w:h="15840"/>
      <w:pgMar w:top="1100" w:right="1340" w:bottom="960" w:left="1340" w:header="0" w:footer="7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3A46C">
    <w:pPr>
      <w:pStyle w:val="3"/>
      <w:spacing w:line="265" w:lineRule="exact"/>
      <w:ind w:left="20"/>
      <w:jc w:val="center"/>
      <w:rPr>
        <w:rFonts w:ascii="Arial" w:hAnsi="Arial" w:eastAsia="宋体" w:cs="Arial"/>
        <w:sz w:val="21"/>
        <w:szCs w:val="21"/>
      </w:rPr>
    </w:pPr>
    <w:r>
      <w:rPr>
        <w:rFonts w:ascii="Arial" w:hAnsi="Arial" w:eastAsia="宋体" w:cs="Arial"/>
        <w:spacing w:val="-5"/>
        <w:sz w:val="21"/>
        <w:szCs w:val="21"/>
        <w:lang w:eastAsia="zh-CN"/>
      </w:rPr>
      <w:t>第</w:t>
    </w:r>
    <w:r>
      <w:rPr>
        <w:rFonts w:ascii="Arial" w:hAnsi="Arial" w:eastAsia="宋体" w:cs="Arial"/>
        <w:spacing w:val="-5"/>
        <w:sz w:val="21"/>
        <w:szCs w:val="21"/>
      </w:rPr>
      <w:t xml:space="preserve"> </w:t>
    </w:r>
    <w:r>
      <w:rPr>
        <w:rFonts w:ascii="Arial" w:hAnsi="Arial" w:eastAsia="宋体" w:cs="Arial"/>
        <w:sz w:val="21"/>
        <w:szCs w:val="21"/>
      </w:rPr>
      <w:fldChar w:fldCharType="begin"/>
    </w:r>
    <w:r>
      <w:rPr>
        <w:rFonts w:ascii="Arial" w:hAnsi="Arial" w:eastAsia="宋体" w:cs="Arial"/>
        <w:sz w:val="21"/>
        <w:szCs w:val="21"/>
      </w:rPr>
      <w:instrText xml:space="preserve"> PAGE </w:instrText>
    </w:r>
    <w:r>
      <w:rPr>
        <w:rFonts w:ascii="Arial" w:hAnsi="Arial" w:eastAsia="宋体" w:cs="Arial"/>
        <w:sz w:val="21"/>
        <w:szCs w:val="21"/>
      </w:rPr>
      <w:fldChar w:fldCharType="separate"/>
    </w:r>
    <w:r>
      <w:rPr>
        <w:rFonts w:ascii="Arial" w:hAnsi="Arial" w:eastAsia="宋体" w:cs="Arial"/>
        <w:sz w:val="21"/>
        <w:szCs w:val="21"/>
      </w:rPr>
      <w:t>14</w:t>
    </w:r>
    <w:r>
      <w:rPr>
        <w:rFonts w:ascii="Arial" w:hAnsi="Arial" w:eastAsia="宋体" w:cs="Arial"/>
        <w:sz w:val="21"/>
        <w:szCs w:val="21"/>
      </w:rPr>
      <w:fldChar w:fldCharType="end"/>
    </w:r>
    <w:r>
      <w:rPr>
        <w:rFonts w:ascii="Arial" w:hAnsi="Arial" w:eastAsia="宋体" w:cs="Arial"/>
        <w:sz w:val="21"/>
        <w:szCs w:val="21"/>
      </w:rPr>
      <w:t xml:space="preserve"> </w:t>
    </w:r>
    <w:r>
      <w:rPr>
        <w:rFonts w:ascii="Arial" w:hAnsi="Arial" w:eastAsia="宋体" w:cs="Arial"/>
        <w:sz w:val="21"/>
        <w:szCs w:val="21"/>
        <w:lang w:eastAsia="zh-CN"/>
      </w:rPr>
      <w:t>页</w:t>
    </w:r>
  </w:p>
  <w:p w14:paraId="163E90F5">
    <w:pPr>
      <w:spacing w:line="14" w:lineRule="auto"/>
      <w:rPr>
        <w:rFonts w:ascii="Arial" w:hAnsi="Arial" w:eastAsia="宋体" w:cs="Arial"/>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874B5"/>
    <w:multiLevelType w:val="multilevel"/>
    <w:tmpl w:val="0EA874B5"/>
    <w:lvl w:ilvl="0" w:tentative="0">
      <w:start w:val="1"/>
      <w:numFmt w:val="decimal"/>
      <w:lvlText w:val="(%1)"/>
      <w:lvlJc w:val="left"/>
      <w:pPr>
        <w:ind w:left="640" w:hanging="541"/>
      </w:pPr>
      <w:rPr>
        <w:rFonts w:hint="default" w:ascii="Arial" w:hAnsi="Arial" w:eastAsia="Times New Roman" w:cs="Arial"/>
        <w:spacing w:val="-1"/>
        <w:w w:val="99"/>
        <w:sz w:val="24"/>
        <w:szCs w:val="24"/>
      </w:rPr>
    </w:lvl>
    <w:lvl w:ilvl="1" w:tentative="0">
      <w:start w:val="1"/>
      <w:numFmt w:val="bullet"/>
      <w:lvlText w:val="•"/>
      <w:lvlJc w:val="left"/>
      <w:pPr>
        <w:ind w:left="1532" w:hanging="541"/>
      </w:pPr>
      <w:rPr>
        <w:rFonts w:hint="default"/>
      </w:rPr>
    </w:lvl>
    <w:lvl w:ilvl="2" w:tentative="0">
      <w:start w:val="1"/>
      <w:numFmt w:val="bullet"/>
      <w:lvlText w:val="•"/>
      <w:lvlJc w:val="left"/>
      <w:pPr>
        <w:ind w:left="2424" w:hanging="541"/>
      </w:pPr>
      <w:rPr>
        <w:rFonts w:hint="default"/>
      </w:rPr>
    </w:lvl>
    <w:lvl w:ilvl="3" w:tentative="0">
      <w:start w:val="1"/>
      <w:numFmt w:val="bullet"/>
      <w:lvlText w:val="•"/>
      <w:lvlJc w:val="left"/>
      <w:pPr>
        <w:ind w:left="3316" w:hanging="541"/>
      </w:pPr>
      <w:rPr>
        <w:rFonts w:hint="default"/>
      </w:rPr>
    </w:lvl>
    <w:lvl w:ilvl="4" w:tentative="0">
      <w:start w:val="1"/>
      <w:numFmt w:val="bullet"/>
      <w:lvlText w:val="•"/>
      <w:lvlJc w:val="left"/>
      <w:pPr>
        <w:ind w:left="4208" w:hanging="541"/>
      </w:pPr>
      <w:rPr>
        <w:rFonts w:hint="default"/>
      </w:rPr>
    </w:lvl>
    <w:lvl w:ilvl="5" w:tentative="0">
      <w:start w:val="1"/>
      <w:numFmt w:val="bullet"/>
      <w:lvlText w:val="•"/>
      <w:lvlJc w:val="left"/>
      <w:pPr>
        <w:ind w:left="5100" w:hanging="541"/>
      </w:pPr>
      <w:rPr>
        <w:rFonts w:hint="default"/>
      </w:rPr>
    </w:lvl>
    <w:lvl w:ilvl="6" w:tentative="0">
      <w:start w:val="1"/>
      <w:numFmt w:val="bullet"/>
      <w:lvlText w:val="•"/>
      <w:lvlJc w:val="left"/>
      <w:pPr>
        <w:ind w:left="5992" w:hanging="541"/>
      </w:pPr>
      <w:rPr>
        <w:rFonts w:hint="default"/>
      </w:rPr>
    </w:lvl>
    <w:lvl w:ilvl="7" w:tentative="0">
      <w:start w:val="1"/>
      <w:numFmt w:val="bullet"/>
      <w:lvlText w:val="•"/>
      <w:lvlJc w:val="left"/>
      <w:pPr>
        <w:ind w:left="6884" w:hanging="541"/>
      </w:pPr>
      <w:rPr>
        <w:rFonts w:hint="default"/>
      </w:rPr>
    </w:lvl>
    <w:lvl w:ilvl="8" w:tentative="0">
      <w:start w:val="1"/>
      <w:numFmt w:val="bullet"/>
      <w:lvlText w:val="•"/>
      <w:lvlJc w:val="left"/>
      <w:pPr>
        <w:ind w:left="7776" w:hanging="541"/>
      </w:pPr>
      <w:rPr>
        <w:rFonts w:hint="default"/>
      </w:rPr>
    </w:lvl>
  </w:abstractNum>
  <w:abstractNum w:abstractNumId="1">
    <w:nsid w:val="2EB74E37"/>
    <w:multiLevelType w:val="multilevel"/>
    <w:tmpl w:val="2EB74E37"/>
    <w:lvl w:ilvl="0" w:tentative="0">
      <w:start w:val="1"/>
      <w:numFmt w:val="decimal"/>
      <w:lvlText w:val="%1."/>
      <w:lvlJc w:val="left"/>
      <w:pPr>
        <w:ind w:left="532" w:hanging="432"/>
      </w:pPr>
      <w:rPr>
        <w:rFonts w:hint="default" w:ascii="Arial" w:hAnsi="Arial" w:eastAsia="Times New Roman" w:cs="Arial"/>
        <w:spacing w:val="-1"/>
        <w:w w:val="100"/>
        <w:sz w:val="24"/>
        <w:szCs w:val="24"/>
      </w:rPr>
    </w:lvl>
    <w:lvl w:ilvl="1" w:tentative="0">
      <w:start w:val="1"/>
      <w:numFmt w:val="bullet"/>
      <w:lvlText w:val="•"/>
      <w:lvlJc w:val="left"/>
      <w:pPr>
        <w:ind w:left="1438" w:hanging="432"/>
      </w:pPr>
      <w:rPr>
        <w:rFonts w:hint="default"/>
      </w:rPr>
    </w:lvl>
    <w:lvl w:ilvl="2" w:tentative="0">
      <w:start w:val="1"/>
      <w:numFmt w:val="bullet"/>
      <w:lvlText w:val="•"/>
      <w:lvlJc w:val="left"/>
      <w:pPr>
        <w:ind w:left="2336" w:hanging="432"/>
      </w:pPr>
      <w:rPr>
        <w:rFonts w:hint="default"/>
      </w:rPr>
    </w:lvl>
    <w:lvl w:ilvl="3" w:tentative="0">
      <w:start w:val="1"/>
      <w:numFmt w:val="bullet"/>
      <w:lvlText w:val="•"/>
      <w:lvlJc w:val="left"/>
      <w:pPr>
        <w:ind w:left="3234" w:hanging="432"/>
      </w:pPr>
      <w:rPr>
        <w:rFonts w:hint="default"/>
      </w:rPr>
    </w:lvl>
    <w:lvl w:ilvl="4" w:tentative="0">
      <w:start w:val="1"/>
      <w:numFmt w:val="bullet"/>
      <w:lvlText w:val="•"/>
      <w:lvlJc w:val="left"/>
      <w:pPr>
        <w:ind w:left="4132" w:hanging="432"/>
      </w:pPr>
      <w:rPr>
        <w:rFonts w:hint="default"/>
      </w:rPr>
    </w:lvl>
    <w:lvl w:ilvl="5" w:tentative="0">
      <w:start w:val="1"/>
      <w:numFmt w:val="bullet"/>
      <w:lvlText w:val="•"/>
      <w:lvlJc w:val="left"/>
      <w:pPr>
        <w:ind w:left="5030" w:hanging="432"/>
      </w:pPr>
      <w:rPr>
        <w:rFonts w:hint="default"/>
      </w:rPr>
    </w:lvl>
    <w:lvl w:ilvl="6" w:tentative="0">
      <w:start w:val="1"/>
      <w:numFmt w:val="bullet"/>
      <w:lvlText w:val="•"/>
      <w:lvlJc w:val="left"/>
      <w:pPr>
        <w:ind w:left="5928" w:hanging="432"/>
      </w:pPr>
      <w:rPr>
        <w:rFonts w:hint="default"/>
      </w:rPr>
    </w:lvl>
    <w:lvl w:ilvl="7" w:tentative="0">
      <w:start w:val="1"/>
      <w:numFmt w:val="bullet"/>
      <w:lvlText w:val="•"/>
      <w:lvlJc w:val="left"/>
      <w:pPr>
        <w:ind w:left="6826" w:hanging="432"/>
      </w:pPr>
      <w:rPr>
        <w:rFonts w:hint="default"/>
      </w:rPr>
    </w:lvl>
    <w:lvl w:ilvl="8" w:tentative="0">
      <w:start w:val="1"/>
      <w:numFmt w:val="bullet"/>
      <w:lvlText w:val="•"/>
      <w:lvlJc w:val="left"/>
      <w:pPr>
        <w:ind w:left="7724" w:hanging="432"/>
      </w:pPr>
      <w:rPr>
        <w:rFonts w:hint="default"/>
      </w:rPr>
    </w:lvl>
  </w:abstractNum>
  <w:abstractNum w:abstractNumId="2">
    <w:nsid w:val="45604521"/>
    <w:multiLevelType w:val="multilevel"/>
    <w:tmpl w:val="45604521"/>
    <w:lvl w:ilvl="0" w:tentative="0">
      <w:start w:val="1"/>
      <w:numFmt w:val="decimal"/>
      <w:lvlText w:val="%1."/>
      <w:lvlJc w:val="left"/>
      <w:pPr>
        <w:ind w:left="532" w:hanging="432"/>
      </w:pPr>
      <w:rPr>
        <w:rFonts w:hint="default" w:ascii="Arial" w:hAnsi="Arial" w:eastAsia="Times New Roman" w:cs="Arial"/>
        <w:spacing w:val="-1"/>
        <w:w w:val="99"/>
        <w:sz w:val="24"/>
        <w:szCs w:val="24"/>
      </w:rPr>
    </w:lvl>
    <w:lvl w:ilvl="1" w:tentative="0">
      <w:start w:val="1"/>
      <w:numFmt w:val="bullet"/>
      <w:lvlText w:val="•"/>
      <w:lvlJc w:val="left"/>
      <w:pPr>
        <w:ind w:left="1442" w:hanging="432"/>
      </w:pPr>
      <w:rPr>
        <w:rFonts w:hint="default"/>
      </w:rPr>
    </w:lvl>
    <w:lvl w:ilvl="2" w:tentative="0">
      <w:start w:val="1"/>
      <w:numFmt w:val="bullet"/>
      <w:lvlText w:val="•"/>
      <w:lvlJc w:val="left"/>
      <w:pPr>
        <w:ind w:left="2344" w:hanging="432"/>
      </w:pPr>
      <w:rPr>
        <w:rFonts w:hint="default"/>
      </w:rPr>
    </w:lvl>
    <w:lvl w:ilvl="3" w:tentative="0">
      <w:start w:val="1"/>
      <w:numFmt w:val="bullet"/>
      <w:lvlText w:val="•"/>
      <w:lvlJc w:val="left"/>
      <w:pPr>
        <w:ind w:left="3246" w:hanging="432"/>
      </w:pPr>
      <w:rPr>
        <w:rFonts w:hint="default"/>
      </w:rPr>
    </w:lvl>
    <w:lvl w:ilvl="4" w:tentative="0">
      <w:start w:val="1"/>
      <w:numFmt w:val="bullet"/>
      <w:lvlText w:val="•"/>
      <w:lvlJc w:val="left"/>
      <w:pPr>
        <w:ind w:left="4148" w:hanging="432"/>
      </w:pPr>
      <w:rPr>
        <w:rFonts w:hint="default"/>
      </w:rPr>
    </w:lvl>
    <w:lvl w:ilvl="5" w:tentative="0">
      <w:start w:val="1"/>
      <w:numFmt w:val="bullet"/>
      <w:lvlText w:val="•"/>
      <w:lvlJc w:val="left"/>
      <w:pPr>
        <w:ind w:left="5050" w:hanging="432"/>
      </w:pPr>
      <w:rPr>
        <w:rFonts w:hint="default"/>
      </w:rPr>
    </w:lvl>
    <w:lvl w:ilvl="6" w:tentative="0">
      <w:start w:val="1"/>
      <w:numFmt w:val="bullet"/>
      <w:lvlText w:val="•"/>
      <w:lvlJc w:val="left"/>
      <w:pPr>
        <w:ind w:left="5952" w:hanging="432"/>
      </w:pPr>
      <w:rPr>
        <w:rFonts w:hint="default"/>
      </w:rPr>
    </w:lvl>
    <w:lvl w:ilvl="7" w:tentative="0">
      <w:start w:val="1"/>
      <w:numFmt w:val="bullet"/>
      <w:lvlText w:val="•"/>
      <w:lvlJc w:val="left"/>
      <w:pPr>
        <w:ind w:left="6854" w:hanging="432"/>
      </w:pPr>
      <w:rPr>
        <w:rFonts w:hint="default"/>
      </w:rPr>
    </w:lvl>
    <w:lvl w:ilvl="8" w:tentative="0">
      <w:start w:val="1"/>
      <w:numFmt w:val="bullet"/>
      <w:lvlText w:val="•"/>
      <w:lvlJc w:val="left"/>
      <w:pPr>
        <w:ind w:left="7756" w:hanging="432"/>
      </w:pPr>
      <w:rPr>
        <w:rFonts w:hint="default"/>
      </w:rPr>
    </w:lvl>
  </w:abstractNum>
  <w:abstractNum w:abstractNumId="3">
    <w:nsid w:val="47E90ABF"/>
    <w:multiLevelType w:val="multilevel"/>
    <w:tmpl w:val="47E90ABF"/>
    <w:lvl w:ilvl="0" w:tentative="0">
      <w:start w:val="1"/>
      <w:numFmt w:val="decimal"/>
      <w:lvlText w:val="%1."/>
      <w:lvlJc w:val="left"/>
      <w:pPr>
        <w:ind w:left="820" w:hanging="720"/>
      </w:pPr>
      <w:rPr>
        <w:rFonts w:hint="default" w:ascii="Arial" w:hAnsi="Arial" w:eastAsia="Times New Roman" w:cs="Arial"/>
        <w:spacing w:val="-5"/>
        <w:w w:val="99"/>
        <w:sz w:val="24"/>
        <w:szCs w:val="24"/>
      </w:rPr>
    </w:lvl>
    <w:lvl w:ilvl="1" w:tentative="0">
      <w:start w:val="1"/>
      <w:numFmt w:val="bullet"/>
      <w:lvlText w:val="•"/>
      <w:lvlJc w:val="left"/>
      <w:pPr>
        <w:ind w:left="1692" w:hanging="720"/>
      </w:pPr>
      <w:rPr>
        <w:rFonts w:hint="default"/>
      </w:rPr>
    </w:lvl>
    <w:lvl w:ilvl="2" w:tentative="0">
      <w:start w:val="1"/>
      <w:numFmt w:val="bullet"/>
      <w:lvlText w:val="•"/>
      <w:lvlJc w:val="left"/>
      <w:pPr>
        <w:ind w:left="2564" w:hanging="720"/>
      </w:pPr>
      <w:rPr>
        <w:rFonts w:hint="default"/>
      </w:rPr>
    </w:lvl>
    <w:lvl w:ilvl="3" w:tentative="0">
      <w:start w:val="1"/>
      <w:numFmt w:val="bullet"/>
      <w:lvlText w:val="•"/>
      <w:lvlJc w:val="left"/>
      <w:pPr>
        <w:ind w:left="3436" w:hanging="720"/>
      </w:pPr>
      <w:rPr>
        <w:rFonts w:hint="default"/>
      </w:rPr>
    </w:lvl>
    <w:lvl w:ilvl="4" w:tentative="0">
      <w:start w:val="1"/>
      <w:numFmt w:val="bullet"/>
      <w:lvlText w:val="•"/>
      <w:lvlJc w:val="left"/>
      <w:pPr>
        <w:ind w:left="4308" w:hanging="720"/>
      </w:pPr>
      <w:rPr>
        <w:rFonts w:hint="default"/>
      </w:rPr>
    </w:lvl>
    <w:lvl w:ilvl="5" w:tentative="0">
      <w:start w:val="1"/>
      <w:numFmt w:val="bullet"/>
      <w:lvlText w:val="•"/>
      <w:lvlJc w:val="left"/>
      <w:pPr>
        <w:ind w:left="5180" w:hanging="720"/>
      </w:pPr>
      <w:rPr>
        <w:rFonts w:hint="default"/>
      </w:rPr>
    </w:lvl>
    <w:lvl w:ilvl="6" w:tentative="0">
      <w:start w:val="1"/>
      <w:numFmt w:val="bullet"/>
      <w:lvlText w:val="•"/>
      <w:lvlJc w:val="left"/>
      <w:pPr>
        <w:ind w:left="6052" w:hanging="720"/>
      </w:pPr>
      <w:rPr>
        <w:rFonts w:hint="default"/>
      </w:rPr>
    </w:lvl>
    <w:lvl w:ilvl="7" w:tentative="0">
      <w:start w:val="1"/>
      <w:numFmt w:val="bullet"/>
      <w:lvlText w:val="•"/>
      <w:lvlJc w:val="left"/>
      <w:pPr>
        <w:ind w:left="6924" w:hanging="720"/>
      </w:pPr>
      <w:rPr>
        <w:rFonts w:hint="default"/>
      </w:rPr>
    </w:lvl>
    <w:lvl w:ilvl="8" w:tentative="0">
      <w:start w:val="1"/>
      <w:numFmt w:val="bullet"/>
      <w:lvlText w:val="•"/>
      <w:lvlJc w:val="left"/>
      <w:pPr>
        <w:ind w:left="7796" w:hanging="720"/>
      </w:pPr>
      <w:rPr>
        <w:rFonts w:hint="default"/>
      </w:rPr>
    </w:lvl>
  </w:abstractNum>
  <w:abstractNum w:abstractNumId="4">
    <w:nsid w:val="4E402ADF"/>
    <w:multiLevelType w:val="multilevel"/>
    <w:tmpl w:val="4E402ADF"/>
    <w:lvl w:ilvl="0" w:tentative="0">
      <w:start w:val="1"/>
      <w:numFmt w:val="bullet"/>
      <w:lvlText w:val=""/>
      <w:lvlJc w:val="left"/>
      <w:pPr>
        <w:ind w:left="460" w:hanging="360"/>
      </w:pPr>
      <w:rPr>
        <w:rFonts w:hint="default" w:ascii="Symbol" w:hAnsi="Symbol" w:eastAsia="Symbol"/>
        <w:w w:val="100"/>
        <w:sz w:val="24"/>
        <w:szCs w:val="24"/>
      </w:rPr>
    </w:lvl>
    <w:lvl w:ilvl="1" w:tentative="0">
      <w:start w:val="1"/>
      <w:numFmt w:val="bullet"/>
      <w:lvlText w:val="•"/>
      <w:lvlJc w:val="left"/>
      <w:pPr>
        <w:ind w:left="1362" w:hanging="360"/>
      </w:pPr>
      <w:rPr>
        <w:rFonts w:hint="default"/>
      </w:rPr>
    </w:lvl>
    <w:lvl w:ilvl="2" w:tentative="0">
      <w:start w:val="1"/>
      <w:numFmt w:val="bullet"/>
      <w:lvlText w:val="•"/>
      <w:lvlJc w:val="left"/>
      <w:pPr>
        <w:ind w:left="2264" w:hanging="360"/>
      </w:pPr>
      <w:rPr>
        <w:rFonts w:hint="default"/>
      </w:rPr>
    </w:lvl>
    <w:lvl w:ilvl="3" w:tentative="0">
      <w:start w:val="1"/>
      <w:numFmt w:val="bullet"/>
      <w:lvlText w:val="•"/>
      <w:lvlJc w:val="left"/>
      <w:pPr>
        <w:ind w:left="3166" w:hanging="360"/>
      </w:pPr>
      <w:rPr>
        <w:rFonts w:hint="default"/>
      </w:rPr>
    </w:lvl>
    <w:lvl w:ilvl="4" w:tentative="0">
      <w:start w:val="1"/>
      <w:numFmt w:val="bullet"/>
      <w:lvlText w:val="•"/>
      <w:lvlJc w:val="left"/>
      <w:pPr>
        <w:ind w:left="4068" w:hanging="360"/>
      </w:pPr>
      <w:rPr>
        <w:rFonts w:hint="default"/>
      </w:rPr>
    </w:lvl>
    <w:lvl w:ilvl="5" w:tentative="0">
      <w:start w:val="1"/>
      <w:numFmt w:val="bullet"/>
      <w:lvlText w:val="•"/>
      <w:lvlJc w:val="left"/>
      <w:pPr>
        <w:ind w:left="4970" w:hanging="360"/>
      </w:pPr>
      <w:rPr>
        <w:rFonts w:hint="default"/>
      </w:rPr>
    </w:lvl>
    <w:lvl w:ilvl="6" w:tentative="0">
      <w:start w:val="1"/>
      <w:numFmt w:val="bullet"/>
      <w:lvlText w:val="•"/>
      <w:lvlJc w:val="left"/>
      <w:pPr>
        <w:ind w:left="5872" w:hanging="360"/>
      </w:pPr>
      <w:rPr>
        <w:rFonts w:hint="default"/>
      </w:rPr>
    </w:lvl>
    <w:lvl w:ilvl="7" w:tentative="0">
      <w:start w:val="1"/>
      <w:numFmt w:val="bullet"/>
      <w:lvlText w:val="•"/>
      <w:lvlJc w:val="left"/>
      <w:pPr>
        <w:ind w:left="6774" w:hanging="360"/>
      </w:pPr>
      <w:rPr>
        <w:rFonts w:hint="default"/>
      </w:rPr>
    </w:lvl>
    <w:lvl w:ilvl="8" w:tentative="0">
      <w:start w:val="1"/>
      <w:numFmt w:val="bullet"/>
      <w:lvlText w:val="•"/>
      <w:lvlJc w:val="left"/>
      <w:pPr>
        <w:ind w:left="7676" w:hanging="360"/>
      </w:pPr>
      <w:rPr>
        <w:rFonts w:hint="default"/>
      </w:rPr>
    </w:lvl>
  </w:abstractNum>
  <w:abstractNum w:abstractNumId="5">
    <w:nsid w:val="4F8F54C0"/>
    <w:multiLevelType w:val="multilevel"/>
    <w:tmpl w:val="4F8F54C0"/>
    <w:lvl w:ilvl="0" w:tentative="0">
      <w:start w:val="1"/>
      <w:numFmt w:val="decimal"/>
      <w:lvlText w:val="%1."/>
      <w:lvlJc w:val="left"/>
      <w:pPr>
        <w:ind w:left="820" w:hanging="720"/>
      </w:pPr>
      <w:rPr>
        <w:rFonts w:hint="default" w:ascii="Arial" w:hAnsi="Arial" w:eastAsia="Times New Roman" w:cs="Arial"/>
        <w:spacing w:val="-1"/>
        <w:w w:val="100"/>
        <w:sz w:val="24"/>
        <w:szCs w:val="24"/>
      </w:rPr>
    </w:lvl>
    <w:lvl w:ilvl="1" w:tentative="0">
      <w:start w:val="1"/>
      <w:numFmt w:val="lowerLetter"/>
      <w:lvlText w:val="(%2)"/>
      <w:lvlJc w:val="left"/>
      <w:pPr>
        <w:ind w:left="1542" w:hanging="722"/>
      </w:pPr>
      <w:rPr>
        <w:rFonts w:hint="default" w:ascii="Arial" w:hAnsi="Arial" w:eastAsia="Times New Roman" w:cs="Arial"/>
        <w:spacing w:val="-1"/>
        <w:w w:val="100"/>
        <w:sz w:val="24"/>
        <w:szCs w:val="24"/>
      </w:rPr>
    </w:lvl>
    <w:lvl w:ilvl="2" w:tentative="0">
      <w:start w:val="1"/>
      <w:numFmt w:val="bullet"/>
      <w:lvlText w:val="•"/>
      <w:lvlJc w:val="left"/>
      <w:pPr>
        <w:ind w:left="2428" w:hanging="722"/>
      </w:pPr>
      <w:rPr>
        <w:rFonts w:hint="default"/>
      </w:rPr>
    </w:lvl>
    <w:lvl w:ilvl="3" w:tentative="0">
      <w:start w:val="1"/>
      <w:numFmt w:val="bullet"/>
      <w:lvlText w:val="•"/>
      <w:lvlJc w:val="left"/>
      <w:pPr>
        <w:ind w:left="3317" w:hanging="722"/>
      </w:pPr>
      <w:rPr>
        <w:rFonts w:hint="default"/>
      </w:rPr>
    </w:lvl>
    <w:lvl w:ilvl="4" w:tentative="0">
      <w:start w:val="1"/>
      <w:numFmt w:val="bullet"/>
      <w:lvlText w:val="•"/>
      <w:lvlJc w:val="left"/>
      <w:pPr>
        <w:ind w:left="4206" w:hanging="722"/>
      </w:pPr>
      <w:rPr>
        <w:rFonts w:hint="default"/>
      </w:rPr>
    </w:lvl>
    <w:lvl w:ilvl="5" w:tentative="0">
      <w:start w:val="1"/>
      <w:numFmt w:val="bullet"/>
      <w:lvlText w:val="•"/>
      <w:lvlJc w:val="left"/>
      <w:pPr>
        <w:ind w:left="5095" w:hanging="722"/>
      </w:pPr>
      <w:rPr>
        <w:rFonts w:hint="default"/>
      </w:rPr>
    </w:lvl>
    <w:lvl w:ilvl="6" w:tentative="0">
      <w:start w:val="1"/>
      <w:numFmt w:val="bullet"/>
      <w:lvlText w:val="•"/>
      <w:lvlJc w:val="left"/>
      <w:pPr>
        <w:ind w:left="5984" w:hanging="722"/>
      </w:pPr>
      <w:rPr>
        <w:rFonts w:hint="default"/>
      </w:rPr>
    </w:lvl>
    <w:lvl w:ilvl="7" w:tentative="0">
      <w:start w:val="1"/>
      <w:numFmt w:val="bullet"/>
      <w:lvlText w:val="•"/>
      <w:lvlJc w:val="left"/>
      <w:pPr>
        <w:ind w:left="6873" w:hanging="722"/>
      </w:pPr>
      <w:rPr>
        <w:rFonts w:hint="default"/>
      </w:rPr>
    </w:lvl>
    <w:lvl w:ilvl="8" w:tentative="0">
      <w:start w:val="1"/>
      <w:numFmt w:val="bullet"/>
      <w:lvlText w:val="•"/>
      <w:lvlJc w:val="left"/>
      <w:pPr>
        <w:ind w:left="7762" w:hanging="722"/>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B1"/>
    <w:rsid w:val="00025720"/>
    <w:rsid w:val="0007499E"/>
    <w:rsid w:val="00093356"/>
    <w:rsid w:val="000D7317"/>
    <w:rsid w:val="001257CD"/>
    <w:rsid w:val="00135B22"/>
    <w:rsid w:val="001654A5"/>
    <w:rsid w:val="002808F9"/>
    <w:rsid w:val="002879C8"/>
    <w:rsid w:val="002B341B"/>
    <w:rsid w:val="00330961"/>
    <w:rsid w:val="003326CA"/>
    <w:rsid w:val="003B057E"/>
    <w:rsid w:val="004002D3"/>
    <w:rsid w:val="00405688"/>
    <w:rsid w:val="00475B4A"/>
    <w:rsid w:val="004A5CD8"/>
    <w:rsid w:val="004B1572"/>
    <w:rsid w:val="00500F4A"/>
    <w:rsid w:val="0055065F"/>
    <w:rsid w:val="0058719E"/>
    <w:rsid w:val="005A1FA7"/>
    <w:rsid w:val="005A4C3B"/>
    <w:rsid w:val="005B3E6D"/>
    <w:rsid w:val="005C5722"/>
    <w:rsid w:val="005D30D9"/>
    <w:rsid w:val="005F3ADD"/>
    <w:rsid w:val="00642D9D"/>
    <w:rsid w:val="00710505"/>
    <w:rsid w:val="00722E73"/>
    <w:rsid w:val="00765D4E"/>
    <w:rsid w:val="00787B97"/>
    <w:rsid w:val="007A5A79"/>
    <w:rsid w:val="007E2E91"/>
    <w:rsid w:val="007F42A6"/>
    <w:rsid w:val="00831DF1"/>
    <w:rsid w:val="0085056B"/>
    <w:rsid w:val="00861867"/>
    <w:rsid w:val="00882BD6"/>
    <w:rsid w:val="0092356B"/>
    <w:rsid w:val="00941306"/>
    <w:rsid w:val="00945DD0"/>
    <w:rsid w:val="00972CB1"/>
    <w:rsid w:val="0098328B"/>
    <w:rsid w:val="0098474F"/>
    <w:rsid w:val="009C3A31"/>
    <w:rsid w:val="009D7512"/>
    <w:rsid w:val="00A62A34"/>
    <w:rsid w:val="00A70CF2"/>
    <w:rsid w:val="00A92F35"/>
    <w:rsid w:val="00B266C5"/>
    <w:rsid w:val="00B57703"/>
    <w:rsid w:val="00B714C9"/>
    <w:rsid w:val="00B80D23"/>
    <w:rsid w:val="00B92B5D"/>
    <w:rsid w:val="00BC7C1F"/>
    <w:rsid w:val="00C24106"/>
    <w:rsid w:val="00C2604F"/>
    <w:rsid w:val="00C46D3A"/>
    <w:rsid w:val="00C66214"/>
    <w:rsid w:val="00CA7814"/>
    <w:rsid w:val="00CD79A1"/>
    <w:rsid w:val="00CF7E94"/>
    <w:rsid w:val="00D026A7"/>
    <w:rsid w:val="00D60529"/>
    <w:rsid w:val="00DF77C6"/>
    <w:rsid w:val="00E00154"/>
    <w:rsid w:val="00E60F3D"/>
    <w:rsid w:val="00E67111"/>
    <w:rsid w:val="00EF75BC"/>
    <w:rsid w:val="00F1034F"/>
    <w:rsid w:val="00F80540"/>
    <w:rsid w:val="00F924F1"/>
    <w:rsid w:val="00F96D0C"/>
    <w:rsid w:val="00FA7770"/>
    <w:rsid w:val="00FB48AE"/>
    <w:rsid w:val="00FE15A2"/>
    <w:rsid w:val="00FE6002"/>
    <w:rsid w:val="45310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00"/>
      <w:outlineLvl w:val="0"/>
    </w:pPr>
    <w:rPr>
      <w:rFonts w:ascii="Times New Roman" w:hAnsi="Times New Roman" w:eastAsia="Times New Roman"/>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Times New Roman" w:hAnsi="Times New Roman" w:eastAsia="Times New Roman"/>
      <w:sz w:val="24"/>
      <w:szCs w:val="24"/>
    </w:rPr>
  </w:style>
  <w:style w:type="paragraph" w:styleId="4">
    <w:name w:val="Balloon Text"/>
    <w:basedOn w:val="1"/>
    <w:link w:val="14"/>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6"/>
    <w:qFormat/>
    <w:uiPriority w:val="99"/>
    <w:rPr>
      <w:sz w:val="18"/>
      <w:szCs w:val="18"/>
    </w:rPr>
  </w:style>
  <w:style w:type="character" w:customStyle="1" w:styleId="13">
    <w:name w:val="页脚 Char"/>
    <w:basedOn w:val="8"/>
    <w:link w:val="5"/>
    <w:uiPriority w:val="99"/>
    <w:rPr>
      <w:sz w:val="18"/>
      <w:szCs w:val="18"/>
    </w:rPr>
  </w:style>
  <w:style w:type="character" w:customStyle="1" w:styleId="14">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837718-4AC0-4024-91A9-DF7B9A3A7A6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7677</Words>
  <Characters>10218</Characters>
  <Lines>76</Lines>
  <Paragraphs>21</Paragraphs>
  <TotalTime>0</TotalTime>
  <ScaleCrop>false</ScaleCrop>
  <LinksUpToDate>false</LinksUpToDate>
  <CharactersWithSpaces>10632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2017-06-08T09:47:00Z</dcterms:created>
  <dc:creator>cathy-wen</dc:creator>
  <cp:lastModifiedBy>太极箫客</cp:lastModifiedBy>
  <dcterms:modified xsi:type="dcterms:W3CDTF">2025-08-14T06:47:01Z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1998-06-30T00:00:00Z</vt:filetime>
  </property>
  <property fmtid="{D5CDD505-2E9C-101B-9397-08002B2CF9AE}" pid="3" name="LastSaved">
    <vt:filetime>2017-03-18T00:00:00Z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EF406C4400C44EFCA56FD139658B99E4_12</vt:lpwstr>
  </property>
</Properties>
</file>