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CellSpacing w:w="0" w:type="dxa"/>
        <w:tblInd w:w="0" w:type="dxa"/>
        <w:tblLayout w:type="autofit"/>
        <w:tblCellMar>
          <w:top w:w="0" w:type="dxa"/>
          <w:left w:w="0" w:type="dxa"/>
          <w:bottom w:w="0" w:type="dxa"/>
          <w:right w:w="0" w:type="dxa"/>
        </w:tblCellMar>
      </w:tblPr>
      <w:tblGrid>
        <w:gridCol w:w="8306"/>
      </w:tblGrid>
      <w:tr w14:paraId="5634454C">
        <w:tblPrEx>
          <w:tblCellMar>
            <w:top w:w="0" w:type="dxa"/>
            <w:left w:w="0" w:type="dxa"/>
            <w:bottom w:w="0" w:type="dxa"/>
            <w:right w:w="0" w:type="dxa"/>
          </w:tblCellMar>
        </w:tblPrEx>
        <w:trPr>
          <w:tblCellSpacing w:w="0" w:type="dxa"/>
        </w:trPr>
        <w:tc>
          <w:tcPr>
            <w:tcW w:w="0" w:type="auto"/>
            <w:vAlign w:val="center"/>
          </w:tcPr>
          <w:p w14:paraId="74504860">
            <w:pPr>
              <w:widowControl/>
              <w:jc w:val="center"/>
              <w:rPr>
                <w:rFonts w:ascii="宋体" w:hAnsi="宋体" w:eastAsia="宋体" w:cs="宋体"/>
                <w:kern w:val="0"/>
                <w:sz w:val="24"/>
                <w:szCs w:val="24"/>
              </w:rPr>
            </w:pPr>
            <w:bookmarkStart w:id="0" w:name="_GoBack"/>
            <w:bookmarkEnd w:id="0"/>
            <w:r>
              <w:rPr>
                <w:rFonts w:ascii="宋体" w:hAnsi="宋体" w:eastAsia="宋体" w:cs="宋体"/>
                <w:kern w:val="0"/>
                <w:sz w:val="24"/>
                <w:szCs w:val="24"/>
              </w:rPr>
              <w:t xml:space="preserve">《国家食品药品监督管理总局关于调整部分医疗器械行政审批事项审批程序的决定》（国家食品药品监督管理总局令第32号） </w:t>
            </w:r>
          </w:p>
        </w:tc>
      </w:tr>
      <w:tr w14:paraId="2AA2854E">
        <w:tblPrEx>
          <w:tblCellMar>
            <w:top w:w="0" w:type="dxa"/>
            <w:left w:w="0" w:type="dxa"/>
            <w:bottom w:w="0" w:type="dxa"/>
            <w:right w:w="0" w:type="dxa"/>
          </w:tblCellMar>
        </w:tblPrEx>
        <w:trPr>
          <w:tblCellSpacing w:w="0" w:type="dxa"/>
        </w:trPr>
        <w:tc>
          <w:tcPr>
            <w:tcW w:w="0" w:type="auto"/>
            <w:vAlign w:val="center"/>
          </w:tcPr>
          <w:p w14:paraId="09BC16EC">
            <w:pPr>
              <w:widowControl/>
              <w:jc w:val="center"/>
              <w:rPr>
                <w:rFonts w:ascii="宋体" w:hAnsi="宋体" w:eastAsia="宋体" w:cs="宋体"/>
                <w:kern w:val="0"/>
                <w:sz w:val="24"/>
                <w:szCs w:val="24"/>
              </w:rPr>
            </w:pPr>
          </w:p>
        </w:tc>
      </w:tr>
      <w:tr w14:paraId="5ECF45FC">
        <w:tblPrEx>
          <w:tblCellMar>
            <w:top w:w="0" w:type="dxa"/>
            <w:left w:w="0" w:type="dxa"/>
            <w:bottom w:w="0" w:type="dxa"/>
            <w:right w:w="0" w:type="dxa"/>
          </w:tblCellMar>
        </w:tblPrEx>
        <w:trPr>
          <w:tblCellSpacing w:w="0" w:type="dxa"/>
        </w:trPr>
        <w:tc>
          <w:tcPr>
            <w:tcW w:w="0" w:type="auto"/>
            <w:vAlign w:val="center"/>
          </w:tcPr>
          <w:tbl>
            <w:tblPr>
              <w:tblStyle w:val="4"/>
              <w:tblW w:w="0" w:type="auto"/>
              <w:jc w:val="right"/>
              <w:tblCellSpacing w:w="15" w:type="dxa"/>
              <w:tblLayout w:type="autofit"/>
              <w:tblCellMar>
                <w:top w:w="0" w:type="dxa"/>
                <w:left w:w="0" w:type="dxa"/>
                <w:bottom w:w="0" w:type="dxa"/>
                <w:right w:w="0" w:type="dxa"/>
              </w:tblCellMar>
            </w:tblPr>
            <w:tblGrid>
              <w:gridCol w:w="825"/>
              <w:gridCol w:w="2445"/>
            </w:tblGrid>
            <w:tr w14:paraId="3A810E9E">
              <w:trPr>
                <w:tblCellSpacing w:w="15" w:type="dxa"/>
                <w:jc w:val="right"/>
              </w:trPr>
              <w:tc>
                <w:tcPr>
                  <w:tcW w:w="0" w:type="auto"/>
                  <w:tcMar>
                    <w:top w:w="60" w:type="dxa"/>
                    <w:left w:w="0" w:type="dxa"/>
                    <w:bottom w:w="0" w:type="dxa"/>
                    <w:right w:w="0" w:type="dxa"/>
                  </w:tcMar>
                  <w:vAlign w:val="center"/>
                </w:tcPr>
                <w:p w14:paraId="06160EA4">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228600" cy="228600"/>
                        <wp:effectExtent l="19050" t="0" r="0" b="0"/>
                        <wp:docPr id="1" name="btnDown"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tnDown" descr="下载"/>
                                <pic:cNvPicPr>
                                  <a:picLocks noChangeAspect="1" noChangeArrowheads="1"/>
                                </pic:cNvPicPr>
                              </pic:nvPicPr>
                              <pic:blipFill>
                                <a:blip r:embed="rId4" cstate="print"/>
                                <a:srcRect/>
                                <a:stretch>
                                  <a:fillRect/>
                                </a:stretch>
                              </pic:blipFill>
                              <pic:spPr>
                                <a:xfrm>
                                  <a:off x="0" y="0"/>
                                  <a:ext cx="22860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228600" cy="228600"/>
                        <wp:effectExtent l="19050" t="0" r="0" b="0"/>
                        <wp:docPr id="2" name="btnPrint" descr="打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tnPrint" descr="打印"/>
                                <pic:cNvPicPr>
                                  <a:picLocks noChangeAspect="1" noChangeArrowheads="1"/>
                                </pic:cNvPicPr>
                              </pic:nvPicPr>
                              <pic:blipFill>
                                <a:blip r:embed="rId5" cstate="print"/>
                                <a:srcRect/>
                                <a:stretch>
                                  <a:fillRect/>
                                </a:stretch>
                              </pic:blipFill>
                              <pic:spPr>
                                <a:xfrm>
                                  <a:off x="0" y="0"/>
                                  <a:ext cx="228600" cy="228600"/>
                                </a:xfrm>
                                <a:prstGeom prst="rect">
                                  <a:avLst/>
                                </a:prstGeom>
                                <a:noFill/>
                                <a:ln w="9525">
                                  <a:noFill/>
                                  <a:miter lim="800000"/>
                                  <a:headEnd/>
                                  <a:tailEnd/>
                                </a:ln>
                              </pic:spPr>
                            </pic:pic>
                          </a:graphicData>
                        </a:graphic>
                      </wp:inline>
                    </w:drawing>
                  </w:r>
                </w:p>
              </w:tc>
              <w:tc>
                <w:tcPr>
                  <w:tcW w:w="0" w:type="auto"/>
                  <w:vAlign w:val="center"/>
                </w:tcPr>
                <w:p w14:paraId="7ABD6C31">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r>
                    <w:rPr>
                      <w:rFonts w:ascii="宋体" w:hAnsi="宋体" w:eastAsia="宋体" w:cs="宋体"/>
                      <w:color w:val="0000FF"/>
                      <w:kern w:val="0"/>
                      <w:sz w:val="24"/>
                      <w:szCs w:val="24"/>
                    </w:rPr>
                    <w:drawing>
                      <wp:inline distT="0" distB="0" distL="0" distR="0">
                        <wp:extent cx="228600" cy="228600"/>
                        <wp:effectExtent l="19050" t="0" r="0" b="0"/>
                        <wp:docPr id="3" name="图片 3" descr="分享到新浪微博">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分享到新浪微博"/>
                                <pic:cNvPicPr>
                                  <a:picLocks noChangeAspect="1" noChangeArrowheads="1"/>
                                </pic:cNvPicPr>
                              </pic:nvPicPr>
                              <pic:blipFill>
                                <a:blip r:embed="rId7" cstate="print"/>
                                <a:srcRect/>
                                <a:stretch>
                                  <a:fillRect/>
                                </a:stretch>
                              </pic:blipFill>
                              <pic:spPr>
                                <a:xfrm>
                                  <a:off x="0" y="0"/>
                                  <a:ext cx="228600" cy="228600"/>
                                </a:xfrm>
                                <a:prstGeom prst="rect">
                                  <a:avLst/>
                                </a:prstGeom>
                                <a:noFill/>
                                <a:ln w="9525">
                                  <a:noFill/>
                                  <a:miter lim="800000"/>
                                  <a:headEnd/>
                                  <a:tailEnd/>
                                </a:ln>
                              </pic:spPr>
                            </pic:pic>
                          </a:graphicData>
                        </a:graphic>
                      </wp:inline>
                    </w:drawing>
                  </w:r>
                  <w:r>
                    <w:rPr>
                      <w:rFonts w:ascii="宋体" w:hAnsi="宋体" w:eastAsia="宋体" w:cs="宋体"/>
                      <w:color w:val="0000FF"/>
                      <w:kern w:val="0"/>
                      <w:sz w:val="24"/>
                      <w:szCs w:val="24"/>
                    </w:rPr>
                    <w:drawing>
                      <wp:inline distT="0" distB="0" distL="0" distR="0">
                        <wp:extent cx="228600" cy="228600"/>
                        <wp:effectExtent l="19050" t="0" r="0" b="0"/>
                        <wp:docPr id="4" name="图片 4" descr="分享到腾讯微博">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分享到腾讯微博"/>
                                <pic:cNvPicPr>
                                  <a:picLocks noChangeAspect="1" noChangeArrowheads="1"/>
                                </pic:cNvPicPr>
                              </pic:nvPicPr>
                              <pic:blipFill>
                                <a:blip r:embed="rId9" cstate="print"/>
                                <a:srcRect/>
                                <a:stretch>
                                  <a:fillRect/>
                                </a:stretch>
                              </pic:blipFill>
                              <pic:spPr>
                                <a:xfrm>
                                  <a:off x="0" y="0"/>
                                  <a:ext cx="228600" cy="228600"/>
                                </a:xfrm>
                                <a:prstGeom prst="rect">
                                  <a:avLst/>
                                </a:prstGeom>
                                <a:noFill/>
                                <a:ln w="9525">
                                  <a:noFill/>
                                  <a:miter lim="800000"/>
                                  <a:headEnd/>
                                  <a:tailEnd/>
                                </a:ln>
                              </pic:spPr>
                            </pic:pic>
                          </a:graphicData>
                        </a:graphic>
                      </wp:inline>
                    </w:drawing>
                  </w:r>
                  <w:r>
                    <w:rPr>
                      <w:rFonts w:ascii="宋体" w:hAnsi="宋体" w:eastAsia="宋体" w:cs="宋体"/>
                      <w:color w:val="0000FF"/>
                      <w:kern w:val="0"/>
                      <w:sz w:val="24"/>
                      <w:szCs w:val="24"/>
                    </w:rPr>
                    <w:drawing>
                      <wp:inline distT="0" distB="0" distL="0" distR="0">
                        <wp:extent cx="228600" cy="228600"/>
                        <wp:effectExtent l="19050" t="0" r="0" b="0"/>
                        <wp:docPr id="5" name="图片 5" descr="分享到QQ空间">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分享到QQ空间"/>
                                <pic:cNvPicPr>
                                  <a:picLocks noChangeAspect="1" noChangeArrowheads="1"/>
                                </pic:cNvPicPr>
                              </pic:nvPicPr>
                              <pic:blipFill>
                                <a:blip r:embed="rId11" cstate="print"/>
                                <a:srcRect/>
                                <a:stretch>
                                  <a:fillRect/>
                                </a:stretch>
                              </pic:blipFill>
                              <pic:spPr>
                                <a:xfrm>
                                  <a:off x="0" y="0"/>
                                  <a:ext cx="228600" cy="228600"/>
                                </a:xfrm>
                                <a:prstGeom prst="rect">
                                  <a:avLst/>
                                </a:prstGeom>
                                <a:noFill/>
                                <a:ln w="9525">
                                  <a:noFill/>
                                  <a:miter lim="800000"/>
                                  <a:headEnd/>
                                  <a:tailEnd/>
                                </a:ln>
                              </pic:spPr>
                            </pic:pic>
                          </a:graphicData>
                        </a:graphic>
                      </wp:inline>
                    </w:drawing>
                  </w:r>
                  <w:r>
                    <w:rPr>
                      <w:rFonts w:ascii="宋体" w:hAnsi="宋体" w:eastAsia="宋体" w:cs="宋体"/>
                      <w:color w:val="0000FF"/>
                      <w:kern w:val="0"/>
                      <w:sz w:val="24"/>
                      <w:szCs w:val="24"/>
                    </w:rPr>
                    <w:drawing>
                      <wp:inline distT="0" distB="0" distL="0" distR="0">
                        <wp:extent cx="228600" cy="228600"/>
                        <wp:effectExtent l="19050" t="0" r="0" b="0"/>
                        <wp:docPr id="6" name="图片 6" descr="分享到微信">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分享到微信"/>
                                <pic:cNvPicPr>
                                  <a:picLocks noChangeAspect="1" noChangeArrowheads="1"/>
                                </pic:cNvPicPr>
                              </pic:nvPicPr>
                              <pic:blipFill>
                                <a:blip r:embed="rId13" cstate="print"/>
                                <a:srcRect/>
                                <a:stretch>
                                  <a:fillRect/>
                                </a:stretch>
                              </pic:blipFill>
                              <pic:spPr>
                                <a:xfrm>
                                  <a:off x="0" y="0"/>
                                  <a:ext cx="228600" cy="228600"/>
                                </a:xfrm>
                                <a:prstGeom prst="rect">
                                  <a:avLst/>
                                </a:prstGeom>
                                <a:noFill/>
                                <a:ln w="9525">
                                  <a:noFill/>
                                  <a:miter lim="800000"/>
                                  <a:headEnd/>
                                  <a:tailEnd/>
                                </a:ln>
                              </pic:spPr>
                            </pic:pic>
                          </a:graphicData>
                        </a:graphic>
                      </wp:inline>
                    </w:drawing>
                  </w:r>
                </w:p>
              </w:tc>
            </w:tr>
          </w:tbl>
          <w:p w14:paraId="1E168430">
            <w:pPr>
              <w:widowControl/>
              <w:jc w:val="right"/>
              <w:rPr>
                <w:rFonts w:ascii="宋体" w:hAnsi="宋体" w:eastAsia="宋体" w:cs="宋体"/>
                <w:kern w:val="0"/>
                <w:sz w:val="24"/>
                <w:szCs w:val="24"/>
              </w:rPr>
            </w:pPr>
          </w:p>
        </w:tc>
      </w:tr>
      <w:tr w14:paraId="431A4DAD">
        <w:tblPrEx>
          <w:tblCellMar>
            <w:top w:w="0" w:type="dxa"/>
            <w:left w:w="0" w:type="dxa"/>
            <w:bottom w:w="0" w:type="dxa"/>
            <w:right w:w="0" w:type="dxa"/>
          </w:tblCellMar>
        </w:tblPrEx>
        <w:trPr>
          <w:tblCellSpacing w:w="0" w:type="dxa"/>
        </w:trPr>
        <w:tc>
          <w:tcPr>
            <w:tcW w:w="0" w:type="auto"/>
            <w:vAlign w:val="center"/>
          </w:tcPr>
          <w:p w14:paraId="2E2AC80E">
            <w:pPr>
              <w:widowControl/>
              <w:jc w:val="left"/>
              <w:rPr>
                <w:rFonts w:ascii="宋体" w:hAnsi="宋体" w:eastAsia="宋体" w:cs="宋体"/>
                <w:kern w:val="0"/>
                <w:sz w:val="24"/>
                <w:szCs w:val="24"/>
              </w:rPr>
            </w:pPr>
            <w:r>
              <w:rPr>
                <w:rFonts w:ascii="宋体" w:hAnsi="宋体" w:eastAsia="宋体" w:cs="宋体"/>
                <w:kern w:val="0"/>
                <w:sz w:val="24"/>
                <w:szCs w:val="24"/>
              </w:rPr>
              <w:t xml:space="preserve">2017年04月06日 发布 </w:t>
            </w:r>
          </w:p>
        </w:tc>
      </w:tr>
      <w:tr w14:paraId="6F93BDE4">
        <w:tblPrEx>
          <w:tblCellMar>
            <w:top w:w="0" w:type="dxa"/>
            <w:left w:w="0" w:type="dxa"/>
            <w:bottom w:w="0" w:type="dxa"/>
            <w:right w:w="0" w:type="dxa"/>
          </w:tblCellMar>
        </w:tblPrEx>
        <w:trPr>
          <w:tblCellSpacing w:w="0" w:type="dxa"/>
        </w:trPr>
        <w:tc>
          <w:tcPr>
            <w:tcW w:w="0" w:type="auto"/>
            <w:vAlign w:val="center"/>
          </w:tcPr>
          <w:p w14:paraId="44C4919A">
            <w:pPr>
              <w:widowControl/>
              <w:jc w:val="left"/>
              <w:rPr>
                <w:rFonts w:ascii="宋体" w:hAnsi="宋体" w:eastAsia="宋体" w:cs="宋体"/>
                <w:kern w:val="0"/>
                <w:sz w:val="24"/>
                <w:szCs w:val="24"/>
              </w:rPr>
            </w:pPr>
          </w:p>
        </w:tc>
      </w:tr>
      <w:tr w14:paraId="148C09CE">
        <w:tblPrEx>
          <w:tblCellMar>
            <w:top w:w="0" w:type="dxa"/>
            <w:left w:w="0" w:type="dxa"/>
            <w:bottom w:w="0" w:type="dxa"/>
            <w:right w:w="0" w:type="dxa"/>
          </w:tblCellMar>
        </w:tblPrEx>
        <w:trPr>
          <w:tblCellSpacing w:w="0" w:type="dxa"/>
        </w:trPr>
        <w:tc>
          <w:tcPr>
            <w:tcW w:w="0" w:type="auto"/>
            <w:vAlign w:val="center"/>
          </w:tcPr>
          <w:p w14:paraId="0FAD3F93">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color w:val="FF0000"/>
                <w:kern w:val="0"/>
                <w:sz w:val="54"/>
              </w:rPr>
              <w:t>国家食品药品监督管理总局令</w:t>
            </w:r>
          </w:p>
          <w:p w14:paraId="4B87EB04">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t>第32号</w:t>
            </w:r>
          </w:p>
          <w:p w14:paraId="29598C5F">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《国家食品药品监督管理总局关于调整部分医疗器械行政审批事项审批程序的决定》已于2017年2月21日经国家食品药品监督管理总局局务会议审议通过，现予公布，自2017年7月1日起施行。</w:t>
            </w:r>
          </w:p>
          <w:p w14:paraId="4F648C02">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t>局长：毕井泉</w:t>
            </w:r>
            <w:r>
              <w:rPr>
                <w:rFonts w:ascii="宋体" w:hAnsi="宋体" w:eastAsia="宋体" w:cs="宋体"/>
                <w:kern w:val="0"/>
                <w:sz w:val="24"/>
                <w:szCs w:val="24"/>
              </w:rPr>
              <w:br w:type="textWrapping"/>
            </w:r>
            <w:r>
              <w:rPr>
                <w:rFonts w:ascii="宋体" w:hAnsi="宋体" w:eastAsia="宋体" w:cs="宋体"/>
                <w:kern w:val="0"/>
                <w:sz w:val="24"/>
                <w:szCs w:val="24"/>
              </w:rPr>
              <w:t>2017年3月20日</w:t>
            </w:r>
          </w:p>
          <w:p w14:paraId="7376B6FE">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b/>
                <w:bCs/>
                <w:kern w:val="0"/>
                <w:sz w:val="36"/>
              </w:rPr>
              <w:t>国家食品药品监督管理总局关于调整部分医疗器械行政审批事项审批程序的决定</w:t>
            </w:r>
          </w:p>
          <w:p w14:paraId="244660EA">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为贯彻落实《国务院关于改革药品医疗器械审评审批制度的意见》（国发〔2015〕44号）以及国务院有关行政审批制度改革精神，进一步加强医疗器械注册管理，切实提高审评审批效率，经国家食品药品监督管理总局局务会议研究决定，将下列由国家食品药品监督管理总局作出的医疗器械行政审批决定，调整为由国家食品药品监督管理总局医疗器械技术审评中心以国家食品药品监督管理总局名义作出：</w:t>
            </w:r>
            <w:r>
              <w:rPr>
                <w:rFonts w:ascii="宋体" w:hAnsi="宋体" w:eastAsia="宋体" w:cs="宋体"/>
                <w:kern w:val="0"/>
                <w:sz w:val="24"/>
                <w:szCs w:val="24"/>
              </w:rPr>
              <w:br w:type="textWrapping"/>
            </w:r>
            <w:r>
              <w:rPr>
                <w:rFonts w:ascii="宋体" w:hAnsi="宋体" w:eastAsia="宋体" w:cs="宋体"/>
                <w:kern w:val="0"/>
                <w:sz w:val="24"/>
                <w:szCs w:val="24"/>
              </w:rPr>
              <w:t>　　一、第三类高风险医疗器械临床试验审批决定；</w:t>
            </w:r>
            <w:r>
              <w:rPr>
                <w:rFonts w:ascii="宋体" w:hAnsi="宋体" w:eastAsia="宋体" w:cs="宋体"/>
                <w:kern w:val="0"/>
                <w:sz w:val="24"/>
                <w:szCs w:val="24"/>
              </w:rPr>
              <w:br w:type="textWrapping"/>
            </w:r>
            <w:r>
              <w:rPr>
                <w:rFonts w:ascii="宋体" w:hAnsi="宋体" w:eastAsia="宋体" w:cs="宋体"/>
                <w:kern w:val="0"/>
                <w:sz w:val="24"/>
                <w:szCs w:val="24"/>
              </w:rPr>
              <w:t>　　二、国产第三类医疗器械和进口医疗器械许可事项变更审批决定；</w:t>
            </w:r>
            <w:r>
              <w:rPr>
                <w:rFonts w:ascii="宋体" w:hAnsi="宋体" w:eastAsia="宋体" w:cs="宋体"/>
                <w:kern w:val="0"/>
                <w:sz w:val="24"/>
                <w:szCs w:val="24"/>
              </w:rPr>
              <w:br w:type="textWrapping"/>
            </w:r>
            <w:r>
              <w:rPr>
                <w:rFonts w:ascii="宋体" w:hAnsi="宋体" w:eastAsia="宋体" w:cs="宋体"/>
                <w:kern w:val="0"/>
                <w:sz w:val="24"/>
                <w:szCs w:val="24"/>
              </w:rPr>
              <w:t>　　三、国产第三类医疗器械和进口医疗器械延续注册审批决定。</w:t>
            </w:r>
            <w:r>
              <w:rPr>
                <w:rFonts w:ascii="宋体" w:hAnsi="宋体" w:eastAsia="宋体" w:cs="宋体"/>
                <w:kern w:val="0"/>
                <w:sz w:val="24"/>
                <w:szCs w:val="24"/>
              </w:rPr>
              <w:br w:type="textWrapping"/>
            </w:r>
            <w:r>
              <w:rPr>
                <w:rFonts w:ascii="宋体" w:hAnsi="宋体" w:eastAsia="宋体" w:cs="宋体"/>
                <w:kern w:val="0"/>
                <w:sz w:val="24"/>
                <w:szCs w:val="24"/>
              </w:rPr>
              <w:t>　　其他医疗器械注册申请的审批决定，按现程序，由国家食品药品监督管理总局作出。</w:t>
            </w:r>
            <w:r>
              <w:rPr>
                <w:rFonts w:ascii="宋体" w:hAnsi="宋体" w:eastAsia="宋体" w:cs="宋体"/>
                <w:kern w:val="0"/>
                <w:sz w:val="24"/>
                <w:szCs w:val="24"/>
              </w:rPr>
              <w:br w:type="textWrapping"/>
            </w:r>
            <w:r>
              <w:rPr>
                <w:rFonts w:ascii="宋体" w:hAnsi="宋体" w:eastAsia="宋体" w:cs="宋体"/>
                <w:kern w:val="0"/>
                <w:sz w:val="24"/>
                <w:szCs w:val="24"/>
              </w:rPr>
              <w:t>　　调整后的审批决定由国家食品药品监督管理总局医疗器械技术审评中心负责人签发。申请人对审批结论不服的，可以向国家食品药品监督管理总局提起行政复议或者依法提起行政诉讼。</w:t>
            </w:r>
            <w:r>
              <w:rPr>
                <w:rFonts w:ascii="宋体" w:hAnsi="宋体" w:eastAsia="宋体" w:cs="宋体"/>
                <w:kern w:val="0"/>
                <w:sz w:val="24"/>
                <w:szCs w:val="24"/>
              </w:rPr>
              <w:br w:type="textWrapping"/>
            </w:r>
            <w:r>
              <w:rPr>
                <w:rFonts w:ascii="宋体" w:hAnsi="宋体" w:eastAsia="宋体" w:cs="宋体"/>
                <w:kern w:val="0"/>
                <w:sz w:val="24"/>
                <w:szCs w:val="24"/>
              </w:rPr>
              <w:t>　　医疗器械监管相关规章中审批程序与本决定不一致的，按照本决定执行。</w:t>
            </w:r>
            <w:r>
              <w:rPr>
                <w:rFonts w:ascii="宋体" w:hAnsi="宋体" w:eastAsia="宋体" w:cs="宋体"/>
                <w:kern w:val="0"/>
                <w:sz w:val="24"/>
                <w:szCs w:val="24"/>
              </w:rPr>
              <w:br w:type="textWrapping"/>
            </w:r>
            <w:r>
              <w:rPr>
                <w:rFonts w:ascii="宋体" w:hAnsi="宋体" w:eastAsia="宋体" w:cs="宋体"/>
                <w:kern w:val="0"/>
                <w:sz w:val="24"/>
                <w:szCs w:val="24"/>
              </w:rPr>
              <w:t>　　本决定自2017年7月1日起施行。</w:t>
            </w:r>
          </w:p>
        </w:tc>
      </w:tr>
    </w:tbl>
    <w:p w14:paraId="415FBE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01384"/>
    <w:rsid w:val="0003631B"/>
    <w:rsid w:val="000F55D0"/>
    <w:rsid w:val="001448EE"/>
    <w:rsid w:val="001C2EDD"/>
    <w:rsid w:val="00201826"/>
    <w:rsid w:val="002303D8"/>
    <w:rsid w:val="002360D6"/>
    <w:rsid w:val="002B0DEE"/>
    <w:rsid w:val="003C5BCA"/>
    <w:rsid w:val="004D4674"/>
    <w:rsid w:val="00507177"/>
    <w:rsid w:val="005310E8"/>
    <w:rsid w:val="00613723"/>
    <w:rsid w:val="006148A6"/>
    <w:rsid w:val="006B401F"/>
    <w:rsid w:val="006B65F1"/>
    <w:rsid w:val="00701384"/>
    <w:rsid w:val="00773752"/>
    <w:rsid w:val="008B1F66"/>
    <w:rsid w:val="0096455C"/>
    <w:rsid w:val="009B45A6"/>
    <w:rsid w:val="00A71542"/>
    <w:rsid w:val="00AB5524"/>
    <w:rsid w:val="00AD6EA4"/>
    <w:rsid w:val="00BB61D9"/>
    <w:rsid w:val="00BD02B8"/>
    <w:rsid w:val="00CC5E67"/>
    <w:rsid w:val="00CC7AAD"/>
    <w:rsid w:val="00D5256E"/>
    <w:rsid w:val="00D75629"/>
    <w:rsid w:val="00E3406F"/>
    <w:rsid w:val="00E71AB9"/>
    <w:rsid w:val="00F110F8"/>
    <w:rsid w:val="4BD60C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hyperlink" Target="http://share.v.t.qq.com/index.php?c=share%26a=index%26title=%E3%80%8A%E5%9B%BD%E5%AE%B6%E9%A3%9F%E5%93%81%E8%8D%AF%E5%93%81%E7%9B%91%E7%9D%A3%E7%AE%A1%E7%90%86%E6%80%BB%E5%B1%80%E5%85%B3%E4%BA%8E%E8%B0%83%E6%95%B4%E9%83%A8%E5%88%86%E5%8C%BB%E7%96%97%E5%99%A8%E6%A2%B0%E8%A1%8C%E6%94%BF%E5%AE%A1%E6%89%B9%E4%BA%8B%E9%A1%B9%E5%AE%A1%E6%89%B9%E7%A8%8B%E5%BA%8F%E7%9A%84%E5%86%B3%E5%AE%9A%E3%80%8B%EF%BC%88%E5%9B%BD%E5%AE%B6%E9%A3%9F%E5%93%81%E8%8D%AF%E5%93%81%E7%9B%91%E7%9D%A3%E7%AE%A1%E7%90%86%E6%80%BB%E5%B1%80%E4%BB%A4%E7%AC%AC32%E5%8F%B7%EF%BC%89%26url=http%3A%2F%2Fsamr.cfda.gov.cn%2FWS01%2FCL0053%2F171404.html" TargetMode="External"/><Relationship Id="rId7" Type="http://schemas.openxmlformats.org/officeDocument/2006/relationships/image" Target="media/image3.GIF"/><Relationship Id="rId6" Type="http://schemas.openxmlformats.org/officeDocument/2006/relationships/hyperlink" Target="http://v.t.sina.com.cn/share/share.php?title=%E3%80%8A%E5%9B%BD%E5%AE%B6%E9%A3%9F%E5%93%81%E8%8D%AF%E5%93%81%E7%9B%91%E7%9D%A3%E7%AE%A1%E7%90%86%E6%80%BB%E5%B1%80%E5%85%B3%E4%BA%8E%E8%B0%83%E6%95%B4%E9%83%A8%E5%88%86%E5%8C%BB%E7%96%97%E5%99%A8%E6%A2%B0%E8%A1%8C%E6%94%BF%E5%AE%A1%E6%89%B9%E4%BA%8B%E9%A1%B9%E5%AE%A1%E6%89%B9%E7%A8%8B%E5%BA%8F%E7%9A%84%E5%86%B3%E5%AE%9A%E3%80%8B%EF%BC%88%E5%9B%BD%E5%AE%B6%E9%A3%9F%E5%93%81%E8%8D%AF%E5%93%81%E7%9B%91%E7%9D%A3%E7%AE%A1%E7%90%86%E6%80%BB%E5%B1%80%E4%BB%A4%E7%AC%AC32%E5%8F%B7%EF%BC%89%26url=http%3A%2F%2Fsamr.cfda.gov.cn%2FWS01%2FCL0053%2F171404.html" TargetMode="Externa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6.GIF"/><Relationship Id="rId12" Type="http://schemas.openxmlformats.org/officeDocument/2006/relationships/hyperlink" Target="http://samr.cfda.gov.cn/WS01/wbppcss/ewm.html?url=http%3A%2F%2Fsamr.cfda.gov.cn%2FWS01%2FCL0053%2F171404.html%26title=%E3%80%8A%E5%9B%BD%E5%AE%B6%E9%A3%9F%E5%93%81%E8%8D%AF%E5%93%81%E7%9B%91%E7%9D%A3%E7%AE%A1%E7%90%86%E6%80%BB%E5%B1%80%E5%85%B3%E4%BA%8E%E8%B0%83%E6%95%B4%E9%83%A8%E5%88%86%E5%8C%BB%E7%96%97%E5%99%A8%E6%A2%B0%E8%A1%8C%E6%94%BF%E5%AE%A1%E6%89%B9%E4%BA%8B%E9%A1%B9%E5%AE%A1%E6%89%B9%E7%A8%8B%E5%BA%8F%E7%9A%84%E5%86%B3%E5%AE%9A%E3%80%8B%EF%BC%88%E5%9B%BD%E5%AE%B6%E9%A3%9F%E5%93%81%E8%8D%AF%E5%93%81%E7%9B%91%E7%9D%A3%E7%AE%A1%E7%90%86%E6%80%BB%E5%B1%80%E4%BB%A4%E7%AC%AC32%E5%8F%B7%EF%BC%89" TargetMode="External"/><Relationship Id="rId11" Type="http://schemas.openxmlformats.org/officeDocument/2006/relationships/image" Target="media/image5.GIF"/><Relationship Id="rId10" Type="http://schemas.openxmlformats.org/officeDocument/2006/relationships/hyperlink" Target="http://sns.qzone.qq.com/cgi-bin/qzshare/cgi_qzshare_onekey?url=http%3A%2F%2Fsamr.cfda.gov.cn%2FWS01%2FCL0053%2F171404.html%26title=%E3%80%8A%E5%9B%BD%E5%AE%B6%E9%A3%9F%E5%93%81%E8%8D%AF%E5%93%81%E7%9B%91%E7%9D%A3%E7%AE%A1%E7%90%86%E6%80%BB%E5%B1%80%E5%85%B3%E4%BA%8E%E8%B0%83%E6%95%B4%E9%83%A8%E5%88%86%E5%8C%BB%E7%96%97%E5%99%A8%E6%A2%B0%E8%A1%8C%E6%94%BF%E5%AE%A1%E6%89%B9%E4%BA%8B%E9%A1%B9%E5%AE%A1%E6%89%B9%E7%A8%8B%E5%BA%8F%E7%9A%84%E5%86%B3%E5%AE%9A%E3%80%8B%EF%BC%88%E5%9B%BD%E5%AE%B6%E9%A3%9F%E5%93%81%E8%8D%AF%E5%93%81%E7%9B%91%E7%9D%A3%E7%AE%A1%E7%90%86%E6%80%BB%E5%B1%80%E4%BB%A4%E7%AC%AC32%E5%8F%B7%EF%BC%89%26api_key="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627</Words>
  <Characters>652</Characters>
  <Lines>5</Lines>
  <Paragraphs>1</Paragraphs>
  <TotalTime>0</TotalTime>
  <ScaleCrop>false</ScaleCrop>
  <LinksUpToDate>false</LinksUpToDate>
  <CharactersWithSpaces>677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2018-08-27T03:27:00Z</dcterms:created>
  <dc:creator>姜雨萌</dc:creator>
  <cp:lastModifiedBy>太极箫客</cp:lastModifiedBy>
  <dcterms:modified xsi:type="dcterms:W3CDTF">2025-08-14T06:46:54Z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5247958865244B15BA1F96E69E7AF4E5_12</vt:lpwstr>
  </property>
</Properties>
</file>