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F3B27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0"/>
        <w:jc w:val="center"/>
        <w:rPr>
          <w:rFonts w:ascii="΢���ź�" w:hAnsi="΢���ź�" w:eastAsia="΢���ź�" w:cs="΢���ź�"/>
          <w:i w:val="0"/>
          <w:iCs w:val="0"/>
          <w:caps w:val="0"/>
          <w:color w:val="0951C1"/>
          <w:spacing w:val="0"/>
          <w:sz w:val="20"/>
          <w:szCs w:val="20"/>
        </w:rPr>
      </w:pPr>
      <w:bookmarkStart w:id="0" w:name="_GoBack"/>
      <w:bookmarkEnd w:id="0"/>
      <w:r>
        <w:rPr>
          <w:rFonts w:hint="default" w:ascii="΢���ź�" w:hAnsi="΢���ź�" w:eastAsia="΢���ź�" w:cs="΢���ź�"/>
          <w:i w:val="0"/>
          <w:iCs w:val="0"/>
          <w:caps w:val="0"/>
          <w:color w:val="0951C1"/>
          <w:spacing w:val="0"/>
          <w:kern w:val="0"/>
          <w:sz w:val="20"/>
          <w:szCs w:val="20"/>
          <w:shd w:val="clear" w:fill="FFFFFF"/>
          <w:lang w:val="en-US" w:eastAsia="zh-CN" w:bidi="ar"/>
        </w:rPr>
        <w:t>国家医疗器械不良事件监测年度报告（2021年）</w:t>
      </w:r>
    </w:p>
    <w:p w14:paraId="74BA3C9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0"/>
        <w:jc w:val="center"/>
        <w:rPr>
          <w:rFonts w:hint="default" w:ascii="΢���ź�" w:hAnsi="΢���ź�" w:eastAsia="΢���ź�" w:cs="΢���ź�"/>
          <w:i w:val="0"/>
          <w:iCs w:val="0"/>
          <w:caps w:val="0"/>
          <w:color w:val="000000"/>
          <w:spacing w:val="0"/>
          <w:sz w:val="14"/>
          <w:szCs w:val="14"/>
        </w:rPr>
      </w:pPr>
      <w:r>
        <w:rPr>
          <w:rFonts w:hint="default" w:ascii="΢���ź�" w:hAnsi="΢���ź�" w:eastAsia="΢���ź�" w:cs="΢���ź�"/>
          <w:i w:val="0"/>
          <w:iCs w:val="0"/>
          <w:caps w:val="0"/>
          <w:color w:val="000000"/>
          <w:spacing w:val="0"/>
          <w:kern w:val="0"/>
          <w:sz w:val="14"/>
          <w:szCs w:val="14"/>
          <w:shd w:val="clear" w:fill="FFFFFF"/>
          <w:lang w:val="en-US" w:eastAsia="zh-CN" w:bidi="ar"/>
        </w:rPr>
        <w:t>发布日期：2022-03-15</w:t>
      </w:r>
    </w:p>
    <w:p w14:paraId="05B50D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640"/>
        <w:jc w:val="both"/>
        <w:rPr>
          <w:rFonts w:ascii="等线" w:hAnsi="等线" w:eastAsia="等线" w:cs="等线"/>
          <w:sz w:val="21"/>
          <w:szCs w:val="21"/>
        </w:rPr>
      </w:pPr>
      <w:r>
        <w:rPr>
          <w:rFonts w:hint="eastAsia" w:ascii="宋体" w:hAnsi="宋体" w:eastAsia="宋体" w:cs="宋体"/>
          <w:i w:val="0"/>
          <w:iCs w:val="0"/>
          <w:caps w:val="0"/>
          <w:color w:val="000000"/>
          <w:spacing w:val="0"/>
          <w:kern w:val="0"/>
          <w:sz w:val="24"/>
          <w:szCs w:val="24"/>
          <w:shd w:val="clear" w:fill="FFFFFF"/>
          <w:lang w:val="en-US" w:eastAsia="zh-CN" w:bidi="ar"/>
        </w:rPr>
        <w:t>为全面反映2021年我国医疗器械不良事件监测工作情况，国家药品不良反应监测中心编撰了《国家医疗器械不良事件监测年度报告（2021年）》。</w:t>
      </w:r>
    </w:p>
    <w:p w14:paraId="47EEB7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640"/>
        <w:jc w:val="both"/>
        <w:rPr>
          <w:rFonts w:hint="eastAsia" w:ascii="等线" w:hAnsi="等线" w:eastAsia="等线" w:cs="等线"/>
          <w:sz w:val="21"/>
          <w:szCs w:val="21"/>
        </w:rPr>
      </w:pPr>
      <w:r>
        <w:rPr>
          <w:rFonts w:hint="eastAsia" w:ascii="宋体" w:hAnsi="宋体" w:eastAsia="宋体" w:cs="宋体"/>
          <w:i w:val="0"/>
          <w:iCs w:val="0"/>
          <w:caps w:val="0"/>
          <w:color w:val="000000"/>
          <w:spacing w:val="0"/>
          <w:kern w:val="0"/>
          <w:sz w:val="24"/>
          <w:szCs w:val="24"/>
          <w:shd w:val="clear" w:fill="FFFFFF"/>
          <w:lang w:val="en-US" w:eastAsia="zh-CN" w:bidi="ar"/>
        </w:rPr>
        <w:t>一、医疗器械不良事件监测工作概况</w:t>
      </w:r>
    </w:p>
    <w:p w14:paraId="11EBB1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560"/>
        <w:jc w:val="both"/>
        <w:rPr>
          <w:rFonts w:hint="eastAsia" w:ascii="等线" w:hAnsi="等线" w:eastAsia="等线" w:cs="等线"/>
          <w:sz w:val="21"/>
          <w:szCs w:val="21"/>
        </w:rPr>
      </w:pPr>
      <w:r>
        <w:rPr>
          <w:rFonts w:hint="eastAsia" w:ascii="宋体" w:hAnsi="宋体" w:eastAsia="宋体" w:cs="宋体"/>
          <w:i w:val="0"/>
          <w:iCs w:val="0"/>
          <w:caps w:val="0"/>
          <w:color w:val="000000"/>
          <w:spacing w:val="0"/>
          <w:kern w:val="0"/>
          <w:sz w:val="24"/>
          <w:szCs w:val="24"/>
          <w:shd w:val="clear" w:fill="FFFFFF"/>
          <w:lang w:val="en-US" w:eastAsia="zh-CN" w:bidi="ar"/>
        </w:rPr>
        <w:t>2021年，我国医疗器械不良事件监测工作以贯彻“四个最严”要求为根本导向，以实施《医疗器械不良事件监测和再评价管理办法》（以下简称《办法》）为主要抓手，持续加强制度体系建设，深入开展产品风险评价，积极拓展宣传培训方式，不断强化医疗器械注册人和备案人（以下简称注册人）不良事件监测主体责任，全面提升风险预警和处置能力，为保障公众用械安全提供了强有力的技术支撑。</w:t>
      </w:r>
    </w:p>
    <w:p w14:paraId="058A98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560"/>
        <w:jc w:val="both"/>
        <w:rPr>
          <w:rFonts w:hint="eastAsia" w:ascii="等线" w:hAnsi="等线" w:eastAsia="等线" w:cs="等线"/>
          <w:sz w:val="21"/>
          <w:szCs w:val="21"/>
        </w:rPr>
      </w:pPr>
      <w:r>
        <w:rPr>
          <w:rFonts w:hint="eastAsia" w:ascii="宋体" w:hAnsi="宋体" w:eastAsia="宋体" w:cs="宋体"/>
          <w:i w:val="0"/>
          <w:iCs w:val="0"/>
          <w:caps w:val="0"/>
          <w:color w:val="000000"/>
          <w:spacing w:val="0"/>
          <w:kern w:val="0"/>
          <w:sz w:val="24"/>
          <w:szCs w:val="24"/>
          <w:shd w:val="clear" w:fill="FFFFFF"/>
          <w:lang w:val="en-US" w:eastAsia="zh-CN" w:bidi="ar"/>
        </w:rPr>
        <w:t>（一）稳步推进报告收集工作，不断扩大系统覆盖用户</w:t>
      </w:r>
    </w:p>
    <w:p w14:paraId="56A26A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560"/>
        <w:jc w:val="both"/>
        <w:rPr>
          <w:rFonts w:hint="eastAsia" w:ascii="等线" w:hAnsi="等线" w:eastAsia="等线" w:cs="等线"/>
          <w:sz w:val="21"/>
          <w:szCs w:val="21"/>
        </w:rPr>
      </w:pPr>
      <w:r>
        <w:rPr>
          <w:rFonts w:hint="eastAsia" w:ascii="宋体" w:hAnsi="宋体" w:eastAsia="宋体" w:cs="宋体"/>
          <w:i w:val="0"/>
          <w:iCs w:val="0"/>
          <w:caps w:val="0"/>
          <w:color w:val="000000"/>
          <w:spacing w:val="0"/>
          <w:kern w:val="0"/>
          <w:sz w:val="24"/>
          <w:szCs w:val="24"/>
          <w:shd w:val="clear" w:fill="FFFFFF"/>
          <w:lang w:val="en-US" w:eastAsia="zh-CN" w:bidi="ar"/>
        </w:rPr>
        <w:t>2021年，国家医疗器械不良事件监测信息系统接收到医疗器械不良事件报告65万余份，每百万人口平均报告数为461份。28个省（自治区、直辖市）的医疗器械不良事件报告县级覆盖率达到100%。医疗器械不良事件监测信息系统基层注册用户数量持续提升，达到37万余家，其中医疗器械注册人达29,436家。</w:t>
      </w:r>
    </w:p>
    <w:p w14:paraId="093DBC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640"/>
        <w:jc w:val="both"/>
        <w:rPr>
          <w:rFonts w:hint="eastAsia" w:ascii="等线" w:hAnsi="等线" w:eastAsia="等线" w:cs="等线"/>
          <w:sz w:val="21"/>
          <w:szCs w:val="21"/>
        </w:rPr>
      </w:pPr>
      <w:r>
        <w:rPr>
          <w:rFonts w:hint="eastAsia" w:ascii="宋体" w:hAnsi="宋体" w:eastAsia="宋体" w:cs="宋体"/>
          <w:i w:val="0"/>
          <w:iCs w:val="0"/>
          <w:caps w:val="0"/>
          <w:color w:val="000000"/>
          <w:spacing w:val="0"/>
          <w:kern w:val="0"/>
          <w:sz w:val="24"/>
          <w:szCs w:val="24"/>
          <w:shd w:val="clear" w:fill="FFFFFF"/>
          <w:lang w:val="en-US" w:eastAsia="zh-CN" w:bidi="ar"/>
        </w:rPr>
        <w:t>（二）深入开展产品风险评价，继续推进重点监测工作</w:t>
      </w:r>
    </w:p>
    <w:p w14:paraId="68E889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640"/>
        <w:jc w:val="both"/>
        <w:rPr>
          <w:rFonts w:hint="eastAsia" w:ascii="等线" w:hAnsi="等线" w:eastAsia="等线" w:cs="等线"/>
          <w:sz w:val="21"/>
          <w:szCs w:val="21"/>
        </w:rPr>
      </w:pPr>
      <w:r>
        <w:rPr>
          <w:rFonts w:hint="eastAsia" w:ascii="宋体" w:hAnsi="宋体" w:eastAsia="宋体" w:cs="宋体"/>
          <w:i w:val="0"/>
          <w:iCs w:val="0"/>
          <w:caps w:val="0"/>
          <w:color w:val="000000"/>
          <w:spacing w:val="0"/>
          <w:kern w:val="0"/>
          <w:sz w:val="24"/>
          <w:szCs w:val="24"/>
          <w:shd w:val="clear" w:fill="FFFFFF"/>
          <w:lang w:val="en-US" w:eastAsia="zh-CN" w:bidi="ar"/>
        </w:rPr>
        <w:t>2021年，全国医疗器械不良事件评价处置工作持续深入开展，不断强化日常监测、预警分析及季度汇总制度，及时处置监测发现风险。根据发现的风险情况，全年共发布《医疗器械不良事件信息通报》1期、《医疗器械警戒快讯》12期。在全面总结“十三五”医疗器械不良事件重点监测工作经验基础上，组织制定了“十四五”重点监测工作方案，启动37个医疗器械品种不良事件重点监测工作，助力医疗器械产业高质量发展。</w:t>
      </w:r>
    </w:p>
    <w:p w14:paraId="4643F8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640"/>
        <w:jc w:val="both"/>
        <w:rPr>
          <w:rFonts w:hint="eastAsia" w:ascii="等线" w:hAnsi="等线" w:eastAsia="等线" w:cs="等线"/>
          <w:sz w:val="21"/>
          <w:szCs w:val="21"/>
        </w:rPr>
      </w:pPr>
      <w:r>
        <w:rPr>
          <w:rFonts w:hint="eastAsia" w:ascii="宋体" w:hAnsi="宋体" w:eastAsia="宋体" w:cs="宋体"/>
          <w:i w:val="0"/>
          <w:iCs w:val="0"/>
          <w:caps w:val="0"/>
          <w:color w:val="000000"/>
          <w:spacing w:val="0"/>
          <w:kern w:val="0"/>
          <w:sz w:val="24"/>
          <w:szCs w:val="24"/>
          <w:shd w:val="clear" w:fill="FFFFFF"/>
          <w:lang w:val="en-US" w:eastAsia="zh-CN" w:bidi="ar"/>
        </w:rPr>
        <w:t>（三）大力加强宣传培训，逐步强化监督检查</w:t>
      </w:r>
    </w:p>
    <w:p w14:paraId="5A0634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640"/>
        <w:jc w:val="both"/>
        <w:rPr>
          <w:rFonts w:hint="eastAsia" w:ascii="等线" w:hAnsi="等线" w:eastAsia="等线" w:cs="等线"/>
          <w:sz w:val="21"/>
          <w:szCs w:val="21"/>
        </w:rPr>
      </w:pPr>
      <w:r>
        <w:rPr>
          <w:rFonts w:hint="eastAsia" w:ascii="宋体" w:hAnsi="宋体" w:eastAsia="宋体" w:cs="宋体"/>
          <w:i w:val="0"/>
          <w:iCs w:val="0"/>
          <w:caps w:val="0"/>
          <w:color w:val="000000"/>
          <w:spacing w:val="0"/>
          <w:kern w:val="0"/>
          <w:sz w:val="24"/>
          <w:szCs w:val="24"/>
          <w:shd w:val="clear" w:fill="FFFFFF"/>
          <w:lang w:val="en-US" w:eastAsia="zh-CN" w:bidi="ar"/>
        </w:rPr>
        <w:t>2021年，国家药品不良反应监测中心共培训注册人、医疗机构、监测机构人员1000余人次，为各级药品监管部门、监测机构组织开展的相关培训提供师资，开展“安全用械进社区”活动，提升监测人员能力水平，增强公众不良事件报告意识。为深入了解《办法》实施情况和不良事件监测工作现状，国家药品监督管理局组织对14个省36家企业开展了医疗器械不良事件监测专项检查，进一步强化了注册人不良事件监测主体责任。</w:t>
      </w:r>
    </w:p>
    <w:p w14:paraId="66F01F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640"/>
        <w:jc w:val="both"/>
        <w:rPr>
          <w:rFonts w:hint="eastAsia" w:ascii="等线" w:hAnsi="等线" w:eastAsia="等线" w:cs="等线"/>
          <w:sz w:val="21"/>
          <w:szCs w:val="21"/>
        </w:rPr>
      </w:pPr>
      <w:r>
        <w:rPr>
          <w:rFonts w:hint="eastAsia" w:ascii="宋体" w:hAnsi="宋体" w:eastAsia="宋体" w:cs="宋体"/>
          <w:i w:val="0"/>
          <w:iCs w:val="0"/>
          <w:caps w:val="0"/>
          <w:color w:val="000000"/>
          <w:spacing w:val="0"/>
          <w:kern w:val="0"/>
          <w:sz w:val="24"/>
          <w:szCs w:val="24"/>
          <w:shd w:val="clear" w:fill="FFFFFF"/>
          <w:lang w:val="en-US" w:eastAsia="zh-CN" w:bidi="ar"/>
        </w:rPr>
        <w:t>（四）持续开展监测评价研究，积极参与国际交流合作</w:t>
      </w:r>
    </w:p>
    <w:p w14:paraId="1BD356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640"/>
        <w:jc w:val="both"/>
        <w:rPr>
          <w:rFonts w:hint="eastAsia" w:ascii="等线" w:hAnsi="等线" w:eastAsia="等线" w:cs="等线"/>
          <w:sz w:val="21"/>
          <w:szCs w:val="21"/>
        </w:rPr>
      </w:pPr>
      <w:r>
        <w:rPr>
          <w:rFonts w:hint="eastAsia" w:ascii="宋体" w:hAnsi="宋体" w:eastAsia="宋体" w:cs="宋体"/>
          <w:i w:val="0"/>
          <w:iCs w:val="0"/>
          <w:caps w:val="0"/>
          <w:color w:val="000000"/>
          <w:spacing w:val="0"/>
          <w:kern w:val="0"/>
          <w:sz w:val="24"/>
          <w:szCs w:val="24"/>
          <w:shd w:val="clear" w:fill="FFFFFF"/>
          <w:lang w:val="en-US" w:eastAsia="zh-CN" w:bidi="ar"/>
        </w:rPr>
        <w:t>2021年，国家药品不良反应监测中心积极推进医疗器械不良事件监测评价制度和方法探索，围绕产业发展和监管需求，组织开展医疗器械警戒制度研究，积极推进医疗器械故障类不良事件报告试点工作，促进研究成果转化应用。持续跟进国际医疗器械监管机构论坛不良事件术语和编码（AET）项目工作进展，积极参与国家监管机构报告（NCAR）项目工作，认真履行信息交换职责，国际化水平进一步提升。</w:t>
      </w:r>
    </w:p>
    <w:p w14:paraId="707890EB">
      <w:pPr>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0" w:afterAutospacing="0" w:line="210" w:lineRule="atLeast"/>
        <w:ind w:left="0" w:right="0" w:firstLine="640"/>
        <w:jc w:val="both"/>
        <w:rPr>
          <w:rFonts w:hint="eastAsia" w:ascii="等线" w:hAnsi="等线" w:eastAsia="等线" w:cs="等线"/>
          <w:sz w:val="21"/>
          <w:szCs w:val="21"/>
        </w:rPr>
      </w:pPr>
      <w:r>
        <w:rPr>
          <w:rFonts w:hint="eastAsia" w:ascii="宋体" w:hAnsi="宋体" w:eastAsia="宋体" w:cs="宋体"/>
          <w:i w:val="0"/>
          <w:iCs w:val="0"/>
          <w:caps w:val="0"/>
          <w:color w:val="000000"/>
          <w:spacing w:val="0"/>
          <w:kern w:val="0"/>
          <w:sz w:val="24"/>
          <w:szCs w:val="24"/>
          <w:shd w:val="clear" w:fill="FFFFFF"/>
          <w:lang w:val="en-US" w:eastAsia="zh-CN" w:bidi="ar"/>
        </w:rPr>
        <w:t>二、全国医疗器械不良事件报告总体情况</w:t>
      </w:r>
    </w:p>
    <w:p w14:paraId="68060676">
      <w:pPr>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0" w:afterAutospacing="0" w:line="210" w:lineRule="atLeast"/>
        <w:ind w:left="0" w:right="0" w:firstLine="640"/>
        <w:jc w:val="both"/>
        <w:rPr>
          <w:rFonts w:hint="eastAsia" w:ascii="等线" w:hAnsi="等线" w:eastAsia="等线" w:cs="等线"/>
          <w:sz w:val="21"/>
          <w:szCs w:val="21"/>
        </w:rPr>
      </w:pPr>
      <w:r>
        <w:rPr>
          <w:rFonts w:hint="eastAsia" w:ascii="宋体" w:hAnsi="宋体" w:eastAsia="宋体" w:cs="宋体"/>
          <w:i w:val="0"/>
          <w:iCs w:val="0"/>
          <w:caps w:val="0"/>
          <w:color w:val="000000"/>
          <w:spacing w:val="0"/>
          <w:kern w:val="0"/>
          <w:sz w:val="24"/>
          <w:szCs w:val="24"/>
          <w:shd w:val="clear" w:fill="FFFFFF"/>
          <w:lang w:val="en-US" w:eastAsia="zh-CN" w:bidi="ar"/>
        </w:rPr>
        <w:t>（一）年度报告总体情况</w:t>
      </w:r>
    </w:p>
    <w:p w14:paraId="4E38EF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640"/>
        <w:jc w:val="both"/>
        <w:rPr>
          <w:rFonts w:hint="eastAsia" w:ascii="等线" w:hAnsi="等线" w:eastAsia="等线" w:cs="等线"/>
          <w:sz w:val="21"/>
          <w:szCs w:val="21"/>
        </w:rPr>
      </w:pPr>
      <w:r>
        <w:rPr>
          <w:rFonts w:hint="eastAsia" w:ascii="宋体" w:hAnsi="宋体" w:eastAsia="宋体" w:cs="宋体"/>
          <w:i w:val="0"/>
          <w:iCs w:val="0"/>
          <w:caps w:val="0"/>
          <w:color w:val="000000"/>
          <w:spacing w:val="0"/>
          <w:kern w:val="0"/>
          <w:sz w:val="24"/>
          <w:szCs w:val="24"/>
          <w:shd w:val="clear" w:fill="FFFFFF"/>
          <w:lang w:val="en-US" w:eastAsia="zh-CN" w:bidi="ar"/>
        </w:rPr>
        <w:t>1.全国医疗器械不良事件报告数量。2021年，国家医疗器械不良事件监测信息系统共收到医疗器械不良事件报告650,695份，比上年增加21.39%（图1）。</w:t>
      </w:r>
    </w:p>
    <w:p w14:paraId="703229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等线" w:hAnsi="等线" w:eastAsia="等线" w:cs="等线"/>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drawing>
          <wp:inline distT="0" distB="0" distL="114300" distR="114300">
            <wp:extent cx="7010400" cy="3028950"/>
            <wp:effectExtent l="0" t="0" r="0" b="635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7010400" cy="3028950"/>
                    </a:xfrm>
                    <a:prstGeom prst="rect">
                      <a:avLst/>
                    </a:prstGeom>
                    <a:noFill/>
                    <a:ln w="9525">
                      <a:noFill/>
                    </a:ln>
                  </pic:spPr>
                </pic:pic>
              </a:graphicData>
            </a:graphic>
          </wp:inline>
        </w:drawing>
      </w:r>
    </w:p>
    <w:p w14:paraId="04A61C2C">
      <w:pPr>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0" w:afterAutospacing="0" w:line="210" w:lineRule="atLeast"/>
        <w:ind w:left="0" w:right="0"/>
        <w:jc w:val="center"/>
        <w:rPr>
          <w:rFonts w:hint="eastAsia" w:ascii="等线" w:hAnsi="等线" w:eastAsia="等线" w:cs="等线"/>
          <w:sz w:val="21"/>
          <w:szCs w:val="21"/>
        </w:rPr>
      </w:pPr>
      <w:r>
        <w:rPr>
          <w:rFonts w:hint="eastAsia" w:ascii="宋体" w:hAnsi="宋体" w:eastAsia="宋体" w:cs="宋体"/>
          <w:b/>
          <w:bCs/>
          <w:i w:val="0"/>
          <w:iCs w:val="0"/>
          <w:caps w:val="0"/>
          <w:color w:val="000000"/>
          <w:spacing w:val="0"/>
          <w:kern w:val="0"/>
          <w:sz w:val="24"/>
          <w:szCs w:val="24"/>
          <w:shd w:val="clear" w:fill="FFFFFF"/>
          <w:lang w:val="en-US" w:eastAsia="zh-CN" w:bidi="ar"/>
        </w:rPr>
        <w:drawing>
          <wp:inline distT="0" distB="0" distL="114300" distR="114300">
            <wp:extent cx="6867525" cy="2543175"/>
            <wp:effectExtent l="0" t="0" r="3175" b="9525"/>
            <wp:docPr id="9"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IMG_257"/>
                    <pic:cNvPicPr>
                      <a:picLocks noChangeAspect="1"/>
                    </pic:cNvPicPr>
                  </pic:nvPicPr>
                  <pic:blipFill>
                    <a:blip r:embed="rId5"/>
                    <a:stretch>
                      <a:fillRect/>
                    </a:stretch>
                  </pic:blipFill>
                  <pic:spPr>
                    <a:xfrm>
                      <a:off x="0" y="0"/>
                      <a:ext cx="6867525" cy="2543175"/>
                    </a:xfrm>
                    <a:prstGeom prst="rect">
                      <a:avLst/>
                    </a:prstGeom>
                    <a:noFill/>
                    <a:ln w="9525">
                      <a:noFill/>
                    </a:ln>
                  </pic:spPr>
                </pic:pic>
              </a:graphicData>
            </a:graphic>
          </wp:inline>
        </w:drawing>
      </w:r>
    </w:p>
    <w:p w14:paraId="038A79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640"/>
        <w:jc w:val="both"/>
        <w:rPr>
          <w:rFonts w:hint="eastAsia" w:ascii="等线" w:hAnsi="等线" w:eastAsia="等线" w:cs="等线"/>
          <w:sz w:val="21"/>
          <w:szCs w:val="21"/>
        </w:rPr>
      </w:pPr>
      <w:r>
        <w:rPr>
          <w:rFonts w:hint="eastAsia" w:ascii="宋体" w:hAnsi="宋体" w:eastAsia="宋体" w:cs="宋体"/>
          <w:i w:val="0"/>
          <w:iCs w:val="0"/>
          <w:caps w:val="0"/>
          <w:color w:val="000000"/>
          <w:spacing w:val="0"/>
          <w:kern w:val="0"/>
          <w:sz w:val="24"/>
          <w:szCs w:val="24"/>
          <w:shd w:val="clear" w:fill="FFFFFF"/>
          <w:lang w:val="en-US" w:eastAsia="zh-CN" w:bidi="ar"/>
        </w:rPr>
        <w:t>2.每百万人口平均报告数量。2021年，我国每百万人口平均医疗器械不良事件报告数为461份，比上年增加14.68%（图2）。</w:t>
      </w:r>
    </w:p>
    <w:p w14:paraId="7430BD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等线" w:hAnsi="等线" w:eastAsia="等线" w:cs="等线"/>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 </w:t>
      </w:r>
    </w:p>
    <w:p w14:paraId="1B56C5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等线" w:hAnsi="等线" w:eastAsia="等线" w:cs="等线"/>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drawing>
          <wp:inline distT="0" distB="0" distL="114300" distR="114300">
            <wp:extent cx="7591425" cy="2486025"/>
            <wp:effectExtent l="0" t="0" r="3175" b="3175"/>
            <wp:docPr id="8"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IMG_258"/>
                    <pic:cNvPicPr>
                      <a:picLocks noChangeAspect="1"/>
                    </pic:cNvPicPr>
                  </pic:nvPicPr>
                  <pic:blipFill>
                    <a:blip r:embed="rId6"/>
                    <a:stretch>
                      <a:fillRect/>
                    </a:stretch>
                  </pic:blipFill>
                  <pic:spPr>
                    <a:xfrm>
                      <a:off x="0" y="0"/>
                      <a:ext cx="7591425" cy="2486025"/>
                    </a:xfrm>
                    <a:prstGeom prst="rect">
                      <a:avLst/>
                    </a:prstGeom>
                    <a:noFill/>
                    <a:ln w="9525">
                      <a:noFill/>
                    </a:ln>
                  </pic:spPr>
                </pic:pic>
              </a:graphicData>
            </a:graphic>
          </wp:inline>
        </w:drawing>
      </w:r>
    </w:p>
    <w:p w14:paraId="06EC79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等线" w:hAnsi="等线" w:eastAsia="等线" w:cs="等线"/>
          <w:sz w:val="21"/>
          <w:szCs w:val="21"/>
        </w:rPr>
      </w:pPr>
      <w:r>
        <w:rPr>
          <w:rFonts w:hint="eastAsia" w:ascii="宋体" w:hAnsi="宋体" w:eastAsia="宋体" w:cs="宋体"/>
          <w:b/>
          <w:bCs/>
          <w:i w:val="0"/>
          <w:iCs w:val="0"/>
          <w:caps w:val="0"/>
          <w:color w:val="000000"/>
          <w:spacing w:val="0"/>
          <w:kern w:val="0"/>
          <w:sz w:val="24"/>
          <w:szCs w:val="24"/>
          <w:shd w:val="clear" w:fill="FFFFFF"/>
          <w:lang w:val="en-US" w:eastAsia="zh-CN" w:bidi="ar"/>
        </w:rPr>
        <w:t>图2  2017-2021年全国每百万人口平均医疗器械不良事件报告数比较</w:t>
      </w:r>
    </w:p>
    <w:p w14:paraId="5ED15B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640"/>
        <w:jc w:val="both"/>
        <w:rPr>
          <w:rFonts w:hint="eastAsia" w:ascii="等线" w:hAnsi="等线" w:eastAsia="等线" w:cs="等线"/>
          <w:sz w:val="21"/>
          <w:szCs w:val="21"/>
        </w:rPr>
      </w:pPr>
      <w:r>
        <w:rPr>
          <w:rFonts w:hint="eastAsia" w:ascii="宋体" w:hAnsi="宋体" w:eastAsia="宋体" w:cs="宋体"/>
          <w:i w:val="0"/>
          <w:iCs w:val="0"/>
          <w:caps w:val="0"/>
          <w:color w:val="000000"/>
          <w:spacing w:val="0"/>
          <w:sz w:val="24"/>
          <w:szCs w:val="24"/>
          <w:shd w:val="clear" w:fill="FFFFFF"/>
        </w:rPr>
        <w:t>（二）全国注册基层用户数量</w:t>
      </w:r>
    </w:p>
    <w:p w14:paraId="2F99C0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210" w:lineRule="atLeast"/>
        <w:ind w:left="0" w:right="0" w:firstLine="640"/>
        <w:jc w:val="both"/>
        <w:rPr>
          <w:rFonts w:hint="eastAsia" w:ascii="等线" w:hAnsi="等线" w:eastAsia="等线" w:cs="等线"/>
          <w:sz w:val="21"/>
          <w:szCs w:val="21"/>
        </w:rPr>
      </w:pPr>
      <w:r>
        <w:rPr>
          <w:rFonts w:hint="eastAsia" w:ascii="宋体" w:hAnsi="宋体" w:eastAsia="宋体" w:cs="宋体"/>
          <w:i w:val="0"/>
          <w:iCs w:val="0"/>
          <w:caps w:val="0"/>
          <w:color w:val="000000"/>
          <w:spacing w:val="0"/>
          <w:kern w:val="0"/>
          <w:sz w:val="24"/>
          <w:szCs w:val="24"/>
          <w:shd w:val="clear" w:fill="FFFFFF"/>
          <w:lang w:val="en-US" w:eastAsia="zh-CN" w:bidi="ar"/>
        </w:rPr>
        <w:t>截至2021年12月31日，在国家医疗器械不良事件监测信息系统中注册的基层用户（包括注册人、经营企业和使用单位）共377,072家，比上年增长7.44%。其中注册人29,436家，比上年增长8.24%，占注册基层用户总数的7.81%；经营企业219,340家，比上年增长10.29%，占注册基层用户总数的58.17%；使用单位128,296家，比上年增长2.68%，占注册基层用户总数的34.02%（图3）。</w:t>
      </w:r>
    </w:p>
    <w:p w14:paraId="08A2BB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等线" w:hAnsi="等线" w:eastAsia="等线" w:cs="等线"/>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 </w:t>
      </w:r>
    </w:p>
    <w:p w14:paraId="2734C0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等线" w:hAnsi="等线" w:eastAsia="等线" w:cs="等线"/>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drawing>
          <wp:inline distT="0" distB="0" distL="114300" distR="114300">
            <wp:extent cx="7343775" cy="2657475"/>
            <wp:effectExtent l="0" t="0" r="9525" b="9525"/>
            <wp:docPr id="6"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IMG_259"/>
                    <pic:cNvPicPr>
                      <a:picLocks noChangeAspect="1"/>
                    </pic:cNvPicPr>
                  </pic:nvPicPr>
                  <pic:blipFill>
                    <a:blip r:embed="rId7"/>
                    <a:stretch>
                      <a:fillRect/>
                    </a:stretch>
                  </pic:blipFill>
                  <pic:spPr>
                    <a:xfrm>
                      <a:off x="0" y="0"/>
                      <a:ext cx="7343775" cy="2657475"/>
                    </a:xfrm>
                    <a:prstGeom prst="rect">
                      <a:avLst/>
                    </a:prstGeom>
                    <a:noFill/>
                    <a:ln w="9525">
                      <a:noFill/>
                    </a:ln>
                  </pic:spPr>
                </pic:pic>
              </a:graphicData>
            </a:graphic>
          </wp:inline>
        </w:drawing>
      </w:r>
    </w:p>
    <w:p w14:paraId="1E42DC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等线" w:hAnsi="等线" w:eastAsia="等线" w:cs="等线"/>
          <w:sz w:val="21"/>
          <w:szCs w:val="21"/>
        </w:rPr>
      </w:pPr>
      <w:r>
        <w:rPr>
          <w:rFonts w:hint="eastAsia" w:ascii="宋体" w:hAnsi="宋体" w:eastAsia="宋体" w:cs="宋体"/>
          <w:b/>
          <w:bCs/>
          <w:i w:val="0"/>
          <w:iCs w:val="0"/>
          <w:caps w:val="0"/>
          <w:color w:val="000000"/>
          <w:spacing w:val="0"/>
          <w:kern w:val="0"/>
          <w:sz w:val="24"/>
          <w:szCs w:val="24"/>
          <w:shd w:val="clear" w:fill="FFFFFF"/>
          <w:lang w:val="en-US" w:eastAsia="zh-CN" w:bidi="ar"/>
        </w:rPr>
        <w:t>图3  2021年国家医疗器械不良事件监测信息系统注册基层用户情况</w:t>
      </w:r>
    </w:p>
    <w:p w14:paraId="608A96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640"/>
        <w:jc w:val="both"/>
        <w:rPr>
          <w:rFonts w:hint="eastAsia" w:ascii="等线" w:hAnsi="等线" w:eastAsia="等线" w:cs="等线"/>
          <w:sz w:val="21"/>
          <w:szCs w:val="21"/>
        </w:rPr>
      </w:pPr>
      <w:r>
        <w:rPr>
          <w:rFonts w:hint="eastAsia" w:ascii="宋体" w:hAnsi="宋体" w:eastAsia="宋体" w:cs="宋体"/>
          <w:i w:val="0"/>
          <w:iCs w:val="0"/>
          <w:caps w:val="0"/>
          <w:color w:val="000000"/>
          <w:spacing w:val="0"/>
          <w:kern w:val="0"/>
          <w:sz w:val="24"/>
          <w:szCs w:val="24"/>
          <w:shd w:val="clear" w:fill="FFFFFF"/>
          <w:lang w:val="en-US" w:eastAsia="zh-CN" w:bidi="ar"/>
        </w:rPr>
        <w:t>三、全国医疗器械不良事件报告统计分析</w:t>
      </w:r>
    </w:p>
    <w:p w14:paraId="6BFF97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640"/>
        <w:jc w:val="both"/>
        <w:rPr>
          <w:rFonts w:hint="eastAsia" w:ascii="等线" w:hAnsi="等线" w:eastAsia="等线" w:cs="等线"/>
          <w:sz w:val="21"/>
          <w:szCs w:val="21"/>
        </w:rPr>
      </w:pPr>
      <w:r>
        <w:rPr>
          <w:rFonts w:hint="eastAsia" w:ascii="宋体" w:hAnsi="宋体" w:eastAsia="宋体" w:cs="宋体"/>
          <w:i w:val="0"/>
          <w:iCs w:val="0"/>
          <w:caps w:val="0"/>
          <w:color w:val="000000"/>
          <w:spacing w:val="0"/>
          <w:sz w:val="24"/>
          <w:szCs w:val="24"/>
          <w:shd w:val="clear" w:fill="FFFFFF"/>
        </w:rPr>
        <w:t>（一）按报告来源统计分析</w:t>
      </w:r>
    </w:p>
    <w:p w14:paraId="4336C0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640"/>
        <w:jc w:val="both"/>
        <w:rPr>
          <w:rFonts w:hint="eastAsia" w:ascii="等线" w:hAnsi="等线" w:eastAsia="等线" w:cs="等线"/>
          <w:sz w:val="21"/>
          <w:szCs w:val="21"/>
        </w:rPr>
      </w:pPr>
      <w:r>
        <w:rPr>
          <w:rFonts w:hint="eastAsia" w:ascii="宋体" w:hAnsi="宋体" w:eastAsia="宋体" w:cs="宋体"/>
          <w:i w:val="0"/>
          <w:iCs w:val="0"/>
          <w:caps w:val="0"/>
          <w:color w:val="000000"/>
          <w:spacing w:val="0"/>
          <w:kern w:val="0"/>
          <w:sz w:val="24"/>
          <w:szCs w:val="24"/>
          <w:shd w:val="clear" w:fill="FFFFFF"/>
          <w:lang w:val="en-US" w:eastAsia="zh-CN" w:bidi="ar"/>
        </w:rPr>
        <w:t>2021年，国家药品不良反应监测中心收到的医疗器械不良事件报告中，使用单位上报562,928份，占报告总数的86.52%；注册人上报14,853份，占报告总数的2.28%；经营企业上报72,567份，占报告总数的11.15%；其他来源的报告347份，占报告总数的0.05%（图4）。</w:t>
      </w:r>
    </w:p>
    <w:p w14:paraId="5FDCF1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等线" w:hAnsi="等线" w:eastAsia="等线" w:cs="等线"/>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 </w:t>
      </w:r>
    </w:p>
    <w:p w14:paraId="3EA419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等线" w:hAnsi="等线" w:eastAsia="等线" w:cs="等线"/>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drawing>
          <wp:inline distT="0" distB="0" distL="114300" distR="114300">
            <wp:extent cx="6496050" cy="2476500"/>
            <wp:effectExtent l="0" t="0" r="6350" b="0"/>
            <wp:docPr id="10"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descr="IMG_260"/>
                    <pic:cNvPicPr>
                      <a:picLocks noChangeAspect="1"/>
                    </pic:cNvPicPr>
                  </pic:nvPicPr>
                  <pic:blipFill>
                    <a:blip r:embed="rId8"/>
                    <a:stretch>
                      <a:fillRect/>
                    </a:stretch>
                  </pic:blipFill>
                  <pic:spPr>
                    <a:xfrm>
                      <a:off x="0" y="0"/>
                      <a:ext cx="6496050" cy="2476500"/>
                    </a:xfrm>
                    <a:prstGeom prst="rect">
                      <a:avLst/>
                    </a:prstGeom>
                    <a:noFill/>
                    <a:ln w="9525">
                      <a:noFill/>
                    </a:ln>
                  </pic:spPr>
                </pic:pic>
              </a:graphicData>
            </a:graphic>
          </wp:inline>
        </w:drawing>
      </w:r>
    </w:p>
    <w:p w14:paraId="2E8A9214">
      <w:pPr>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line="210" w:lineRule="atLeast"/>
        <w:ind w:left="0" w:right="0"/>
        <w:jc w:val="center"/>
        <w:rPr>
          <w:rFonts w:hint="eastAsia" w:ascii="等线" w:hAnsi="等线" w:eastAsia="等线" w:cs="等线"/>
          <w:sz w:val="21"/>
          <w:szCs w:val="21"/>
        </w:rPr>
      </w:pPr>
      <w:r>
        <w:rPr>
          <w:rFonts w:hint="eastAsia" w:ascii="宋体" w:hAnsi="宋体" w:eastAsia="宋体" w:cs="宋体"/>
          <w:b/>
          <w:bCs/>
          <w:i w:val="0"/>
          <w:iCs w:val="0"/>
          <w:caps w:val="0"/>
          <w:color w:val="000000"/>
          <w:spacing w:val="0"/>
          <w:kern w:val="0"/>
          <w:sz w:val="24"/>
          <w:szCs w:val="24"/>
          <w:shd w:val="clear" w:fill="FFFFFF"/>
          <w:lang w:val="en-US" w:eastAsia="zh-CN" w:bidi="ar"/>
        </w:rPr>
        <w:t>图4  2021年医疗器械不良事件报告来源情况</w:t>
      </w:r>
    </w:p>
    <w:p w14:paraId="3005F7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640"/>
        <w:jc w:val="both"/>
        <w:rPr>
          <w:rFonts w:hint="eastAsia" w:ascii="等线" w:hAnsi="等线" w:eastAsia="等线" w:cs="等线"/>
          <w:sz w:val="21"/>
          <w:szCs w:val="21"/>
        </w:rPr>
      </w:pPr>
      <w:r>
        <w:rPr>
          <w:rFonts w:hint="eastAsia" w:ascii="宋体" w:hAnsi="宋体" w:eastAsia="宋体" w:cs="宋体"/>
          <w:i w:val="0"/>
          <w:iCs w:val="0"/>
          <w:caps w:val="0"/>
          <w:color w:val="000000"/>
          <w:spacing w:val="0"/>
          <w:sz w:val="24"/>
          <w:szCs w:val="24"/>
          <w:shd w:val="clear" w:fill="FFFFFF"/>
        </w:rPr>
        <w:t>（二）按事件伤害程度统计分析</w:t>
      </w:r>
    </w:p>
    <w:p w14:paraId="292833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640"/>
        <w:jc w:val="both"/>
        <w:rPr>
          <w:rFonts w:hint="eastAsia" w:ascii="等线" w:hAnsi="等线" w:eastAsia="等线" w:cs="等线"/>
          <w:sz w:val="21"/>
          <w:szCs w:val="21"/>
        </w:rPr>
      </w:pPr>
      <w:r>
        <w:rPr>
          <w:rFonts w:hint="eastAsia" w:ascii="宋体" w:hAnsi="宋体" w:eastAsia="宋体" w:cs="宋体"/>
          <w:i w:val="0"/>
          <w:iCs w:val="0"/>
          <w:caps w:val="0"/>
          <w:color w:val="000000"/>
          <w:spacing w:val="0"/>
          <w:kern w:val="0"/>
          <w:sz w:val="24"/>
          <w:szCs w:val="24"/>
          <w:shd w:val="clear" w:fill="FFFFFF"/>
          <w:lang w:val="en-US" w:eastAsia="zh-CN" w:bidi="ar"/>
        </w:rPr>
        <w:t>2021年，国家药品不良反应监测中心收到的医疗器械不良事件报告中，伤害程度为死亡的报告163份，占报告总数的0.03%；伤害程度为严重伤害的报告36,610份，占报告总数的5.63%；伤害程度为其他的报告613,922份，占报告总数的94.35%（图5）。对于事件伤害程度为死亡的不良事件报告，国家药品不良反应监测中心督促注册人开展调查、评价，并及时进行了处置。在目前完成分析评价的报告中，尚未发现不良事件与涉及医疗器械存在明确相关性，后续监测中也未发现上述事件涉及产品风险异常增高情况。</w:t>
      </w:r>
    </w:p>
    <w:p w14:paraId="5DF75E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等线" w:hAnsi="等线" w:eastAsia="等线" w:cs="等线"/>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 </w:t>
      </w:r>
    </w:p>
    <w:p w14:paraId="22BB9D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等线" w:hAnsi="等线" w:eastAsia="等线" w:cs="等线"/>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drawing>
          <wp:inline distT="0" distB="0" distL="114300" distR="114300">
            <wp:extent cx="6581775" cy="2438400"/>
            <wp:effectExtent l="0" t="0" r="9525" b="0"/>
            <wp:docPr id="7"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IMG_261"/>
                    <pic:cNvPicPr>
                      <a:picLocks noChangeAspect="1"/>
                    </pic:cNvPicPr>
                  </pic:nvPicPr>
                  <pic:blipFill>
                    <a:blip r:embed="rId9"/>
                    <a:stretch>
                      <a:fillRect/>
                    </a:stretch>
                  </pic:blipFill>
                  <pic:spPr>
                    <a:xfrm>
                      <a:off x="0" y="0"/>
                      <a:ext cx="6581775" cy="2438400"/>
                    </a:xfrm>
                    <a:prstGeom prst="rect">
                      <a:avLst/>
                    </a:prstGeom>
                    <a:noFill/>
                    <a:ln w="9525">
                      <a:noFill/>
                    </a:ln>
                  </pic:spPr>
                </pic:pic>
              </a:graphicData>
            </a:graphic>
          </wp:inline>
        </w:drawing>
      </w:r>
    </w:p>
    <w:p w14:paraId="57DB8B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等线" w:hAnsi="等线" w:eastAsia="等线" w:cs="等线"/>
          <w:sz w:val="21"/>
          <w:szCs w:val="21"/>
        </w:rPr>
      </w:pPr>
      <w:r>
        <w:rPr>
          <w:rFonts w:hint="eastAsia" w:ascii="宋体" w:hAnsi="宋体" w:eastAsia="宋体" w:cs="宋体"/>
          <w:b/>
          <w:bCs/>
          <w:i w:val="0"/>
          <w:iCs w:val="0"/>
          <w:caps w:val="0"/>
          <w:color w:val="000000"/>
          <w:spacing w:val="0"/>
          <w:kern w:val="0"/>
          <w:sz w:val="24"/>
          <w:szCs w:val="24"/>
          <w:shd w:val="clear" w:fill="FFFFFF"/>
          <w:lang w:val="en-US" w:eastAsia="zh-CN" w:bidi="ar"/>
        </w:rPr>
        <w:drawing>
          <wp:inline distT="0" distB="0" distL="114300" distR="114300">
            <wp:extent cx="7000875" cy="2419350"/>
            <wp:effectExtent l="0" t="0" r="9525" b="6350"/>
            <wp:docPr id="11"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descr="IMG_262"/>
                    <pic:cNvPicPr>
                      <a:picLocks noChangeAspect="1"/>
                    </pic:cNvPicPr>
                  </pic:nvPicPr>
                  <pic:blipFill>
                    <a:blip r:embed="rId10"/>
                    <a:stretch>
                      <a:fillRect/>
                    </a:stretch>
                  </pic:blipFill>
                  <pic:spPr>
                    <a:xfrm>
                      <a:off x="0" y="0"/>
                      <a:ext cx="7000875" cy="2419350"/>
                    </a:xfrm>
                    <a:prstGeom prst="rect">
                      <a:avLst/>
                    </a:prstGeom>
                    <a:noFill/>
                    <a:ln w="9525">
                      <a:noFill/>
                    </a:ln>
                  </pic:spPr>
                </pic:pic>
              </a:graphicData>
            </a:graphic>
          </wp:inline>
        </w:drawing>
      </w:r>
      <w:r>
        <w:rPr>
          <w:rFonts w:hint="eastAsia" w:ascii="宋体" w:hAnsi="宋体" w:eastAsia="宋体" w:cs="宋体"/>
          <w:i w:val="0"/>
          <w:iCs w:val="0"/>
          <w:caps w:val="0"/>
          <w:color w:val="000000"/>
          <w:spacing w:val="0"/>
          <w:kern w:val="0"/>
          <w:sz w:val="24"/>
          <w:szCs w:val="24"/>
          <w:shd w:val="clear" w:fill="FFFFFF"/>
          <w:lang w:val="en-US" w:eastAsia="zh-CN" w:bidi="ar"/>
        </w:rPr>
        <w:t> </w:t>
      </w:r>
    </w:p>
    <w:p w14:paraId="185DB4D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ź�" w:hAnsi="΢���ź�" w:eastAsia="΢���ź�" w:cs="΢���ź�"/>
          <w:i w:val="0"/>
          <w:iCs w:val="0"/>
          <w:caps w:val="0"/>
          <w:color w:val="000000"/>
          <w:spacing w:val="0"/>
          <w:sz w:val="14"/>
          <w:szCs w:val="14"/>
        </w:rPr>
      </w:pPr>
    </w:p>
    <w:p w14:paraId="00DCE1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640"/>
        <w:jc w:val="both"/>
        <w:rPr>
          <w:rFonts w:hint="eastAsia" w:ascii="等线" w:hAnsi="等线" w:eastAsia="等线" w:cs="等线"/>
          <w:sz w:val="21"/>
          <w:szCs w:val="21"/>
        </w:rPr>
      </w:pPr>
      <w:r>
        <w:rPr>
          <w:rFonts w:hint="eastAsia" w:ascii="宋体" w:hAnsi="宋体" w:eastAsia="宋体" w:cs="宋体"/>
          <w:i w:val="0"/>
          <w:iCs w:val="0"/>
          <w:caps w:val="0"/>
          <w:color w:val="000000"/>
          <w:spacing w:val="0"/>
          <w:sz w:val="24"/>
          <w:szCs w:val="24"/>
          <w:shd w:val="clear" w:fill="FFFFFF"/>
        </w:rPr>
        <w:t>（三）按医疗器械管理类别统计分析</w:t>
      </w:r>
    </w:p>
    <w:p w14:paraId="3DC6E7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640"/>
        <w:jc w:val="both"/>
        <w:rPr>
          <w:rFonts w:hint="eastAsia" w:ascii="等线" w:hAnsi="等线" w:eastAsia="等线" w:cs="等线"/>
          <w:sz w:val="21"/>
          <w:szCs w:val="21"/>
        </w:rPr>
      </w:pPr>
      <w:r>
        <w:rPr>
          <w:rFonts w:hint="eastAsia" w:ascii="宋体" w:hAnsi="宋体" w:eastAsia="宋体" w:cs="宋体"/>
          <w:i w:val="0"/>
          <w:iCs w:val="0"/>
          <w:caps w:val="0"/>
          <w:color w:val="000000"/>
          <w:spacing w:val="0"/>
          <w:kern w:val="0"/>
          <w:sz w:val="24"/>
          <w:szCs w:val="24"/>
          <w:shd w:val="clear" w:fill="FFFFFF"/>
          <w:lang w:val="en-US" w:eastAsia="zh-CN" w:bidi="ar"/>
        </w:rPr>
        <w:t>2021年，国家药品不良反应监测中心收到的医疗器械不良事件报告绝大多数涉及Ⅲ类和Ⅱ类医疗器械。其中，涉及Ⅲ类医疗器械的报告224,287份，占报告总数的34.47%；涉及Ⅱ类医疗器械的报告305,645份，占报告总数的46.97%；涉及Ⅰ类医疗器械的报告57,108份，占报告总数的8.78%；未填写医疗器械管理类别的报告63,655份,占报告总数的9.78%（图6）。</w:t>
      </w:r>
    </w:p>
    <w:p w14:paraId="3FE0CA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等线" w:hAnsi="等线" w:eastAsia="等线" w:cs="等线"/>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 </w:t>
      </w:r>
    </w:p>
    <w:p w14:paraId="1D11AE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等线" w:hAnsi="等线" w:eastAsia="等线" w:cs="等线"/>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drawing>
          <wp:inline distT="0" distB="0" distL="114300" distR="114300">
            <wp:extent cx="5886450" cy="2381250"/>
            <wp:effectExtent l="0" t="0" r="6350" b="6350"/>
            <wp:docPr id="4"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 descr="IMG_263"/>
                    <pic:cNvPicPr>
                      <a:picLocks noChangeAspect="1"/>
                    </pic:cNvPicPr>
                  </pic:nvPicPr>
                  <pic:blipFill>
                    <a:blip r:embed="rId11"/>
                    <a:stretch>
                      <a:fillRect/>
                    </a:stretch>
                  </pic:blipFill>
                  <pic:spPr>
                    <a:xfrm>
                      <a:off x="0" y="0"/>
                      <a:ext cx="5886450" cy="2381250"/>
                    </a:xfrm>
                    <a:prstGeom prst="rect">
                      <a:avLst/>
                    </a:prstGeom>
                    <a:noFill/>
                    <a:ln w="9525">
                      <a:noFill/>
                    </a:ln>
                  </pic:spPr>
                </pic:pic>
              </a:graphicData>
            </a:graphic>
          </wp:inline>
        </w:drawing>
      </w:r>
    </w:p>
    <w:p w14:paraId="25FC56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210" w:lineRule="atLeast"/>
        <w:ind w:left="0" w:right="0"/>
        <w:jc w:val="center"/>
        <w:rPr>
          <w:rFonts w:hint="eastAsia" w:ascii="等线" w:hAnsi="等线" w:eastAsia="等线" w:cs="等线"/>
          <w:sz w:val="21"/>
          <w:szCs w:val="21"/>
        </w:rPr>
      </w:pPr>
      <w:r>
        <w:rPr>
          <w:rFonts w:hint="eastAsia" w:ascii="等线" w:hAnsi="等线" w:eastAsia="等线" w:cs="等线"/>
          <w:i w:val="0"/>
          <w:iCs w:val="0"/>
          <w:caps w:val="0"/>
          <w:color w:val="000000"/>
          <w:spacing w:val="0"/>
          <w:kern w:val="0"/>
          <w:sz w:val="21"/>
          <w:szCs w:val="21"/>
          <w:shd w:val="clear" w:fill="FFFFFF"/>
          <w:lang w:val="en-US" w:eastAsia="zh-CN" w:bidi="ar"/>
        </w:rPr>
        <w:drawing>
          <wp:inline distT="0" distB="0" distL="114300" distR="114300">
            <wp:extent cx="6838950" cy="1752600"/>
            <wp:effectExtent l="0" t="0" r="6350" b="0"/>
            <wp:docPr id="2"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9" descr="IMG_264"/>
                    <pic:cNvPicPr>
                      <a:picLocks noChangeAspect="1"/>
                    </pic:cNvPicPr>
                  </pic:nvPicPr>
                  <pic:blipFill>
                    <a:blip r:embed="rId12"/>
                    <a:stretch>
                      <a:fillRect/>
                    </a:stretch>
                  </pic:blipFill>
                  <pic:spPr>
                    <a:xfrm>
                      <a:off x="0" y="0"/>
                      <a:ext cx="6838950" cy="1752600"/>
                    </a:xfrm>
                    <a:prstGeom prst="rect">
                      <a:avLst/>
                    </a:prstGeom>
                    <a:noFill/>
                    <a:ln w="9525">
                      <a:noFill/>
                    </a:ln>
                  </pic:spPr>
                </pic:pic>
              </a:graphicData>
            </a:graphic>
          </wp:inline>
        </w:drawing>
      </w:r>
    </w:p>
    <w:p w14:paraId="415B2C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68" w:beforeAutospacing="0" w:after="0" w:afterAutospacing="0" w:line="210" w:lineRule="atLeast"/>
        <w:ind w:left="0" w:right="0" w:firstLine="640"/>
        <w:jc w:val="both"/>
        <w:rPr>
          <w:rFonts w:hint="eastAsia" w:ascii="等线" w:hAnsi="等线" w:eastAsia="等线" w:cs="等线"/>
          <w:sz w:val="21"/>
          <w:szCs w:val="21"/>
        </w:rPr>
      </w:pPr>
      <w:r>
        <w:rPr>
          <w:rFonts w:hint="eastAsia" w:ascii="宋体" w:hAnsi="宋体" w:eastAsia="宋体" w:cs="宋体"/>
          <w:i w:val="0"/>
          <w:iCs w:val="0"/>
          <w:caps w:val="0"/>
          <w:color w:val="000000"/>
          <w:spacing w:val="0"/>
          <w:sz w:val="24"/>
          <w:szCs w:val="24"/>
          <w:shd w:val="clear" w:fill="FFFFFF"/>
        </w:rPr>
        <w:t>（四）按医疗器械分类目录统计分析</w:t>
      </w:r>
    </w:p>
    <w:p w14:paraId="561EE8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640"/>
        <w:jc w:val="both"/>
        <w:rPr>
          <w:rFonts w:hint="eastAsia" w:ascii="等线" w:hAnsi="等线" w:eastAsia="等线" w:cs="等线"/>
          <w:sz w:val="21"/>
          <w:szCs w:val="21"/>
        </w:rPr>
      </w:pPr>
      <w:r>
        <w:rPr>
          <w:rFonts w:hint="eastAsia" w:ascii="宋体" w:hAnsi="宋体" w:eastAsia="宋体" w:cs="宋体"/>
          <w:i w:val="0"/>
          <w:iCs w:val="0"/>
          <w:caps w:val="0"/>
          <w:color w:val="000000"/>
          <w:spacing w:val="0"/>
          <w:kern w:val="0"/>
          <w:sz w:val="24"/>
          <w:szCs w:val="24"/>
          <w:shd w:val="clear" w:fill="FFFFFF"/>
          <w:lang w:val="en-US" w:eastAsia="zh-CN" w:bidi="ar"/>
        </w:rPr>
        <w:t>2021年，国家医疗器械不良事件监测信息系统收到的医疗器械不良事件报告涉及了医疗器械分类目录中的所有类别。其中，报告数量排名前十位的医疗器械类别见表1。</w:t>
      </w:r>
    </w:p>
    <w:p w14:paraId="6D7883E2">
      <w:pPr>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line="300" w:lineRule="atLeast"/>
        <w:ind w:left="0" w:right="0"/>
        <w:jc w:val="center"/>
        <w:rPr>
          <w:rFonts w:hint="eastAsia" w:ascii="等线" w:hAnsi="等线" w:eastAsia="等线" w:cs="等线"/>
          <w:sz w:val="21"/>
          <w:szCs w:val="21"/>
        </w:rPr>
      </w:pPr>
      <w:r>
        <w:rPr>
          <w:rFonts w:hint="eastAsia" w:ascii="宋体" w:hAnsi="宋体" w:eastAsia="宋体" w:cs="宋体"/>
          <w:b/>
          <w:bCs/>
          <w:i w:val="0"/>
          <w:iCs w:val="0"/>
          <w:caps w:val="0"/>
          <w:color w:val="000000"/>
          <w:spacing w:val="0"/>
          <w:kern w:val="0"/>
          <w:sz w:val="24"/>
          <w:szCs w:val="24"/>
          <w:shd w:val="clear" w:fill="FFFFFF"/>
          <w:lang w:val="en-US" w:eastAsia="zh-CN" w:bidi="ar"/>
        </w:rPr>
        <w:t>表1  2021年医疗器械不良事件报告涉及医疗器械分类目录情况</w:t>
      </w:r>
    </w:p>
    <w:tbl>
      <w:tblPr>
        <w:tblStyle w:val="3"/>
        <w:tblW w:w="10493" w:type="dxa"/>
        <w:tblInd w:w="0" w:type="dxa"/>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498"/>
        <w:gridCol w:w="4283"/>
        <w:gridCol w:w="2356"/>
        <w:gridCol w:w="2356"/>
      </w:tblGrid>
      <w:tr w14:paraId="61C6E702">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288" w:hRule="atLeast"/>
        </w:trPr>
        <w:tc>
          <w:tcPr>
            <w:tcW w:w="700" w:type="pct"/>
            <w:tcBorders>
              <w:top w:val="single" w:color="4F81BD" w:sz="8" w:space="0"/>
              <w:left w:val="nil"/>
              <w:bottom w:val="single" w:color="4F81BD" w:sz="8" w:space="0"/>
              <w:right w:val="nil"/>
            </w:tcBorders>
            <w:shd w:val="clear" w:color="auto" w:fill="auto"/>
            <w:noWrap/>
            <w:tcMar>
              <w:left w:w="108" w:type="dxa"/>
              <w:right w:w="108" w:type="dxa"/>
            </w:tcMar>
            <w:vAlign w:val="top"/>
          </w:tcPr>
          <w:p w14:paraId="7CFE74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等线" w:hAnsi="等线" w:eastAsia="等线" w:cs="等线"/>
                <w:sz w:val="21"/>
                <w:szCs w:val="21"/>
              </w:rPr>
            </w:pPr>
            <w:r>
              <w:rPr>
                <w:rFonts w:hint="eastAsia" w:ascii="宋体" w:hAnsi="宋体" w:eastAsia="宋体" w:cs="宋体"/>
                <w:b/>
                <w:bCs/>
                <w:color w:val="000000"/>
                <w:kern w:val="0"/>
                <w:sz w:val="24"/>
                <w:szCs w:val="24"/>
                <w:lang w:val="en-US" w:eastAsia="zh-CN" w:bidi="ar"/>
              </w:rPr>
              <w:t>排名</w:t>
            </w:r>
          </w:p>
        </w:tc>
        <w:tc>
          <w:tcPr>
            <w:tcW w:w="2000" w:type="pct"/>
            <w:tcBorders>
              <w:top w:val="single" w:color="4F81BD" w:sz="8" w:space="0"/>
              <w:left w:val="nil"/>
              <w:bottom w:val="single" w:color="4F81BD" w:sz="8" w:space="0"/>
              <w:right w:val="nil"/>
            </w:tcBorders>
            <w:shd w:val="clear" w:color="auto" w:fill="auto"/>
            <w:noWrap/>
            <w:tcMar>
              <w:left w:w="108" w:type="dxa"/>
              <w:right w:w="108" w:type="dxa"/>
            </w:tcMar>
            <w:vAlign w:val="top"/>
          </w:tcPr>
          <w:p w14:paraId="366470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等线" w:hAnsi="等线" w:eastAsia="等线" w:cs="等线"/>
                <w:sz w:val="21"/>
                <w:szCs w:val="21"/>
              </w:rPr>
            </w:pPr>
            <w:r>
              <w:rPr>
                <w:rFonts w:hint="eastAsia" w:ascii="宋体" w:hAnsi="宋体" w:eastAsia="宋体" w:cs="宋体"/>
                <w:b/>
                <w:bCs/>
                <w:color w:val="000000"/>
                <w:kern w:val="0"/>
                <w:sz w:val="24"/>
                <w:szCs w:val="24"/>
                <w:lang w:val="en-US" w:eastAsia="zh-CN" w:bidi="ar"/>
              </w:rPr>
              <w:t>医疗器械分类目录</w:t>
            </w:r>
          </w:p>
        </w:tc>
        <w:tc>
          <w:tcPr>
            <w:tcW w:w="1100" w:type="pct"/>
            <w:tcBorders>
              <w:top w:val="single" w:color="4F81BD" w:sz="8" w:space="0"/>
              <w:left w:val="nil"/>
              <w:bottom w:val="single" w:color="4F81BD" w:sz="8" w:space="0"/>
              <w:right w:val="nil"/>
            </w:tcBorders>
            <w:shd w:val="clear" w:color="auto" w:fill="auto"/>
            <w:noWrap/>
            <w:tcMar>
              <w:left w:w="108" w:type="dxa"/>
              <w:right w:w="108" w:type="dxa"/>
            </w:tcMar>
            <w:vAlign w:val="top"/>
          </w:tcPr>
          <w:p w14:paraId="594BA0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等线" w:hAnsi="等线" w:eastAsia="等线" w:cs="等线"/>
                <w:sz w:val="21"/>
                <w:szCs w:val="21"/>
              </w:rPr>
            </w:pPr>
            <w:r>
              <w:rPr>
                <w:rFonts w:hint="eastAsia" w:ascii="宋体" w:hAnsi="宋体" w:eastAsia="宋体" w:cs="宋体"/>
                <w:b/>
                <w:bCs/>
                <w:color w:val="000000"/>
                <w:kern w:val="0"/>
                <w:sz w:val="24"/>
                <w:szCs w:val="24"/>
                <w:lang w:val="en-US" w:eastAsia="zh-CN" w:bidi="ar"/>
              </w:rPr>
              <w:t>报告数</w:t>
            </w:r>
          </w:p>
        </w:tc>
        <w:tc>
          <w:tcPr>
            <w:tcW w:w="1100" w:type="pct"/>
            <w:tcBorders>
              <w:top w:val="single" w:color="4F81BD" w:sz="8" w:space="0"/>
              <w:left w:val="nil"/>
              <w:bottom w:val="single" w:color="4F81BD" w:sz="8" w:space="0"/>
              <w:right w:val="nil"/>
            </w:tcBorders>
            <w:shd w:val="clear" w:color="auto" w:fill="auto"/>
            <w:noWrap/>
            <w:tcMar>
              <w:left w:w="108" w:type="dxa"/>
              <w:right w:w="108" w:type="dxa"/>
            </w:tcMar>
            <w:vAlign w:val="top"/>
          </w:tcPr>
          <w:p w14:paraId="52A0B5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等线" w:hAnsi="等线" w:eastAsia="等线" w:cs="等线"/>
                <w:sz w:val="21"/>
                <w:szCs w:val="21"/>
              </w:rPr>
            </w:pPr>
            <w:r>
              <w:rPr>
                <w:rFonts w:hint="eastAsia" w:ascii="宋体" w:hAnsi="宋体" w:eastAsia="宋体" w:cs="宋体"/>
                <w:b/>
                <w:bCs/>
                <w:color w:val="000000"/>
                <w:kern w:val="0"/>
                <w:sz w:val="24"/>
                <w:szCs w:val="24"/>
                <w:lang w:val="en-US" w:eastAsia="zh-CN" w:bidi="ar"/>
              </w:rPr>
              <w:t>占总报告数百分比</w:t>
            </w:r>
          </w:p>
        </w:tc>
      </w:tr>
      <w:tr w14:paraId="035D1BE7">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288" w:hRule="atLeast"/>
        </w:trPr>
        <w:tc>
          <w:tcPr>
            <w:tcW w:w="700" w:type="pct"/>
            <w:tcBorders>
              <w:top w:val="nil"/>
              <w:left w:val="nil"/>
              <w:bottom w:val="nil"/>
              <w:right w:val="nil"/>
            </w:tcBorders>
            <w:shd w:val="clear" w:color="auto" w:fill="D3DFEE"/>
            <w:noWrap/>
            <w:tcMar>
              <w:left w:w="108" w:type="dxa"/>
              <w:right w:w="108" w:type="dxa"/>
            </w:tcMar>
            <w:vAlign w:val="top"/>
          </w:tcPr>
          <w:p w14:paraId="520919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等线" w:hAnsi="等线" w:eastAsia="等线" w:cs="等线"/>
                <w:sz w:val="21"/>
                <w:szCs w:val="21"/>
              </w:rPr>
            </w:pPr>
            <w:r>
              <w:rPr>
                <w:rFonts w:hint="eastAsia" w:ascii="宋体" w:hAnsi="宋体" w:eastAsia="宋体" w:cs="宋体"/>
                <w:b/>
                <w:bCs/>
                <w:color w:val="000000"/>
                <w:kern w:val="0"/>
                <w:sz w:val="24"/>
                <w:szCs w:val="24"/>
                <w:lang w:val="en-US" w:eastAsia="zh-CN" w:bidi="ar"/>
              </w:rPr>
              <w:t>1</w:t>
            </w:r>
          </w:p>
        </w:tc>
        <w:tc>
          <w:tcPr>
            <w:tcW w:w="2000" w:type="pct"/>
            <w:tcBorders>
              <w:top w:val="nil"/>
              <w:left w:val="nil"/>
              <w:bottom w:val="nil"/>
              <w:right w:val="nil"/>
            </w:tcBorders>
            <w:shd w:val="clear" w:color="auto" w:fill="D3DFEE"/>
            <w:noWrap/>
            <w:tcMar>
              <w:left w:w="108" w:type="dxa"/>
              <w:right w:w="108" w:type="dxa"/>
            </w:tcMar>
            <w:vAlign w:val="top"/>
          </w:tcPr>
          <w:p w14:paraId="56F287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等线" w:hAnsi="等线" w:eastAsia="等线" w:cs="等线"/>
                <w:sz w:val="21"/>
                <w:szCs w:val="21"/>
              </w:rPr>
            </w:pPr>
            <w:r>
              <w:rPr>
                <w:rFonts w:hint="eastAsia" w:ascii="宋体" w:hAnsi="宋体" w:eastAsia="宋体" w:cs="宋体"/>
                <w:color w:val="000000"/>
                <w:kern w:val="0"/>
                <w:sz w:val="24"/>
                <w:szCs w:val="24"/>
                <w:lang w:val="en-US" w:eastAsia="zh-CN" w:bidi="ar"/>
              </w:rPr>
              <w:t>14 注输、护理和防护器械</w:t>
            </w:r>
          </w:p>
        </w:tc>
        <w:tc>
          <w:tcPr>
            <w:tcW w:w="1100" w:type="pct"/>
            <w:tcBorders>
              <w:top w:val="nil"/>
              <w:left w:val="nil"/>
              <w:bottom w:val="nil"/>
              <w:right w:val="nil"/>
            </w:tcBorders>
            <w:shd w:val="clear" w:color="auto" w:fill="D3DFEE"/>
            <w:noWrap/>
            <w:tcMar>
              <w:left w:w="108" w:type="dxa"/>
              <w:right w:w="108" w:type="dxa"/>
            </w:tcMar>
            <w:vAlign w:val="top"/>
          </w:tcPr>
          <w:p w14:paraId="4CF813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等线" w:hAnsi="等线" w:eastAsia="等线" w:cs="等线"/>
                <w:sz w:val="21"/>
                <w:szCs w:val="21"/>
              </w:rPr>
            </w:pPr>
            <w:r>
              <w:rPr>
                <w:rFonts w:hint="eastAsia" w:ascii="宋体" w:hAnsi="宋体" w:eastAsia="宋体" w:cs="宋体"/>
                <w:color w:val="000000"/>
                <w:kern w:val="0"/>
                <w:sz w:val="24"/>
                <w:szCs w:val="24"/>
                <w:lang w:val="en-US" w:eastAsia="zh-CN" w:bidi="ar"/>
              </w:rPr>
              <w:t>292627</w:t>
            </w:r>
          </w:p>
        </w:tc>
        <w:tc>
          <w:tcPr>
            <w:tcW w:w="1100" w:type="pct"/>
            <w:tcBorders>
              <w:top w:val="nil"/>
              <w:left w:val="nil"/>
              <w:bottom w:val="nil"/>
              <w:right w:val="nil"/>
            </w:tcBorders>
            <w:shd w:val="clear" w:color="auto" w:fill="D3DFEE"/>
            <w:noWrap/>
            <w:tcMar>
              <w:left w:w="108" w:type="dxa"/>
              <w:right w:w="108" w:type="dxa"/>
            </w:tcMar>
            <w:vAlign w:val="top"/>
          </w:tcPr>
          <w:p w14:paraId="3E6B57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等线" w:hAnsi="等线" w:eastAsia="等线" w:cs="等线"/>
                <w:sz w:val="21"/>
                <w:szCs w:val="21"/>
              </w:rPr>
            </w:pPr>
            <w:r>
              <w:rPr>
                <w:rFonts w:hint="eastAsia" w:ascii="宋体" w:hAnsi="宋体" w:eastAsia="宋体" w:cs="宋体"/>
                <w:color w:val="000000"/>
                <w:kern w:val="0"/>
                <w:sz w:val="24"/>
                <w:szCs w:val="24"/>
                <w:lang w:val="en-US" w:eastAsia="zh-CN" w:bidi="ar"/>
              </w:rPr>
              <w:t>49.85%</w:t>
            </w:r>
          </w:p>
        </w:tc>
      </w:tr>
      <w:tr w14:paraId="46885456">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288" w:hRule="atLeast"/>
        </w:trPr>
        <w:tc>
          <w:tcPr>
            <w:tcW w:w="700" w:type="pct"/>
            <w:tcBorders>
              <w:top w:val="nil"/>
              <w:left w:val="nil"/>
              <w:bottom w:val="nil"/>
              <w:right w:val="nil"/>
            </w:tcBorders>
            <w:shd w:val="clear" w:color="auto" w:fill="auto"/>
            <w:noWrap/>
            <w:tcMar>
              <w:left w:w="108" w:type="dxa"/>
              <w:right w:w="108" w:type="dxa"/>
            </w:tcMar>
            <w:vAlign w:val="top"/>
          </w:tcPr>
          <w:p w14:paraId="5EB263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等线" w:hAnsi="等线" w:eastAsia="等线" w:cs="等线"/>
                <w:sz w:val="21"/>
                <w:szCs w:val="21"/>
              </w:rPr>
            </w:pPr>
            <w:r>
              <w:rPr>
                <w:rFonts w:hint="eastAsia" w:ascii="宋体" w:hAnsi="宋体" w:eastAsia="宋体" w:cs="宋体"/>
                <w:b/>
                <w:bCs/>
                <w:color w:val="000000"/>
                <w:kern w:val="0"/>
                <w:sz w:val="24"/>
                <w:szCs w:val="24"/>
                <w:lang w:val="en-US" w:eastAsia="zh-CN" w:bidi="ar"/>
              </w:rPr>
              <w:t>2</w:t>
            </w:r>
          </w:p>
        </w:tc>
        <w:tc>
          <w:tcPr>
            <w:tcW w:w="2000" w:type="pct"/>
            <w:tcBorders>
              <w:top w:val="nil"/>
              <w:left w:val="nil"/>
              <w:bottom w:val="nil"/>
              <w:right w:val="nil"/>
            </w:tcBorders>
            <w:shd w:val="clear" w:color="auto" w:fill="auto"/>
            <w:noWrap/>
            <w:tcMar>
              <w:left w:w="108" w:type="dxa"/>
              <w:right w:w="108" w:type="dxa"/>
            </w:tcMar>
            <w:vAlign w:val="top"/>
          </w:tcPr>
          <w:p w14:paraId="6D3B69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等线" w:hAnsi="等线" w:eastAsia="等线" w:cs="等线"/>
                <w:sz w:val="21"/>
                <w:szCs w:val="21"/>
              </w:rPr>
            </w:pPr>
            <w:r>
              <w:rPr>
                <w:rFonts w:hint="eastAsia" w:ascii="宋体" w:hAnsi="宋体" w:eastAsia="宋体" w:cs="宋体"/>
                <w:color w:val="000000"/>
                <w:kern w:val="0"/>
                <w:sz w:val="24"/>
                <w:szCs w:val="24"/>
                <w:lang w:val="en-US" w:eastAsia="zh-CN" w:bidi="ar"/>
              </w:rPr>
              <w:t>07 医用诊察和监护器械</w:t>
            </w:r>
          </w:p>
        </w:tc>
        <w:tc>
          <w:tcPr>
            <w:tcW w:w="1100" w:type="pct"/>
            <w:tcBorders>
              <w:top w:val="nil"/>
              <w:left w:val="nil"/>
              <w:bottom w:val="nil"/>
              <w:right w:val="nil"/>
            </w:tcBorders>
            <w:shd w:val="clear" w:color="auto" w:fill="auto"/>
            <w:noWrap/>
            <w:tcMar>
              <w:left w:w="108" w:type="dxa"/>
              <w:right w:w="108" w:type="dxa"/>
            </w:tcMar>
            <w:vAlign w:val="top"/>
          </w:tcPr>
          <w:p w14:paraId="53EC27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等线" w:hAnsi="等线" w:eastAsia="等线" w:cs="等线"/>
                <w:sz w:val="21"/>
                <w:szCs w:val="21"/>
              </w:rPr>
            </w:pPr>
            <w:r>
              <w:rPr>
                <w:rFonts w:hint="eastAsia" w:ascii="宋体" w:hAnsi="宋体" w:eastAsia="宋体" w:cs="宋体"/>
                <w:color w:val="000000"/>
                <w:kern w:val="0"/>
                <w:sz w:val="24"/>
                <w:szCs w:val="24"/>
                <w:lang w:val="en-US" w:eastAsia="zh-CN" w:bidi="ar"/>
              </w:rPr>
              <w:t>63385</w:t>
            </w:r>
          </w:p>
        </w:tc>
        <w:tc>
          <w:tcPr>
            <w:tcW w:w="1100" w:type="pct"/>
            <w:tcBorders>
              <w:top w:val="nil"/>
              <w:left w:val="nil"/>
              <w:bottom w:val="nil"/>
              <w:right w:val="nil"/>
            </w:tcBorders>
            <w:shd w:val="clear" w:color="auto" w:fill="auto"/>
            <w:noWrap/>
            <w:tcMar>
              <w:left w:w="108" w:type="dxa"/>
              <w:right w:w="108" w:type="dxa"/>
            </w:tcMar>
            <w:vAlign w:val="top"/>
          </w:tcPr>
          <w:p w14:paraId="343DBB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等线" w:hAnsi="等线" w:eastAsia="等线" w:cs="等线"/>
                <w:sz w:val="21"/>
                <w:szCs w:val="21"/>
              </w:rPr>
            </w:pPr>
            <w:r>
              <w:rPr>
                <w:rFonts w:hint="eastAsia" w:ascii="宋体" w:hAnsi="宋体" w:eastAsia="宋体" w:cs="宋体"/>
                <w:color w:val="000000"/>
                <w:kern w:val="0"/>
                <w:sz w:val="24"/>
                <w:szCs w:val="24"/>
                <w:lang w:val="en-US" w:eastAsia="zh-CN" w:bidi="ar"/>
              </w:rPr>
              <w:t>10.80%</w:t>
            </w:r>
          </w:p>
        </w:tc>
      </w:tr>
      <w:tr w14:paraId="712455E4">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288" w:hRule="atLeast"/>
        </w:trPr>
        <w:tc>
          <w:tcPr>
            <w:tcW w:w="700" w:type="pct"/>
            <w:tcBorders>
              <w:top w:val="nil"/>
              <w:left w:val="nil"/>
              <w:bottom w:val="nil"/>
              <w:right w:val="nil"/>
            </w:tcBorders>
            <w:shd w:val="clear" w:color="auto" w:fill="D3DFEE"/>
            <w:noWrap/>
            <w:tcMar>
              <w:left w:w="108" w:type="dxa"/>
              <w:right w:w="108" w:type="dxa"/>
            </w:tcMar>
            <w:vAlign w:val="top"/>
          </w:tcPr>
          <w:p w14:paraId="4E6260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等线" w:hAnsi="等线" w:eastAsia="等线" w:cs="等线"/>
                <w:sz w:val="21"/>
                <w:szCs w:val="21"/>
              </w:rPr>
            </w:pPr>
            <w:r>
              <w:rPr>
                <w:rFonts w:hint="eastAsia" w:ascii="宋体" w:hAnsi="宋体" w:eastAsia="宋体" w:cs="宋体"/>
                <w:b/>
                <w:bCs/>
                <w:color w:val="000000"/>
                <w:kern w:val="0"/>
                <w:sz w:val="24"/>
                <w:szCs w:val="24"/>
                <w:lang w:val="en-US" w:eastAsia="zh-CN" w:bidi="ar"/>
              </w:rPr>
              <w:t>3</w:t>
            </w:r>
          </w:p>
        </w:tc>
        <w:tc>
          <w:tcPr>
            <w:tcW w:w="2000" w:type="pct"/>
            <w:tcBorders>
              <w:top w:val="nil"/>
              <w:left w:val="nil"/>
              <w:bottom w:val="nil"/>
              <w:right w:val="nil"/>
            </w:tcBorders>
            <w:shd w:val="clear" w:color="auto" w:fill="D3DFEE"/>
            <w:noWrap/>
            <w:tcMar>
              <w:left w:w="108" w:type="dxa"/>
              <w:right w:w="108" w:type="dxa"/>
            </w:tcMar>
            <w:vAlign w:val="top"/>
          </w:tcPr>
          <w:p w14:paraId="64D3E3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等线" w:hAnsi="等线" w:eastAsia="等线" w:cs="等线"/>
                <w:sz w:val="21"/>
                <w:szCs w:val="21"/>
              </w:rPr>
            </w:pPr>
            <w:r>
              <w:rPr>
                <w:rFonts w:hint="eastAsia" w:ascii="宋体" w:hAnsi="宋体" w:eastAsia="宋体" w:cs="宋体"/>
                <w:color w:val="000000"/>
                <w:kern w:val="0"/>
                <w:sz w:val="24"/>
                <w:szCs w:val="24"/>
                <w:lang w:val="en-US" w:eastAsia="zh-CN" w:bidi="ar"/>
              </w:rPr>
              <w:t>09 物理治疗器械</w:t>
            </w:r>
          </w:p>
        </w:tc>
        <w:tc>
          <w:tcPr>
            <w:tcW w:w="1100" w:type="pct"/>
            <w:tcBorders>
              <w:top w:val="nil"/>
              <w:left w:val="nil"/>
              <w:bottom w:val="nil"/>
              <w:right w:val="nil"/>
            </w:tcBorders>
            <w:shd w:val="clear" w:color="auto" w:fill="D3DFEE"/>
            <w:noWrap/>
            <w:tcMar>
              <w:left w:w="108" w:type="dxa"/>
              <w:right w:w="108" w:type="dxa"/>
            </w:tcMar>
            <w:vAlign w:val="top"/>
          </w:tcPr>
          <w:p w14:paraId="1B4442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等线" w:hAnsi="等线" w:eastAsia="等线" w:cs="等线"/>
                <w:sz w:val="21"/>
                <w:szCs w:val="21"/>
              </w:rPr>
            </w:pPr>
            <w:r>
              <w:rPr>
                <w:rFonts w:hint="eastAsia" w:ascii="宋体" w:hAnsi="宋体" w:eastAsia="宋体" w:cs="宋体"/>
                <w:color w:val="000000"/>
                <w:kern w:val="0"/>
                <w:sz w:val="24"/>
                <w:szCs w:val="24"/>
                <w:lang w:val="en-US" w:eastAsia="zh-CN" w:bidi="ar"/>
              </w:rPr>
              <w:t>47814</w:t>
            </w:r>
          </w:p>
        </w:tc>
        <w:tc>
          <w:tcPr>
            <w:tcW w:w="1100" w:type="pct"/>
            <w:tcBorders>
              <w:top w:val="nil"/>
              <w:left w:val="nil"/>
              <w:bottom w:val="nil"/>
              <w:right w:val="nil"/>
            </w:tcBorders>
            <w:shd w:val="clear" w:color="auto" w:fill="D3DFEE"/>
            <w:noWrap/>
            <w:tcMar>
              <w:left w:w="108" w:type="dxa"/>
              <w:right w:w="108" w:type="dxa"/>
            </w:tcMar>
            <w:vAlign w:val="top"/>
          </w:tcPr>
          <w:p w14:paraId="4F5F6F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等线" w:hAnsi="等线" w:eastAsia="等线" w:cs="等线"/>
                <w:sz w:val="21"/>
                <w:szCs w:val="21"/>
              </w:rPr>
            </w:pPr>
            <w:r>
              <w:rPr>
                <w:rFonts w:hint="eastAsia" w:ascii="宋体" w:hAnsi="宋体" w:eastAsia="宋体" w:cs="宋体"/>
                <w:color w:val="000000"/>
                <w:kern w:val="0"/>
                <w:sz w:val="24"/>
                <w:szCs w:val="24"/>
                <w:lang w:val="en-US" w:eastAsia="zh-CN" w:bidi="ar"/>
              </w:rPr>
              <w:t>8.15%</w:t>
            </w:r>
          </w:p>
        </w:tc>
      </w:tr>
      <w:tr w14:paraId="15910DBF">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288" w:hRule="atLeast"/>
        </w:trPr>
        <w:tc>
          <w:tcPr>
            <w:tcW w:w="700" w:type="pct"/>
            <w:tcBorders>
              <w:top w:val="nil"/>
              <w:left w:val="nil"/>
              <w:bottom w:val="nil"/>
              <w:right w:val="nil"/>
            </w:tcBorders>
            <w:shd w:val="clear" w:color="auto" w:fill="auto"/>
            <w:noWrap/>
            <w:tcMar>
              <w:left w:w="108" w:type="dxa"/>
              <w:right w:w="108" w:type="dxa"/>
            </w:tcMar>
            <w:vAlign w:val="top"/>
          </w:tcPr>
          <w:p w14:paraId="5D5AB0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等线" w:hAnsi="等线" w:eastAsia="等线" w:cs="等线"/>
                <w:sz w:val="21"/>
                <w:szCs w:val="21"/>
              </w:rPr>
            </w:pPr>
            <w:r>
              <w:rPr>
                <w:rFonts w:hint="eastAsia" w:ascii="宋体" w:hAnsi="宋体" w:eastAsia="宋体" w:cs="宋体"/>
                <w:b/>
                <w:bCs/>
                <w:color w:val="000000"/>
                <w:kern w:val="0"/>
                <w:sz w:val="24"/>
                <w:szCs w:val="24"/>
                <w:lang w:val="en-US" w:eastAsia="zh-CN" w:bidi="ar"/>
              </w:rPr>
              <w:t>4</w:t>
            </w:r>
          </w:p>
        </w:tc>
        <w:tc>
          <w:tcPr>
            <w:tcW w:w="2000" w:type="pct"/>
            <w:tcBorders>
              <w:top w:val="nil"/>
              <w:left w:val="nil"/>
              <w:bottom w:val="nil"/>
              <w:right w:val="nil"/>
            </w:tcBorders>
            <w:shd w:val="clear" w:color="auto" w:fill="auto"/>
            <w:noWrap/>
            <w:tcMar>
              <w:left w:w="108" w:type="dxa"/>
              <w:right w:w="108" w:type="dxa"/>
            </w:tcMar>
            <w:vAlign w:val="top"/>
          </w:tcPr>
          <w:p w14:paraId="612035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等线" w:hAnsi="等线" w:eastAsia="等线" w:cs="等线"/>
                <w:sz w:val="21"/>
                <w:szCs w:val="21"/>
              </w:rPr>
            </w:pPr>
            <w:r>
              <w:rPr>
                <w:rFonts w:hint="eastAsia" w:ascii="宋体" w:hAnsi="宋体" w:eastAsia="宋体" w:cs="宋体"/>
                <w:color w:val="000000"/>
                <w:kern w:val="0"/>
                <w:sz w:val="24"/>
                <w:szCs w:val="24"/>
                <w:lang w:val="en-US" w:eastAsia="zh-CN" w:bidi="ar"/>
              </w:rPr>
              <w:t>22 临床检验器械</w:t>
            </w:r>
          </w:p>
        </w:tc>
        <w:tc>
          <w:tcPr>
            <w:tcW w:w="1100" w:type="pct"/>
            <w:tcBorders>
              <w:top w:val="nil"/>
              <w:left w:val="nil"/>
              <w:bottom w:val="nil"/>
              <w:right w:val="nil"/>
            </w:tcBorders>
            <w:shd w:val="clear" w:color="auto" w:fill="auto"/>
            <w:noWrap/>
            <w:tcMar>
              <w:left w:w="108" w:type="dxa"/>
              <w:right w:w="108" w:type="dxa"/>
            </w:tcMar>
            <w:vAlign w:val="top"/>
          </w:tcPr>
          <w:p w14:paraId="3271AC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等线" w:hAnsi="等线" w:eastAsia="等线" w:cs="等线"/>
                <w:sz w:val="21"/>
                <w:szCs w:val="21"/>
              </w:rPr>
            </w:pPr>
            <w:r>
              <w:rPr>
                <w:rFonts w:hint="eastAsia" w:ascii="宋体" w:hAnsi="宋体" w:eastAsia="宋体" w:cs="宋体"/>
                <w:color w:val="000000"/>
                <w:kern w:val="0"/>
                <w:sz w:val="24"/>
                <w:szCs w:val="24"/>
                <w:lang w:val="en-US" w:eastAsia="zh-CN" w:bidi="ar"/>
              </w:rPr>
              <w:t>31913</w:t>
            </w:r>
          </w:p>
        </w:tc>
        <w:tc>
          <w:tcPr>
            <w:tcW w:w="1100" w:type="pct"/>
            <w:tcBorders>
              <w:top w:val="nil"/>
              <w:left w:val="nil"/>
              <w:bottom w:val="nil"/>
              <w:right w:val="nil"/>
            </w:tcBorders>
            <w:shd w:val="clear" w:color="auto" w:fill="auto"/>
            <w:noWrap/>
            <w:tcMar>
              <w:left w:w="108" w:type="dxa"/>
              <w:right w:w="108" w:type="dxa"/>
            </w:tcMar>
            <w:vAlign w:val="top"/>
          </w:tcPr>
          <w:p w14:paraId="60F3EC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等线" w:hAnsi="等线" w:eastAsia="等线" w:cs="等线"/>
                <w:sz w:val="21"/>
                <w:szCs w:val="21"/>
              </w:rPr>
            </w:pPr>
            <w:r>
              <w:rPr>
                <w:rFonts w:hint="eastAsia" w:ascii="宋体" w:hAnsi="宋体" w:eastAsia="宋体" w:cs="宋体"/>
                <w:color w:val="000000"/>
                <w:kern w:val="0"/>
                <w:sz w:val="24"/>
                <w:szCs w:val="24"/>
                <w:lang w:val="en-US" w:eastAsia="zh-CN" w:bidi="ar"/>
              </w:rPr>
              <w:t>5.44%</w:t>
            </w:r>
          </w:p>
        </w:tc>
      </w:tr>
      <w:tr w14:paraId="24EE45F9">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288" w:hRule="atLeast"/>
        </w:trPr>
        <w:tc>
          <w:tcPr>
            <w:tcW w:w="700" w:type="pct"/>
            <w:tcBorders>
              <w:top w:val="nil"/>
              <w:left w:val="nil"/>
              <w:bottom w:val="nil"/>
              <w:right w:val="nil"/>
            </w:tcBorders>
            <w:shd w:val="clear" w:color="auto" w:fill="D3DFEE"/>
            <w:noWrap/>
            <w:tcMar>
              <w:left w:w="108" w:type="dxa"/>
              <w:right w:w="108" w:type="dxa"/>
            </w:tcMar>
            <w:vAlign w:val="top"/>
          </w:tcPr>
          <w:p w14:paraId="02C4E0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等线" w:hAnsi="等线" w:eastAsia="等线" w:cs="等线"/>
                <w:sz w:val="21"/>
                <w:szCs w:val="21"/>
              </w:rPr>
            </w:pPr>
            <w:r>
              <w:rPr>
                <w:rFonts w:hint="eastAsia" w:ascii="宋体" w:hAnsi="宋体" w:eastAsia="宋体" w:cs="宋体"/>
                <w:b/>
                <w:bCs/>
                <w:color w:val="000000"/>
                <w:kern w:val="0"/>
                <w:sz w:val="24"/>
                <w:szCs w:val="24"/>
                <w:lang w:val="en-US" w:eastAsia="zh-CN" w:bidi="ar"/>
              </w:rPr>
              <w:t>5</w:t>
            </w:r>
          </w:p>
        </w:tc>
        <w:tc>
          <w:tcPr>
            <w:tcW w:w="2000" w:type="pct"/>
            <w:tcBorders>
              <w:top w:val="nil"/>
              <w:left w:val="nil"/>
              <w:bottom w:val="nil"/>
              <w:right w:val="nil"/>
            </w:tcBorders>
            <w:shd w:val="clear" w:color="auto" w:fill="D3DFEE"/>
            <w:noWrap/>
            <w:tcMar>
              <w:left w:w="108" w:type="dxa"/>
              <w:right w:w="108" w:type="dxa"/>
            </w:tcMar>
            <w:vAlign w:val="top"/>
          </w:tcPr>
          <w:p w14:paraId="21171A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等线" w:hAnsi="等线" w:eastAsia="等线" w:cs="等线"/>
                <w:sz w:val="21"/>
                <w:szCs w:val="21"/>
              </w:rPr>
            </w:pPr>
            <w:r>
              <w:rPr>
                <w:rFonts w:hint="eastAsia" w:ascii="宋体" w:hAnsi="宋体" w:eastAsia="宋体" w:cs="宋体"/>
                <w:color w:val="000000"/>
                <w:kern w:val="0"/>
                <w:sz w:val="24"/>
                <w:szCs w:val="24"/>
                <w:lang w:val="en-US" w:eastAsia="zh-CN" w:bidi="ar"/>
              </w:rPr>
              <w:t>08 呼吸、麻醉和急救器械</w:t>
            </w:r>
          </w:p>
        </w:tc>
        <w:tc>
          <w:tcPr>
            <w:tcW w:w="1100" w:type="pct"/>
            <w:tcBorders>
              <w:top w:val="nil"/>
              <w:left w:val="nil"/>
              <w:bottom w:val="nil"/>
              <w:right w:val="nil"/>
            </w:tcBorders>
            <w:shd w:val="clear" w:color="auto" w:fill="D3DFEE"/>
            <w:noWrap/>
            <w:tcMar>
              <w:left w:w="108" w:type="dxa"/>
              <w:right w:w="108" w:type="dxa"/>
            </w:tcMar>
            <w:vAlign w:val="top"/>
          </w:tcPr>
          <w:p w14:paraId="066130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等线" w:hAnsi="等线" w:eastAsia="等线" w:cs="等线"/>
                <w:sz w:val="21"/>
                <w:szCs w:val="21"/>
              </w:rPr>
            </w:pPr>
            <w:r>
              <w:rPr>
                <w:rFonts w:hint="eastAsia" w:ascii="宋体" w:hAnsi="宋体" w:eastAsia="宋体" w:cs="宋体"/>
                <w:color w:val="000000"/>
                <w:kern w:val="0"/>
                <w:sz w:val="24"/>
                <w:szCs w:val="24"/>
                <w:lang w:val="en-US" w:eastAsia="zh-CN" w:bidi="ar"/>
              </w:rPr>
              <w:t>28620</w:t>
            </w:r>
          </w:p>
        </w:tc>
        <w:tc>
          <w:tcPr>
            <w:tcW w:w="1100" w:type="pct"/>
            <w:tcBorders>
              <w:top w:val="nil"/>
              <w:left w:val="nil"/>
              <w:bottom w:val="nil"/>
              <w:right w:val="nil"/>
            </w:tcBorders>
            <w:shd w:val="clear" w:color="auto" w:fill="D3DFEE"/>
            <w:noWrap/>
            <w:tcMar>
              <w:left w:w="108" w:type="dxa"/>
              <w:right w:w="108" w:type="dxa"/>
            </w:tcMar>
            <w:vAlign w:val="top"/>
          </w:tcPr>
          <w:p w14:paraId="683516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等线" w:hAnsi="等线" w:eastAsia="等线" w:cs="等线"/>
                <w:sz w:val="21"/>
                <w:szCs w:val="21"/>
              </w:rPr>
            </w:pPr>
            <w:r>
              <w:rPr>
                <w:rFonts w:hint="eastAsia" w:ascii="宋体" w:hAnsi="宋体" w:eastAsia="宋体" w:cs="宋体"/>
                <w:color w:val="000000"/>
                <w:kern w:val="0"/>
                <w:sz w:val="24"/>
                <w:szCs w:val="24"/>
                <w:lang w:val="en-US" w:eastAsia="zh-CN" w:bidi="ar"/>
              </w:rPr>
              <w:t>4.88%</w:t>
            </w:r>
          </w:p>
        </w:tc>
      </w:tr>
      <w:tr w14:paraId="2B8EFEC1">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288" w:hRule="atLeast"/>
        </w:trPr>
        <w:tc>
          <w:tcPr>
            <w:tcW w:w="700" w:type="pct"/>
            <w:tcBorders>
              <w:top w:val="nil"/>
              <w:left w:val="nil"/>
              <w:bottom w:val="nil"/>
              <w:right w:val="nil"/>
            </w:tcBorders>
            <w:shd w:val="clear" w:color="auto" w:fill="auto"/>
            <w:noWrap/>
            <w:tcMar>
              <w:left w:w="108" w:type="dxa"/>
              <w:right w:w="108" w:type="dxa"/>
            </w:tcMar>
            <w:vAlign w:val="top"/>
          </w:tcPr>
          <w:p w14:paraId="3C692B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等线" w:hAnsi="等线" w:eastAsia="等线" w:cs="等线"/>
                <w:sz w:val="21"/>
                <w:szCs w:val="21"/>
              </w:rPr>
            </w:pPr>
            <w:r>
              <w:rPr>
                <w:rFonts w:hint="eastAsia" w:ascii="宋体" w:hAnsi="宋体" w:eastAsia="宋体" w:cs="宋体"/>
                <w:b/>
                <w:bCs/>
                <w:color w:val="000000"/>
                <w:kern w:val="0"/>
                <w:sz w:val="24"/>
                <w:szCs w:val="24"/>
                <w:lang w:val="en-US" w:eastAsia="zh-CN" w:bidi="ar"/>
              </w:rPr>
              <w:t>6</w:t>
            </w:r>
          </w:p>
        </w:tc>
        <w:tc>
          <w:tcPr>
            <w:tcW w:w="2000" w:type="pct"/>
            <w:tcBorders>
              <w:top w:val="nil"/>
              <w:left w:val="nil"/>
              <w:bottom w:val="nil"/>
              <w:right w:val="nil"/>
            </w:tcBorders>
            <w:shd w:val="clear" w:color="auto" w:fill="auto"/>
            <w:noWrap/>
            <w:tcMar>
              <w:left w:w="108" w:type="dxa"/>
              <w:right w:w="108" w:type="dxa"/>
            </w:tcMar>
            <w:vAlign w:val="top"/>
          </w:tcPr>
          <w:p w14:paraId="33754B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等线" w:hAnsi="等线" w:eastAsia="等线" w:cs="等线"/>
                <w:sz w:val="21"/>
                <w:szCs w:val="21"/>
              </w:rPr>
            </w:pPr>
            <w:r>
              <w:rPr>
                <w:rFonts w:hint="eastAsia" w:ascii="宋体" w:hAnsi="宋体" w:eastAsia="宋体" w:cs="宋体"/>
                <w:color w:val="000000"/>
                <w:kern w:val="0"/>
                <w:sz w:val="24"/>
                <w:szCs w:val="24"/>
                <w:lang w:val="en-US" w:eastAsia="zh-CN" w:bidi="ar"/>
              </w:rPr>
              <w:t>06 医用成像器械</w:t>
            </w:r>
          </w:p>
        </w:tc>
        <w:tc>
          <w:tcPr>
            <w:tcW w:w="1100" w:type="pct"/>
            <w:tcBorders>
              <w:top w:val="nil"/>
              <w:left w:val="nil"/>
              <w:bottom w:val="nil"/>
              <w:right w:val="nil"/>
            </w:tcBorders>
            <w:shd w:val="clear" w:color="auto" w:fill="auto"/>
            <w:noWrap/>
            <w:tcMar>
              <w:left w:w="108" w:type="dxa"/>
              <w:right w:w="108" w:type="dxa"/>
            </w:tcMar>
            <w:vAlign w:val="top"/>
          </w:tcPr>
          <w:p w14:paraId="1AAFB8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等线" w:hAnsi="等线" w:eastAsia="等线" w:cs="等线"/>
                <w:sz w:val="21"/>
                <w:szCs w:val="21"/>
              </w:rPr>
            </w:pPr>
            <w:r>
              <w:rPr>
                <w:rFonts w:hint="eastAsia" w:ascii="宋体" w:hAnsi="宋体" w:eastAsia="宋体" w:cs="宋体"/>
                <w:color w:val="000000"/>
                <w:kern w:val="0"/>
                <w:sz w:val="24"/>
                <w:szCs w:val="24"/>
                <w:lang w:val="en-US" w:eastAsia="zh-CN" w:bidi="ar"/>
              </w:rPr>
              <w:t>19549</w:t>
            </w:r>
          </w:p>
        </w:tc>
        <w:tc>
          <w:tcPr>
            <w:tcW w:w="1100" w:type="pct"/>
            <w:tcBorders>
              <w:top w:val="nil"/>
              <w:left w:val="nil"/>
              <w:bottom w:val="nil"/>
              <w:right w:val="nil"/>
            </w:tcBorders>
            <w:shd w:val="clear" w:color="auto" w:fill="auto"/>
            <w:noWrap/>
            <w:tcMar>
              <w:left w:w="108" w:type="dxa"/>
              <w:right w:w="108" w:type="dxa"/>
            </w:tcMar>
            <w:vAlign w:val="top"/>
          </w:tcPr>
          <w:p w14:paraId="207A5A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等线" w:hAnsi="等线" w:eastAsia="等线" w:cs="等线"/>
                <w:sz w:val="21"/>
                <w:szCs w:val="21"/>
              </w:rPr>
            </w:pPr>
            <w:r>
              <w:rPr>
                <w:rFonts w:hint="eastAsia" w:ascii="宋体" w:hAnsi="宋体" w:eastAsia="宋体" w:cs="宋体"/>
                <w:color w:val="000000"/>
                <w:kern w:val="0"/>
                <w:sz w:val="24"/>
                <w:szCs w:val="24"/>
                <w:lang w:val="en-US" w:eastAsia="zh-CN" w:bidi="ar"/>
              </w:rPr>
              <w:t>3.33%</w:t>
            </w:r>
          </w:p>
        </w:tc>
      </w:tr>
      <w:tr w14:paraId="470F4AAF">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288" w:hRule="atLeast"/>
        </w:trPr>
        <w:tc>
          <w:tcPr>
            <w:tcW w:w="700" w:type="pct"/>
            <w:tcBorders>
              <w:top w:val="nil"/>
              <w:left w:val="nil"/>
              <w:bottom w:val="nil"/>
              <w:right w:val="nil"/>
            </w:tcBorders>
            <w:shd w:val="clear" w:color="auto" w:fill="D3DFEE"/>
            <w:noWrap/>
            <w:tcMar>
              <w:left w:w="108" w:type="dxa"/>
              <w:right w:w="108" w:type="dxa"/>
            </w:tcMar>
            <w:vAlign w:val="top"/>
          </w:tcPr>
          <w:p w14:paraId="279320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等线" w:hAnsi="等线" w:eastAsia="等线" w:cs="等线"/>
                <w:sz w:val="21"/>
                <w:szCs w:val="21"/>
              </w:rPr>
            </w:pPr>
            <w:r>
              <w:rPr>
                <w:rFonts w:hint="eastAsia" w:ascii="宋体" w:hAnsi="宋体" w:eastAsia="宋体" w:cs="宋体"/>
                <w:b/>
                <w:bCs/>
                <w:color w:val="000000"/>
                <w:kern w:val="0"/>
                <w:sz w:val="24"/>
                <w:szCs w:val="24"/>
                <w:lang w:val="en-US" w:eastAsia="zh-CN" w:bidi="ar"/>
              </w:rPr>
              <w:t>7</w:t>
            </w:r>
          </w:p>
        </w:tc>
        <w:tc>
          <w:tcPr>
            <w:tcW w:w="2000" w:type="pct"/>
            <w:tcBorders>
              <w:top w:val="nil"/>
              <w:left w:val="nil"/>
              <w:bottom w:val="nil"/>
              <w:right w:val="nil"/>
            </w:tcBorders>
            <w:shd w:val="clear" w:color="auto" w:fill="D3DFEE"/>
            <w:noWrap/>
            <w:tcMar>
              <w:left w:w="108" w:type="dxa"/>
              <w:right w:w="108" w:type="dxa"/>
            </w:tcMar>
            <w:vAlign w:val="top"/>
          </w:tcPr>
          <w:p w14:paraId="6D3816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等线" w:hAnsi="等线" w:eastAsia="等线" w:cs="等线"/>
                <w:sz w:val="21"/>
                <w:szCs w:val="21"/>
              </w:rPr>
            </w:pPr>
            <w:r>
              <w:rPr>
                <w:rFonts w:hint="eastAsia" w:ascii="宋体" w:hAnsi="宋体" w:eastAsia="宋体" w:cs="宋体"/>
                <w:color w:val="000000"/>
                <w:kern w:val="0"/>
                <w:sz w:val="24"/>
                <w:szCs w:val="24"/>
                <w:lang w:val="en-US" w:eastAsia="zh-CN" w:bidi="ar"/>
              </w:rPr>
              <w:t>18 妇产科、辅助生殖和避孕器械</w:t>
            </w:r>
          </w:p>
        </w:tc>
        <w:tc>
          <w:tcPr>
            <w:tcW w:w="1100" w:type="pct"/>
            <w:tcBorders>
              <w:top w:val="nil"/>
              <w:left w:val="nil"/>
              <w:bottom w:val="nil"/>
              <w:right w:val="nil"/>
            </w:tcBorders>
            <w:shd w:val="clear" w:color="auto" w:fill="D3DFEE"/>
            <w:noWrap/>
            <w:tcMar>
              <w:left w:w="108" w:type="dxa"/>
              <w:right w:w="108" w:type="dxa"/>
            </w:tcMar>
            <w:vAlign w:val="top"/>
          </w:tcPr>
          <w:p w14:paraId="268C23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等线" w:hAnsi="等线" w:eastAsia="等线" w:cs="等线"/>
                <w:sz w:val="21"/>
                <w:szCs w:val="21"/>
              </w:rPr>
            </w:pPr>
            <w:r>
              <w:rPr>
                <w:rFonts w:hint="eastAsia" w:ascii="宋体" w:hAnsi="宋体" w:eastAsia="宋体" w:cs="宋体"/>
                <w:color w:val="000000"/>
                <w:kern w:val="0"/>
                <w:sz w:val="24"/>
                <w:szCs w:val="24"/>
                <w:lang w:val="en-US" w:eastAsia="zh-CN" w:bidi="ar"/>
              </w:rPr>
              <w:t>16917</w:t>
            </w:r>
          </w:p>
        </w:tc>
        <w:tc>
          <w:tcPr>
            <w:tcW w:w="1100" w:type="pct"/>
            <w:tcBorders>
              <w:top w:val="nil"/>
              <w:left w:val="nil"/>
              <w:bottom w:val="nil"/>
              <w:right w:val="nil"/>
            </w:tcBorders>
            <w:shd w:val="clear" w:color="auto" w:fill="D3DFEE"/>
            <w:noWrap/>
            <w:tcMar>
              <w:left w:w="108" w:type="dxa"/>
              <w:right w:w="108" w:type="dxa"/>
            </w:tcMar>
            <w:vAlign w:val="top"/>
          </w:tcPr>
          <w:p w14:paraId="141272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等线" w:hAnsi="等线" w:eastAsia="等线" w:cs="等线"/>
                <w:sz w:val="21"/>
                <w:szCs w:val="21"/>
              </w:rPr>
            </w:pPr>
            <w:r>
              <w:rPr>
                <w:rFonts w:hint="eastAsia" w:ascii="宋体" w:hAnsi="宋体" w:eastAsia="宋体" w:cs="宋体"/>
                <w:color w:val="000000"/>
                <w:kern w:val="0"/>
                <w:sz w:val="24"/>
                <w:szCs w:val="24"/>
                <w:lang w:val="en-US" w:eastAsia="zh-CN" w:bidi="ar"/>
              </w:rPr>
              <w:t>2.88%</w:t>
            </w:r>
          </w:p>
        </w:tc>
      </w:tr>
      <w:tr w14:paraId="02C08A6F">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288" w:hRule="atLeast"/>
        </w:trPr>
        <w:tc>
          <w:tcPr>
            <w:tcW w:w="700" w:type="pct"/>
            <w:tcBorders>
              <w:top w:val="nil"/>
              <w:left w:val="nil"/>
              <w:bottom w:val="nil"/>
              <w:right w:val="nil"/>
            </w:tcBorders>
            <w:shd w:val="clear" w:color="auto" w:fill="auto"/>
            <w:noWrap/>
            <w:tcMar>
              <w:left w:w="108" w:type="dxa"/>
              <w:right w:w="108" w:type="dxa"/>
            </w:tcMar>
            <w:vAlign w:val="top"/>
          </w:tcPr>
          <w:p w14:paraId="5E44F8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等线" w:hAnsi="等线" w:eastAsia="等线" w:cs="等线"/>
                <w:sz w:val="21"/>
                <w:szCs w:val="21"/>
              </w:rPr>
            </w:pPr>
            <w:r>
              <w:rPr>
                <w:rFonts w:hint="eastAsia" w:ascii="宋体" w:hAnsi="宋体" w:eastAsia="宋体" w:cs="宋体"/>
                <w:b/>
                <w:bCs/>
                <w:color w:val="000000"/>
                <w:kern w:val="0"/>
                <w:sz w:val="24"/>
                <w:szCs w:val="24"/>
                <w:lang w:val="en-US" w:eastAsia="zh-CN" w:bidi="ar"/>
              </w:rPr>
              <w:t>8</w:t>
            </w:r>
          </w:p>
        </w:tc>
        <w:tc>
          <w:tcPr>
            <w:tcW w:w="2000" w:type="pct"/>
            <w:tcBorders>
              <w:top w:val="nil"/>
              <w:left w:val="nil"/>
              <w:bottom w:val="nil"/>
              <w:right w:val="nil"/>
            </w:tcBorders>
            <w:shd w:val="clear" w:color="auto" w:fill="auto"/>
            <w:noWrap/>
            <w:tcMar>
              <w:left w:w="108" w:type="dxa"/>
              <w:right w:w="108" w:type="dxa"/>
            </w:tcMar>
            <w:vAlign w:val="top"/>
          </w:tcPr>
          <w:p w14:paraId="4E44A5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等线" w:hAnsi="等线" w:eastAsia="等线" w:cs="等线"/>
                <w:sz w:val="21"/>
                <w:szCs w:val="21"/>
              </w:rPr>
            </w:pPr>
            <w:r>
              <w:rPr>
                <w:rFonts w:hint="eastAsia" w:ascii="宋体" w:hAnsi="宋体" w:eastAsia="宋体" w:cs="宋体"/>
                <w:color w:val="000000"/>
                <w:kern w:val="0"/>
                <w:sz w:val="24"/>
                <w:szCs w:val="24"/>
                <w:lang w:val="en-US" w:eastAsia="zh-CN" w:bidi="ar"/>
              </w:rPr>
              <w:t>10 输血、透析和体外循环器械</w:t>
            </w:r>
          </w:p>
        </w:tc>
        <w:tc>
          <w:tcPr>
            <w:tcW w:w="1100" w:type="pct"/>
            <w:tcBorders>
              <w:top w:val="nil"/>
              <w:left w:val="nil"/>
              <w:bottom w:val="nil"/>
              <w:right w:val="nil"/>
            </w:tcBorders>
            <w:shd w:val="clear" w:color="auto" w:fill="auto"/>
            <w:noWrap/>
            <w:tcMar>
              <w:left w:w="108" w:type="dxa"/>
              <w:right w:w="108" w:type="dxa"/>
            </w:tcMar>
            <w:vAlign w:val="top"/>
          </w:tcPr>
          <w:p w14:paraId="6C1634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等线" w:hAnsi="等线" w:eastAsia="等线" w:cs="等线"/>
                <w:sz w:val="21"/>
                <w:szCs w:val="21"/>
              </w:rPr>
            </w:pPr>
            <w:r>
              <w:rPr>
                <w:rFonts w:hint="eastAsia" w:ascii="宋体" w:hAnsi="宋体" w:eastAsia="宋体" w:cs="宋体"/>
                <w:color w:val="000000"/>
                <w:kern w:val="0"/>
                <w:sz w:val="24"/>
                <w:szCs w:val="24"/>
                <w:lang w:val="en-US" w:eastAsia="zh-CN" w:bidi="ar"/>
              </w:rPr>
              <w:t>16110</w:t>
            </w:r>
          </w:p>
        </w:tc>
        <w:tc>
          <w:tcPr>
            <w:tcW w:w="1100" w:type="pct"/>
            <w:tcBorders>
              <w:top w:val="nil"/>
              <w:left w:val="nil"/>
              <w:bottom w:val="nil"/>
              <w:right w:val="nil"/>
            </w:tcBorders>
            <w:shd w:val="clear" w:color="auto" w:fill="auto"/>
            <w:noWrap/>
            <w:tcMar>
              <w:left w:w="108" w:type="dxa"/>
              <w:right w:w="108" w:type="dxa"/>
            </w:tcMar>
            <w:vAlign w:val="top"/>
          </w:tcPr>
          <w:p w14:paraId="34D489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等线" w:hAnsi="等线" w:eastAsia="等线" w:cs="等线"/>
                <w:sz w:val="21"/>
                <w:szCs w:val="21"/>
              </w:rPr>
            </w:pPr>
            <w:r>
              <w:rPr>
                <w:rFonts w:hint="eastAsia" w:ascii="宋体" w:hAnsi="宋体" w:eastAsia="宋体" w:cs="宋体"/>
                <w:color w:val="000000"/>
                <w:kern w:val="0"/>
                <w:sz w:val="24"/>
                <w:szCs w:val="24"/>
                <w:lang w:val="en-US" w:eastAsia="zh-CN" w:bidi="ar"/>
              </w:rPr>
              <w:t>2.74%</w:t>
            </w:r>
          </w:p>
        </w:tc>
      </w:tr>
      <w:tr w14:paraId="36028079">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288" w:hRule="atLeast"/>
        </w:trPr>
        <w:tc>
          <w:tcPr>
            <w:tcW w:w="700" w:type="pct"/>
            <w:tcBorders>
              <w:top w:val="nil"/>
              <w:left w:val="nil"/>
              <w:bottom w:val="nil"/>
              <w:right w:val="nil"/>
            </w:tcBorders>
            <w:shd w:val="clear" w:color="auto" w:fill="D3DFEE"/>
            <w:noWrap/>
            <w:tcMar>
              <w:left w:w="108" w:type="dxa"/>
              <w:right w:w="108" w:type="dxa"/>
            </w:tcMar>
            <w:vAlign w:val="top"/>
          </w:tcPr>
          <w:p w14:paraId="482A5C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等线" w:hAnsi="等线" w:eastAsia="等线" w:cs="等线"/>
                <w:sz w:val="21"/>
                <w:szCs w:val="21"/>
              </w:rPr>
            </w:pPr>
            <w:r>
              <w:rPr>
                <w:rFonts w:hint="eastAsia" w:ascii="宋体" w:hAnsi="宋体" w:eastAsia="宋体" w:cs="宋体"/>
                <w:b/>
                <w:bCs/>
                <w:color w:val="000000"/>
                <w:kern w:val="0"/>
                <w:sz w:val="24"/>
                <w:szCs w:val="24"/>
                <w:lang w:val="en-US" w:eastAsia="zh-CN" w:bidi="ar"/>
              </w:rPr>
              <w:t>9</w:t>
            </w:r>
          </w:p>
        </w:tc>
        <w:tc>
          <w:tcPr>
            <w:tcW w:w="2000" w:type="pct"/>
            <w:tcBorders>
              <w:top w:val="nil"/>
              <w:left w:val="nil"/>
              <w:bottom w:val="nil"/>
              <w:right w:val="nil"/>
            </w:tcBorders>
            <w:shd w:val="clear" w:color="auto" w:fill="D3DFEE"/>
            <w:noWrap/>
            <w:tcMar>
              <w:left w:w="108" w:type="dxa"/>
              <w:right w:w="108" w:type="dxa"/>
            </w:tcMar>
            <w:vAlign w:val="top"/>
          </w:tcPr>
          <w:p w14:paraId="46A517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等线" w:hAnsi="等线" w:eastAsia="等线" w:cs="等线"/>
                <w:sz w:val="21"/>
                <w:szCs w:val="21"/>
              </w:rPr>
            </w:pPr>
            <w:r>
              <w:rPr>
                <w:rFonts w:hint="eastAsia" w:ascii="宋体" w:hAnsi="宋体" w:eastAsia="宋体" w:cs="宋体"/>
                <w:color w:val="000000"/>
                <w:kern w:val="0"/>
                <w:sz w:val="24"/>
                <w:szCs w:val="24"/>
                <w:lang w:val="en-US" w:eastAsia="zh-CN" w:bidi="ar"/>
              </w:rPr>
              <w:t>02 无源手术器械</w:t>
            </w:r>
          </w:p>
        </w:tc>
        <w:tc>
          <w:tcPr>
            <w:tcW w:w="1100" w:type="pct"/>
            <w:tcBorders>
              <w:top w:val="nil"/>
              <w:left w:val="nil"/>
              <w:bottom w:val="nil"/>
              <w:right w:val="nil"/>
            </w:tcBorders>
            <w:shd w:val="clear" w:color="auto" w:fill="D3DFEE"/>
            <w:noWrap/>
            <w:tcMar>
              <w:left w:w="108" w:type="dxa"/>
              <w:right w:w="108" w:type="dxa"/>
            </w:tcMar>
            <w:vAlign w:val="top"/>
          </w:tcPr>
          <w:p w14:paraId="6ED738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等线" w:hAnsi="等线" w:eastAsia="等线" w:cs="等线"/>
                <w:sz w:val="21"/>
                <w:szCs w:val="21"/>
              </w:rPr>
            </w:pPr>
            <w:r>
              <w:rPr>
                <w:rFonts w:hint="eastAsia" w:ascii="宋体" w:hAnsi="宋体" w:eastAsia="宋体" w:cs="宋体"/>
                <w:color w:val="000000"/>
                <w:kern w:val="0"/>
                <w:sz w:val="24"/>
                <w:szCs w:val="24"/>
                <w:lang w:val="en-US" w:eastAsia="zh-CN" w:bidi="ar"/>
              </w:rPr>
              <w:t>14121</w:t>
            </w:r>
          </w:p>
        </w:tc>
        <w:tc>
          <w:tcPr>
            <w:tcW w:w="1100" w:type="pct"/>
            <w:tcBorders>
              <w:top w:val="nil"/>
              <w:left w:val="nil"/>
              <w:bottom w:val="nil"/>
              <w:right w:val="nil"/>
            </w:tcBorders>
            <w:shd w:val="clear" w:color="auto" w:fill="D3DFEE"/>
            <w:noWrap/>
            <w:tcMar>
              <w:left w:w="108" w:type="dxa"/>
              <w:right w:w="108" w:type="dxa"/>
            </w:tcMar>
            <w:vAlign w:val="top"/>
          </w:tcPr>
          <w:p w14:paraId="3692FE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等线" w:hAnsi="等线" w:eastAsia="等线" w:cs="等线"/>
                <w:sz w:val="21"/>
                <w:szCs w:val="21"/>
              </w:rPr>
            </w:pPr>
            <w:r>
              <w:rPr>
                <w:rFonts w:hint="eastAsia" w:ascii="宋体" w:hAnsi="宋体" w:eastAsia="宋体" w:cs="宋体"/>
                <w:color w:val="000000"/>
                <w:kern w:val="0"/>
                <w:sz w:val="24"/>
                <w:szCs w:val="24"/>
                <w:lang w:val="en-US" w:eastAsia="zh-CN" w:bidi="ar"/>
              </w:rPr>
              <w:t>2.41%</w:t>
            </w:r>
          </w:p>
        </w:tc>
      </w:tr>
      <w:tr w14:paraId="575DA0A7">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288" w:hRule="atLeast"/>
        </w:trPr>
        <w:tc>
          <w:tcPr>
            <w:tcW w:w="700" w:type="pct"/>
            <w:tcBorders>
              <w:top w:val="nil"/>
              <w:left w:val="nil"/>
              <w:bottom w:val="single" w:color="4F81BD" w:sz="8" w:space="0"/>
              <w:right w:val="nil"/>
            </w:tcBorders>
            <w:shd w:val="clear" w:color="auto" w:fill="auto"/>
            <w:noWrap/>
            <w:tcMar>
              <w:left w:w="108" w:type="dxa"/>
              <w:right w:w="108" w:type="dxa"/>
            </w:tcMar>
            <w:vAlign w:val="top"/>
          </w:tcPr>
          <w:p w14:paraId="70B8C7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等线" w:hAnsi="等线" w:eastAsia="等线" w:cs="等线"/>
                <w:sz w:val="21"/>
                <w:szCs w:val="21"/>
              </w:rPr>
            </w:pPr>
            <w:r>
              <w:rPr>
                <w:rFonts w:hint="eastAsia" w:ascii="宋体" w:hAnsi="宋体" w:eastAsia="宋体" w:cs="宋体"/>
                <w:b/>
                <w:bCs/>
                <w:color w:val="000000"/>
                <w:kern w:val="0"/>
                <w:sz w:val="24"/>
                <w:szCs w:val="24"/>
                <w:lang w:val="en-US" w:eastAsia="zh-CN" w:bidi="ar"/>
              </w:rPr>
              <w:t>10</w:t>
            </w:r>
          </w:p>
        </w:tc>
        <w:tc>
          <w:tcPr>
            <w:tcW w:w="2000" w:type="pct"/>
            <w:tcBorders>
              <w:top w:val="nil"/>
              <w:left w:val="nil"/>
              <w:bottom w:val="single" w:color="4F81BD" w:sz="8" w:space="0"/>
              <w:right w:val="nil"/>
            </w:tcBorders>
            <w:shd w:val="clear" w:color="auto" w:fill="auto"/>
            <w:noWrap/>
            <w:tcMar>
              <w:left w:w="108" w:type="dxa"/>
              <w:right w:w="108" w:type="dxa"/>
            </w:tcMar>
            <w:vAlign w:val="top"/>
          </w:tcPr>
          <w:p w14:paraId="4721CA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等线" w:hAnsi="等线" w:eastAsia="等线" w:cs="等线"/>
                <w:sz w:val="21"/>
                <w:szCs w:val="21"/>
              </w:rPr>
            </w:pPr>
            <w:r>
              <w:rPr>
                <w:rFonts w:hint="eastAsia" w:ascii="宋体" w:hAnsi="宋体" w:eastAsia="宋体" w:cs="宋体"/>
                <w:color w:val="000000"/>
                <w:kern w:val="0"/>
                <w:sz w:val="24"/>
                <w:szCs w:val="24"/>
                <w:lang w:val="en-US" w:eastAsia="zh-CN" w:bidi="ar"/>
              </w:rPr>
              <w:t>17 口腔科器械</w:t>
            </w:r>
          </w:p>
        </w:tc>
        <w:tc>
          <w:tcPr>
            <w:tcW w:w="1100" w:type="pct"/>
            <w:tcBorders>
              <w:top w:val="nil"/>
              <w:left w:val="nil"/>
              <w:bottom w:val="single" w:color="4F81BD" w:sz="8" w:space="0"/>
              <w:right w:val="nil"/>
            </w:tcBorders>
            <w:shd w:val="clear" w:color="auto" w:fill="auto"/>
            <w:noWrap/>
            <w:tcMar>
              <w:left w:w="108" w:type="dxa"/>
              <w:right w:w="108" w:type="dxa"/>
            </w:tcMar>
            <w:vAlign w:val="top"/>
          </w:tcPr>
          <w:p w14:paraId="1AC3BD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等线" w:hAnsi="等线" w:eastAsia="等线" w:cs="等线"/>
                <w:sz w:val="21"/>
                <w:szCs w:val="21"/>
              </w:rPr>
            </w:pPr>
            <w:r>
              <w:rPr>
                <w:rFonts w:hint="eastAsia" w:ascii="宋体" w:hAnsi="宋体" w:eastAsia="宋体" w:cs="宋体"/>
                <w:color w:val="000000"/>
                <w:kern w:val="0"/>
                <w:sz w:val="24"/>
                <w:szCs w:val="24"/>
                <w:lang w:val="en-US" w:eastAsia="zh-CN" w:bidi="ar"/>
              </w:rPr>
              <w:t>8829</w:t>
            </w:r>
          </w:p>
        </w:tc>
        <w:tc>
          <w:tcPr>
            <w:tcW w:w="1100" w:type="pct"/>
            <w:tcBorders>
              <w:top w:val="nil"/>
              <w:left w:val="nil"/>
              <w:bottom w:val="single" w:color="4F81BD" w:sz="8" w:space="0"/>
              <w:right w:val="nil"/>
            </w:tcBorders>
            <w:shd w:val="clear" w:color="auto" w:fill="auto"/>
            <w:noWrap/>
            <w:tcMar>
              <w:left w:w="108" w:type="dxa"/>
              <w:right w:w="108" w:type="dxa"/>
            </w:tcMar>
            <w:vAlign w:val="top"/>
          </w:tcPr>
          <w:p w14:paraId="0B1199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等线" w:hAnsi="等线" w:eastAsia="等线" w:cs="等线"/>
                <w:sz w:val="21"/>
                <w:szCs w:val="21"/>
              </w:rPr>
            </w:pPr>
            <w:r>
              <w:rPr>
                <w:rFonts w:hint="eastAsia" w:ascii="宋体" w:hAnsi="宋体" w:eastAsia="宋体" w:cs="宋体"/>
                <w:color w:val="000000"/>
                <w:kern w:val="0"/>
                <w:sz w:val="24"/>
                <w:szCs w:val="24"/>
                <w:lang w:val="en-US" w:eastAsia="zh-CN" w:bidi="ar"/>
              </w:rPr>
              <w:t>1.50%</w:t>
            </w:r>
          </w:p>
        </w:tc>
      </w:tr>
    </w:tbl>
    <w:p w14:paraId="3DB069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68" w:beforeAutospacing="0" w:after="0" w:afterAutospacing="0" w:line="210" w:lineRule="atLeast"/>
        <w:ind w:left="0" w:right="0" w:firstLine="640"/>
        <w:jc w:val="both"/>
        <w:rPr>
          <w:rFonts w:hint="eastAsia" w:ascii="等线" w:hAnsi="等线" w:eastAsia="等线" w:cs="等线"/>
          <w:sz w:val="21"/>
          <w:szCs w:val="21"/>
        </w:rPr>
      </w:pPr>
      <w:r>
        <w:rPr>
          <w:rFonts w:hint="eastAsia" w:ascii="宋体" w:hAnsi="宋体" w:eastAsia="宋体" w:cs="宋体"/>
          <w:i w:val="0"/>
          <w:iCs w:val="0"/>
          <w:caps w:val="0"/>
          <w:color w:val="000000"/>
          <w:spacing w:val="0"/>
          <w:sz w:val="24"/>
          <w:szCs w:val="24"/>
          <w:shd w:val="clear" w:fill="FFFFFF"/>
        </w:rPr>
        <w:t>（五）按医疗器械结构特征统计分析</w:t>
      </w:r>
    </w:p>
    <w:p w14:paraId="4C5BFD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640"/>
        <w:jc w:val="both"/>
        <w:rPr>
          <w:rFonts w:hint="eastAsia" w:ascii="等线" w:hAnsi="等线" w:eastAsia="等线" w:cs="等线"/>
          <w:sz w:val="21"/>
          <w:szCs w:val="21"/>
        </w:rPr>
      </w:pPr>
      <w:r>
        <w:rPr>
          <w:rFonts w:hint="eastAsia" w:ascii="宋体" w:hAnsi="宋体" w:eastAsia="宋体" w:cs="宋体"/>
          <w:i w:val="0"/>
          <w:iCs w:val="0"/>
          <w:caps w:val="0"/>
          <w:color w:val="000000"/>
          <w:spacing w:val="0"/>
          <w:kern w:val="0"/>
          <w:sz w:val="24"/>
          <w:szCs w:val="24"/>
          <w:shd w:val="clear" w:fill="FFFFFF"/>
          <w:lang w:val="en-US" w:eastAsia="zh-CN" w:bidi="ar"/>
        </w:rPr>
        <w:t>2021年，国家药品不良反应监测中心收到的医疗器械不良事件报告中，涉及无源医疗器械的报告423,018份，占报告总数的65.01%；涉及有源医疗器械的报告159,212份，占报告总数的24.47%；涉及体外诊断试剂的报告4,794份，占报告总数的0.74%；未填写医疗器械结构特征的报告63,671份,占报告总数的9.78%（图7）。</w:t>
      </w:r>
    </w:p>
    <w:p w14:paraId="506827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等线" w:hAnsi="等线" w:eastAsia="等线" w:cs="等线"/>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 </w:t>
      </w:r>
    </w:p>
    <w:p w14:paraId="7657D6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等线" w:hAnsi="等线" w:eastAsia="等线" w:cs="等线"/>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drawing>
          <wp:inline distT="0" distB="0" distL="114300" distR="114300">
            <wp:extent cx="304800" cy="304800"/>
            <wp:effectExtent l="0" t="0" r="0" b="0"/>
            <wp:docPr id="5" name="图片 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0" descr="IMG_265"/>
                    <pic:cNvPicPr>
                      <a:picLocks noChangeAspect="1"/>
                    </pic:cNvPicPr>
                  </pic:nvPicPr>
                  <pic:blipFill>
                    <a:blip r:embed="rId13"/>
                    <a:stretch>
                      <a:fillRect/>
                    </a:stretch>
                  </pic:blipFill>
                  <pic:spPr>
                    <a:xfrm>
                      <a:off x="0" y="0"/>
                      <a:ext cx="304800" cy="304800"/>
                    </a:xfrm>
                    <a:prstGeom prst="rect">
                      <a:avLst/>
                    </a:prstGeom>
                    <a:noFill/>
                    <a:ln w="9525">
                      <a:noFill/>
                    </a:ln>
                  </pic:spPr>
                </pic:pic>
              </a:graphicData>
            </a:graphic>
          </wp:inline>
        </w:drawing>
      </w:r>
    </w:p>
    <w:p w14:paraId="723BA3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2" w:afterAutospacing="0" w:line="210" w:lineRule="atLeast"/>
        <w:ind w:left="0" w:right="0"/>
        <w:jc w:val="center"/>
        <w:rPr>
          <w:rFonts w:hint="eastAsia" w:ascii="等线" w:hAnsi="等线" w:eastAsia="等线" w:cs="等线"/>
          <w:sz w:val="21"/>
          <w:szCs w:val="21"/>
        </w:rPr>
      </w:pPr>
      <w:r>
        <w:rPr>
          <w:rFonts w:hint="eastAsia" w:ascii="宋体" w:hAnsi="宋体" w:eastAsia="宋体" w:cs="宋体"/>
          <w:b/>
          <w:bCs/>
          <w:i w:val="0"/>
          <w:iCs w:val="0"/>
          <w:caps w:val="0"/>
          <w:color w:val="000000"/>
          <w:spacing w:val="0"/>
          <w:kern w:val="0"/>
          <w:sz w:val="24"/>
          <w:szCs w:val="24"/>
          <w:shd w:val="clear" w:fill="FFFFFF"/>
          <w:lang w:val="en-US" w:eastAsia="zh-CN" w:bidi="ar"/>
        </w:rPr>
        <w:t>图7  2021年医疗器械不良事件报告涉及医疗器械结构特征情况</w:t>
      </w:r>
    </w:p>
    <w:p w14:paraId="5A4F51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0" w:afterAutospacing="0" w:line="210" w:lineRule="atLeast"/>
        <w:ind w:left="0" w:right="0" w:firstLine="640"/>
        <w:jc w:val="both"/>
        <w:rPr>
          <w:rFonts w:hint="eastAsia" w:ascii="等线" w:hAnsi="等线" w:eastAsia="等线" w:cs="等线"/>
          <w:sz w:val="21"/>
          <w:szCs w:val="21"/>
        </w:rPr>
      </w:pPr>
      <w:r>
        <w:rPr>
          <w:rFonts w:hint="eastAsia" w:ascii="宋体" w:hAnsi="宋体" w:eastAsia="宋体" w:cs="宋体"/>
          <w:i w:val="0"/>
          <w:iCs w:val="0"/>
          <w:caps w:val="0"/>
          <w:color w:val="000000"/>
          <w:spacing w:val="0"/>
          <w:sz w:val="24"/>
          <w:szCs w:val="24"/>
          <w:shd w:val="clear" w:fill="FFFFFF"/>
        </w:rPr>
        <w:t>（六）按实际使用场所统计分析</w:t>
      </w:r>
    </w:p>
    <w:p w14:paraId="606187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640"/>
        <w:jc w:val="both"/>
        <w:rPr>
          <w:rFonts w:hint="eastAsia" w:ascii="等线" w:hAnsi="等线" w:eastAsia="等线" w:cs="等线"/>
          <w:sz w:val="21"/>
          <w:szCs w:val="21"/>
        </w:rPr>
      </w:pPr>
      <w:r>
        <w:rPr>
          <w:rFonts w:hint="eastAsia" w:ascii="宋体" w:hAnsi="宋体" w:eastAsia="宋体" w:cs="宋体"/>
          <w:i w:val="0"/>
          <w:iCs w:val="0"/>
          <w:caps w:val="0"/>
          <w:color w:val="000000"/>
          <w:spacing w:val="0"/>
          <w:kern w:val="0"/>
          <w:sz w:val="24"/>
          <w:szCs w:val="24"/>
          <w:shd w:val="clear" w:fill="FFFFFF"/>
          <w:lang w:val="en-US" w:eastAsia="zh-CN" w:bidi="ar"/>
        </w:rPr>
        <w:t>2021年，国家药品不良反应监测中心收到的医疗器械不良事件报告中，使用场所为“医疗机构”的报告569,693份，占报告总数的87.55%；使用场所为“家庭”的报告67,369份，占报告总数的10.35%；使用场所为“其他”的报告13,633份，占报告总数的2.10%（图8）。</w:t>
      </w:r>
    </w:p>
    <w:p w14:paraId="2BF562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等线" w:hAnsi="等线" w:eastAsia="等线" w:cs="等线"/>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 </w:t>
      </w:r>
    </w:p>
    <w:p w14:paraId="7F3D85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等线" w:hAnsi="等线" w:eastAsia="等线" w:cs="等线"/>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drawing>
          <wp:inline distT="0" distB="0" distL="114300" distR="114300">
            <wp:extent cx="304800" cy="304800"/>
            <wp:effectExtent l="0" t="0" r="0" b="0"/>
            <wp:docPr id="3" name="图片 11"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1" descr="IMG_266"/>
                    <pic:cNvPicPr>
                      <a:picLocks noChangeAspect="1"/>
                    </pic:cNvPicPr>
                  </pic:nvPicPr>
                  <pic:blipFill>
                    <a:blip r:embed="rId13"/>
                    <a:stretch>
                      <a:fillRect/>
                    </a:stretch>
                  </pic:blipFill>
                  <pic:spPr>
                    <a:xfrm>
                      <a:off x="0" y="0"/>
                      <a:ext cx="304800" cy="304800"/>
                    </a:xfrm>
                    <a:prstGeom prst="rect">
                      <a:avLst/>
                    </a:prstGeom>
                    <a:noFill/>
                    <a:ln w="9525">
                      <a:noFill/>
                    </a:ln>
                  </pic:spPr>
                </pic:pic>
              </a:graphicData>
            </a:graphic>
          </wp:inline>
        </w:drawing>
      </w:r>
    </w:p>
    <w:p w14:paraId="5A5EBE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2" w:afterAutospacing="0" w:line="210" w:lineRule="atLeast"/>
        <w:ind w:left="0" w:right="0"/>
        <w:jc w:val="center"/>
        <w:rPr>
          <w:rFonts w:hint="eastAsia" w:ascii="等线" w:hAnsi="等线" w:eastAsia="等线" w:cs="等线"/>
          <w:sz w:val="21"/>
          <w:szCs w:val="21"/>
        </w:rPr>
      </w:pPr>
      <w:r>
        <w:rPr>
          <w:rFonts w:hint="eastAsia" w:ascii="宋体" w:hAnsi="宋体" w:eastAsia="宋体" w:cs="宋体"/>
          <w:b/>
          <w:bCs/>
          <w:i w:val="0"/>
          <w:iCs w:val="0"/>
          <w:caps w:val="0"/>
          <w:color w:val="000000"/>
          <w:spacing w:val="0"/>
          <w:kern w:val="0"/>
          <w:sz w:val="24"/>
          <w:szCs w:val="24"/>
          <w:shd w:val="clear" w:fill="FFFFFF"/>
          <w:lang w:val="en-US" w:eastAsia="zh-CN" w:bidi="ar"/>
        </w:rPr>
        <w:t>图8  2021年医疗器械不良事件报告涉及实际使用场所情况</w:t>
      </w:r>
    </w:p>
    <w:p w14:paraId="1880D8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640"/>
        <w:jc w:val="both"/>
        <w:rPr>
          <w:rFonts w:hint="eastAsia" w:ascii="等线" w:hAnsi="等线" w:eastAsia="等线" w:cs="等线"/>
          <w:sz w:val="21"/>
          <w:szCs w:val="21"/>
        </w:rPr>
      </w:pPr>
      <w:r>
        <w:rPr>
          <w:rFonts w:hint="eastAsia" w:ascii="宋体" w:hAnsi="宋体" w:eastAsia="宋体" w:cs="宋体"/>
          <w:i w:val="0"/>
          <w:iCs w:val="0"/>
          <w:caps w:val="0"/>
          <w:color w:val="000000"/>
          <w:spacing w:val="0"/>
          <w:kern w:val="0"/>
          <w:sz w:val="24"/>
          <w:szCs w:val="24"/>
          <w:shd w:val="clear" w:fill="FFFFFF"/>
          <w:lang w:val="en-US" w:eastAsia="zh-CN" w:bidi="ar"/>
        </w:rPr>
        <w:t>四、医疗器械不良事件信息通报发布情况</w:t>
      </w:r>
    </w:p>
    <w:p w14:paraId="68EBE6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640"/>
        <w:jc w:val="both"/>
        <w:rPr>
          <w:rFonts w:hint="eastAsia" w:ascii="等线" w:hAnsi="等线" w:eastAsia="等线" w:cs="等线"/>
          <w:sz w:val="21"/>
          <w:szCs w:val="21"/>
        </w:rPr>
      </w:pPr>
      <w:r>
        <w:rPr>
          <w:rFonts w:hint="eastAsia" w:ascii="宋体" w:hAnsi="宋体" w:eastAsia="宋体" w:cs="宋体"/>
          <w:i w:val="0"/>
          <w:iCs w:val="0"/>
          <w:caps w:val="0"/>
          <w:color w:val="000000"/>
          <w:spacing w:val="0"/>
          <w:kern w:val="0"/>
          <w:sz w:val="24"/>
          <w:szCs w:val="24"/>
          <w:shd w:val="clear" w:fill="FFFFFF"/>
          <w:lang w:val="en-US" w:eastAsia="zh-CN" w:bidi="ar"/>
        </w:rPr>
        <w:t>为及时控制医疗器械风险，对可能出现的风险提出警示，2021年，国家药品不良反应监测中心根据日常监测中发现的风险情况，汇总相关医疗器械的主要不良事件表现，发布了1期《医疗器械不良事件信息通报》，涉及医用超声耦合剂产品，向相关注册人、使用单位等提出风险控制建议。</w:t>
      </w:r>
    </w:p>
    <w:p w14:paraId="0CDA5427">
      <w:pPr>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0" w:afterAutospacing="0" w:line="210" w:lineRule="atLeast"/>
        <w:ind w:left="0" w:right="0" w:firstLine="640"/>
        <w:jc w:val="both"/>
        <w:rPr>
          <w:rFonts w:hint="eastAsia" w:ascii="等线" w:hAnsi="等线" w:eastAsia="等线" w:cs="等线"/>
          <w:sz w:val="21"/>
          <w:szCs w:val="21"/>
        </w:rPr>
      </w:pPr>
      <w:r>
        <w:rPr>
          <w:rFonts w:hint="eastAsia" w:ascii="宋体" w:hAnsi="宋体" w:eastAsia="宋体" w:cs="宋体"/>
          <w:i w:val="0"/>
          <w:iCs w:val="0"/>
          <w:caps w:val="0"/>
          <w:color w:val="000000"/>
          <w:spacing w:val="0"/>
          <w:kern w:val="0"/>
          <w:sz w:val="24"/>
          <w:szCs w:val="24"/>
          <w:shd w:val="clear" w:fill="FFFFFF"/>
          <w:lang w:val="en-US" w:eastAsia="zh-CN" w:bidi="ar"/>
        </w:rPr>
        <w:t>五、医疗器械警戒快讯发布情况</w:t>
      </w:r>
    </w:p>
    <w:p w14:paraId="609595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640"/>
        <w:jc w:val="both"/>
        <w:rPr>
          <w:rFonts w:hint="eastAsia" w:ascii="等线" w:hAnsi="等线" w:eastAsia="等线" w:cs="等线"/>
          <w:sz w:val="21"/>
          <w:szCs w:val="21"/>
        </w:rPr>
      </w:pPr>
      <w:r>
        <w:rPr>
          <w:rFonts w:hint="eastAsia" w:ascii="宋体" w:hAnsi="宋体" w:eastAsia="宋体" w:cs="宋体"/>
          <w:i w:val="0"/>
          <w:iCs w:val="0"/>
          <w:caps w:val="0"/>
          <w:color w:val="000000"/>
          <w:spacing w:val="0"/>
          <w:kern w:val="0"/>
          <w:sz w:val="24"/>
          <w:szCs w:val="24"/>
          <w:shd w:val="clear" w:fill="FFFFFF"/>
          <w:lang w:val="en-US" w:eastAsia="zh-CN" w:bidi="ar"/>
        </w:rPr>
        <w:t>2021年，国家药品不良反应监测中心密切跟踪全球医疗器械监管情况，发布12期《医疗器械警戒快讯》，汇总了美国、英国、澳大利亚以及加拿大发布的医疗器械安全性信息共80条，涉及心室辅助系统、呼吸机、乳房重建假体、导丝、新型冠状病毒检测试剂等，为相关医疗器械在我国的安全性评价和风险控制提供参考借鉴。</w:t>
      </w:r>
    </w:p>
    <w:p w14:paraId="17E9A0E8">
      <w:pPr>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0" w:afterAutospacing="0" w:line="210" w:lineRule="atLeast"/>
        <w:ind w:left="0" w:right="0" w:firstLine="640"/>
        <w:jc w:val="both"/>
        <w:rPr>
          <w:rFonts w:hint="eastAsia" w:ascii="等线" w:hAnsi="等线" w:eastAsia="等线" w:cs="等线"/>
          <w:sz w:val="21"/>
          <w:szCs w:val="21"/>
        </w:rPr>
      </w:pPr>
      <w:r>
        <w:rPr>
          <w:rFonts w:hint="eastAsia" w:ascii="宋体" w:hAnsi="宋体" w:eastAsia="宋体" w:cs="宋体"/>
          <w:i w:val="0"/>
          <w:iCs w:val="0"/>
          <w:caps w:val="0"/>
          <w:color w:val="000000"/>
          <w:spacing w:val="0"/>
          <w:kern w:val="0"/>
          <w:sz w:val="24"/>
          <w:szCs w:val="24"/>
          <w:shd w:val="clear" w:fill="FFFFFF"/>
          <w:lang w:val="en-US" w:eastAsia="zh-CN" w:bidi="ar"/>
        </w:rPr>
        <w:t>六、有关情况说明</w:t>
      </w:r>
    </w:p>
    <w:p w14:paraId="75813A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640"/>
        <w:jc w:val="both"/>
        <w:rPr>
          <w:rFonts w:hint="eastAsia" w:ascii="等线" w:hAnsi="等线" w:eastAsia="等线" w:cs="等线"/>
          <w:sz w:val="21"/>
          <w:szCs w:val="21"/>
        </w:rPr>
      </w:pPr>
      <w:r>
        <w:rPr>
          <w:rFonts w:hint="eastAsia" w:ascii="宋体" w:hAnsi="宋体" w:eastAsia="宋体" w:cs="宋体"/>
          <w:i w:val="0"/>
          <w:iCs w:val="0"/>
          <w:caps w:val="0"/>
          <w:color w:val="000000"/>
          <w:spacing w:val="0"/>
          <w:kern w:val="0"/>
          <w:sz w:val="24"/>
          <w:szCs w:val="24"/>
          <w:shd w:val="clear" w:fill="FFFFFF"/>
          <w:lang w:val="en-US" w:eastAsia="zh-CN" w:bidi="ar"/>
        </w:rPr>
        <w:t>（一）与大多数国家一样，我国医疗器械不良事件报告通过自发报告系统收集并录入到数据库中，即当怀疑某种事件可能与医疗器械有关时，就可以上报。受报告者主观意识、经验水平、认知程度、甚至所持立场等影响，医疗器械不良事件的报告可能存在片面性和局限性，如伤害程度判断不准确、报告填写不规范、信息不完善等，甚至将与医疗器械无关的事件也按照不良事件上报，因此统计结果与实际发生的医疗器械不良事件情况存在偏差。</w:t>
      </w:r>
    </w:p>
    <w:p w14:paraId="6DC0EA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640"/>
        <w:jc w:val="both"/>
        <w:rPr>
          <w:rFonts w:hint="eastAsia" w:ascii="等线" w:hAnsi="等线" w:eastAsia="等线" w:cs="等线"/>
          <w:sz w:val="21"/>
          <w:szCs w:val="21"/>
        </w:rPr>
      </w:pPr>
      <w:r>
        <w:rPr>
          <w:rFonts w:hint="eastAsia" w:ascii="宋体" w:hAnsi="宋体" w:eastAsia="宋体" w:cs="宋体"/>
          <w:i w:val="0"/>
          <w:iCs w:val="0"/>
          <w:caps w:val="0"/>
          <w:color w:val="000000"/>
          <w:spacing w:val="0"/>
          <w:kern w:val="0"/>
          <w:sz w:val="24"/>
          <w:szCs w:val="24"/>
          <w:shd w:val="clear" w:fill="FFFFFF"/>
          <w:lang w:val="en-US" w:eastAsia="zh-CN" w:bidi="ar"/>
        </w:rPr>
        <w:t>（二）不同医疗器械的不良事件报告数量受使用数量、风险程度、报告意识等诸多因素影响，因此报告数量的多少不直接代表医疗器械不良事件发生率的高低或者风险严重程度。</w:t>
      </w:r>
    </w:p>
    <w:p w14:paraId="63634F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640"/>
        <w:jc w:val="both"/>
        <w:rPr>
          <w:rFonts w:hint="eastAsia" w:ascii="等线" w:hAnsi="等线" w:eastAsia="等线" w:cs="等线"/>
          <w:sz w:val="21"/>
          <w:szCs w:val="21"/>
        </w:rPr>
      </w:pPr>
      <w:r>
        <w:rPr>
          <w:rFonts w:hint="eastAsia" w:ascii="宋体" w:hAnsi="宋体" w:eastAsia="宋体" w:cs="宋体"/>
          <w:i w:val="0"/>
          <w:iCs w:val="0"/>
          <w:caps w:val="0"/>
          <w:color w:val="000000"/>
          <w:spacing w:val="0"/>
          <w:kern w:val="0"/>
          <w:sz w:val="24"/>
          <w:szCs w:val="24"/>
          <w:shd w:val="clear" w:fill="FFFFFF"/>
          <w:lang w:val="en-US" w:eastAsia="zh-CN" w:bidi="ar"/>
        </w:rPr>
        <w:t>（三）上述统计数据来源于国家医疗器械不良事件监测信息系统中2021年1月1日至2021年12月31日接收的数据，统计中由于四舍五入的进位规则，可能会出现百分比加和不等于100%的情况。</w:t>
      </w:r>
    </w:p>
    <w:p w14:paraId="225E3A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640"/>
        <w:jc w:val="both"/>
        <w:rPr>
          <w:rFonts w:hint="eastAsia" w:ascii="等线" w:hAnsi="等线" w:eastAsia="等线" w:cs="等线"/>
          <w:sz w:val="21"/>
          <w:szCs w:val="21"/>
        </w:rPr>
      </w:pPr>
      <w:r>
        <w:rPr>
          <w:rFonts w:hint="eastAsia" w:ascii="宋体" w:hAnsi="宋体" w:eastAsia="宋体" w:cs="宋体"/>
          <w:i w:val="0"/>
          <w:iCs w:val="0"/>
          <w:caps w:val="0"/>
          <w:color w:val="000000"/>
          <w:spacing w:val="0"/>
          <w:kern w:val="0"/>
          <w:sz w:val="24"/>
          <w:szCs w:val="24"/>
          <w:shd w:val="clear" w:fill="FFFFFF"/>
          <w:lang w:val="en-US" w:eastAsia="zh-CN" w:bidi="ar"/>
        </w:rPr>
        <w:t>（四）本年度报告完成时，部分严重伤害医疗器械不良事件报告尚处在调查和评价的过程中，因此统计结果为统计时数据收集情况的真实反映，并不代表医疗器械安全性评价的最终结论。</w:t>
      </w:r>
    </w:p>
    <w:p w14:paraId="09BF02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640"/>
        <w:jc w:val="both"/>
        <w:rPr>
          <w:rFonts w:hint="eastAsia" w:ascii="等线" w:hAnsi="等线" w:eastAsia="等线" w:cs="等线"/>
          <w:sz w:val="21"/>
          <w:szCs w:val="21"/>
        </w:rPr>
      </w:pPr>
      <w:r>
        <w:rPr>
          <w:rFonts w:hint="eastAsia" w:ascii="宋体" w:hAnsi="宋体" w:eastAsia="宋体" w:cs="宋体"/>
          <w:i w:val="0"/>
          <w:iCs w:val="0"/>
          <w:caps w:val="0"/>
          <w:color w:val="000000"/>
          <w:spacing w:val="0"/>
          <w:kern w:val="0"/>
          <w:sz w:val="24"/>
          <w:szCs w:val="24"/>
          <w:shd w:val="clear" w:fill="FFFFFF"/>
          <w:lang w:val="en-US" w:eastAsia="zh-CN" w:bidi="ar"/>
        </w:rPr>
        <w:t> </w:t>
      </w:r>
    </w:p>
    <w:p w14:paraId="77782B9A">
      <w:pPr>
        <w:keepNext w:val="0"/>
        <w:keepLines w:val="0"/>
        <w:widowControl/>
        <w:suppressLineNumbers w:val="0"/>
        <w:spacing w:before="0" w:beforeAutospacing="0" w:after="0" w:afterAutospacing="0"/>
        <w:ind w:left="0" w:right="0"/>
        <w:jc w:val="left"/>
      </w:pPr>
    </w:p>
    <w:p w14:paraId="050573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等线" w:hAnsi="等线" w:eastAsia="等线" w:cs="等线"/>
          <w:sz w:val="21"/>
          <w:szCs w:val="21"/>
        </w:rPr>
      </w:pPr>
      <w:r>
        <w:rPr>
          <w:rFonts w:hint="eastAsia" w:ascii="宋体" w:hAnsi="宋体" w:eastAsia="宋体" w:cs="宋体"/>
          <w:i w:val="0"/>
          <w:iCs w:val="0"/>
          <w:caps w:val="0"/>
          <w:color w:val="000000"/>
          <w:spacing w:val="0"/>
          <w:kern w:val="0"/>
          <w:sz w:val="24"/>
          <w:szCs w:val="24"/>
          <w:shd w:val="clear" w:fill="FFFFFF"/>
          <w:lang w:val="en-US" w:eastAsia="zh-CN" w:bidi="ar"/>
        </w:rPr>
        <w:t> </w:t>
      </w:r>
    </w:p>
    <w:p w14:paraId="7E41A5E5">
      <w:pPr>
        <w:keepNext w:val="0"/>
        <w:keepLines w:val="0"/>
        <w:widowControl/>
        <w:suppressLineNumbers w:val="0"/>
        <w:pBdr>
          <w:top w:val="none" w:color="auto" w:sz="0" w:space="0"/>
          <w:left w:val="none" w:color="auto" w:sz="0" w:space="0"/>
          <w:bottom w:val="none" w:color="auto" w:sz="0" w:space="0"/>
          <w:right w:val="none" w:color="auto" w:sz="0" w:space="0"/>
        </w:pBdr>
        <w:spacing w:before="312" w:beforeAutospacing="0" w:after="312" w:afterAutospacing="0" w:line="300" w:lineRule="atLeast"/>
        <w:ind w:left="0" w:right="0"/>
        <w:jc w:val="center"/>
        <w:rPr>
          <w:rFonts w:hint="eastAsia" w:ascii="等线" w:hAnsi="等线" w:eastAsia="等线" w:cs="等线"/>
          <w:sz w:val="21"/>
          <w:szCs w:val="21"/>
        </w:rPr>
      </w:pPr>
      <w:r>
        <w:rPr>
          <w:rFonts w:hint="eastAsia" w:ascii="宋体" w:hAnsi="宋体" w:eastAsia="宋体" w:cs="宋体"/>
          <w:i w:val="0"/>
          <w:iCs w:val="0"/>
          <w:caps w:val="0"/>
          <w:color w:val="000000"/>
          <w:spacing w:val="0"/>
          <w:kern w:val="0"/>
          <w:sz w:val="24"/>
          <w:szCs w:val="24"/>
          <w:shd w:val="clear" w:fill="FFFFFF"/>
          <w:lang w:val="en-US" w:eastAsia="zh-CN" w:bidi="ar"/>
        </w:rPr>
        <w:t>小贴士</w:t>
      </w:r>
    </w:p>
    <w:p w14:paraId="6FB5AD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643"/>
        <w:jc w:val="both"/>
        <w:rPr>
          <w:rFonts w:hint="eastAsia" w:ascii="等线" w:hAnsi="等线" w:eastAsia="等线" w:cs="等线"/>
          <w:sz w:val="21"/>
          <w:szCs w:val="21"/>
        </w:rPr>
      </w:pPr>
      <w:r>
        <w:rPr>
          <w:rFonts w:hint="eastAsia" w:ascii="宋体" w:hAnsi="宋体" w:eastAsia="宋体" w:cs="宋体"/>
          <w:b/>
          <w:bCs/>
          <w:i w:val="0"/>
          <w:iCs w:val="0"/>
          <w:caps w:val="0"/>
          <w:color w:val="000000"/>
          <w:spacing w:val="0"/>
          <w:kern w:val="0"/>
          <w:sz w:val="24"/>
          <w:szCs w:val="24"/>
          <w:shd w:val="clear" w:fill="FFFFFF"/>
          <w:lang w:val="en-US" w:eastAsia="zh-CN" w:bidi="ar"/>
        </w:rPr>
        <w:t>1.医疗器械</w:t>
      </w:r>
      <w:r>
        <w:rPr>
          <w:rFonts w:hint="eastAsia" w:ascii="宋体" w:hAnsi="宋体" w:eastAsia="宋体" w:cs="宋体"/>
          <w:i w:val="0"/>
          <w:iCs w:val="0"/>
          <w:caps w:val="0"/>
          <w:color w:val="000000"/>
          <w:spacing w:val="0"/>
          <w:kern w:val="0"/>
          <w:sz w:val="24"/>
          <w:szCs w:val="24"/>
          <w:shd w:val="clear" w:fill="FFFFFF"/>
          <w:lang w:val="en-US" w:eastAsia="zh-CN" w:bidi="ar"/>
        </w:rPr>
        <w:t>：是指直接或者间接用于人体的仪器、设备、器具、体外诊断试剂及校准物、材料以及其他类似或者相关的物品，包括所需要的计算机软件；其效用主要通过物理等方式获得，不是通过药理学、免疫学或者代谢的方式获得，或者虽然有这些方式参与但是只起辅助作用；其目的是：</w:t>
      </w:r>
    </w:p>
    <w:p w14:paraId="54E9AF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eastAsia" w:ascii="等线" w:hAnsi="等线" w:eastAsia="等线" w:cs="等线"/>
          <w:sz w:val="21"/>
          <w:szCs w:val="21"/>
        </w:rPr>
      </w:pPr>
      <w:r>
        <w:rPr>
          <w:rFonts w:hint="eastAsia" w:ascii="宋体" w:hAnsi="宋体" w:eastAsia="宋体" w:cs="宋体"/>
          <w:i w:val="0"/>
          <w:iCs w:val="0"/>
          <w:caps w:val="0"/>
          <w:color w:val="000000"/>
          <w:spacing w:val="0"/>
          <w:kern w:val="0"/>
          <w:sz w:val="24"/>
          <w:szCs w:val="24"/>
          <w:shd w:val="clear" w:fill="FFFFFF"/>
          <w:lang w:val="en-US" w:eastAsia="zh-CN" w:bidi="ar"/>
        </w:rPr>
        <w:t>　　（1）疾病的诊断、预防、监护、治疗或者缓解；</w:t>
      </w:r>
    </w:p>
    <w:p w14:paraId="0F5375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eastAsia" w:ascii="等线" w:hAnsi="等线" w:eastAsia="等线" w:cs="等线"/>
          <w:sz w:val="21"/>
          <w:szCs w:val="21"/>
        </w:rPr>
      </w:pPr>
      <w:r>
        <w:rPr>
          <w:rFonts w:hint="eastAsia" w:ascii="宋体" w:hAnsi="宋体" w:eastAsia="宋体" w:cs="宋体"/>
          <w:i w:val="0"/>
          <w:iCs w:val="0"/>
          <w:caps w:val="0"/>
          <w:color w:val="000000"/>
          <w:spacing w:val="0"/>
          <w:kern w:val="0"/>
          <w:sz w:val="24"/>
          <w:szCs w:val="24"/>
          <w:shd w:val="clear" w:fill="FFFFFF"/>
          <w:lang w:val="en-US" w:eastAsia="zh-CN" w:bidi="ar"/>
        </w:rPr>
        <w:t>　　（2）损伤的诊断、监护、治疗、缓解或者功能补偿；</w:t>
      </w:r>
    </w:p>
    <w:p w14:paraId="503459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eastAsia" w:ascii="等线" w:hAnsi="等线" w:eastAsia="等线" w:cs="等线"/>
          <w:sz w:val="21"/>
          <w:szCs w:val="21"/>
        </w:rPr>
      </w:pPr>
      <w:r>
        <w:rPr>
          <w:rFonts w:hint="eastAsia" w:ascii="宋体" w:hAnsi="宋体" w:eastAsia="宋体" w:cs="宋体"/>
          <w:i w:val="0"/>
          <w:iCs w:val="0"/>
          <w:caps w:val="0"/>
          <w:color w:val="000000"/>
          <w:spacing w:val="0"/>
          <w:kern w:val="0"/>
          <w:sz w:val="24"/>
          <w:szCs w:val="24"/>
          <w:shd w:val="clear" w:fill="FFFFFF"/>
          <w:lang w:val="en-US" w:eastAsia="zh-CN" w:bidi="ar"/>
        </w:rPr>
        <w:t>　　（3）生理结构或者生理过程的检验、替代、调节或者支持；</w:t>
      </w:r>
    </w:p>
    <w:p w14:paraId="0986F1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both"/>
        <w:rPr>
          <w:rFonts w:hint="eastAsia" w:ascii="等线" w:hAnsi="等线" w:eastAsia="等线" w:cs="等线"/>
          <w:sz w:val="21"/>
          <w:szCs w:val="21"/>
        </w:rPr>
      </w:pPr>
      <w:r>
        <w:rPr>
          <w:rFonts w:hint="eastAsia" w:ascii="宋体" w:hAnsi="宋体" w:eastAsia="宋体" w:cs="宋体"/>
          <w:i w:val="0"/>
          <w:iCs w:val="0"/>
          <w:caps w:val="0"/>
          <w:color w:val="000000"/>
          <w:spacing w:val="0"/>
          <w:kern w:val="0"/>
          <w:sz w:val="24"/>
          <w:szCs w:val="24"/>
          <w:shd w:val="clear" w:fill="FFFFFF"/>
          <w:lang w:val="en-US" w:eastAsia="zh-CN" w:bidi="ar"/>
        </w:rPr>
        <w:t>　　（4）生命的支持或者维持；</w:t>
      </w:r>
    </w:p>
    <w:p w14:paraId="2CECA1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648"/>
        <w:jc w:val="both"/>
        <w:rPr>
          <w:rFonts w:hint="eastAsia" w:ascii="等线" w:hAnsi="等线" w:eastAsia="等线" w:cs="等线"/>
          <w:sz w:val="21"/>
          <w:szCs w:val="21"/>
        </w:rPr>
      </w:pPr>
      <w:r>
        <w:rPr>
          <w:rFonts w:hint="eastAsia" w:ascii="宋体" w:hAnsi="宋体" w:eastAsia="宋体" w:cs="宋体"/>
          <w:i w:val="0"/>
          <w:iCs w:val="0"/>
          <w:caps w:val="0"/>
          <w:color w:val="000000"/>
          <w:spacing w:val="0"/>
          <w:kern w:val="0"/>
          <w:sz w:val="24"/>
          <w:szCs w:val="24"/>
          <w:shd w:val="clear" w:fill="FFFFFF"/>
          <w:lang w:val="en-US" w:eastAsia="zh-CN" w:bidi="ar"/>
        </w:rPr>
        <w:t>（5）妊娠控制；</w:t>
      </w:r>
    </w:p>
    <w:p w14:paraId="7589C3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648"/>
        <w:jc w:val="both"/>
        <w:rPr>
          <w:rFonts w:hint="eastAsia" w:ascii="等线" w:hAnsi="等线" w:eastAsia="等线" w:cs="等线"/>
          <w:sz w:val="21"/>
          <w:szCs w:val="21"/>
        </w:rPr>
      </w:pPr>
      <w:r>
        <w:rPr>
          <w:rFonts w:hint="eastAsia" w:ascii="宋体" w:hAnsi="宋体" w:eastAsia="宋体" w:cs="宋体"/>
          <w:i w:val="0"/>
          <w:iCs w:val="0"/>
          <w:caps w:val="0"/>
          <w:color w:val="000000"/>
          <w:spacing w:val="0"/>
          <w:kern w:val="0"/>
          <w:sz w:val="24"/>
          <w:szCs w:val="24"/>
          <w:shd w:val="clear" w:fill="FFFFFF"/>
          <w:lang w:val="en-US" w:eastAsia="zh-CN" w:bidi="ar"/>
        </w:rPr>
        <w:t>（6）通过对来自人体的样本进行检查，为医疗或者诊断目的提供信息。</w:t>
      </w:r>
    </w:p>
    <w:p w14:paraId="5DD079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643"/>
        <w:jc w:val="both"/>
        <w:rPr>
          <w:rFonts w:hint="eastAsia" w:ascii="等线" w:hAnsi="等线" w:eastAsia="等线" w:cs="等线"/>
          <w:sz w:val="21"/>
          <w:szCs w:val="21"/>
        </w:rPr>
      </w:pPr>
      <w:r>
        <w:rPr>
          <w:rFonts w:hint="eastAsia" w:ascii="宋体" w:hAnsi="宋体" w:eastAsia="宋体" w:cs="宋体"/>
          <w:b/>
          <w:bCs/>
          <w:i w:val="0"/>
          <w:iCs w:val="0"/>
          <w:caps w:val="0"/>
          <w:color w:val="000000"/>
          <w:spacing w:val="0"/>
          <w:kern w:val="0"/>
          <w:sz w:val="24"/>
          <w:szCs w:val="24"/>
          <w:shd w:val="clear" w:fill="FFFFFF"/>
          <w:lang w:val="en-US" w:eastAsia="zh-CN" w:bidi="ar"/>
        </w:rPr>
        <w:t>2.医疗器械不良事件监测</w:t>
      </w:r>
      <w:r>
        <w:rPr>
          <w:rFonts w:hint="eastAsia" w:ascii="宋体" w:hAnsi="宋体" w:eastAsia="宋体" w:cs="宋体"/>
          <w:i w:val="0"/>
          <w:iCs w:val="0"/>
          <w:caps w:val="0"/>
          <w:color w:val="000000"/>
          <w:spacing w:val="0"/>
          <w:kern w:val="0"/>
          <w:sz w:val="24"/>
          <w:szCs w:val="24"/>
          <w:shd w:val="clear" w:fill="FFFFFF"/>
          <w:lang w:val="en-US" w:eastAsia="zh-CN" w:bidi="ar"/>
        </w:rPr>
        <w:t>：是指对医疗器械不良事件的收集、报告、调查、分析、评价和控制的过程。</w:t>
      </w:r>
    </w:p>
    <w:p w14:paraId="2B358D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643"/>
        <w:jc w:val="both"/>
        <w:rPr>
          <w:rFonts w:hint="eastAsia" w:ascii="等线" w:hAnsi="等线" w:eastAsia="等线" w:cs="等线"/>
          <w:sz w:val="21"/>
          <w:szCs w:val="21"/>
        </w:rPr>
      </w:pPr>
      <w:r>
        <w:rPr>
          <w:rFonts w:hint="eastAsia" w:ascii="宋体" w:hAnsi="宋体" w:eastAsia="宋体" w:cs="宋体"/>
          <w:b/>
          <w:bCs/>
          <w:i w:val="0"/>
          <w:iCs w:val="0"/>
          <w:caps w:val="0"/>
          <w:color w:val="000000"/>
          <w:spacing w:val="0"/>
          <w:kern w:val="0"/>
          <w:sz w:val="24"/>
          <w:szCs w:val="24"/>
          <w:shd w:val="clear" w:fill="FFFFFF"/>
          <w:lang w:val="en-US" w:eastAsia="zh-CN" w:bidi="ar"/>
        </w:rPr>
        <w:t>3.医疗器械不良事件</w:t>
      </w:r>
      <w:r>
        <w:rPr>
          <w:rFonts w:hint="eastAsia" w:ascii="宋体" w:hAnsi="宋体" w:eastAsia="宋体" w:cs="宋体"/>
          <w:i w:val="0"/>
          <w:iCs w:val="0"/>
          <w:caps w:val="0"/>
          <w:color w:val="000000"/>
          <w:spacing w:val="0"/>
          <w:kern w:val="0"/>
          <w:sz w:val="24"/>
          <w:szCs w:val="24"/>
          <w:shd w:val="clear" w:fill="FFFFFF"/>
          <w:lang w:val="en-US" w:eastAsia="zh-CN" w:bidi="ar"/>
        </w:rPr>
        <w:t>：是指已上市的医疗器械，在正常使用情况下发生的，导致或者可能导致人体伤害的各种有害事件。</w:t>
      </w:r>
    </w:p>
    <w:p w14:paraId="7CFF00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643"/>
        <w:jc w:val="both"/>
        <w:rPr>
          <w:rFonts w:hint="eastAsia" w:ascii="等线" w:hAnsi="等线" w:eastAsia="等线" w:cs="等线"/>
          <w:sz w:val="21"/>
          <w:szCs w:val="21"/>
        </w:rPr>
      </w:pPr>
      <w:r>
        <w:rPr>
          <w:rFonts w:hint="eastAsia" w:ascii="宋体" w:hAnsi="宋体" w:eastAsia="宋体" w:cs="宋体"/>
          <w:b/>
          <w:bCs/>
          <w:i w:val="0"/>
          <w:iCs w:val="0"/>
          <w:caps w:val="0"/>
          <w:color w:val="000000"/>
          <w:spacing w:val="0"/>
          <w:kern w:val="0"/>
          <w:sz w:val="24"/>
          <w:szCs w:val="24"/>
          <w:shd w:val="clear" w:fill="FFFFFF"/>
          <w:lang w:val="en-US" w:eastAsia="zh-CN" w:bidi="ar"/>
        </w:rPr>
        <w:t>4.死亡医疗器械不良事件报告：</w:t>
      </w:r>
      <w:r>
        <w:rPr>
          <w:rFonts w:hint="eastAsia" w:ascii="宋体" w:hAnsi="宋体" w:eastAsia="宋体" w:cs="宋体"/>
          <w:i w:val="0"/>
          <w:iCs w:val="0"/>
          <w:caps w:val="0"/>
          <w:color w:val="000000"/>
          <w:spacing w:val="0"/>
          <w:kern w:val="0"/>
          <w:sz w:val="24"/>
          <w:szCs w:val="24"/>
          <w:shd w:val="clear" w:fill="FFFFFF"/>
          <w:lang w:val="en-US" w:eastAsia="zh-CN" w:bidi="ar"/>
        </w:rPr>
        <w:t>指患者最终结果为死亡的医疗器械不良事件报告。不表示患者的死亡与使用医疗器械有明确的关联性。</w:t>
      </w:r>
    </w:p>
    <w:p w14:paraId="437871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643"/>
        <w:jc w:val="both"/>
        <w:rPr>
          <w:rFonts w:hint="eastAsia" w:ascii="等线" w:hAnsi="等线" w:eastAsia="等线" w:cs="等线"/>
          <w:sz w:val="21"/>
          <w:szCs w:val="21"/>
        </w:rPr>
      </w:pPr>
      <w:r>
        <w:rPr>
          <w:rFonts w:hint="eastAsia" w:ascii="宋体" w:hAnsi="宋体" w:eastAsia="宋体" w:cs="宋体"/>
          <w:b/>
          <w:bCs/>
          <w:i w:val="0"/>
          <w:iCs w:val="0"/>
          <w:caps w:val="0"/>
          <w:color w:val="000000"/>
          <w:spacing w:val="0"/>
          <w:kern w:val="0"/>
          <w:sz w:val="24"/>
          <w:szCs w:val="24"/>
          <w:shd w:val="clear" w:fill="FFFFFF"/>
          <w:lang w:val="en-US" w:eastAsia="zh-CN" w:bidi="ar"/>
        </w:rPr>
        <w:t>5.医疗器械不良事件报告原则：</w:t>
      </w:r>
      <w:r>
        <w:rPr>
          <w:rFonts w:hint="eastAsia" w:ascii="宋体" w:hAnsi="宋体" w:eastAsia="宋体" w:cs="宋体"/>
          <w:i w:val="0"/>
          <w:iCs w:val="0"/>
          <w:caps w:val="0"/>
          <w:color w:val="000000"/>
          <w:spacing w:val="0"/>
          <w:kern w:val="0"/>
          <w:sz w:val="24"/>
          <w:szCs w:val="24"/>
          <w:shd w:val="clear" w:fill="FFFFFF"/>
          <w:lang w:val="en-US" w:eastAsia="zh-CN" w:bidi="ar"/>
        </w:rPr>
        <w:t>报告医疗器械不良事件应当遵循可疑即报的原则，即怀疑某事件为医疗器械不良事件时，均可以作为医疗器械不良事件进行报告。报告内容应当真实、完整、准确。</w:t>
      </w:r>
    </w:p>
    <w:p w14:paraId="120FA6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640"/>
        <w:jc w:val="both"/>
        <w:rPr>
          <w:rFonts w:hint="eastAsia" w:ascii="等线" w:hAnsi="等线" w:eastAsia="等线" w:cs="等线"/>
          <w:sz w:val="21"/>
          <w:szCs w:val="21"/>
        </w:rPr>
      </w:pPr>
      <w:r>
        <w:rPr>
          <w:rFonts w:hint="eastAsia" w:ascii="宋体" w:hAnsi="宋体" w:eastAsia="宋体" w:cs="宋体"/>
          <w:i w:val="0"/>
          <w:iCs w:val="0"/>
          <w:caps w:val="0"/>
          <w:color w:val="000000"/>
          <w:spacing w:val="0"/>
          <w:kern w:val="0"/>
          <w:sz w:val="24"/>
          <w:szCs w:val="24"/>
          <w:shd w:val="clear" w:fill="FFFFFF"/>
          <w:lang w:val="en-US" w:eastAsia="zh-CN" w:bidi="ar"/>
        </w:rPr>
        <w:t>导致或者可能导致严重伤害或者死亡的医疗器械不良事件应当报告；创新医疗器械在首个注册周期内，应当报告该产品的所有医疗器械不良事件。</w:t>
      </w:r>
    </w:p>
    <w:p w14:paraId="185A3D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643"/>
        <w:jc w:val="both"/>
        <w:rPr>
          <w:rFonts w:hint="eastAsia" w:ascii="等线" w:hAnsi="等线" w:eastAsia="等线" w:cs="等线"/>
          <w:sz w:val="21"/>
          <w:szCs w:val="21"/>
        </w:rPr>
      </w:pPr>
      <w:r>
        <w:rPr>
          <w:rFonts w:hint="eastAsia" w:ascii="宋体" w:hAnsi="宋体" w:eastAsia="宋体" w:cs="宋体"/>
          <w:b/>
          <w:bCs/>
          <w:i w:val="0"/>
          <w:iCs w:val="0"/>
          <w:caps w:val="0"/>
          <w:color w:val="000000"/>
          <w:spacing w:val="0"/>
          <w:kern w:val="0"/>
          <w:sz w:val="24"/>
          <w:szCs w:val="24"/>
          <w:shd w:val="clear" w:fill="FFFFFF"/>
          <w:lang w:val="en-US" w:eastAsia="zh-CN" w:bidi="ar"/>
        </w:rPr>
        <w:t>6.国家医疗器械不良事件监测信息系统注册要求：</w:t>
      </w:r>
      <w:r>
        <w:rPr>
          <w:rFonts w:hint="eastAsia" w:ascii="宋体" w:hAnsi="宋体" w:eastAsia="宋体" w:cs="宋体"/>
          <w:i w:val="0"/>
          <w:iCs w:val="0"/>
          <w:caps w:val="0"/>
          <w:color w:val="000000"/>
          <w:spacing w:val="0"/>
          <w:kern w:val="0"/>
          <w:sz w:val="24"/>
          <w:szCs w:val="24"/>
          <w:shd w:val="clear" w:fill="FFFFFF"/>
          <w:lang w:val="en-US" w:eastAsia="zh-CN" w:bidi="ar"/>
        </w:rPr>
        <w:t>注册人、经营企业和二级以上医疗机构应当注册为国家医疗器械不良事件监测信息系统用户，主动维护其用户信息，报告医疗器械不良事件。注册人应当持续跟踪和处理监测信息；产品注册信息发生变化的，应当在系统中立即更新。鼓励其他使用单位注册为国家医疗器械不良事件监测信息系统用户，报告医疗器械不良事件。</w:t>
      </w:r>
    </w:p>
    <w:p w14:paraId="5022566D"/>
    <w:p w14:paraId="322BF07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0"/>
        <w:jc w:val="center"/>
        <w:rPr>
          <w:rFonts w:hint="eastAsia" w:eastAsia="宋体"/>
          <w:lang w:eastAsia="zh-CN"/>
        </w:rPr>
      </w:pPr>
    </w:p>
    <w:p w14:paraId="3A9908F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0"/>
        <w:jc w:val="center"/>
        <w:rPr>
          <w:rFonts w:hint="eastAsia" w:eastAsia="宋体"/>
          <w:lang w:eastAsia="zh-CN"/>
        </w:rPr>
      </w:pPr>
    </w:p>
    <w:p w14:paraId="7C1FF72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0"/>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2" name="图片 12" descr="2"/>
            <wp:cNvGraphicFramePr/>
            <a:graphic xmlns:a="http://schemas.openxmlformats.org/drawingml/2006/main">
              <a:graphicData uri="http://schemas.openxmlformats.org/drawingml/2006/picture">
                <pic:pic xmlns:pic="http://schemas.openxmlformats.org/drawingml/2006/picture">
                  <pic:nvPicPr>
                    <pic:cNvPr id="12" name="图片 12" descr="2"/>
                    <pic:cNvPicPr/>
                  </pic:nvPicPr>
                  <pic:blipFill>
                    <a:blip r:embed="rId14"/>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ź�">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1MzEwZjZiODhmMWUzYmYzNDg1OWIxNDdiYmRmZTUifQ=="/>
  </w:docVars>
  <w:rsids>
    <w:rsidRoot w:val="00000000"/>
    <w:rsid w:val="4C530572"/>
    <w:rsid w:val="6E9932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image" Target="media/image11.png"/><Relationship Id="rId13" Type="http://schemas.openxmlformats.org/officeDocument/2006/relationships/image" Target="../NUL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3985</Words>
  <Characters>4458</Characters>
  <Lines>0</Lines>
  <Paragraphs>0</Paragraphs>
  <TotalTime>0</TotalTime>
  <ScaleCrop>false</ScaleCrop>
  <LinksUpToDate>false</LinksUpToDate>
  <CharactersWithSpaces>4498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2023-04-11T13:19:00Z</dcterms:created>
  <dc:creator>78533</dc:creator>
  <cp:lastModifiedBy>太极箫客</cp:lastModifiedBy>
  <dcterms:modified xsi:type="dcterms:W3CDTF">2025-08-14T06:46:28Z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FA5D37D764AD4C7D8BD963B233785513</vt:lpwstr>
  </property>
  <property fmtid="{D5CDD505-2E9C-101B-9397-08002B2CF9AE}" pid="4" name="KSOTemplateDocerSaveRecord">
    <vt:lpwstr>eyJoZGlkIjoiMDJiMzI3ODBiNTFmMWRjNDUyMjM1ZmZjODY5NDc2MWMiLCJ1c2VySWQiOiI0NTQ4Nzg1NzAifQ==</vt:lpwstr>
  </property>
</Properties>
</file>