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1CE1B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ind w:left="0" w:right="0" w:firstLine="0"/>
        <w:jc w:val="center"/>
        <w:rPr>
          <w:rFonts w:ascii="΢���ź�" w:hAnsi="΢���ź�" w:eastAsia="΢���ź�" w:cs="΢���ź�"/>
          <w:i w:val="0"/>
          <w:iCs w:val="0"/>
          <w:caps w:val="0"/>
          <w:color w:val="0951C1"/>
          <w:spacing w:val="0"/>
          <w:sz w:val="20"/>
          <w:szCs w:val="20"/>
        </w:rPr>
      </w:pPr>
      <w:bookmarkStart w:id="0" w:name="_GoBack"/>
      <w:bookmarkEnd w:id="0"/>
      <w:r>
        <w:rPr>
          <w:rFonts w:hint="default" w:ascii="΢���ź�" w:hAnsi="΢���ź�" w:eastAsia="΢���ź�" w:cs="΢���ź�"/>
          <w:i w:val="0"/>
          <w:iCs w:val="0"/>
          <w:caps w:val="0"/>
          <w:color w:val="0951C1"/>
          <w:spacing w:val="0"/>
          <w:kern w:val="0"/>
          <w:sz w:val="20"/>
          <w:szCs w:val="20"/>
          <w:shd w:val="clear" w:fill="FFFFFF"/>
          <w:lang w:val="en-US" w:eastAsia="zh-CN" w:bidi="ar"/>
        </w:rPr>
        <w:t>国家医疗器械不良事件监测年度报告（2020年）</w:t>
      </w:r>
    </w:p>
    <w:p w14:paraId="7574535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ind w:left="0" w:right="0" w:firstLine="0"/>
        <w:jc w:val="center"/>
        <w:rPr>
          <w:rFonts w:hint="default" w:ascii="΢���ź�" w:hAnsi="΢���ź�" w:eastAsia="΢���ź�" w:cs="΢���ź�"/>
          <w:i w:val="0"/>
          <w:iCs w:val="0"/>
          <w:caps w:val="0"/>
          <w:color w:val="000000"/>
          <w:spacing w:val="0"/>
          <w:sz w:val="14"/>
          <w:szCs w:val="14"/>
        </w:rPr>
      </w:pPr>
      <w:r>
        <w:rPr>
          <w:rFonts w:hint="default" w:ascii="΢���ź�" w:hAnsi="΢���ź�" w:eastAsia="΢���ź�" w:cs="΢���ź�"/>
          <w:i w:val="0"/>
          <w:iCs w:val="0"/>
          <w:caps w:val="0"/>
          <w:color w:val="000000"/>
          <w:spacing w:val="0"/>
          <w:kern w:val="0"/>
          <w:sz w:val="14"/>
          <w:szCs w:val="14"/>
          <w:shd w:val="clear" w:fill="FFFFFF"/>
          <w:lang w:val="en-US" w:eastAsia="zh-CN" w:bidi="ar"/>
        </w:rPr>
        <w:t>发布日期：2021-03-22</w:t>
      </w:r>
    </w:p>
    <w:p w14:paraId="44D309B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为全面反映2020年我国医疗器械不良事件监测工作情况，国家药品不良反应监测中心编撰了《国家医疗器械不良事件监测年度报告（2020年）》。</w:t>
      </w:r>
    </w:p>
    <w:p w14:paraId="7A6C814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w:t>
      </w:r>
      <w:r>
        <w:rPr>
          <w:rStyle w:val="5"/>
          <w:rFonts w:hint="default" w:ascii="΢���ź�" w:hAnsi="΢���ź�" w:eastAsia="΢���ź�" w:cs="΢���ź�"/>
          <w:i w:val="0"/>
          <w:iCs w:val="0"/>
          <w:caps w:val="0"/>
          <w:color w:val="000000"/>
          <w:spacing w:val="0"/>
          <w:sz w:val="24"/>
          <w:szCs w:val="24"/>
          <w:shd w:val="clear" w:fill="FFFFFF"/>
        </w:rPr>
        <w:t>一、医疗器械不良事件监测工作进展</w:t>
      </w:r>
    </w:p>
    <w:p w14:paraId="42F0948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2020年，我国医疗器械不良事件监测工作继续坚持“四个最严”的要求，贯彻落实《医疗器械不良事件监测和再评价管理办法》（以下简称《办法》），以评价医疗器械风险为主线，以落实医疗器械注册人和备案人（以下简称注册人）不良事件监测主体责任为重点，继续加强制度体系建设、不断拓展宣传培训方式、深入探索监测评价方法、全面提升风险预警和处置能力，医疗器械不良事件监测工作取得了新的进展。</w:t>
      </w:r>
    </w:p>
    <w:p w14:paraId="41FCDBB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（一）推进报告收集工作、扩大系统覆盖用户</w:t>
      </w:r>
    </w:p>
    <w:p w14:paraId="74E7825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2020年，国家医疗器械不良事件监测信息系统接收到医疗器械不良事件报告53万余份，每百万人口平均报告数为402份。28个省（自治区、直辖市）的医疗器械不良事件报告县级覆盖率达到100%。此外，医疗器械不良事件监测系统基层注册用户数量持续提升，达到35万余家，其中医疗器械注册人达27,195家。</w:t>
      </w:r>
    </w:p>
    <w:p w14:paraId="44D2712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（二）深入挖掘产品风险、完成重点监测工作</w:t>
      </w:r>
    </w:p>
    <w:p w14:paraId="7EE4504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2020年，医疗器械不良事件风险评价处置工作深入开展。强化对全国医疗器械不良事件报告的日常监测、预警分析及季度汇总，根据发现的风险情况，全年共发布《医疗器械不良事件信息通报》1期、《医疗器械警戒快讯》12期。完成“十三五”医疗器械不良事件重点监测工作任务，各承担单位积极回顾前期工作，梳理产品风险，按要求报送重点监测品种风险评价报告和“十三五”重点监测工作总结报告。</w:t>
      </w:r>
    </w:p>
    <w:p w14:paraId="4B57590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（三）开展法律法规培训、积极参与国际交流</w:t>
      </w:r>
    </w:p>
    <w:p w14:paraId="696B8B5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2020年，国家药品不良反应监测中心共培训注册人、医疗机构、监测机构人员1000余人次，同时为各级药品监管部门、监测机构组织开展的相关培训班提供师资，强化注册人主体责任，提升监测人员能力水平，取得了较好的培训效果。此外，积极跟进国际医疗器械监管机构论坛不良事件术语和编码（AET）、患者登记（PR）两个项目的工作进展，并积极参与国家监管机构报告（NCAR）项目工作，开展报告信息交换，国际化水平进一步提升。</w:t>
      </w:r>
    </w:p>
    <w:p w14:paraId="463423D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w:t>
      </w:r>
      <w:r>
        <w:rPr>
          <w:rStyle w:val="5"/>
          <w:rFonts w:hint="default" w:ascii="΢���ź�" w:hAnsi="΢���ź�" w:eastAsia="΢���ź�" w:cs="΢���ź�"/>
          <w:i w:val="0"/>
          <w:iCs w:val="0"/>
          <w:caps w:val="0"/>
          <w:color w:val="000000"/>
          <w:spacing w:val="0"/>
          <w:sz w:val="24"/>
          <w:szCs w:val="24"/>
          <w:shd w:val="clear" w:fill="FFFFFF"/>
        </w:rPr>
        <w:t>二、全国医疗器械不良事件报告总体情况</w:t>
      </w:r>
    </w:p>
    <w:p w14:paraId="787319E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（一）年度报告总体情况</w:t>
      </w:r>
    </w:p>
    <w:p w14:paraId="7BE0181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1.全国医疗器械不良事件报告数量。2020年，国家医疗器械不良事件监测信息系统共收到医疗器械不良事件报告536,055份，比上年增加35.25%（图1）。</w:t>
      </w:r>
    </w:p>
    <w:p w14:paraId="2EEE1BC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pPr>
      <w:r>
        <w:rPr>
          <w:rFonts w:hint="default" w:ascii="΢���ź�" w:hAnsi="΢���ź�" w:eastAsia="΢���ź�" w:cs="΢���ź�"/>
          <w:i w:val="0"/>
          <w:iCs w:val="0"/>
          <w:caps w:val="0"/>
          <w:color w:val="000000"/>
          <w:spacing w:val="0"/>
          <w:sz w:val="24"/>
          <w:szCs w:val="24"/>
          <w:shd w:val="clear" w:fill="FFFFFF"/>
        </w:rPr>
        <w:t>　　</w:t>
      </w:r>
      <w:r>
        <w:rPr>
          <w:rFonts w:hint="default" w:ascii="΢���ź�" w:hAnsi="΢���ź�" w:eastAsia="΢���ź�" w:cs="΢���ź�"/>
          <w:i w:val="0"/>
          <w:iCs w:val="0"/>
          <w:caps w:val="0"/>
          <w:color w:val="000000"/>
          <w:spacing w:val="0"/>
          <w:sz w:val="24"/>
          <w:szCs w:val="24"/>
          <w:shd w:val="clear" w:fill="FFFFFF"/>
        </w:rPr>
        <w:drawing>
          <wp:inline distT="0" distB="0" distL="114300" distR="114300">
            <wp:extent cx="3886200" cy="2333625"/>
            <wp:effectExtent l="0" t="0" r="0" b="317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3886200" cy="2333625"/>
                    </a:xfrm>
                    <a:prstGeom prst="rect">
                      <a:avLst/>
                    </a:prstGeom>
                    <a:noFill/>
                    <a:ln w="9525">
                      <a:noFill/>
                    </a:ln>
                  </pic:spPr>
                </pic:pic>
              </a:graphicData>
            </a:graphic>
          </wp:inline>
        </w:drawing>
      </w:r>
    </w:p>
    <w:p w14:paraId="3AACC08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pPr>
      <w:r>
        <w:rPr>
          <w:rFonts w:hint="default" w:ascii="΢���ź�" w:hAnsi="΢���ź�" w:eastAsia="΢���ź�" w:cs="΢���ź�"/>
          <w:i w:val="0"/>
          <w:iCs w:val="0"/>
          <w:caps w:val="0"/>
          <w:color w:val="000000"/>
          <w:spacing w:val="0"/>
          <w:sz w:val="24"/>
          <w:szCs w:val="24"/>
          <w:shd w:val="clear" w:fill="FFFFFF"/>
        </w:rPr>
        <w:t>　　</w:t>
      </w:r>
      <w:r>
        <w:rPr>
          <w:rStyle w:val="5"/>
          <w:rFonts w:hint="default" w:ascii="΢���ź�" w:hAnsi="΢���ź�" w:eastAsia="΢���ź�" w:cs="΢���ź�"/>
          <w:i w:val="0"/>
          <w:iCs w:val="0"/>
          <w:caps w:val="0"/>
          <w:color w:val="000000"/>
          <w:spacing w:val="0"/>
          <w:sz w:val="24"/>
          <w:szCs w:val="24"/>
          <w:shd w:val="clear" w:fill="FFFFFF"/>
        </w:rPr>
        <w:t>图1 2016-2020年全国医疗器械不良事件报告数量</w:t>
      </w:r>
    </w:p>
    <w:p w14:paraId="127F1E8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w:t>
      </w:r>
    </w:p>
    <w:p w14:paraId="60E81F4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pPr>
      <w:r>
        <w:rPr>
          <w:rFonts w:hint="default" w:ascii="΢���ź�" w:hAnsi="΢���ź�" w:eastAsia="΢���ź�" w:cs="΢���ź�"/>
          <w:i w:val="0"/>
          <w:iCs w:val="0"/>
          <w:caps w:val="0"/>
          <w:color w:val="000000"/>
          <w:spacing w:val="0"/>
          <w:sz w:val="24"/>
          <w:szCs w:val="24"/>
          <w:shd w:val="clear" w:fill="FFFFFF"/>
        </w:rPr>
        <w:drawing>
          <wp:inline distT="0" distB="0" distL="114300" distR="114300">
            <wp:extent cx="5572125" cy="1990725"/>
            <wp:effectExtent l="0" t="0" r="3175" b="3175"/>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5572125" cy="1990725"/>
                    </a:xfrm>
                    <a:prstGeom prst="rect">
                      <a:avLst/>
                    </a:prstGeom>
                    <a:noFill/>
                    <a:ln w="9525">
                      <a:noFill/>
                    </a:ln>
                  </pic:spPr>
                </pic:pic>
              </a:graphicData>
            </a:graphic>
          </wp:inline>
        </w:drawing>
      </w:r>
    </w:p>
    <w:p w14:paraId="5096CD0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w:t>
      </w:r>
    </w:p>
    <w:p w14:paraId="6DD6645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2.每百万人口平均报告数量。2020年，我国每百万人口平均医疗器械不良事件报告数为402份，比上年增加35.35%（图2）。</w:t>
      </w:r>
    </w:p>
    <w:p w14:paraId="4C95A63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pPr>
      <w:r>
        <w:rPr>
          <w:rFonts w:hint="default" w:ascii="΢���ź�" w:hAnsi="΢���ź�" w:eastAsia="΢���ź�" w:cs="΢���ź�"/>
          <w:i w:val="0"/>
          <w:iCs w:val="0"/>
          <w:caps w:val="0"/>
          <w:color w:val="000000"/>
          <w:spacing w:val="0"/>
          <w:sz w:val="24"/>
          <w:szCs w:val="24"/>
          <w:shd w:val="clear" w:fill="FFFFFF"/>
        </w:rPr>
        <w:t>　　</w:t>
      </w:r>
      <w:r>
        <w:rPr>
          <w:rFonts w:hint="default" w:ascii="΢���ź�" w:hAnsi="΢���ź�" w:eastAsia="΢���ź�" w:cs="΢���ź�"/>
          <w:i w:val="0"/>
          <w:iCs w:val="0"/>
          <w:caps w:val="0"/>
          <w:color w:val="000000"/>
          <w:spacing w:val="0"/>
          <w:sz w:val="24"/>
          <w:szCs w:val="24"/>
          <w:shd w:val="clear" w:fill="FFFFFF"/>
        </w:rPr>
        <w:drawing>
          <wp:inline distT="0" distB="0" distL="114300" distR="114300">
            <wp:extent cx="3857625" cy="2314575"/>
            <wp:effectExtent l="0" t="0" r="3175" b="9525"/>
            <wp:docPr id="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8"/>
                    <pic:cNvPicPr>
                      <a:picLocks noChangeAspect="1"/>
                    </pic:cNvPicPr>
                  </pic:nvPicPr>
                  <pic:blipFill>
                    <a:blip r:embed="rId6"/>
                    <a:stretch>
                      <a:fillRect/>
                    </a:stretch>
                  </pic:blipFill>
                  <pic:spPr>
                    <a:xfrm>
                      <a:off x="0" y="0"/>
                      <a:ext cx="3857625" cy="2314575"/>
                    </a:xfrm>
                    <a:prstGeom prst="rect">
                      <a:avLst/>
                    </a:prstGeom>
                    <a:noFill/>
                    <a:ln w="9525">
                      <a:noFill/>
                    </a:ln>
                  </pic:spPr>
                </pic:pic>
              </a:graphicData>
            </a:graphic>
          </wp:inline>
        </w:drawing>
      </w:r>
    </w:p>
    <w:p w14:paraId="5A6E219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pPr>
      <w:r>
        <w:rPr>
          <w:rFonts w:hint="default" w:ascii="΢���ź�" w:hAnsi="΢���ź�" w:eastAsia="΢���ź�" w:cs="΢���ź�"/>
          <w:i w:val="0"/>
          <w:iCs w:val="0"/>
          <w:caps w:val="0"/>
          <w:color w:val="000000"/>
          <w:spacing w:val="0"/>
          <w:sz w:val="24"/>
          <w:szCs w:val="24"/>
          <w:shd w:val="clear" w:fill="FFFFFF"/>
        </w:rPr>
        <w:t>　　</w:t>
      </w:r>
      <w:r>
        <w:rPr>
          <w:rStyle w:val="5"/>
          <w:rFonts w:hint="default" w:ascii="΢���ź�" w:hAnsi="΢���ź�" w:eastAsia="΢���ź�" w:cs="΢���ź�"/>
          <w:i w:val="0"/>
          <w:iCs w:val="0"/>
          <w:caps w:val="0"/>
          <w:color w:val="000000"/>
          <w:spacing w:val="0"/>
          <w:sz w:val="24"/>
          <w:szCs w:val="24"/>
          <w:shd w:val="clear" w:fill="FFFFFF"/>
        </w:rPr>
        <w:t>图2 2016-2020年全国每百万人口平均医疗器械不良事件报告数比较</w:t>
      </w:r>
    </w:p>
    <w:p w14:paraId="389222B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（二）全国注册基层用户数量</w:t>
      </w:r>
    </w:p>
    <w:p w14:paraId="1511235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截至2020年12月31日，在国家医疗器械不良事件监测信息系统中注册的基层用户（包括注册人、经营企业和使用单位）共350,973家，其中注册人27,195家，占用户总数的7.75%；经营企业198,833家，占用户总数的56.65%；使用单位124,945家，占用户总数的35.60%（图3）。</w:t>
      </w:r>
    </w:p>
    <w:p w14:paraId="06C2949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pPr>
      <w:r>
        <w:rPr>
          <w:rFonts w:hint="default" w:ascii="΢���ź�" w:hAnsi="΢���ź�" w:eastAsia="΢���ź�" w:cs="΢���ź�"/>
          <w:i w:val="0"/>
          <w:iCs w:val="0"/>
          <w:caps w:val="0"/>
          <w:color w:val="000000"/>
          <w:spacing w:val="0"/>
          <w:sz w:val="24"/>
          <w:szCs w:val="24"/>
          <w:shd w:val="clear" w:fill="FFFFFF"/>
        </w:rPr>
        <w:t>　　</w:t>
      </w:r>
      <w:r>
        <w:rPr>
          <w:rFonts w:hint="default" w:ascii="΢���ź�" w:hAnsi="΢���ź�" w:eastAsia="΢���ź�" w:cs="΢���ź�"/>
          <w:i w:val="0"/>
          <w:iCs w:val="0"/>
          <w:caps w:val="0"/>
          <w:color w:val="000000"/>
          <w:spacing w:val="0"/>
          <w:sz w:val="24"/>
          <w:szCs w:val="24"/>
          <w:shd w:val="clear" w:fill="FFFFFF"/>
        </w:rPr>
        <w:drawing>
          <wp:inline distT="0" distB="0" distL="114300" distR="114300">
            <wp:extent cx="4152900" cy="2590800"/>
            <wp:effectExtent l="0" t="0" r="0" b="0"/>
            <wp:docPr id="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9"/>
                    <pic:cNvPicPr>
                      <a:picLocks noChangeAspect="1"/>
                    </pic:cNvPicPr>
                  </pic:nvPicPr>
                  <pic:blipFill>
                    <a:blip r:embed="rId7"/>
                    <a:stretch>
                      <a:fillRect/>
                    </a:stretch>
                  </pic:blipFill>
                  <pic:spPr>
                    <a:xfrm>
                      <a:off x="0" y="0"/>
                      <a:ext cx="4152900" cy="2590800"/>
                    </a:xfrm>
                    <a:prstGeom prst="rect">
                      <a:avLst/>
                    </a:prstGeom>
                    <a:noFill/>
                    <a:ln w="9525">
                      <a:noFill/>
                    </a:ln>
                  </pic:spPr>
                </pic:pic>
              </a:graphicData>
            </a:graphic>
          </wp:inline>
        </w:drawing>
      </w:r>
    </w:p>
    <w:p w14:paraId="7485BC4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pPr>
      <w:r>
        <w:rPr>
          <w:rFonts w:hint="default" w:ascii="΢���ź�" w:hAnsi="΢���ź�" w:eastAsia="΢���ź�" w:cs="΢���ź�"/>
          <w:i w:val="0"/>
          <w:iCs w:val="0"/>
          <w:caps w:val="0"/>
          <w:color w:val="000000"/>
          <w:spacing w:val="0"/>
          <w:sz w:val="24"/>
          <w:szCs w:val="24"/>
          <w:shd w:val="clear" w:fill="FFFFFF"/>
        </w:rPr>
        <w:t>　　</w:t>
      </w:r>
      <w:r>
        <w:rPr>
          <w:rStyle w:val="5"/>
          <w:rFonts w:hint="default" w:ascii="΢���ź�" w:hAnsi="΢���ź�" w:eastAsia="΢���ź�" w:cs="΢���ź�"/>
          <w:i w:val="0"/>
          <w:iCs w:val="0"/>
          <w:caps w:val="0"/>
          <w:color w:val="000000"/>
          <w:spacing w:val="0"/>
          <w:sz w:val="24"/>
          <w:szCs w:val="24"/>
          <w:shd w:val="clear" w:fill="FFFFFF"/>
        </w:rPr>
        <w:t>图3 2020年国家医疗器械不良事件监测信息系统注册基层用户情况</w:t>
      </w:r>
    </w:p>
    <w:p w14:paraId="5ED1DB4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2020年，注册基层用户总数比上年增长10.03%。其中，注册人注册基层用户比上年增长38.31%，经营企业和使用单位的注册基层用户分别比上年增长11.52%和3.24%（图4）。</w:t>
      </w:r>
    </w:p>
    <w:p w14:paraId="1492F89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pPr>
      <w:r>
        <w:rPr>
          <w:rFonts w:hint="default" w:ascii="΢���ź�" w:hAnsi="΢���ź�" w:eastAsia="΢���ź�" w:cs="΢���ź�"/>
          <w:i w:val="0"/>
          <w:iCs w:val="0"/>
          <w:caps w:val="0"/>
          <w:color w:val="000000"/>
          <w:spacing w:val="0"/>
          <w:sz w:val="24"/>
          <w:szCs w:val="24"/>
          <w:shd w:val="clear" w:fill="FFFFFF"/>
        </w:rPr>
        <w:t>　　</w:t>
      </w:r>
      <w:r>
        <w:rPr>
          <w:rFonts w:hint="default" w:ascii="΢���ź�" w:hAnsi="΢���ź�" w:eastAsia="΢���ź�" w:cs="΢���ź�"/>
          <w:i w:val="0"/>
          <w:iCs w:val="0"/>
          <w:caps w:val="0"/>
          <w:color w:val="000000"/>
          <w:spacing w:val="0"/>
          <w:sz w:val="24"/>
          <w:szCs w:val="24"/>
          <w:shd w:val="clear" w:fill="FFFFFF"/>
        </w:rPr>
        <w:drawing>
          <wp:inline distT="0" distB="0" distL="114300" distR="114300">
            <wp:extent cx="5286375" cy="3162300"/>
            <wp:effectExtent l="0" t="0" r="9525" b="0"/>
            <wp:docPr id="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60"/>
                    <pic:cNvPicPr>
                      <a:picLocks noChangeAspect="1"/>
                    </pic:cNvPicPr>
                  </pic:nvPicPr>
                  <pic:blipFill>
                    <a:blip r:embed="rId8"/>
                    <a:stretch>
                      <a:fillRect/>
                    </a:stretch>
                  </pic:blipFill>
                  <pic:spPr>
                    <a:xfrm>
                      <a:off x="0" y="0"/>
                      <a:ext cx="5286375" cy="3162300"/>
                    </a:xfrm>
                    <a:prstGeom prst="rect">
                      <a:avLst/>
                    </a:prstGeom>
                    <a:noFill/>
                    <a:ln w="9525">
                      <a:noFill/>
                    </a:ln>
                  </pic:spPr>
                </pic:pic>
              </a:graphicData>
            </a:graphic>
          </wp:inline>
        </w:drawing>
      </w:r>
    </w:p>
    <w:p w14:paraId="6AA95CB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pPr>
      <w:r>
        <w:rPr>
          <w:rFonts w:hint="default" w:ascii="΢���ź�" w:hAnsi="΢���ź�" w:eastAsia="΢���ź�" w:cs="΢���ź�"/>
          <w:i w:val="0"/>
          <w:iCs w:val="0"/>
          <w:caps w:val="0"/>
          <w:color w:val="000000"/>
          <w:spacing w:val="0"/>
          <w:sz w:val="24"/>
          <w:szCs w:val="24"/>
          <w:shd w:val="clear" w:fill="FFFFFF"/>
        </w:rPr>
        <w:t>　　</w:t>
      </w:r>
      <w:r>
        <w:rPr>
          <w:rStyle w:val="5"/>
          <w:rFonts w:hint="default" w:ascii="΢���ź�" w:hAnsi="΢���ź�" w:eastAsia="΢���ź�" w:cs="΢���ź�"/>
          <w:i w:val="0"/>
          <w:iCs w:val="0"/>
          <w:caps w:val="0"/>
          <w:color w:val="000000"/>
          <w:spacing w:val="0"/>
          <w:sz w:val="24"/>
          <w:szCs w:val="24"/>
          <w:shd w:val="clear" w:fill="FFFFFF"/>
        </w:rPr>
        <w:t>图4 2019、2020年国家医疗器械不良事件监测信息系统注册基层用户分类比较情况</w:t>
      </w:r>
    </w:p>
    <w:p w14:paraId="5746CE6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w:t>
      </w:r>
      <w:r>
        <w:rPr>
          <w:rStyle w:val="5"/>
          <w:rFonts w:hint="default" w:ascii="΢���ź�" w:hAnsi="΢���ź�" w:eastAsia="΢���ź�" w:cs="΢���ź�"/>
          <w:i w:val="0"/>
          <w:iCs w:val="0"/>
          <w:caps w:val="0"/>
          <w:color w:val="000000"/>
          <w:spacing w:val="0"/>
          <w:sz w:val="24"/>
          <w:szCs w:val="24"/>
          <w:shd w:val="clear" w:fill="FFFFFF"/>
        </w:rPr>
        <w:t>三、全国医疗器械不良事件报告统计分析</w:t>
      </w:r>
    </w:p>
    <w:p w14:paraId="21006AD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（一）按报告来源统计分析</w:t>
      </w:r>
    </w:p>
    <w:p w14:paraId="50C5B85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2020年，国家药品不良反应监测中心收到的医疗器械不良事件报告中，使用单位上报455,782份，占报告总数的85.03%；注册人上报11,191份，占报告总数的2.09%；经营企业上报68,902份，占报告总数的12.85%；其他来源的报告180份，占报告总数的0.03%（图5）。</w:t>
      </w:r>
    </w:p>
    <w:p w14:paraId="274CC4F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pPr>
      <w:r>
        <w:rPr>
          <w:rFonts w:hint="default" w:ascii="΢���ź�" w:hAnsi="΢���ź�" w:eastAsia="΢���ź�" w:cs="΢���ź�"/>
          <w:i w:val="0"/>
          <w:iCs w:val="0"/>
          <w:caps w:val="0"/>
          <w:color w:val="000000"/>
          <w:spacing w:val="0"/>
          <w:sz w:val="24"/>
          <w:szCs w:val="24"/>
          <w:shd w:val="clear" w:fill="FFFFFF"/>
        </w:rPr>
        <w:t>　　</w:t>
      </w:r>
      <w:r>
        <w:rPr>
          <w:rFonts w:hint="default" w:ascii="΢���ź�" w:hAnsi="΢���ź�" w:eastAsia="΢���ź�" w:cs="΢���ź�"/>
          <w:i w:val="0"/>
          <w:iCs w:val="0"/>
          <w:caps w:val="0"/>
          <w:color w:val="000000"/>
          <w:spacing w:val="0"/>
          <w:sz w:val="24"/>
          <w:szCs w:val="24"/>
          <w:shd w:val="clear" w:fill="FFFFFF"/>
        </w:rPr>
        <w:drawing>
          <wp:inline distT="0" distB="0" distL="114300" distR="114300">
            <wp:extent cx="4991100" cy="2667000"/>
            <wp:effectExtent l="0" t="0" r="0" b="0"/>
            <wp:docPr id="10"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61"/>
                    <pic:cNvPicPr>
                      <a:picLocks noChangeAspect="1"/>
                    </pic:cNvPicPr>
                  </pic:nvPicPr>
                  <pic:blipFill>
                    <a:blip r:embed="rId9"/>
                    <a:stretch>
                      <a:fillRect/>
                    </a:stretch>
                  </pic:blipFill>
                  <pic:spPr>
                    <a:xfrm>
                      <a:off x="0" y="0"/>
                      <a:ext cx="4991100" cy="2667000"/>
                    </a:xfrm>
                    <a:prstGeom prst="rect">
                      <a:avLst/>
                    </a:prstGeom>
                    <a:noFill/>
                    <a:ln w="9525">
                      <a:noFill/>
                    </a:ln>
                  </pic:spPr>
                </pic:pic>
              </a:graphicData>
            </a:graphic>
          </wp:inline>
        </w:drawing>
      </w:r>
    </w:p>
    <w:p w14:paraId="3D1FD2B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pPr>
      <w:r>
        <w:rPr>
          <w:rFonts w:hint="default" w:ascii="΢���ź�" w:hAnsi="΢���ź�" w:eastAsia="΢���ź�" w:cs="΢���ź�"/>
          <w:i w:val="0"/>
          <w:iCs w:val="0"/>
          <w:caps w:val="0"/>
          <w:color w:val="000000"/>
          <w:spacing w:val="0"/>
          <w:sz w:val="24"/>
          <w:szCs w:val="24"/>
          <w:shd w:val="clear" w:fill="FFFFFF"/>
        </w:rPr>
        <w:t>　　</w:t>
      </w:r>
      <w:r>
        <w:rPr>
          <w:rStyle w:val="5"/>
          <w:rFonts w:hint="default" w:ascii="΢���ź�" w:hAnsi="΢���ź�" w:eastAsia="΢���ź�" w:cs="΢���ź�"/>
          <w:i w:val="0"/>
          <w:iCs w:val="0"/>
          <w:caps w:val="0"/>
          <w:color w:val="000000"/>
          <w:spacing w:val="0"/>
          <w:sz w:val="24"/>
          <w:szCs w:val="24"/>
          <w:shd w:val="clear" w:fill="FFFFFF"/>
        </w:rPr>
        <w:t>图5 2020年医疗器械不良事件报告来源情况</w:t>
      </w:r>
    </w:p>
    <w:p w14:paraId="090E13A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（二）按事件伤害程度统计分析</w:t>
      </w:r>
    </w:p>
    <w:p w14:paraId="254A4B6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2020年，国家药品不良反应监测中心收到的医疗器械不良事件报告中，伤害程度为死亡的报告218份，占报告总数的0.04%；伤害程度为严重伤害的报告32,874份，占报告总数的6.13%；伤害程度为其他的报告502,963份，占报告总数的93.83%（图6）。</w:t>
      </w:r>
    </w:p>
    <w:p w14:paraId="7EC8820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pPr>
      <w:r>
        <w:rPr>
          <w:rFonts w:hint="default" w:ascii="΢���ź�" w:hAnsi="΢���ź�" w:eastAsia="΢���ź�" w:cs="΢���ź�"/>
          <w:i w:val="0"/>
          <w:iCs w:val="0"/>
          <w:caps w:val="0"/>
          <w:color w:val="000000"/>
          <w:spacing w:val="0"/>
          <w:sz w:val="24"/>
          <w:szCs w:val="24"/>
          <w:shd w:val="clear" w:fill="FFFFFF"/>
        </w:rPr>
        <w:t>　　</w:t>
      </w:r>
      <w:r>
        <w:rPr>
          <w:rFonts w:hint="default" w:ascii="΢���ź�" w:hAnsi="΢���ź�" w:eastAsia="΢���ź�" w:cs="΢���ź�"/>
          <w:i w:val="0"/>
          <w:iCs w:val="0"/>
          <w:caps w:val="0"/>
          <w:color w:val="000000"/>
          <w:spacing w:val="0"/>
          <w:sz w:val="24"/>
          <w:szCs w:val="24"/>
          <w:shd w:val="clear" w:fill="FFFFFF"/>
        </w:rPr>
        <w:drawing>
          <wp:inline distT="0" distB="0" distL="114300" distR="114300">
            <wp:extent cx="304800" cy="304800"/>
            <wp:effectExtent l="0" t="0" r="0" b="0"/>
            <wp:docPr id="1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IMG_262"/>
                    <pic:cNvPicPr>
                      <a:picLocks noChangeAspect="1"/>
                    </pic:cNvPicPr>
                  </pic:nvPicPr>
                  <pic:blipFill>
                    <a:blip r:embed="rId10"/>
                    <a:stretch>
                      <a:fillRect/>
                    </a:stretch>
                  </pic:blipFill>
                  <pic:spPr>
                    <a:xfrm>
                      <a:off x="0" y="0"/>
                      <a:ext cx="304800" cy="304800"/>
                    </a:xfrm>
                    <a:prstGeom prst="rect">
                      <a:avLst/>
                    </a:prstGeom>
                    <a:noFill/>
                    <a:ln w="9525">
                      <a:noFill/>
                    </a:ln>
                  </pic:spPr>
                </pic:pic>
              </a:graphicData>
            </a:graphic>
          </wp:inline>
        </w:drawing>
      </w:r>
    </w:p>
    <w:p w14:paraId="13655D2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pPr>
      <w:r>
        <w:rPr>
          <w:rFonts w:hint="default" w:ascii="΢���ź�" w:hAnsi="΢���ź�" w:eastAsia="΢���ź�" w:cs="΢���ź�"/>
          <w:i w:val="0"/>
          <w:iCs w:val="0"/>
          <w:caps w:val="0"/>
          <w:color w:val="000000"/>
          <w:spacing w:val="0"/>
          <w:sz w:val="24"/>
          <w:szCs w:val="24"/>
          <w:shd w:val="clear" w:fill="FFFFFF"/>
        </w:rPr>
        <w:t>　　</w:t>
      </w:r>
      <w:r>
        <w:rPr>
          <w:rStyle w:val="5"/>
          <w:rFonts w:hint="default" w:ascii="΢���ź�" w:hAnsi="΢���ź�" w:eastAsia="΢���ź�" w:cs="΢���ź�"/>
          <w:i w:val="0"/>
          <w:iCs w:val="0"/>
          <w:caps w:val="0"/>
          <w:color w:val="000000"/>
          <w:spacing w:val="0"/>
          <w:sz w:val="24"/>
          <w:szCs w:val="24"/>
          <w:shd w:val="clear" w:fill="FFFFFF"/>
        </w:rPr>
        <w:t>图6 2020年医疗器械不良事件报告涉及事件伤害程度情况</w:t>
      </w:r>
    </w:p>
    <w:p w14:paraId="442B632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pPr>
      <w:r>
        <w:rPr>
          <w:rFonts w:hint="default" w:ascii="΢���ź�" w:hAnsi="΢���ź�" w:eastAsia="΢���ź�" w:cs="΢���ź�"/>
          <w:i w:val="0"/>
          <w:iCs w:val="0"/>
          <w:caps w:val="0"/>
          <w:color w:val="000000"/>
          <w:spacing w:val="0"/>
          <w:sz w:val="14"/>
          <w:szCs w:val="14"/>
          <w:shd w:val="clear" w:fill="FFFFFF"/>
        </w:rPr>
        <w:drawing>
          <wp:inline distT="0" distB="0" distL="114300" distR="114300">
            <wp:extent cx="5743575" cy="2066925"/>
            <wp:effectExtent l="0" t="0" r="9525" b="3175"/>
            <wp:docPr id="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63"/>
                    <pic:cNvPicPr>
                      <a:picLocks noChangeAspect="1"/>
                    </pic:cNvPicPr>
                  </pic:nvPicPr>
                  <pic:blipFill>
                    <a:blip r:embed="rId11"/>
                    <a:stretch>
                      <a:fillRect/>
                    </a:stretch>
                  </pic:blipFill>
                  <pic:spPr>
                    <a:xfrm>
                      <a:off x="0" y="0"/>
                      <a:ext cx="5743575" cy="2066925"/>
                    </a:xfrm>
                    <a:prstGeom prst="rect">
                      <a:avLst/>
                    </a:prstGeom>
                    <a:noFill/>
                    <a:ln w="9525">
                      <a:noFill/>
                    </a:ln>
                  </pic:spPr>
                </pic:pic>
              </a:graphicData>
            </a:graphic>
          </wp:inline>
        </w:drawing>
      </w:r>
    </w:p>
    <w:p w14:paraId="28E89DF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14"/>
          <w:szCs w:val="14"/>
          <w:shd w:val="clear" w:fill="FFFFFF"/>
        </w:rPr>
        <w:t> </w:t>
      </w:r>
    </w:p>
    <w:p w14:paraId="0A38687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ź�" w:hAnsi="΢���ź�" w:eastAsia="΢���ź�" w:cs="΢���ź�"/>
          <w:i w:val="0"/>
          <w:iCs w:val="0"/>
          <w:caps w:val="0"/>
          <w:color w:val="000000"/>
          <w:spacing w:val="0"/>
          <w:sz w:val="14"/>
          <w:szCs w:val="14"/>
        </w:rPr>
      </w:pPr>
      <w:r>
        <w:rPr>
          <w:rFonts w:hint="default" w:ascii="΢���ź�" w:hAnsi="΢���ź�" w:eastAsia="΢���ź�" w:cs="΢���ź�"/>
          <w:i w:val="0"/>
          <w:iCs w:val="0"/>
          <w:caps w:val="0"/>
          <w:color w:val="000000"/>
          <w:spacing w:val="0"/>
          <w:kern w:val="0"/>
          <w:sz w:val="24"/>
          <w:szCs w:val="24"/>
          <w:shd w:val="clear" w:fill="FFFFFF"/>
          <w:lang w:val="en-US" w:eastAsia="zh-CN" w:bidi="ar"/>
        </w:rPr>
        <w:t>　　2020年，对于事件伤害程度为死亡的医疗器械不良事件报告，国家药品不良反应监测中心均及时进行了处置，督促注册人开展调查、评价。在目前完成分析评价的事件中，绝大多数与涉及医疗器械无明确相关性。后续监测中，尚未发现上述事件涉及医疗器械风险异常增高情况。</w:t>
      </w:r>
    </w:p>
    <w:p w14:paraId="2B08B7B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14"/>
          <w:szCs w:val="14"/>
          <w:shd w:val="clear" w:fill="FFFFFF"/>
        </w:rPr>
        <w:t> </w:t>
      </w:r>
    </w:p>
    <w:p w14:paraId="489EDF1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（三）按医疗器械管理类别统计分析</w:t>
      </w:r>
    </w:p>
    <w:p w14:paraId="2911999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2020年，国家药品不良反应监测中心收到的医疗器械不良事件报告中，涉及Ⅲ类医疗器械的报告178,305份，占报告总数的33.26%；涉及Ⅱ类医疗器械的报告242,457份，占报告总数的45.23%；涉及Ⅰ类医疗器械的报告46,995份，占报告总数的8.77%；未填写医疗器械管理类别的报告68,298份,占报告总数的12.74%。（图7）。</w:t>
      </w:r>
    </w:p>
    <w:p w14:paraId="2906ED0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pPr>
      <w:r>
        <w:rPr>
          <w:rFonts w:hint="default" w:ascii="΢���ź�" w:hAnsi="΢���ź�" w:eastAsia="΢���ź�" w:cs="΢���ź�"/>
          <w:i w:val="0"/>
          <w:iCs w:val="0"/>
          <w:caps w:val="0"/>
          <w:color w:val="000000"/>
          <w:spacing w:val="0"/>
          <w:sz w:val="24"/>
          <w:szCs w:val="24"/>
          <w:shd w:val="clear" w:fill="FFFFFF"/>
        </w:rPr>
        <w:t>　　</w:t>
      </w:r>
      <w:r>
        <w:rPr>
          <w:rFonts w:hint="default" w:ascii="΢���ź�" w:hAnsi="΢���ź�" w:eastAsia="΢���ź�" w:cs="΢���ź�"/>
          <w:i w:val="0"/>
          <w:iCs w:val="0"/>
          <w:caps w:val="0"/>
          <w:color w:val="000000"/>
          <w:spacing w:val="0"/>
          <w:sz w:val="24"/>
          <w:szCs w:val="24"/>
          <w:shd w:val="clear" w:fill="FFFFFF"/>
        </w:rPr>
        <w:drawing>
          <wp:inline distT="0" distB="0" distL="114300" distR="114300">
            <wp:extent cx="4114800" cy="2476500"/>
            <wp:effectExtent l="0" t="0" r="0" b="0"/>
            <wp:docPr id="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IMG_264"/>
                    <pic:cNvPicPr>
                      <a:picLocks noChangeAspect="1"/>
                    </pic:cNvPicPr>
                  </pic:nvPicPr>
                  <pic:blipFill>
                    <a:blip r:embed="rId12"/>
                    <a:stretch>
                      <a:fillRect/>
                    </a:stretch>
                  </pic:blipFill>
                  <pic:spPr>
                    <a:xfrm>
                      <a:off x="0" y="0"/>
                      <a:ext cx="4114800" cy="2476500"/>
                    </a:xfrm>
                    <a:prstGeom prst="rect">
                      <a:avLst/>
                    </a:prstGeom>
                    <a:noFill/>
                    <a:ln w="9525">
                      <a:noFill/>
                    </a:ln>
                  </pic:spPr>
                </pic:pic>
              </a:graphicData>
            </a:graphic>
          </wp:inline>
        </w:drawing>
      </w:r>
    </w:p>
    <w:p w14:paraId="0BC44A9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pPr>
      <w:r>
        <w:rPr>
          <w:rFonts w:hint="default" w:ascii="΢���ź�" w:hAnsi="΢���ź�" w:eastAsia="΢���ź�" w:cs="΢���ź�"/>
          <w:i w:val="0"/>
          <w:iCs w:val="0"/>
          <w:caps w:val="0"/>
          <w:color w:val="000000"/>
          <w:spacing w:val="0"/>
          <w:sz w:val="24"/>
          <w:szCs w:val="24"/>
          <w:shd w:val="clear" w:fill="FFFFFF"/>
        </w:rPr>
        <w:t>　　</w:t>
      </w:r>
      <w:r>
        <w:rPr>
          <w:rStyle w:val="5"/>
          <w:rFonts w:hint="default" w:ascii="΢���ź�" w:hAnsi="΢���ź�" w:eastAsia="΢���ź�" w:cs="΢���ź�"/>
          <w:i w:val="0"/>
          <w:iCs w:val="0"/>
          <w:caps w:val="0"/>
          <w:color w:val="000000"/>
          <w:spacing w:val="0"/>
          <w:sz w:val="24"/>
          <w:szCs w:val="24"/>
          <w:shd w:val="clear" w:fill="FFFFFF"/>
        </w:rPr>
        <w:t>图7 2020年医疗器械不良事件报告涉及医疗器械管理类别情况</w:t>
      </w:r>
    </w:p>
    <w:p w14:paraId="7DE54A0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pPr>
      <w:r>
        <w:rPr>
          <w:rFonts w:hint="default" w:ascii="΢���ź�" w:hAnsi="΢���ź�" w:eastAsia="΢���ź�" w:cs="΢���ź�"/>
          <w:i w:val="0"/>
          <w:iCs w:val="0"/>
          <w:caps w:val="0"/>
          <w:color w:val="000000"/>
          <w:spacing w:val="0"/>
          <w:sz w:val="14"/>
          <w:szCs w:val="14"/>
          <w:shd w:val="clear" w:fill="FFFFFF"/>
        </w:rPr>
        <w:drawing>
          <wp:inline distT="0" distB="0" distL="114300" distR="114300">
            <wp:extent cx="5657850" cy="1190625"/>
            <wp:effectExtent l="0" t="0" r="6350" b="3175"/>
            <wp:docPr id="4"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IMG_265"/>
                    <pic:cNvPicPr>
                      <a:picLocks noChangeAspect="1"/>
                    </pic:cNvPicPr>
                  </pic:nvPicPr>
                  <pic:blipFill>
                    <a:blip r:embed="rId13"/>
                    <a:stretch>
                      <a:fillRect/>
                    </a:stretch>
                  </pic:blipFill>
                  <pic:spPr>
                    <a:xfrm>
                      <a:off x="0" y="0"/>
                      <a:ext cx="5657850" cy="1190625"/>
                    </a:xfrm>
                    <a:prstGeom prst="rect">
                      <a:avLst/>
                    </a:prstGeom>
                    <a:noFill/>
                    <a:ln w="9525">
                      <a:noFill/>
                    </a:ln>
                  </pic:spPr>
                </pic:pic>
              </a:graphicData>
            </a:graphic>
          </wp:inline>
        </w:drawing>
      </w:r>
    </w:p>
    <w:p w14:paraId="1EA419C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（四）按医疗器械分类目录统计分析</w:t>
      </w:r>
    </w:p>
    <w:p w14:paraId="27B887B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2020年，国家医疗器械不良事件监测信息系统收到的医疗器械不良事件报告涉及了医疗器械分类目录中的所有类别。其中，报告数量排名前十位的医疗器械类别见表1。</w:t>
      </w:r>
    </w:p>
    <w:p w14:paraId="6A8AC93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pPr>
      <w:r>
        <w:rPr>
          <w:rFonts w:hint="default" w:ascii="΢���ź�" w:hAnsi="΢���ź�" w:eastAsia="΢���ź�" w:cs="΢���ź�"/>
          <w:i w:val="0"/>
          <w:iCs w:val="0"/>
          <w:caps w:val="0"/>
          <w:color w:val="000000"/>
          <w:spacing w:val="0"/>
          <w:sz w:val="24"/>
          <w:szCs w:val="24"/>
          <w:shd w:val="clear" w:fill="FFFFFF"/>
        </w:rPr>
        <w:t>　　</w:t>
      </w:r>
      <w:r>
        <w:rPr>
          <w:rStyle w:val="5"/>
          <w:rFonts w:hint="default" w:ascii="΢���ź�" w:hAnsi="΢���ź�" w:eastAsia="΢���ź�" w:cs="΢���ź�"/>
          <w:i w:val="0"/>
          <w:iCs w:val="0"/>
          <w:caps w:val="0"/>
          <w:color w:val="000000"/>
          <w:spacing w:val="0"/>
          <w:sz w:val="24"/>
          <w:szCs w:val="24"/>
          <w:shd w:val="clear" w:fill="FFFFFF"/>
        </w:rPr>
        <w:t>表1 2020年医疗器械不良事件报告涉及医疗器械分类目录情况</w:t>
      </w:r>
    </w:p>
    <w:p w14:paraId="3DFB917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pPr>
      <w:r>
        <w:rPr>
          <w:rFonts w:hint="default" w:ascii="΢���ź�" w:hAnsi="΢���ź�" w:eastAsia="΢���ź�" w:cs="΢���ź�"/>
          <w:i w:val="0"/>
          <w:iCs w:val="0"/>
          <w:caps w:val="0"/>
          <w:color w:val="000000"/>
          <w:spacing w:val="0"/>
          <w:sz w:val="14"/>
          <w:szCs w:val="14"/>
          <w:shd w:val="clear" w:fill="FFFFFF"/>
        </w:rPr>
        <w:drawing>
          <wp:inline distT="0" distB="0" distL="114300" distR="114300">
            <wp:extent cx="6915150" cy="3009900"/>
            <wp:effectExtent l="0" t="0" r="6350" b="0"/>
            <wp:docPr id="8"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IMG_266"/>
                    <pic:cNvPicPr>
                      <a:picLocks noChangeAspect="1"/>
                    </pic:cNvPicPr>
                  </pic:nvPicPr>
                  <pic:blipFill>
                    <a:blip r:embed="rId14"/>
                    <a:stretch>
                      <a:fillRect/>
                    </a:stretch>
                  </pic:blipFill>
                  <pic:spPr>
                    <a:xfrm>
                      <a:off x="0" y="0"/>
                      <a:ext cx="6915150" cy="3009900"/>
                    </a:xfrm>
                    <a:prstGeom prst="rect">
                      <a:avLst/>
                    </a:prstGeom>
                    <a:noFill/>
                    <a:ln w="9525">
                      <a:noFill/>
                    </a:ln>
                  </pic:spPr>
                </pic:pic>
              </a:graphicData>
            </a:graphic>
          </wp:inline>
        </w:drawing>
      </w:r>
    </w:p>
    <w:p w14:paraId="6C878F3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pPr>
      <w:r>
        <w:rPr>
          <w:rFonts w:hint="default" w:ascii="΢���ź�" w:hAnsi="΢���ź�" w:eastAsia="΢���ź�" w:cs="΢���ź�"/>
          <w:i w:val="0"/>
          <w:iCs w:val="0"/>
          <w:caps w:val="0"/>
          <w:color w:val="000000"/>
          <w:spacing w:val="0"/>
          <w:sz w:val="14"/>
          <w:szCs w:val="14"/>
          <w:shd w:val="clear" w:fill="FFFFFF"/>
        </w:rPr>
        <w:t> </w:t>
      </w:r>
    </w:p>
    <w:p w14:paraId="6CBE9DA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（五）按医疗器械结构特征统计分析</w:t>
      </w:r>
    </w:p>
    <w:p w14:paraId="4D173B3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2020年，国家药品不良反应监测中心收到的医疗器械不良事件报告中，涉及无源医疗器械的报告345,326份，占报告总数的64.42%；涉及有源医疗器械的报告118,730份，占报告总数的22.15%；涉及体外诊断试剂的报告3,672份，占报告总数的0.69%；未填写医疗器械结构特征的报告68,327份,占报告总数的12.75%（图8）。</w:t>
      </w:r>
    </w:p>
    <w:p w14:paraId="2EE3DDE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pPr>
      <w:r>
        <w:rPr>
          <w:rFonts w:hint="default" w:ascii="΢���ź�" w:hAnsi="΢���ź�" w:eastAsia="΢���ź�" w:cs="΢���ź�"/>
          <w:i w:val="0"/>
          <w:iCs w:val="0"/>
          <w:caps w:val="0"/>
          <w:color w:val="000000"/>
          <w:spacing w:val="0"/>
          <w:sz w:val="24"/>
          <w:szCs w:val="24"/>
          <w:shd w:val="clear" w:fill="FFFFFF"/>
        </w:rPr>
        <w:t>　　</w:t>
      </w:r>
      <w:r>
        <w:rPr>
          <w:rFonts w:hint="default" w:ascii="΢���ź�" w:hAnsi="΢���ź�" w:eastAsia="΢���ź�" w:cs="΢���ź�"/>
          <w:i w:val="0"/>
          <w:iCs w:val="0"/>
          <w:caps w:val="0"/>
          <w:color w:val="000000"/>
          <w:spacing w:val="0"/>
          <w:sz w:val="24"/>
          <w:szCs w:val="24"/>
          <w:shd w:val="clear" w:fill="FFFFFF"/>
        </w:rPr>
        <w:drawing>
          <wp:inline distT="0" distB="0" distL="114300" distR="114300">
            <wp:extent cx="4695825" cy="2495550"/>
            <wp:effectExtent l="0" t="0" r="0" b="0"/>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5"/>
                    <a:stretch>
                      <a:fillRect/>
                    </a:stretch>
                  </pic:blipFill>
                  <pic:spPr>
                    <a:xfrm>
                      <a:off x="0" y="0"/>
                      <a:ext cx="4695825" cy="2495550"/>
                    </a:xfrm>
                    <a:prstGeom prst="rect">
                      <a:avLst/>
                    </a:prstGeom>
                    <a:noFill/>
                    <a:ln w="9525">
                      <a:noFill/>
                    </a:ln>
                  </pic:spPr>
                </pic:pic>
              </a:graphicData>
            </a:graphic>
          </wp:inline>
        </w:drawing>
      </w:r>
    </w:p>
    <w:p w14:paraId="4967DD8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pPr>
      <w:r>
        <w:rPr>
          <w:rFonts w:hint="default" w:ascii="΢���ź�" w:hAnsi="΢���ź�" w:eastAsia="΢���ź�" w:cs="΢���ź�"/>
          <w:i w:val="0"/>
          <w:iCs w:val="0"/>
          <w:caps w:val="0"/>
          <w:color w:val="000000"/>
          <w:spacing w:val="0"/>
          <w:sz w:val="24"/>
          <w:szCs w:val="24"/>
          <w:shd w:val="clear" w:fill="FFFFFF"/>
        </w:rPr>
        <w:t>　　</w:t>
      </w:r>
      <w:r>
        <w:rPr>
          <w:rStyle w:val="5"/>
          <w:rFonts w:hint="default" w:ascii="΢���ź�" w:hAnsi="΢���ź�" w:eastAsia="΢���ź�" w:cs="΢���ź�"/>
          <w:i w:val="0"/>
          <w:iCs w:val="0"/>
          <w:caps w:val="0"/>
          <w:color w:val="000000"/>
          <w:spacing w:val="0"/>
          <w:sz w:val="24"/>
          <w:szCs w:val="24"/>
          <w:shd w:val="clear" w:fill="FFFFFF"/>
        </w:rPr>
        <w:t>图8 2020年医疗器械不良事件报告涉及医疗器械结构特征情况</w:t>
      </w:r>
    </w:p>
    <w:p w14:paraId="51702BB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（六）按实际使用场所统计分析</w:t>
      </w:r>
    </w:p>
    <w:p w14:paraId="31A094E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2020年，国家药品不良反应监测中心收到的医疗器械不良事件报告中，使用场所为“医疗机构”的报告459,553份，占报告总数的85.73%；使用场所为“家庭”的报告64,109份，占报告总数的11.96%；使用场所为“其他”的报告12,393份，占报告总数的2.31%（图9）。</w:t>
      </w:r>
    </w:p>
    <w:p w14:paraId="58EF798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pPr>
      <w:r>
        <w:rPr>
          <w:rFonts w:hint="default" w:ascii="΢���ź�" w:hAnsi="΢���ź�" w:eastAsia="΢���ź�" w:cs="΢���ź�"/>
          <w:i w:val="0"/>
          <w:iCs w:val="0"/>
          <w:caps w:val="0"/>
          <w:color w:val="000000"/>
          <w:spacing w:val="0"/>
          <w:sz w:val="24"/>
          <w:szCs w:val="24"/>
          <w:shd w:val="clear" w:fill="FFFFFF"/>
        </w:rPr>
        <w:t>　　</w:t>
      </w:r>
      <w:r>
        <w:rPr>
          <w:rStyle w:val="5"/>
          <w:rFonts w:hint="default" w:ascii="΢���ź�" w:hAnsi="΢���ź�" w:eastAsia="΢���ź�" w:cs="΢���ź�"/>
          <w:i w:val="0"/>
          <w:iCs w:val="0"/>
          <w:caps w:val="0"/>
          <w:color w:val="000000"/>
          <w:spacing w:val="0"/>
          <w:sz w:val="24"/>
          <w:szCs w:val="24"/>
          <w:shd w:val="clear" w:fill="FFFFFF"/>
        </w:rPr>
        <w:drawing>
          <wp:inline distT="0" distB="0" distL="114300" distR="114300">
            <wp:extent cx="4914900" cy="2533650"/>
            <wp:effectExtent l="0" t="0" r="0" b="0"/>
            <wp:docPr id="11"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IMG_268"/>
                    <pic:cNvPicPr>
                      <a:picLocks noChangeAspect="1"/>
                    </pic:cNvPicPr>
                  </pic:nvPicPr>
                  <pic:blipFill>
                    <a:blip r:embed="rId16"/>
                    <a:stretch>
                      <a:fillRect/>
                    </a:stretch>
                  </pic:blipFill>
                  <pic:spPr>
                    <a:xfrm>
                      <a:off x="0" y="0"/>
                      <a:ext cx="4914900" cy="2533650"/>
                    </a:xfrm>
                    <a:prstGeom prst="rect">
                      <a:avLst/>
                    </a:prstGeom>
                    <a:noFill/>
                    <a:ln w="9525">
                      <a:noFill/>
                    </a:ln>
                  </pic:spPr>
                </pic:pic>
              </a:graphicData>
            </a:graphic>
          </wp:inline>
        </w:drawing>
      </w:r>
    </w:p>
    <w:p w14:paraId="76864AD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pPr>
      <w:r>
        <w:rPr>
          <w:rStyle w:val="5"/>
          <w:rFonts w:hint="default" w:ascii="΢���ź�" w:hAnsi="΢���ź�" w:eastAsia="΢���ź�" w:cs="΢���ź�"/>
          <w:i w:val="0"/>
          <w:iCs w:val="0"/>
          <w:caps w:val="0"/>
          <w:color w:val="000000"/>
          <w:spacing w:val="0"/>
          <w:sz w:val="24"/>
          <w:szCs w:val="24"/>
          <w:shd w:val="clear" w:fill="FFFFFF"/>
        </w:rPr>
        <w:t>　　图9 2020年医疗器械不良事件报告涉及实际使用场所情况</w:t>
      </w:r>
    </w:p>
    <w:p w14:paraId="07E015B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w:t>
      </w:r>
      <w:r>
        <w:rPr>
          <w:rStyle w:val="5"/>
          <w:rFonts w:hint="default" w:ascii="΢���ź�" w:hAnsi="΢���ź�" w:eastAsia="΢���ź�" w:cs="΢���ź�"/>
          <w:i w:val="0"/>
          <w:iCs w:val="0"/>
          <w:caps w:val="0"/>
          <w:color w:val="000000"/>
          <w:spacing w:val="0"/>
          <w:sz w:val="24"/>
          <w:szCs w:val="24"/>
          <w:shd w:val="clear" w:fill="FFFFFF"/>
        </w:rPr>
        <w:t>四、医疗器械不良事件信息通报发布情况</w:t>
      </w:r>
    </w:p>
    <w:p w14:paraId="6D826EF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为及时控制医疗器械风险，对可能出现的风险提出警示，2020年，国家药品不良反应监测中心根据日常监测中发现的风险情况，汇总相关医疗器械的主要不良事件表现，发布了1期《医疗器械不良事件信息通报》，涉及吻合器产品，向相关注册人、使用单位等提出风险控制建议。</w:t>
      </w:r>
    </w:p>
    <w:p w14:paraId="5EFF5B0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w:t>
      </w:r>
      <w:r>
        <w:rPr>
          <w:rStyle w:val="5"/>
          <w:rFonts w:hint="default" w:ascii="΢���ź�" w:hAnsi="΢���ź�" w:eastAsia="΢���ź�" w:cs="΢���ź�"/>
          <w:i w:val="0"/>
          <w:iCs w:val="0"/>
          <w:caps w:val="0"/>
          <w:color w:val="000000"/>
          <w:spacing w:val="0"/>
          <w:sz w:val="24"/>
          <w:szCs w:val="24"/>
          <w:shd w:val="clear" w:fill="FFFFFF"/>
        </w:rPr>
        <w:t>五、医疗器械警戒快讯发布情况</w:t>
      </w:r>
    </w:p>
    <w:p w14:paraId="14561E5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2020年，国家药品不良反应监测中心密切跟踪全球医疗器械监管情况，发布12期《医疗器械警戒快讯》，汇总了美国、英国、澳大利亚以及加拿大发布的包括心脏瓣膜、导尿管、监护仪、胰岛素泵、呼吸机等医疗器械共79条安全性信息，为相关医疗器械在我国的安全性评价和风险控制提供参考借鉴。</w:t>
      </w:r>
    </w:p>
    <w:p w14:paraId="37C95B1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w:t>
      </w:r>
      <w:r>
        <w:rPr>
          <w:rStyle w:val="5"/>
          <w:rFonts w:hint="default" w:ascii="΢���ź�" w:hAnsi="΢���ź�" w:eastAsia="΢���ź�" w:cs="΢���ź�"/>
          <w:i w:val="0"/>
          <w:iCs w:val="0"/>
          <w:caps w:val="0"/>
          <w:color w:val="000000"/>
          <w:spacing w:val="0"/>
          <w:sz w:val="24"/>
          <w:szCs w:val="24"/>
          <w:shd w:val="clear" w:fill="FFFFFF"/>
        </w:rPr>
        <w:t>六、有关情况说明</w:t>
      </w:r>
    </w:p>
    <w:p w14:paraId="2622FD9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一）与大多数国家一样，我国医疗器械不良事件报告通过自发报告系统收集并录入到数据库中，即当怀疑某种事件可能与医疗器械有关时，就可以上报。受报告者主观意识、经验水平、认知程度、甚至所持立场等影响，医疗器械不良事件的报告可能存在片面性和局限性，如伤害程度判读不准确、报告填写不规范、信息不完善等，甚至将与医疗器械无关的事件也按照不良事件上报，因此统计结果与实际发生的医疗器械不良事件情况存在偏差。</w:t>
      </w:r>
    </w:p>
    <w:p w14:paraId="687B491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（二）不同医疗器械的不良事件报告数量受使用数量、风险程度、报告意识等诸多因素影响，因此报告数量的多少不直接代表医疗器械不良事件发生率的高低或者风险严重程度。</w:t>
      </w:r>
    </w:p>
    <w:p w14:paraId="1BB5287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（三）上述统计数据来源于国家医疗器械不良事件监测信息系统中2020年1月1日至2020年12月31日接收的数据，统计中由于四舍五入的进位规则，会出现百分比加和不等于100%的情况。</w:t>
      </w:r>
    </w:p>
    <w:p w14:paraId="42B527B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（四）本年度报告完成时，部分严重伤害医疗器械不良事件报告尚处在调查和评价的过程中，因此统计结果为统计时数据收集情况的真实反映，并不代表医疗器械安全性评价的最终结论。</w:t>
      </w:r>
    </w:p>
    <w:p w14:paraId="2C15575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pPr>
      <w:r>
        <w:rPr>
          <w:rStyle w:val="5"/>
          <w:rFonts w:hint="default" w:ascii="΢���ź�" w:hAnsi="΢���ź�" w:eastAsia="΢���ź�" w:cs="΢���ź�"/>
          <w:i w:val="0"/>
          <w:iCs w:val="0"/>
          <w:caps w:val="0"/>
          <w:color w:val="000000"/>
          <w:spacing w:val="0"/>
          <w:sz w:val="24"/>
          <w:szCs w:val="24"/>
          <w:shd w:val="clear" w:fill="FFFFFF"/>
        </w:rPr>
        <w:t>　　</w:t>
      </w:r>
      <w:r>
        <w:rPr>
          <w:rStyle w:val="5"/>
          <w:rFonts w:hint="default" w:ascii="΢���ź�" w:hAnsi="΢���ź�" w:eastAsia="΢���ź�" w:cs="΢���ź�"/>
          <w:i w:val="0"/>
          <w:iCs w:val="0"/>
          <w:caps w:val="0"/>
          <w:color w:val="000000"/>
          <w:spacing w:val="0"/>
          <w:sz w:val="44"/>
          <w:szCs w:val="44"/>
          <w:shd w:val="clear" w:fill="FFFFFF"/>
        </w:rPr>
        <w:t>小贴士</w:t>
      </w:r>
    </w:p>
    <w:p w14:paraId="1A52D03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w:t>
      </w:r>
      <w:r>
        <w:rPr>
          <w:rStyle w:val="5"/>
          <w:rFonts w:hint="default" w:ascii="΢���ź�" w:hAnsi="΢���ź�" w:eastAsia="΢���ź�" w:cs="΢���ź�"/>
          <w:i w:val="0"/>
          <w:iCs w:val="0"/>
          <w:caps w:val="0"/>
          <w:color w:val="000000"/>
          <w:spacing w:val="0"/>
          <w:sz w:val="24"/>
          <w:szCs w:val="24"/>
          <w:shd w:val="clear" w:fill="FFFFFF"/>
        </w:rPr>
        <w:t>1.医疗器械：</w:t>
      </w:r>
      <w:r>
        <w:rPr>
          <w:rFonts w:hint="default" w:ascii="΢���ź�" w:hAnsi="΢���ź�" w:eastAsia="΢���ź�" w:cs="΢���ź�"/>
          <w:i w:val="0"/>
          <w:iCs w:val="0"/>
          <w:caps w:val="0"/>
          <w:color w:val="000000"/>
          <w:spacing w:val="0"/>
          <w:sz w:val="24"/>
          <w:szCs w:val="24"/>
          <w:shd w:val="clear" w:fill="FFFFFF"/>
        </w:rPr>
        <w:t>是指直接或者间接用于人体的仪器、设备、器具、体外诊断试剂及校准物、材料以及其他类似或者相关的物品，包括所需要的计算机软件；其效用主要通过物理等方式获得，不是通过药理学、免疫学或者代谢的方式获得，或者虽然有这些方式参与但是只起辅助作用；其目的是：</w:t>
      </w:r>
    </w:p>
    <w:p w14:paraId="6BB3F3C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（1）疾病的诊断、预防、监护、治疗或者缓解；</w:t>
      </w:r>
    </w:p>
    <w:p w14:paraId="028D1F8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（2）损伤的诊断、监护、治疗、缓解或者功能补偿；</w:t>
      </w:r>
    </w:p>
    <w:p w14:paraId="3991296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（3）生理结构或者生理过程的检验、替代、调节或者支持；</w:t>
      </w:r>
    </w:p>
    <w:p w14:paraId="518E66B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（4）生命的支持或者维持；</w:t>
      </w:r>
    </w:p>
    <w:p w14:paraId="370F5B8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（5）妊娠控制；</w:t>
      </w:r>
    </w:p>
    <w:p w14:paraId="57B5481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（6）通过对来自人体的样本进行检查，为医疗或者诊断目的提供信息。</w:t>
      </w:r>
    </w:p>
    <w:p w14:paraId="6F9BAE0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w:t>
      </w:r>
      <w:r>
        <w:rPr>
          <w:rStyle w:val="5"/>
          <w:rFonts w:hint="default" w:ascii="΢���ź�" w:hAnsi="΢���ź�" w:eastAsia="΢���ź�" w:cs="΢���ź�"/>
          <w:i w:val="0"/>
          <w:iCs w:val="0"/>
          <w:caps w:val="0"/>
          <w:color w:val="000000"/>
          <w:spacing w:val="0"/>
          <w:sz w:val="24"/>
          <w:szCs w:val="24"/>
          <w:shd w:val="clear" w:fill="FFFFFF"/>
        </w:rPr>
        <w:t>2.医疗器械不良事件监测：</w:t>
      </w:r>
      <w:r>
        <w:rPr>
          <w:rFonts w:hint="default" w:ascii="΢���ź�" w:hAnsi="΢���ź�" w:eastAsia="΢���ź�" w:cs="΢���ź�"/>
          <w:i w:val="0"/>
          <w:iCs w:val="0"/>
          <w:caps w:val="0"/>
          <w:color w:val="000000"/>
          <w:spacing w:val="0"/>
          <w:sz w:val="24"/>
          <w:szCs w:val="24"/>
          <w:shd w:val="clear" w:fill="FFFFFF"/>
        </w:rPr>
        <w:t>是指对医疗器械不良事件的收集、报告、调查、分析、评价和控制的过程。</w:t>
      </w:r>
    </w:p>
    <w:p w14:paraId="0BDCEC8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w:t>
      </w:r>
      <w:r>
        <w:rPr>
          <w:rStyle w:val="5"/>
          <w:rFonts w:hint="default" w:ascii="΢���ź�" w:hAnsi="΢���ź�" w:eastAsia="΢���ź�" w:cs="΢���ź�"/>
          <w:i w:val="0"/>
          <w:iCs w:val="0"/>
          <w:caps w:val="0"/>
          <w:color w:val="000000"/>
          <w:spacing w:val="0"/>
          <w:sz w:val="24"/>
          <w:szCs w:val="24"/>
          <w:shd w:val="clear" w:fill="FFFFFF"/>
        </w:rPr>
        <w:t>3.医疗器械不良事件：</w:t>
      </w:r>
      <w:r>
        <w:rPr>
          <w:rFonts w:hint="default" w:ascii="΢���ź�" w:hAnsi="΢���ź�" w:eastAsia="΢���ź�" w:cs="΢���ź�"/>
          <w:i w:val="0"/>
          <w:iCs w:val="0"/>
          <w:caps w:val="0"/>
          <w:color w:val="000000"/>
          <w:spacing w:val="0"/>
          <w:sz w:val="24"/>
          <w:szCs w:val="24"/>
          <w:shd w:val="clear" w:fill="FFFFFF"/>
        </w:rPr>
        <w:t>是指已上市的医疗器械,在正常使用情况下发生的、导致或者可能导致人体伤害的各种有害事件。</w:t>
      </w:r>
    </w:p>
    <w:p w14:paraId="0FE692F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w:t>
      </w:r>
      <w:r>
        <w:rPr>
          <w:rStyle w:val="5"/>
          <w:rFonts w:hint="default" w:ascii="΢���ź�" w:hAnsi="΢���ź�" w:eastAsia="΢���ź�" w:cs="΢���ź�"/>
          <w:i w:val="0"/>
          <w:iCs w:val="0"/>
          <w:caps w:val="0"/>
          <w:color w:val="000000"/>
          <w:spacing w:val="0"/>
          <w:sz w:val="24"/>
          <w:szCs w:val="24"/>
          <w:shd w:val="clear" w:fill="FFFFFF"/>
        </w:rPr>
        <w:t>4.死亡医疗器械不良事件报告：</w:t>
      </w:r>
      <w:r>
        <w:rPr>
          <w:rFonts w:hint="default" w:ascii="΢���ź�" w:hAnsi="΢���ź�" w:eastAsia="΢���ź�" w:cs="΢���ź�"/>
          <w:i w:val="0"/>
          <w:iCs w:val="0"/>
          <w:caps w:val="0"/>
          <w:color w:val="000000"/>
          <w:spacing w:val="0"/>
          <w:sz w:val="24"/>
          <w:szCs w:val="24"/>
          <w:shd w:val="clear" w:fill="FFFFFF"/>
        </w:rPr>
        <w:t>指患者最终结果为死亡的医疗器械不良事件报告。不表示患者的死亡与使用医疗器械有明确的关联性。</w:t>
      </w:r>
    </w:p>
    <w:p w14:paraId="5E48E87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w:t>
      </w:r>
      <w:r>
        <w:rPr>
          <w:rStyle w:val="5"/>
          <w:rFonts w:hint="default" w:ascii="΢���ź�" w:hAnsi="΢���ź�" w:eastAsia="΢���ź�" w:cs="΢���ź�"/>
          <w:i w:val="0"/>
          <w:iCs w:val="0"/>
          <w:caps w:val="0"/>
          <w:color w:val="000000"/>
          <w:spacing w:val="0"/>
          <w:sz w:val="24"/>
          <w:szCs w:val="24"/>
          <w:shd w:val="clear" w:fill="FFFFFF"/>
        </w:rPr>
        <w:t>5.医疗器械不良事件报告原则：</w:t>
      </w:r>
      <w:r>
        <w:rPr>
          <w:rFonts w:hint="default" w:ascii="΢���ź�" w:hAnsi="΢���ź�" w:eastAsia="΢���ź�" w:cs="΢���ź�"/>
          <w:i w:val="0"/>
          <w:iCs w:val="0"/>
          <w:caps w:val="0"/>
          <w:color w:val="000000"/>
          <w:spacing w:val="0"/>
          <w:sz w:val="24"/>
          <w:szCs w:val="24"/>
          <w:shd w:val="clear" w:fill="FFFFFF"/>
        </w:rPr>
        <w:t>报告医疗器械不良事件应当遵循可疑即报的原则，即怀疑某事件为医疗器械不良事件时，均可以作为医疗器械不良事件进行报告。报告内容应当真实、完整、准确。</w:t>
      </w:r>
    </w:p>
    <w:p w14:paraId="5EAE4B7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导致或者可能导致严重伤害或者死亡的医疗器械不良事件应当报告；创新医疗器械在首个注册周期内，应当报告该产品的所有医疗器械不良事件。</w:t>
      </w:r>
    </w:p>
    <w:p w14:paraId="240C206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ź�" w:hAnsi="΢���ź�" w:eastAsia="΢���ź�" w:cs="΢���ź�"/>
          <w:i w:val="0"/>
          <w:iCs w:val="0"/>
          <w:caps w:val="0"/>
          <w:color w:val="000000"/>
          <w:spacing w:val="0"/>
          <w:sz w:val="24"/>
          <w:szCs w:val="24"/>
          <w:shd w:val="clear" w:fill="FFFFFF"/>
        </w:rPr>
        <w:t>　　</w:t>
      </w:r>
      <w:r>
        <w:rPr>
          <w:rStyle w:val="5"/>
          <w:rFonts w:hint="default" w:ascii="΢���ź�" w:hAnsi="΢���ź�" w:eastAsia="΢���ź�" w:cs="΢���ź�"/>
          <w:i w:val="0"/>
          <w:iCs w:val="0"/>
          <w:caps w:val="0"/>
          <w:color w:val="000000"/>
          <w:spacing w:val="0"/>
          <w:sz w:val="24"/>
          <w:szCs w:val="24"/>
          <w:shd w:val="clear" w:fill="FFFFFF"/>
        </w:rPr>
        <w:t>6.国家医疗器械不良事件监测信息系统注册要求：</w:t>
      </w:r>
      <w:r>
        <w:rPr>
          <w:rFonts w:hint="default" w:ascii="΢���ź�" w:hAnsi="΢���ź�" w:eastAsia="΢���ź�" w:cs="΢���ź�"/>
          <w:i w:val="0"/>
          <w:iCs w:val="0"/>
          <w:caps w:val="0"/>
          <w:color w:val="000000"/>
          <w:spacing w:val="0"/>
          <w:sz w:val="24"/>
          <w:szCs w:val="24"/>
          <w:shd w:val="clear" w:fill="FFFFFF"/>
        </w:rPr>
        <w:t>注册人、经营企业和二级以上医疗机构应当注册为国家医疗器械不良事件监测信息系统用户，主动维护其用户信息，报告医疗器械不良事件。注册人应当持续跟踪和处理监测信息；产品注册信息发生变化的，应当在系统中立即更新。鼓励其他使用单位注册为国家医疗器械不良事件监测信息系统用户，报告医疗器械不良事件相关信息。</w:t>
      </w:r>
    </w:p>
    <w:p w14:paraId="365390A2"/>
    <w:p w14:paraId="2C6B467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ind w:left="0" w:right="0" w:firstLine="0"/>
        <w:jc w:val="center"/>
        <w:rPr>
          <w:rFonts w:hint="eastAsia" w:eastAsia="宋体"/>
          <w:lang w:eastAsia="zh-CN"/>
        </w:rPr>
      </w:pPr>
    </w:p>
    <w:p w14:paraId="6A00973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ind w:left="0" w:right="0" w:firstLine="0"/>
        <w:jc w:val="center"/>
        <w:rPr>
          <w:rFonts w:hint="eastAsia" w:eastAsia="宋体"/>
          <w:lang w:eastAsia="zh-CN"/>
        </w:rPr>
      </w:pPr>
    </w:p>
    <w:p w14:paraId="3467751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ind w:left="0" w:right="0" w:firstLine="0"/>
        <w:jc w:val="center"/>
        <w:rPr>
          <w:rFonts w:hint="eastAsia" w:eastAsia="宋体"/>
          <w:lang w:eastAsia="zh-CN"/>
        </w:rPr>
      </w:pPr>
      <w:r>
        <w:rPr>
          <w:rFonts w:hint="eastAsia" w:eastAsia="宋体"/>
          <w:lang w:eastAsia="zh-CN"/>
        </w:rPr>
        <w:drawing>
          <wp:inline distT="0" distB="0" distL="114300" distR="114300">
            <wp:extent cx="5210175" cy="7343775"/>
            <wp:effectExtent l="0" t="0" r="9525" b="9525"/>
            <wp:docPr id="14" name="图片 14" descr="2"/>
            <wp:cNvGraphicFramePr/>
            <a:graphic xmlns:a="http://schemas.openxmlformats.org/drawingml/2006/main">
              <a:graphicData uri="http://schemas.openxmlformats.org/drawingml/2006/picture">
                <pic:pic xmlns:pic="http://schemas.openxmlformats.org/drawingml/2006/picture">
                  <pic:nvPicPr>
                    <pic:cNvPr id="14" name="图片 14" descr="2"/>
                    <pic:cNvPicPr/>
                  </pic:nvPicPr>
                  <pic:blipFill>
                    <a:blip r:embed="rId17"/>
                    <a:stretch>
                      <a:fillRect/>
                    </a:stretch>
                  </pic:blipFill>
                  <pic:spPr>
                    <a:xfrm>
                      <a:off x="0" y="0"/>
                      <a:ext cx="5210175" cy="734377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ź�">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E1MzEwZjZiODhmMWUzYmYzNDg1OWIxNDdiYmRmZTUifQ=="/>
  </w:docVars>
  <w:rsids>
    <w:rsidRoot w:val="00000000"/>
    <w:rsid w:val="672179D1"/>
    <w:rsid w:val="6B0132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NUL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2423</Words>
  <Characters>2806</Characters>
  <Lines>0</Lines>
  <Paragraphs>0</Paragraphs>
  <TotalTime>0</TotalTime>
  <ScaleCrop>false</ScaleCrop>
  <LinksUpToDate>false</LinksUpToDate>
  <CharactersWithSpaces>2925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2023-04-11T13:20:00Z</dcterms:created>
  <dc:creator>78533</dc:creator>
  <cp:lastModifiedBy>太极箫客</cp:lastModifiedBy>
  <dcterms:modified xsi:type="dcterms:W3CDTF">2025-08-14T06:46:26Z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422C88A531F64677A71C7E9728FB7D23</vt:lpwstr>
  </property>
  <property fmtid="{D5CDD505-2E9C-101B-9397-08002B2CF9AE}" pid="4" name="KSOTemplateDocerSaveRecord">
    <vt:lpwstr>eyJoZGlkIjoiMDJiMzI3ODBiNTFmMWRjNDUyMjM1ZmZjODY5NDc2MWMiLCJ1c2VySWQiOiI0NTQ4Nzg1NzAifQ==</vt:lpwstr>
  </property>
</Properties>
</file>