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DAD73">
      <w:pPr>
        <w:pBdr>
          <w:bottom w:val="single" w:color="auto" w:sz="4" w:space="1"/>
        </w:pBdr>
        <w:topLinePunct/>
        <w:adjustRightInd w:val="0"/>
        <w:snapToGrid w:val="0"/>
        <w:spacing w:after="224" w:afterLines="75" w:line="288" w:lineRule="auto"/>
        <w:jc w:val="center"/>
        <w:rPr>
          <w:rFonts w:ascii="Arial" w:hAnsi="Arial" w:eastAsia="宋体" w:cs="Arial"/>
          <w:snapToGrid w:val="0"/>
          <w:sz w:val="52"/>
          <w:szCs w:val="56"/>
          <w:lang w:eastAsia="zh-CN"/>
        </w:rPr>
      </w:pPr>
      <w:bookmarkStart w:id="0" w:name="OLE_LINK59"/>
      <w:bookmarkStart w:id="1" w:name="OLE_LINK60"/>
      <w:bookmarkStart w:id="78" w:name="_GoBack"/>
      <w:bookmarkEnd w:id="78"/>
      <w:r>
        <w:rPr>
          <w:rFonts w:ascii="Arial" w:hAnsi="Arial" w:eastAsia="宋体" w:cs="Arial"/>
          <w:b/>
          <w:snapToGrid w:val="0"/>
          <w:sz w:val="52"/>
          <w:lang w:eastAsia="zh-CN"/>
        </w:rPr>
        <w:t>固态X射线成像器械</w:t>
      </w:r>
      <w:bookmarkEnd w:id="0"/>
      <w:bookmarkEnd w:id="1"/>
      <w:r>
        <w:rPr>
          <w:rFonts w:ascii="Arial" w:hAnsi="Arial" w:eastAsia="宋体" w:cs="Arial"/>
          <w:b/>
          <w:snapToGrid w:val="0"/>
          <w:sz w:val="52"/>
          <w:lang w:eastAsia="zh-CN"/>
        </w:rPr>
        <w:t>510（k）提交指南</w:t>
      </w:r>
    </w:p>
    <w:p w14:paraId="440796BF">
      <w:pPr>
        <w:topLinePunct/>
        <w:adjustRightInd w:val="0"/>
        <w:snapToGrid w:val="0"/>
        <w:spacing w:after="224" w:afterLines="75" w:line="288" w:lineRule="auto"/>
        <w:jc w:val="center"/>
        <w:rPr>
          <w:rFonts w:ascii="Arial" w:hAnsi="Arial" w:eastAsia="宋体" w:cs="Arial"/>
          <w:snapToGrid w:val="0"/>
          <w:sz w:val="52"/>
          <w:szCs w:val="56"/>
          <w:lang w:eastAsia="zh-CN"/>
        </w:rPr>
      </w:pPr>
      <w:r>
        <w:rPr>
          <w:rFonts w:ascii="Arial" w:hAnsi="Arial" w:eastAsia="宋体" w:cs="Arial"/>
          <w:b/>
          <w:snapToGrid w:val="0"/>
          <w:sz w:val="52"/>
          <w:lang w:eastAsia="zh-CN"/>
        </w:rPr>
        <w:t>行业及食品药品监督管理局工作人员指南</w:t>
      </w:r>
    </w:p>
    <w:p w14:paraId="30A738C3">
      <w:pPr>
        <w:pStyle w:val="17"/>
        <w:topLinePunct/>
        <w:adjustRightInd w:val="0"/>
        <w:snapToGrid w:val="0"/>
        <w:spacing w:after="224" w:afterLines="75" w:line="288" w:lineRule="auto"/>
        <w:ind w:left="0"/>
        <w:jc w:val="center"/>
        <w:outlineLvl w:val="9"/>
        <w:rPr>
          <w:rFonts w:ascii="Arial" w:hAnsi="Arial" w:eastAsia="宋体" w:cs="Arial"/>
          <w:snapToGrid w:val="0"/>
          <w:sz w:val="24"/>
          <w:lang w:eastAsia="zh-CN"/>
        </w:rPr>
      </w:pPr>
    </w:p>
    <w:p w14:paraId="4B381906">
      <w:pPr>
        <w:pStyle w:val="17"/>
        <w:topLinePunct/>
        <w:adjustRightInd w:val="0"/>
        <w:snapToGrid w:val="0"/>
        <w:spacing w:after="224" w:afterLines="75" w:line="288" w:lineRule="auto"/>
        <w:ind w:left="0"/>
        <w:jc w:val="center"/>
        <w:outlineLvl w:val="9"/>
        <w:rPr>
          <w:rFonts w:ascii="Arial" w:hAnsi="Arial" w:eastAsia="宋体" w:cs="Arial"/>
          <w:b w:val="0"/>
          <w:bCs w:val="0"/>
          <w:snapToGrid w:val="0"/>
          <w:sz w:val="24"/>
          <w:lang w:eastAsia="zh-CN"/>
        </w:rPr>
      </w:pPr>
      <w:r>
        <w:rPr>
          <w:rFonts w:ascii="Arial" w:hAnsi="Arial" w:eastAsia="宋体" w:cs="Arial"/>
          <w:snapToGrid w:val="0"/>
          <w:sz w:val="24"/>
          <w:lang w:eastAsia="zh-CN"/>
        </w:rPr>
        <w:t>文件发布日期：2016年9月1日</w:t>
      </w:r>
    </w:p>
    <w:p w14:paraId="7A31567E">
      <w:pPr>
        <w:topLinePunct/>
        <w:adjustRightInd w:val="0"/>
        <w:snapToGrid w:val="0"/>
        <w:spacing w:after="224" w:afterLines="75" w:line="288" w:lineRule="auto"/>
        <w:jc w:val="center"/>
        <w:rPr>
          <w:rFonts w:ascii="Arial" w:hAnsi="Arial" w:eastAsia="宋体" w:cs="Arial"/>
          <w:b/>
          <w:bCs/>
          <w:snapToGrid w:val="0"/>
          <w:sz w:val="24"/>
          <w:szCs w:val="28"/>
          <w:lang w:eastAsia="zh-CN"/>
        </w:rPr>
      </w:pPr>
    </w:p>
    <w:p w14:paraId="2BACF460">
      <w:pPr>
        <w:topLinePunct/>
        <w:adjustRightInd w:val="0"/>
        <w:snapToGrid w:val="0"/>
        <w:spacing w:after="224" w:afterLines="75" w:line="288" w:lineRule="auto"/>
        <w:jc w:val="center"/>
        <w:rPr>
          <w:rFonts w:ascii="Arial" w:hAnsi="Arial" w:eastAsia="宋体" w:cs="Arial"/>
          <w:snapToGrid w:val="0"/>
          <w:sz w:val="24"/>
          <w:szCs w:val="28"/>
          <w:lang w:eastAsia="zh-CN"/>
        </w:rPr>
      </w:pPr>
      <w:r>
        <w:rPr>
          <w:rFonts w:ascii="Arial" w:hAnsi="Arial" w:eastAsia="宋体" w:cs="Arial"/>
          <w:b/>
          <w:bCs/>
          <w:snapToGrid w:val="0"/>
          <w:sz w:val="24"/>
          <w:szCs w:val="28"/>
          <w:lang w:eastAsia="zh-CN"/>
        </w:rPr>
        <w:t>本文件取代1999年8月6日发布的</w:t>
      </w:r>
      <w:r>
        <w:rPr>
          <w:rFonts w:ascii="宋体" w:hAnsi="宋体" w:eastAsia="宋体" w:cs="Arial"/>
          <w:b/>
          <w:bCs/>
          <w:snapToGrid w:val="0"/>
          <w:sz w:val="24"/>
          <w:szCs w:val="28"/>
          <w:lang w:eastAsia="zh-CN"/>
        </w:rPr>
        <w:t>“</w:t>
      </w:r>
      <w:r>
        <w:rPr>
          <w:rFonts w:ascii="Arial" w:hAnsi="Arial" w:eastAsia="宋体" w:cs="Arial"/>
          <w:b/>
          <w:bCs/>
          <w:snapToGrid w:val="0"/>
          <w:sz w:val="24"/>
          <w:szCs w:val="28"/>
          <w:lang w:eastAsia="zh-CN"/>
        </w:rPr>
        <w:t>固态X射线成像器械</w:t>
      </w:r>
      <w:r>
        <w:rPr>
          <w:rFonts w:ascii="宋体" w:hAnsi="宋体" w:eastAsia="宋体" w:cs="Arial"/>
          <w:b/>
          <w:bCs/>
          <w:snapToGrid w:val="0"/>
          <w:sz w:val="24"/>
          <w:szCs w:val="28"/>
          <w:lang w:eastAsia="zh-CN"/>
        </w:rPr>
        <w:t>”</w:t>
      </w:r>
      <w:r>
        <w:rPr>
          <w:rFonts w:ascii="Arial" w:hAnsi="Arial" w:eastAsia="宋体" w:cs="Arial"/>
          <w:b/>
          <w:bCs/>
          <w:snapToGrid w:val="0"/>
          <w:sz w:val="24"/>
          <w:szCs w:val="28"/>
          <w:lang w:eastAsia="zh-CN"/>
        </w:rPr>
        <w:t>510（k）提交指南：。</w:t>
      </w:r>
    </w:p>
    <w:p w14:paraId="0F9A43E9">
      <w:pPr>
        <w:pStyle w:val="2"/>
        <w:topLinePunct/>
        <w:adjustRightInd w:val="0"/>
        <w:snapToGrid w:val="0"/>
        <w:spacing w:after="224" w:afterLines="75" w:line="288" w:lineRule="auto"/>
        <w:ind w:left="0" w:firstLine="0"/>
        <w:jc w:val="both"/>
        <w:rPr>
          <w:rFonts w:ascii="Arial" w:hAnsi="Arial" w:eastAsia="宋体" w:cs="Arial"/>
          <w:snapToGrid w:val="0"/>
          <w:lang w:eastAsia="zh-CN"/>
        </w:rPr>
      </w:pPr>
    </w:p>
    <w:p w14:paraId="5FDE9DB4">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关于本文件的问题，联系放射卫生科，电话301-796- 5790和Yuan Fang（OIR），电话301-796-2676或邮箱</w:t>
      </w:r>
      <w:r>
        <w:fldChar w:fldCharType="begin"/>
      </w:r>
      <w:r>
        <w:rPr>
          <w:lang w:eastAsia="zh-CN"/>
        </w:rPr>
        <w:instrText xml:space="preserve"> HYPERLINK "mailto:%20Yuan.Fang@fda.hhs.gov" \h </w:instrText>
      </w:r>
      <w:r>
        <w:fldChar w:fldCharType="separate"/>
      </w:r>
      <w:r>
        <w:rPr>
          <w:rFonts w:ascii="Arial" w:hAnsi="Arial" w:eastAsia="宋体" w:cs="Arial"/>
          <w:snapToGrid w:val="0"/>
          <w:lang w:eastAsia="zh-CN"/>
        </w:rPr>
        <w:t>Yuan.Fang@fda.hhs.gov</w:t>
      </w:r>
      <w:r>
        <w:rPr>
          <w:rFonts w:ascii="Arial" w:hAnsi="Arial" w:eastAsia="宋体" w:cs="Arial"/>
          <w:snapToGrid w:val="0"/>
          <w:lang w:eastAsia="zh-CN"/>
        </w:rPr>
        <w:fldChar w:fldCharType="end"/>
      </w:r>
      <w:r>
        <w:rPr>
          <w:rFonts w:ascii="Arial" w:hAnsi="Arial" w:eastAsia="宋体" w:cs="Arial"/>
          <w:snapToGrid w:val="0"/>
          <w:lang w:eastAsia="zh-CN"/>
        </w:rPr>
        <w:t>。</w:t>
      </w:r>
    </w:p>
    <w:p w14:paraId="753AFC75">
      <w:pPr>
        <w:topLinePunct/>
        <w:adjustRightInd w:val="0"/>
        <w:snapToGrid w:val="0"/>
        <w:spacing w:after="224" w:afterLines="75" w:line="288" w:lineRule="auto"/>
        <w:jc w:val="both"/>
        <w:rPr>
          <w:rFonts w:ascii="Arial" w:hAnsi="Arial" w:eastAsia="宋体" w:cs="Arial"/>
          <w:b/>
          <w:snapToGrid w:val="0"/>
          <w:sz w:val="24"/>
          <w:lang w:eastAsia="zh-CN"/>
        </w:rPr>
      </w:pPr>
    </w:p>
    <w:p w14:paraId="6DA8DE3B">
      <w:pPr>
        <w:topLinePunct/>
        <w:adjustRightInd w:val="0"/>
        <w:snapToGrid w:val="0"/>
        <w:spacing w:after="224" w:afterLines="75" w:line="288" w:lineRule="auto"/>
        <w:jc w:val="both"/>
        <w:rPr>
          <w:rFonts w:ascii="Arial" w:hAnsi="Arial" w:eastAsia="宋体" w:cs="Arial"/>
          <w:b/>
          <w:snapToGrid w:val="0"/>
          <w:sz w:val="24"/>
          <w:lang w:eastAsia="zh-CN"/>
        </w:rPr>
      </w:pPr>
    </w:p>
    <w:p w14:paraId="1249D244">
      <w:pPr>
        <w:topLinePunct/>
        <w:adjustRightInd w:val="0"/>
        <w:snapToGrid w:val="0"/>
        <w:spacing w:after="224" w:afterLines="75" w:line="288" w:lineRule="auto"/>
        <w:jc w:val="both"/>
        <w:rPr>
          <w:rFonts w:ascii="Arial" w:hAnsi="Arial" w:eastAsia="宋体" w:cs="Arial"/>
          <w:b/>
          <w:snapToGrid w:val="0"/>
          <w:sz w:val="24"/>
          <w:lang w:eastAsia="zh-CN"/>
        </w:rPr>
      </w:pPr>
      <w:r>
        <w:rPr>
          <w:rFonts w:ascii="Arial" w:hAnsi="Arial" w:eastAsia="宋体" w:cs="Arial"/>
          <w:sz w:val="24"/>
          <w:lang w:eastAsia="zh-CN"/>
        </w:rPr>
        <w:drawing>
          <wp:anchor distT="0" distB="0" distL="114300" distR="114300" simplePos="0" relativeHeight="251659264" behindDoc="0" locked="0" layoutInCell="1" allowOverlap="1">
            <wp:simplePos x="0" y="0"/>
            <wp:positionH relativeFrom="page">
              <wp:posOffset>975360</wp:posOffset>
            </wp:positionH>
            <wp:positionV relativeFrom="paragraph">
              <wp:posOffset>274320</wp:posOffset>
            </wp:positionV>
            <wp:extent cx="880745" cy="984250"/>
            <wp:effectExtent l="0" t="0" r="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p>
    <w:p w14:paraId="3EB475CE">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美国卫生和人类服务署</w:t>
      </w:r>
    </w:p>
    <w:p w14:paraId="77111826">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食品药品监督管理局</w:t>
      </w:r>
    </w:p>
    <w:p w14:paraId="2D0BE9B2">
      <w:pPr>
        <w:topLinePunct/>
        <w:adjustRightInd w:val="0"/>
        <w:snapToGrid w:val="0"/>
        <w:spacing w:line="288" w:lineRule="auto"/>
        <w:jc w:val="right"/>
        <w:rPr>
          <w:rFonts w:ascii="Arial" w:hAnsi="Arial" w:eastAsia="宋体" w:cs="Arial"/>
          <w:b/>
          <w:snapToGrid w:val="0"/>
          <w:sz w:val="24"/>
          <w:lang w:eastAsia="zh-CN"/>
        </w:rPr>
      </w:pPr>
      <w:bookmarkStart w:id="2" w:name="OLE_LINK270"/>
      <w:bookmarkStart w:id="3" w:name="OLE_LINK269"/>
      <w:r>
        <w:rPr>
          <w:rFonts w:ascii="Arial" w:hAnsi="Arial" w:eastAsia="宋体" w:cs="Arial"/>
          <w:b/>
          <w:snapToGrid w:val="0"/>
          <w:sz w:val="24"/>
          <w:lang w:eastAsia="zh-CN"/>
        </w:rPr>
        <w:t>器械和放射卫生中心</w:t>
      </w:r>
      <w:bookmarkEnd w:id="2"/>
      <w:bookmarkEnd w:id="3"/>
    </w:p>
    <w:p w14:paraId="1471E098">
      <w:pPr>
        <w:topLinePunct/>
        <w:adjustRightInd w:val="0"/>
        <w:snapToGrid w:val="0"/>
        <w:spacing w:line="288" w:lineRule="auto"/>
        <w:jc w:val="right"/>
        <w:rPr>
          <w:rFonts w:ascii="Arial" w:hAnsi="Arial" w:eastAsia="宋体" w:cs="Arial"/>
          <w:snapToGrid w:val="0"/>
          <w:sz w:val="24"/>
          <w:szCs w:val="24"/>
          <w:lang w:eastAsia="zh-CN"/>
        </w:rPr>
      </w:pPr>
    </w:p>
    <w:p w14:paraId="33ED1CE8">
      <w:pPr>
        <w:topLinePunct/>
        <w:adjustRightInd w:val="0"/>
        <w:snapToGrid w:val="0"/>
        <w:spacing w:line="288" w:lineRule="auto"/>
        <w:jc w:val="right"/>
        <w:rPr>
          <w:rFonts w:ascii="Arial" w:hAnsi="Arial" w:eastAsia="宋体" w:cs="Arial"/>
          <w:b/>
          <w:snapToGrid w:val="0"/>
          <w:sz w:val="24"/>
          <w:lang w:eastAsia="zh-CN"/>
        </w:rPr>
      </w:pPr>
      <w:r>
        <w:rPr>
          <w:rFonts w:ascii="Arial" w:hAnsi="Arial" w:eastAsia="宋体" w:cs="Arial"/>
          <w:b/>
          <w:snapToGrid w:val="0"/>
          <w:sz w:val="24"/>
          <w:lang w:eastAsia="zh-CN"/>
        </w:rPr>
        <w:t>体外诊断学和放射卫生办公室（OIR）</w:t>
      </w:r>
    </w:p>
    <w:p w14:paraId="5C041B63">
      <w:pPr>
        <w:topLinePunct/>
        <w:adjustRightInd w:val="0"/>
        <w:snapToGrid w:val="0"/>
        <w:spacing w:line="288" w:lineRule="auto"/>
        <w:jc w:val="right"/>
        <w:rPr>
          <w:rFonts w:ascii="Arial" w:hAnsi="Arial" w:eastAsia="宋体" w:cs="Arial"/>
          <w:snapToGrid w:val="0"/>
          <w:sz w:val="24"/>
          <w:szCs w:val="24"/>
          <w:lang w:eastAsia="zh-CN"/>
        </w:rPr>
      </w:pPr>
      <w:r>
        <w:rPr>
          <w:rFonts w:ascii="Arial" w:hAnsi="Arial" w:eastAsia="宋体" w:cs="Arial"/>
          <w:b/>
          <w:snapToGrid w:val="0"/>
          <w:sz w:val="24"/>
          <w:lang w:eastAsia="zh-CN"/>
        </w:rPr>
        <w:t>放射卫生科</w:t>
      </w:r>
    </w:p>
    <w:p w14:paraId="4A2CFF68">
      <w:pPr>
        <w:topLinePunct/>
        <w:adjustRightInd w:val="0"/>
        <w:snapToGrid w:val="0"/>
        <w:spacing w:after="224" w:afterLines="75" w:line="288" w:lineRule="auto"/>
        <w:jc w:val="center"/>
        <w:rPr>
          <w:rFonts w:ascii="Arial" w:hAnsi="Arial" w:eastAsia="宋体" w:cs="Arial"/>
          <w:snapToGrid w:val="0"/>
          <w:sz w:val="48"/>
          <w:szCs w:val="48"/>
          <w:lang w:eastAsia="zh-CN"/>
        </w:rPr>
      </w:pPr>
      <w:r>
        <w:rPr>
          <w:rFonts w:ascii="Arial" w:hAnsi="Arial" w:eastAsia="宋体" w:cs="Arial"/>
          <w:snapToGrid w:val="0"/>
          <w:sz w:val="24"/>
          <w:szCs w:val="24"/>
          <w:lang w:eastAsia="zh-CN"/>
        </w:rPr>
        <w:br w:type="page"/>
      </w:r>
      <w:r>
        <w:rPr>
          <w:rFonts w:ascii="Arial" w:hAnsi="Arial" w:eastAsia="宋体" w:cs="Arial"/>
          <w:b/>
          <w:snapToGrid w:val="0"/>
          <w:sz w:val="48"/>
          <w:szCs w:val="48"/>
          <w:lang w:eastAsia="zh-CN"/>
        </w:rPr>
        <w:t>前言</w:t>
      </w:r>
    </w:p>
    <w:p w14:paraId="0FD9AAED">
      <w:pPr>
        <w:pStyle w:val="16"/>
        <w:topLinePunct/>
        <w:adjustRightInd w:val="0"/>
        <w:snapToGrid w:val="0"/>
        <w:spacing w:after="224" w:afterLines="75" w:line="288" w:lineRule="auto"/>
        <w:ind w:left="0"/>
        <w:jc w:val="both"/>
        <w:outlineLvl w:val="9"/>
        <w:rPr>
          <w:rFonts w:ascii="Arial" w:hAnsi="Arial" w:eastAsia="宋体" w:cs="Arial"/>
          <w:b w:val="0"/>
          <w:bCs w:val="0"/>
          <w:snapToGrid w:val="0"/>
          <w:sz w:val="32"/>
          <w:szCs w:val="32"/>
          <w:lang w:eastAsia="zh-CN"/>
        </w:rPr>
      </w:pPr>
      <w:r>
        <w:rPr>
          <w:rFonts w:ascii="Arial" w:hAnsi="Arial" w:eastAsia="宋体" w:cs="Arial"/>
          <w:snapToGrid w:val="0"/>
          <w:sz w:val="32"/>
          <w:szCs w:val="32"/>
          <w:lang w:eastAsia="zh-CN"/>
        </w:rPr>
        <w:t>公共评论</w:t>
      </w:r>
    </w:p>
    <w:p w14:paraId="5DD8259C">
      <w:pPr>
        <w:pStyle w:val="2"/>
        <w:wordWrap w:val="0"/>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eastAsia="宋体" w:cs="Arial"/>
          <w:snapToGrid w:val="0"/>
          <w:color w:val="0000FF"/>
          <w:u w:val="single" w:color="0000FF"/>
        </w:rPr>
        <w:t>http: //www.regulations.gov</w:t>
      </w:r>
      <w:r>
        <w:rPr>
          <w:rFonts w:ascii="Arial" w:hAnsi="Arial" w:eastAsia="宋体" w:cs="Arial"/>
          <w:snapToGrid w:val="0"/>
          <w:color w:val="0000FF"/>
          <w:u w:val="single" w:color="0000FF"/>
        </w:rPr>
        <w:fldChar w:fldCharType="end"/>
      </w:r>
      <w:r>
        <w:rPr>
          <w:rFonts w:ascii="Arial" w:hAnsi="Arial" w:eastAsia="宋体" w:cs="Arial"/>
          <w:snapToGrid w:val="0"/>
          <w:lang w:eastAsia="zh-CN"/>
        </w:rPr>
        <w:t>。书面评论可提交至食品药品监督管理局，案卷管理科（5630 Fishers Lane, Room 1061,（HFA-305）, Rockville, MD，20852）。所有评论应注明案卷编号FDA-1997-N-0389。本指南原来的案卷编号为97N-0390。由于FDA在2008年1月过渡至新案卷系统（regulations.gov），因此其案卷编号改为FDA-1997-N-0389。再次进行文件修订或更新之前，本机构可能不会针对评论采取行动。</w:t>
      </w:r>
    </w:p>
    <w:p w14:paraId="5CD5024E">
      <w:pPr>
        <w:pStyle w:val="16"/>
        <w:topLinePunct/>
        <w:adjustRightInd w:val="0"/>
        <w:snapToGrid w:val="0"/>
        <w:spacing w:after="224" w:afterLines="75" w:line="288" w:lineRule="auto"/>
        <w:ind w:left="0"/>
        <w:jc w:val="both"/>
        <w:outlineLvl w:val="9"/>
        <w:rPr>
          <w:rFonts w:ascii="Arial" w:hAnsi="Arial" w:eastAsia="宋体" w:cs="Arial"/>
          <w:b w:val="0"/>
          <w:bCs w:val="0"/>
          <w:snapToGrid w:val="0"/>
          <w:sz w:val="32"/>
          <w:szCs w:val="32"/>
          <w:lang w:eastAsia="zh-CN"/>
        </w:rPr>
      </w:pPr>
      <w:r>
        <w:rPr>
          <w:rFonts w:ascii="Arial" w:hAnsi="Arial" w:eastAsia="宋体" w:cs="Arial"/>
          <w:snapToGrid w:val="0"/>
          <w:sz w:val="32"/>
          <w:szCs w:val="32"/>
          <w:lang w:eastAsia="zh-CN"/>
        </w:rPr>
        <w:t>其他副本</w:t>
      </w:r>
    </w:p>
    <w:p w14:paraId="247138C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其他副本可从互联网获得。您还可以向</w:t>
      </w:r>
      <w:r>
        <w:fldChar w:fldCharType="begin"/>
      </w:r>
      <w:r>
        <w:rPr>
          <w:lang w:eastAsia="zh-CN"/>
        </w:rPr>
        <w:instrText xml:space="preserve"> HYPERLINK "mailto:CDRH-Guidance@fda.hhs.gov" \h </w:instrText>
      </w:r>
      <w:r>
        <w:fldChar w:fldCharType="separate"/>
      </w:r>
      <w:r>
        <w:rPr>
          <w:rFonts w:ascii="Arial" w:hAnsi="Arial" w:eastAsia="宋体" w:cs="Arial"/>
          <w:snapToGrid w:val="0"/>
          <w:u w:val="single" w:color="000000"/>
          <w:lang w:eastAsia="zh-CN"/>
        </w:rPr>
        <w:t xml:space="preserve">CDRH-Guidance@fda.hhs.gov </w:t>
      </w:r>
      <w:r>
        <w:rPr>
          <w:rFonts w:ascii="Arial" w:hAnsi="Arial" w:eastAsia="宋体" w:cs="Arial"/>
          <w:snapToGrid w:val="0"/>
          <w:u w:val="single" w:color="000000"/>
          <w:lang w:eastAsia="zh-CN"/>
        </w:rPr>
        <w:fldChar w:fldCharType="end"/>
      </w:r>
      <w:r>
        <w:rPr>
          <w:rFonts w:ascii="Arial" w:hAnsi="Arial" w:eastAsia="宋体" w:cs="Arial"/>
          <w:snapToGrid w:val="0"/>
          <w:lang w:eastAsia="zh-CN"/>
        </w:rPr>
        <w:t>发送电子邮件请求以接收本指南的副本。请使用文件编号644来注明您所要求获得的指南。</w:t>
      </w:r>
    </w:p>
    <w:p w14:paraId="64C7DBD4">
      <w:pPr>
        <w:pStyle w:val="17"/>
        <w:topLinePunct/>
        <w:adjustRightInd w:val="0"/>
        <w:snapToGrid w:val="0"/>
        <w:spacing w:after="224" w:afterLines="75" w:line="288" w:lineRule="auto"/>
        <w:ind w:left="0"/>
        <w:jc w:val="both"/>
        <w:outlineLvl w:val="9"/>
        <w:rPr>
          <w:rFonts w:ascii="Arial" w:hAnsi="Arial" w:eastAsia="宋体" w:cs="Arial"/>
          <w:b w:val="0"/>
          <w:bCs w:val="0"/>
          <w:snapToGrid w:val="0"/>
          <w:lang w:eastAsia="zh-CN"/>
        </w:rPr>
      </w:pPr>
      <w:r>
        <w:rPr>
          <w:rFonts w:ascii="Arial" w:hAnsi="Arial" w:eastAsia="宋体" w:cs="Arial"/>
          <w:snapToGrid w:val="0"/>
          <w:sz w:val="24"/>
          <w:lang w:eastAsia="zh-CN"/>
        </w:rPr>
        <w:br w:type="page"/>
      </w:r>
      <w:r>
        <w:rPr>
          <w:rFonts w:ascii="Arial" w:hAnsi="Arial" w:eastAsia="宋体" w:cs="Arial"/>
          <w:snapToGrid w:val="0"/>
          <w:lang w:eastAsia="zh-CN"/>
        </w:rPr>
        <w:t>固态X射线成像器械510（K）提交指南</w:t>
      </w:r>
      <w:r>
        <w:rPr>
          <w:rStyle w:val="10"/>
          <w:rFonts w:ascii="Arial" w:hAnsi="Arial" w:eastAsia="宋体" w:cs="Arial"/>
          <w:snapToGrid w:val="0"/>
          <w:lang w:eastAsia="zh-CN"/>
        </w:rPr>
        <w:footnoteReference w:id="0"/>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5"/>
        <w:gridCol w:w="1338"/>
      </w:tblGrid>
      <w:tr w14:paraId="6682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76" w:type="pct"/>
          </w:tcPr>
          <w:p w14:paraId="2FAD869E">
            <w:pPr>
              <w:numPr>
                <w:ilvl w:val="0"/>
                <w:numId w:val="1"/>
              </w:numPr>
              <w:topLinePunct/>
              <w:adjustRightInd w:val="0"/>
              <w:snapToGrid w:val="0"/>
              <w:spacing w:after="224" w:afterLines="75" w:line="288" w:lineRule="auto"/>
              <w:ind w:left="0" w:firstLine="0"/>
              <w:jc w:val="both"/>
              <w:rPr>
                <w:rFonts w:ascii="Arial" w:hAnsi="Arial" w:eastAsia="宋体" w:cs="Arial"/>
                <w:b/>
                <w:snapToGrid w:val="0"/>
                <w:sz w:val="32"/>
                <w:szCs w:val="32"/>
              </w:rPr>
            </w:pPr>
            <w:r>
              <w:rPr>
                <w:rFonts w:ascii="Arial" w:hAnsi="Arial" w:eastAsia="宋体" w:cs="Arial"/>
                <w:b/>
                <w:snapToGrid w:val="0"/>
                <w:sz w:val="32"/>
                <w:szCs w:val="32"/>
                <w:lang w:eastAsia="zh-CN"/>
              </w:rPr>
              <w:t>目录</w:t>
            </w:r>
          </w:p>
        </w:tc>
        <w:tc>
          <w:tcPr>
            <w:tcW w:w="724" w:type="pct"/>
          </w:tcPr>
          <w:p w14:paraId="1774FD49">
            <w:pPr>
              <w:topLinePunct/>
              <w:adjustRightInd w:val="0"/>
              <w:snapToGrid w:val="0"/>
              <w:spacing w:after="224" w:afterLines="75" w:line="288" w:lineRule="auto"/>
              <w:jc w:val="right"/>
              <w:rPr>
                <w:rFonts w:ascii="Arial" w:hAnsi="Arial" w:eastAsia="宋体" w:cs="Arial"/>
                <w:snapToGrid w:val="0"/>
                <w:sz w:val="28"/>
                <w:szCs w:val="32"/>
              </w:rPr>
            </w:pPr>
            <w:r>
              <w:rPr>
                <w:rFonts w:ascii="Arial" w:hAnsi="Arial" w:eastAsia="宋体" w:cs="Arial"/>
                <w:b/>
                <w:snapToGrid w:val="0"/>
                <w:sz w:val="28"/>
                <w:szCs w:val="32"/>
                <w:lang w:eastAsia="zh-CN"/>
              </w:rPr>
              <w:t>页码</w:t>
            </w:r>
          </w:p>
        </w:tc>
      </w:tr>
    </w:tbl>
    <w:sdt>
      <w:sdtPr>
        <w:rPr>
          <w:rFonts w:ascii="Arial" w:hAnsi="Arial" w:eastAsia="宋体" w:cs="Arial"/>
          <w:snapToGrid w:val="0"/>
        </w:rPr>
        <w:id w:val="31465184"/>
        <w:docPartObj>
          <w:docPartGallery w:val="Table of Contents"/>
          <w:docPartUnique/>
        </w:docPartObj>
      </w:sdtPr>
      <w:sdtEndPr>
        <w:rPr>
          <w:rFonts w:ascii="Arial" w:hAnsi="Arial" w:eastAsia="宋体" w:cs="Arial"/>
          <w:snapToGrid w:val="0"/>
        </w:rPr>
      </w:sdtEndPr>
      <w:sdtContent>
        <w:p w14:paraId="5027D648">
          <w:pPr>
            <w:pStyle w:val="13"/>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rPr>
              <w:rFonts w:ascii="Arial" w:hAnsi="Arial" w:eastAsia="宋体" w:cs="Arial"/>
              <w:snapToGrid w:val="0"/>
              <w:lang w:eastAsia="zh-CN"/>
            </w:rPr>
            <w:t>目录</w:t>
          </w:r>
          <w:r>
            <w:rPr>
              <w:rFonts w:ascii="Arial" w:hAnsi="Arial" w:eastAsia="宋体" w:cs="Arial"/>
              <w:snapToGrid w:val="0"/>
            </w:rPr>
            <w:tab/>
          </w:r>
          <w:r>
            <w:rPr>
              <w:rFonts w:ascii="Arial" w:hAnsi="Arial" w:eastAsia="宋体" w:cs="Arial"/>
              <w:snapToGrid w:val="0"/>
            </w:rPr>
            <w:t>3</w:t>
          </w:r>
        </w:p>
        <w:p w14:paraId="6778CF22">
          <w:pPr>
            <w:pStyle w:val="13"/>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"_TOC_250006" </w:instrText>
          </w:r>
          <w:r>
            <w:fldChar w:fldCharType="separate"/>
          </w:r>
          <w:r>
            <w:rPr>
              <w:rFonts w:ascii="Arial" w:hAnsi="Arial" w:eastAsia="宋体" w:cs="Arial"/>
              <w:snapToGrid w:val="0"/>
              <w:lang w:eastAsia="zh-CN"/>
            </w:rPr>
            <w:t>范围</w:t>
          </w:r>
          <w:r>
            <w:rPr>
              <w:rFonts w:ascii="Arial" w:hAnsi="Arial" w:eastAsia="宋体" w:cs="Arial"/>
              <w:snapToGrid w:val="0"/>
            </w:rPr>
            <w:tab/>
          </w:r>
          <w:r>
            <w:rPr>
              <w:rFonts w:ascii="Arial" w:hAnsi="Arial" w:eastAsia="宋体" w:cs="Arial"/>
              <w:snapToGrid w:val="0"/>
            </w:rPr>
            <w:t>4</w:t>
          </w:r>
          <w:r>
            <w:rPr>
              <w:rFonts w:ascii="Arial" w:hAnsi="Arial" w:eastAsia="宋体" w:cs="Arial"/>
              <w:snapToGrid w:val="0"/>
            </w:rPr>
            <w:fldChar w:fldCharType="end"/>
          </w:r>
        </w:p>
        <w:p w14:paraId="0D353EF0">
          <w:pPr>
            <w:pStyle w:val="13"/>
            <w:numPr>
              <w:ilvl w:val="1"/>
              <w:numId w:val="1"/>
            </w:numPr>
            <w:tabs>
              <w:tab w:val="left" w:pos="709"/>
              <w:tab w:val="left" w:pos="1066"/>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"_TOC_250005" </w:instrText>
          </w:r>
          <w:r>
            <w:fldChar w:fldCharType="separate"/>
          </w:r>
          <w:r>
            <w:rPr>
              <w:rFonts w:ascii="Arial" w:hAnsi="Arial" w:eastAsia="宋体" w:cs="Arial"/>
              <w:snapToGrid w:val="0"/>
              <w:lang w:eastAsia="zh-CN"/>
            </w:rPr>
            <w:t>目的</w:t>
          </w:r>
          <w:r>
            <w:rPr>
              <w:rFonts w:ascii="Arial" w:hAnsi="Arial" w:eastAsia="宋体" w:cs="Arial"/>
              <w:snapToGrid w:val="0"/>
            </w:rPr>
            <w:tab/>
          </w:r>
          <w:r>
            <w:rPr>
              <w:rFonts w:ascii="Arial" w:hAnsi="Arial" w:eastAsia="宋体" w:cs="Arial"/>
              <w:snapToGrid w:val="0"/>
            </w:rPr>
            <w:t>4</w:t>
          </w:r>
          <w:r>
            <w:rPr>
              <w:rFonts w:ascii="Arial" w:hAnsi="Arial" w:eastAsia="宋体" w:cs="Arial"/>
              <w:snapToGrid w:val="0"/>
            </w:rPr>
            <w:fldChar w:fldCharType="end"/>
          </w:r>
        </w:p>
        <w:p w14:paraId="19D5D226">
          <w:pPr>
            <w:pStyle w:val="13"/>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"_TOC_250004" </w:instrText>
          </w:r>
          <w:r>
            <w:fldChar w:fldCharType="separate"/>
          </w:r>
          <w:r>
            <w:rPr>
              <w:rFonts w:ascii="Arial" w:hAnsi="Arial" w:eastAsia="宋体" w:cs="Arial"/>
              <w:snapToGrid w:val="0"/>
              <w:lang w:eastAsia="zh-CN"/>
            </w:rPr>
            <w:t>说明</w:t>
          </w:r>
          <w:r>
            <w:rPr>
              <w:rFonts w:ascii="Arial" w:hAnsi="Arial" w:eastAsia="宋体" w:cs="Arial"/>
              <w:snapToGrid w:val="0"/>
            </w:rPr>
            <w:tab/>
          </w:r>
          <w:r>
            <w:rPr>
              <w:rFonts w:ascii="Arial" w:hAnsi="Arial" w:eastAsia="宋体" w:cs="Arial"/>
              <w:snapToGrid w:val="0"/>
            </w:rPr>
            <w:t>4</w:t>
          </w:r>
          <w:r>
            <w:rPr>
              <w:rFonts w:ascii="Arial" w:hAnsi="Arial" w:eastAsia="宋体" w:cs="Arial"/>
              <w:snapToGrid w:val="0"/>
            </w:rPr>
            <w:fldChar w:fldCharType="end"/>
          </w:r>
        </w:p>
        <w:p w14:paraId="09761A0D">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闪烁体</w:t>
          </w:r>
          <w:r>
            <w:rPr>
              <w:rFonts w:ascii="Arial" w:hAnsi="Arial" w:eastAsia="宋体" w:cs="Arial"/>
              <w:snapToGrid w:val="0"/>
            </w:rPr>
            <w:t>-</w:t>
          </w:r>
          <w:r>
            <w:rPr>
              <w:rFonts w:ascii="Arial" w:hAnsi="Arial" w:eastAsia="宋体" w:cs="Arial"/>
              <w:snapToGrid w:val="0"/>
              <w:lang w:eastAsia="zh-CN"/>
            </w:rPr>
            <w:t>光电探测器</w:t>
          </w:r>
          <w:r>
            <w:rPr>
              <w:rFonts w:ascii="Arial" w:hAnsi="Arial" w:eastAsia="宋体" w:cs="Arial"/>
              <w:snapToGrid w:val="0"/>
            </w:rPr>
            <w:tab/>
          </w:r>
          <w:r>
            <w:rPr>
              <w:rFonts w:ascii="Arial" w:hAnsi="Arial" w:eastAsia="宋体" w:cs="Arial"/>
              <w:snapToGrid w:val="0"/>
            </w:rPr>
            <w:t>4</w:t>
          </w:r>
        </w:p>
        <w:p w14:paraId="2D2248B4">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直接转换</w:t>
          </w:r>
          <w:r>
            <w:rPr>
              <w:rFonts w:ascii="Arial" w:hAnsi="Arial" w:eastAsia="宋体" w:cs="Arial"/>
              <w:snapToGrid w:val="0"/>
            </w:rPr>
            <w:tab/>
          </w:r>
          <w:r>
            <w:rPr>
              <w:rFonts w:ascii="Arial" w:hAnsi="Arial" w:eastAsia="宋体" w:cs="Arial"/>
              <w:snapToGrid w:val="0"/>
            </w:rPr>
            <w:t>4</w:t>
          </w:r>
        </w:p>
        <w:p w14:paraId="731A7087">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光电耦合探测器</w:t>
          </w:r>
          <w:r>
            <w:rPr>
              <w:rFonts w:ascii="Arial" w:hAnsi="Arial" w:eastAsia="宋体" w:cs="Arial"/>
              <w:snapToGrid w:val="0"/>
            </w:rPr>
            <w:tab/>
          </w:r>
          <w:r>
            <w:rPr>
              <w:rFonts w:ascii="Arial" w:hAnsi="Arial" w:eastAsia="宋体" w:cs="Arial"/>
              <w:snapToGrid w:val="0"/>
            </w:rPr>
            <w:t>5</w:t>
          </w:r>
        </w:p>
        <w:p w14:paraId="7A4E0331">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光激励磷光体</w:t>
          </w:r>
          <w:r>
            <w:rPr>
              <w:rFonts w:ascii="Arial" w:hAnsi="Arial" w:eastAsia="宋体" w:cs="Arial"/>
              <w:snapToGrid w:val="0"/>
            </w:rPr>
            <w:tab/>
          </w:r>
          <w:r>
            <w:rPr>
              <w:rFonts w:ascii="Arial" w:hAnsi="Arial" w:eastAsia="宋体" w:cs="Arial"/>
              <w:snapToGrid w:val="0"/>
            </w:rPr>
            <w:t>5</w:t>
          </w:r>
        </w:p>
        <w:p w14:paraId="54CD312A">
          <w:pPr>
            <w:pStyle w:val="12"/>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"_TOC_250003" </w:instrText>
          </w:r>
          <w:r>
            <w:fldChar w:fldCharType="separate"/>
          </w:r>
          <w:r>
            <w:rPr>
              <w:rFonts w:ascii="Arial" w:hAnsi="Arial" w:eastAsia="宋体" w:cs="Arial"/>
              <w:snapToGrid w:val="0"/>
              <w:lang w:eastAsia="zh-CN"/>
            </w:rPr>
            <w:t>法规要求</w:t>
          </w:r>
          <w:r>
            <w:rPr>
              <w:rFonts w:ascii="Arial" w:hAnsi="Arial" w:eastAsia="宋体" w:cs="Arial"/>
              <w:snapToGrid w:val="0"/>
            </w:rPr>
            <w:tab/>
          </w:r>
          <w:r>
            <w:rPr>
              <w:rFonts w:ascii="Arial" w:hAnsi="Arial" w:eastAsia="宋体" w:cs="Arial"/>
              <w:snapToGrid w:val="0"/>
            </w:rPr>
            <w:t>5</w:t>
          </w:r>
          <w:r>
            <w:rPr>
              <w:rFonts w:ascii="Arial" w:hAnsi="Arial" w:eastAsia="宋体" w:cs="Arial"/>
              <w:snapToGrid w:val="0"/>
            </w:rPr>
            <w:fldChar w:fldCharType="end"/>
          </w:r>
        </w:p>
        <w:p w14:paraId="5D9A8C66">
          <w:pPr>
            <w:pStyle w:val="12"/>
            <w:numPr>
              <w:ilvl w:val="1"/>
              <w:numId w:val="1"/>
            </w:numPr>
            <w:tabs>
              <w:tab w:val="left" w:pos="709"/>
              <w:tab w:val="left" w:pos="1060"/>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"_TOC_250002" </w:instrText>
          </w:r>
          <w:r>
            <w:fldChar w:fldCharType="separate"/>
          </w:r>
          <w:r>
            <w:rPr>
              <w:rFonts w:ascii="Arial" w:hAnsi="Arial" w:eastAsia="宋体" w:cs="Arial"/>
              <w:snapToGrid w:val="0"/>
              <w:lang w:eastAsia="zh-CN"/>
            </w:rPr>
            <w:t>非临床考虑</w:t>
          </w:r>
          <w:r>
            <w:rPr>
              <w:rFonts w:ascii="Arial" w:hAnsi="Arial" w:eastAsia="宋体" w:cs="Arial"/>
              <w:snapToGrid w:val="0"/>
            </w:rPr>
            <w:tab/>
          </w:r>
          <w:r>
            <w:rPr>
              <w:rFonts w:ascii="Arial" w:hAnsi="Arial" w:eastAsia="宋体" w:cs="Arial"/>
              <w:snapToGrid w:val="0"/>
            </w:rPr>
            <w:t>5</w:t>
          </w:r>
          <w:r>
            <w:rPr>
              <w:rFonts w:ascii="Arial" w:hAnsi="Arial" w:eastAsia="宋体" w:cs="Arial"/>
              <w:snapToGrid w:val="0"/>
            </w:rPr>
            <w:fldChar w:fldCharType="end"/>
          </w:r>
        </w:p>
        <w:p w14:paraId="5F36D288">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物理特征</w:t>
          </w:r>
          <w:r>
            <w:rPr>
              <w:rFonts w:ascii="Arial" w:hAnsi="Arial" w:eastAsia="宋体" w:cs="Arial"/>
              <w:snapToGrid w:val="0"/>
              <w:lang w:eastAsia="zh-CN"/>
            </w:rPr>
            <w:tab/>
          </w:r>
          <w:r>
            <w:rPr>
              <w:rFonts w:ascii="Arial" w:hAnsi="Arial" w:eastAsia="宋体" w:cs="Arial"/>
              <w:snapToGrid w:val="0"/>
              <w:lang w:eastAsia="zh-CN"/>
            </w:rPr>
            <w:t>6</w:t>
          </w:r>
        </w:p>
        <w:p w14:paraId="2A935671">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运行功能</w:t>
          </w:r>
          <w:r>
            <w:rPr>
              <w:rFonts w:ascii="Arial" w:hAnsi="Arial" w:eastAsia="宋体" w:cs="Arial"/>
              <w:snapToGrid w:val="0"/>
              <w:lang w:eastAsia="zh-CN"/>
            </w:rPr>
            <w:tab/>
          </w:r>
          <w:r>
            <w:rPr>
              <w:rFonts w:ascii="Arial" w:hAnsi="Arial" w:eastAsia="宋体" w:cs="Arial"/>
              <w:snapToGrid w:val="0"/>
              <w:lang w:eastAsia="zh-CN"/>
            </w:rPr>
            <w:t>6</w:t>
          </w:r>
        </w:p>
        <w:p w14:paraId="7EA4140F">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功能特征</w:t>
          </w:r>
          <w:r>
            <w:rPr>
              <w:rFonts w:ascii="Arial" w:hAnsi="Arial" w:eastAsia="宋体" w:cs="Arial"/>
              <w:snapToGrid w:val="0"/>
              <w:lang w:eastAsia="zh-CN"/>
            </w:rPr>
            <w:tab/>
          </w:r>
          <w:r>
            <w:rPr>
              <w:rFonts w:ascii="Arial" w:hAnsi="Arial" w:eastAsia="宋体" w:cs="Arial"/>
              <w:snapToGrid w:val="0"/>
              <w:lang w:eastAsia="zh-CN"/>
            </w:rPr>
            <w:t>7</w:t>
          </w:r>
        </w:p>
        <w:p w14:paraId="516D13AF">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曝光特征</w:t>
          </w:r>
          <w:r>
            <w:rPr>
              <w:rFonts w:ascii="Arial" w:hAnsi="Arial" w:eastAsia="宋体" w:cs="Arial"/>
              <w:snapToGrid w:val="0"/>
              <w:lang w:eastAsia="zh-CN"/>
            </w:rPr>
            <w:tab/>
          </w:r>
          <w:r>
            <w:rPr>
              <w:rFonts w:ascii="Arial" w:hAnsi="Arial" w:eastAsia="宋体" w:cs="Arial"/>
              <w:snapToGrid w:val="0"/>
              <w:lang w:eastAsia="zh-CN"/>
            </w:rPr>
            <w:t>8</w:t>
          </w:r>
        </w:p>
        <w:p w14:paraId="0E0E73A0">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安全特征</w:t>
          </w:r>
          <w:r>
            <w:rPr>
              <w:rFonts w:ascii="Arial" w:hAnsi="Arial" w:eastAsia="宋体" w:cs="Arial"/>
              <w:snapToGrid w:val="0"/>
              <w:lang w:eastAsia="zh-CN"/>
            </w:rPr>
            <w:tab/>
          </w:r>
          <w:r>
            <w:rPr>
              <w:rFonts w:ascii="Arial" w:hAnsi="Arial" w:eastAsia="宋体" w:cs="Arial"/>
              <w:snapToGrid w:val="0"/>
              <w:lang w:eastAsia="zh-CN"/>
            </w:rPr>
            <w:t>9</w:t>
          </w:r>
        </w:p>
        <w:p w14:paraId="082738E8">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试验结果</w:t>
          </w:r>
          <w:r>
            <w:rPr>
              <w:rFonts w:ascii="Arial" w:hAnsi="Arial" w:eastAsia="宋体" w:cs="Arial"/>
              <w:snapToGrid w:val="0"/>
            </w:rPr>
            <w:tab/>
          </w:r>
          <w:r>
            <w:rPr>
              <w:rFonts w:ascii="Arial" w:hAnsi="Arial" w:eastAsia="宋体" w:cs="Arial"/>
              <w:snapToGrid w:val="0"/>
            </w:rPr>
            <w:t>9</w:t>
          </w:r>
        </w:p>
        <w:p w14:paraId="51AF2A8B">
          <w:pPr>
            <w:pStyle w:val="12"/>
            <w:numPr>
              <w:ilvl w:val="1"/>
              <w:numId w:val="1"/>
            </w:numPr>
            <w:tabs>
              <w:tab w:val="left" w:pos="709"/>
              <w:tab w:val="left" w:pos="1141"/>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"_TOC_250001" </w:instrText>
          </w:r>
          <w:r>
            <w:fldChar w:fldCharType="separate"/>
          </w:r>
          <w:r>
            <w:rPr>
              <w:rFonts w:ascii="Arial" w:hAnsi="Arial" w:eastAsia="宋体" w:cs="Arial"/>
              <w:snapToGrid w:val="0"/>
              <w:lang w:eastAsia="zh-CN"/>
            </w:rPr>
            <w:t>临床考虑</w:t>
          </w:r>
          <w:r>
            <w:rPr>
              <w:rFonts w:ascii="Arial" w:hAnsi="Arial" w:eastAsia="宋体" w:cs="Arial"/>
              <w:snapToGrid w:val="0"/>
            </w:rPr>
            <w:tab/>
          </w:r>
          <w:r>
            <w:rPr>
              <w:rFonts w:ascii="Arial" w:hAnsi="Arial" w:eastAsia="宋体" w:cs="Arial"/>
              <w:snapToGrid w:val="0"/>
            </w:rPr>
            <w:t>9</w:t>
          </w:r>
          <w:r>
            <w:rPr>
              <w:rFonts w:ascii="Arial" w:hAnsi="Arial" w:eastAsia="宋体" w:cs="Arial"/>
              <w:snapToGrid w:val="0"/>
            </w:rPr>
            <w:fldChar w:fldCharType="end"/>
          </w:r>
        </w:p>
        <w:p w14:paraId="3F92CD84">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同步研究</w:t>
          </w:r>
          <w:r>
            <w:rPr>
              <w:rFonts w:ascii="Arial" w:hAnsi="Arial" w:eastAsia="宋体" w:cs="Arial"/>
              <w:snapToGrid w:val="0"/>
              <w:lang w:eastAsia="zh-CN"/>
            </w:rPr>
            <w:tab/>
          </w:r>
          <w:r>
            <w:rPr>
              <w:rFonts w:ascii="Arial" w:hAnsi="Arial" w:eastAsia="宋体" w:cs="Arial"/>
              <w:snapToGrid w:val="0"/>
              <w:lang w:eastAsia="zh-CN"/>
            </w:rPr>
            <w:t>10</w:t>
          </w:r>
        </w:p>
        <w:p w14:paraId="5502AA18">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合格专家评价</w:t>
          </w:r>
          <w:r>
            <w:rPr>
              <w:rFonts w:ascii="Arial" w:hAnsi="Arial" w:eastAsia="宋体" w:cs="Arial"/>
              <w:snapToGrid w:val="0"/>
            </w:rPr>
            <w:tab/>
          </w:r>
          <w:r>
            <w:rPr>
              <w:rFonts w:ascii="Arial" w:hAnsi="Arial" w:eastAsia="宋体" w:cs="Arial"/>
              <w:snapToGrid w:val="0"/>
            </w:rPr>
            <w:t>10</w:t>
          </w:r>
        </w:p>
        <w:p w14:paraId="6431B6BA">
          <w:pPr>
            <w:pStyle w:val="12"/>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fldChar w:fldCharType="begin"/>
          </w:r>
          <w:r>
            <w:instrText xml:space="preserve"> HYPERLINK \l "_TOC_250000" </w:instrText>
          </w:r>
          <w:r>
            <w:fldChar w:fldCharType="separate"/>
          </w:r>
          <w:r>
            <w:rPr>
              <w:rFonts w:ascii="Arial" w:hAnsi="Arial" w:eastAsia="宋体" w:cs="Arial"/>
              <w:snapToGrid w:val="0"/>
              <w:lang w:eastAsia="zh-CN"/>
            </w:rPr>
            <w:t>标签</w:t>
          </w:r>
          <w:r>
            <w:rPr>
              <w:rFonts w:ascii="Arial" w:hAnsi="Arial" w:eastAsia="宋体" w:cs="Arial"/>
              <w:snapToGrid w:val="0"/>
            </w:rPr>
            <w:tab/>
          </w:r>
          <w:r>
            <w:rPr>
              <w:rFonts w:ascii="Arial" w:hAnsi="Arial" w:eastAsia="宋体" w:cs="Arial"/>
              <w:snapToGrid w:val="0"/>
            </w:rPr>
            <w:t>11</w:t>
          </w:r>
          <w:r>
            <w:rPr>
              <w:rFonts w:ascii="Arial" w:hAnsi="Arial" w:eastAsia="宋体" w:cs="Arial"/>
              <w:snapToGrid w:val="0"/>
            </w:rPr>
            <w:fldChar w:fldCharType="end"/>
          </w:r>
        </w:p>
        <w:p w14:paraId="5201D1E1">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使用适应症</w:t>
          </w:r>
          <w:r>
            <w:rPr>
              <w:rFonts w:ascii="Arial" w:hAnsi="Arial" w:eastAsia="宋体" w:cs="Arial"/>
              <w:snapToGrid w:val="0"/>
              <w:lang w:eastAsia="zh-CN"/>
            </w:rPr>
            <w:tab/>
          </w:r>
          <w:r>
            <w:rPr>
              <w:rFonts w:ascii="Arial" w:hAnsi="Arial" w:eastAsia="宋体" w:cs="Arial"/>
              <w:snapToGrid w:val="0"/>
              <w:lang w:eastAsia="zh-CN"/>
            </w:rPr>
            <w:t>11</w:t>
          </w:r>
        </w:p>
        <w:p w14:paraId="664BC24B">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宣传资料</w:t>
          </w:r>
          <w:r>
            <w:rPr>
              <w:rFonts w:ascii="Arial" w:hAnsi="Arial" w:eastAsia="宋体" w:cs="Arial"/>
              <w:snapToGrid w:val="0"/>
              <w:lang w:eastAsia="zh-CN"/>
            </w:rPr>
            <w:tab/>
          </w:r>
          <w:r>
            <w:rPr>
              <w:rFonts w:ascii="Arial" w:hAnsi="Arial" w:eastAsia="宋体" w:cs="Arial"/>
              <w:snapToGrid w:val="0"/>
              <w:lang w:eastAsia="zh-CN"/>
            </w:rPr>
            <w:t>12</w:t>
          </w:r>
        </w:p>
        <w:p w14:paraId="5323276C">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说明</w:t>
          </w:r>
          <w:r>
            <w:rPr>
              <w:rFonts w:ascii="Arial" w:hAnsi="Arial" w:eastAsia="宋体" w:cs="Arial"/>
              <w:snapToGrid w:val="0"/>
              <w:lang w:eastAsia="zh-CN"/>
            </w:rPr>
            <w:tab/>
          </w:r>
          <w:r>
            <w:rPr>
              <w:rFonts w:ascii="Arial" w:hAnsi="Arial" w:eastAsia="宋体" w:cs="Arial"/>
              <w:snapToGrid w:val="0"/>
              <w:lang w:eastAsia="zh-CN"/>
            </w:rPr>
            <w:t>12</w:t>
          </w:r>
        </w:p>
        <w:p w14:paraId="18D46066">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培训资料</w:t>
          </w:r>
          <w:r>
            <w:rPr>
              <w:rFonts w:ascii="Arial" w:hAnsi="Arial" w:eastAsia="宋体" w:cs="Arial"/>
              <w:snapToGrid w:val="0"/>
              <w:lang w:eastAsia="zh-CN"/>
            </w:rPr>
            <w:tab/>
          </w:r>
          <w:r>
            <w:rPr>
              <w:rFonts w:ascii="Arial" w:hAnsi="Arial" w:eastAsia="宋体" w:cs="Arial"/>
              <w:snapToGrid w:val="0"/>
              <w:lang w:eastAsia="zh-CN"/>
            </w:rPr>
            <w:t>12</w:t>
          </w:r>
        </w:p>
        <w:p w14:paraId="0DCEC1D7">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证明文件</w:t>
          </w:r>
          <w:r>
            <w:rPr>
              <w:rFonts w:ascii="Arial" w:hAnsi="Arial" w:eastAsia="宋体" w:cs="Arial"/>
              <w:snapToGrid w:val="0"/>
            </w:rPr>
            <w:tab/>
          </w:r>
          <w:r>
            <w:rPr>
              <w:rFonts w:ascii="Arial" w:hAnsi="Arial" w:eastAsia="宋体" w:cs="Arial"/>
              <w:snapToGrid w:val="0"/>
            </w:rPr>
            <w:t>12</w:t>
          </w:r>
        </w:p>
      </w:sdtContent>
    </w:sdt>
    <w:p w14:paraId="0B1D406D">
      <w:pPr>
        <w:pStyle w:val="2"/>
        <w:tabs>
          <w:tab w:val="left" w:pos="640"/>
          <w:tab w:val="right" w:pos="8159"/>
        </w:tabs>
        <w:topLinePunct/>
        <w:adjustRightInd w:val="0"/>
        <w:snapToGrid w:val="0"/>
        <w:spacing w:after="224" w:afterLines="75" w:line="288" w:lineRule="auto"/>
        <w:ind w:left="0" w:firstLine="0"/>
        <w:jc w:val="both"/>
        <w:rPr>
          <w:rFonts w:ascii="Arial" w:hAnsi="Arial" w:eastAsia="宋体" w:cs="Arial"/>
          <w:snapToGrid w:val="0"/>
        </w:rPr>
      </w:pPr>
    </w:p>
    <w:p w14:paraId="7E9B0501">
      <w:pPr>
        <w:pStyle w:val="12"/>
        <w:numPr>
          <w:ilvl w:val="1"/>
          <w:numId w:val="1"/>
        </w:numPr>
        <w:tabs>
          <w:tab w:val="left" w:pos="709"/>
          <w:tab w:val="right" w:pos="9027"/>
        </w:tabs>
        <w:topLinePunct/>
        <w:adjustRightInd w:val="0"/>
        <w:snapToGrid w:val="0"/>
        <w:spacing w:before="0" w:line="288" w:lineRule="auto"/>
        <w:ind w:left="0" w:firstLine="0"/>
        <w:jc w:val="both"/>
        <w:rPr>
          <w:rFonts w:ascii="Arial" w:hAnsi="Arial" w:eastAsia="宋体" w:cs="Arial"/>
          <w:snapToGrid w:val="0"/>
        </w:rPr>
      </w:pPr>
      <w:r>
        <w:rPr>
          <w:rFonts w:ascii="Arial" w:hAnsi="Arial" w:eastAsia="宋体" w:cs="Arial"/>
          <w:snapToGrid w:val="0"/>
          <w:szCs w:val="19"/>
          <w:lang w:eastAsia="zh-CN"/>
        </w:rPr>
        <w:br w:type="page"/>
      </w:r>
      <w:r>
        <w:rPr>
          <w:rFonts w:ascii="Arial" w:hAnsi="Arial" w:eastAsia="宋体" w:cs="Arial"/>
          <w:snapToGrid w:val="0"/>
          <w:lang w:eastAsia="zh-CN"/>
        </w:rPr>
        <w:t>质量保证计划</w:t>
      </w:r>
      <w:r>
        <w:rPr>
          <w:rFonts w:ascii="Arial" w:hAnsi="Arial" w:eastAsia="宋体" w:cs="Arial"/>
          <w:snapToGrid w:val="0"/>
        </w:rPr>
        <w:tab/>
      </w:r>
      <w:r>
        <w:rPr>
          <w:rFonts w:ascii="Arial" w:hAnsi="Arial" w:eastAsia="宋体" w:cs="Arial"/>
          <w:snapToGrid w:val="0"/>
        </w:rPr>
        <w:t>13</w:t>
      </w:r>
    </w:p>
    <w:p w14:paraId="63B12F61">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参数监测</w:t>
      </w:r>
      <w:r>
        <w:rPr>
          <w:rFonts w:ascii="Arial" w:hAnsi="Arial" w:eastAsia="宋体" w:cs="Arial"/>
          <w:snapToGrid w:val="0"/>
          <w:lang w:eastAsia="zh-CN"/>
        </w:rPr>
        <w:tab/>
      </w:r>
      <w:r>
        <w:rPr>
          <w:rFonts w:ascii="Arial" w:hAnsi="Arial" w:eastAsia="宋体" w:cs="Arial"/>
          <w:snapToGrid w:val="0"/>
          <w:lang w:eastAsia="zh-CN"/>
        </w:rPr>
        <w:t>13</w:t>
      </w:r>
    </w:p>
    <w:p w14:paraId="6D1B0D91">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lang w:eastAsia="zh-CN"/>
        </w:rPr>
      </w:pPr>
      <w:r>
        <w:rPr>
          <w:rFonts w:ascii="Arial" w:hAnsi="Arial" w:eastAsia="宋体" w:cs="Arial"/>
          <w:snapToGrid w:val="0"/>
          <w:lang w:eastAsia="zh-CN"/>
        </w:rPr>
        <w:t>质量判据</w:t>
      </w:r>
      <w:r>
        <w:rPr>
          <w:rFonts w:ascii="Arial" w:hAnsi="Arial" w:eastAsia="宋体" w:cs="Arial"/>
          <w:snapToGrid w:val="0"/>
          <w:lang w:eastAsia="zh-CN"/>
        </w:rPr>
        <w:tab/>
      </w:r>
      <w:r>
        <w:rPr>
          <w:rFonts w:ascii="Arial" w:hAnsi="Arial" w:eastAsia="宋体" w:cs="Arial"/>
          <w:snapToGrid w:val="0"/>
          <w:lang w:eastAsia="zh-CN"/>
        </w:rPr>
        <w:t>13</w:t>
      </w:r>
    </w:p>
    <w:p w14:paraId="0FB7AAE0">
      <w:pPr>
        <w:pStyle w:val="15"/>
        <w:numPr>
          <w:ilvl w:val="2"/>
          <w:numId w:val="1"/>
        </w:numPr>
        <w:tabs>
          <w:tab w:val="left" w:pos="1232"/>
          <w:tab w:val="right" w:pos="9027"/>
        </w:tabs>
        <w:topLinePunct/>
        <w:adjustRightInd w:val="0"/>
        <w:snapToGrid w:val="0"/>
        <w:spacing w:before="0" w:line="288" w:lineRule="auto"/>
        <w:ind w:left="713" w:leftChars="324" w:firstLine="0"/>
        <w:jc w:val="both"/>
        <w:rPr>
          <w:rFonts w:ascii="Arial" w:hAnsi="Arial" w:eastAsia="宋体" w:cs="Arial"/>
          <w:snapToGrid w:val="0"/>
        </w:rPr>
      </w:pPr>
      <w:r>
        <w:rPr>
          <w:rFonts w:ascii="Arial" w:hAnsi="Arial" w:eastAsia="宋体" w:cs="Arial"/>
          <w:snapToGrid w:val="0"/>
          <w:lang w:eastAsia="zh-CN"/>
        </w:rPr>
        <w:t>制造商的记录</w:t>
      </w:r>
      <w:r>
        <w:rPr>
          <w:rFonts w:ascii="Arial" w:hAnsi="Arial" w:eastAsia="宋体" w:cs="Arial"/>
          <w:snapToGrid w:val="0"/>
        </w:rPr>
        <w:tab/>
      </w:r>
      <w:r>
        <w:rPr>
          <w:rFonts w:ascii="Arial" w:hAnsi="Arial" w:eastAsia="宋体" w:cs="Arial"/>
          <w:snapToGrid w:val="0"/>
        </w:rPr>
        <w:t>13</w:t>
      </w:r>
    </w:p>
    <w:p w14:paraId="3DB3BEF6">
      <w:pPr>
        <w:pStyle w:val="15"/>
        <w:numPr>
          <w:ilvl w:val="2"/>
          <w:numId w:val="1"/>
        </w:numPr>
        <w:tabs>
          <w:tab w:val="left" w:pos="1232"/>
          <w:tab w:val="right" w:pos="9027"/>
        </w:tabs>
        <w:topLinePunct/>
        <w:adjustRightInd w:val="0"/>
        <w:snapToGrid w:val="0"/>
        <w:spacing w:before="0" w:after="299" w:afterLines="100" w:line="288" w:lineRule="auto"/>
        <w:ind w:left="713" w:leftChars="324" w:firstLine="0"/>
        <w:jc w:val="both"/>
        <w:rPr>
          <w:rFonts w:ascii="Arial" w:hAnsi="Arial" w:eastAsia="宋体" w:cs="Arial"/>
          <w:snapToGrid w:val="0"/>
        </w:rPr>
      </w:pPr>
      <w:r>
        <w:rPr>
          <w:rFonts w:ascii="Arial" w:hAnsi="Arial" w:eastAsia="宋体" w:cs="Arial"/>
          <w:snapToGrid w:val="0"/>
          <w:lang w:eastAsia="zh-CN"/>
        </w:rPr>
        <w:t>质量保证培训资料</w:t>
      </w:r>
      <w:r>
        <w:rPr>
          <w:rFonts w:ascii="Arial" w:hAnsi="Arial" w:eastAsia="宋体" w:cs="Arial"/>
          <w:snapToGrid w:val="0"/>
        </w:rPr>
        <w:tab/>
      </w:r>
      <w:r>
        <w:rPr>
          <w:rFonts w:ascii="Arial" w:hAnsi="Arial" w:eastAsia="宋体" w:cs="Arial"/>
          <w:snapToGrid w:val="0"/>
        </w:rPr>
        <w:t>13</w:t>
      </w:r>
    </w:p>
    <w:p w14:paraId="546FED7D">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b w:val="0"/>
          <w:bCs w:val="0"/>
          <w:snapToGrid w:val="0"/>
          <w:sz w:val="32"/>
          <w:szCs w:val="32"/>
          <w:lang w:eastAsia="zh-CN"/>
        </w:rPr>
      </w:pPr>
      <w:r>
        <w:rPr>
          <w:rFonts w:ascii="Arial" w:hAnsi="Arial" w:eastAsia="宋体" w:cs="Arial"/>
          <w:snapToGrid w:val="0"/>
          <w:sz w:val="32"/>
          <w:szCs w:val="32"/>
          <w:lang w:eastAsia="zh-CN"/>
        </w:rPr>
        <w:t>范围</w:t>
      </w:r>
    </w:p>
    <w:p w14:paraId="25BF4784">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本指南适用于</w:t>
      </w:r>
      <w:bookmarkStart w:id="4" w:name="OLE_LINK22"/>
      <w:bookmarkStart w:id="5" w:name="OLE_LINK21"/>
      <w:r>
        <w:rPr>
          <w:rFonts w:hint="eastAsia" w:ascii="Arial" w:hAnsi="Arial" w:eastAsia="宋体" w:cs="Arial"/>
          <w:snapToGrid w:val="0"/>
          <w:lang w:eastAsia="zh-CN"/>
        </w:rPr>
        <w:t>将X</w:t>
      </w:r>
      <w:r>
        <w:rPr>
          <w:rFonts w:ascii="Arial" w:hAnsi="Arial" w:eastAsia="宋体" w:cs="Arial"/>
          <w:snapToGrid w:val="0"/>
          <w:lang w:eastAsia="zh-CN"/>
        </w:rPr>
        <w:t>射线模式转变为电信号</w:t>
      </w:r>
      <w:bookmarkEnd w:id="4"/>
      <w:bookmarkEnd w:id="5"/>
      <w:r>
        <w:rPr>
          <w:rFonts w:ascii="Arial" w:hAnsi="Arial" w:eastAsia="宋体" w:cs="Arial"/>
          <w:snapToGrid w:val="0"/>
          <w:lang w:eastAsia="zh-CN"/>
        </w:rPr>
        <w:t>的医学成像器械、</w:t>
      </w:r>
      <w:bookmarkStart w:id="6" w:name="OLE_LINK5"/>
      <w:bookmarkStart w:id="7" w:name="OLE_LINK6"/>
      <w:r>
        <w:rPr>
          <w:rFonts w:ascii="Arial" w:hAnsi="Arial" w:eastAsia="宋体" w:cs="Arial"/>
          <w:snapToGrid w:val="0"/>
          <w:lang w:eastAsia="zh-CN"/>
        </w:rPr>
        <w:t>固态X射线成像</w:t>
      </w:r>
      <w:bookmarkEnd w:id="6"/>
      <w:bookmarkEnd w:id="7"/>
      <w:r>
        <w:rPr>
          <w:rFonts w:ascii="Arial" w:hAnsi="Arial" w:eastAsia="宋体" w:cs="Arial"/>
          <w:snapToGrid w:val="0"/>
          <w:lang w:eastAsia="zh-CN"/>
        </w:rPr>
        <w:t>仪（SSXI）。然后信号可（经过或不经过处理）转变为可见像，用于医学诊断。这些器械预期取代传统的X射线胶片／显示屏系统和</w:t>
      </w:r>
      <w:bookmarkStart w:id="8" w:name="OLE_LINK4"/>
      <w:bookmarkStart w:id="9" w:name="OLE_LINK3"/>
      <w:r>
        <w:rPr>
          <w:rFonts w:ascii="Arial" w:hAnsi="Arial" w:eastAsia="宋体" w:cs="Arial"/>
          <w:snapToGrid w:val="0"/>
          <w:lang w:eastAsia="zh-CN"/>
        </w:rPr>
        <w:t>基于图像增强器</w:t>
      </w:r>
      <w:bookmarkEnd w:id="8"/>
      <w:bookmarkEnd w:id="9"/>
      <w:r>
        <w:rPr>
          <w:rFonts w:ascii="Arial" w:hAnsi="Arial" w:eastAsia="宋体" w:cs="Arial"/>
          <w:snapToGrid w:val="0"/>
          <w:lang w:eastAsia="zh-CN"/>
        </w:rPr>
        <w:t>的透视和图像记录系统。适用于乳房X射线照相术的SSXI不属于本指南的范围。</w:t>
      </w:r>
    </w:p>
    <w:p w14:paraId="1CD5ADDA">
      <w:pPr>
        <w:pStyle w:val="16"/>
        <w:numPr>
          <w:ilvl w:val="0"/>
          <w:numId w:val="1"/>
        </w:numPr>
        <w:tabs>
          <w:tab w:val="left" w:pos="820"/>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目的</w:t>
      </w:r>
    </w:p>
    <w:p w14:paraId="079904B5">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随着固态器械技术不断进步，固态X射线成像器械在医学X射线系统中的作用将不断增大。该进展将导致大量以各种形式利用该技术的器械</w:t>
      </w:r>
      <w:r>
        <w:rPr>
          <w:rFonts w:hint="eastAsia" w:ascii="Arial" w:hAnsi="Arial" w:eastAsia="宋体" w:cs="Arial"/>
          <w:snapToGrid w:val="0"/>
          <w:lang w:eastAsia="zh-CN"/>
        </w:rPr>
        <w:t>的</w:t>
      </w:r>
      <w:r>
        <w:rPr>
          <w:rFonts w:ascii="Arial" w:hAnsi="Arial" w:eastAsia="宋体" w:cs="Arial"/>
          <w:snapToGrid w:val="0"/>
          <w:lang w:eastAsia="zh-CN"/>
        </w:rPr>
        <w:t>上市前（510（k））提交。本文件旨在提供指导，说明为确定SSXI与之前批准的传统射线照相胶片／显示屏系统、透视图像增强成像系统，SSXI或类似器械的实质等同性，器械和放射卫生中心（CDRH）所需的数据类型。</w:t>
      </w:r>
    </w:p>
    <w:p w14:paraId="5BE96D04">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说明</w:t>
      </w:r>
    </w:p>
    <w:p w14:paraId="0E7B1FB6">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本指南涵盖的器械是</w:t>
      </w:r>
      <w:bookmarkStart w:id="10" w:name="OLE_LINK9"/>
      <w:bookmarkStart w:id="11" w:name="OLE_LINK10"/>
      <w:r>
        <w:rPr>
          <w:rFonts w:ascii="Arial" w:hAnsi="Arial" w:eastAsia="宋体" w:cs="Arial"/>
          <w:snapToGrid w:val="0"/>
          <w:lang w:eastAsia="zh-CN"/>
        </w:rPr>
        <w:t>固态传感器</w:t>
      </w:r>
      <w:bookmarkEnd w:id="10"/>
      <w:bookmarkEnd w:id="11"/>
      <w:r>
        <w:rPr>
          <w:rFonts w:ascii="Arial" w:hAnsi="Arial" w:eastAsia="宋体" w:cs="Arial"/>
          <w:snapToGrid w:val="0"/>
          <w:lang w:eastAsia="zh-CN"/>
        </w:rPr>
        <w:t>（通常为平面矩形板），</w:t>
      </w:r>
      <w:r>
        <w:rPr>
          <w:rFonts w:hint="eastAsia" w:ascii="Arial" w:hAnsi="Arial" w:eastAsia="宋体" w:cs="Arial"/>
          <w:snapToGrid w:val="0"/>
          <w:lang w:eastAsia="zh-CN"/>
        </w:rPr>
        <w:t>其</w:t>
      </w:r>
      <w:r>
        <w:rPr>
          <w:rFonts w:ascii="Arial" w:hAnsi="Arial" w:eastAsia="宋体" w:cs="Arial"/>
          <w:snapToGrid w:val="0"/>
          <w:lang w:eastAsia="zh-CN"/>
        </w:rPr>
        <w:t>拦截X射线光子，并通过其中一道程序将光子能量转变为电信号，该电信号随后用于创造可见像。目前可用于执行X射线转换的一些基本类型器械有：</w:t>
      </w:r>
    </w:p>
    <w:p w14:paraId="6BF6BFFA">
      <w:pPr>
        <w:pStyle w:val="2"/>
        <w:numPr>
          <w:ilvl w:val="0"/>
          <w:numId w:val="2"/>
        </w:numPr>
        <w:tabs>
          <w:tab w:val="left" w:pos="472"/>
        </w:tabs>
        <w:topLinePunct/>
        <w:adjustRightInd w:val="0"/>
        <w:snapToGrid w:val="0"/>
        <w:spacing w:after="224" w:afterLines="75" w:line="288" w:lineRule="auto"/>
        <w:ind w:left="472" w:hanging="472"/>
        <w:jc w:val="both"/>
        <w:rPr>
          <w:rFonts w:ascii="Arial" w:hAnsi="Arial" w:eastAsia="宋体" w:cs="Arial"/>
          <w:snapToGrid w:val="0"/>
          <w:lang w:eastAsia="zh-CN"/>
        </w:rPr>
      </w:pPr>
      <w:bookmarkStart w:id="12" w:name="OLE_LINK13"/>
      <w:bookmarkStart w:id="13" w:name="OLE_LINK14"/>
      <w:r>
        <w:rPr>
          <w:rFonts w:ascii="Arial" w:hAnsi="Arial" w:eastAsia="宋体" w:cs="Arial"/>
          <w:snapToGrid w:val="0"/>
          <w:lang w:eastAsia="zh-CN"/>
        </w:rPr>
        <w:t>闪烁体-光电探测器</w:t>
      </w:r>
      <w:bookmarkEnd w:id="12"/>
      <w:bookmarkEnd w:id="13"/>
      <w:r>
        <w:rPr>
          <w:rFonts w:ascii="Arial" w:hAnsi="Arial" w:eastAsia="宋体" w:cs="Arial"/>
          <w:snapToGrid w:val="0"/>
          <w:lang w:eastAsia="zh-CN"/>
        </w:rPr>
        <w:t>器械。闪烁体（比如碘化铯）吸收输入的X射线光子，然后发</w:t>
      </w:r>
      <w:bookmarkStart w:id="14" w:name="OLE_LINK15"/>
      <w:bookmarkStart w:id="15" w:name="OLE_LINK16"/>
      <w:r>
        <w:rPr>
          <w:rFonts w:ascii="Arial" w:hAnsi="Arial" w:eastAsia="宋体" w:cs="Arial"/>
          <w:snapToGrid w:val="0"/>
          <w:lang w:eastAsia="zh-CN"/>
        </w:rPr>
        <w:t>出</w:t>
      </w:r>
      <w:bookmarkStart w:id="16" w:name="OLE_LINK17"/>
      <w:bookmarkStart w:id="17" w:name="OLE_LINK18"/>
      <w:r>
        <w:rPr>
          <w:rFonts w:ascii="Arial" w:hAnsi="Arial" w:eastAsia="宋体" w:cs="Arial"/>
          <w:snapToGrid w:val="0"/>
          <w:lang w:eastAsia="zh-CN"/>
        </w:rPr>
        <w:t>可见光谱光子</w:t>
      </w:r>
      <w:bookmarkEnd w:id="14"/>
      <w:bookmarkEnd w:id="15"/>
      <w:bookmarkEnd w:id="16"/>
      <w:bookmarkEnd w:id="17"/>
      <w:r>
        <w:rPr>
          <w:rFonts w:ascii="Arial" w:hAnsi="Arial" w:eastAsia="宋体" w:cs="Arial"/>
          <w:snapToGrid w:val="0"/>
          <w:lang w:eastAsia="zh-CN"/>
        </w:rPr>
        <w:t>，照亮</w:t>
      </w:r>
      <w:bookmarkStart w:id="18" w:name="OLE_LINK19"/>
      <w:bookmarkStart w:id="19" w:name="OLE_LINK23"/>
      <w:bookmarkStart w:id="20" w:name="OLE_LINK20"/>
      <w:r>
        <w:rPr>
          <w:rFonts w:ascii="Arial" w:hAnsi="Arial" w:eastAsia="宋体" w:cs="Arial"/>
          <w:snapToGrid w:val="0"/>
          <w:lang w:eastAsia="zh-CN"/>
        </w:rPr>
        <w:t>光电探测器</w:t>
      </w:r>
      <w:bookmarkEnd w:id="18"/>
      <w:bookmarkEnd w:id="19"/>
      <w:bookmarkEnd w:id="20"/>
      <w:r>
        <w:rPr>
          <w:rFonts w:ascii="Arial" w:hAnsi="Arial" w:eastAsia="宋体" w:cs="Arial"/>
          <w:snapToGrid w:val="0"/>
          <w:lang w:eastAsia="zh-CN"/>
        </w:rPr>
        <w:t>阵列，由光电探测器</w:t>
      </w:r>
      <w:r>
        <w:rPr>
          <w:rFonts w:hint="eastAsia" w:ascii="Arial" w:hAnsi="Arial" w:eastAsia="宋体" w:cs="Arial"/>
          <w:snapToGrid w:val="0"/>
          <w:lang w:eastAsia="zh-CN"/>
        </w:rPr>
        <w:t>产生</w:t>
      </w:r>
      <w:r>
        <w:rPr>
          <w:rFonts w:ascii="Arial" w:hAnsi="Arial" w:eastAsia="宋体" w:cs="Arial"/>
          <w:snapToGrid w:val="0"/>
          <w:lang w:eastAsia="zh-CN"/>
        </w:rPr>
        <w:t>X射线输入的电荷表示。</w:t>
      </w:r>
      <w:bookmarkStart w:id="21" w:name="OLE_LINK25"/>
      <w:bookmarkStart w:id="22" w:name="OLE_LINK24"/>
      <w:r>
        <w:rPr>
          <w:rFonts w:ascii="Arial" w:hAnsi="Arial" w:eastAsia="宋体" w:cs="Arial"/>
          <w:snapToGrid w:val="0"/>
          <w:lang w:eastAsia="zh-CN"/>
        </w:rPr>
        <w:t>然后对阵列进行矩阵扫描</w:t>
      </w:r>
      <w:bookmarkEnd w:id="21"/>
      <w:bookmarkEnd w:id="22"/>
      <w:bookmarkStart w:id="23" w:name="OLE_LINK26"/>
      <w:r>
        <w:rPr>
          <w:rFonts w:hint="eastAsia" w:ascii="Arial" w:hAnsi="Arial" w:eastAsia="宋体" w:cs="Arial"/>
          <w:snapToGrid w:val="0"/>
          <w:lang w:eastAsia="zh-CN"/>
        </w:rPr>
        <w:t>将</w:t>
      </w:r>
      <w:r>
        <w:rPr>
          <w:rFonts w:ascii="Arial" w:hAnsi="Arial" w:eastAsia="宋体" w:cs="Arial"/>
          <w:snapToGrid w:val="0"/>
          <w:lang w:eastAsia="zh-CN"/>
        </w:rPr>
        <w:t>集成电荷转变为调制电信号</w:t>
      </w:r>
      <w:bookmarkEnd w:id="23"/>
      <w:r>
        <w:rPr>
          <w:rFonts w:ascii="Arial" w:hAnsi="Arial" w:eastAsia="宋体" w:cs="Arial"/>
          <w:snapToGrid w:val="0"/>
          <w:lang w:eastAsia="zh-CN"/>
        </w:rPr>
        <w:t>。</w:t>
      </w:r>
    </w:p>
    <w:p w14:paraId="49AAA9B1">
      <w:pPr>
        <w:pStyle w:val="2"/>
        <w:numPr>
          <w:ilvl w:val="0"/>
          <w:numId w:val="2"/>
        </w:numPr>
        <w:tabs>
          <w:tab w:val="left" w:pos="472"/>
        </w:tabs>
        <w:topLinePunct/>
        <w:adjustRightInd w:val="0"/>
        <w:snapToGrid w:val="0"/>
        <w:spacing w:after="224" w:afterLines="75" w:line="288" w:lineRule="auto"/>
        <w:ind w:left="472" w:hanging="472"/>
        <w:jc w:val="both"/>
        <w:rPr>
          <w:rFonts w:ascii="Arial" w:hAnsi="Arial" w:eastAsia="宋体" w:cs="Arial"/>
          <w:snapToGrid w:val="0"/>
          <w:lang w:eastAsia="zh-CN"/>
        </w:rPr>
      </w:pPr>
      <w:r>
        <w:rPr>
          <w:rFonts w:ascii="Arial" w:hAnsi="Arial" w:eastAsia="宋体" w:cs="Arial"/>
          <w:snapToGrid w:val="0"/>
          <w:lang w:eastAsia="zh-CN"/>
        </w:rPr>
        <w:t>直接转换器械。X射线敏感材料（例如光电导体）吸收X射线光子输入，并创造X射线输入的电荷表示。对阵列进行矩阵扫描（例如通过开关晶体管）读出电荷，然后阵列把电荷转变为调制电信号。</w:t>
      </w:r>
    </w:p>
    <w:p w14:paraId="30E4DE4C">
      <w:pPr>
        <w:topLinePunct/>
        <w:adjustRightInd w:val="0"/>
        <w:snapToGrid w:val="0"/>
        <w:spacing w:after="224" w:afterLines="75" w:line="288" w:lineRule="auto"/>
        <w:jc w:val="both"/>
        <w:rPr>
          <w:rFonts w:ascii="Arial" w:hAnsi="Arial" w:eastAsia="宋体" w:cs="Arial"/>
          <w:snapToGrid w:val="0"/>
          <w:sz w:val="24"/>
          <w:szCs w:val="12"/>
          <w:lang w:eastAsia="zh-CN"/>
        </w:rPr>
      </w:pPr>
      <w:r>
        <w:rPr>
          <w:rFonts w:ascii="Arial" w:hAnsi="Arial" w:eastAsia="宋体" w:cs="Arial"/>
          <w:snapToGrid w:val="0"/>
          <w:sz w:val="24"/>
          <w:lang w:eastAsia="zh-CN"/>
        </w:rPr>
        <w:br w:type="page"/>
      </w:r>
    </w:p>
    <w:p w14:paraId="65ECF6EE">
      <w:pPr>
        <w:pStyle w:val="2"/>
        <w:numPr>
          <w:ilvl w:val="0"/>
          <w:numId w:val="2"/>
        </w:numPr>
        <w:tabs>
          <w:tab w:val="left" w:pos="472"/>
        </w:tabs>
        <w:topLinePunct/>
        <w:adjustRightInd w:val="0"/>
        <w:snapToGrid w:val="0"/>
        <w:spacing w:after="224" w:afterLines="75" w:line="288" w:lineRule="auto"/>
        <w:ind w:left="472" w:hanging="472"/>
        <w:jc w:val="both"/>
        <w:rPr>
          <w:rFonts w:ascii="Arial" w:hAnsi="Arial" w:eastAsia="宋体" w:cs="Arial"/>
          <w:snapToGrid w:val="0"/>
          <w:lang w:eastAsia="zh-CN"/>
        </w:rPr>
      </w:pPr>
      <w:r>
        <w:rPr>
          <w:rFonts w:ascii="Arial" w:hAnsi="Arial" w:eastAsia="宋体" w:cs="Arial"/>
          <w:snapToGrid w:val="0"/>
          <w:lang w:eastAsia="zh-CN"/>
        </w:rPr>
        <w:t>光电耦合探测器。闪烁体（比如碘化铯）吸收输入的X射线光子，然后发出可见光谱光子，可见光谱光子（通过透镜或光纤）与一个或</w:t>
      </w:r>
      <w:bookmarkStart w:id="24" w:name="OLE_LINK36"/>
      <w:bookmarkStart w:id="25" w:name="OLE_LINK35"/>
      <w:r>
        <w:rPr>
          <w:rFonts w:ascii="Arial" w:hAnsi="Arial" w:eastAsia="宋体" w:cs="Arial"/>
          <w:snapToGrid w:val="0"/>
          <w:lang w:eastAsia="zh-CN"/>
        </w:rPr>
        <w:t>多个电荷耦合探测</w:t>
      </w:r>
      <w:bookmarkEnd w:id="24"/>
      <w:bookmarkEnd w:id="25"/>
      <w:r>
        <w:rPr>
          <w:rFonts w:ascii="Arial" w:hAnsi="Arial" w:eastAsia="宋体" w:cs="Arial"/>
          <w:snapToGrid w:val="0"/>
          <w:lang w:eastAsia="zh-CN"/>
        </w:rPr>
        <w:t>器（CCD）进行光学耦合。然后CCD</w:t>
      </w:r>
      <w:r>
        <w:rPr>
          <w:rFonts w:hint="eastAsia" w:ascii="Arial" w:hAnsi="Arial" w:eastAsia="宋体" w:cs="Arial"/>
          <w:snapToGrid w:val="0"/>
          <w:lang w:eastAsia="zh-CN"/>
        </w:rPr>
        <w:t>将</w:t>
      </w:r>
      <w:r>
        <w:rPr>
          <w:rFonts w:ascii="Arial" w:hAnsi="Arial" w:eastAsia="宋体" w:cs="Arial"/>
          <w:snapToGrid w:val="0"/>
          <w:lang w:eastAsia="zh-CN"/>
        </w:rPr>
        <w:t>可见像转变为电信号，这与电视摄像机的原理相同。</w:t>
      </w:r>
    </w:p>
    <w:p w14:paraId="2900E61A">
      <w:pPr>
        <w:pStyle w:val="2"/>
        <w:numPr>
          <w:ilvl w:val="0"/>
          <w:numId w:val="2"/>
        </w:numPr>
        <w:tabs>
          <w:tab w:val="left" w:pos="472"/>
        </w:tabs>
        <w:topLinePunct/>
        <w:adjustRightInd w:val="0"/>
        <w:snapToGrid w:val="0"/>
        <w:spacing w:after="224" w:afterLines="75" w:line="288" w:lineRule="auto"/>
        <w:ind w:left="472" w:hanging="472"/>
        <w:jc w:val="both"/>
        <w:rPr>
          <w:rFonts w:ascii="Arial" w:hAnsi="Arial" w:eastAsia="宋体" w:cs="Arial"/>
          <w:snapToGrid w:val="0"/>
          <w:lang w:eastAsia="zh-CN"/>
        </w:rPr>
      </w:pPr>
      <w:r>
        <w:rPr>
          <w:rFonts w:ascii="Arial" w:hAnsi="Arial" w:eastAsia="宋体" w:cs="Arial"/>
          <w:snapToGrid w:val="0"/>
          <w:lang w:eastAsia="zh-CN"/>
        </w:rPr>
        <w:t>光激励磷光体。</w:t>
      </w:r>
      <w:bookmarkStart w:id="26" w:name="OLE_LINK37"/>
      <w:r>
        <w:rPr>
          <w:rFonts w:ascii="Arial" w:hAnsi="Arial" w:eastAsia="宋体" w:cs="Arial"/>
          <w:snapToGrid w:val="0"/>
          <w:lang w:eastAsia="zh-CN"/>
        </w:rPr>
        <w:t>磷光板（比如钡-氟-溴-碘负离子）</w:t>
      </w:r>
      <w:bookmarkEnd w:id="26"/>
      <w:r>
        <w:rPr>
          <w:rFonts w:ascii="Arial" w:hAnsi="Arial" w:eastAsia="宋体" w:cs="Arial"/>
          <w:snapToGrid w:val="0"/>
          <w:lang w:eastAsia="zh-CN"/>
        </w:rPr>
        <w:t>吸收输入的X射线光子并</w:t>
      </w:r>
      <w:r>
        <w:rPr>
          <w:rFonts w:hint="eastAsia" w:ascii="Arial" w:hAnsi="Arial" w:eastAsia="宋体" w:cs="Arial"/>
          <w:snapToGrid w:val="0"/>
          <w:lang w:eastAsia="zh-CN"/>
        </w:rPr>
        <w:t>产生</w:t>
      </w:r>
      <w:r>
        <w:rPr>
          <w:rFonts w:ascii="Arial" w:hAnsi="Arial" w:eastAsia="宋体" w:cs="Arial"/>
          <w:snapToGrid w:val="0"/>
          <w:lang w:eastAsia="zh-CN"/>
        </w:rPr>
        <w:t>略低于导带的捕获电子。随后用红色激光或近红外激光扫描磷光板释放电子，该过程导致发出与输入</w:t>
      </w:r>
      <w:bookmarkStart w:id="27" w:name="OLE_LINK38"/>
      <w:bookmarkStart w:id="28" w:name="OLE_LINK39"/>
      <w:r>
        <w:rPr>
          <w:rFonts w:ascii="Arial" w:hAnsi="Arial" w:eastAsia="宋体" w:cs="Arial"/>
          <w:snapToGrid w:val="0"/>
          <w:lang w:eastAsia="zh-CN"/>
        </w:rPr>
        <w:t>X射线</w:t>
      </w:r>
      <w:bookmarkEnd w:id="27"/>
      <w:bookmarkEnd w:id="28"/>
      <w:r>
        <w:rPr>
          <w:rFonts w:ascii="Arial" w:hAnsi="Arial" w:eastAsia="宋体" w:cs="Arial"/>
          <w:snapToGrid w:val="0"/>
          <w:lang w:eastAsia="zh-CN"/>
        </w:rPr>
        <w:t>成比例的绿光、蓝光或紫外光。光电倍增器收集这些光并把其转变为调制电信号。</w:t>
      </w:r>
    </w:p>
    <w:p w14:paraId="28E24942">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产生的电信号转变为数字量且通常经过处理以增强所查看图像的可视性。由此导致的输出信号可传输至遥远的查看位置，和／或以电子方式储存供以后查看。信号也可作为硬拷贝器械（例如激光扫描仪）的输入，用于产生图像的纸质或胶片副本。</w:t>
      </w:r>
    </w:p>
    <w:p w14:paraId="793A1EF7">
      <w:pPr>
        <w:pStyle w:val="16"/>
        <w:numPr>
          <w:ilvl w:val="0"/>
          <w:numId w:val="1"/>
        </w:numPr>
        <w:tabs>
          <w:tab w:val="left" w:pos="820"/>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法规要求</w:t>
      </w:r>
    </w:p>
    <w:p w14:paraId="293881D7">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在上市前，新X射线成像器械必须符合1968年</w:t>
      </w:r>
      <w:bookmarkStart w:id="29" w:name="OLE_LINK52"/>
      <w:bookmarkStart w:id="30" w:name="OLE_LINK41"/>
      <w:r>
        <w:rPr>
          <w:rFonts w:ascii="Arial" w:hAnsi="Arial" w:eastAsia="宋体" w:cs="Arial"/>
          <w:snapToGrid w:val="0"/>
          <w:lang w:eastAsia="zh-CN"/>
        </w:rPr>
        <w:t>健康和安全辐射控制法案（RCHSA）</w:t>
      </w:r>
      <w:bookmarkEnd w:id="29"/>
      <w:bookmarkEnd w:id="30"/>
      <w:bookmarkStart w:id="31" w:name="OLE_LINK11"/>
      <w:r>
        <w:rPr>
          <w:rFonts w:ascii="Arial" w:hAnsi="Arial" w:eastAsia="宋体" w:cs="Arial"/>
          <w:snapToGrid w:val="0"/>
          <w:lang w:eastAsia="zh-CN"/>
        </w:rPr>
        <w:t>和1976年联邦食品、药品和化妆品法案的医疗器械修正</w:t>
      </w:r>
      <w:bookmarkEnd w:id="31"/>
      <w:r>
        <w:rPr>
          <w:rFonts w:ascii="Arial" w:hAnsi="Arial" w:eastAsia="宋体" w:cs="Arial"/>
          <w:snapToGrid w:val="0"/>
          <w:lang w:eastAsia="zh-CN"/>
        </w:rPr>
        <w:t>案（MDA）。</w:t>
      </w:r>
    </w:p>
    <w:p w14:paraId="6D2CD77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根据RCHSA，器械必须符合释放电离辐射产品的性能标准。特别地，</w:t>
      </w:r>
      <w:r>
        <w:rPr>
          <w:rFonts w:hint="eastAsia" w:ascii="Arial" w:hAnsi="Arial" w:eastAsia="宋体" w:cs="Arial"/>
          <w:snapToGrid w:val="0"/>
          <w:lang w:eastAsia="zh-CN"/>
        </w:rPr>
        <w:t>其</w:t>
      </w:r>
      <w:r>
        <w:rPr>
          <w:rFonts w:ascii="Arial" w:hAnsi="Arial" w:eastAsia="宋体" w:cs="Arial"/>
          <w:snapToGrid w:val="0"/>
          <w:lang w:eastAsia="zh-CN"/>
        </w:rPr>
        <w:t>必须满足21</w:t>
      </w:r>
      <w:r>
        <w:rPr>
          <w:rFonts w:hint="eastAsia" w:ascii="Arial" w:hAnsi="Arial" w:eastAsia="宋体" w:cs="Arial"/>
          <w:snapToGrid w:val="0"/>
          <w:lang w:eastAsia="zh-CN"/>
        </w:rPr>
        <w:t xml:space="preserve"> </w:t>
      </w:r>
      <w:r>
        <w:rPr>
          <w:rFonts w:ascii="Arial" w:hAnsi="Arial" w:eastAsia="宋体" w:cs="Arial"/>
          <w:snapToGrid w:val="0"/>
          <w:lang w:eastAsia="zh-CN"/>
        </w:rPr>
        <w:t>CFR</w:t>
      </w:r>
      <w:r>
        <w:rPr>
          <w:rFonts w:hint="eastAsia" w:ascii="Arial" w:hAnsi="Arial" w:eastAsia="宋体" w:cs="Arial"/>
          <w:snapToGrid w:val="0"/>
          <w:lang w:eastAsia="zh-CN"/>
        </w:rPr>
        <w:t xml:space="preserve"> </w:t>
      </w:r>
      <w:r>
        <w:rPr>
          <w:rFonts w:ascii="Arial" w:hAnsi="Arial" w:eastAsia="宋体" w:cs="Arial"/>
          <w:snapToGrid w:val="0"/>
          <w:lang w:eastAsia="zh-CN"/>
        </w:rPr>
        <w:t>1020.30诊断X射线系统和</w:t>
      </w:r>
      <w:r>
        <w:rPr>
          <w:rFonts w:hint="eastAsia" w:ascii="Arial" w:hAnsi="Arial" w:eastAsia="宋体" w:cs="Arial"/>
          <w:snapToGrid w:val="0"/>
          <w:lang w:eastAsia="zh-CN"/>
        </w:rPr>
        <w:t>其</w:t>
      </w:r>
      <w:r>
        <w:rPr>
          <w:rFonts w:ascii="Arial" w:hAnsi="Arial" w:eastAsia="宋体" w:cs="Arial"/>
          <w:snapToGrid w:val="0"/>
          <w:lang w:eastAsia="zh-CN"/>
        </w:rPr>
        <w:t>主要部件，1020.31射线照相设备或1020.32透视设备适用小节的要求。</w:t>
      </w:r>
    </w:p>
    <w:p w14:paraId="701C1259">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根据MDA，器械可通过510（k）上市前通知获得上市批准。为达到该目的，必须证明器械与一种合法销售</w:t>
      </w:r>
      <w:r>
        <w:rPr>
          <w:rFonts w:hint="eastAsia" w:ascii="Arial" w:hAnsi="Arial" w:eastAsia="宋体" w:cs="Arial"/>
          <w:snapToGrid w:val="0"/>
          <w:lang w:eastAsia="zh-CN"/>
        </w:rPr>
        <w:t>比较</w:t>
      </w:r>
      <w:r>
        <w:rPr>
          <w:rFonts w:ascii="Arial" w:hAnsi="Arial" w:eastAsia="宋体" w:cs="Arial"/>
          <w:snapToGrid w:val="0"/>
          <w:lang w:eastAsia="zh-CN"/>
        </w:rPr>
        <w:t>器械实质等同。SSXI的</w:t>
      </w:r>
      <w:r>
        <w:rPr>
          <w:rFonts w:hint="eastAsia" w:ascii="Arial" w:hAnsi="Arial" w:eastAsia="宋体" w:cs="Arial"/>
          <w:snapToGrid w:val="0"/>
          <w:lang w:eastAsia="zh-CN"/>
        </w:rPr>
        <w:t>比较</w:t>
      </w:r>
      <w:r>
        <w:rPr>
          <w:rFonts w:ascii="Arial" w:hAnsi="Arial" w:eastAsia="宋体" w:cs="Arial"/>
          <w:snapToGrid w:val="0"/>
          <w:lang w:eastAsia="zh-CN"/>
        </w:rPr>
        <w:t>器械是与正在申请批准器械的预期用途相同或类似的修正案前器械或批准器械。这种比较器械本身可能免于遵守510（k）要求，但这并不能使SSXI免于遵守该要求（参考21 CFR 892.9（b））。SSXI利用与胶片或图像增强器不同的基本科学技术运行，因此仍需遵守510（k）要求。</w:t>
      </w:r>
    </w:p>
    <w:p w14:paraId="015E9A6B">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SSXI的产品代码已确定为</w:t>
      </w:r>
      <w:r>
        <w:rPr>
          <w:rFonts w:ascii="宋体" w:hAnsi="宋体" w:eastAsia="宋体" w:cs="Arial"/>
          <w:snapToGrid w:val="0"/>
          <w:lang w:eastAsia="zh-CN"/>
        </w:rPr>
        <w:t>“</w:t>
      </w:r>
      <w:r>
        <w:rPr>
          <w:rFonts w:ascii="Arial" w:hAnsi="Arial" w:eastAsia="宋体" w:cs="Arial"/>
          <w:snapToGrid w:val="0"/>
          <w:lang w:eastAsia="zh-CN"/>
        </w:rPr>
        <w:t>90 MQB</w:t>
      </w:r>
      <w:r>
        <w:rPr>
          <w:rFonts w:ascii="宋体" w:hAnsi="宋体" w:eastAsia="宋体" w:cs="Arial"/>
          <w:snapToGrid w:val="0"/>
          <w:lang w:eastAsia="zh-CN"/>
        </w:rPr>
        <w:t>”</w:t>
      </w:r>
      <w:r>
        <w:rPr>
          <w:rFonts w:ascii="Arial" w:hAnsi="Arial" w:eastAsia="宋体" w:cs="Arial"/>
          <w:snapToGrid w:val="0"/>
          <w:lang w:eastAsia="zh-CN"/>
        </w:rPr>
        <w:t>，目前归属于II类器械。</w:t>
      </w:r>
    </w:p>
    <w:p w14:paraId="7CFC99DD">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非临床考虑</w:t>
      </w:r>
    </w:p>
    <w:p w14:paraId="6FAE467D">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除申请510（k）批准的所有医疗器械需提交的通用信息外（参考：21 CFR 807.87），也应包含以下针对SSXI的非临床信息。这些信息帮助确定与申办方指出的比较器械的等同性。</w:t>
      </w:r>
    </w:p>
    <w:p w14:paraId="35AE47EC">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br w:type="page"/>
      </w:r>
    </w:p>
    <w:p w14:paraId="5FD870A0">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除非此处有声明或制造商提供声明，否则认为报告的所有特征和测量值是器械在室温下</w:t>
      </w:r>
      <w:r>
        <w:rPr>
          <w:rFonts w:hint="eastAsia" w:ascii="Arial" w:hAnsi="Arial" w:eastAsia="宋体" w:cs="Arial"/>
          <w:snapToGrid w:val="0"/>
          <w:lang w:eastAsia="zh-CN"/>
        </w:rPr>
        <w:t>操作</w:t>
      </w:r>
      <w:r>
        <w:rPr>
          <w:rFonts w:ascii="Arial" w:hAnsi="Arial" w:eastAsia="宋体" w:cs="Arial"/>
          <w:snapToGrid w:val="0"/>
          <w:lang w:eastAsia="zh-CN"/>
        </w:rPr>
        <w:t>时获得。对于报告的定量测量值，应包含不确定性程度（例如误差条）。</w:t>
      </w:r>
    </w:p>
    <w:p w14:paraId="31A2B3F7">
      <w:pPr>
        <w:pStyle w:val="2"/>
        <w:numPr>
          <w:ilvl w:val="0"/>
          <w:numId w:val="3"/>
        </w:numPr>
        <w:tabs>
          <w:tab w:val="left" w:pos="402"/>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物理特征</w:t>
      </w:r>
    </w:p>
    <w:p w14:paraId="3696B00C">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ascii="Arial" w:hAnsi="Arial" w:eastAsia="宋体" w:cs="Arial"/>
          <w:snapToGrid w:val="0"/>
          <w:lang w:eastAsia="zh-CN"/>
        </w:rPr>
        <w:t>提供器械独特的外形尺寸包括长度、宽度、厚度和任何形状特征。</w:t>
      </w:r>
    </w:p>
    <w:p w14:paraId="278503F9">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ascii="Arial" w:hAnsi="Arial" w:eastAsia="宋体" w:cs="Arial"/>
          <w:snapToGrid w:val="0"/>
          <w:lang w:eastAsia="zh-CN"/>
        </w:rPr>
        <w:t>提供传感元件尺寸和间距，包括填充因子即器械上对入射X射线敏感的暴露区域所占比例。也要描述为弥补因</w:t>
      </w:r>
      <w:bookmarkStart w:id="32" w:name="OLE_LINK49"/>
      <w:bookmarkStart w:id="33" w:name="OLE_LINK48"/>
      <w:r>
        <w:rPr>
          <w:rFonts w:hint="eastAsia" w:ascii="Arial" w:hAnsi="Arial" w:eastAsia="宋体" w:cs="Arial"/>
          <w:snapToGrid w:val="0"/>
          <w:lang w:eastAsia="zh-CN"/>
        </w:rPr>
        <w:t>无源</w:t>
      </w:r>
      <w:r>
        <w:rPr>
          <w:rFonts w:ascii="Arial" w:hAnsi="Arial" w:eastAsia="宋体" w:cs="Arial"/>
          <w:snapToGrid w:val="0"/>
          <w:lang w:eastAsia="zh-CN"/>
        </w:rPr>
        <w:t>元件间距离导致</w:t>
      </w:r>
      <w:bookmarkEnd w:id="32"/>
      <w:bookmarkEnd w:id="33"/>
      <w:r>
        <w:rPr>
          <w:rFonts w:ascii="Arial" w:hAnsi="Arial" w:eastAsia="宋体" w:cs="Arial"/>
          <w:snapToGrid w:val="0"/>
          <w:lang w:eastAsia="zh-CN"/>
        </w:rPr>
        <w:t>的</w:t>
      </w:r>
      <w:bookmarkStart w:id="34" w:name="OLE_LINK46"/>
      <w:bookmarkStart w:id="35" w:name="OLE_LINK47"/>
      <w:r>
        <w:rPr>
          <w:rFonts w:ascii="Arial" w:hAnsi="Arial" w:eastAsia="宋体" w:cs="Arial"/>
          <w:snapToGrid w:val="0"/>
          <w:lang w:eastAsia="zh-CN"/>
        </w:rPr>
        <w:t>输入光子丢失</w:t>
      </w:r>
      <w:bookmarkEnd w:id="34"/>
      <w:bookmarkEnd w:id="35"/>
      <w:r>
        <w:rPr>
          <w:rFonts w:ascii="Arial" w:hAnsi="Arial" w:eastAsia="宋体" w:cs="Arial"/>
          <w:snapToGrid w:val="0"/>
          <w:lang w:eastAsia="zh-CN"/>
        </w:rPr>
        <w:t>而增加的任何特性。包括</w:t>
      </w:r>
      <w:bookmarkStart w:id="36" w:name="OLE_LINK44"/>
      <w:bookmarkStart w:id="37" w:name="OLE_LINK45"/>
      <w:r>
        <w:rPr>
          <w:rFonts w:ascii="Arial" w:hAnsi="Arial" w:eastAsia="宋体" w:cs="Arial"/>
          <w:snapToGrid w:val="0"/>
          <w:lang w:eastAsia="zh-CN"/>
        </w:rPr>
        <w:t>水平和</w:t>
      </w:r>
      <w:bookmarkStart w:id="38" w:name="OLE_LINK43"/>
      <w:bookmarkStart w:id="39" w:name="OLE_LINK42"/>
      <w:r>
        <w:rPr>
          <w:rFonts w:ascii="Arial" w:hAnsi="Arial" w:eastAsia="宋体" w:cs="Arial"/>
          <w:snapToGrid w:val="0"/>
          <w:lang w:eastAsia="zh-CN"/>
        </w:rPr>
        <w:t>垂直元件总计数</w:t>
      </w:r>
      <w:bookmarkEnd w:id="36"/>
      <w:bookmarkEnd w:id="37"/>
      <w:bookmarkEnd w:id="38"/>
      <w:bookmarkEnd w:id="39"/>
      <w:r>
        <w:rPr>
          <w:rFonts w:ascii="Arial" w:hAnsi="Arial" w:eastAsia="宋体" w:cs="Arial"/>
          <w:snapToGrid w:val="0"/>
          <w:lang w:eastAsia="zh-CN"/>
        </w:rPr>
        <w:t>（如果适用）。</w:t>
      </w:r>
    </w:p>
    <w:p w14:paraId="6D6759C6">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ascii="Arial" w:hAnsi="Arial" w:eastAsia="宋体" w:cs="Arial"/>
          <w:snapToGrid w:val="0"/>
          <w:lang w:eastAsia="zh-CN"/>
        </w:rPr>
        <w:t>提供结构横截面，用图解形式展示器械元件以便解释X射线转变和信号产生的方法。</w:t>
      </w:r>
    </w:p>
    <w:p w14:paraId="7B9E1666">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ascii="Arial" w:hAnsi="Arial" w:eastAsia="宋体" w:cs="Arial"/>
          <w:snapToGrid w:val="0"/>
          <w:lang w:eastAsia="zh-CN"/>
        </w:rPr>
        <w:t>描述元件的相互关联和用于储存、转换或以其他方式处理探测器内电信号的任何有源或无源元件。</w:t>
      </w:r>
    </w:p>
    <w:p w14:paraId="0A78EC54">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ascii="Arial" w:hAnsi="Arial" w:eastAsia="宋体" w:cs="Arial"/>
          <w:snapToGrid w:val="0"/>
          <w:lang w:eastAsia="zh-CN"/>
        </w:rPr>
        <w:t>提供元件信号存储方案的原理图和总体</w:t>
      </w:r>
      <w:r>
        <w:rPr>
          <w:rFonts w:ascii="宋体" w:hAnsi="宋体" w:eastAsia="宋体" w:cs="Arial"/>
          <w:snapToGrid w:val="0"/>
          <w:lang w:eastAsia="zh-CN"/>
        </w:rPr>
        <w:t>“</w:t>
      </w:r>
      <w:r>
        <w:rPr>
          <w:rFonts w:ascii="Arial" w:hAnsi="Arial" w:eastAsia="宋体" w:cs="Arial"/>
          <w:snapToGrid w:val="0"/>
          <w:lang w:eastAsia="zh-CN"/>
        </w:rPr>
        <w:t>扫描</w:t>
      </w:r>
      <w:r>
        <w:rPr>
          <w:rFonts w:ascii="宋体" w:hAnsi="宋体" w:eastAsia="宋体" w:cs="Arial"/>
          <w:snapToGrid w:val="0"/>
          <w:lang w:eastAsia="zh-CN"/>
        </w:rPr>
        <w:t>”</w:t>
      </w:r>
      <w:r>
        <w:rPr>
          <w:rFonts w:ascii="Arial" w:hAnsi="Arial" w:eastAsia="宋体" w:cs="Arial"/>
          <w:snapToGrid w:val="0"/>
          <w:lang w:eastAsia="zh-CN"/>
        </w:rPr>
        <w:t>和读出机制。该内容可作为</w:t>
      </w:r>
      <w:r>
        <w:rPr>
          <w:rFonts w:hint="eastAsia" w:ascii="Arial" w:hAnsi="Arial" w:eastAsia="宋体" w:cs="Arial"/>
          <w:snapToGrid w:val="0"/>
          <w:lang w:eastAsia="zh-CN"/>
        </w:rPr>
        <w:t>上述</w:t>
      </w:r>
      <w:r>
        <w:rPr>
          <w:rFonts w:ascii="宋体" w:hAnsi="宋体" w:eastAsia="宋体" w:cs="Arial"/>
          <w:snapToGrid w:val="0"/>
          <w:lang w:eastAsia="zh-CN"/>
        </w:rPr>
        <w:t>“</w:t>
      </w:r>
      <w:r>
        <w:rPr>
          <w:rFonts w:ascii="Arial" w:hAnsi="Arial" w:eastAsia="宋体" w:cs="Arial"/>
          <w:snapToGrid w:val="0"/>
          <w:lang w:eastAsia="zh-CN"/>
        </w:rPr>
        <w:t>A.3.</w:t>
      </w:r>
      <w:r>
        <w:rPr>
          <w:rFonts w:ascii="宋体" w:hAnsi="宋体" w:eastAsia="宋体" w:cs="Arial"/>
          <w:snapToGrid w:val="0"/>
          <w:lang w:eastAsia="zh-CN"/>
        </w:rPr>
        <w:t>”</w:t>
      </w:r>
      <w:r>
        <w:rPr>
          <w:rFonts w:ascii="Arial" w:hAnsi="Arial" w:eastAsia="宋体" w:cs="Arial"/>
          <w:snapToGrid w:val="0"/>
          <w:lang w:eastAsia="zh-CN"/>
        </w:rPr>
        <w:t>的一部分。</w:t>
      </w:r>
    </w:p>
    <w:p w14:paraId="75E60082">
      <w:pPr>
        <w:pStyle w:val="2"/>
        <w:numPr>
          <w:ilvl w:val="1"/>
          <w:numId w:val="3"/>
        </w:numPr>
        <w:tabs>
          <w:tab w:val="left" w:pos="1080"/>
        </w:tabs>
        <w:topLinePunct/>
        <w:adjustRightInd w:val="0"/>
        <w:snapToGrid w:val="0"/>
        <w:spacing w:after="224" w:afterLines="75" w:line="288" w:lineRule="auto"/>
        <w:ind w:left="1090" w:leftChars="326" w:hanging="373"/>
        <w:jc w:val="both"/>
        <w:rPr>
          <w:rFonts w:ascii="Arial" w:hAnsi="Arial" w:eastAsia="宋体" w:cs="Arial"/>
          <w:snapToGrid w:val="0"/>
          <w:lang w:eastAsia="zh-CN"/>
        </w:rPr>
      </w:pPr>
      <w:r>
        <w:rPr>
          <w:rFonts w:hint="eastAsia" w:ascii="Arial" w:hAnsi="Arial" w:eastAsia="宋体" w:cs="Arial"/>
          <w:snapToGrid w:val="0"/>
          <w:lang w:eastAsia="zh-CN"/>
        </w:rPr>
        <w:t>提供输入电源要求及容许限和</w:t>
      </w:r>
      <w:bookmarkStart w:id="40" w:name="OLE_LINK50"/>
      <w:bookmarkStart w:id="41" w:name="OLE_LINK51"/>
      <w:r>
        <w:rPr>
          <w:rFonts w:hint="eastAsia" w:ascii="Arial" w:hAnsi="Arial" w:eastAsia="宋体" w:cs="Arial"/>
          <w:snapToGrid w:val="0"/>
          <w:lang w:eastAsia="zh-CN"/>
        </w:rPr>
        <w:t>电源噪声</w:t>
      </w:r>
      <w:bookmarkEnd w:id="40"/>
      <w:bookmarkEnd w:id="41"/>
      <w:r>
        <w:rPr>
          <w:rFonts w:hint="eastAsia" w:ascii="Arial" w:hAnsi="Arial" w:eastAsia="宋体" w:cs="Arial"/>
          <w:snapToGrid w:val="0"/>
          <w:lang w:eastAsia="zh-CN"/>
        </w:rPr>
        <w:t>对器械运行的影响。</w:t>
      </w:r>
    </w:p>
    <w:p w14:paraId="231B6AC7">
      <w:pPr>
        <w:pStyle w:val="2"/>
        <w:numPr>
          <w:ilvl w:val="0"/>
          <w:numId w:val="3"/>
        </w:numPr>
        <w:tabs>
          <w:tab w:val="left" w:pos="395"/>
        </w:tabs>
        <w:topLinePunct/>
        <w:adjustRightInd w:val="0"/>
        <w:snapToGrid w:val="0"/>
        <w:spacing w:after="224" w:afterLines="75" w:line="288" w:lineRule="auto"/>
        <w:ind w:left="0" w:firstLine="0"/>
        <w:jc w:val="both"/>
        <w:rPr>
          <w:rFonts w:ascii="Arial" w:hAnsi="Arial" w:eastAsia="宋体" w:cs="Arial"/>
          <w:snapToGrid w:val="0"/>
        </w:rPr>
      </w:pPr>
      <w:r>
        <w:rPr>
          <w:rFonts w:hint="eastAsia" w:ascii="Arial" w:hAnsi="Arial" w:eastAsia="宋体" w:cs="Arial"/>
          <w:snapToGrid w:val="0"/>
          <w:lang w:eastAsia="zh-CN"/>
        </w:rPr>
        <w:t>操作</w:t>
      </w:r>
      <w:r>
        <w:rPr>
          <w:rFonts w:ascii="Arial" w:hAnsi="Arial" w:eastAsia="宋体" w:cs="Arial"/>
          <w:snapToGrid w:val="0"/>
          <w:lang w:eastAsia="zh-CN"/>
        </w:rPr>
        <w:t>功能</w:t>
      </w:r>
    </w:p>
    <w:p w14:paraId="2700D016">
      <w:pPr>
        <w:pStyle w:val="2"/>
        <w:numPr>
          <w:ilvl w:val="1"/>
          <w:numId w:val="3"/>
        </w:numPr>
        <w:tabs>
          <w:tab w:val="left" w:pos="1080"/>
        </w:tabs>
        <w:topLinePunct/>
        <w:adjustRightInd w:val="0"/>
        <w:snapToGrid w:val="0"/>
        <w:spacing w:after="224" w:afterLines="75" w:line="288" w:lineRule="auto"/>
        <w:ind w:left="1078" w:leftChars="323" w:hanging="367" w:hangingChars="153"/>
        <w:jc w:val="both"/>
        <w:rPr>
          <w:rFonts w:ascii="Arial" w:hAnsi="Arial" w:eastAsia="宋体" w:cs="Arial"/>
          <w:snapToGrid w:val="0"/>
          <w:lang w:eastAsia="zh-CN"/>
        </w:rPr>
      </w:pPr>
      <w:r>
        <w:rPr>
          <w:rFonts w:ascii="Arial" w:hAnsi="Arial" w:eastAsia="宋体" w:cs="Arial"/>
          <w:snapToGrid w:val="0"/>
          <w:lang w:eastAsia="zh-CN"/>
        </w:rPr>
        <w:t>提供</w:t>
      </w:r>
      <w:r>
        <w:rPr>
          <w:rFonts w:hint="eastAsia" w:ascii="Arial" w:hAnsi="Arial" w:eastAsia="宋体" w:cs="Arial"/>
          <w:snapToGrid w:val="0"/>
          <w:lang w:eastAsia="zh-CN"/>
        </w:rPr>
        <w:t>曝光</w:t>
      </w:r>
      <w:r>
        <w:rPr>
          <w:rFonts w:ascii="Arial" w:hAnsi="Arial" w:eastAsia="宋体" w:cs="Arial"/>
          <w:snapToGrid w:val="0"/>
          <w:lang w:eastAsia="zh-CN"/>
        </w:rPr>
        <w:t>方法和透视检查</w:t>
      </w:r>
      <w:bookmarkStart w:id="42" w:name="OLE_LINK54"/>
      <w:bookmarkStart w:id="43" w:name="OLE_LINK55"/>
      <w:r>
        <w:rPr>
          <w:rFonts w:ascii="Arial" w:hAnsi="Arial" w:eastAsia="宋体" w:cs="Arial"/>
          <w:snapToGrid w:val="0"/>
          <w:lang w:eastAsia="zh-CN"/>
        </w:rPr>
        <w:t>的响应率（每秒的画面）</w:t>
      </w:r>
      <w:bookmarkEnd w:id="42"/>
      <w:bookmarkEnd w:id="43"/>
      <w:r>
        <w:rPr>
          <w:rFonts w:ascii="Arial" w:hAnsi="Arial" w:eastAsia="宋体" w:cs="Arial"/>
          <w:snapToGrid w:val="0"/>
          <w:lang w:eastAsia="zh-CN"/>
        </w:rPr>
        <w:t>。描述从打开器械至</w:t>
      </w:r>
      <w:r>
        <w:rPr>
          <w:rFonts w:hint="eastAsia" w:ascii="Arial" w:hAnsi="Arial" w:eastAsia="宋体" w:cs="Arial"/>
          <w:snapToGrid w:val="0"/>
          <w:lang w:eastAsia="zh-CN"/>
        </w:rPr>
        <w:t>将</w:t>
      </w:r>
      <w:r>
        <w:rPr>
          <w:rFonts w:ascii="Arial" w:hAnsi="Arial" w:eastAsia="宋体" w:cs="Arial"/>
          <w:snapToGrid w:val="0"/>
          <w:lang w:eastAsia="zh-CN"/>
        </w:rPr>
        <w:t>图像呈现给用户的</w:t>
      </w:r>
      <w:bookmarkStart w:id="44" w:name="OLE_LINK57"/>
      <w:bookmarkStart w:id="45" w:name="OLE_LINK56"/>
      <w:r>
        <w:rPr>
          <w:rFonts w:ascii="Arial" w:hAnsi="Arial" w:eastAsia="宋体" w:cs="Arial"/>
          <w:snapToGrid w:val="0"/>
          <w:lang w:eastAsia="zh-CN"/>
        </w:rPr>
        <w:t>典型曝光顺序</w:t>
      </w:r>
      <w:bookmarkEnd w:id="44"/>
      <w:bookmarkEnd w:id="45"/>
      <w:r>
        <w:rPr>
          <w:rFonts w:ascii="Arial" w:hAnsi="Arial" w:eastAsia="宋体" w:cs="Arial"/>
          <w:snapToGrid w:val="0"/>
          <w:lang w:eastAsia="zh-CN"/>
        </w:rPr>
        <w:t>。</w:t>
      </w:r>
    </w:p>
    <w:p w14:paraId="295F4BBA">
      <w:pPr>
        <w:pStyle w:val="2"/>
        <w:numPr>
          <w:ilvl w:val="1"/>
          <w:numId w:val="3"/>
        </w:numPr>
        <w:tabs>
          <w:tab w:val="left" w:pos="1080"/>
        </w:tabs>
        <w:topLinePunct/>
        <w:adjustRightInd w:val="0"/>
        <w:snapToGrid w:val="0"/>
        <w:spacing w:after="224" w:afterLines="75" w:line="288" w:lineRule="auto"/>
        <w:ind w:left="1078" w:leftChars="323" w:hanging="367" w:hangingChars="153"/>
        <w:jc w:val="both"/>
        <w:rPr>
          <w:rFonts w:ascii="Arial" w:hAnsi="Arial" w:eastAsia="宋体" w:cs="Arial"/>
          <w:snapToGrid w:val="0"/>
          <w:lang w:eastAsia="zh-CN"/>
        </w:rPr>
      </w:pPr>
      <w:r>
        <w:rPr>
          <w:rFonts w:ascii="Arial" w:hAnsi="Arial" w:eastAsia="宋体" w:cs="Arial"/>
          <w:snapToGrid w:val="0"/>
          <w:lang w:eastAsia="zh-CN"/>
        </w:rPr>
        <w:t>提供</w:t>
      </w:r>
      <w:bookmarkStart w:id="46" w:name="OLE_LINK1"/>
      <w:bookmarkStart w:id="47" w:name="OLE_LINK2"/>
      <w:r>
        <w:rPr>
          <w:rFonts w:ascii="Arial" w:hAnsi="Arial" w:eastAsia="宋体" w:cs="Arial"/>
          <w:snapToGrid w:val="0"/>
          <w:lang w:eastAsia="zh-CN"/>
        </w:rPr>
        <w:t>X射线吸收器</w:t>
      </w:r>
      <w:bookmarkEnd w:id="46"/>
      <w:bookmarkEnd w:id="47"/>
      <w:r>
        <w:rPr>
          <w:rFonts w:ascii="Arial" w:hAnsi="Arial" w:eastAsia="宋体" w:cs="Arial"/>
          <w:snapToGrid w:val="0"/>
          <w:lang w:eastAsia="zh-CN"/>
        </w:rPr>
        <w:t>、材料说明。描述主要的X射线探测材料和其基于光子能量（keV）或波长（mm）的X射线探测属性；包括任何非线性响应特征。</w:t>
      </w:r>
    </w:p>
    <w:p w14:paraId="1993A26C">
      <w:pPr>
        <w:pStyle w:val="2"/>
        <w:numPr>
          <w:ilvl w:val="1"/>
          <w:numId w:val="3"/>
        </w:numPr>
        <w:tabs>
          <w:tab w:val="left" w:pos="1080"/>
        </w:tabs>
        <w:topLinePunct/>
        <w:adjustRightInd w:val="0"/>
        <w:snapToGrid w:val="0"/>
        <w:spacing w:after="224" w:afterLines="75" w:line="288" w:lineRule="auto"/>
        <w:ind w:left="1078" w:leftChars="323" w:hanging="367" w:hangingChars="153"/>
        <w:jc w:val="both"/>
        <w:rPr>
          <w:rFonts w:ascii="Arial" w:hAnsi="Arial" w:eastAsia="宋体" w:cs="Arial"/>
          <w:snapToGrid w:val="0"/>
          <w:lang w:eastAsia="zh-CN"/>
        </w:rPr>
      </w:pPr>
      <w:r>
        <w:rPr>
          <w:rFonts w:ascii="Arial" w:hAnsi="Arial" w:eastAsia="宋体" w:cs="Arial"/>
          <w:snapToGrid w:val="0"/>
          <w:lang w:eastAsia="zh-CN"/>
        </w:rPr>
        <w:t>提供所用能量转换机制的描述（例如X射线-光-电信号的转换）。描述器械内涉及能量转换的所有过程（例如X射线-可见像）。</w:t>
      </w:r>
    </w:p>
    <w:p w14:paraId="323FB84E">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br w:type="page"/>
      </w:r>
    </w:p>
    <w:p w14:paraId="065E1171">
      <w:pPr>
        <w:pStyle w:val="2"/>
        <w:numPr>
          <w:ilvl w:val="1"/>
          <w:numId w:val="3"/>
        </w:numPr>
        <w:tabs>
          <w:tab w:val="left" w:pos="1080"/>
        </w:tabs>
        <w:topLinePunct/>
        <w:adjustRightInd w:val="0"/>
        <w:snapToGrid w:val="0"/>
        <w:spacing w:after="224" w:afterLines="75" w:line="288" w:lineRule="auto"/>
        <w:ind w:left="1089" w:leftChars="322" w:hanging="381" w:hangingChars="159"/>
        <w:jc w:val="both"/>
        <w:rPr>
          <w:rFonts w:ascii="Arial" w:hAnsi="Arial" w:eastAsia="宋体" w:cs="Arial"/>
          <w:snapToGrid w:val="0"/>
          <w:lang w:eastAsia="zh-CN"/>
        </w:rPr>
      </w:pPr>
      <w:r>
        <w:rPr>
          <w:rFonts w:ascii="Arial" w:hAnsi="Arial" w:eastAsia="宋体" w:cs="Arial"/>
          <w:snapToGrid w:val="0"/>
          <w:lang w:eastAsia="zh-CN"/>
        </w:rPr>
        <w:t>描述读出机制和</w:t>
      </w:r>
      <w:bookmarkStart w:id="48" w:name="OLE_LINK8"/>
      <w:bookmarkStart w:id="49" w:name="OLE_LINK7"/>
      <w:r>
        <w:rPr>
          <w:rFonts w:ascii="Arial" w:hAnsi="Arial" w:eastAsia="宋体" w:cs="Arial"/>
          <w:snapToGrid w:val="0"/>
          <w:lang w:eastAsia="zh-CN"/>
        </w:rPr>
        <w:t>对探测元件</w:t>
      </w:r>
      <w:bookmarkEnd w:id="48"/>
      <w:bookmarkEnd w:id="49"/>
      <w:r>
        <w:rPr>
          <w:rFonts w:ascii="Arial" w:hAnsi="Arial" w:eastAsia="宋体" w:cs="Arial"/>
          <w:snapToGrid w:val="0"/>
          <w:lang w:eastAsia="zh-CN"/>
        </w:rPr>
        <w:t>进行整流所用的技术。描述从连续元件按顺序读出信号所用的方法。包括最大和最小速度和透视检查器械中为确定与显示或记录器械同步所用的方法。</w:t>
      </w:r>
    </w:p>
    <w:p w14:paraId="7405D7D1">
      <w:pPr>
        <w:pStyle w:val="2"/>
        <w:numPr>
          <w:ilvl w:val="1"/>
          <w:numId w:val="3"/>
        </w:numPr>
        <w:tabs>
          <w:tab w:val="left" w:pos="1080"/>
        </w:tabs>
        <w:topLinePunct/>
        <w:adjustRightInd w:val="0"/>
        <w:snapToGrid w:val="0"/>
        <w:spacing w:after="224" w:afterLines="75" w:line="288" w:lineRule="auto"/>
        <w:ind w:left="1089" w:leftChars="322" w:hanging="381" w:hangingChars="159"/>
        <w:jc w:val="both"/>
        <w:rPr>
          <w:rFonts w:ascii="Arial" w:hAnsi="Arial" w:eastAsia="宋体" w:cs="Arial"/>
          <w:snapToGrid w:val="0"/>
          <w:lang w:eastAsia="zh-CN"/>
        </w:rPr>
      </w:pPr>
      <w:r>
        <w:rPr>
          <w:rFonts w:ascii="Arial" w:hAnsi="Arial" w:eastAsia="宋体" w:cs="Arial"/>
          <w:snapToGrid w:val="0"/>
          <w:lang w:eastAsia="zh-CN"/>
        </w:rPr>
        <w:t>提供输出数据描述和输出信号的任何</w:t>
      </w:r>
      <w:bookmarkStart w:id="50" w:name="OLE_LINK27"/>
      <w:bookmarkStart w:id="51" w:name="OLE_LINK12"/>
      <w:r>
        <w:rPr>
          <w:rFonts w:ascii="Arial" w:hAnsi="Arial" w:eastAsia="宋体" w:cs="Arial"/>
          <w:snapToGrid w:val="0"/>
          <w:lang w:eastAsia="zh-CN"/>
        </w:rPr>
        <w:t>直接访问点</w:t>
      </w:r>
      <w:bookmarkEnd w:id="50"/>
      <w:bookmarkEnd w:id="51"/>
      <w:r>
        <w:rPr>
          <w:rFonts w:ascii="Arial" w:hAnsi="Arial" w:eastAsia="宋体" w:cs="Arial"/>
          <w:snapToGrid w:val="0"/>
          <w:lang w:eastAsia="zh-CN"/>
        </w:rPr>
        <w:t>。指出确定数据格式并供下载和分析使用</w:t>
      </w:r>
      <w:r>
        <w:rPr>
          <w:rFonts w:hint="eastAsia" w:ascii="Arial" w:hAnsi="Arial" w:eastAsia="宋体" w:cs="Arial"/>
          <w:snapToGrid w:val="0"/>
          <w:lang w:eastAsia="zh-CN"/>
        </w:rPr>
        <w:t>的</w:t>
      </w:r>
      <w:r>
        <w:rPr>
          <w:rFonts w:ascii="Arial" w:hAnsi="Arial" w:eastAsia="宋体" w:cs="Arial"/>
          <w:snapToGrid w:val="0"/>
          <w:lang w:eastAsia="zh-CN"/>
        </w:rPr>
        <w:t>通信标准（例如DICOM）。</w:t>
      </w:r>
    </w:p>
    <w:p w14:paraId="257B8122">
      <w:pPr>
        <w:pStyle w:val="2"/>
        <w:numPr>
          <w:ilvl w:val="0"/>
          <w:numId w:val="3"/>
        </w:numPr>
        <w:tabs>
          <w:tab w:val="left" w:pos="390"/>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功能特征</w:t>
      </w:r>
    </w:p>
    <w:p w14:paraId="145D495B">
      <w:pPr>
        <w:pStyle w:val="2"/>
        <w:numPr>
          <w:ilvl w:val="1"/>
          <w:numId w:val="3"/>
        </w:numPr>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对于透视器械，提供应用的视频信号输出格式</w:t>
      </w:r>
      <w:r>
        <w:rPr>
          <w:rFonts w:hint="eastAsia" w:ascii="Arial" w:hAnsi="Arial" w:eastAsia="宋体" w:cs="Arial"/>
          <w:snapToGrid w:val="0"/>
          <w:lang w:eastAsia="zh-CN"/>
        </w:rPr>
        <w:t>、</w:t>
      </w:r>
      <w:r>
        <w:rPr>
          <w:rFonts w:ascii="Arial" w:hAnsi="Arial" w:eastAsia="宋体" w:cs="Arial"/>
          <w:snapToGrid w:val="0"/>
          <w:lang w:eastAsia="zh-CN"/>
        </w:rPr>
        <w:t>采样波形和标准。提供</w:t>
      </w:r>
      <w:bookmarkStart w:id="52" w:name="OLE_LINK29"/>
      <w:bookmarkStart w:id="53" w:name="OLE_LINK28"/>
      <w:r>
        <w:rPr>
          <w:rFonts w:ascii="Arial" w:hAnsi="Arial" w:eastAsia="宋体" w:cs="Arial"/>
          <w:snapToGrid w:val="0"/>
          <w:lang w:eastAsia="zh-CN"/>
        </w:rPr>
        <w:t>水平扫描线</w:t>
      </w:r>
      <w:bookmarkEnd w:id="52"/>
      <w:bookmarkEnd w:id="53"/>
      <w:r>
        <w:rPr>
          <w:rFonts w:ascii="Arial" w:hAnsi="Arial" w:eastAsia="宋体" w:cs="Arial"/>
          <w:snapToGrid w:val="0"/>
          <w:lang w:eastAsia="zh-CN"/>
        </w:rPr>
        <w:t>和</w:t>
      </w:r>
      <w:bookmarkStart w:id="54" w:name="OLE_LINK31"/>
      <w:bookmarkStart w:id="55" w:name="OLE_LINK30"/>
      <w:r>
        <w:rPr>
          <w:rFonts w:ascii="Arial" w:hAnsi="Arial" w:eastAsia="宋体" w:cs="Arial"/>
          <w:snapToGrid w:val="0"/>
          <w:lang w:eastAsia="zh-CN"/>
        </w:rPr>
        <w:t>垂直场信号</w:t>
      </w:r>
      <w:bookmarkEnd w:id="54"/>
      <w:bookmarkEnd w:id="55"/>
      <w:r>
        <w:rPr>
          <w:rFonts w:ascii="Arial" w:hAnsi="Arial" w:eastAsia="宋体" w:cs="Arial"/>
          <w:snapToGrid w:val="0"/>
          <w:lang w:eastAsia="zh-CN"/>
        </w:rPr>
        <w:t>的简图或照片并标注信号的关键要素。</w:t>
      </w:r>
    </w:p>
    <w:p w14:paraId="12963D05">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提供</w:t>
      </w:r>
      <w:bookmarkStart w:id="56" w:name="OLE_LINK53"/>
      <w:bookmarkStart w:id="57" w:name="OLE_LINK58"/>
      <w:bookmarkStart w:id="58" w:name="OLE_LINK40"/>
      <w:bookmarkStart w:id="59" w:name="OLE_LINK34"/>
      <w:r>
        <w:rPr>
          <w:rFonts w:ascii="Arial" w:hAnsi="Arial" w:eastAsia="宋体" w:cs="Arial"/>
          <w:snapToGrid w:val="0"/>
          <w:lang w:eastAsia="zh-CN"/>
        </w:rPr>
        <w:t>低时空频率</w:t>
      </w:r>
      <w:bookmarkEnd w:id="56"/>
      <w:bookmarkEnd w:id="57"/>
      <w:r>
        <w:rPr>
          <w:rFonts w:ascii="Arial" w:hAnsi="Arial" w:eastAsia="宋体" w:cs="Arial"/>
          <w:snapToGrid w:val="0"/>
          <w:lang w:eastAsia="zh-CN"/>
        </w:rPr>
        <w:t>时的</w:t>
      </w:r>
      <w:bookmarkStart w:id="60" w:name="OLE_LINK32"/>
      <w:bookmarkStart w:id="61" w:name="OLE_LINK33"/>
      <w:r>
        <w:rPr>
          <w:rFonts w:ascii="Arial" w:hAnsi="Arial" w:eastAsia="宋体" w:cs="Arial"/>
          <w:snapToGrid w:val="0"/>
          <w:lang w:eastAsia="zh-CN"/>
        </w:rPr>
        <w:t>检测量子效</w:t>
      </w:r>
      <w:bookmarkEnd w:id="58"/>
      <w:bookmarkEnd w:id="59"/>
      <w:bookmarkEnd w:id="60"/>
      <w:bookmarkEnd w:id="61"/>
      <w:r>
        <w:rPr>
          <w:rFonts w:ascii="Arial" w:hAnsi="Arial" w:eastAsia="宋体" w:cs="Arial"/>
          <w:snapToGrid w:val="0"/>
          <w:lang w:eastAsia="zh-CN"/>
        </w:rPr>
        <w:t>率（DQE）估计。描述估计方法和由误差传播导致的不确定性程度。</w:t>
      </w:r>
    </w:p>
    <w:p w14:paraId="1E2CF25E">
      <w:pPr>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sz w:val="24"/>
          <w:szCs w:val="24"/>
          <w:lang w:eastAsia="zh-CN"/>
        </w:rPr>
      </w:pPr>
      <w:r>
        <w:rPr>
          <w:rFonts w:ascii="Arial" w:hAnsi="Arial" w:eastAsia="宋体" w:cs="Arial"/>
          <w:snapToGrid w:val="0"/>
          <w:sz w:val="24"/>
          <w:lang w:eastAsia="zh-CN"/>
        </w:rPr>
        <w:t>对于量子限制性能【即在正常曝光或帧率范围内</w:t>
      </w:r>
      <w:r>
        <w:rPr>
          <w:rFonts w:hint="eastAsia" w:ascii="Arial" w:hAnsi="Arial" w:eastAsia="宋体" w:cs="Arial"/>
          <w:snapToGrid w:val="0"/>
          <w:sz w:val="24"/>
          <w:lang w:eastAsia="zh-CN"/>
        </w:rPr>
        <w:t>操作</w:t>
      </w:r>
      <w:r>
        <w:rPr>
          <w:rFonts w:ascii="Arial" w:hAnsi="Arial" w:eastAsia="宋体" w:cs="Arial"/>
          <w:snapToGrid w:val="0"/>
          <w:sz w:val="24"/>
          <w:lang w:eastAsia="zh-CN"/>
        </w:rPr>
        <w:t>时SSXI增加的噪声</w:t>
      </w:r>
      <w:bookmarkStart w:id="62" w:name="OLE_LINK61"/>
      <w:bookmarkStart w:id="63" w:name="OLE_LINK62"/>
      <w:r>
        <w:rPr>
          <w:rFonts w:ascii="Arial" w:hAnsi="Arial" w:eastAsia="宋体" w:cs="Arial"/>
          <w:snapToGrid w:val="0"/>
          <w:sz w:val="24"/>
          <w:lang w:eastAsia="zh-CN"/>
        </w:rPr>
        <w:t>不超过X射线量子噪声</w:t>
      </w:r>
      <w:bookmarkEnd w:id="62"/>
      <w:bookmarkEnd w:id="63"/>
      <w:r>
        <w:rPr>
          <w:rFonts w:ascii="Arial" w:hAnsi="Arial" w:eastAsia="宋体" w:cs="Arial"/>
          <w:snapToGrid w:val="0"/>
          <w:sz w:val="24"/>
          <w:lang w:eastAsia="zh-CN"/>
        </w:rPr>
        <w:t>。】，提供证明器械在指定帧率或曝光水平下</w:t>
      </w:r>
      <w:r>
        <w:rPr>
          <w:rFonts w:hint="eastAsia" w:ascii="Arial" w:hAnsi="Arial" w:eastAsia="宋体" w:cs="Arial"/>
          <w:snapToGrid w:val="0"/>
          <w:sz w:val="24"/>
          <w:lang w:eastAsia="zh-CN"/>
        </w:rPr>
        <w:t>操作</w:t>
      </w:r>
      <w:r>
        <w:rPr>
          <w:rFonts w:ascii="Arial" w:hAnsi="Arial" w:eastAsia="宋体" w:cs="Arial"/>
          <w:snapToGrid w:val="0"/>
          <w:sz w:val="24"/>
          <w:lang w:eastAsia="zh-CN"/>
        </w:rPr>
        <w:t>时处于量子限制模式的数据。如果不受量子限制，</w:t>
      </w:r>
      <w:r>
        <w:rPr>
          <w:rFonts w:hint="eastAsia" w:ascii="Arial" w:hAnsi="Arial" w:eastAsia="宋体" w:cs="Arial"/>
          <w:snapToGrid w:val="0"/>
          <w:sz w:val="24"/>
          <w:lang w:eastAsia="zh-CN"/>
        </w:rPr>
        <w:t>则</w:t>
      </w:r>
      <w:r>
        <w:rPr>
          <w:rFonts w:ascii="Arial" w:hAnsi="Arial" w:eastAsia="宋体" w:cs="Arial"/>
          <w:snapToGrid w:val="0"/>
          <w:sz w:val="24"/>
          <w:lang w:eastAsia="zh-CN"/>
        </w:rPr>
        <w:t>提供</w:t>
      </w:r>
      <w:r>
        <w:rPr>
          <w:rFonts w:hint="eastAsia" w:ascii="Arial" w:hAnsi="Arial" w:eastAsia="宋体" w:cs="Arial"/>
          <w:snapToGrid w:val="0"/>
          <w:sz w:val="24"/>
          <w:lang w:eastAsia="zh-CN"/>
        </w:rPr>
        <w:t>未达到</w:t>
      </w:r>
      <w:r>
        <w:rPr>
          <w:rFonts w:ascii="Arial" w:hAnsi="Arial" w:eastAsia="宋体" w:cs="Arial"/>
          <w:snapToGrid w:val="0"/>
          <w:sz w:val="24"/>
          <w:lang w:eastAsia="zh-CN"/>
        </w:rPr>
        <w:t>量子限制</w:t>
      </w:r>
      <w:r>
        <w:rPr>
          <w:rFonts w:hint="eastAsia" w:ascii="Arial" w:hAnsi="Arial" w:eastAsia="宋体" w:cs="Arial"/>
          <w:snapToGrid w:val="0"/>
          <w:sz w:val="24"/>
          <w:lang w:eastAsia="zh-CN"/>
        </w:rPr>
        <w:t>操作</w:t>
      </w:r>
      <w:r>
        <w:rPr>
          <w:rFonts w:ascii="Arial" w:hAnsi="Arial" w:eastAsia="宋体" w:cs="Arial"/>
          <w:snapToGrid w:val="0"/>
          <w:sz w:val="24"/>
          <w:lang w:eastAsia="zh-CN"/>
        </w:rPr>
        <w:t>时的曝光范围（透视检查提供帧率范围）。</w:t>
      </w:r>
      <w:r>
        <w:rPr>
          <w:rFonts w:ascii="Arial" w:hAnsi="Arial" w:eastAsia="宋体" w:cs="Arial"/>
          <w:i/>
          <w:snapToGrid w:val="0"/>
          <w:sz w:val="24"/>
          <w:lang w:eastAsia="zh-CN"/>
        </w:rPr>
        <w:t>预期所有比较器械在其正常</w:t>
      </w:r>
      <w:r>
        <w:rPr>
          <w:rFonts w:hint="eastAsia" w:ascii="Arial" w:hAnsi="Arial" w:eastAsia="宋体" w:cs="Arial"/>
          <w:i/>
          <w:snapToGrid w:val="0"/>
          <w:sz w:val="24"/>
          <w:lang w:eastAsia="zh-CN"/>
        </w:rPr>
        <w:t>操作</w:t>
      </w:r>
      <w:r>
        <w:rPr>
          <w:rFonts w:ascii="Arial" w:hAnsi="Arial" w:eastAsia="宋体" w:cs="Arial"/>
          <w:i/>
          <w:snapToGrid w:val="0"/>
          <w:sz w:val="24"/>
          <w:lang w:eastAsia="zh-CN"/>
        </w:rPr>
        <w:t>范围内会显示量子限制行为。</w:t>
      </w:r>
    </w:p>
    <w:p w14:paraId="50A958C2">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提供器械的调制或</w:t>
      </w:r>
      <w:bookmarkStart w:id="64" w:name="OLE_LINK63"/>
      <w:bookmarkStart w:id="65" w:name="OLE_LINK64"/>
      <w:r>
        <w:rPr>
          <w:rFonts w:ascii="Arial" w:hAnsi="Arial" w:eastAsia="宋体" w:cs="Arial"/>
          <w:snapToGrid w:val="0"/>
          <w:lang w:eastAsia="zh-CN"/>
        </w:rPr>
        <w:t>对比度传递函数</w:t>
      </w:r>
      <w:bookmarkEnd w:id="64"/>
      <w:bookmarkEnd w:id="65"/>
      <w:r>
        <w:rPr>
          <w:rFonts w:ascii="Arial" w:hAnsi="Arial" w:eastAsia="宋体" w:cs="Arial"/>
          <w:snapToGrid w:val="0"/>
          <w:lang w:eastAsia="zh-CN"/>
        </w:rPr>
        <w:t>绘图。指出为获得测量值所需的器械设定和</w:t>
      </w:r>
      <w:bookmarkStart w:id="66" w:name="OLE_LINK65"/>
      <w:bookmarkStart w:id="67" w:name="OLE_LINK66"/>
      <w:r>
        <w:rPr>
          <w:rFonts w:ascii="Arial" w:hAnsi="Arial" w:eastAsia="宋体" w:cs="Arial"/>
          <w:snapToGrid w:val="0"/>
          <w:lang w:eastAsia="zh-CN"/>
        </w:rPr>
        <w:t>输入剂量水平</w:t>
      </w:r>
      <w:bookmarkEnd w:id="66"/>
      <w:bookmarkEnd w:id="67"/>
      <w:r>
        <w:rPr>
          <w:rFonts w:ascii="Arial" w:hAnsi="Arial" w:eastAsia="宋体" w:cs="Arial"/>
          <w:snapToGrid w:val="0"/>
          <w:lang w:eastAsia="zh-CN"/>
        </w:rPr>
        <w:t>。如果传递特征随任何其他函数改变，</w:t>
      </w:r>
      <w:r>
        <w:rPr>
          <w:rFonts w:hint="eastAsia" w:ascii="Arial" w:hAnsi="Arial" w:eastAsia="宋体" w:cs="Arial"/>
          <w:snapToGrid w:val="0"/>
          <w:lang w:eastAsia="zh-CN"/>
        </w:rPr>
        <w:t>则表明</w:t>
      </w:r>
      <w:r>
        <w:rPr>
          <w:rFonts w:ascii="Arial" w:hAnsi="Arial" w:eastAsia="宋体" w:cs="Arial"/>
          <w:snapToGrid w:val="0"/>
          <w:lang w:eastAsia="zh-CN"/>
        </w:rPr>
        <w:t>改变</w:t>
      </w:r>
      <w:r>
        <w:rPr>
          <w:rFonts w:hint="eastAsia" w:ascii="Arial" w:hAnsi="Arial" w:eastAsia="宋体" w:cs="Arial"/>
          <w:snapToGrid w:val="0"/>
          <w:lang w:eastAsia="zh-CN"/>
        </w:rPr>
        <w:t>的方法</w:t>
      </w:r>
      <w:r>
        <w:rPr>
          <w:rFonts w:ascii="Arial" w:hAnsi="Arial" w:eastAsia="宋体" w:cs="Arial"/>
          <w:snapToGrid w:val="0"/>
          <w:lang w:eastAsia="zh-CN"/>
        </w:rPr>
        <w:t>并提供与典型的</w:t>
      </w:r>
      <w:r>
        <w:rPr>
          <w:rFonts w:hint="eastAsia" w:ascii="Arial" w:hAnsi="Arial" w:eastAsia="宋体" w:cs="Arial"/>
          <w:snapToGrid w:val="0"/>
          <w:lang w:eastAsia="zh-CN"/>
        </w:rPr>
        <w:t>临床曝光</w:t>
      </w:r>
      <w:r>
        <w:rPr>
          <w:rFonts w:ascii="Arial" w:hAnsi="Arial" w:eastAsia="宋体" w:cs="Arial"/>
          <w:snapToGrid w:val="0"/>
          <w:lang w:eastAsia="zh-CN"/>
        </w:rPr>
        <w:t>一同使用时器械可提供的最大和</w:t>
      </w:r>
      <w:bookmarkStart w:id="68" w:name="OLE_LINK68"/>
      <w:bookmarkStart w:id="69" w:name="OLE_LINK67"/>
      <w:r>
        <w:rPr>
          <w:rFonts w:ascii="Arial" w:hAnsi="Arial" w:eastAsia="宋体" w:cs="Arial"/>
          <w:snapToGrid w:val="0"/>
          <w:lang w:eastAsia="zh-CN"/>
        </w:rPr>
        <w:t>最小传递函数</w:t>
      </w:r>
      <w:bookmarkEnd w:id="68"/>
      <w:bookmarkEnd w:id="69"/>
      <w:r>
        <w:rPr>
          <w:rFonts w:ascii="Arial" w:hAnsi="Arial" w:eastAsia="宋体" w:cs="Arial"/>
          <w:snapToGrid w:val="0"/>
          <w:lang w:eastAsia="zh-CN"/>
        </w:rPr>
        <w:t>。</w:t>
      </w:r>
    </w:p>
    <w:p w14:paraId="7BFA964C">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量化混叠对器械DQE和调制传递函数（MTF）的影响。如果通过预抽样的MTF证明存在混叠，则描述混叠对生成图像的定量影响。如果没有来自器械的混叠影响，</w:t>
      </w:r>
      <w:r>
        <w:rPr>
          <w:rFonts w:hint="eastAsia" w:ascii="Arial" w:hAnsi="Arial" w:eastAsia="宋体" w:cs="Arial"/>
          <w:snapToGrid w:val="0"/>
          <w:lang w:eastAsia="zh-CN"/>
        </w:rPr>
        <w:t>则</w:t>
      </w:r>
      <w:r>
        <w:rPr>
          <w:rFonts w:ascii="Arial" w:hAnsi="Arial" w:eastAsia="宋体" w:cs="Arial"/>
          <w:snapToGrid w:val="0"/>
          <w:lang w:eastAsia="zh-CN"/>
        </w:rPr>
        <w:t>说明原因。</w:t>
      </w:r>
    </w:p>
    <w:p w14:paraId="417ED137">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提供基于指定X射线光谱输入剂量水平的输出信号水平绘图。可根据kVp和光线过滤定义光谱。绘图应清晰显示任何非线性。也可使用显示器械动态范围能力的其他方法。</w:t>
      </w:r>
    </w:p>
    <w:p w14:paraId="25C06D4F">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br w:type="page"/>
      </w:r>
    </w:p>
    <w:p w14:paraId="64DEA488">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来自先前</w:t>
      </w:r>
      <w:r>
        <w:rPr>
          <w:rFonts w:hint="eastAsia" w:ascii="Arial" w:hAnsi="Arial" w:eastAsia="宋体" w:cs="Arial"/>
          <w:snapToGrid w:val="0"/>
          <w:lang w:eastAsia="zh-CN"/>
        </w:rPr>
        <w:t>短期和长期接触曝光</w:t>
      </w:r>
      <w:r>
        <w:rPr>
          <w:rFonts w:ascii="Arial" w:hAnsi="Arial" w:eastAsia="宋体" w:cs="Arial"/>
          <w:snapToGrid w:val="0"/>
          <w:lang w:eastAsia="zh-CN"/>
        </w:rPr>
        <w:t>的延迟或</w:t>
      </w:r>
      <w:bookmarkStart w:id="70" w:name="OLE_LINK71"/>
      <w:bookmarkStart w:id="71" w:name="OLE_LINK72"/>
      <w:r>
        <w:rPr>
          <w:rFonts w:ascii="Arial" w:hAnsi="Arial" w:eastAsia="宋体" w:cs="Arial"/>
          <w:snapToGrid w:val="0"/>
          <w:lang w:eastAsia="zh-CN"/>
        </w:rPr>
        <w:t>残余信号水平</w:t>
      </w:r>
      <w:bookmarkEnd w:id="70"/>
      <w:bookmarkEnd w:id="71"/>
      <w:r>
        <w:rPr>
          <w:rFonts w:ascii="Arial" w:hAnsi="Arial" w:eastAsia="宋体" w:cs="Arial"/>
          <w:snapToGrid w:val="0"/>
          <w:lang w:eastAsia="zh-CN"/>
        </w:rPr>
        <w:t>：可能情况下定量描述任何导致器械输出中包含由先前的一种或多种曝光产生的信号分量的器械特征（通常由于电子或空穴陷阱）。指出这类信号的相对振幅和衰减特征。</w:t>
      </w:r>
    </w:p>
    <w:p w14:paraId="526EDB39">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曝光和／或读出完整SSXI分区（部分区域）的方法：描述进行</w:t>
      </w:r>
      <w:r>
        <w:rPr>
          <w:rFonts w:hint="eastAsia" w:ascii="Arial" w:hAnsi="Arial" w:eastAsia="宋体" w:cs="Arial"/>
          <w:snapToGrid w:val="0"/>
          <w:lang w:eastAsia="zh-CN"/>
        </w:rPr>
        <w:t>非全面扫描的方法</w:t>
      </w:r>
      <w:r>
        <w:rPr>
          <w:rFonts w:ascii="Arial" w:hAnsi="Arial" w:eastAsia="宋体" w:cs="Arial"/>
          <w:snapToGrid w:val="0"/>
          <w:lang w:eastAsia="zh-CN"/>
        </w:rPr>
        <w:t>以便</w:t>
      </w:r>
      <w:r>
        <w:rPr>
          <w:rFonts w:hint="eastAsia" w:ascii="Arial" w:hAnsi="Arial" w:eastAsia="宋体" w:cs="Arial"/>
          <w:snapToGrid w:val="0"/>
          <w:lang w:eastAsia="zh-CN"/>
        </w:rPr>
        <w:t>仅使用</w:t>
      </w:r>
      <w:r>
        <w:rPr>
          <w:rFonts w:ascii="Arial" w:hAnsi="Arial" w:eastAsia="宋体" w:cs="Arial"/>
          <w:snapToGrid w:val="0"/>
          <w:lang w:eastAsia="zh-CN"/>
        </w:rPr>
        <w:t>部分探测器矩阵（如果器械有这种特征）。</w:t>
      </w:r>
    </w:p>
    <w:p w14:paraId="43082589">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描述X射线束对齐和瞄准器械的</w:t>
      </w:r>
      <w:r>
        <w:rPr>
          <w:rFonts w:ascii="宋体" w:hAnsi="宋体" w:eastAsia="宋体" w:cs="Arial"/>
          <w:snapToGrid w:val="0"/>
          <w:lang w:eastAsia="zh-CN"/>
        </w:rPr>
        <w:t>“</w:t>
      </w:r>
      <w:r>
        <w:rPr>
          <w:rFonts w:ascii="Arial" w:hAnsi="Arial" w:eastAsia="宋体" w:cs="Arial"/>
          <w:snapToGrid w:val="0"/>
          <w:lang w:eastAsia="zh-CN"/>
        </w:rPr>
        <w:t>有效</w:t>
      </w:r>
      <w:r>
        <w:rPr>
          <w:rFonts w:ascii="宋体" w:hAnsi="宋体" w:eastAsia="宋体" w:cs="Arial"/>
          <w:snapToGrid w:val="0"/>
          <w:lang w:eastAsia="zh-CN"/>
        </w:rPr>
        <w:t>”</w:t>
      </w:r>
      <w:r>
        <w:rPr>
          <w:rFonts w:ascii="Arial" w:hAnsi="Arial" w:eastAsia="宋体" w:cs="Arial"/>
          <w:snapToGrid w:val="0"/>
          <w:lang w:eastAsia="zh-CN"/>
        </w:rPr>
        <w:t>区</w:t>
      </w:r>
      <w:r>
        <w:rPr>
          <w:rFonts w:hint="eastAsia" w:ascii="Arial" w:hAnsi="Arial" w:eastAsia="宋体" w:cs="Arial"/>
          <w:snapToGrid w:val="0"/>
          <w:lang w:eastAsia="zh-CN"/>
        </w:rPr>
        <w:t>的方法</w:t>
      </w:r>
      <w:r>
        <w:rPr>
          <w:rFonts w:ascii="Arial" w:hAnsi="Arial" w:eastAsia="宋体" w:cs="Arial"/>
          <w:snapToGrid w:val="0"/>
          <w:lang w:eastAsia="zh-CN"/>
        </w:rPr>
        <w:t>以满足21</w:t>
      </w:r>
      <w:r>
        <w:rPr>
          <w:rFonts w:hint="eastAsia" w:ascii="Arial" w:hAnsi="Arial" w:eastAsia="宋体" w:cs="Arial"/>
          <w:snapToGrid w:val="0"/>
          <w:lang w:eastAsia="zh-CN"/>
        </w:rPr>
        <w:t xml:space="preserve"> </w:t>
      </w:r>
      <w:r>
        <w:rPr>
          <w:rFonts w:ascii="Arial" w:hAnsi="Arial" w:eastAsia="宋体" w:cs="Arial"/>
          <w:snapToGrid w:val="0"/>
          <w:lang w:eastAsia="zh-CN"/>
        </w:rPr>
        <w:t>CFR</w:t>
      </w:r>
      <w:r>
        <w:rPr>
          <w:rFonts w:hint="eastAsia" w:ascii="Arial" w:hAnsi="Arial" w:eastAsia="宋体" w:cs="Arial"/>
          <w:snapToGrid w:val="0"/>
          <w:lang w:eastAsia="zh-CN"/>
        </w:rPr>
        <w:t xml:space="preserve"> </w:t>
      </w:r>
      <w:r>
        <w:rPr>
          <w:rFonts w:ascii="Arial" w:hAnsi="Arial" w:eastAsia="宋体" w:cs="Arial"/>
          <w:snapToGrid w:val="0"/>
          <w:lang w:eastAsia="zh-CN"/>
        </w:rPr>
        <w:t>1020.31或.32的要求。器械将提供哪些信号以指示有效区的尺寸和位置？如果不提供</w:t>
      </w:r>
      <w:r>
        <w:rPr>
          <w:rFonts w:ascii="宋体" w:hAnsi="宋体" w:eastAsia="宋体" w:cs="Arial"/>
          <w:snapToGrid w:val="0"/>
          <w:lang w:eastAsia="zh-CN"/>
        </w:rPr>
        <w:t>“</w:t>
      </w:r>
      <w:r>
        <w:rPr>
          <w:rFonts w:hint="eastAsia" w:ascii="Arial" w:hAnsi="Arial" w:eastAsia="宋体" w:cs="Arial"/>
          <w:snapToGrid w:val="0"/>
          <w:lang w:eastAsia="zh-CN"/>
        </w:rPr>
        <w:t>低</w:t>
      </w:r>
      <w:r>
        <w:rPr>
          <w:rFonts w:ascii="Arial" w:hAnsi="Arial" w:eastAsia="宋体" w:cs="Arial"/>
          <w:snapToGrid w:val="0"/>
          <w:lang w:eastAsia="zh-CN"/>
        </w:rPr>
        <w:t>扫描</w:t>
      </w:r>
      <w:r>
        <w:rPr>
          <w:rFonts w:ascii="宋体" w:hAnsi="宋体" w:eastAsia="宋体" w:cs="Arial"/>
          <w:snapToGrid w:val="0"/>
          <w:lang w:eastAsia="zh-CN"/>
        </w:rPr>
        <w:t>”</w:t>
      </w:r>
      <w:r>
        <w:rPr>
          <w:rFonts w:ascii="Arial" w:hAnsi="Arial" w:eastAsia="宋体" w:cs="Arial"/>
          <w:snapToGrid w:val="0"/>
          <w:lang w:eastAsia="zh-CN"/>
        </w:rPr>
        <w:t>能力，</w:t>
      </w:r>
      <w:r>
        <w:rPr>
          <w:rFonts w:hint="eastAsia" w:ascii="Arial" w:hAnsi="Arial" w:eastAsia="宋体" w:cs="Arial"/>
          <w:snapToGrid w:val="0"/>
          <w:lang w:eastAsia="zh-CN"/>
        </w:rPr>
        <w:t>则</w:t>
      </w:r>
      <w:r>
        <w:rPr>
          <w:rFonts w:ascii="Arial" w:hAnsi="Arial" w:eastAsia="宋体" w:cs="Arial"/>
          <w:snapToGrid w:val="0"/>
          <w:lang w:eastAsia="zh-CN"/>
        </w:rPr>
        <w:t>请说明。</w:t>
      </w:r>
    </w:p>
    <w:p w14:paraId="37B3E3B9">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描述允许的缺陷类型和数量和任何用于弥补允许的最大输出、最小输出或其他情况下不起作用像素元件的补偿或消隐方法。</w:t>
      </w:r>
    </w:p>
    <w:p w14:paraId="28AE0195">
      <w:pPr>
        <w:pStyle w:val="2"/>
        <w:numPr>
          <w:ilvl w:val="1"/>
          <w:numId w:val="3"/>
        </w:numPr>
        <w:tabs>
          <w:tab w:val="left" w:pos="1102"/>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提供器械</w:t>
      </w:r>
      <w:r>
        <w:rPr>
          <w:rFonts w:ascii="宋体" w:hAnsi="宋体" w:eastAsia="宋体" w:cs="Arial"/>
          <w:snapToGrid w:val="0"/>
          <w:lang w:eastAsia="zh-CN"/>
        </w:rPr>
        <w:t>“</w:t>
      </w:r>
      <w:r>
        <w:rPr>
          <w:rFonts w:ascii="Arial" w:hAnsi="Arial" w:eastAsia="宋体" w:cs="Arial"/>
          <w:snapToGrid w:val="0"/>
          <w:lang w:eastAsia="zh-CN"/>
        </w:rPr>
        <w:t>准备</w:t>
      </w:r>
      <w:r>
        <w:rPr>
          <w:rFonts w:hint="eastAsia" w:ascii="Arial" w:hAnsi="Arial" w:eastAsia="宋体" w:cs="Arial"/>
          <w:snapToGrid w:val="0"/>
          <w:lang w:eastAsia="zh-CN"/>
        </w:rPr>
        <w:t>就绪</w:t>
      </w:r>
      <w:r>
        <w:rPr>
          <w:rFonts w:ascii="宋体" w:hAnsi="宋体" w:eastAsia="宋体" w:cs="Arial"/>
          <w:snapToGrid w:val="0"/>
          <w:lang w:eastAsia="zh-CN"/>
        </w:rPr>
        <w:t>”</w:t>
      </w:r>
      <w:r>
        <w:rPr>
          <w:rFonts w:ascii="Arial" w:hAnsi="Arial" w:eastAsia="宋体" w:cs="Arial"/>
          <w:snapToGrid w:val="0"/>
          <w:lang w:eastAsia="zh-CN"/>
        </w:rPr>
        <w:t>（例如有偏移、清除等）进行下一次曝光后，探测灵敏度随时间发生任何变化的数据或绘图。也指出任何其他变化，比如器械</w:t>
      </w:r>
      <w:r>
        <w:rPr>
          <w:rFonts w:ascii="宋体" w:hAnsi="宋体" w:eastAsia="宋体" w:cs="Arial"/>
          <w:snapToGrid w:val="0"/>
          <w:lang w:eastAsia="zh-CN"/>
        </w:rPr>
        <w:t>“</w:t>
      </w:r>
      <w:r>
        <w:rPr>
          <w:rFonts w:ascii="Arial" w:hAnsi="Arial" w:eastAsia="宋体" w:cs="Arial"/>
          <w:snapToGrid w:val="0"/>
          <w:lang w:eastAsia="zh-CN"/>
        </w:rPr>
        <w:t>准备</w:t>
      </w:r>
      <w:r>
        <w:rPr>
          <w:rFonts w:hint="eastAsia" w:ascii="Arial" w:hAnsi="Arial" w:eastAsia="宋体" w:cs="Arial"/>
          <w:snapToGrid w:val="0"/>
          <w:lang w:eastAsia="zh-CN"/>
        </w:rPr>
        <w:t>就绪</w:t>
      </w:r>
      <w:r>
        <w:rPr>
          <w:rFonts w:ascii="宋体" w:hAnsi="宋体" w:eastAsia="宋体" w:cs="Arial"/>
          <w:snapToGrid w:val="0"/>
          <w:lang w:eastAsia="zh-CN"/>
        </w:rPr>
        <w:t>”</w:t>
      </w:r>
      <w:r>
        <w:rPr>
          <w:rFonts w:ascii="Arial" w:hAnsi="Arial" w:eastAsia="宋体" w:cs="Arial"/>
          <w:snapToGrid w:val="0"/>
          <w:lang w:eastAsia="zh-CN"/>
        </w:rPr>
        <w:t>后发生的动态范围减小。</w:t>
      </w:r>
    </w:p>
    <w:p w14:paraId="46012138">
      <w:pPr>
        <w:pStyle w:val="2"/>
        <w:numPr>
          <w:ilvl w:val="1"/>
          <w:numId w:val="3"/>
        </w:numPr>
        <w:tabs>
          <w:tab w:val="left" w:pos="1094"/>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提供</w:t>
      </w:r>
      <w:bookmarkStart w:id="72" w:name="OLE_LINK76"/>
      <w:bookmarkStart w:id="73" w:name="OLE_LINK75"/>
      <w:r>
        <w:rPr>
          <w:rFonts w:ascii="Arial" w:hAnsi="Arial" w:eastAsia="宋体" w:cs="Arial"/>
          <w:snapToGrid w:val="0"/>
          <w:lang w:eastAsia="zh-CN"/>
        </w:rPr>
        <w:t>潜像</w:t>
      </w:r>
      <w:bookmarkEnd w:id="72"/>
      <w:bookmarkEnd w:id="73"/>
      <w:r>
        <w:rPr>
          <w:rFonts w:ascii="Arial" w:hAnsi="Arial" w:eastAsia="宋体" w:cs="Arial"/>
          <w:snapToGrid w:val="0"/>
          <w:lang w:eastAsia="zh-CN"/>
        </w:rPr>
        <w:t>随时间和温度的衰减特征绘图。也描述器械经历的清除和／或曝光次数对信号保留的任何影响。</w:t>
      </w:r>
    </w:p>
    <w:p w14:paraId="0EDB0E14">
      <w:pPr>
        <w:pStyle w:val="2"/>
        <w:numPr>
          <w:ilvl w:val="1"/>
          <w:numId w:val="3"/>
        </w:numPr>
        <w:tabs>
          <w:tab w:val="left" w:pos="1094"/>
        </w:tabs>
        <w:topLinePunct/>
        <w:adjustRightInd w:val="0"/>
        <w:snapToGrid w:val="0"/>
        <w:spacing w:after="224" w:afterLines="75" w:line="288" w:lineRule="auto"/>
        <w:ind w:left="1092" w:hanging="383"/>
        <w:jc w:val="both"/>
        <w:rPr>
          <w:rFonts w:ascii="Arial" w:hAnsi="Arial" w:eastAsia="宋体" w:cs="Arial"/>
          <w:snapToGrid w:val="0"/>
          <w:lang w:eastAsia="zh-CN"/>
        </w:rPr>
      </w:pPr>
      <w:r>
        <w:rPr>
          <w:rFonts w:ascii="Arial" w:hAnsi="Arial" w:eastAsia="宋体" w:cs="Arial"/>
          <w:snapToGrid w:val="0"/>
          <w:lang w:eastAsia="zh-CN"/>
        </w:rPr>
        <w:t>射线照相器械的恢复时间：指出读出完成后（包括任何预备功能）至器械能接受下一次曝光的时间间隔。</w:t>
      </w:r>
    </w:p>
    <w:p w14:paraId="43265A70">
      <w:pPr>
        <w:pStyle w:val="2"/>
        <w:numPr>
          <w:ilvl w:val="0"/>
          <w:numId w:val="3"/>
        </w:numPr>
        <w:tabs>
          <w:tab w:val="left" w:pos="406"/>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曝光特征</w:t>
      </w:r>
    </w:p>
    <w:p w14:paraId="7DA06219">
      <w:pPr>
        <w:pStyle w:val="2"/>
        <w:numPr>
          <w:ilvl w:val="1"/>
          <w:numId w:val="3"/>
        </w:numPr>
        <w:tabs>
          <w:tab w:val="left" w:pos="1124"/>
          <w:tab w:val="left" w:pos="3599"/>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 xml:space="preserve">剂量要求和相互作用变化：提供为产生与比较器械等同的图像或视频帧所需输入剂量的定量测量。也指出该特征随时间和／或累积辐射暴露将发生的任何变化。 </w:t>
      </w:r>
    </w:p>
    <w:p w14:paraId="4B0889DD">
      <w:pPr>
        <w:pStyle w:val="2"/>
        <w:numPr>
          <w:ilvl w:val="1"/>
          <w:numId w:val="3"/>
        </w:numPr>
        <w:tabs>
          <w:tab w:val="left" w:pos="1123"/>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器械特征随时间（总积分照射量）的稳定性：除曝光要求变化外，指出随时间和／或总积分照射量变化的任何其他器械特征。</w:t>
      </w:r>
    </w:p>
    <w:p w14:paraId="1F7D4095">
      <w:pPr>
        <w:pStyle w:val="2"/>
        <w:numPr>
          <w:ilvl w:val="1"/>
          <w:numId w:val="3"/>
        </w:numPr>
        <w:tabs>
          <w:tab w:val="left" w:pos="1224"/>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器械特征的均匀性（大范围和小范围）：描述任何可能引起大范围或小范围变化（比如阴影）的不均匀性器械特征。</w:t>
      </w:r>
    </w:p>
    <w:p w14:paraId="631C4C78">
      <w:pPr>
        <w:pStyle w:val="2"/>
        <w:numPr>
          <w:ilvl w:val="1"/>
          <w:numId w:val="3"/>
        </w:numPr>
        <w:tabs>
          <w:tab w:val="left" w:pos="1224"/>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透视检查器械的帧率：指出每单位时间可产生的最大图像数量和随帧率变化的任何特征。对于确实发生变化的任何特征，指出</w:t>
      </w:r>
      <w:r>
        <w:rPr>
          <w:rFonts w:hint="eastAsia" w:ascii="Arial" w:hAnsi="Arial" w:eastAsia="宋体" w:cs="Arial"/>
          <w:snapToGrid w:val="0"/>
          <w:lang w:eastAsia="zh-CN"/>
        </w:rPr>
        <w:t>其</w:t>
      </w:r>
      <w:r>
        <w:rPr>
          <w:rFonts w:ascii="Arial" w:hAnsi="Arial" w:eastAsia="宋体" w:cs="Arial"/>
          <w:snapToGrid w:val="0"/>
          <w:lang w:eastAsia="zh-CN"/>
        </w:rPr>
        <w:t>如何变化。如果帧率极限由另一个（些）特征【不属于SSXI】决定，指出是哪个（些）特征和该（这些）特征如何影响帧率。</w:t>
      </w:r>
    </w:p>
    <w:p w14:paraId="1E75E96B">
      <w:pPr>
        <w:pStyle w:val="2"/>
        <w:numPr>
          <w:ilvl w:val="1"/>
          <w:numId w:val="3"/>
        </w:numPr>
        <w:tabs>
          <w:tab w:val="left" w:pos="1292"/>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射线照相器械的再利用率：指出每单位时间可产生的最大图像数量。如果受器械之外的因素限制，说明是哪些因素。</w:t>
      </w:r>
    </w:p>
    <w:p w14:paraId="3A536E39">
      <w:pPr>
        <w:pStyle w:val="2"/>
        <w:numPr>
          <w:ilvl w:val="0"/>
          <w:numId w:val="3"/>
        </w:numPr>
        <w:tabs>
          <w:tab w:val="left" w:pos="480"/>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安全特征</w:t>
      </w:r>
    </w:p>
    <w:p w14:paraId="0236570C">
      <w:pPr>
        <w:pStyle w:val="2"/>
        <w:numPr>
          <w:ilvl w:val="1"/>
          <w:numId w:val="3"/>
        </w:numPr>
        <w:tabs>
          <w:tab w:val="left" w:pos="1348"/>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指出提供了哪些方法【例如就绪信号】以表明SSXI已准备好接受和处理X射线输入。</w:t>
      </w:r>
    </w:p>
    <w:p w14:paraId="4F6BEFE4">
      <w:pPr>
        <w:pStyle w:val="2"/>
        <w:numPr>
          <w:ilvl w:val="0"/>
          <w:numId w:val="3"/>
        </w:numPr>
        <w:tabs>
          <w:tab w:val="left" w:pos="355"/>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试验结果</w:t>
      </w:r>
    </w:p>
    <w:p w14:paraId="4A4E7288">
      <w:pPr>
        <w:pStyle w:val="2"/>
        <w:numPr>
          <w:ilvl w:val="1"/>
          <w:numId w:val="3"/>
        </w:numPr>
        <w:tabs>
          <w:tab w:val="left" w:pos="1292"/>
        </w:tabs>
        <w:topLinePunct/>
        <w:adjustRightInd w:val="0"/>
        <w:snapToGrid w:val="0"/>
        <w:spacing w:after="224" w:afterLines="75" w:line="288" w:lineRule="auto"/>
        <w:ind w:left="1132" w:leftChars="322" w:hanging="424" w:hangingChars="177"/>
        <w:jc w:val="both"/>
        <w:rPr>
          <w:rFonts w:ascii="Arial" w:hAnsi="Arial" w:eastAsia="宋体" w:cs="Arial"/>
          <w:snapToGrid w:val="0"/>
        </w:rPr>
      </w:pPr>
      <w:r>
        <w:rPr>
          <w:rFonts w:ascii="Arial" w:hAnsi="Arial" w:eastAsia="宋体" w:cs="Arial"/>
          <w:snapToGrid w:val="0"/>
          <w:lang w:eastAsia="zh-CN"/>
        </w:rPr>
        <w:t>提供证明器械有能力提供与比较器械（一个或多个）等同图像的试验模式图像样本（SSXI和比较器械）。每幅图像应标有所用的X射线因素和器械的设定参数。必须明确确定试验模式并指出所有特征（例如每个条形图组的lp/mm）。必须指出试验装置的几何结构及X射线源的焦点尺寸。对于透视检查器械，可提供胶片上记录的输出图像或VHS录像带的图像。应描述所做的任何信号处理。</w:t>
      </w:r>
    </w:p>
    <w:p w14:paraId="12BEAD23">
      <w:pPr>
        <w:pStyle w:val="2"/>
        <w:numPr>
          <w:ilvl w:val="1"/>
          <w:numId w:val="3"/>
        </w:numPr>
        <w:tabs>
          <w:tab w:val="left" w:pos="1292"/>
        </w:tabs>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提供</w:t>
      </w:r>
      <w:r>
        <w:rPr>
          <w:rFonts w:hint="eastAsia" w:ascii="Arial" w:hAnsi="Arial" w:eastAsia="宋体" w:cs="Arial"/>
          <w:snapToGrid w:val="0"/>
          <w:lang w:eastAsia="zh-CN"/>
        </w:rPr>
        <w:t>以上</w:t>
      </w:r>
      <w:r>
        <w:rPr>
          <w:rFonts w:ascii="Arial" w:hAnsi="Arial" w:eastAsia="宋体" w:cs="Arial"/>
          <w:snapToGrid w:val="0"/>
          <w:lang w:eastAsia="zh-CN"/>
        </w:rPr>
        <w:t>C和D中所描述特征的样本测量值；包括与每个测量值相关的公差和不确定性程度。</w:t>
      </w:r>
    </w:p>
    <w:p w14:paraId="3F1E4AE7">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临床考虑</w:t>
      </w:r>
    </w:p>
    <w:p w14:paraId="39A8AA61">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对于很多类型的修改，非临床信息可能足以支持试验器械与比较器械的实质等同性且无需提供额外的临床数据。例如对于以下类型修改，可能没有必要提供临床信息：</w:t>
      </w:r>
    </w:p>
    <w:p w14:paraId="79626D36">
      <w:pPr>
        <w:pStyle w:val="2"/>
        <w:numPr>
          <w:ilvl w:val="1"/>
          <w:numId w:val="4"/>
        </w:numPr>
        <w:tabs>
          <w:tab w:val="left" w:pos="820"/>
        </w:tabs>
        <w:topLinePunct/>
        <w:adjustRightInd w:val="0"/>
        <w:snapToGrid w:val="0"/>
        <w:spacing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图像接收器整体尺寸变化，但材料完全相同</w:t>
      </w:r>
    </w:p>
    <w:p w14:paraId="7E68D589">
      <w:pPr>
        <w:pStyle w:val="2"/>
        <w:numPr>
          <w:ilvl w:val="1"/>
          <w:numId w:val="4"/>
        </w:numPr>
        <w:tabs>
          <w:tab w:val="left" w:pos="820"/>
        </w:tabs>
        <w:topLinePunct/>
        <w:adjustRightInd w:val="0"/>
        <w:snapToGrid w:val="0"/>
        <w:spacing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像素尺寸和分辨率变化，但X射线探测材料相同</w:t>
      </w:r>
    </w:p>
    <w:p w14:paraId="2880A644">
      <w:pPr>
        <w:pStyle w:val="2"/>
        <w:numPr>
          <w:ilvl w:val="1"/>
          <w:numId w:val="4"/>
        </w:numPr>
        <w:tabs>
          <w:tab w:val="left" w:pos="820"/>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ascii="Arial" w:hAnsi="Arial" w:eastAsia="宋体" w:cs="Arial"/>
          <w:snapToGrid w:val="0"/>
          <w:lang w:eastAsia="zh-CN"/>
        </w:rPr>
        <w:t>图像接收器的无线功能变化</w:t>
      </w:r>
    </w:p>
    <w:p w14:paraId="1A3A020B">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台架测试结果或修改类型</w:t>
      </w:r>
      <w:r>
        <w:rPr>
          <w:rFonts w:hint="eastAsia" w:ascii="Arial" w:hAnsi="Arial" w:eastAsia="宋体" w:cs="Arial"/>
          <w:snapToGrid w:val="0"/>
          <w:lang w:eastAsia="zh-CN"/>
        </w:rPr>
        <w:t>，</w:t>
      </w:r>
      <w:r>
        <w:rPr>
          <w:rFonts w:ascii="Arial" w:hAnsi="Arial" w:eastAsia="宋体" w:cs="Arial"/>
          <w:snapToGrid w:val="0"/>
          <w:lang w:eastAsia="zh-CN"/>
        </w:rPr>
        <w:t>制造商可联系FDA并考虑提交前咨询以请求得到临床图像是否有必要的反馈。</w:t>
      </w:r>
    </w:p>
    <w:p w14:paraId="5CEA7829">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如果仅非临床信息不够充分，则除以上描述的非临床信息外，也应包括以下两种提供临床信息选择其中一种。涉及临床受试者的</w:t>
      </w:r>
      <w:r>
        <w:rPr>
          <w:rFonts w:hint="eastAsia" w:ascii="Arial" w:hAnsi="Arial" w:eastAsia="宋体" w:cs="Arial"/>
          <w:snapToGrid w:val="0"/>
          <w:lang w:eastAsia="zh-CN"/>
        </w:rPr>
        <w:t>研究</w:t>
      </w:r>
      <w:r>
        <w:rPr>
          <w:rFonts w:ascii="Arial" w:hAnsi="Arial" w:eastAsia="宋体" w:cs="Arial"/>
          <w:snapToGrid w:val="0"/>
          <w:lang w:eastAsia="zh-CN"/>
        </w:rPr>
        <w:t>必须符合21 CFR第50和56部分。</w:t>
      </w:r>
    </w:p>
    <w:p w14:paraId="3EAED6DF">
      <w:pPr>
        <w:pStyle w:val="2"/>
        <w:numPr>
          <w:ilvl w:val="0"/>
          <w:numId w:val="5"/>
        </w:numPr>
        <w:tabs>
          <w:tab w:val="left" w:pos="472"/>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同步研究</w:t>
      </w:r>
    </w:p>
    <w:p w14:paraId="520B90F7">
      <w:pPr>
        <w:pStyle w:val="2"/>
        <w:numPr>
          <w:ilvl w:val="1"/>
          <w:numId w:val="5"/>
        </w:numPr>
        <w:topLinePunct/>
        <w:adjustRightInd w:val="0"/>
        <w:snapToGrid w:val="0"/>
        <w:spacing w:after="224" w:afterLines="75" w:line="288" w:lineRule="auto"/>
        <w:ind w:left="1134" w:leftChars="327" w:hanging="415"/>
        <w:jc w:val="both"/>
        <w:rPr>
          <w:rFonts w:ascii="Arial" w:hAnsi="Arial" w:eastAsia="宋体" w:cs="Arial"/>
          <w:snapToGrid w:val="0"/>
          <w:lang w:eastAsia="zh-CN"/>
        </w:rPr>
      </w:pPr>
      <w:r>
        <w:rPr>
          <w:rFonts w:ascii="Arial" w:hAnsi="Arial" w:eastAsia="宋体" w:cs="Arial"/>
          <w:snapToGrid w:val="0"/>
          <w:lang w:eastAsia="zh-CN"/>
        </w:rPr>
        <w:t>实施并报告30个或以上临床图像对（来自相同或等同患者）的同步研究结果，这些图像对证明器械有能力提供与已获批比较器械有等同诊断能力的图像。对于透视检查器械，</w:t>
      </w:r>
      <w:r>
        <w:rPr>
          <w:rFonts w:hint="eastAsia" w:ascii="Arial" w:hAnsi="Arial" w:eastAsia="宋体" w:cs="Arial"/>
          <w:snapToGrid w:val="0"/>
          <w:lang w:eastAsia="zh-CN"/>
        </w:rPr>
        <w:t>研究</w:t>
      </w:r>
      <w:r>
        <w:rPr>
          <w:rFonts w:ascii="Arial" w:hAnsi="Arial" w:eastAsia="宋体" w:cs="Arial"/>
          <w:snapToGrid w:val="0"/>
          <w:lang w:eastAsia="zh-CN"/>
        </w:rPr>
        <w:t>可</w:t>
      </w:r>
      <w:r>
        <w:rPr>
          <w:rFonts w:ascii="宋体" w:hAnsi="宋体" w:eastAsia="宋体" w:cs="Arial"/>
          <w:snapToGrid w:val="0"/>
          <w:lang w:eastAsia="zh-CN"/>
        </w:rPr>
        <w:t>“</w:t>
      </w:r>
      <w:r>
        <w:rPr>
          <w:rFonts w:ascii="Arial" w:hAnsi="Arial" w:eastAsia="宋体" w:cs="Arial"/>
          <w:snapToGrid w:val="0"/>
          <w:lang w:eastAsia="zh-CN"/>
        </w:rPr>
        <w:t>现场</w:t>
      </w:r>
      <w:r>
        <w:rPr>
          <w:rFonts w:ascii="宋体" w:hAnsi="宋体" w:eastAsia="宋体" w:cs="Arial"/>
          <w:snapToGrid w:val="0"/>
          <w:lang w:eastAsia="zh-CN"/>
        </w:rPr>
        <w:t>”</w:t>
      </w:r>
      <w:r>
        <w:rPr>
          <w:rFonts w:ascii="Arial" w:hAnsi="Arial" w:eastAsia="宋体" w:cs="Arial"/>
          <w:snapToGrid w:val="0"/>
          <w:lang w:eastAsia="zh-CN"/>
        </w:rPr>
        <w:t>（由用户／评价者观看）或采用VHS录像带的连续画面或由视频信号生成的胶片</w:t>
      </w:r>
      <w:r>
        <w:rPr>
          <w:rFonts w:hint="eastAsia" w:ascii="Arial" w:hAnsi="Arial" w:eastAsia="宋体" w:cs="Arial"/>
          <w:snapToGrid w:val="0"/>
          <w:lang w:eastAsia="zh-CN"/>
        </w:rPr>
        <w:t>完成</w:t>
      </w:r>
      <w:r>
        <w:rPr>
          <w:rFonts w:ascii="Arial" w:hAnsi="Arial" w:eastAsia="宋体" w:cs="Arial"/>
          <w:snapToGrid w:val="0"/>
          <w:lang w:eastAsia="zh-CN"/>
        </w:rPr>
        <w:t>。每个图像应附有所用的X射线因素和设定及器械运行参数和实施的任何信号处理。</w:t>
      </w:r>
    </w:p>
    <w:p w14:paraId="5CBD499F">
      <w:pPr>
        <w:pStyle w:val="2"/>
        <w:numPr>
          <w:ilvl w:val="1"/>
          <w:numId w:val="5"/>
        </w:numPr>
        <w:topLinePunct/>
        <w:adjustRightInd w:val="0"/>
        <w:snapToGrid w:val="0"/>
        <w:spacing w:after="224" w:afterLines="75" w:line="288" w:lineRule="auto"/>
        <w:ind w:left="1134" w:leftChars="327" w:hanging="415"/>
        <w:jc w:val="both"/>
        <w:rPr>
          <w:rFonts w:ascii="Arial" w:hAnsi="Arial" w:eastAsia="宋体" w:cs="Arial"/>
          <w:snapToGrid w:val="0"/>
          <w:lang w:eastAsia="zh-CN"/>
        </w:rPr>
      </w:pPr>
      <w:r>
        <w:rPr>
          <w:rFonts w:ascii="Arial" w:hAnsi="Arial" w:eastAsia="宋体" w:cs="Arial"/>
          <w:snapToGrid w:val="0"/>
          <w:lang w:eastAsia="zh-CN"/>
        </w:rPr>
        <w:t>样本图像：应提交器械将用于的每个解剖部位（和／或研究）的代表性</w:t>
      </w:r>
      <w:r>
        <w:rPr>
          <w:rFonts w:hint="eastAsia" w:ascii="Arial" w:hAnsi="Arial" w:eastAsia="宋体" w:cs="Arial"/>
          <w:snapToGrid w:val="0"/>
          <w:lang w:eastAsia="zh-CN"/>
        </w:rPr>
        <w:t>成对</w:t>
      </w:r>
      <w:r>
        <w:rPr>
          <w:rFonts w:ascii="Arial" w:hAnsi="Arial" w:eastAsia="宋体" w:cs="Arial"/>
          <w:snapToGrid w:val="0"/>
          <w:lang w:eastAsia="zh-CN"/>
        </w:rPr>
        <w:t>样本图像（来自上面VII.A.中获取的图像）。</w:t>
      </w:r>
    </w:p>
    <w:p w14:paraId="6800FB0C">
      <w:pPr>
        <w:pStyle w:val="2"/>
        <w:numPr>
          <w:ilvl w:val="1"/>
          <w:numId w:val="5"/>
        </w:numPr>
        <w:topLinePunct/>
        <w:adjustRightInd w:val="0"/>
        <w:snapToGrid w:val="0"/>
        <w:spacing w:after="224" w:afterLines="75" w:line="288" w:lineRule="auto"/>
        <w:ind w:left="1134" w:leftChars="327" w:hanging="415"/>
        <w:jc w:val="both"/>
        <w:rPr>
          <w:rFonts w:ascii="Arial" w:hAnsi="Arial" w:eastAsia="宋体" w:cs="Arial"/>
          <w:snapToGrid w:val="0"/>
          <w:lang w:eastAsia="zh-CN"/>
        </w:rPr>
      </w:pPr>
      <w:r>
        <w:rPr>
          <w:rFonts w:ascii="Arial" w:hAnsi="Arial" w:eastAsia="宋体" w:cs="Arial"/>
          <w:snapToGrid w:val="0"/>
          <w:lang w:eastAsia="zh-CN"/>
        </w:rPr>
        <w:t>其他发现：提供在使用器械过程中获得的任何其他临床</w:t>
      </w:r>
      <w:r>
        <w:rPr>
          <w:rFonts w:hint="eastAsia" w:ascii="Arial" w:hAnsi="Arial" w:eastAsia="宋体" w:cs="Arial"/>
          <w:snapToGrid w:val="0"/>
          <w:lang w:eastAsia="zh-CN"/>
        </w:rPr>
        <w:t>显著结果</w:t>
      </w:r>
      <w:r>
        <w:rPr>
          <w:rFonts w:ascii="Arial" w:hAnsi="Arial" w:eastAsia="宋体" w:cs="Arial"/>
          <w:snapToGrid w:val="0"/>
          <w:lang w:eastAsia="zh-CN"/>
        </w:rPr>
        <w:t>。</w:t>
      </w:r>
    </w:p>
    <w:p w14:paraId="1CAECE27">
      <w:pPr>
        <w:pStyle w:val="2"/>
        <w:numPr>
          <w:ilvl w:val="0"/>
          <w:numId w:val="5"/>
        </w:numPr>
        <w:tabs>
          <w:tab w:val="left" w:pos="472"/>
        </w:tabs>
        <w:topLinePunct/>
        <w:adjustRightInd w:val="0"/>
        <w:snapToGrid w:val="0"/>
        <w:spacing w:after="224" w:afterLines="75" w:line="288" w:lineRule="auto"/>
        <w:ind w:left="0" w:firstLine="0"/>
        <w:jc w:val="both"/>
        <w:rPr>
          <w:rFonts w:ascii="Arial" w:hAnsi="Arial" w:eastAsia="宋体" w:cs="Arial"/>
          <w:snapToGrid w:val="0"/>
        </w:rPr>
      </w:pPr>
      <w:r>
        <w:rPr>
          <w:rFonts w:ascii="Arial" w:hAnsi="Arial" w:eastAsia="宋体" w:cs="Arial"/>
          <w:snapToGrid w:val="0"/>
          <w:lang w:eastAsia="zh-CN"/>
        </w:rPr>
        <w:t>合格专家评价</w:t>
      </w:r>
    </w:p>
    <w:p w14:paraId="78983407">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rPr>
      </w:pPr>
      <w:r>
        <w:rPr>
          <w:rFonts w:ascii="Arial" w:hAnsi="Arial" w:eastAsia="宋体" w:cs="Arial"/>
          <w:snapToGrid w:val="0"/>
          <w:lang w:eastAsia="zh-CN"/>
        </w:rPr>
        <w:t>可提交附有合格专家评价的仅来自试验器械的临床图像。在本指南中：</w:t>
      </w:r>
    </w:p>
    <w:p w14:paraId="19DC233F">
      <w:pPr>
        <w:pStyle w:val="2"/>
        <w:numPr>
          <w:ilvl w:val="2"/>
          <w:numId w:val="5"/>
        </w:numPr>
        <w:topLinePunct/>
        <w:adjustRightInd w:val="0"/>
        <w:snapToGrid w:val="0"/>
        <w:spacing w:after="224" w:afterLines="75" w:line="288" w:lineRule="auto"/>
        <w:ind w:left="1560" w:leftChars="515" w:hanging="427"/>
        <w:jc w:val="both"/>
        <w:rPr>
          <w:rFonts w:ascii="Arial" w:hAnsi="Arial" w:eastAsia="宋体" w:cs="Arial"/>
          <w:snapToGrid w:val="0"/>
          <w:lang w:eastAsia="zh-CN"/>
        </w:rPr>
      </w:pPr>
      <w:r>
        <w:rPr>
          <w:rFonts w:ascii="Arial" w:hAnsi="Arial" w:eastAsia="宋体" w:cs="Arial"/>
          <w:snapToGrid w:val="0"/>
          <w:lang w:eastAsia="zh-CN"/>
        </w:rPr>
        <w:t>合格专家是指美国委员会认证的（或等同的）放射科医生或美国委员会认证的（或等同的）在与器械预期用途有关的成像方面有经验的次</w:t>
      </w:r>
      <w:r>
        <w:rPr>
          <w:rFonts w:hint="eastAsia" w:ascii="Arial" w:hAnsi="Arial" w:eastAsia="宋体" w:cs="Arial"/>
          <w:snapToGrid w:val="0"/>
          <w:lang w:eastAsia="zh-CN"/>
        </w:rPr>
        <w:t>专业</w:t>
      </w:r>
      <w:r>
        <w:rPr>
          <w:rFonts w:ascii="Arial" w:hAnsi="Arial" w:eastAsia="宋体" w:cs="Arial"/>
          <w:snapToGrid w:val="0"/>
          <w:lang w:eastAsia="zh-CN"/>
        </w:rPr>
        <w:t>医生或牙医。我们建议这类医生拥有至少5年经验（不包括实习期和进修）。在针对器械临床领域的进修培训是理想的。然而，我们承认可能不总是存在相关进修。因此我们也建议读图者的至少50%实践应在与器械预期用途相关的</w:t>
      </w:r>
      <w:r>
        <w:rPr>
          <w:rFonts w:hint="eastAsia" w:ascii="Arial" w:hAnsi="Arial" w:eastAsia="宋体" w:cs="Arial"/>
          <w:snapToGrid w:val="0"/>
          <w:lang w:eastAsia="zh-CN"/>
        </w:rPr>
        <w:t>形式</w:t>
      </w:r>
      <w:r>
        <w:rPr>
          <w:rFonts w:ascii="Arial" w:hAnsi="Arial" w:eastAsia="宋体" w:cs="Arial"/>
          <w:snapToGrid w:val="0"/>
          <w:lang w:eastAsia="zh-CN"/>
        </w:rPr>
        <w:t>或次</w:t>
      </w:r>
      <w:r>
        <w:rPr>
          <w:rFonts w:hint="eastAsia" w:ascii="Arial" w:hAnsi="Arial" w:eastAsia="宋体" w:cs="Arial"/>
          <w:snapToGrid w:val="0"/>
          <w:lang w:eastAsia="zh-CN"/>
        </w:rPr>
        <w:t>专业</w:t>
      </w:r>
      <w:r>
        <w:rPr>
          <w:rFonts w:ascii="Arial" w:hAnsi="Arial" w:eastAsia="宋体" w:cs="Arial"/>
          <w:snapToGrid w:val="0"/>
          <w:lang w:eastAsia="zh-CN"/>
        </w:rPr>
        <w:t>。</w:t>
      </w:r>
    </w:p>
    <w:p w14:paraId="33466A97">
      <w:pPr>
        <w:pStyle w:val="2"/>
        <w:numPr>
          <w:ilvl w:val="2"/>
          <w:numId w:val="5"/>
        </w:numPr>
        <w:topLinePunct/>
        <w:adjustRightInd w:val="0"/>
        <w:snapToGrid w:val="0"/>
        <w:spacing w:after="224" w:afterLines="75" w:line="288" w:lineRule="auto"/>
        <w:ind w:left="1560" w:leftChars="515" w:hanging="427"/>
        <w:jc w:val="both"/>
        <w:rPr>
          <w:rFonts w:ascii="Arial" w:hAnsi="Arial" w:eastAsia="宋体" w:cs="Arial"/>
          <w:snapToGrid w:val="0"/>
          <w:lang w:eastAsia="zh-CN"/>
        </w:rPr>
      </w:pPr>
      <w:r>
        <w:rPr>
          <w:rFonts w:ascii="Arial" w:hAnsi="Arial" w:eastAsia="宋体" w:cs="Arial"/>
          <w:snapToGrid w:val="0"/>
          <w:lang w:eastAsia="zh-CN"/>
        </w:rPr>
        <w:t>对于非美国委员会认证的临床医生，如果阅读</w:t>
      </w:r>
      <w:r>
        <w:rPr>
          <w:rFonts w:hint="eastAsia" w:ascii="Arial" w:hAnsi="Arial" w:eastAsia="宋体" w:cs="Arial"/>
          <w:snapToGrid w:val="0"/>
          <w:lang w:eastAsia="zh-CN"/>
        </w:rPr>
        <w:t>临床</w:t>
      </w:r>
      <w:r>
        <w:rPr>
          <w:rFonts w:ascii="Arial" w:hAnsi="Arial" w:eastAsia="宋体" w:cs="Arial"/>
          <w:snapToGrid w:val="0"/>
          <w:lang w:eastAsia="zh-CN"/>
        </w:rPr>
        <w:t>医生毕业于由国际毕业生医学教育认证委员会（ACGME-I）认可的培训计划，或毕业于由美国放射学委员会（ABR）国际医学毕业生替代途径或外国医学毕业生教育委员会（ECFMG）批准的计划，则认为等同于美国委员会认证。FDA将根据每</w:t>
      </w:r>
      <w:r>
        <w:rPr>
          <w:rFonts w:hint="eastAsia" w:ascii="Arial" w:hAnsi="Arial" w:eastAsia="宋体" w:cs="Arial"/>
          <w:snapToGrid w:val="0"/>
          <w:lang w:eastAsia="zh-CN"/>
        </w:rPr>
        <w:t>名</w:t>
      </w:r>
      <w:r>
        <w:rPr>
          <w:rFonts w:ascii="Arial" w:hAnsi="Arial" w:eastAsia="宋体" w:cs="Arial"/>
          <w:snapToGrid w:val="0"/>
          <w:lang w:eastAsia="zh-CN"/>
        </w:rPr>
        <w:t>医生的具体情况评定委员会等同性。</w:t>
      </w:r>
    </w:p>
    <w:p w14:paraId="14416A48">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snapToGrid w:val="0"/>
          <w:lang w:eastAsia="zh-CN"/>
        </w:rPr>
        <w:t>本评价的目的是由合格专家确定射线图像的质量供临床使用是否可接受。这一套图像应代表器械预期用途中确定的临床程序和解剖部位范围。如果一套图像足以证明系统用于预期解剖部位的能力范围，则可能不需要提供一整套30个图像。</w:t>
      </w:r>
    </w:p>
    <w:p w14:paraId="08E9877E">
      <w:pPr>
        <w:pStyle w:val="2"/>
        <w:topLinePunct/>
        <w:adjustRightInd w:val="0"/>
        <w:snapToGrid w:val="0"/>
        <w:spacing w:after="224" w:afterLines="75" w:line="288" w:lineRule="auto"/>
        <w:ind w:left="1133" w:leftChars="515" w:firstLine="0"/>
        <w:jc w:val="both"/>
        <w:rPr>
          <w:rFonts w:ascii="Arial" w:hAnsi="Arial" w:eastAsia="宋体" w:cs="Arial"/>
          <w:snapToGrid w:val="0"/>
          <w:lang w:eastAsia="zh-CN"/>
        </w:rPr>
      </w:pPr>
      <w:r>
        <w:rPr>
          <w:rFonts w:ascii="Arial" w:hAnsi="Arial" w:eastAsia="宋体" w:cs="Arial"/>
          <w:snapToGrid w:val="0"/>
          <w:lang w:eastAsia="zh-CN"/>
        </w:rPr>
        <w:t>例如，对于通用射线照相适应症，FDA建议评价以下解剖部位（和／或研究）的临床图像：</w:t>
      </w:r>
    </w:p>
    <w:p w14:paraId="582D9F3F">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rPr>
      </w:pPr>
      <w:r>
        <w:rPr>
          <w:rFonts w:ascii="Arial" w:hAnsi="Arial" w:eastAsia="宋体" w:cs="Arial"/>
          <w:snapToGrid w:val="0"/>
          <w:lang w:eastAsia="zh-CN"/>
        </w:rPr>
        <w:t>胸部侧位</w:t>
      </w:r>
    </w:p>
    <w:p w14:paraId="2556FCEE">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胸部正位</w:t>
      </w:r>
    </w:p>
    <w:p w14:paraId="4A6B6381">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骨盆</w:t>
      </w:r>
    </w:p>
    <w:p w14:paraId="0C8DD9D5">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腹部</w:t>
      </w:r>
    </w:p>
    <w:p w14:paraId="0D12FF98">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颈椎正位、侧位、齿状突视图。可包含斜位。</w:t>
      </w:r>
    </w:p>
    <w:p w14:paraId="07EC9F44">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腰椎，正侧位</w:t>
      </w:r>
    </w:p>
    <w:p w14:paraId="45C04723">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肩膀，正位、内外旋</w:t>
      </w:r>
    </w:p>
    <w:p w14:paraId="12C685C7">
      <w:pPr>
        <w:pStyle w:val="2"/>
        <w:numPr>
          <w:ilvl w:val="2"/>
          <w:numId w:val="5"/>
        </w:numPr>
        <w:topLinePunct/>
        <w:adjustRightInd w:val="0"/>
        <w:snapToGrid w:val="0"/>
        <w:spacing w:after="224" w:afterLines="75" w:line="288" w:lineRule="auto"/>
        <w:ind w:left="1843" w:leftChars="655" w:hanging="402"/>
        <w:jc w:val="both"/>
        <w:rPr>
          <w:rFonts w:ascii="Arial" w:hAnsi="Arial" w:eastAsia="宋体" w:cs="Arial"/>
          <w:snapToGrid w:val="0"/>
          <w:lang w:eastAsia="zh-CN"/>
        </w:rPr>
      </w:pPr>
      <w:r>
        <w:rPr>
          <w:rFonts w:ascii="Arial" w:hAnsi="Arial" w:eastAsia="宋体" w:cs="Arial"/>
          <w:snapToGrid w:val="0"/>
          <w:lang w:eastAsia="zh-CN"/>
        </w:rPr>
        <w:t>四肢（手、手腕、肘、脚、踝关节、膝</w:t>
      </w:r>
      <w:r>
        <w:rPr>
          <w:rFonts w:hint="eastAsia" w:ascii="Arial" w:hAnsi="Arial" w:eastAsia="宋体" w:cs="Arial"/>
          <w:snapToGrid w:val="0"/>
          <w:lang w:eastAsia="zh-CN"/>
        </w:rPr>
        <w:t>关节</w:t>
      </w:r>
      <w:r>
        <w:rPr>
          <w:rFonts w:ascii="Arial" w:hAnsi="Arial" w:eastAsia="宋体" w:cs="Arial"/>
          <w:snapToGrid w:val="0"/>
          <w:lang w:eastAsia="zh-CN"/>
        </w:rPr>
        <w:t>等）正位、侧位、斜位或完整系列图。</w:t>
      </w:r>
    </w:p>
    <w:p w14:paraId="5C7BD48D">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合格专家应评价每种情况的图像并全面评估这些图像合集在临床上是否充分。</w:t>
      </w:r>
    </w:p>
    <w:p w14:paraId="62F122BB">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应充分解释任何图像评价或图像质量问题。</w:t>
      </w:r>
    </w:p>
    <w:p w14:paraId="0EDA5FD7">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每个临床图像应附有采集参数，包括</w:t>
      </w:r>
      <w:bookmarkStart w:id="74" w:name="OLE_LINK93"/>
      <w:bookmarkStart w:id="75" w:name="OLE_LINK94"/>
      <w:r>
        <w:rPr>
          <w:rFonts w:ascii="Arial" w:hAnsi="Arial" w:eastAsia="宋体" w:cs="Arial"/>
          <w:snapToGrid w:val="0"/>
          <w:lang w:eastAsia="zh-CN"/>
        </w:rPr>
        <w:t>X射线曝光条件</w:t>
      </w:r>
      <w:bookmarkEnd w:id="74"/>
      <w:bookmarkEnd w:id="75"/>
      <w:r>
        <w:rPr>
          <w:rFonts w:ascii="Arial" w:hAnsi="Arial" w:eastAsia="宋体" w:cs="Arial"/>
          <w:snapToGrid w:val="0"/>
          <w:lang w:eastAsia="zh-CN"/>
        </w:rPr>
        <w:t>（</w:t>
      </w:r>
      <w:bookmarkStart w:id="76" w:name="OLE_LINK96"/>
      <w:bookmarkStart w:id="77" w:name="OLE_LINK95"/>
      <w:r>
        <w:rPr>
          <w:rFonts w:ascii="Arial" w:hAnsi="Arial" w:eastAsia="宋体" w:cs="Arial"/>
          <w:snapToGrid w:val="0"/>
          <w:lang w:eastAsia="zh-CN"/>
        </w:rPr>
        <w:t>阳极、滤器、kVp、mAs、曝光、半值层</w:t>
      </w:r>
      <w:bookmarkEnd w:id="76"/>
      <w:bookmarkEnd w:id="77"/>
      <w:r>
        <w:rPr>
          <w:rFonts w:ascii="Arial" w:hAnsi="Arial" w:eastAsia="宋体" w:cs="Arial"/>
          <w:snapToGrid w:val="0"/>
          <w:lang w:eastAsia="zh-CN"/>
        </w:rPr>
        <w:t>）和估计剂量（例如剂量与面积之积）。</w:t>
      </w:r>
    </w:p>
    <w:p w14:paraId="56A6F6C3">
      <w:pPr>
        <w:pStyle w:val="2"/>
        <w:numPr>
          <w:ilvl w:val="1"/>
          <w:numId w:val="5"/>
        </w:numPr>
        <w:topLinePunct/>
        <w:adjustRightInd w:val="0"/>
        <w:snapToGrid w:val="0"/>
        <w:spacing w:after="224" w:afterLines="75" w:line="288" w:lineRule="auto"/>
        <w:ind w:left="1132" w:leftChars="322" w:hanging="424" w:hangingChars="177"/>
        <w:jc w:val="both"/>
        <w:rPr>
          <w:rFonts w:ascii="Arial" w:hAnsi="Arial" w:eastAsia="宋体" w:cs="Arial"/>
          <w:snapToGrid w:val="0"/>
          <w:lang w:eastAsia="zh-CN"/>
        </w:rPr>
      </w:pPr>
      <w:r>
        <w:rPr>
          <w:rFonts w:ascii="Arial" w:hAnsi="Arial" w:eastAsia="宋体" w:cs="Arial"/>
          <w:snapToGrid w:val="0"/>
          <w:lang w:eastAsia="zh-CN"/>
        </w:rPr>
        <w:t>这些临床图像应包含在pdf和DICOM格式的提交中。</w:t>
      </w:r>
    </w:p>
    <w:p w14:paraId="59B16085">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如果非临床信息或临床图像评价引起任何关于器械和其比较器械的具体顾虑，应在提交510（k）前联系体外诊断学和放射卫生办公室（OIR）放射卫生科以讨论临床数据的必要性及其内容。</w:t>
      </w:r>
    </w:p>
    <w:p w14:paraId="086CE358">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标签</w:t>
      </w:r>
    </w:p>
    <w:p w14:paraId="589F0B81">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SSXI器械的上市前提交应含器械标签的信息。提供的信息应包含：</w:t>
      </w:r>
    </w:p>
    <w:p w14:paraId="475FA9AD">
      <w:pPr>
        <w:pStyle w:val="2"/>
        <w:numPr>
          <w:ilvl w:val="2"/>
          <w:numId w:val="1"/>
        </w:numPr>
        <w:topLinePunct/>
        <w:adjustRightInd w:val="0"/>
        <w:snapToGrid w:val="0"/>
        <w:spacing w:after="224" w:afterLines="75" w:line="288" w:lineRule="auto"/>
        <w:ind w:left="476" w:hanging="456"/>
        <w:jc w:val="both"/>
        <w:rPr>
          <w:rFonts w:ascii="Arial" w:hAnsi="Arial" w:eastAsia="宋体" w:cs="Arial"/>
          <w:snapToGrid w:val="0"/>
          <w:lang w:eastAsia="zh-CN"/>
        </w:rPr>
      </w:pPr>
      <w:r>
        <w:rPr>
          <w:rFonts w:ascii="Arial" w:hAnsi="Arial" w:eastAsia="宋体" w:cs="Arial"/>
          <w:snapToGrid w:val="0"/>
          <w:lang w:eastAsia="zh-CN"/>
        </w:rPr>
        <w:t>适应症：器械可辅助诊断的疾病或状况和器械预期用于的患者人群的一般说明。</w:t>
      </w:r>
    </w:p>
    <w:p w14:paraId="0B528067">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示例：</w:t>
      </w:r>
    </w:p>
    <w:p w14:paraId="571138BF">
      <w:pPr>
        <w:tabs>
          <w:tab w:val="left" w:pos="2254"/>
        </w:tabs>
        <w:topLinePunct/>
        <w:adjustRightInd w:val="0"/>
        <w:snapToGrid w:val="0"/>
        <w:spacing w:after="224" w:afterLines="75" w:line="288" w:lineRule="auto"/>
        <w:ind w:left="719" w:leftChars="327"/>
        <w:jc w:val="both"/>
        <w:rPr>
          <w:rFonts w:ascii="Arial" w:hAnsi="Arial" w:eastAsia="宋体" w:cs="Arial"/>
          <w:snapToGrid w:val="0"/>
          <w:sz w:val="24"/>
          <w:szCs w:val="24"/>
          <w:lang w:eastAsia="zh-CN"/>
        </w:rPr>
      </w:pPr>
      <w:r>
        <w:rPr>
          <w:rFonts w:ascii="Arial" w:hAnsi="Arial" w:eastAsia="宋体" w:cs="Arial"/>
          <w:i/>
          <w:snapToGrid w:val="0"/>
          <w:sz w:val="24"/>
          <w:u w:val="single" w:color="000000"/>
          <w:lang w:eastAsia="zh-CN"/>
        </w:rPr>
        <w:tab/>
      </w:r>
      <w:r>
        <w:rPr>
          <w:rFonts w:ascii="Arial" w:hAnsi="Arial" w:eastAsia="宋体" w:cs="Arial"/>
          <w:i/>
          <w:snapToGrid w:val="0"/>
          <w:sz w:val="24"/>
          <w:lang w:eastAsia="zh-CN"/>
        </w:rPr>
        <w:t>适用于产生患者病症部位的实时透视图像。</w:t>
      </w:r>
    </w:p>
    <w:p w14:paraId="48787912">
      <w:pPr>
        <w:tabs>
          <w:tab w:val="left" w:pos="2254"/>
        </w:tabs>
        <w:topLinePunct/>
        <w:adjustRightInd w:val="0"/>
        <w:snapToGrid w:val="0"/>
        <w:spacing w:after="224" w:afterLines="75" w:line="288" w:lineRule="auto"/>
        <w:ind w:left="719" w:leftChars="327"/>
        <w:jc w:val="both"/>
        <w:rPr>
          <w:rFonts w:ascii="Arial" w:hAnsi="Arial" w:eastAsia="宋体" w:cs="Arial"/>
          <w:snapToGrid w:val="0"/>
          <w:sz w:val="24"/>
          <w:szCs w:val="24"/>
          <w:lang w:eastAsia="zh-CN"/>
        </w:rPr>
      </w:pPr>
      <w:r>
        <w:rPr>
          <w:rFonts w:ascii="Arial" w:hAnsi="Arial" w:eastAsia="宋体" w:cs="Arial"/>
          <w:i/>
          <w:snapToGrid w:val="0"/>
          <w:sz w:val="24"/>
          <w:u w:val="single" w:color="000000"/>
          <w:lang w:eastAsia="zh-CN"/>
        </w:rPr>
        <w:tab/>
      </w:r>
      <w:r>
        <w:rPr>
          <w:rFonts w:ascii="Arial" w:hAnsi="Arial" w:eastAsia="宋体" w:cs="Arial"/>
          <w:i/>
          <w:snapToGrid w:val="0"/>
          <w:sz w:val="24"/>
          <w:lang w:eastAsia="zh-CN"/>
        </w:rPr>
        <w:t>适用于产生人体解剖学的射线图像。</w:t>
      </w:r>
      <w:r>
        <w:rPr>
          <w:rFonts w:hint="eastAsia" w:ascii="Arial" w:hAnsi="Arial" w:eastAsia="宋体" w:cs="Arial"/>
          <w:i/>
          <w:snapToGrid w:val="0"/>
          <w:sz w:val="24"/>
          <w:lang w:eastAsia="zh-CN"/>
        </w:rPr>
        <w:t>其</w:t>
      </w:r>
      <w:r>
        <w:rPr>
          <w:rFonts w:ascii="Arial" w:hAnsi="Arial" w:eastAsia="宋体" w:cs="Arial"/>
          <w:i/>
          <w:snapToGrid w:val="0"/>
          <w:sz w:val="24"/>
          <w:lang w:eastAsia="zh-CN"/>
        </w:rPr>
        <w:t>将代替所有通用诊断程序中的射线照相胶片／显示屏系统。</w:t>
      </w:r>
    </w:p>
    <w:p w14:paraId="2910B4A1">
      <w:pPr>
        <w:pStyle w:val="2"/>
        <w:numPr>
          <w:ilvl w:val="0"/>
          <w:numId w:val="6"/>
        </w:numPr>
        <w:topLinePunct/>
        <w:adjustRightInd w:val="0"/>
        <w:snapToGrid w:val="0"/>
        <w:spacing w:after="224" w:afterLines="75" w:line="288" w:lineRule="auto"/>
        <w:ind w:left="461" w:hanging="460" w:hangingChars="192"/>
        <w:jc w:val="both"/>
        <w:rPr>
          <w:rFonts w:ascii="Arial" w:hAnsi="Arial" w:eastAsia="宋体" w:cs="Arial"/>
          <w:snapToGrid w:val="0"/>
          <w:lang w:eastAsia="zh-CN"/>
        </w:rPr>
      </w:pPr>
      <w:r>
        <w:rPr>
          <w:rFonts w:ascii="Arial" w:hAnsi="Arial" w:eastAsia="宋体" w:cs="Arial"/>
          <w:snapToGrid w:val="0"/>
          <w:lang w:eastAsia="zh-CN"/>
        </w:rPr>
        <w:t>宣传资料：为促进器械使用和销售准备的所有宣传册和广告文案。</w:t>
      </w:r>
    </w:p>
    <w:p w14:paraId="13C143AE">
      <w:pPr>
        <w:pStyle w:val="2"/>
        <w:numPr>
          <w:ilvl w:val="0"/>
          <w:numId w:val="6"/>
        </w:numPr>
        <w:topLinePunct/>
        <w:adjustRightInd w:val="0"/>
        <w:snapToGrid w:val="0"/>
        <w:spacing w:after="224" w:afterLines="75" w:line="288" w:lineRule="auto"/>
        <w:ind w:left="461" w:hanging="460" w:hangingChars="192"/>
        <w:jc w:val="both"/>
        <w:rPr>
          <w:rFonts w:ascii="Arial" w:hAnsi="Arial" w:eastAsia="宋体" w:cs="Arial"/>
          <w:snapToGrid w:val="0"/>
          <w:lang w:eastAsia="zh-CN"/>
        </w:rPr>
      </w:pPr>
      <w:r>
        <w:rPr>
          <w:rFonts w:ascii="Arial" w:hAnsi="Arial" w:eastAsia="宋体" w:cs="Arial"/>
          <w:snapToGrid w:val="0"/>
          <w:lang w:eastAsia="zh-CN"/>
        </w:rPr>
        <w:t>安装、检查和使用说明：</w:t>
      </w:r>
    </w:p>
    <w:p w14:paraId="555C8C8F">
      <w:pPr>
        <w:pStyle w:val="2"/>
        <w:numPr>
          <w:ilvl w:val="1"/>
          <w:numId w:val="6"/>
        </w:numPr>
        <w:tabs>
          <w:tab w:val="left" w:pos="1261"/>
          <w:tab w:val="left" w:pos="3605"/>
        </w:tabs>
        <w:topLinePunct/>
        <w:adjustRightInd w:val="0"/>
        <w:snapToGrid w:val="0"/>
        <w:spacing w:after="224" w:afterLines="75" w:line="288" w:lineRule="auto"/>
        <w:ind w:left="1274" w:leftChars="326" w:hanging="557"/>
        <w:jc w:val="both"/>
        <w:rPr>
          <w:rFonts w:ascii="Arial" w:hAnsi="Arial" w:eastAsia="宋体" w:cs="Arial"/>
          <w:snapToGrid w:val="0"/>
          <w:lang w:eastAsia="zh-CN"/>
        </w:rPr>
      </w:pPr>
      <w:r>
        <w:rPr>
          <w:rFonts w:ascii="Arial" w:hAnsi="Arial" w:eastAsia="宋体" w:cs="Arial"/>
          <w:snapToGrid w:val="0"/>
          <w:lang w:eastAsia="zh-CN"/>
        </w:rPr>
        <w:t>用户手册：描述为产生显示图像应如何选择X射线技术因素、图像处理算法和显示设置（例如窗宽、窗口位置、灰度传输特性等）。所有与器械使用相关的注意事项、警告和禁忌症。说明器械取得的填充因子并指出器械运行</w:t>
      </w:r>
      <w:r>
        <w:rPr>
          <w:rFonts w:ascii="Arial" w:hAnsi="Arial" w:eastAsia="宋体" w:cs="Arial"/>
          <w:snapToGrid w:val="0"/>
          <w:u w:val="single"/>
          <w:lang w:eastAsia="zh-CN"/>
        </w:rPr>
        <w:t>不</w:t>
      </w:r>
      <w:r>
        <w:rPr>
          <w:rFonts w:ascii="Arial" w:hAnsi="Arial" w:eastAsia="宋体" w:cs="Arial"/>
          <w:snapToGrid w:val="0"/>
          <w:lang w:eastAsia="zh-CN"/>
        </w:rPr>
        <w:t>受量子控制</w:t>
      </w:r>
      <w:r>
        <w:rPr>
          <w:rFonts w:hint="eastAsia" w:ascii="Arial" w:hAnsi="Arial" w:eastAsia="宋体" w:cs="Arial"/>
          <w:snapToGrid w:val="0"/>
          <w:lang w:eastAsia="zh-CN"/>
        </w:rPr>
        <w:t>的</w:t>
      </w:r>
      <w:r>
        <w:rPr>
          <w:rFonts w:ascii="Arial" w:hAnsi="Arial" w:eastAsia="宋体" w:cs="Arial"/>
          <w:snapToGrid w:val="0"/>
          <w:lang w:eastAsia="zh-CN"/>
        </w:rPr>
        <w:t>曝光范围</w:t>
      </w:r>
      <w:r>
        <w:rPr>
          <w:rFonts w:hint="eastAsia" w:ascii="Arial" w:hAnsi="Arial" w:eastAsia="宋体" w:cs="Arial"/>
          <w:snapToGrid w:val="0"/>
          <w:lang w:eastAsia="zh-CN"/>
        </w:rPr>
        <w:t>（</w:t>
      </w:r>
      <w:r>
        <w:rPr>
          <w:rFonts w:ascii="Arial" w:hAnsi="Arial" w:eastAsia="宋体" w:cs="Arial"/>
          <w:snapToGrid w:val="0"/>
          <w:lang w:eastAsia="zh-CN"/>
        </w:rPr>
        <w:t>对于透视检查器械是帧率范围）（如果有）。</w:t>
      </w:r>
    </w:p>
    <w:p w14:paraId="1C917746">
      <w:pPr>
        <w:pStyle w:val="2"/>
        <w:numPr>
          <w:ilvl w:val="1"/>
          <w:numId w:val="6"/>
        </w:numPr>
        <w:tabs>
          <w:tab w:val="left" w:pos="1246"/>
          <w:tab w:val="left" w:pos="3605"/>
        </w:tabs>
        <w:topLinePunct/>
        <w:adjustRightInd w:val="0"/>
        <w:snapToGrid w:val="0"/>
        <w:spacing w:after="224" w:afterLines="75" w:line="288" w:lineRule="auto"/>
        <w:ind w:left="1274" w:leftChars="326" w:hanging="557"/>
        <w:jc w:val="both"/>
        <w:rPr>
          <w:rFonts w:ascii="Arial" w:hAnsi="Arial" w:eastAsia="宋体" w:cs="Arial"/>
          <w:snapToGrid w:val="0"/>
          <w:lang w:eastAsia="zh-CN"/>
        </w:rPr>
      </w:pPr>
      <w:r>
        <w:rPr>
          <w:rFonts w:ascii="Arial" w:hAnsi="Arial" w:eastAsia="宋体" w:cs="Arial"/>
          <w:snapToGrid w:val="0"/>
          <w:lang w:eastAsia="zh-CN"/>
        </w:rPr>
        <w:t>辅助要求：该信息应包含判断哪些特定显示器械合适的指导和使用这类显示器械达到预期用途的方法。描述从将显示SSXI生成图像的硬拷贝器械（激光摄影机）或软拷贝器械（CRT）获得最佳图像所需的任何指导（如果适用）。</w:t>
      </w:r>
    </w:p>
    <w:p w14:paraId="1BB6F91C">
      <w:pPr>
        <w:pStyle w:val="2"/>
        <w:numPr>
          <w:ilvl w:val="0"/>
          <w:numId w:val="6"/>
        </w:numPr>
        <w:topLinePunct/>
        <w:adjustRightInd w:val="0"/>
        <w:snapToGrid w:val="0"/>
        <w:spacing w:after="224" w:afterLines="75" w:line="288" w:lineRule="auto"/>
        <w:ind w:left="461" w:hanging="460" w:hangingChars="192"/>
        <w:jc w:val="both"/>
        <w:rPr>
          <w:rFonts w:ascii="Arial" w:hAnsi="Arial" w:eastAsia="宋体" w:cs="Arial"/>
          <w:snapToGrid w:val="0"/>
          <w:lang w:eastAsia="zh-CN"/>
        </w:rPr>
      </w:pPr>
      <w:r>
        <w:rPr>
          <w:rFonts w:ascii="Arial" w:hAnsi="Arial" w:eastAsia="宋体" w:cs="Arial"/>
          <w:snapToGrid w:val="0"/>
          <w:lang w:eastAsia="zh-CN"/>
        </w:rPr>
        <w:t>培训资料：为解决如何解释</w:t>
      </w:r>
      <w:r>
        <w:rPr>
          <w:rFonts w:ascii="宋体" w:hAnsi="宋体" w:eastAsia="宋体" w:cs="Arial"/>
          <w:snapToGrid w:val="0"/>
          <w:lang w:eastAsia="zh-CN"/>
        </w:rPr>
        <w:t>“</w:t>
      </w:r>
      <w:r>
        <w:rPr>
          <w:rFonts w:ascii="Arial" w:hAnsi="Arial" w:eastAsia="宋体" w:cs="Arial"/>
          <w:snapToGrid w:val="0"/>
          <w:lang w:eastAsia="zh-CN"/>
        </w:rPr>
        <w:t>学习曲线</w:t>
      </w:r>
      <w:r>
        <w:rPr>
          <w:rFonts w:ascii="宋体" w:hAnsi="宋体" w:eastAsia="宋体" w:cs="Arial"/>
          <w:snapToGrid w:val="0"/>
          <w:lang w:eastAsia="zh-CN"/>
        </w:rPr>
        <w:t>”</w:t>
      </w:r>
      <w:r>
        <w:rPr>
          <w:rFonts w:ascii="Arial" w:hAnsi="Arial" w:eastAsia="宋体" w:cs="Arial"/>
          <w:snapToGrid w:val="0"/>
          <w:lang w:eastAsia="zh-CN"/>
        </w:rPr>
        <w:t>对SSXI器械临床运用影响的问题，</w:t>
      </w:r>
      <w:r>
        <w:rPr>
          <w:rFonts w:hint="eastAsia" w:ascii="Arial" w:hAnsi="Arial" w:eastAsia="宋体" w:cs="Arial"/>
          <w:snapToGrid w:val="0"/>
          <w:lang w:eastAsia="zh-CN"/>
        </w:rPr>
        <w:t>可</w:t>
      </w:r>
      <w:r>
        <w:rPr>
          <w:rFonts w:ascii="Arial" w:hAnsi="Arial" w:eastAsia="宋体" w:cs="Arial"/>
          <w:snapToGrid w:val="0"/>
          <w:lang w:eastAsia="zh-CN"/>
        </w:rPr>
        <w:t>通过使用一套全面的培训材料证明提升</w:t>
      </w:r>
      <w:r>
        <w:rPr>
          <w:rFonts w:ascii="宋体" w:hAnsi="宋体" w:eastAsia="宋体" w:cs="Arial"/>
          <w:snapToGrid w:val="0"/>
          <w:lang w:eastAsia="zh-CN"/>
        </w:rPr>
        <w:t>“</w:t>
      </w:r>
      <w:r>
        <w:rPr>
          <w:rFonts w:ascii="Arial" w:hAnsi="Arial" w:eastAsia="宋体" w:cs="Arial"/>
          <w:snapToGrid w:val="0"/>
          <w:lang w:eastAsia="zh-CN"/>
        </w:rPr>
        <w:t>学习曲线</w:t>
      </w:r>
      <w:r>
        <w:rPr>
          <w:rFonts w:ascii="宋体" w:hAnsi="宋体" w:eastAsia="宋体" w:cs="Arial"/>
          <w:snapToGrid w:val="0"/>
          <w:lang w:eastAsia="zh-CN"/>
        </w:rPr>
        <w:t>”</w:t>
      </w:r>
      <w:r>
        <w:rPr>
          <w:rFonts w:ascii="Arial" w:hAnsi="Arial" w:eastAsia="宋体" w:cs="Arial"/>
          <w:snapToGrid w:val="0"/>
          <w:lang w:eastAsia="zh-CN"/>
        </w:rPr>
        <w:t>的方法。作为提交的一部分，应描述制造商将使用的所有培训材料。</w:t>
      </w:r>
    </w:p>
    <w:p w14:paraId="55960F47">
      <w:pPr>
        <w:pStyle w:val="2"/>
        <w:numPr>
          <w:ilvl w:val="0"/>
          <w:numId w:val="6"/>
        </w:numPr>
        <w:topLinePunct/>
        <w:adjustRightInd w:val="0"/>
        <w:snapToGrid w:val="0"/>
        <w:spacing w:after="224" w:afterLines="75" w:line="288" w:lineRule="auto"/>
        <w:ind w:left="461" w:hanging="460" w:hangingChars="192"/>
        <w:jc w:val="both"/>
        <w:rPr>
          <w:rFonts w:ascii="Arial" w:hAnsi="Arial" w:eastAsia="宋体" w:cs="Arial"/>
          <w:snapToGrid w:val="0"/>
          <w:lang w:eastAsia="zh-CN"/>
        </w:rPr>
      </w:pPr>
      <w:r>
        <w:rPr>
          <w:rFonts w:ascii="Arial" w:hAnsi="Arial" w:eastAsia="宋体" w:cs="Arial"/>
          <w:snapToGrid w:val="0"/>
          <w:lang w:eastAsia="zh-CN"/>
        </w:rPr>
        <w:t>证明文件：考虑到这类器械标签的全部内容，制造商应为用户提供成像性能的客观证明文件。然后用户可利用该信息评价成像性能不同特征之间任何权衡的重要性。证明文件应包含为回应本指南临床和非临床考虑部分所描述的数据，包括：感光响应特性、空间分辨率特性、DQE、动态范围和所用的显示方法、图像测试结果和典型患者剂量。这些数据也应显示与每个测量值相关的不确定性程度。</w:t>
      </w:r>
    </w:p>
    <w:p w14:paraId="43DCD0E3">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0122B60C">
      <w:pPr>
        <w:pStyle w:val="16"/>
        <w:numPr>
          <w:ilvl w:val="0"/>
          <w:numId w:val="1"/>
        </w:numPr>
        <w:tabs>
          <w:tab w:val="left" w:pos="819"/>
        </w:tabs>
        <w:topLinePunct/>
        <w:adjustRightInd w:val="0"/>
        <w:snapToGrid w:val="0"/>
        <w:spacing w:after="224" w:afterLines="75" w:line="288" w:lineRule="auto"/>
        <w:ind w:left="0" w:firstLine="0"/>
        <w:outlineLvl w:val="9"/>
        <w:rPr>
          <w:rFonts w:ascii="Arial" w:hAnsi="Arial" w:eastAsia="宋体" w:cs="Arial"/>
          <w:snapToGrid w:val="0"/>
          <w:sz w:val="32"/>
          <w:szCs w:val="32"/>
          <w:lang w:eastAsia="zh-CN"/>
        </w:rPr>
      </w:pPr>
      <w:r>
        <w:rPr>
          <w:rFonts w:ascii="Arial" w:hAnsi="Arial" w:eastAsia="宋体" w:cs="Arial"/>
          <w:snapToGrid w:val="0"/>
          <w:sz w:val="32"/>
          <w:szCs w:val="32"/>
          <w:lang w:eastAsia="zh-CN"/>
        </w:rPr>
        <w:t>质量保证计划</w:t>
      </w:r>
    </w:p>
    <w:p w14:paraId="07CE075A">
      <w:pPr>
        <w:pStyle w:val="2"/>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提交应包含对推荐给用户的质量保证计划的完整描述，该计划是为保持SSXI器械包括其控制硬件、软件和电源持续恰当运行。描述应包含以下信息：</w:t>
      </w:r>
    </w:p>
    <w:p w14:paraId="090274D7">
      <w:pPr>
        <w:pStyle w:val="2"/>
        <w:numPr>
          <w:ilvl w:val="0"/>
          <w:numId w:val="7"/>
        </w:numPr>
        <w:tabs>
          <w:tab w:val="left" w:pos="464"/>
        </w:tabs>
        <w:topLinePunct/>
        <w:adjustRightInd w:val="0"/>
        <w:snapToGrid w:val="0"/>
        <w:spacing w:after="224" w:afterLines="75" w:line="288" w:lineRule="auto"/>
        <w:ind w:left="464" w:hanging="464"/>
        <w:jc w:val="both"/>
        <w:rPr>
          <w:rFonts w:ascii="Arial" w:hAnsi="Arial" w:eastAsia="宋体" w:cs="Arial"/>
          <w:snapToGrid w:val="0"/>
          <w:lang w:eastAsia="zh-CN"/>
        </w:rPr>
      </w:pPr>
      <w:r>
        <w:rPr>
          <w:rFonts w:ascii="Arial" w:hAnsi="Arial" w:eastAsia="宋体" w:cs="Arial"/>
          <w:snapToGrid w:val="0"/>
          <w:lang w:eastAsia="zh-CN"/>
        </w:rPr>
        <w:t>参数监测：即监测的参数清单和监测程序及频率。</w:t>
      </w:r>
    </w:p>
    <w:p w14:paraId="3C6F3B95">
      <w:pPr>
        <w:pStyle w:val="2"/>
        <w:numPr>
          <w:ilvl w:val="0"/>
          <w:numId w:val="7"/>
        </w:numPr>
        <w:topLinePunct/>
        <w:adjustRightInd w:val="0"/>
        <w:snapToGrid w:val="0"/>
        <w:spacing w:after="224" w:afterLines="75" w:line="288" w:lineRule="auto"/>
        <w:ind w:left="464" w:hanging="464"/>
        <w:jc w:val="both"/>
        <w:rPr>
          <w:rFonts w:ascii="Arial" w:hAnsi="Arial" w:eastAsia="宋体" w:cs="Arial"/>
          <w:snapToGrid w:val="0"/>
          <w:lang w:eastAsia="zh-CN"/>
        </w:rPr>
      </w:pPr>
      <w:r>
        <w:rPr>
          <w:rFonts w:ascii="Arial" w:hAnsi="Arial" w:eastAsia="宋体" w:cs="Arial"/>
          <w:snapToGrid w:val="0"/>
          <w:lang w:eastAsia="zh-CN"/>
        </w:rPr>
        <w:t>质量判据：描述为每种监测参数设立的标准、质量判据或验收范围。</w:t>
      </w:r>
    </w:p>
    <w:p w14:paraId="18E2B167">
      <w:pPr>
        <w:pStyle w:val="2"/>
        <w:numPr>
          <w:ilvl w:val="0"/>
          <w:numId w:val="7"/>
        </w:numPr>
        <w:topLinePunct/>
        <w:adjustRightInd w:val="0"/>
        <w:snapToGrid w:val="0"/>
        <w:spacing w:after="224" w:afterLines="75" w:line="288" w:lineRule="auto"/>
        <w:ind w:left="464" w:hanging="464"/>
        <w:jc w:val="both"/>
        <w:rPr>
          <w:rFonts w:ascii="Arial" w:hAnsi="Arial" w:eastAsia="宋体" w:cs="Arial"/>
          <w:snapToGrid w:val="0"/>
          <w:lang w:eastAsia="zh-CN"/>
        </w:rPr>
      </w:pPr>
      <w:r>
        <w:rPr>
          <w:rFonts w:ascii="Arial" w:hAnsi="Arial" w:eastAsia="宋体" w:cs="Arial"/>
          <w:snapToGrid w:val="0"/>
          <w:lang w:eastAsia="zh-CN"/>
        </w:rPr>
        <w:t>制造商的记录：制造商将为质量保证计划保留的记录清单及样本表格（如果适用）。</w:t>
      </w:r>
    </w:p>
    <w:p w14:paraId="16BE9B80">
      <w:pPr>
        <w:pStyle w:val="2"/>
        <w:numPr>
          <w:ilvl w:val="0"/>
          <w:numId w:val="7"/>
        </w:numPr>
        <w:topLinePunct/>
        <w:adjustRightInd w:val="0"/>
        <w:snapToGrid w:val="0"/>
        <w:spacing w:after="224" w:afterLines="75" w:line="288" w:lineRule="auto"/>
        <w:ind w:left="464" w:hanging="464"/>
        <w:jc w:val="both"/>
        <w:rPr>
          <w:rFonts w:ascii="Arial" w:hAnsi="Arial" w:eastAsia="宋体" w:cs="Arial"/>
          <w:snapToGrid w:val="0"/>
          <w:lang w:eastAsia="zh-CN"/>
        </w:rPr>
      </w:pPr>
      <w:r>
        <w:rPr>
          <w:rFonts w:ascii="Arial" w:hAnsi="Arial" w:eastAsia="宋体" w:cs="Arial"/>
          <w:snapToGrid w:val="0"/>
          <w:lang w:eastAsia="zh-CN"/>
        </w:rPr>
        <w:t>质量保证培训资料：描述将为执行、记录和监测质量保证试验提供的所有培训资料。</w:t>
      </w:r>
    </w:p>
    <w:p w14:paraId="26CE003E">
      <w:pPr>
        <w:pBdr>
          <w:bottom w:val="single" w:color="auto" w:sz="4" w:space="1"/>
        </w:pBdr>
        <w:topLinePunct/>
        <w:adjustRightInd w:val="0"/>
        <w:snapToGrid w:val="0"/>
        <w:spacing w:after="224" w:afterLines="75" w:line="288" w:lineRule="auto"/>
        <w:jc w:val="center"/>
        <w:rPr>
          <w:rFonts w:hint="eastAsia" w:eastAsia="宋体"/>
          <w:lang w:eastAsia="zh-CN"/>
        </w:rPr>
      </w:pPr>
    </w:p>
    <w:p w14:paraId="0A78EBBD">
      <w:pPr>
        <w:pBdr>
          <w:bottom w:val="single" w:color="auto" w:sz="4" w:space="1"/>
        </w:pBdr>
        <w:topLinePunct/>
        <w:adjustRightInd w:val="0"/>
        <w:snapToGrid w:val="0"/>
        <w:spacing w:after="224" w:afterLines="75" w:line="288" w:lineRule="auto"/>
        <w:jc w:val="center"/>
        <w:rPr>
          <w:rFonts w:hint="eastAsia" w:eastAsia="宋体"/>
          <w:lang w:eastAsia="zh-CN"/>
        </w:rPr>
      </w:pPr>
    </w:p>
    <w:p w14:paraId="42D3F2A8">
      <w:pPr>
        <w:pBdr>
          <w:bottom w:val="single" w:color="auto" w:sz="4" w:space="1"/>
        </w:pBdr>
        <w:topLinePunct/>
        <w:adjustRightInd w:val="0"/>
        <w:snapToGrid w:val="0"/>
        <w:spacing w:after="224"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134" w:right="1440" w:bottom="1134" w:left="144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6A2B">
    <w:pPr>
      <w:rPr>
        <w:rFonts w:ascii="Arial" w:hAnsi="Arial" w:eastAsia="宋体" w:cs="Arial"/>
        <w:sz w:val="21"/>
        <w:szCs w:val="21"/>
        <w:lang w:eastAsia="zh-CN"/>
      </w:rPr>
    </w:pPr>
  </w:p>
  <w:p w14:paraId="22142A3F">
    <w:pPr>
      <w:spacing w:line="214" w:lineRule="exact"/>
      <w:ind w:left="40"/>
      <w:jc w:val="center"/>
      <w:rPr>
        <w:rFonts w:ascii="Arial" w:hAnsi="Arial" w:cs="Arial"/>
        <w:sz w:val="21"/>
        <w:szCs w:val="21"/>
        <w:lang w:eastAsia="zh-CN"/>
      </w:rPr>
    </w:pP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13</w:t>
    </w:r>
    <w:r>
      <w:rPr>
        <w:rFonts w:ascii="Arial" w:hAnsi="Arial" w:cs="Arial"/>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828F80F">
      <w:pPr>
        <w:pStyle w:val="6"/>
        <w:spacing w:line="300" w:lineRule="auto"/>
        <w:jc w:val="both"/>
        <w:rPr>
          <w:sz w:val="21"/>
          <w:szCs w:val="21"/>
          <w:lang w:eastAsia="zh-CN"/>
        </w:rPr>
      </w:pPr>
      <w:r>
        <w:rPr>
          <w:rStyle w:val="10"/>
          <w:sz w:val="21"/>
          <w:szCs w:val="21"/>
        </w:rPr>
        <w:footnoteRef/>
      </w:r>
      <w:r>
        <w:rPr>
          <w:sz w:val="21"/>
          <w:szCs w:val="21"/>
          <w:lang w:eastAsia="zh-CN"/>
        </w:rPr>
        <w:t xml:space="preserve"> </w:t>
      </w:r>
      <w:r>
        <w:rPr>
          <w:rFonts w:ascii="Arial" w:hAnsi="Arial" w:eastAsia="宋体" w:cs="Arial"/>
          <w:snapToGrid w:val="0"/>
          <w:sz w:val="21"/>
          <w:szCs w:val="21"/>
          <w:lang w:eastAsia="zh-CN"/>
        </w:rPr>
        <w:t>本文件旨在提供指南。</w:t>
      </w:r>
      <w:r>
        <w:rPr>
          <w:rFonts w:hint="eastAsia" w:ascii="Arial" w:hAnsi="Arial" w:eastAsia="宋体" w:cs="Arial"/>
          <w:snapToGrid w:val="0"/>
          <w:sz w:val="21"/>
          <w:szCs w:val="21"/>
          <w:lang w:eastAsia="zh-CN"/>
        </w:rPr>
        <w:t>其</w:t>
      </w:r>
      <w:r>
        <w:rPr>
          <w:rFonts w:ascii="Arial" w:hAnsi="Arial" w:eastAsia="宋体" w:cs="Arial"/>
          <w:snapToGrid w:val="0"/>
          <w:sz w:val="21"/>
          <w:szCs w:val="21"/>
          <w:lang w:eastAsia="zh-CN"/>
        </w:rPr>
        <w:t>代表本机构目前关于SSXI的思考。其不会为任何人创造或赋予任何权利，也不会对FDA或公众产生约束。如果替代方法满足适用的法律、法规或两者的要求，则可以使用该方法。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256D8"/>
    <w:multiLevelType w:val="multilevel"/>
    <w:tmpl w:val="0B1256D8"/>
    <w:lvl w:ilvl="0" w:tentative="0">
      <w:start w:val="1"/>
      <w:numFmt w:val="upperLetter"/>
      <w:lvlText w:val="%1."/>
      <w:lvlJc w:val="left"/>
      <w:pPr>
        <w:ind w:left="471" w:hanging="352"/>
      </w:pPr>
      <w:rPr>
        <w:rFonts w:hint="default" w:ascii="Arial" w:hAnsi="Arial" w:eastAsia="Times New Roman" w:cs="Arial"/>
        <w:spacing w:val="-2"/>
        <w:sz w:val="24"/>
        <w:szCs w:val="24"/>
      </w:rPr>
    </w:lvl>
    <w:lvl w:ilvl="1" w:tentative="0">
      <w:start w:val="1"/>
      <w:numFmt w:val="bullet"/>
      <w:lvlText w:val="•"/>
      <w:lvlJc w:val="left"/>
      <w:pPr>
        <w:ind w:left="1364" w:hanging="352"/>
      </w:pPr>
      <w:rPr>
        <w:rFonts w:hint="default"/>
      </w:rPr>
    </w:lvl>
    <w:lvl w:ilvl="2" w:tentative="0">
      <w:start w:val="1"/>
      <w:numFmt w:val="bullet"/>
      <w:lvlText w:val="•"/>
      <w:lvlJc w:val="left"/>
      <w:pPr>
        <w:ind w:left="2257" w:hanging="352"/>
      </w:pPr>
      <w:rPr>
        <w:rFonts w:hint="default"/>
      </w:rPr>
    </w:lvl>
    <w:lvl w:ilvl="3" w:tentative="0">
      <w:start w:val="1"/>
      <w:numFmt w:val="bullet"/>
      <w:lvlText w:val="•"/>
      <w:lvlJc w:val="left"/>
      <w:pPr>
        <w:ind w:left="3150" w:hanging="352"/>
      </w:pPr>
      <w:rPr>
        <w:rFonts w:hint="default"/>
      </w:rPr>
    </w:lvl>
    <w:lvl w:ilvl="4" w:tentative="0">
      <w:start w:val="1"/>
      <w:numFmt w:val="bullet"/>
      <w:lvlText w:val="•"/>
      <w:lvlJc w:val="left"/>
      <w:pPr>
        <w:ind w:left="4042" w:hanging="352"/>
      </w:pPr>
      <w:rPr>
        <w:rFonts w:hint="default"/>
      </w:rPr>
    </w:lvl>
    <w:lvl w:ilvl="5" w:tentative="0">
      <w:start w:val="1"/>
      <w:numFmt w:val="bullet"/>
      <w:lvlText w:val="•"/>
      <w:lvlJc w:val="left"/>
      <w:pPr>
        <w:ind w:left="4935" w:hanging="352"/>
      </w:pPr>
      <w:rPr>
        <w:rFonts w:hint="default"/>
      </w:rPr>
    </w:lvl>
    <w:lvl w:ilvl="6" w:tentative="0">
      <w:start w:val="1"/>
      <w:numFmt w:val="bullet"/>
      <w:lvlText w:val="•"/>
      <w:lvlJc w:val="left"/>
      <w:pPr>
        <w:ind w:left="5828" w:hanging="352"/>
      </w:pPr>
      <w:rPr>
        <w:rFonts w:hint="default"/>
      </w:rPr>
    </w:lvl>
    <w:lvl w:ilvl="7" w:tentative="0">
      <w:start w:val="1"/>
      <w:numFmt w:val="bullet"/>
      <w:lvlText w:val="•"/>
      <w:lvlJc w:val="left"/>
      <w:pPr>
        <w:ind w:left="6721" w:hanging="352"/>
      </w:pPr>
      <w:rPr>
        <w:rFonts w:hint="default"/>
      </w:rPr>
    </w:lvl>
    <w:lvl w:ilvl="8" w:tentative="0">
      <w:start w:val="1"/>
      <w:numFmt w:val="bullet"/>
      <w:lvlText w:val="•"/>
      <w:lvlJc w:val="left"/>
      <w:pPr>
        <w:ind w:left="7614" w:hanging="352"/>
      </w:pPr>
      <w:rPr>
        <w:rFonts w:hint="default"/>
      </w:rPr>
    </w:lvl>
  </w:abstractNum>
  <w:abstractNum w:abstractNumId="1">
    <w:nsid w:val="13FF4271"/>
    <w:multiLevelType w:val="multilevel"/>
    <w:tmpl w:val="13FF4271"/>
    <w:lvl w:ilvl="0" w:tentative="0">
      <w:start w:val="1"/>
      <w:numFmt w:val="upperLetter"/>
      <w:lvlText w:val="%1."/>
      <w:lvlJc w:val="left"/>
      <w:pPr>
        <w:ind w:left="402" w:hanging="291"/>
        <w:jc w:val="right"/>
      </w:pPr>
      <w:rPr>
        <w:rFonts w:hint="default" w:ascii="Arial" w:hAnsi="Arial" w:eastAsia="Times New Roman" w:cs="Arial"/>
        <w:spacing w:val="-3"/>
        <w:sz w:val="24"/>
        <w:szCs w:val="24"/>
      </w:rPr>
    </w:lvl>
    <w:lvl w:ilvl="1" w:tentative="0">
      <w:start w:val="1"/>
      <w:numFmt w:val="decimal"/>
      <w:lvlText w:val="%2."/>
      <w:lvlJc w:val="left"/>
      <w:pPr>
        <w:ind w:left="1080" w:hanging="360"/>
      </w:pPr>
      <w:rPr>
        <w:rFonts w:hint="default" w:ascii="Arial" w:hAnsi="Arial" w:eastAsia="Times New Roman" w:cs="Arial"/>
        <w:spacing w:val="1"/>
        <w:sz w:val="24"/>
        <w:szCs w:val="24"/>
      </w:rPr>
    </w:lvl>
    <w:lvl w:ilvl="2" w:tentative="0">
      <w:start w:val="1"/>
      <w:numFmt w:val="bullet"/>
      <w:lvlText w:val="•"/>
      <w:lvlJc w:val="left"/>
      <w:pPr>
        <w:ind w:left="1101" w:hanging="360"/>
      </w:pPr>
      <w:rPr>
        <w:rFonts w:hint="default"/>
      </w:rPr>
    </w:lvl>
    <w:lvl w:ilvl="3" w:tentative="0">
      <w:start w:val="1"/>
      <w:numFmt w:val="bullet"/>
      <w:lvlText w:val="•"/>
      <w:lvlJc w:val="left"/>
      <w:pPr>
        <w:ind w:left="1191" w:hanging="360"/>
      </w:pPr>
      <w:rPr>
        <w:rFonts w:hint="default"/>
      </w:rPr>
    </w:lvl>
    <w:lvl w:ilvl="4" w:tentative="0">
      <w:start w:val="1"/>
      <w:numFmt w:val="bullet"/>
      <w:lvlText w:val="•"/>
      <w:lvlJc w:val="left"/>
      <w:pPr>
        <w:ind w:left="1291" w:hanging="360"/>
      </w:pPr>
      <w:rPr>
        <w:rFonts w:hint="default"/>
      </w:rPr>
    </w:lvl>
    <w:lvl w:ilvl="5" w:tentative="0">
      <w:start w:val="1"/>
      <w:numFmt w:val="bullet"/>
      <w:lvlText w:val="•"/>
      <w:lvlJc w:val="left"/>
      <w:pPr>
        <w:ind w:left="2613" w:hanging="360"/>
      </w:pPr>
      <w:rPr>
        <w:rFonts w:hint="default"/>
      </w:rPr>
    </w:lvl>
    <w:lvl w:ilvl="6" w:tentative="0">
      <w:start w:val="1"/>
      <w:numFmt w:val="bullet"/>
      <w:lvlText w:val="•"/>
      <w:lvlJc w:val="left"/>
      <w:pPr>
        <w:ind w:left="3934" w:hanging="360"/>
      </w:pPr>
      <w:rPr>
        <w:rFonts w:hint="default"/>
      </w:rPr>
    </w:lvl>
    <w:lvl w:ilvl="7" w:tentative="0">
      <w:start w:val="1"/>
      <w:numFmt w:val="bullet"/>
      <w:lvlText w:val="•"/>
      <w:lvlJc w:val="left"/>
      <w:pPr>
        <w:ind w:left="5255" w:hanging="360"/>
      </w:pPr>
      <w:rPr>
        <w:rFonts w:hint="default"/>
      </w:rPr>
    </w:lvl>
    <w:lvl w:ilvl="8" w:tentative="0">
      <w:start w:val="1"/>
      <w:numFmt w:val="bullet"/>
      <w:lvlText w:val="•"/>
      <w:lvlJc w:val="left"/>
      <w:pPr>
        <w:ind w:left="6577" w:hanging="360"/>
      </w:pPr>
      <w:rPr>
        <w:rFonts w:hint="default"/>
      </w:rPr>
    </w:lvl>
  </w:abstractNum>
  <w:abstractNum w:abstractNumId="2">
    <w:nsid w:val="4B151B7E"/>
    <w:multiLevelType w:val="multilevel"/>
    <w:tmpl w:val="4B151B7E"/>
    <w:lvl w:ilvl="0" w:tentative="0">
      <w:start w:val="1"/>
      <w:numFmt w:val="upperLetter"/>
      <w:lvlText w:val="%1."/>
      <w:lvlJc w:val="left"/>
      <w:pPr>
        <w:ind w:left="471" w:hanging="360"/>
      </w:pPr>
      <w:rPr>
        <w:rFonts w:hint="default" w:ascii="Arial" w:hAnsi="Arial" w:eastAsia="Times New Roman" w:cs="Arial"/>
        <w:spacing w:val="0"/>
        <w:sz w:val="24"/>
        <w:szCs w:val="24"/>
      </w:rPr>
    </w:lvl>
    <w:lvl w:ilvl="1" w:tentative="0">
      <w:start w:val="1"/>
      <w:numFmt w:val="decimal"/>
      <w:lvlText w:val="%2."/>
      <w:lvlJc w:val="left"/>
      <w:pPr>
        <w:ind w:left="900" w:hanging="270"/>
      </w:pPr>
      <w:rPr>
        <w:rFonts w:hint="default" w:ascii="Arial" w:hAnsi="Arial" w:eastAsia="Times New Roman" w:cs="Arial"/>
        <w:sz w:val="24"/>
        <w:szCs w:val="24"/>
      </w:rPr>
    </w:lvl>
    <w:lvl w:ilvl="2" w:tentative="0">
      <w:start w:val="1"/>
      <w:numFmt w:val="lowerLetter"/>
      <w:lvlText w:val="%3."/>
      <w:lvlJc w:val="left"/>
      <w:pPr>
        <w:ind w:left="1551" w:hanging="249"/>
      </w:pPr>
      <w:rPr>
        <w:rFonts w:hint="default" w:ascii="Arial" w:hAnsi="Arial" w:eastAsia="Times New Roman" w:cs="Arial"/>
        <w:w w:val="100"/>
        <w:sz w:val="24"/>
        <w:szCs w:val="24"/>
      </w:rPr>
    </w:lvl>
    <w:lvl w:ilvl="3" w:tentative="0">
      <w:start w:val="1"/>
      <w:numFmt w:val="bullet"/>
      <w:lvlText w:val="•"/>
      <w:lvlJc w:val="left"/>
      <w:pPr>
        <w:ind w:left="1551" w:hanging="249"/>
      </w:pPr>
      <w:rPr>
        <w:rFonts w:hint="default"/>
      </w:rPr>
    </w:lvl>
    <w:lvl w:ilvl="4" w:tentative="0">
      <w:start w:val="1"/>
      <w:numFmt w:val="bullet"/>
      <w:lvlText w:val="•"/>
      <w:lvlJc w:val="left"/>
      <w:pPr>
        <w:ind w:left="1571" w:hanging="249"/>
      </w:pPr>
      <w:rPr>
        <w:rFonts w:hint="default"/>
      </w:rPr>
    </w:lvl>
    <w:lvl w:ilvl="5" w:tentative="0">
      <w:start w:val="1"/>
      <w:numFmt w:val="bullet"/>
      <w:lvlText w:val="•"/>
      <w:lvlJc w:val="left"/>
      <w:pPr>
        <w:ind w:left="2883" w:hanging="249"/>
      </w:pPr>
      <w:rPr>
        <w:rFonts w:hint="default"/>
      </w:rPr>
    </w:lvl>
    <w:lvl w:ilvl="6" w:tentative="0">
      <w:start w:val="1"/>
      <w:numFmt w:val="bullet"/>
      <w:lvlText w:val="•"/>
      <w:lvlJc w:val="left"/>
      <w:pPr>
        <w:ind w:left="4194" w:hanging="249"/>
      </w:pPr>
      <w:rPr>
        <w:rFonts w:hint="default"/>
      </w:rPr>
    </w:lvl>
    <w:lvl w:ilvl="7" w:tentative="0">
      <w:start w:val="1"/>
      <w:numFmt w:val="bullet"/>
      <w:lvlText w:val="•"/>
      <w:lvlJc w:val="left"/>
      <w:pPr>
        <w:ind w:left="5505" w:hanging="249"/>
      </w:pPr>
      <w:rPr>
        <w:rFonts w:hint="default"/>
      </w:rPr>
    </w:lvl>
    <w:lvl w:ilvl="8" w:tentative="0">
      <w:start w:val="1"/>
      <w:numFmt w:val="bullet"/>
      <w:lvlText w:val="•"/>
      <w:lvlJc w:val="left"/>
      <w:pPr>
        <w:ind w:left="6817" w:hanging="249"/>
      </w:pPr>
      <w:rPr>
        <w:rFonts w:hint="default"/>
      </w:rPr>
    </w:lvl>
  </w:abstractNum>
  <w:abstractNum w:abstractNumId="3">
    <w:nsid w:val="5C5868E9"/>
    <w:multiLevelType w:val="multilevel"/>
    <w:tmpl w:val="5C5868E9"/>
    <w:lvl w:ilvl="0" w:tentative="0">
      <w:start w:val="2"/>
      <w:numFmt w:val="upperLetter"/>
      <w:lvlText w:val="%1."/>
      <w:lvlJc w:val="left"/>
      <w:pPr>
        <w:ind w:left="571" w:hanging="360"/>
      </w:pPr>
      <w:rPr>
        <w:rFonts w:hint="default" w:ascii="Arial" w:hAnsi="Arial" w:eastAsia="Times New Roman" w:cs="Arial"/>
        <w:spacing w:val="-1"/>
        <w:w w:val="99"/>
        <w:sz w:val="24"/>
        <w:szCs w:val="24"/>
      </w:rPr>
    </w:lvl>
    <w:lvl w:ilvl="1" w:tentative="0">
      <w:start w:val="1"/>
      <w:numFmt w:val="decimal"/>
      <w:lvlText w:val="%2."/>
      <w:lvlJc w:val="left"/>
      <w:pPr>
        <w:ind w:left="1291" w:hanging="329"/>
      </w:pPr>
      <w:rPr>
        <w:rFonts w:hint="default" w:ascii="Arial" w:hAnsi="Arial" w:eastAsia="Times New Roman" w:cs="Arial"/>
        <w:spacing w:val="1"/>
        <w:sz w:val="24"/>
        <w:szCs w:val="24"/>
      </w:rPr>
    </w:lvl>
    <w:lvl w:ilvl="2" w:tentative="0">
      <w:start w:val="1"/>
      <w:numFmt w:val="bullet"/>
      <w:lvlText w:val="•"/>
      <w:lvlJc w:val="left"/>
      <w:pPr>
        <w:ind w:left="2201" w:hanging="329"/>
      </w:pPr>
      <w:rPr>
        <w:rFonts w:hint="default"/>
      </w:rPr>
    </w:lvl>
    <w:lvl w:ilvl="3" w:tentative="0">
      <w:start w:val="1"/>
      <w:numFmt w:val="bullet"/>
      <w:lvlText w:val="•"/>
      <w:lvlJc w:val="left"/>
      <w:pPr>
        <w:ind w:left="3111" w:hanging="329"/>
      </w:pPr>
      <w:rPr>
        <w:rFonts w:hint="default"/>
      </w:rPr>
    </w:lvl>
    <w:lvl w:ilvl="4" w:tentative="0">
      <w:start w:val="1"/>
      <w:numFmt w:val="bullet"/>
      <w:lvlText w:val="•"/>
      <w:lvlJc w:val="left"/>
      <w:pPr>
        <w:ind w:left="4021" w:hanging="329"/>
      </w:pPr>
      <w:rPr>
        <w:rFonts w:hint="default"/>
      </w:rPr>
    </w:lvl>
    <w:lvl w:ilvl="5" w:tentative="0">
      <w:start w:val="1"/>
      <w:numFmt w:val="bullet"/>
      <w:lvlText w:val="•"/>
      <w:lvlJc w:val="left"/>
      <w:pPr>
        <w:ind w:left="4930" w:hanging="329"/>
      </w:pPr>
      <w:rPr>
        <w:rFonts w:hint="default"/>
      </w:rPr>
    </w:lvl>
    <w:lvl w:ilvl="6" w:tentative="0">
      <w:start w:val="1"/>
      <w:numFmt w:val="bullet"/>
      <w:lvlText w:val="•"/>
      <w:lvlJc w:val="left"/>
      <w:pPr>
        <w:ind w:left="5840" w:hanging="329"/>
      </w:pPr>
      <w:rPr>
        <w:rFonts w:hint="default"/>
      </w:rPr>
    </w:lvl>
    <w:lvl w:ilvl="7" w:tentative="0">
      <w:start w:val="1"/>
      <w:numFmt w:val="bullet"/>
      <w:lvlText w:val="•"/>
      <w:lvlJc w:val="left"/>
      <w:pPr>
        <w:ind w:left="6750" w:hanging="329"/>
      </w:pPr>
      <w:rPr>
        <w:rFonts w:hint="default"/>
      </w:rPr>
    </w:lvl>
    <w:lvl w:ilvl="8" w:tentative="0">
      <w:start w:val="1"/>
      <w:numFmt w:val="bullet"/>
      <w:lvlText w:val="•"/>
      <w:lvlJc w:val="left"/>
      <w:pPr>
        <w:ind w:left="7660" w:hanging="329"/>
      </w:pPr>
      <w:rPr>
        <w:rFonts w:hint="default"/>
      </w:rPr>
    </w:lvl>
  </w:abstractNum>
  <w:abstractNum w:abstractNumId="4">
    <w:nsid w:val="60725026"/>
    <w:multiLevelType w:val="multilevel"/>
    <w:tmpl w:val="60725026"/>
    <w:lvl w:ilvl="0" w:tentative="0">
      <w:start w:val="1"/>
      <w:numFmt w:val="upperRoman"/>
      <w:lvlText w:val="%1."/>
      <w:lvlJc w:val="left"/>
      <w:pPr>
        <w:ind w:left="830" w:hanging="320"/>
      </w:pPr>
      <w:rPr>
        <w:rFonts w:hint="default" w:ascii="Arial" w:hAnsi="Arial" w:eastAsia="Times New Roman" w:cs="Arial"/>
        <w:b/>
        <w:bCs/>
        <w:spacing w:val="-1"/>
        <w:sz w:val="32"/>
        <w:szCs w:val="36"/>
      </w:rPr>
    </w:lvl>
    <w:lvl w:ilvl="1" w:tentative="0">
      <w:start w:val="1"/>
      <w:numFmt w:val="upperRoman"/>
      <w:lvlText w:val="%2."/>
      <w:lvlJc w:val="left"/>
      <w:pPr>
        <w:ind w:left="1020" w:hanging="447"/>
        <w:jc w:val="right"/>
      </w:pPr>
      <w:rPr>
        <w:rFonts w:hint="default" w:ascii="Arial" w:hAnsi="Arial" w:eastAsia="Times New Roman" w:cs="Arial"/>
        <w:spacing w:val="-1"/>
        <w:sz w:val="24"/>
        <w:szCs w:val="24"/>
      </w:rPr>
    </w:lvl>
    <w:lvl w:ilvl="2" w:tentative="0">
      <w:start w:val="1"/>
      <w:numFmt w:val="upperLetter"/>
      <w:lvlText w:val="%3."/>
      <w:lvlJc w:val="left"/>
      <w:pPr>
        <w:ind w:left="1680" w:hanging="358"/>
      </w:pPr>
      <w:rPr>
        <w:rFonts w:hint="default" w:ascii="Arial" w:hAnsi="Arial" w:eastAsia="Times New Roman" w:cs="Arial"/>
        <w:spacing w:val="-1"/>
        <w:sz w:val="24"/>
        <w:szCs w:val="24"/>
      </w:rPr>
    </w:lvl>
    <w:lvl w:ilvl="3" w:tentative="0">
      <w:start w:val="1"/>
      <w:numFmt w:val="bullet"/>
      <w:lvlText w:val="•"/>
      <w:lvlJc w:val="left"/>
      <w:pPr>
        <w:ind w:left="1562" w:hanging="358"/>
      </w:pPr>
      <w:rPr>
        <w:rFonts w:hint="default"/>
      </w:rPr>
    </w:lvl>
    <w:lvl w:ilvl="4" w:tentative="0">
      <w:start w:val="1"/>
      <w:numFmt w:val="bullet"/>
      <w:lvlText w:val="•"/>
      <w:lvlJc w:val="left"/>
      <w:pPr>
        <w:ind w:left="1591" w:hanging="358"/>
      </w:pPr>
      <w:rPr>
        <w:rFonts w:hint="default"/>
      </w:rPr>
    </w:lvl>
    <w:lvl w:ilvl="5" w:tentative="0">
      <w:start w:val="1"/>
      <w:numFmt w:val="bullet"/>
      <w:lvlText w:val="•"/>
      <w:lvlJc w:val="left"/>
      <w:pPr>
        <w:ind w:left="1680" w:hanging="358"/>
      </w:pPr>
      <w:rPr>
        <w:rFonts w:hint="default"/>
      </w:rPr>
    </w:lvl>
    <w:lvl w:ilvl="6" w:tentative="0">
      <w:start w:val="1"/>
      <w:numFmt w:val="bullet"/>
      <w:lvlText w:val="•"/>
      <w:lvlJc w:val="left"/>
      <w:pPr>
        <w:ind w:left="3208" w:hanging="358"/>
      </w:pPr>
      <w:rPr>
        <w:rFonts w:hint="default"/>
      </w:rPr>
    </w:lvl>
    <w:lvl w:ilvl="7" w:tentative="0">
      <w:start w:val="1"/>
      <w:numFmt w:val="bullet"/>
      <w:lvlText w:val="•"/>
      <w:lvlJc w:val="left"/>
      <w:pPr>
        <w:ind w:left="4736" w:hanging="358"/>
      </w:pPr>
      <w:rPr>
        <w:rFonts w:hint="default"/>
      </w:rPr>
    </w:lvl>
    <w:lvl w:ilvl="8" w:tentative="0">
      <w:start w:val="1"/>
      <w:numFmt w:val="bullet"/>
      <w:lvlText w:val="•"/>
      <w:lvlJc w:val="left"/>
      <w:pPr>
        <w:ind w:left="6264" w:hanging="358"/>
      </w:pPr>
      <w:rPr>
        <w:rFonts w:hint="default"/>
      </w:rPr>
    </w:lvl>
  </w:abstractNum>
  <w:abstractNum w:abstractNumId="5">
    <w:nsid w:val="60C77EBC"/>
    <w:multiLevelType w:val="multilevel"/>
    <w:tmpl w:val="60C77EBC"/>
    <w:lvl w:ilvl="0" w:tentative="0">
      <w:start w:val="3"/>
      <w:numFmt w:val="upperRoman"/>
      <w:lvlText w:val="%1"/>
      <w:lvlJc w:val="left"/>
      <w:pPr>
        <w:ind w:left="819" w:hanging="708"/>
        <w:jc w:val="right"/>
      </w:pPr>
      <w:rPr>
        <w:rFonts w:hint="default" w:ascii="Times New Roman" w:hAnsi="Times New Roman" w:eastAsia="Times New Roman"/>
        <w:b/>
        <w:bCs/>
        <w:spacing w:val="-1"/>
        <w:sz w:val="36"/>
        <w:szCs w:val="36"/>
      </w:rPr>
    </w:lvl>
    <w:lvl w:ilvl="1" w:tentative="0">
      <w:start w:val="1"/>
      <w:numFmt w:val="decimal"/>
      <w:lvlText w:val="%2."/>
      <w:lvlJc w:val="left"/>
      <w:pPr>
        <w:ind w:left="820" w:hanging="249"/>
      </w:pPr>
      <w:rPr>
        <w:rFonts w:hint="default" w:ascii="Arial" w:hAnsi="Arial" w:eastAsia="Times New Roman" w:cs="Arial"/>
        <w:spacing w:val="-3"/>
        <w:sz w:val="24"/>
        <w:szCs w:val="24"/>
      </w:rPr>
    </w:lvl>
    <w:lvl w:ilvl="2" w:tentative="0">
      <w:start w:val="1"/>
      <w:numFmt w:val="bullet"/>
      <w:lvlText w:val="•"/>
      <w:lvlJc w:val="left"/>
      <w:pPr>
        <w:ind w:left="1764" w:hanging="249"/>
      </w:pPr>
      <w:rPr>
        <w:rFonts w:hint="default"/>
      </w:rPr>
    </w:lvl>
    <w:lvl w:ilvl="3" w:tentative="0">
      <w:start w:val="1"/>
      <w:numFmt w:val="bullet"/>
      <w:lvlText w:val="•"/>
      <w:lvlJc w:val="left"/>
      <w:pPr>
        <w:ind w:left="2708" w:hanging="249"/>
      </w:pPr>
      <w:rPr>
        <w:rFonts w:hint="default"/>
      </w:rPr>
    </w:lvl>
    <w:lvl w:ilvl="4" w:tentative="0">
      <w:start w:val="1"/>
      <w:numFmt w:val="bullet"/>
      <w:lvlText w:val="•"/>
      <w:lvlJc w:val="left"/>
      <w:pPr>
        <w:ind w:left="3653" w:hanging="249"/>
      </w:pPr>
      <w:rPr>
        <w:rFonts w:hint="default"/>
      </w:rPr>
    </w:lvl>
    <w:lvl w:ilvl="5" w:tentative="0">
      <w:start w:val="1"/>
      <w:numFmt w:val="bullet"/>
      <w:lvlText w:val="•"/>
      <w:lvlJc w:val="left"/>
      <w:pPr>
        <w:ind w:left="4597" w:hanging="249"/>
      </w:pPr>
      <w:rPr>
        <w:rFonts w:hint="default"/>
      </w:rPr>
    </w:lvl>
    <w:lvl w:ilvl="6" w:tentative="0">
      <w:start w:val="1"/>
      <w:numFmt w:val="bullet"/>
      <w:lvlText w:val="•"/>
      <w:lvlJc w:val="left"/>
      <w:pPr>
        <w:ind w:left="5542" w:hanging="249"/>
      </w:pPr>
      <w:rPr>
        <w:rFonts w:hint="default"/>
      </w:rPr>
    </w:lvl>
    <w:lvl w:ilvl="7" w:tentative="0">
      <w:start w:val="1"/>
      <w:numFmt w:val="bullet"/>
      <w:lvlText w:val="•"/>
      <w:lvlJc w:val="left"/>
      <w:pPr>
        <w:ind w:left="6486" w:hanging="249"/>
      </w:pPr>
      <w:rPr>
        <w:rFonts w:hint="default"/>
      </w:rPr>
    </w:lvl>
    <w:lvl w:ilvl="8" w:tentative="0">
      <w:start w:val="1"/>
      <w:numFmt w:val="bullet"/>
      <w:lvlText w:val="•"/>
      <w:lvlJc w:val="left"/>
      <w:pPr>
        <w:ind w:left="7431" w:hanging="249"/>
      </w:pPr>
      <w:rPr>
        <w:rFonts w:hint="default"/>
      </w:rPr>
    </w:lvl>
  </w:abstractNum>
  <w:abstractNum w:abstractNumId="6">
    <w:nsid w:val="71F51066"/>
    <w:multiLevelType w:val="multilevel"/>
    <w:tmpl w:val="71F51066"/>
    <w:lvl w:ilvl="0" w:tentative="0">
      <w:start w:val="1"/>
      <w:numFmt w:val="upperLetter"/>
      <w:lvlText w:val="%1."/>
      <w:lvlJc w:val="left"/>
      <w:pPr>
        <w:ind w:left="471" w:hanging="360"/>
      </w:pPr>
      <w:rPr>
        <w:rFonts w:hint="default" w:ascii="Arial" w:hAnsi="Arial" w:eastAsia="Times New Roman" w:cs="Arial"/>
        <w:spacing w:val="-2"/>
        <w:sz w:val="24"/>
        <w:szCs w:val="24"/>
      </w:rPr>
    </w:lvl>
    <w:lvl w:ilvl="1" w:tentative="0">
      <w:start w:val="1"/>
      <w:numFmt w:val="bullet"/>
      <w:lvlText w:val="•"/>
      <w:lvlJc w:val="left"/>
      <w:pPr>
        <w:ind w:left="1356" w:hanging="360"/>
      </w:pPr>
      <w:rPr>
        <w:rFonts w:hint="default"/>
      </w:rPr>
    </w:lvl>
    <w:lvl w:ilvl="2" w:tentative="0">
      <w:start w:val="1"/>
      <w:numFmt w:val="bullet"/>
      <w:lvlText w:val="•"/>
      <w:lvlJc w:val="left"/>
      <w:pPr>
        <w:ind w:left="2241" w:hanging="360"/>
      </w:pPr>
      <w:rPr>
        <w:rFonts w:hint="default"/>
      </w:rPr>
    </w:lvl>
    <w:lvl w:ilvl="3" w:tentative="0">
      <w:start w:val="1"/>
      <w:numFmt w:val="bullet"/>
      <w:lvlText w:val="•"/>
      <w:lvlJc w:val="left"/>
      <w:pPr>
        <w:ind w:left="3126" w:hanging="360"/>
      </w:pPr>
      <w:rPr>
        <w:rFonts w:hint="default"/>
      </w:rPr>
    </w:lvl>
    <w:lvl w:ilvl="4" w:tentative="0">
      <w:start w:val="1"/>
      <w:numFmt w:val="bullet"/>
      <w:lvlText w:val="•"/>
      <w:lvlJc w:val="left"/>
      <w:pPr>
        <w:ind w:left="4010" w:hanging="360"/>
      </w:pPr>
      <w:rPr>
        <w:rFonts w:hint="default"/>
      </w:rPr>
    </w:lvl>
    <w:lvl w:ilvl="5" w:tentative="0">
      <w:start w:val="1"/>
      <w:numFmt w:val="bullet"/>
      <w:lvlText w:val="•"/>
      <w:lvlJc w:val="left"/>
      <w:pPr>
        <w:ind w:left="4895" w:hanging="360"/>
      </w:pPr>
      <w:rPr>
        <w:rFonts w:hint="default"/>
      </w:rPr>
    </w:lvl>
    <w:lvl w:ilvl="6" w:tentative="0">
      <w:start w:val="1"/>
      <w:numFmt w:val="bullet"/>
      <w:lvlText w:val="•"/>
      <w:lvlJc w:val="left"/>
      <w:pPr>
        <w:ind w:left="5780" w:hanging="360"/>
      </w:pPr>
      <w:rPr>
        <w:rFonts w:hint="default"/>
      </w:rPr>
    </w:lvl>
    <w:lvl w:ilvl="7" w:tentative="0">
      <w:start w:val="1"/>
      <w:numFmt w:val="bullet"/>
      <w:lvlText w:val="•"/>
      <w:lvlJc w:val="left"/>
      <w:pPr>
        <w:ind w:left="6665" w:hanging="360"/>
      </w:pPr>
      <w:rPr>
        <w:rFonts w:hint="default"/>
      </w:rPr>
    </w:lvl>
    <w:lvl w:ilvl="8" w:tentative="0">
      <w:start w:val="1"/>
      <w:numFmt w:val="bullet"/>
      <w:lvlText w:val="•"/>
      <w:lvlJc w:val="left"/>
      <w:pPr>
        <w:ind w:left="7550" w:hanging="360"/>
      </w:pPr>
      <w:rPr>
        <w:rFonts w:hint="default"/>
      </w:r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footnotePr>
    <w:footnote w:id="2"/>
    <w:footnote w:id="3"/>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CC"/>
    <w:rsid w:val="00003BCA"/>
    <w:rsid w:val="00004D00"/>
    <w:rsid w:val="00007E80"/>
    <w:rsid w:val="00010D1F"/>
    <w:rsid w:val="00012675"/>
    <w:rsid w:val="00012810"/>
    <w:rsid w:val="00013DEB"/>
    <w:rsid w:val="00014803"/>
    <w:rsid w:val="00014CCB"/>
    <w:rsid w:val="00015204"/>
    <w:rsid w:val="00016F9E"/>
    <w:rsid w:val="000174A4"/>
    <w:rsid w:val="00017FD9"/>
    <w:rsid w:val="00020349"/>
    <w:rsid w:val="0002115A"/>
    <w:rsid w:val="00021922"/>
    <w:rsid w:val="0002329E"/>
    <w:rsid w:val="00024837"/>
    <w:rsid w:val="00027855"/>
    <w:rsid w:val="0003168F"/>
    <w:rsid w:val="000317FD"/>
    <w:rsid w:val="0003265E"/>
    <w:rsid w:val="00036B5C"/>
    <w:rsid w:val="00040274"/>
    <w:rsid w:val="00043154"/>
    <w:rsid w:val="00043BC2"/>
    <w:rsid w:val="00046010"/>
    <w:rsid w:val="00046093"/>
    <w:rsid w:val="00046139"/>
    <w:rsid w:val="00046DB7"/>
    <w:rsid w:val="0004722C"/>
    <w:rsid w:val="00047F1F"/>
    <w:rsid w:val="00047F63"/>
    <w:rsid w:val="000509FC"/>
    <w:rsid w:val="00052410"/>
    <w:rsid w:val="00055AA2"/>
    <w:rsid w:val="00055AFD"/>
    <w:rsid w:val="0005627A"/>
    <w:rsid w:val="000628A0"/>
    <w:rsid w:val="000671A6"/>
    <w:rsid w:val="0007236A"/>
    <w:rsid w:val="00072446"/>
    <w:rsid w:val="0007475D"/>
    <w:rsid w:val="000758D6"/>
    <w:rsid w:val="00081296"/>
    <w:rsid w:val="00081C4E"/>
    <w:rsid w:val="00082E1C"/>
    <w:rsid w:val="00084523"/>
    <w:rsid w:val="00086985"/>
    <w:rsid w:val="00086B27"/>
    <w:rsid w:val="0009093D"/>
    <w:rsid w:val="00090C3A"/>
    <w:rsid w:val="000919F5"/>
    <w:rsid w:val="00092942"/>
    <w:rsid w:val="000930F0"/>
    <w:rsid w:val="00093DA9"/>
    <w:rsid w:val="000945BE"/>
    <w:rsid w:val="000949F4"/>
    <w:rsid w:val="00096240"/>
    <w:rsid w:val="000A007E"/>
    <w:rsid w:val="000A05B7"/>
    <w:rsid w:val="000A17D1"/>
    <w:rsid w:val="000A2AAA"/>
    <w:rsid w:val="000A4891"/>
    <w:rsid w:val="000A7056"/>
    <w:rsid w:val="000A7E74"/>
    <w:rsid w:val="000B1EAD"/>
    <w:rsid w:val="000B3298"/>
    <w:rsid w:val="000B44CF"/>
    <w:rsid w:val="000B5DC6"/>
    <w:rsid w:val="000B7C27"/>
    <w:rsid w:val="000C390A"/>
    <w:rsid w:val="000D318F"/>
    <w:rsid w:val="000D3D1F"/>
    <w:rsid w:val="000D57EC"/>
    <w:rsid w:val="000D5D7D"/>
    <w:rsid w:val="000D7BCD"/>
    <w:rsid w:val="000E19B6"/>
    <w:rsid w:val="000E3FC8"/>
    <w:rsid w:val="000F141C"/>
    <w:rsid w:val="000F17B8"/>
    <w:rsid w:val="000F3706"/>
    <w:rsid w:val="000F39F2"/>
    <w:rsid w:val="000F5990"/>
    <w:rsid w:val="000F73BD"/>
    <w:rsid w:val="000F7CF5"/>
    <w:rsid w:val="001015C3"/>
    <w:rsid w:val="00101A12"/>
    <w:rsid w:val="00103DBE"/>
    <w:rsid w:val="00104C99"/>
    <w:rsid w:val="00106F7F"/>
    <w:rsid w:val="0011079F"/>
    <w:rsid w:val="00111066"/>
    <w:rsid w:val="00111D73"/>
    <w:rsid w:val="00111DAA"/>
    <w:rsid w:val="00114680"/>
    <w:rsid w:val="00117156"/>
    <w:rsid w:val="0011771E"/>
    <w:rsid w:val="00121A1F"/>
    <w:rsid w:val="00122C77"/>
    <w:rsid w:val="0012459B"/>
    <w:rsid w:val="00125A47"/>
    <w:rsid w:val="001310C6"/>
    <w:rsid w:val="00133D72"/>
    <w:rsid w:val="00134135"/>
    <w:rsid w:val="00134D15"/>
    <w:rsid w:val="001356CD"/>
    <w:rsid w:val="00140410"/>
    <w:rsid w:val="00142AE1"/>
    <w:rsid w:val="00153CD9"/>
    <w:rsid w:val="0015683C"/>
    <w:rsid w:val="001600D0"/>
    <w:rsid w:val="001609A6"/>
    <w:rsid w:val="00161E57"/>
    <w:rsid w:val="00161E86"/>
    <w:rsid w:val="001638DE"/>
    <w:rsid w:val="0016468D"/>
    <w:rsid w:val="00165D13"/>
    <w:rsid w:val="00167696"/>
    <w:rsid w:val="00170108"/>
    <w:rsid w:val="00170397"/>
    <w:rsid w:val="001734E1"/>
    <w:rsid w:val="00173F5C"/>
    <w:rsid w:val="00180635"/>
    <w:rsid w:val="001822A8"/>
    <w:rsid w:val="00184522"/>
    <w:rsid w:val="001865F8"/>
    <w:rsid w:val="00194604"/>
    <w:rsid w:val="001A6236"/>
    <w:rsid w:val="001B06F3"/>
    <w:rsid w:val="001B0900"/>
    <w:rsid w:val="001B15C7"/>
    <w:rsid w:val="001B1782"/>
    <w:rsid w:val="001B3842"/>
    <w:rsid w:val="001B6518"/>
    <w:rsid w:val="001B7E95"/>
    <w:rsid w:val="001C0D3A"/>
    <w:rsid w:val="001C13C1"/>
    <w:rsid w:val="001C7F14"/>
    <w:rsid w:val="001D4230"/>
    <w:rsid w:val="001D4969"/>
    <w:rsid w:val="001D6A58"/>
    <w:rsid w:val="001D6DAD"/>
    <w:rsid w:val="001E0F49"/>
    <w:rsid w:val="001E3195"/>
    <w:rsid w:val="001E656D"/>
    <w:rsid w:val="001F00E9"/>
    <w:rsid w:val="001F0D90"/>
    <w:rsid w:val="001F18AA"/>
    <w:rsid w:val="001F1A6F"/>
    <w:rsid w:val="001F27D1"/>
    <w:rsid w:val="001F4BD1"/>
    <w:rsid w:val="001F5628"/>
    <w:rsid w:val="00200376"/>
    <w:rsid w:val="00200CFF"/>
    <w:rsid w:val="0020254D"/>
    <w:rsid w:val="0020341A"/>
    <w:rsid w:val="00204854"/>
    <w:rsid w:val="00204F3A"/>
    <w:rsid w:val="00205ACD"/>
    <w:rsid w:val="002070F7"/>
    <w:rsid w:val="002109DB"/>
    <w:rsid w:val="002112C2"/>
    <w:rsid w:val="002135C2"/>
    <w:rsid w:val="00214A3E"/>
    <w:rsid w:val="00214A5C"/>
    <w:rsid w:val="0021513A"/>
    <w:rsid w:val="002154D7"/>
    <w:rsid w:val="0021614C"/>
    <w:rsid w:val="002166FC"/>
    <w:rsid w:val="00223541"/>
    <w:rsid w:val="00233EBB"/>
    <w:rsid w:val="00234F40"/>
    <w:rsid w:val="00236BA3"/>
    <w:rsid w:val="00242D27"/>
    <w:rsid w:val="0024611C"/>
    <w:rsid w:val="00246882"/>
    <w:rsid w:val="00246903"/>
    <w:rsid w:val="0025357A"/>
    <w:rsid w:val="00254D81"/>
    <w:rsid w:val="00256B22"/>
    <w:rsid w:val="00257339"/>
    <w:rsid w:val="002651B7"/>
    <w:rsid w:val="00266AAD"/>
    <w:rsid w:val="00266CD7"/>
    <w:rsid w:val="00266CDB"/>
    <w:rsid w:val="00270DC6"/>
    <w:rsid w:val="00271458"/>
    <w:rsid w:val="00273ACF"/>
    <w:rsid w:val="00274C8B"/>
    <w:rsid w:val="00277EE4"/>
    <w:rsid w:val="00280391"/>
    <w:rsid w:val="00286B29"/>
    <w:rsid w:val="00290D4F"/>
    <w:rsid w:val="00292254"/>
    <w:rsid w:val="00294D30"/>
    <w:rsid w:val="002962EA"/>
    <w:rsid w:val="00296700"/>
    <w:rsid w:val="002975F2"/>
    <w:rsid w:val="002A236C"/>
    <w:rsid w:val="002A36B5"/>
    <w:rsid w:val="002A3FB8"/>
    <w:rsid w:val="002A7C9A"/>
    <w:rsid w:val="002B244B"/>
    <w:rsid w:val="002C13C5"/>
    <w:rsid w:val="002C17C2"/>
    <w:rsid w:val="002C1EEF"/>
    <w:rsid w:val="002C2438"/>
    <w:rsid w:val="002C31D3"/>
    <w:rsid w:val="002C4E10"/>
    <w:rsid w:val="002D10D3"/>
    <w:rsid w:val="002D6FE9"/>
    <w:rsid w:val="002E1F6C"/>
    <w:rsid w:val="002E24F9"/>
    <w:rsid w:val="002E35E6"/>
    <w:rsid w:val="002E42FA"/>
    <w:rsid w:val="002E4571"/>
    <w:rsid w:val="002E5637"/>
    <w:rsid w:val="002E5AFF"/>
    <w:rsid w:val="002E6D9D"/>
    <w:rsid w:val="002F19A5"/>
    <w:rsid w:val="002F1B2E"/>
    <w:rsid w:val="002F40AD"/>
    <w:rsid w:val="002F50FB"/>
    <w:rsid w:val="002F5F79"/>
    <w:rsid w:val="002F738A"/>
    <w:rsid w:val="00302335"/>
    <w:rsid w:val="00302AD9"/>
    <w:rsid w:val="003079B7"/>
    <w:rsid w:val="0031233C"/>
    <w:rsid w:val="003127CD"/>
    <w:rsid w:val="003168B1"/>
    <w:rsid w:val="00321CAE"/>
    <w:rsid w:val="00325065"/>
    <w:rsid w:val="00325D3E"/>
    <w:rsid w:val="00326E4E"/>
    <w:rsid w:val="00330314"/>
    <w:rsid w:val="00335BBA"/>
    <w:rsid w:val="00340EAA"/>
    <w:rsid w:val="00344F09"/>
    <w:rsid w:val="00347CCF"/>
    <w:rsid w:val="00351888"/>
    <w:rsid w:val="00353545"/>
    <w:rsid w:val="00355150"/>
    <w:rsid w:val="00360525"/>
    <w:rsid w:val="00360795"/>
    <w:rsid w:val="003639E0"/>
    <w:rsid w:val="003646F4"/>
    <w:rsid w:val="0037264A"/>
    <w:rsid w:val="003749F0"/>
    <w:rsid w:val="00380246"/>
    <w:rsid w:val="0038037E"/>
    <w:rsid w:val="0038119E"/>
    <w:rsid w:val="00382371"/>
    <w:rsid w:val="00392EDD"/>
    <w:rsid w:val="003960DC"/>
    <w:rsid w:val="00396525"/>
    <w:rsid w:val="003A5BE2"/>
    <w:rsid w:val="003A7688"/>
    <w:rsid w:val="003B08B2"/>
    <w:rsid w:val="003B2617"/>
    <w:rsid w:val="003B53FF"/>
    <w:rsid w:val="003B69A3"/>
    <w:rsid w:val="003C51B1"/>
    <w:rsid w:val="003D0B6F"/>
    <w:rsid w:val="003D1FB1"/>
    <w:rsid w:val="003D2514"/>
    <w:rsid w:val="003D3847"/>
    <w:rsid w:val="003D3E95"/>
    <w:rsid w:val="003D3FD6"/>
    <w:rsid w:val="003E03A7"/>
    <w:rsid w:val="003E2BC6"/>
    <w:rsid w:val="003E3950"/>
    <w:rsid w:val="003E6792"/>
    <w:rsid w:val="003E6A03"/>
    <w:rsid w:val="003F0C94"/>
    <w:rsid w:val="003F2E7D"/>
    <w:rsid w:val="003F3384"/>
    <w:rsid w:val="003F36C1"/>
    <w:rsid w:val="003F4D7A"/>
    <w:rsid w:val="003F57A3"/>
    <w:rsid w:val="003F5EEA"/>
    <w:rsid w:val="003F66DC"/>
    <w:rsid w:val="00403706"/>
    <w:rsid w:val="0040416F"/>
    <w:rsid w:val="0040460F"/>
    <w:rsid w:val="00406DF8"/>
    <w:rsid w:val="00407419"/>
    <w:rsid w:val="00410714"/>
    <w:rsid w:val="00415B60"/>
    <w:rsid w:val="00416214"/>
    <w:rsid w:val="004166ED"/>
    <w:rsid w:val="004178EC"/>
    <w:rsid w:val="00420D6C"/>
    <w:rsid w:val="0042103C"/>
    <w:rsid w:val="00421F47"/>
    <w:rsid w:val="0042308E"/>
    <w:rsid w:val="00423219"/>
    <w:rsid w:val="00425D3E"/>
    <w:rsid w:val="00427573"/>
    <w:rsid w:val="0043214B"/>
    <w:rsid w:val="004324D4"/>
    <w:rsid w:val="00433AFD"/>
    <w:rsid w:val="00434D4A"/>
    <w:rsid w:val="00436743"/>
    <w:rsid w:val="004407A8"/>
    <w:rsid w:val="00442E06"/>
    <w:rsid w:val="00442FE9"/>
    <w:rsid w:val="004439B9"/>
    <w:rsid w:val="00445AF9"/>
    <w:rsid w:val="004466DC"/>
    <w:rsid w:val="00446B14"/>
    <w:rsid w:val="00451420"/>
    <w:rsid w:val="0045199F"/>
    <w:rsid w:val="00452046"/>
    <w:rsid w:val="004537E5"/>
    <w:rsid w:val="00463A2B"/>
    <w:rsid w:val="004661A7"/>
    <w:rsid w:val="00472744"/>
    <w:rsid w:val="00481A5E"/>
    <w:rsid w:val="004835C4"/>
    <w:rsid w:val="00485113"/>
    <w:rsid w:val="00491B3E"/>
    <w:rsid w:val="00494182"/>
    <w:rsid w:val="00496587"/>
    <w:rsid w:val="00496636"/>
    <w:rsid w:val="004A05F4"/>
    <w:rsid w:val="004A452E"/>
    <w:rsid w:val="004A79EC"/>
    <w:rsid w:val="004B0177"/>
    <w:rsid w:val="004B11A5"/>
    <w:rsid w:val="004B20B3"/>
    <w:rsid w:val="004C42A8"/>
    <w:rsid w:val="004C4D0D"/>
    <w:rsid w:val="004D0335"/>
    <w:rsid w:val="004D1579"/>
    <w:rsid w:val="004D58E3"/>
    <w:rsid w:val="004D6539"/>
    <w:rsid w:val="004E07C1"/>
    <w:rsid w:val="004E191E"/>
    <w:rsid w:val="004E63B8"/>
    <w:rsid w:val="004E7B99"/>
    <w:rsid w:val="004F043E"/>
    <w:rsid w:val="004F146E"/>
    <w:rsid w:val="004F211D"/>
    <w:rsid w:val="004F44E7"/>
    <w:rsid w:val="004F6C87"/>
    <w:rsid w:val="005009B3"/>
    <w:rsid w:val="005010B8"/>
    <w:rsid w:val="005021A4"/>
    <w:rsid w:val="005024BB"/>
    <w:rsid w:val="005050C1"/>
    <w:rsid w:val="005057E6"/>
    <w:rsid w:val="005075FD"/>
    <w:rsid w:val="00511B9E"/>
    <w:rsid w:val="00515FF1"/>
    <w:rsid w:val="0052101E"/>
    <w:rsid w:val="00521113"/>
    <w:rsid w:val="00525D91"/>
    <w:rsid w:val="005276FE"/>
    <w:rsid w:val="00533A61"/>
    <w:rsid w:val="00535733"/>
    <w:rsid w:val="00536AEE"/>
    <w:rsid w:val="0054293F"/>
    <w:rsid w:val="005434D9"/>
    <w:rsid w:val="00543B79"/>
    <w:rsid w:val="00544361"/>
    <w:rsid w:val="00544A1A"/>
    <w:rsid w:val="00545ECB"/>
    <w:rsid w:val="00546A97"/>
    <w:rsid w:val="00546FB1"/>
    <w:rsid w:val="0055075D"/>
    <w:rsid w:val="00551776"/>
    <w:rsid w:val="005524F1"/>
    <w:rsid w:val="00555518"/>
    <w:rsid w:val="0056205F"/>
    <w:rsid w:val="0056265F"/>
    <w:rsid w:val="00563710"/>
    <w:rsid w:val="00563E65"/>
    <w:rsid w:val="005648D5"/>
    <w:rsid w:val="00566748"/>
    <w:rsid w:val="00566783"/>
    <w:rsid w:val="005721B8"/>
    <w:rsid w:val="005724BB"/>
    <w:rsid w:val="0057610B"/>
    <w:rsid w:val="005778C7"/>
    <w:rsid w:val="00581A0A"/>
    <w:rsid w:val="00581AA9"/>
    <w:rsid w:val="005829D4"/>
    <w:rsid w:val="00582B28"/>
    <w:rsid w:val="00582F7A"/>
    <w:rsid w:val="00586CC0"/>
    <w:rsid w:val="0059025D"/>
    <w:rsid w:val="00590490"/>
    <w:rsid w:val="00595967"/>
    <w:rsid w:val="00595F69"/>
    <w:rsid w:val="005A0126"/>
    <w:rsid w:val="005A177B"/>
    <w:rsid w:val="005A3BDF"/>
    <w:rsid w:val="005A4995"/>
    <w:rsid w:val="005A7042"/>
    <w:rsid w:val="005A7A0C"/>
    <w:rsid w:val="005A7FCC"/>
    <w:rsid w:val="005B0197"/>
    <w:rsid w:val="005B01D0"/>
    <w:rsid w:val="005B04EA"/>
    <w:rsid w:val="005B080B"/>
    <w:rsid w:val="005B1FD6"/>
    <w:rsid w:val="005B2917"/>
    <w:rsid w:val="005B4259"/>
    <w:rsid w:val="005B459D"/>
    <w:rsid w:val="005B4932"/>
    <w:rsid w:val="005B6C60"/>
    <w:rsid w:val="005C428D"/>
    <w:rsid w:val="005D155F"/>
    <w:rsid w:val="005D7C50"/>
    <w:rsid w:val="005E0124"/>
    <w:rsid w:val="005E1B52"/>
    <w:rsid w:val="005E67DB"/>
    <w:rsid w:val="005E6D95"/>
    <w:rsid w:val="005F05ED"/>
    <w:rsid w:val="005F1355"/>
    <w:rsid w:val="005F688E"/>
    <w:rsid w:val="005F6CB7"/>
    <w:rsid w:val="0060162F"/>
    <w:rsid w:val="006022F0"/>
    <w:rsid w:val="006033BB"/>
    <w:rsid w:val="00604168"/>
    <w:rsid w:val="006052A3"/>
    <w:rsid w:val="00606434"/>
    <w:rsid w:val="00606B30"/>
    <w:rsid w:val="00606BCC"/>
    <w:rsid w:val="00606DC0"/>
    <w:rsid w:val="00614910"/>
    <w:rsid w:val="0061764B"/>
    <w:rsid w:val="00617B2E"/>
    <w:rsid w:val="00617F70"/>
    <w:rsid w:val="00623E01"/>
    <w:rsid w:val="00624C1A"/>
    <w:rsid w:val="00625496"/>
    <w:rsid w:val="0062685F"/>
    <w:rsid w:val="0063112C"/>
    <w:rsid w:val="00631753"/>
    <w:rsid w:val="00634BC0"/>
    <w:rsid w:val="00635862"/>
    <w:rsid w:val="006461F7"/>
    <w:rsid w:val="00654391"/>
    <w:rsid w:val="00654FB0"/>
    <w:rsid w:val="0065511F"/>
    <w:rsid w:val="00660B22"/>
    <w:rsid w:val="00665500"/>
    <w:rsid w:val="00682223"/>
    <w:rsid w:val="006850CA"/>
    <w:rsid w:val="00685DB8"/>
    <w:rsid w:val="00686383"/>
    <w:rsid w:val="006874BB"/>
    <w:rsid w:val="00690E2F"/>
    <w:rsid w:val="00692619"/>
    <w:rsid w:val="00693D2E"/>
    <w:rsid w:val="00695C48"/>
    <w:rsid w:val="00697A7D"/>
    <w:rsid w:val="00697BB4"/>
    <w:rsid w:val="006A1015"/>
    <w:rsid w:val="006A14A3"/>
    <w:rsid w:val="006A3CD8"/>
    <w:rsid w:val="006A5F8E"/>
    <w:rsid w:val="006A69C2"/>
    <w:rsid w:val="006A7F6F"/>
    <w:rsid w:val="006B1E23"/>
    <w:rsid w:val="006B4A9D"/>
    <w:rsid w:val="006B55D8"/>
    <w:rsid w:val="006C2345"/>
    <w:rsid w:val="006C2865"/>
    <w:rsid w:val="006C79EB"/>
    <w:rsid w:val="006D27A5"/>
    <w:rsid w:val="006D344F"/>
    <w:rsid w:val="006D6388"/>
    <w:rsid w:val="006E1A70"/>
    <w:rsid w:val="006E2674"/>
    <w:rsid w:val="006E5AB9"/>
    <w:rsid w:val="006E7E80"/>
    <w:rsid w:val="006F089A"/>
    <w:rsid w:val="006F0E46"/>
    <w:rsid w:val="006F3095"/>
    <w:rsid w:val="006F554B"/>
    <w:rsid w:val="006F695A"/>
    <w:rsid w:val="006F770E"/>
    <w:rsid w:val="007001FD"/>
    <w:rsid w:val="00702AF7"/>
    <w:rsid w:val="00704C9A"/>
    <w:rsid w:val="007060A6"/>
    <w:rsid w:val="00706B91"/>
    <w:rsid w:val="00712442"/>
    <w:rsid w:val="00712E3E"/>
    <w:rsid w:val="0071420E"/>
    <w:rsid w:val="00715866"/>
    <w:rsid w:val="00717189"/>
    <w:rsid w:val="00723A22"/>
    <w:rsid w:val="00724644"/>
    <w:rsid w:val="007305CC"/>
    <w:rsid w:val="00730860"/>
    <w:rsid w:val="007328F9"/>
    <w:rsid w:val="0074136B"/>
    <w:rsid w:val="00742CEA"/>
    <w:rsid w:val="00743534"/>
    <w:rsid w:val="00746D6D"/>
    <w:rsid w:val="00751A3C"/>
    <w:rsid w:val="00751DA7"/>
    <w:rsid w:val="00752BC0"/>
    <w:rsid w:val="007538A0"/>
    <w:rsid w:val="0076153C"/>
    <w:rsid w:val="00762468"/>
    <w:rsid w:val="00763F4C"/>
    <w:rsid w:val="007640B5"/>
    <w:rsid w:val="0077265A"/>
    <w:rsid w:val="00772DBB"/>
    <w:rsid w:val="00774B68"/>
    <w:rsid w:val="00775CDF"/>
    <w:rsid w:val="007762FD"/>
    <w:rsid w:val="00776A4A"/>
    <w:rsid w:val="007800ED"/>
    <w:rsid w:val="007814D3"/>
    <w:rsid w:val="00782EE8"/>
    <w:rsid w:val="0078343F"/>
    <w:rsid w:val="00790C30"/>
    <w:rsid w:val="0079179C"/>
    <w:rsid w:val="007921FD"/>
    <w:rsid w:val="00795CD5"/>
    <w:rsid w:val="007A3014"/>
    <w:rsid w:val="007A5782"/>
    <w:rsid w:val="007A5795"/>
    <w:rsid w:val="007A7435"/>
    <w:rsid w:val="007B3C5A"/>
    <w:rsid w:val="007B5433"/>
    <w:rsid w:val="007C3DFA"/>
    <w:rsid w:val="007D1D8D"/>
    <w:rsid w:val="007D3E47"/>
    <w:rsid w:val="007E6256"/>
    <w:rsid w:val="007F432C"/>
    <w:rsid w:val="007F4D94"/>
    <w:rsid w:val="007F5F68"/>
    <w:rsid w:val="007F7EA2"/>
    <w:rsid w:val="00800871"/>
    <w:rsid w:val="00801AA5"/>
    <w:rsid w:val="00801E9B"/>
    <w:rsid w:val="00802A5D"/>
    <w:rsid w:val="00805573"/>
    <w:rsid w:val="00806A8D"/>
    <w:rsid w:val="00810595"/>
    <w:rsid w:val="00810A81"/>
    <w:rsid w:val="008116DB"/>
    <w:rsid w:val="008117D6"/>
    <w:rsid w:val="0081332A"/>
    <w:rsid w:val="00820722"/>
    <w:rsid w:val="008227B4"/>
    <w:rsid w:val="00823244"/>
    <w:rsid w:val="00824C94"/>
    <w:rsid w:val="0082567B"/>
    <w:rsid w:val="008265BD"/>
    <w:rsid w:val="008277E2"/>
    <w:rsid w:val="008314FC"/>
    <w:rsid w:val="00831A6D"/>
    <w:rsid w:val="00832D4D"/>
    <w:rsid w:val="00832FDB"/>
    <w:rsid w:val="00833474"/>
    <w:rsid w:val="00834F61"/>
    <w:rsid w:val="00836788"/>
    <w:rsid w:val="008407AC"/>
    <w:rsid w:val="00840EE3"/>
    <w:rsid w:val="00842A7D"/>
    <w:rsid w:val="00844F42"/>
    <w:rsid w:val="00845502"/>
    <w:rsid w:val="00850488"/>
    <w:rsid w:val="00850BD2"/>
    <w:rsid w:val="0085249C"/>
    <w:rsid w:val="0085378C"/>
    <w:rsid w:val="00855B5B"/>
    <w:rsid w:val="008565A5"/>
    <w:rsid w:val="00860E99"/>
    <w:rsid w:val="00861CAF"/>
    <w:rsid w:val="008621E2"/>
    <w:rsid w:val="0086281E"/>
    <w:rsid w:val="0086534E"/>
    <w:rsid w:val="008671BF"/>
    <w:rsid w:val="0087280F"/>
    <w:rsid w:val="00873B31"/>
    <w:rsid w:val="008740F4"/>
    <w:rsid w:val="008751D1"/>
    <w:rsid w:val="008758F8"/>
    <w:rsid w:val="00875A45"/>
    <w:rsid w:val="00877EEC"/>
    <w:rsid w:val="008824E6"/>
    <w:rsid w:val="00884EAD"/>
    <w:rsid w:val="00885443"/>
    <w:rsid w:val="00887AC6"/>
    <w:rsid w:val="008901D2"/>
    <w:rsid w:val="00893703"/>
    <w:rsid w:val="00896FE0"/>
    <w:rsid w:val="008A1579"/>
    <w:rsid w:val="008A24AA"/>
    <w:rsid w:val="008A261C"/>
    <w:rsid w:val="008A3B1C"/>
    <w:rsid w:val="008A4D39"/>
    <w:rsid w:val="008A7EB0"/>
    <w:rsid w:val="008B23C0"/>
    <w:rsid w:val="008B5867"/>
    <w:rsid w:val="008B5BF4"/>
    <w:rsid w:val="008B7B99"/>
    <w:rsid w:val="008C39D0"/>
    <w:rsid w:val="008C5F85"/>
    <w:rsid w:val="008C7035"/>
    <w:rsid w:val="008C7127"/>
    <w:rsid w:val="008D18C7"/>
    <w:rsid w:val="008D2893"/>
    <w:rsid w:val="008D547A"/>
    <w:rsid w:val="008D5A4A"/>
    <w:rsid w:val="008D754E"/>
    <w:rsid w:val="008E0BA0"/>
    <w:rsid w:val="008E5184"/>
    <w:rsid w:val="008E66B6"/>
    <w:rsid w:val="008E75FB"/>
    <w:rsid w:val="008F1484"/>
    <w:rsid w:val="008F47FC"/>
    <w:rsid w:val="008F5EC3"/>
    <w:rsid w:val="008F6CAE"/>
    <w:rsid w:val="00902F1E"/>
    <w:rsid w:val="0090610D"/>
    <w:rsid w:val="00907B91"/>
    <w:rsid w:val="00910967"/>
    <w:rsid w:val="009114B3"/>
    <w:rsid w:val="00912601"/>
    <w:rsid w:val="00916076"/>
    <w:rsid w:val="00916274"/>
    <w:rsid w:val="009172B4"/>
    <w:rsid w:val="00920048"/>
    <w:rsid w:val="0092576B"/>
    <w:rsid w:val="0092612D"/>
    <w:rsid w:val="009269F4"/>
    <w:rsid w:val="0093135E"/>
    <w:rsid w:val="00931672"/>
    <w:rsid w:val="00931818"/>
    <w:rsid w:val="00931C22"/>
    <w:rsid w:val="009332B8"/>
    <w:rsid w:val="0093352A"/>
    <w:rsid w:val="0093385A"/>
    <w:rsid w:val="00933918"/>
    <w:rsid w:val="0093406A"/>
    <w:rsid w:val="00934335"/>
    <w:rsid w:val="00936BDD"/>
    <w:rsid w:val="00936D6A"/>
    <w:rsid w:val="00937E34"/>
    <w:rsid w:val="0094011C"/>
    <w:rsid w:val="00942E19"/>
    <w:rsid w:val="00943D75"/>
    <w:rsid w:val="009455C7"/>
    <w:rsid w:val="009462F7"/>
    <w:rsid w:val="00952737"/>
    <w:rsid w:val="00953BD8"/>
    <w:rsid w:val="009550A2"/>
    <w:rsid w:val="009602B6"/>
    <w:rsid w:val="00960ADB"/>
    <w:rsid w:val="00960CC9"/>
    <w:rsid w:val="00962BF3"/>
    <w:rsid w:val="00974057"/>
    <w:rsid w:val="0097552A"/>
    <w:rsid w:val="00976B22"/>
    <w:rsid w:val="009773BD"/>
    <w:rsid w:val="009777C6"/>
    <w:rsid w:val="00985D5F"/>
    <w:rsid w:val="009902F5"/>
    <w:rsid w:val="00991BA3"/>
    <w:rsid w:val="00991F48"/>
    <w:rsid w:val="009921F8"/>
    <w:rsid w:val="00993B6B"/>
    <w:rsid w:val="00994963"/>
    <w:rsid w:val="00995BB6"/>
    <w:rsid w:val="009961BA"/>
    <w:rsid w:val="00997B5E"/>
    <w:rsid w:val="009A26C6"/>
    <w:rsid w:val="009A478E"/>
    <w:rsid w:val="009A49B1"/>
    <w:rsid w:val="009A6049"/>
    <w:rsid w:val="009A6E99"/>
    <w:rsid w:val="009A7DBB"/>
    <w:rsid w:val="009B14B6"/>
    <w:rsid w:val="009B358B"/>
    <w:rsid w:val="009B4E76"/>
    <w:rsid w:val="009B5717"/>
    <w:rsid w:val="009B5C55"/>
    <w:rsid w:val="009B7577"/>
    <w:rsid w:val="009C065D"/>
    <w:rsid w:val="009C2A1F"/>
    <w:rsid w:val="009C71D6"/>
    <w:rsid w:val="009D016F"/>
    <w:rsid w:val="009D02AE"/>
    <w:rsid w:val="009D23F4"/>
    <w:rsid w:val="009E2631"/>
    <w:rsid w:val="009E3BC7"/>
    <w:rsid w:val="009E48C2"/>
    <w:rsid w:val="009E6A0E"/>
    <w:rsid w:val="009E6B9C"/>
    <w:rsid w:val="009E7E65"/>
    <w:rsid w:val="009F13B0"/>
    <w:rsid w:val="009F1800"/>
    <w:rsid w:val="009F4389"/>
    <w:rsid w:val="009F47C0"/>
    <w:rsid w:val="009F5876"/>
    <w:rsid w:val="009F6111"/>
    <w:rsid w:val="009F74F0"/>
    <w:rsid w:val="009F7EDC"/>
    <w:rsid w:val="00A00D9A"/>
    <w:rsid w:val="00A05859"/>
    <w:rsid w:val="00A1464F"/>
    <w:rsid w:val="00A2100A"/>
    <w:rsid w:val="00A23EE9"/>
    <w:rsid w:val="00A2661E"/>
    <w:rsid w:val="00A3001F"/>
    <w:rsid w:val="00A30DD9"/>
    <w:rsid w:val="00A3309E"/>
    <w:rsid w:val="00A3497D"/>
    <w:rsid w:val="00A3699D"/>
    <w:rsid w:val="00A37CCD"/>
    <w:rsid w:val="00A37E0F"/>
    <w:rsid w:val="00A418A5"/>
    <w:rsid w:val="00A45BD0"/>
    <w:rsid w:val="00A5351A"/>
    <w:rsid w:val="00A53D20"/>
    <w:rsid w:val="00A5565D"/>
    <w:rsid w:val="00A56D85"/>
    <w:rsid w:val="00A574AA"/>
    <w:rsid w:val="00A60287"/>
    <w:rsid w:val="00A60AA9"/>
    <w:rsid w:val="00A60F29"/>
    <w:rsid w:val="00A64CA7"/>
    <w:rsid w:val="00A64F90"/>
    <w:rsid w:val="00A660E6"/>
    <w:rsid w:val="00A66483"/>
    <w:rsid w:val="00A70274"/>
    <w:rsid w:val="00A739AC"/>
    <w:rsid w:val="00A74189"/>
    <w:rsid w:val="00A74E95"/>
    <w:rsid w:val="00A75A17"/>
    <w:rsid w:val="00A76253"/>
    <w:rsid w:val="00A85087"/>
    <w:rsid w:val="00A85F44"/>
    <w:rsid w:val="00A9178B"/>
    <w:rsid w:val="00A91AB6"/>
    <w:rsid w:val="00A91E9D"/>
    <w:rsid w:val="00A92BB1"/>
    <w:rsid w:val="00A93FA5"/>
    <w:rsid w:val="00A94445"/>
    <w:rsid w:val="00A97213"/>
    <w:rsid w:val="00A97DB6"/>
    <w:rsid w:val="00AA156E"/>
    <w:rsid w:val="00AA1C05"/>
    <w:rsid w:val="00AA339D"/>
    <w:rsid w:val="00AA6988"/>
    <w:rsid w:val="00AB13ED"/>
    <w:rsid w:val="00AC2E05"/>
    <w:rsid w:val="00AC35CA"/>
    <w:rsid w:val="00AC6DDB"/>
    <w:rsid w:val="00AD0CE6"/>
    <w:rsid w:val="00AD1681"/>
    <w:rsid w:val="00AD5E65"/>
    <w:rsid w:val="00AD613F"/>
    <w:rsid w:val="00AD7061"/>
    <w:rsid w:val="00AE05B7"/>
    <w:rsid w:val="00AE142B"/>
    <w:rsid w:val="00AE21CF"/>
    <w:rsid w:val="00AE3BB3"/>
    <w:rsid w:val="00AE4AA2"/>
    <w:rsid w:val="00AE5A0F"/>
    <w:rsid w:val="00AE7E33"/>
    <w:rsid w:val="00AF18E8"/>
    <w:rsid w:val="00AF26D1"/>
    <w:rsid w:val="00AF4BE6"/>
    <w:rsid w:val="00B00F2E"/>
    <w:rsid w:val="00B030F8"/>
    <w:rsid w:val="00B03767"/>
    <w:rsid w:val="00B06CF9"/>
    <w:rsid w:val="00B11692"/>
    <w:rsid w:val="00B11CF4"/>
    <w:rsid w:val="00B152B5"/>
    <w:rsid w:val="00B16279"/>
    <w:rsid w:val="00B21664"/>
    <w:rsid w:val="00B27620"/>
    <w:rsid w:val="00B27DEC"/>
    <w:rsid w:val="00B3067F"/>
    <w:rsid w:val="00B37ECF"/>
    <w:rsid w:val="00B44E3B"/>
    <w:rsid w:val="00B4665E"/>
    <w:rsid w:val="00B54533"/>
    <w:rsid w:val="00B56BA9"/>
    <w:rsid w:val="00B613FA"/>
    <w:rsid w:val="00B6170F"/>
    <w:rsid w:val="00B634DB"/>
    <w:rsid w:val="00B64333"/>
    <w:rsid w:val="00B6515A"/>
    <w:rsid w:val="00B651B5"/>
    <w:rsid w:val="00B66DDC"/>
    <w:rsid w:val="00B67930"/>
    <w:rsid w:val="00B70273"/>
    <w:rsid w:val="00B70D0C"/>
    <w:rsid w:val="00B70EF0"/>
    <w:rsid w:val="00B71FE1"/>
    <w:rsid w:val="00B72D24"/>
    <w:rsid w:val="00B750FF"/>
    <w:rsid w:val="00B75A03"/>
    <w:rsid w:val="00B76C1E"/>
    <w:rsid w:val="00B776BB"/>
    <w:rsid w:val="00B8188C"/>
    <w:rsid w:val="00B81A84"/>
    <w:rsid w:val="00B8214F"/>
    <w:rsid w:val="00B864AC"/>
    <w:rsid w:val="00B867A8"/>
    <w:rsid w:val="00B8683D"/>
    <w:rsid w:val="00B92B5A"/>
    <w:rsid w:val="00B934CF"/>
    <w:rsid w:val="00B93C4E"/>
    <w:rsid w:val="00B93DEE"/>
    <w:rsid w:val="00B947A4"/>
    <w:rsid w:val="00B95586"/>
    <w:rsid w:val="00B95788"/>
    <w:rsid w:val="00B96139"/>
    <w:rsid w:val="00B97A7C"/>
    <w:rsid w:val="00BA1002"/>
    <w:rsid w:val="00BA296F"/>
    <w:rsid w:val="00BA5D7E"/>
    <w:rsid w:val="00BA6E70"/>
    <w:rsid w:val="00BB0479"/>
    <w:rsid w:val="00BB22D4"/>
    <w:rsid w:val="00BB389F"/>
    <w:rsid w:val="00BB50D6"/>
    <w:rsid w:val="00BB5FAA"/>
    <w:rsid w:val="00BB71D5"/>
    <w:rsid w:val="00BC11ED"/>
    <w:rsid w:val="00BC1B1E"/>
    <w:rsid w:val="00BC409E"/>
    <w:rsid w:val="00BC4A98"/>
    <w:rsid w:val="00BD08F3"/>
    <w:rsid w:val="00BD4D77"/>
    <w:rsid w:val="00BD79DF"/>
    <w:rsid w:val="00BE0920"/>
    <w:rsid w:val="00BE509F"/>
    <w:rsid w:val="00BE7633"/>
    <w:rsid w:val="00BF06F3"/>
    <w:rsid w:val="00C004FB"/>
    <w:rsid w:val="00C005EE"/>
    <w:rsid w:val="00C00DAB"/>
    <w:rsid w:val="00C03BFD"/>
    <w:rsid w:val="00C03FD1"/>
    <w:rsid w:val="00C1361D"/>
    <w:rsid w:val="00C15234"/>
    <w:rsid w:val="00C159BA"/>
    <w:rsid w:val="00C16F9C"/>
    <w:rsid w:val="00C17F38"/>
    <w:rsid w:val="00C216C8"/>
    <w:rsid w:val="00C23DA4"/>
    <w:rsid w:val="00C2581F"/>
    <w:rsid w:val="00C35002"/>
    <w:rsid w:val="00C354C9"/>
    <w:rsid w:val="00C374E6"/>
    <w:rsid w:val="00C37822"/>
    <w:rsid w:val="00C423B8"/>
    <w:rsid w:val="00C44904"/>
    <w:rsid w:val="00C46FB3"/>
    <w:rsid w:val="00C50A87"/>
    <w:rsid w:val="00C50D55"/>
    <w:rsid w:val="00C529C1"/>
    <w:rsid w:val="00C52F74"/>
    <w:rsid w:val="00C53765"/>
    <w:rsid w:val="00C55734"/>
    <w:rsid w:val="00C61CC5"/>
    <w:rsid w:val="00C64C48"/>
    <w:rsid w:val="00C65229"/>
    <w:rsid w:val="00C66814"/>
    <w:rsid w:val="00C71CBC"/>
    <w:rsid w:val="00C726CF"/>
    <w:rsid w:val="00C72D39"/>
    <w:rsid w:val="00C735F0"/>
    <w:rsid w:val="00C73788"/>
    <w:rsid w:val="00C748CB"/>
    <w:rsid w:val="00C74C80"/>
    <w:rsid w:val="00C767C8"/>
    <w:rsid w:val="00C80B81"/>
    <w:rsid w:val="00C80BE5"/>
    <w:rsid w:val="00C82005"/>
    <w:rsid w:val="00C824CA"/>
    <w:rsid w:val="00C83370"/>
    <w:rsid w:val="00C8669E"/>
    <w:rsid w:val="00C9645C"/>
    <w:rsid w:val="00CA1FDA"/>
    <w:rsid w:val="00CA674C"/>
    <w:rsid w:val="00CB54C9"/>
    <w:rsid w:val="00CB5694"/>
    <w:rsid w:val="00CB7646"/>
    <w:rsid w:val="00CC160B"/>
    <w:rsid w:val="00CC35D3"/>
    <w:rsid w:val="00CC5058"/>
    <w:rsid w:val="00CC5295"/>
    <w:rsid w:val="00CD1515"/>
    <w:rsid w:val="00CD5FBB"/>
    <w:rsid w:val="00CD6AC4"/>
    <w:rsid w:val="00CD71BE"/>
    <w:rsid w:val="00CD7BF9"/>
    <w:rsid w:val="00CE0941"/>
    <w:rsid w:val="00CE5660"/>
    <w:rsid w:val="00CE791E"/>
    <w:rsid w:val="00CE7BD2"/>
    <w:rsid w:val="00CF01A4"/>
    <w:rsid w:val="00CF09BC"/>
    <w:rsid w:val="00CF0C71"/>
    <w:rsid w:val="00CF4E3A"/>
    <w:rsid w:val="00D0263E"/>
    <w:rsid w:val="00D03000"/>
    <w:rsid w:val="00D07458"/>
    <w:rsid w:val="00D11A64"/>
    <w:rsid w:val="00D17035"/>
    <w:rsid w:val="00D226A5"/>
    <w:rsid w:val="00D24290"/>
    <w:rsid w:val="00D24E6B"/>
    <w:rsid w:val="00D267E5"/>
    <w:rsid w:val="00D26F88"/>
    <w:rsid w:val="00D3191F"/>
    <w:rsid w:val="00D31B2E"/>
    <w:rsid w:val="00D33DB1"/>
    <w:rsid w:val="00D36D53"/>
    <w:rsid w:val="00D410A5"/>
    <w:rsid w:val="00D43428"/>
    <w:rsid w:val="00D4490D"/>
    <w:rsid w:val="00D46288"/>
    <w:rsid w:val="00D47F2B"/>
    <w:rsid w:val="00D5006E"/>
    <w:rsid w:val="00D52B64"/>
    <w:rsid w:val="00D541F3"/>
    <w:rsid w:val="00D54B0E"/>
    <w:rsid w:val="00D55952"/>
    <w:rsid w:val="00D5662E"/>
    <w:rsid w:val="00D608A7"/>
    <w:rsid w:val="00D621AB"/>
    <w:rsid w:val="00D62FBF"/>
    <w:rsid w:val="00D646B8"/>
    <w:rsid w:val="00D64E45"/>
    <w:rsid w:val="00D65F2C"/>
    <w:rsid w:val="00D70372"/>
    <w:rsid w:val="00D7055B"/>
    <w:rsid w:val="00D719BE"/>
    <w:rsid w:val="00D7306F"/>
    <w:rsid w:val="00D7408A"/>
    <w:rsid w:val="00D747BD"/>
    <w:rsid w:val="00D74B23"/>
    <w:rsid w:val="00D763BA"/>
    <w:rsid w:val="00D807ED"/>
    <w:rsid w:val="00D8250B"/>
    <w:rsid w:val="00D846F8"/>
    <w:rsid w:val="00D84C05"/>
    <w:rsid w:val="00D8521F"/>
    <w:rsid w:val="00D871B0"/>
    <w:rsid w:val="00D877C7"/>
    <w:rsid w:val="00D9429F"/>
    <w:rsid w:val="00D94CAD"/>
    <w:rsid w:val="00DA165D"/>
    <w:rsid w:val="00DA1893"/>
    <w:rsid w:val="00DA201C"/>
    <w:rsid w:val="00DB03E8"/>
    <w:rsid w:val="00DB3355"/>
    <w:rsid w:val="00DB3905"/>
    <w:rsid w:val="00DB40FC"/>
    <w:rsid w:val="00DB4482"/>
    <w:rsid w:val="00DB6032"/>
    <w:rsid w:val="00DB60C1"/>
    <w:rsid w:val="00DB691E"/>
    <w:rsid w:val="00DB6A8E"/>
    <w:rsid w:val="00DC76DE"/>
    <w:rsid w:val="00DC7FEA"/>
    <w:rsid w:val="00DD000A"/>
    <w:rsid w:val="00DD10FA"/>
    <w:rsid w:val="00DD2723"/>
    <w:rsid w:val="00DD3316"/>
    <w:rsid w:val="00DD33E8"/>
    <w:rsid w:val="00DD4949"/>
    <w:rsid w:val="00DD4A1E"/>
    <w:rsid w:val="00DD5BE2"/>
    <w:rsid w:val="00DD5BE7"/>
    <w:rsid w:val="00DD5C26"/>
    <w:rsid w:val="00DE6BFB"/>
    <w:rsid w:val="00DE7136"/>
    <w:rsid w:val="00DE7C26"/>
    <w:rsid w:val="00DF10B0"/>
    <w:rsid w:val="00DF1380"/>
    <w:rsid w:val="00DF25A5"/>
    <w:rsid w:val="00DF44F0"/>
    <w:rsid w:val="00DF5A48"/>
    <w:rsid w:val="00DF67DF"/>
    <w:rsid w:val="00DF7431"/>
    <w:rsid w:val="00DF77F1"/>
    <w:rsid w:val="00E00382"/>
    <w:rsid w:val="00E043AC"/>
    <w:rsid w:val="00E059BF"/>
    <w:rsid w:val="00E10904"/>
    <w:rsid w:val="00E109E1"/>
    <w:rsid w:val="00E10F2E"/>
    <w:rsid w:val="00E133D6"/>
    <w:rsid w:val="00E201E0"/>
    <w:rsid w:val="00E202CD"/>
    <w:rsid w:val="00E20706"/>
    <w:rsid w:val="00E207AF"/>
    <w:rsid w:val="00E234B1"/>
    <w:rsid w:val="00E244A8"/>
    <w:rsid w:val="00E30589"/>
    <w:rsid w:val="00E3117E"/>
    <w:rsid w:val="00E319D4"/>
    <w:rsid w:val="00E326C2"/>
    <w:rsid w:val="00E34566"/>
    <w:rsid w:val="00E37DAF"/>
    <w:rsid w:val="00E401F5"/>
    <w:rsid w:val="00E5068F"/>
    <w:rsid w:val="00E50CB9"/>
    <w:rsid w:val="00E54219"/>
    <w:rsid w:val="00E56598"/>
    <w:rsid w:val="00E614A0"/>
    <w:rsid w:val="00E61648"/>
    <w:rsid w:val="00E62B7E"/>
    <w:rsid w:val="00E649F1"/>
    <w:rsid w:val="00E7106E"/>
    <w:rsid w:val="00E72CD5"/>
    <w:rsid w:val="00E7346E"/>
    <w:rsid w:val="00E74FFE"/>
    <w:rsid w:val="00E76DDD"/>
    <w:rsid w:val="00E810C4"/>
    <w:rsid w:val="00E8156F"/>
    <w:rsid w:val="00E81817"/>
    <w:rsid w:val="00E8196C"/>
    <w:rsid w:val="00E82B5C"/>
    <w:rsid w:val="00E839A2"/>
    <w:rsid w:val="00E87A5F"/>
    <w:rsid w:val="00E87BAD"/>
    <w:rsid w:val="00E91EC4"/>
    <w:rsid w:val="00E92B9A"/>
    <w:rsid w:val="00E93A0F"/>
    <w:rsid w:val="00E96152"/>
    <w:rsid w:val="00E962E1"/>
    <w:rsid w:val="00EA1500"/>
    <w:rsid w:val="00EA30B3"/>
    <w:rsid w:val="00EA3243"/>
    <w:rsid w:val="00EA4E81"/>
    <w:rsid w:val="00EA621B"/>
    <w:rsid w:val="00EA67AB"/>
    <w:rsid w:val="00EA7F68"/>
    <w:rsid w:val="00EB0051"/>
    <w:rsid w:val="00EB0112"/>
    <w:rsid w:val="00EB0468"/>
    <w:rsid w:val="00EB1439"/>
    <w:rsid w:val="00EB34D6"/>
    <w:rsid w:val="00EB5530"/>
    <w:rsid w:val="00EB6B5F"/>
    <w:rsid w:val="00EB6FAF"/>
    <w:rsid w:val="00EB7432"/>
    <w:rsid w:val="00EC0681"/>
    <w:rsid w:val="00EC0DDB"/>
    <w:rsid w:val="00EC1397"/>
    <w:rsid w:val="00EC42A0"/>
    <w:rsid w:val="00EC6A0F"/>
    <w:rsid w:val="00EC7A97"/>
    <w:rsid w:val="00EC7BAC"/>
    <w:rsid w:val="00ED07B8"/>
    <w:rsid w:val="00ED188B"/>
    <w:rsid w:val="00ED201D"/>
    <w:rsid w:val="00ED3FE4"/>
    <w:rsid w:val="00ED5EA5"/>
    <w:rsid w:val="00ED7C2C"/>
    <w:rsid w:val="00EE290A"/>
    <w:rsid w:val="00EE29B7"/>
    <w:rsid w:val="00EE3E63"/>
    <w:rsid w:val="00EE3ED7"/>
    <w:rsid w:val="00EE4462"/>
    <w:rsid w:val="00EE6E59"/>
    <w:rsid w:val="00EE7583"/>
    <w:rsid w:val="00EE7D9C"/>
    <w:rsid w:val="00EF1D14"/>
    <w:rsid w:val="00EF7CA3"/>
    <w:rsid w:val="00F000FD"/>
    <w:rsid w:val="00F00F41"/>
    <w:rsid w:val="00F016F0"/>
    <w:rsid w:val="00F01DCC"/>
    <w:rsid w:val="00F01F81"/>
    <w:rsid w:val="00F044B9"/>
    <w:rsid w:val="00F0536D"/>
    <w:rsid w:val="00F07BAF"/>
    <w:rsid w:val="00F12187"/>
    <w:rsid w:val="00F13EA9"/>
    <w:rsid w:val="00F15DAB"/>
    <w:rsid w:val="00F21C9D"/>
    <w:rsid w:val="00F23095"/>
    <w:rsid w:val="00F23270"/>
    <w:rsid w:val="00F26BFA"/>
    <w:rsid w:val="00F31122"/>
    <w:rsid w:val="00F3344D"/>
    <w:rsid w:val="00F33C67"/>
    <w:rsid w:val="00F36121"/>
    <w:rsid w:val="00F40BD4"/>
    <w:rsid w:val="00F41943"/>
    <w:rsid w:val="00F4228B"/>
    <w:rsid w:val="00F4567A"/>
    <w:rsid w:val="00F47056"/>
    <w:rsid w:val="00F47D96"/>
    <w:rsid w:val="00F50DBB"/>
    <w:rsid w:val="00F519E3"/>
    <w:rsid w:val="00F554EF"/>
    <w:rsid w:val="00F57B21"/>
    <w:rsid w:val="00F60869"/>
    <w:rsid w:val="00F6377A"/>
    <w:rsid w:val="00F66F46"/>
    <w:rsid w:val="00F6755A"/>
    <w:rsid w:val="00F72D3A"/>
    <w:rsid w:val="00F7519D"/>
    <w:rsid w:val="00F77583"/>
    <w:rsid w:val="00F8199F"/>
    <w:rsid w:val="00F85972"/>
    <w:rsid w:val="00F90073"/>
    <w:rsid w:val="00F94C04"/>
    <w:rsid w:val="00F96162"/>
    <w:rsid w:val="00FA014B"/>
    <w:rsid w:val="00FA3BFB"/>
    <w:rsid w:val="00FA4316"/>
    <w:rsid w:val="00FA4841"/>
    <w:rsid w:val="00FA48F8"/>
    <w:rsid w:val="00FA5641"/>
    <w:rsid w:val="00FA5692"/>
    <w:rsid w:val="00FA608D"/>
    <w:rsid w:val="00FA630C"/>
    <w:rsid w:val="00FA6ADB"/>
    <w:rsid w:val="00FB165B"/>
    <w:rsid w:val="00FB2FC3"/>
    <w:rsid w:val="00FB396E"/>
    <w:rsid w:val="00FB4246"/>
    <w:rsid w:val="00FB48DF"/>
    <w:rsid w:val="00FB7FF2"/>
    <w:rsid w:val="00FC5298"/>
    <w:rsid w:val="00FD2120"/>
    <w:rsid w:val="00FD5586"/>
    <w:rsid w:val="00FD6212"/>
    <w:rsid w:val="00FD74D8"/>
    <w:rsid w:val="00FE31D1"/>
    <w:rsid w:val="00FE602A"/>
    <w:rsid w:val="00FE6795"/>
    <w:rsid w:val="00FF08D0"/>
    <w:rsid w:val="00FF1613"/>
    <w:rsid w:val="00FF769F"/>
    <w:rsid w:val="00FF7C24"/>
    <w:rsid w:val="0257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11" w:hanging="360"/>
    </w:pPr>
    <w:rPr>
      <w:rFonts w:ascii="Times New Roman" w:hAnsi="Times New Roman" w:eastAsia="Times New Roman"/>
      <w:sz w:val="24"/>
      <w:szCs w:val="24"/>
    </w:rPr>
  </w:style>
  <w:style w:type="paragraph" w:styleId="3">
    <w:name w:val="Balloon Text"/>
    <w:basedOn w:val="1"/>
    <w:link w:val="22"/>
    <w:semiHidden/>
    <w:unhideWhenUsed/>
    <w:uiPriority w:val="99"/>
    <w:rPr>
      <w:sz w:val="18"/>
      <w:szCs w:val="18"/>
    </w:rPr>
  </w:style>
  <w:style w:type="paragraph" w:styleId="4">
    <w:name w:val="footer"/>
    <w:basedOn w:val="1"/>
    <w:link w:val="21"/>
    <w:unhideWhenUsed/>
    <w:uiPriority w:val="99"/>
    <w:pPr>
      <w:tabs>
        <w:tab w:val="center" w:pos="4153"/>
        <w:tab w:val="right" w:pos="8306"/>
      </w:tabs>
      <w:snapToGrid w:val="0"/>
    </w:pPr>
    <w:rPr>
      <w:sz w:val="18"/>
      <w:szCs w:val="18"/>
    </w:rPr>
  </w:style>
  <w:style w:type="paragraph" w:styleId="5">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3"/>
    <w:semiHidden/>
    <w:unhideWhenUsed/>
    <w:uiPriority w:val="99"/>
    <w:pPr>
      <w:snapToGrid w:val="0"/>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semiHidden/>
    <w:unhideWhenUsed/>
    <w:qFormat/>
    <w:uiPriority w:val="99"/>
    <w:rPr>
      <w:vertAlign w:val="superscript"/>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目录 11"/>
    <w:basedOn w:val="1"/>
    <w:qFormat/>
    <w:uiPriority w:val="1"/>
    <w:pPr>
      <w:spacing w:before="285"/>
      <w:ind w:left="1039" w:hanging="629"/>
    </w:pPr>
    <w:rPr>
      <w:rFonts w:ascii="Times New Roman" w:hAnsi="Times New Roman" w:eastAsia="Times New Roman"/>
      <w:sz w:val="24"/>
      <w:szCs w:val="24"/>
    </w:rPr>
  </w:style>
  <w:style w:type="paragraph" w:customStyle="1" w:styleId="13">
    <w:name w:val="目录 21"/>
    <w:basedOn w:val="1"/>
    <w:qFormat/>
    <w:uiPriority w:val="1"/>
    <w:pPr>
      <w:spacing w:before="290"/>
      <w:ind w:left="1020" w:hanging="546"/>
    </w:pPr>
    <w:rPr>
      <w:rFonts w:ascii="Times New Roman" w:hAnsi="Times New Roman" w:eastAsia="Times New Roman"/>
      <w:sz w:val="24"/>
      <w:szCs w:val="24"/>
    </w:rPr>
  </w:style>
  <w:style w:type="paragraph" w:customStyle="1" w:styleId="14">
    <w:name w:val="目录 31"/>
    <w:basedOn w:val="1"/>
    <w:qFormat/>
    <w:uiPriority w:val="1"/>
    <w:pPr>
      <w:spacing w:before="2"/>
      <w:ind w:left="1591" w:hanging="360"/>
    </w:pPr>
    <w:rPr>
      <w:rFonts w:ascii="Times New Roman" w:hAnsi="Times New Roman" w:eastAsia="Times New Roman"/>
      <w:sz w:val="24"/>
      <w:szCs w:val="24"/>
    </w:rPr>
  </w:style>
  <w:style w:type="paragraph" w:customStyle="1" w:styleId="15">
    <w:name w:val="目录 41"/>
    <w:basedOn w:val="1"/>
    <w:qFormat/>
    <w:uiPriority w:val="1"/>
    <w:pPr>
      <w:spacing w:before="2"/>
      <w:ind w:left="1663" w:hanging="358"/>
    </w:pPr>
    <w:rPr>
      <w:rFonts w:ascii="Times New Roman" w:hAnsi="Times New Roman" w:eastAsia="Times New Roman"/>
      <w:sz w:val="24"/>
      <w:szCs w:val="24"/>
    </w:rPr>
  </w:style>
  <w:style w:type="paragraph" w:customStyle="1" w:styleId="16">
    <w:name w:val="标题 11"/>
    <w:basedOn w:val="1"/>
    <w:qFormat/>
    <w:uiPriority w:val="1"/>
    <w:pPr>
      <w:ind w:left="780"/>
      <w:outlineLvl w:val="1"/>
    </w:pPr>
    <w:rPr>
      <w:rFonts w:ascii="Times New Roman" w:hAnsi="Times New Roman" w:eastAsia="Times New Roman"/>
      <w:b/>
      <w:bCs/>
      <w:sz w:val="36"/>
      <w:szCs w:val="36"/>
    </w:rPr>
  </w:style>
  <w:style w:type="paragraph" w:customStyle="1" w:styleId="17">
    <w:name w:val="标题 21"/>
    <w:basedOn w:val="1"/>
    <w:qFormat/>
    <w:uiPriority w:val="1"/>
    <w:pPr>
      <w:ind w:left="400"/>
      <w:outlineLvl w:val="2"/>
    </w:pPr>
    <w:rPr>
      <w:rFonts w:ascii="Times New Roman" w:hAnsi="Times New Roman" w:eastAsia="Times New Roman"/>
      <w:b/>
      <w:bCs/>
      <w:sz w:val="28"/>
      <w:szCs w:val="28"/>
    </w:rPr>
  </w:style>
  <w:style w:type="paragraph" w:styleId="18">
    <w:name w:val="List Paragraph"/>
    <w:basedOn w:val="1"/>
    <w:qFormat/>
    <w:uiPriority w:val="1"/>
  </w:style>
  <w:style w:type="paragraph" w:customStyle="1" w:styleId="19">
    <w:name w:val="Table Paragraph"/>
    <w:basedOn w:val="1"/>
    <w:qFormat/>
    <w:uiPriority w:val="1"/>
  </w:style>
  <w:style w:type="character" w:customStyle="1" w:styleId="20">
    <w:name w:val="页眉 Char"/>
    <w:basedOn w:val="9"/>
    <w:link w:val="5"/>
    <w:uiPriority w:val="99"/>
    <w:rPr>
      <w:sz w:val="18"/>
      <w:szCs w:val="18"/>
    </w:rPr>
  </w:style>
  <w:style w:type="character" w:customStyle="1" w:styleId="21">
    <w:name w:val="页脚 Char"/>
    <w:basedOn w:val="9"/>
    <w:link w:val="4"/>
    <w:qFormat/>
    <w:uiPriority w:val="99"/>
    <w:rPr>
      <w:sz w:val="18"/>
      <w:szCs w:val="18"/>
    </w:rPr>
  </w:style>
  <w:style w:type="character" w:customStyle="1" w:styleId="22">
    <w:name w:val="批注框文本 Char"/>
    <w:basedOn w:val="9"/>
    <w:link w:val="3"/>
    <w:semiHidden/>
    <w:qFormat/>
    <w:uiPriority w:val="99"/>
    <w:rPr>
      <w:sz w:val="18"/>
      <w:szCs w:val="18"/>
    </w:rPr>
  </w:style>
  <w:style w:type="character" w:customStyle="1" w:styleId="23">
    <w:name w:val="脚注文本 Char"/>
    <w:basedOn w:val="9"/>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7E5A-0D0A-434F-83DC-DE351F2136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6204</Words>
  <Characters>6900</Characters>
  <Lines>51</Lines>
  <Paragraphs>14</Paragraphs>
  <TotalTime>1</TotalTime>
  <ScaleCrop>false</ScaleCrop>
  <LinksUpToDate>false</LinksUpToDate>
  <CharactersWithSpaces>7003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2017-12-18T12:50:00Z</dcterms:created>
  <dc:creator>CDRH</dc:creator>
  <cp:lastModifiedBy>太极箫客</cp:lastModifiedBy>
  <dcterms:modified xsi:type="dcterms:W3CDTF">2025-08-14T06:46:21Z</dcterms:modified>
  <dc:title>Guidance for the Submission of 510(k)s for Solid State X-ray Imaging Devices - Guidance for Industry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LastSaved">
    <vt:filetime>2017-10-17T00:00:00Z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6953E3A69BA745F5ADCE41FF9FE6FAE3_12</vt:lpwstr>
  </property>
</Properties>
</file>