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1FEE1">
      <w:pPr>
        <w:spacing w:line="560" w:lineRule="exact"/>
        <w:rPr>
          <w:rFonts w:ascii="黑体" w:hAnsi="黑体" w:eastAsia="黑体"/>
          <w:sz w:val="32"/>
          <w:szCs w:val="32"/>
        </w:rPr>
      </w:pPr>
      <w:bookmarkStart w:id="13" w:name="_GoBack"/>
      <w:bookmarkEnd w:id="13"/>
      <w:r>
        <w:rPr>
          <w:rFonts w:ascii="黑体" w:hAnsi="黑体" w:eastAsia="黑体"/>
          <w:sz w:val="32"/>
          <w:szCs w:val="32"/>
        </w:rPr>
        <w:t>附件2</w:t>
      </w:r>
    </w:p>
    <w:p w14:paraId="613AB8BB">
      <w:pPr>
        <w:spacing w:line="560" w:lineRule="exact"/>
        <w:rPr>
          <w:rFonts w:eastAsia="黑体"/>
          <w:sz w:val="32"/>
          <w:szCs w:val="32"/>
        </w:rPr>
      </w:pPr>
    </w:p>
    <w:p w14:paraId="54D712B2">
      <w:pPr>
        <w:autoSpaceDE w:val="0"/>
        <w:autoSpaceDN w:val="0"/>
        <w:spacing w:line="560" w:lineRule="exact"/>
        <w:jc w:val="center"/>
        <w:rPr>
          <w:rFonts w:eastAsia="方正小标宋简体"/>
          <w:kern w:val="0"/>
          <w:sz w:val="44"/>
          <w:szCs w:val="44"/>
        </w:rPr>
      </w:pPr>
      <w:r>
        <w:rPr>
          <w:rFonts w:eastAsia="方正小标宋简体"/>
          <w:kern w:val="0"/>
          <w:sz w:val="44"/>
          <w:szCs w:val="44"/>
        </w:rPr>
        <w:t>呼吸道病毒多重核酸检测试剂注册技术</w:t>
      </w:r>
    </w:p>
    <w:p w14:paraId="054119CE">
      <w:pPr>
        <w:autoSpaceDE w:val="0"/>
        <w:autoSpaceDN w:val="0"/>
        <w:spacing w:line="560" w:lineRule="exact"/>
        <w:jc w:val="center"/>
        <w:rPr>
          <w:rFonts w:eastAsia="方正小标宋简体"/>
          <w:kern w:val="0"/>
          <w:sz w:val="44"/>
          <w:szCs w:val="44"/>
        </w:rPr>
      </w:pPr>
      <w:r>
        <w:rPr>
          <w:rFonts w:eastAsia="方正小标宋简体"/>
          <w:kern w:val="0"/>
          <w:sz w:val="44"/>
          <w:szCs w:val="44"/>
        </w:rPr>
        <w:t>审查指导原则</w:t>
      </w:r>
    </w:p>
    <w:p w14:paraId="24631631">
      <w:pPr>
        <w:spacing w:line="480" w:lineRule="exact"/>
        <w:ind w:firstLine="640" w:firstLineChars="200"/>
        <w:rPr>
          <w:rFonts w:eastAsia="仿宋_GB2312"/>
          <w:sz w:val="32"/>
          <w:szCs w:val="32"/>
        </w:rPr>
      </w:pPr>
    </w:p>
    <w:p w14:paraId="7975C3D8">
      <w:pPr>
        <w:spacing w:line="480" w:lineRule="exact"/>
        <w:ind w:firstLine="640" w:firstLineChars="200"/>
        <w:rPr>
          <w:rFonts w:eastAsia="仿宋_GB2312"/>
          <w:sz w:val="32"/>
          <w:szCs w:val="32"/>
        </w:rPr>
      </w:pPr>
      <w:r>
        <w:rPr>
          <w:rFonts w:eastAsia="仿宋_GB2312"/>
          <w:sz w:val="32"/>
          <w:szCs w:val="32"/>
        </w:rPr>
        <w:t>本指导原则旨在指导注册申请人对呼吸道病毒多重核酸检测试剂注册申报资料的准备及撰写，同时也为技术审评部门审评注册申报资料提供参考。</w:t>
      </w:r>
    </w:p>
    <w:p w14:paraId="67462824">
      <w:pPr>
        <w:spacing w:line="480" w:lineRule="exact"/>
        <w:ind w:firstLine="640" w:firstLineChars="200"/>
        <w:rPr>
          <w:rFonts w:eastAsia="仿宋_GB2312"/>
          <w:sz w:val="32"/>
          <w:szCs w:val="32"/>
        </w:rPr>
      </w:pPr>
      <w:r>
        <w:rPr>
          <w:rFonts w:eastAsia="仿宋_GB2312"/>
          <w:sz w:val="32"/>
          <w:szCs w:val="32"/>
        </w:rPr>
        <w:t>本指导原则是对呼吸道病毒多重核酸测定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14:paraId="1B9967AF">
      <w:pPr>
        <w:spacing w:line="480" w:lineRule="exact"/>
        <w:ind w:firstLine="640" w:firstLineChars="200"/>
        <w:rPr>
          <w:rFonts w:eastAsia="仿宋_GB2312"/>
          <w:sz w:val="32"/>
          <w:szCs w:val="32"/>
        </w:rPr>
      </w:pPr>
      <w:r>
        <w:rPr>
          <w:rFonts w:eastAsia="仿宋_GB2312"/>
          <w:sz w:val="32"/>
          <w:szCs w:val="32"/>
        </w:rPr>
        <w:t>如果申报产品检测项目包括的病毒有相应的指导原则，应首先满足指导原则要求的内容。</w:t>
      </w:r>
    </w:p>
    <w:p w14:paraId="5BE9581A">
      <w:pPr>
        <w:spacing w:line="48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0D40BA0">
      <w:pPr>
        <w:spacing w:line="48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本指导原则是在现行法规、标准体系及当前认知水平下制定的，随着法规、标准的不断完善和科学技术的不断发展，本指导原则相关内容也将适时进行调整。</w:t>
      </w:r>
    </w:p>
    <w:p w14:paraId="7CE2B710">
      <w:pPr>
        <w:spacing w:line="480" w:lineRule="exact"/>
        <w:ind w:firstLine="640" w:firstLineChars="200"/>
        <w:outlineLvl w:val="0"/>
        <w:rPr>
          <w:rFonts w:ascii="黑体" w:hAnsi="黑体" w:eastAsia="黑体"/>
          <w:sz w:val="32"/>
          <w:szCs w:val="32"/>
        </w:rPr>
      </w:pPr>
      <w:r>
        <w:rPr>
          <w:rFonts w:ascii="黑体" w:hAnsi="黑体" w:eastAsia="黑体"/>
          <w:sz w:val="32"/>
          <w:szCs w:val="32"/>
        </w:rPr>
        <w:t>一、适用范围</w:t>
      </w:r>
    </w:p>
    <w:p w14:paraId="231F1D0D">
      <w:pPr>
        <w:spacing w:line="480" w:lineRule="exact"/>
        <w:ind w:firstLine="640" w:firstLineChars="200"/>
        <w:rPr>
          <w:rFonts w:eastAsia="仿宋_GB2312"/>
          <w:sz w:val="32"/>
          <w:szCs w:val="32"/>
        </w:rPr>
      </w:pPr>
      <w:r>
        <w:rPr>
          <w:rFonts w:eastAsia="仿宋_GB2312"/>
          <w:sz w:val="32"/>
          <w:szCs w:val="32"/>
        </w:rPr>
        <w:t>呼吸道感染（Respiratory tract infection，RTI）是人类最常见的一类疾病，可以在任何性别、年龄和地域中发生，是全球范围内引起人群发病和死亡的最主要原因之一。呼吸道感染引起的临床症状和体征都较为相似，其临床表现主要为鼻炎、咽炎、喉炎、扁桃体炎等症状，严重的可引起气管炎、支气管炎及肺炎等，但不同病原体引起的感染，其治疗方法、疗效和病程也不尽相同。目前已证明，大部分呼吸道疾病是由细菌外的病原体引起，其中以呼吸道病毒最常见。</w:t>
      </w:r>
    </w:p>
    <w:p w14:paraId="520EF121">
      <w:pPr>
        <w:spacing w:line="480" w:lineRule="exact"/>
        <w:ind w:firstLine="640" w:firstLineChars="200"/>
        <w:rPr>
          <w:rFonts w:eastAsia="仿宋_GB2312"/>
          <w:sz w:val="32"/>
          <w:szCs w:val="32"/>
        </w:rPr>
      </w:pPr>
      <w:r>
        <w:rPr>
          <w:rFonts w:eastAsia="仿宋_GB2312"/>
          <w:sz w:val="32"/>
          <w:szCs w:val="32"/>
        </w:rPr>
        <w:t>本指导原则适用于呼吸道病毒多重核酸检测试剂，适用样本类型为鼻咽拭子、鼻拭子、咽拭子、肺泡灌洗液、痰液或其他呼吸道分泌物样本等，可包括但不限于：</w:t>
      </w:r>
    </w:p>
    <w:p w14:paraId="1F210420">
      <w:pPr>
        <w:spacing w:line="480" w:lineRule="exact"/>
        <w:ind w:firstLine="640" w:firstLineChars="200"/>
        <w:rPr>
          <w:rFonts w:eastAsia="仿宋_GB2312"/>
          <w:sz w:val="32"/>
          <w:szCs w:val="32"/>
        </w:rPr>
      </w:pPr>
      <w:r>
        <w:rPr>
          <w:rFonts w:eastAsia="仿宋_GB2312"/>
          <w:sz w:val="32"/>
          <w:szCs w:val="32"/>
        </w:rPr>
        <w:t>甲型流感病毒（Influenza A，IFV A）、乙型流感病毒（Influenza B，IFV B）、呼吸道合胞病毒（Respiratory Syncytial Virus，RSV）、副流感病毒(Parainfluenza Virus，PIV)、人偏肺病毒（Human Metapneumovirus，hMPV）、腺病毒（Adenovirus，Adv）、呼吸道感染肠道病毒（肠道病毒/鼻病毒）（Enterovirus，EV/ Rhinovirus， RhV）、冠状病毒（Coronavirus，CoV）等。</w:t>
      </w:r>
    </w:p>
    <w:p w14:paraId="381F934B">
      <w:pPr>
        <w:spacing w:line="480" w:lineRule="exact"/>
        <w:ind w:firstLine="640" w:firstLineChars="200"/>
        <w:rPr>
          <w:rFonts w:eastAsia="仿宋_GB2312"/>
          <w:sz w:val="32"/>
          <w:szCs w:val="32"/>
        </w:rPr>
      </w:pPr>
      <w:r>
        <w:rPr>
          <w:rFonts w:eastAsia="仿宋_GB2312"/>
          <w:sz w:val="32"/>
          <w:szCs w:val="32"/>
        </w:rPr>
        <w:t>本指导原则适用于利用荧光探针聚合酶链式反应（Real-time PCR）或其他分子生物学方法，以特定的呼吸道病毒基因序列为检测目标，对来源于人体样本中的呼吸道病毒核酸进行体外定性检测，临床用于辅助诊断呼吸道病毒感染相关性疾病。涉及其他临床用途的呼吸道病原体核酸检测试剂可参考本指导原则。</w:t>
      </w:r>
    </w:p>
    <w:p w14:paraId="66FA98D5">
      <w:pPr>
        <w:spacing w:line="480" w:lineRule="exact"/>
        <w:ind w:firstLine="640" w:firstLineChars="200"/>
        <w:outlineLvl w:val="0"/>
        <w:rPr>
          <w:rFonts w:ascii="黑体" w:hAnsi="黑体" w:eastAsia="黑体"/>
          <w:sz w:val="32"/>
          <w:szCs w:val="32"/>
        </w:rPr>
      </w:pPr>
      <w:r>
        <w:rPr>
          <w:rFonts w:ascii="黑体" w:hAnsi="黑体" w:eastAsia="黑体"/>
          <w:sz w:val="32"/>
          <w:szCs w:val="32"/>
        </w:rPr>
        <w:t>二、注册申报资料要求</w:t>
      </w:r>
    </w:p>
    <w:p w14:paraId="022F1F8C">
      <w:pPr>
        <w:spacing w:line="48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（一）综述资料</w:t>
      </w:r>
    </w:p>
    <w:p w14:paraId="07A87D9C">
      <w:pPr>
        <w:spacing w:line="480" w:lineRule="exact"/>
        <w:ind w:firstLine="640" w:firstLineChars="200"/>
        <w:rPr>
          <w:rFonts w:eastAsia="仿宋_GB2312"/>
          <w:sz w:val="32"/>
          <w:szCs w:val="32"/>
        </w:rPr>
      </w:pPr>
      <w:r>
        <w:rPr>
          <w:rFonts w:eastAsia="仿宋_GB2312"/>
          <w:sz w:val="32"/>
          <w:szCs w:val="32"/>
        </w:rPr>
        <w:t>综述资料主要包括产品预期用途、产品描述、有关生物安全性的说明、有关产品主要研究结果的总结和评价以及其他内容，其中的其他内容包括同类产品在国内外批准上市情况。与预期用途相关的临床适应症应重点描述呼吸道病毒型别与临床适应症的相关性及相关病毒在我国的流行特征；产品描述应明确申报产品所有可检出的病毒型别、尚未验证的病毒型别，陈述应科学、客观且有依据；与国内外同类产品的比较内容应着重从方法学、病毒种类及基因型检出能力、检出限等方面进行比较。应符合《体外诊断试剂注册管理办法》（国家食品药品监督管理总局令第5号）和《体外诊断试剂注册申报资料要求及说明》（国家食品药品监督管理总局公告2014年第44号）的相关要求。</w:t>
      </w:r>
    </w:p>
    <w:p w14:paraId="7F57B00B">
      <w:pPr>
        <w:spacing w:line="480" w:lineRule="exact"/>
        <w:ind w:firstLine="640" w:firstLineChars="200"/>
        <w:outlineLvl w:val="1"/>
        <w:rPr>
          <w:rFonts w:ascii="楷体_GB2312" w:eastAsia="楷体_GB2312"/>
          <w:sz w:val="32"/>
          <w:szCs w:val="32"/>
        </w:rPr>
      </w:pPr>
      <w:r>
        <w:rPr>
          <w:rFonts w:ascii="楷体_GB2312" w:eastAsia="楷体_GB2312"/>
          <w:sz w:val="32"/>
          <w:szCs w:val="32"/>
        </w:rPr>
        <w:t>（二）主要原材料的研究资料</w:t>
      </w:r>
    </w:p>
    <w:p w14:paraId="01258E49">
      <w:pPr>
        <w:spacing w:line="480" w:lineRule="exact"/>
        <w:ind w:firstLine="640" w:firstLineChars="200"/>
        <w:rPr>
          <w:rFonts w:eastAsia="仿宋_GB2312"/>
          <w:sz w:val="32"/>
          <w:szCs w:val="32"/>
        </w:rPr>
      </w:pPr>
      <w:r>
        <w:rPr>
          <w:rFonts w:eastAsia="仿宋_GB2312"/>
          <w:sz w:val="32"/>
          <w:szCs w:val="32"/>
        </w:rPr>
        <w:t>此类产品的主要原材料包括引物、探针、酶、dNTP、核酸分离/纯化组分（如有）、企业参考品、质控品等。应提供主要原材料的选择与来源、制备过程、质量标准等相关研究资料、质控品的定值试验资料等。如主要原材料为企业自制，应提供其详细制备过程；如主要原材料源于外购，应提供资料包括：选择该原材料的依据及对比试验资料、供货方提供的质量标准、出厂检定报告，以及该原材料到货后的质量检验资料。</w:t>
      </w:r>
    </w:p>
    <w:p w14:paraId="2E966B15">
      <w:pPr>
        <w:spacing w:line="480" w:lineRule="exact"/>
        <w:ind w:firstLine="640" w:firstLineChars="200"/>
        <w:rPr>
          <w:rFonts w:eastAsia="仿宋_GB2312"/>
          <w:sz w:val="32"/>
          <w:szCs w:val="32"/>
        </w:rPr>
      </w:pPr>
      <w:r>
        <w:rPr>
          <w:rFonts w:eastAsia="仿宋_GB2312"/>
          <w:sz w:val="32"/>
          <w:szCs w:val="32"/>
        </w:rPr>
        <w:t>1.引物和探针：应详述引物和探针的设计原则，提供引物、探针核酸序列、模板核酸序列及两者的对应情况。建议每种病毒设计两套或多套引物、探针以供筛选，针对所有预期适用的病毒种类及基因型别进行检出能力和特异性（如交叉反应）的评价，选择最佳组合，并提交筛选的研究数据。引物、探针的质量标准应至少包括序列准确性、纯度、浓度及功能性实验等。</w:t>
      </w:r>
    </w:p>
    <w:p w14:paraId="71FEBAD1">
      <w:pPr>
        <w:spacing w:line="480" w:lineRule="exact"/>
        <w:ind w:firstLine="640" w:firstLineChars="200"/>
        <w:rPr>
          <w:rFonts w:eastAsia="仿宋_GB2312"/>
          <w:sz w:val="32"/>
          <w:szCs w:val="32"/>
        </w:rPr>
      </w:pPr>
      <w:r>
        <w:rPr>
          <w:rFonts w:eastAsia="仿宋_GB2312"/>
          <w:sz w:val="32"/>
          <w:szCs w:val="32"/>
        </w:rPr>
        <w:t>如为外购，引物和探针应提供合成机构出具的质检证明，如纯度（应达到电泳级或HPLC级）、序列准确性等，申请人应对引物、探针核酸序列准确性、纯度、浓度、探针标记的荧光素或化学发光物等进行核实，同时申请人应进行功能性验证，并提供相关资料。</w:t>
      </w:r>
    </w:p>
    <w:p w14:paraId="0FD48096">
      <w:pPr>
        <w:spacing w:line="480" w:lineRule="exact"/>
        <w:ind w:firstLine="640" w:firstLineChars="200"/>
        <w:rPr>
          <w:rFonts w:eastAsia="仿宋_GB2312"/>
          <w:sz w:val="32"/>
          <w:szCs w:val="32"/>
        </w:rPr>
      </w:pPr>
      <w:r>
        <w:rPr>
          <w:rFonts w:eastAsia="仿宋_GB2312"/>
          <w:sz w:val="32"/>
          <w:szCs w:val="32"/>
        </w:rPr>
        <w:t>2.脱氧三磷酸核苷（dNTP）：包括dATP、dUTP、dGTP、dCTP、dTTP，应提供对其纯度、浓度、功能性等的详细验证资料。</w:t>
      </w:r>
    </w:p>
    <w:p w14:paraId="4EEC9C49">
      <w:pPr>
        <w:spacing w:line="480" w:lineRule="exact"/>
        <w:ind w:firstLine="640" w:firstLineChars="200"/>
        <w:rPr>
          <w:rFonts w:eastAsia="仿宋_GB2312"/>
          <w:sz w:val="32"/>
          <w:szCs w:val="32"/>
        </w:rPr>
      </w:pPr>
      <w:r>
        <w:rPr>
          <w:rFonts w:eastAsia="仿宋_GB2312"/>
          <w:sz w:val="32"/>
          <w:szCs w:val="32"/>
        </w:rPr>
        <w:t>3.酶：需要的酶主要包括DNA聚合酶、逆转录酶、尿嘧啶DNA糖基化酶等，应分别对酶活性、功能性等进行评价和验证。DNA聚合酶，应具有DNA聚合酶活性，无核酸内切酶活性，具热稳定性；逆转录酶，具逆转录酶活性，无核酸内切酶活性；尿嘧啶DNA糖基化酶（UNG），应对酶活性及热稳定性有合理验证。</w:t>
      </w:r>
    </w:p>
    <w:p w14:paraId="06F860EA">
      <w:pPr>
        <w:spacing w:line="480" w:lineRule="exact"/>
        <w:ind w:firstLine="640" w:firstLineChars="200"/>
        <w:rPr>
          <w:rFonts w:eastAsia="仿宋_GB2312"/>
          <w:sz w:val="32"/>
          <w:szCs w:val="32"/>
        </w:rPr>
      </w:pPr>
      <w:r>
        <w:rPr>
          <w:rFonts w:eastAsia="仿宋_GB2312"/>
          <w:sz w:val="32"/>
          <w:szCs w:val="32"/>
        </w:rPr>
        <w:t>4.试剂盒内质控品</w:t>
      </w:r>
    </w:p>
    <w:p w14:paraId="0CCB4AA8">
      <w:pPr>
        <w:spacing w:line="480" w:lineRule="exact"/>
        <w:ind w:firstLine="640" w:firstLineChars="200"/>
        <w:rPr>
          <w:rFonts w:eastAsia="仿宋_GB2312"/>
          <w:sz w:val="32"/>
          <w:szCs w:val="32"/>
        </w:rPr>
      </w:pPr>
      <w:r>
        <w:rPr>
          <w:rFonts w:eastAsia="仿宋_GB2312"/>
          <w:sz w:val="32"/>
          <w:szCs w:val="32"/>
        </w:rPr>
        <w:t>试剂盒的质控体系通过设置各种试剂盒对照品（质控品）来实现，其参与样本核酸的平行提取，以对整个PCR反应过程、试剂/设备、交叉污染等环节进行合理质量控制。质控品浓度及成分的设置应与待测样本相近。申报资料应对试剂盒对照品有关原料选择、制备、定值过程、浓度范围等试验资料详细说明。</w:t>
      </w:r>
    </w:p>
    <w:p w14:paraId="25EA0C5A">
      <w:pPr>
        <w:spacing w:line="480" w:lineRule="exact"/>
        <w:ind w:firstLine="640" w:firstLineChars="200"/>
        <w:rPr>
          <w:rFonts w:eastAsia="仿宋_GB2312"/>
          <w:sz w:val="32"/>
          <w:szCs w:val="32"/>
          <w:u w:color="FF0000"/>
        </w:rPr>
      </w:pPr>
      <w:r>
        <w:rPr>
          <w:rFonts w:eastAsia="仿宋_GB2312"/>
          <w:sz w:val="32"/>
          <w:szCs w:val="32"/>
        </w:rPr>
        <w:t>4.1阴性质控品应不含试剂盒所检测的靶序列，应参与样本处理和检测的全过程。以对可能存在的交叉污染产生的假阳性结果或扩增反应中背景值进行质量控制。阴性质控品可来自非呼吸道病毒感染患者样本、假病毒、含非靶向序列的生物样本</w:t>
      </w:r>
      <w:r>
        <w:rPr>
          <w:rFonts w:eastAsia="仿宋_GB2312"/>
          <w:sz w:val="32"/>
          <w:szCs w:val="32"/>
          <w:u w:color="FF0000"/>
        </w:rPr>
        <w:t>。</w:t>
      </w:r>
      <w:r>
        <w:rPr>
          <w:rFonts w:eastAsia="仿宋_GB2312"/>
          <w:sz w:val="32"/>
          <w:szCs w:val="32"/>
        </w:rPr>
        <w:t>建议采用与实际检测样本具有相同或相似性状的基质溶液作为阴性对照（质控）品，不推荐采用水作为阴性对照（质控）品。</w:t>
      </w:r>
    </w:p>
    <w:p w14:paraId="22CCC038">
      <w:pPr>
        <w:spacing w:line="480" w:lineRule="exact"/>
        <w:ind w:firstLine="640" w:firstLineChars="200"/>
        <w:rPr>
          <w:rFonts w:eastAsia="仿宋_GB2312"/>
          <w:sz w:val="32"/>
          <w:szCs w:val="32"/>
        </w:rPr>
      </w:pPr>
      <w:r>
        <w:rPr>
          <w:rFonts w:eastAsia="仿宋_GB2312"/>
          <w:sz w:val="32"/>
          <w:szCs w:val="32"/>
        </w:rPr>
        <w:t>4.2阳性质控品</w:t>
      </w:r>
    </w:p>
    <w:p w14:paraId="5CC2A4A4">
      <w:pPr>
        <w:spacing w:line="480" w:lineRule="exact"/>
        <w:ind w:firstLine="640" w:firstLineChars="200"/>
        <w:rPr>
          <w:rFonts w:eastAsia="仿宋_GB2312"/>
          <w:sz w:val="32"/>
          <w:szCs w:val="32"/>
        </w:rPr>
      </w:pPr>
      <w:r>
        <w:rPr>
          <w:rFonts w:eastAsia="仿宋_GB2312"/>
          <w:sz w:val="32"/>
          <w:szCs w:val="32"/>
        </w:rPr>
        <w:t>4.2.1全过程阳性质控品应参与样本处理和检测的全过程，如核酸的平行提取等步骤。全过程阳性质控品可用1～2个病毒株为代表，应含有天然的或人工合成的包含试剂盒可检测靶序列，可来自灭活病毒、假病毒、疫苗株等。企业应对质控品的检测结果（如Ct值）做出明确的范围要求。</w:t>
      </w:r>
    </w:p>
    <w:p w14:paraId="0BDB61CF">
      <w:pPr>
        <w:spacing w:line="480" w:lineRule="exact"/>
        <w:ind w:firstLine="640" w:firstLineChars="200"/>
        <w:rPr>
          <w:rFonts w:eastAsia="仿宋_GB2312"/>
          <w:sz w:val="32"/>
          <w:szCs w:val="32"/>
        </w:rPr>
      </w:pPr>
      <w:r>
        <w:rPr>
          <w:rFonts w:eastAsia="仿宋_GB2312"/>
          <w:sz w:val="32"/>
          <w:szCs w:val="32"/>
        </w:rPr>
        <w:t>4.2.2扩增/检测用阳性对照品（如有）可为浓度在最低检出限附近的纯化靶核酸，以对检测过程进行质量控制。</w:t>
      </w:r>
    </w:p>
    <w:p w14:paraId="4E643639">
      <w:pPr>
        <w:spacing w:line="480" w:lineRule="exact"/>
        <w:ind w:firstLine="640" w:firstLineChars="200"/>
        <w:rPr>
          <w:rFonts w:eastAsia="仿宋_GB2312"/>
          <w:sz w:val="32"/>
          <w:szCs w:val="32"/>
        </w:rPr>
      </w:pPr>
      <w:r>
        <w:rPr>
          <w:rFonts w:eastAsia="仿宋_GB2312"/>
          <w:sz w:val="32"/>
          <w:szCs w:val="32"/>
        </w:rPr>
        <w:t>4.3内对照（内标）可以对管内抑制导致的假阴性结果进行质量控制，应与靶核酸一同提取及扩增，申请人应对内对照（内标）的引物、探针设计和模板浓度做精确验证，既要保证内标荧光通道呈明显的阳性曲线又要尽量降低对靶基因检测造成的抑制。对内对照的检测结果（如Ct值）亦应做出明确的范围要求。内标可设置为与待测病毒共提取的人核酸、人管家基因（如RNaseP、β-肌动蛋白）或人工合成的外源片段。</w:t>
      </w:r>
    </w:p>
    <w:p w14:paraId="6B90A6C4">
      <w:pPr>
        <w:spacing w:line="480" w:lineRule="exact"/>
        <w:ind w:firstLine="640" w:firstLineChars="200"/>
        <w:rPr>
          <w:rFonts w:eastAsia="仿宋_GB2312"/>
          <w:sz w:val="32"/>
          <w:szCs w:val="32"/>
        </w:rPr>
      </w:pPr>
      <w:r>
        <w:rPr>
          <w:rFonts w:eastAsia="仿宋_GB2312"/>
          <w:sz w:val="32"/>
          <w:szCs w:val="32"/>
        </w:rPr>
        <w:t>5.企业参考品：应详细提供有关企业参考品的原料选择、制备、阴阳性确认等试验资料。企业参考品的核酸性质应与产品预期检测的靶物质一致。建议企业参考品优先采用病毒培养物，如病毒难以培养，可采用假病毒、病毒株感染的细胞系等。</w:t>
      </w:r>
    </w:p>
    <w:p w14:paraId="2B201C09">
      <w:pPr>
        <w:spacing w:line="480" w:lineRule="exact"/>
        <w:ind w:firstLine="640" w:firstLineChars="200"/>
        <w:rPr>
          <w:rFonts w:eastAsia="仿宋_GB2312"/>
          <w:sz w:val="32"/>
          <w:szCs w:val="32"/>
        </w:rPr>
      </w:pPr>
      <w:r>
        <w:rPr>
          <w:rFonts w:eastAsia="仿宋_GB2312"/>
          <w:sz w:val="32"/>
          <w:szCs w:val="32"/>
        </w:rPr>
        <w:t>5.1阳性参考品和阴性参考品</w:t>
      </w:r>
    </w:p>
    <w:p w14:paraId="209C9F0C">
      <w:pPr>
        <w:spacing w:line="480" w:lineRule="exact"/>
        <w:ind w:firstLine="640" w:firstLineChars="200"/>
        <w:rPr>
          <w:rFonts w:eastAsia="仿宋_GB2312"/>
          <w:sz w:val="32"/>
          <w:szCs w:val="32"/>
        </w:rPr>
      </w:pPr>
      <w:r>
        <w:rPr>
          <w:rFonts w:eastAsia="仿宋_GB2312"/>
          <w:sz w:val="32"/>
          <w:szCs w:val="32"/>
        </w:rPr>
        <w:t>阳性参考品应覆盖申报产品声称可检出的主要呼吸道病毒亚型（详见表1）。阴性参考品应考虑检测特异性的评价，应纳入不在试剂盒检测范围内、易引发相似症状的其他呼吸道病原体样品。</w:t>
      </w:r>
    </w:p>
    <w:p w14:paraId="57E36D14">
      <w:pPr>
        <w:spacing w:line="560" w:lineRule="exact"/>
        <w:jc w:val="center"/>
        <w:rPr>
          <w:rFonts w:eastAsia="黑体"/>
          <w:sz w:val="28"/>
          <w:szCs w:val="32"/>
        </w:rPr>
      </w:pPr>
      <w:r>
        <w:rPr>
          <w:rFonts w:eastAsia="黑体"/>
          <w:sz w:val="28"/>
          <w:szCs w:val="32"/>
        </w:rPr>
        <w:t xml:space="preserve">表1 </w:t>
      </w:r>
      <w:bookmarkStart w:id="0" w:name="OLE_LINK6"/>
      <w:bookmarkStart w:id="1" w:name="OLE_LINK5"/>
      <w:r>
        <w:rPr>
          <w:rFonts w:eastAsia="黑体"/>
          <w:sz w:val="28"/>
          <w:szCs w:val="32"/>
        </w:rPr>
        <w:t>推荐用于企业参考品、最低检出限和包容性实验的病毒</w:t>
      </w:r>
      <w:bookmarkEnd w:id="0"/>
      <w:bookmarkEnd w:id="1"/>
      <w:r>
        <w:rPr>
          <w:rFonts w:eastAsia="黑体"/>
          <w:sz w:val="28"/>
          <w:szCs w:val="32"/>
        </w:rPr>
        <w:t>亚型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060"/>
      </w:tblGrid>
      <w:tr w14:paraId="651E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5FF8B173">
            <w:pPr>
              <w:spacing w:line="480" w:lineRule="exact"/>
              <w:jc w:val="center"/>
              <w:rPr>
                <w:rFonts w:eastAsia="黑体"/>
                <w:sz w:val="24"/>
              </w:rPr>
            </w:pPr>
            <w:r>
              <w:rPr>
                <w:rFonts w:eastAsia="黑体"/>
                <w:sz w:val="24"/>
              </w:rPr>
              <w:t>病毒名称</w:t>
            </w:r>
          </w:p>
        </w:tc>
        <w:tc>
          <w:tcPr>
            <w:tcW w:w="6060" w:type="dxa"/>
          </w:tcPr>
          <w:p w14:paraId="411AF07C">
            <w:pPr>
              <w:spacing w:line="480" w:lineRule="exact"/>
              <w:jc w:val="center"/>
              <w:rPr>
                <w:rFonts w:eastAsia="黑体"/>
                <w:sz w:val="24"/>
              </w:rPr>
            </w:pPr>
            <w:r>
              <w:rPr>
                <w:rFonts w:eastAsia="黑体"/>
                <w:sz w:val="24"/>
              </w:rPr>
              <w:t>亚型</w:t>
            </w:r>
          </w:p>
        </w:tc>
      </w:tr>
      <w:tr w14:paraId="55AC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1AE60CCB">
            <w:pPr>
              <w:spacing w:line="480" w:lineRule="exact"/>
              <w:jc w:val="center"/>
              <w:rPr>
                <w:rFonts w:eastAsia="仿宋_GB2312"/>
                <w:sz w:val="24"/>
              </w:rPr>
            </w:pPr>
            <w:r>
              <w:rPr>
                <w:rFonts w:eastAsia="仿宋_GB2312"/>
                <w:sz w:val="24"/>
              </w:rPr>
              <w:t>甲型流感病毒</w:t>
            </w:r>
          </w:p>
        </w:tc>
        <w:tc>
          <w:tcPr>
            <w:tcW w:w="6060" w:type="dxa"/>
          </w:tcPr>
          <w:p w14:paraId="1E384035">
            <w:pPr>
              <w:spacing w:line="480" w:lineRule="exact"/>
              <w:jc w:val="center"/>
              <w:rPr>
                <w:rFonts w:eastAsia="仿宋_GB2312"/>
                <w:sz w:val="24"/>
              </w:rPr>
            </w:pPr>
            <w:r>
              <w:rPr>
                <w:rFonts w:eastAsia="仿宋_GB2312"/>
                <w:sz w:val="24"/>
              </w:rPr>
              <w:t>H1N1（新型甲型H1N1流感病毒（2009）、季节性H1N1流感病毒）、H3N2、H5N1、H7N9</w:t>
            </w:r>
          </w:p>
        </w:tc>
      </w:tr>
      <w:tr w14:paraId="71C0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6F36099B">
            <w:pPr>
              <w:spacing w:line="480" w:lineRule="exact"/>
              <w:jc w:val="center"/>
              <w:rPr>
                <w:rFonts w:eastAsia="仿宋_GB2312"/>
                <w:sz w:val="24"/>
              </w:rPr>
            </w:pPr>
            <w:r>
              <w:rPr>
                <w:rFonts w:eastAsia="仿宋_GB2312"/>
                <w:sz w:val="24"/>
              </w:rPr>
              <w:t>乙型流感病毒</w:t>
            </w:r>
          </w:p>
        </w:tc>
        <w:tc>
          <w:tcPr>
            <w:tcW w:w="6060" w:type="dxa"/>
          </w:tcPr>
          <w:p w14:paraId="17C47651">
            <w:pPr>
              <w:spacing w:line="480" w:lineRule="exact"/>
              <w:jc w:val="center"/>
              <w:rPr>
                <w:rFonts w:eastAsia="仿宋_GB2312"/>
                <w:sz w:val="24"/>
              </w:rPr>
            </w:pPr>
            <w:r>
              <w:rPr>
                <w:rFonts w:eastAsia="仿宋_GB2312"/>
                <w:sz w:val="24"/>
              </w:rPr>
              <w:t>Yamagata、Victoria</w:t>
            </w:r>
          </w:p>
        </w:tc>
      </w:tr>
      <w:tr w14:paraId="516E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5101AD25">
            <w:pPr>
              <w:spacing w:line="480" w:lineRule="exact"/>
              <w:jc w:val="center"/>
              <w:rPr>
                <w:rFonts w:eastAsia="仿宋_GB2312"/>
                <w:sz w:val="24"/>
              </w:rPr>
            </w:pPr>
            <w:r>
              <w:rPr>
                <w:rFonts w:eastAsia="仿宋_GB2312"/>
                <w:sz w:val="24"/>
              </w:rPr>
              <w:t>副流感病毒</w:t>
            </w:r>
          </w:p>
        </w:tc>
        <w:tc>
          <w:tcPr>
            <w:tcW w:w="6060" w:type="dxa"/>
          </w:tcPr>
          <w:p w14:paraId="3C81AE96">
            <w:pPr>
              <w:spacing w:line="480" w:lineRule="exact"/>
              <w:jc w:val="center"/>
              <w:rPr>
                <w:rFonts w:eastAsia="仿宋_GB2312"/>
                <w:sz w:val="24"/>
              </w:rPr>
            </w:pPr>
            <w:r>
              <w:rPr>
                <w:rFonts w:eastAsia="仿宋_GB2312"/>
                <w:sz w:val="24"/>
              </w:rPr>
              <w:t>1、2、3、4</w:t>
            </w:r>
          </w:p>
        </w:tc>
      </w:tr>
      <w:tr w14:paraId="3D5C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63A92BB6">
            <w:pPr>
              <w:spacing w:line="480" w:lineRule="exact"/>
              <w:jc w:val="center"/>
              <w:rPr>
                <w:rFonts w:eastAsia="仿宋_GB2312"/>
                <w:sz w:val="24"/>
              </w:rPr>
            </w:pPr>
            <w:r>
              <w:rPr>
                <w:rFonts w:eastAsia="仿宋_GB2312"/>
                <w:sz w:val="24"/>
              </w:rPr>
              <w:t>呼吸道合胞病毒</w:t>
            </w:r>
          </w:p>
        </w:tc>
        <w:tc>
          <w:tcPr>
            <w:tcW w:w="6060" w:type="dxa"/>
          </w:tcPr>
          <w:p w14:paraId="22ED185B">
            <w:pPr>
              <w:spacing w:line="480" w:lineRule="exact"/>
              <w:jc w:val="center"/>
              <w:rPr>
                <w:rFonts w:eastAsia="仿宋_GB2312"/>
                <w:sz w:val="24"/>
              </w:rPr>
            </w:pPr>
            <w:r>
              <w:rPr>
                <w:rFonts w:eastAsia="仿宋_GB2312"/>
                <w:sz w:val="24"/>
              </w:rPr>
              <w:t>A、B</w:t>
            </w:r>
          </w:p>
        </w:tc>
      </w:tr>
      <w:tr w14:paraId="1AA0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37FE0984">
            <w:pPr>
              <w:spacing w:line="480" w:lineRule="exact"/>
              <w:jc w:val="center"/>
              <w:rPr>
                <w:rFonts w:eastAsia="仿宋_GB2312"/>
                <w:sz w:val="24"/>
              </w:rPr>
            </w:pPr>
            <w:r>
              <w:rPr>
                <w:rFonts w:eastAsia="仿宋_GB2312"/>
                <w:sz w:val="24"/>
              </w:rPr>
              <w:t>偏肺病毒</w:t>
            </w:r>
          </w:p>
        </w:tc>
        <w:tc>
          <w:tcPr>
            <w:tcW w:w="6060" w:type="dxa"/>
          </w:tcPr>
          <w:p w14:paraId="1737DEF2">
            <w:pPr>
              <w:spacing w:line="480" w:lineRule="exact"/>
              <w:jc w:val="center"/>
              <w:rPr>
                <w:rFonts w:eastAsia="仿宋_GB2312"/>
                <w:sz w:val="24"/>
              </w:rPr>
            </w:pPr>
            <w:r>
              <w:rPr>
                <w:rFonts w:eastAsia="仿宋_GB2312"/>
                <w:sz w:val="24"/>
              </w:rPr>
              <w:t>A、B</w:t>
            </w:r>
          </w:p>
        </w:tc>
      </w:tr>
      <w:tr w14:paraId="380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492A93B3">
            <w:pPr>
              <w:spacing w:line="480" w:lineRule="exact"/>
              <w:jc w:val="center"/>
              <w:rPr>
                <w:rFonts w:eastAsia="仿宋_GB2312"/>
                <w:sz w:val="24"/>
              </w:rPr>
            </w:pPr>
            <w:r>
              <w:rPr>
                <w:rFonts w:eastAsia="仿宋_GB2312"/>
                <w:sz w:val="24"/>
              </w:rPr>
              <w:t>腺病毒</w:t>
            </w:r>
          </w:p>
        </w:tc>
        <w:tc>
          <w:tcPr>
            <w:tcW w:w="6060" w:type="dxa"/>
          </w:tcPr>
          <w:p w14:paraId="1F6E1E4D">
            <w:pPr>
              <w:spacing w:line="480" w:lineRule="exact"/>
              <w:jc w:val="center"/>
              <w:rPr>
                <w:rFonts w:eastAsia="仿宋_GB2312"/>
                <w:sz w:val="24"/>
              </w:rPr>
            </w:pPr>
            <w:r>
              <w:rPr>
                <w:rFonts w:eastAsia="仿宋_GB2312"/>
                <w:sz w:val="24"/>
              </w:rPr>
              <w:t>1、2、3、4、5、7、55</w:t>
            </w:r>
          </w:p>
        </w:tc>
      </w:tr>
      <w:tr w14:paraId="7EBB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5EBAE50F">
            <w:pPr>
              <w:spacing w:line="480" w:lineRule="exact"/>
              <w:jc w:val="center"/>
              <w:rPr>
                <w:rFonts w:eastAsia="仿宋_GB2312"/>
                <w:sz w:val="24"/>
              </w:rPr>
            </w:pPr>
            <w:r>
              <w:rPr>
                <w:rFonts w:eastAsia="仿宋_GB2312"/>
                <w:sz w:val="24"/>
              </w:rPr>
              <w:t>呼吸道感染肠道病毒（肠道病毒/鼻病毒）</w:t>
            </w:r>
          </w:p>
        </w:tc>
        <w:tc>
          <w:tcPr>
            <w:tcW w:w="6060" w:type="dxa"/>
          </w:tcPr>
          <w:p w14:paraId="0311C948">
            <w:pPr>
              <w:spacing w:line="480" w:lineRule="exact"/>
              <w:jc w:val="center"/>
              <w:rPr>
                <w:rFonts w:eastAsia="仿宋_GB2312"/>
                <w:sz w:val="24"/>
              </w:rPr>
            </w:pPr>
            <w:r>
              <w:rPr>
                <w:rFonts w:eastAsia="仿宋_GB2312"/>
                <w:sz w:val="24"/>
              </w:rPr>
              <w:t>肠道病毒：A、B、C、D</w:t>
            </w:r>
          </w:p>
          <w:p w14:paraId="1EFEF52B">
            <w:pPr>
              <w:spacing w:line="480" w:lineRule="exact"/>
              <w:jc w:val="center"/>
              <w:rPr>
                <w:rFonts w:eastAsia="仿宋_GB2312"/>
                <w:sz w:val="24"/>
              </w:rPr>
            </w:pPr>
            <w:r>
              <w:rPr>
                <w:rFonts w:eastAsia="仿宋_GB2312"/>
                <w:sz w:val="24"/>
              </w:rPr>
              <w:t>鼻病毒：A、B、C</w:t>
            </w:r>
          </w:p>
        </w:tc>
      </w:tr>
      <w:tr w14:paraId="1FF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76" w:type="dxa"/>
          </w:tcPr>
          <w:p w14:paraId="23DBF545">
            <w:pPr>
              <w:spacing w:line="480" w:lineRule="exact"/>
              <w:jc w:val="center"/>
              <w:rPr>
                <w:rFonts w:eastAsia="仿宋_GB2312"/>
                <w:sz w:val="24"/>
              </w:rPr>
            </w:pPr>
            <w:r>
              <w:rPr>
                <w:rFonts w:eastAsia="仿宋_GB2312"/>
                <w:sz w:val="24"/>
              </w:rPr>
              <w:t>冠状病毒</w:t>
            </w:r>
          </w:p>
        </w:tc>
        <w:tc>
          <w:tcPr>
            <w:tcW w:w="6060" w:type="dxa"/>
          </w:tcPr>
          <w:p w14:paraId="1D9A8BF4">
            <w:pPr>
              <w:spacing w:line="480" w:lineRule="exact"/>
              <w:jc w:val="center"/>
              <w:rPr>
                <w:rFonts w:eastAsia="仿宋_GB2312"/>
                <w:sz w:val="24"/>
              </w:rPr>
            </w:pPr>
            <w:r>
              <w:rPr>
                <w:rFonts w:eastAsia="仿宋_GB2312"/>
                <w:sz w:val="24"/>
              </w:rPr>
              <w:t>229E、OC43、NL63、HKU1</w:t>
            </w:r>
          </w:p>
        </w:tc>
      </w:tr>
    </w:tbl>
    <w:p w14:paraId="0A445E6D">
      <w:pPr>
        <w:spacing w:line="480" w:lineRule="exact"/>
        <w:ind w:firstLine="640" w:firstLineChars="200"/>
        <w:rPr>
          <w:rFonts w:eastAsia="仿宋_GB2312"/>
          <w:sz w:val="32"/>
          <w:szCs w:val="32"/>
        </w:rPr>
      </w:pPr>
      <w:r>
        <w:rPr>
          <w:rFonts w:eastAsia="仿宋_GB2312"/>
          <w:sz w:val="32"/>
          <w:szCs w:val="32"/>
        </w:rPr>
        <w:t>5.2检测限参考品</w:t>
      </w:r>
    </w:p>
    <w:p w14:paraId="2A0C306F">
      <w:pPr>
        <w:widowControl/>
        <w:spacing w:line="480" w:lineRule="exact"/>
        <w:ind w:firstLine="640" w:firstLineChars="200"/>
        <w:rPr>
          <w:rFonts w:eastAsia="仿宋_GB2312"/>
          <w:sz w:val="32"/>
          <w:szCs w:val="32"/>
        </w:rPr>
      </w:pPr>
      <w:r>
        <w:rPr>
          <w:rFonts w:eastAsia="仿宋_GB2312"/>
          <w:sz w:val="32"/>
          <w:szCs w:val="32"/>
        </w:rPr>
        <w:t>申请人应明确检测限参考品中病毒核酸浓度的确定方法，明确检测限参考品中病毒核酸浓度的确定依据，检测限参考品中呼吸道病毒核酸浓度应为申报产品检测限浓度或略高于检测限浓度，检测限参考品应包含申报产品可检出的呼吸道病毒主要亚型（详见表1）。</w:t>
      </w:r>
    </w:p>
    <w:p w14:paraId="33294535">
      <w:pPr>
        <w:widowControl/>
        <w:spacing w:line="480" w:lineRule="exact"/>
        <w:ind w:firstLine="640" w:firstLineChars="200"/>
        <w:rPr>
          <w:rFonts w:eastAsia="仿宋_GB2312"/>
          <w:sz w:val="32"/>
          <w:szCs w:val="32"/>
        </w:rPr>
      </w:pPr>
      <w:r>
        <w:rPr>
          <w:rFonts w:eastAsia="仿宋_GB2312"/>
          <w:sz w:val="32"/>
          <w:szCs w:val="32"/>
        </w:rPr>
        <w:t>5.3精密度参考品</w:t>
      </w:r>
    </w:p>
    <w:p w14:paraId="7C377484">
      <w:pPr>
        <w:widowControl/>
        <w:spacing w:line="480" w:lineRule="exact"/>
        <w:ind w:firstLine="640" w:firstLineChars="200"/>
        <w:rPr>
          <w:rFonts w:eastAsia="仿宋_GB2312"/>
          <w:sz w:val="32"/>
          <w:szCs w:val="32"/>
        </w:rPr>
      </w:pPr>
      <w:r>
        <w:rPr>
          <w:rFonts w:eastAsia="仿宋_GB2312"/>
          <w:sz w:val="32"/>
          <w:szCs w:val="32"/>
        </w:rPr>
        <w:t>可不包含所有涉及的呼吸道病毒亚型，但应选择多个临床较常见的型别，针对所选型别应至少包含3个水平：阴性水平、临界阳性水平、（中或强）阳性水平。</w:t>
      </w:r>
    </w:p>
    <w:p w14:paraId="2E2CD861">
      <w:pPr>
        <w:spacing w:line="480" w:lineRule="exact"/>
        <w:ind w:firstLine="640" w:firstLineChars="200"/>
        <w:outlineLvl w:val="1"/>
        <w:rPr>
          <w:rFonts w:hint="eastAsia" w:ascii="楷体_GB2312" w:eastAsia="楷体_GB2312"/>
          <w:kern w:val="0"/>
          <w:sz w:val="32"/>
          <w:szCs w:val="32"/>
        </w:rPr>
      </w:pPr>
      <w:r>
        <w:rPr>
          <w:rFonts w:hint="eastAsia" w:ascii="楷体_GB2312" w:eastAsia="楷体_GB2312"/>
          <w:kern w:val="0"/>
          <w:sz w:val="32"/>
          <w:szCs w:val="32"/>
        </w:rPr>
        <w:t>（三）主要生产工艺及反应体系的研究资料</w:t>
      </w:r>
    </w:p>
    <w:p w14:paraId="2AA4403E">
      <w:pPr>
        <w:spacing w:line="480" w:lineRule="exact"/>
        <w:ind w:firstLine="640" w:firstLineChars="200"/>
        <w:rPr>
          <w:rFonts w:eastAsia="仿宋_GB2312"/>
          <w:sz w:val="32"/>
          <w:szCs w:val="32"/>
        </w:rPr>
      </w:pPr>
      <w:r>
        <w:rPr>
          <w:rFonts w:eastAsia="仿宋_GB2312"/>
          <w:sz w:val="32"/>
          <w:szCs w:val="32"/>
        </w:rPr>
        <w:t>1.介绍产品主要生产工艺，可用图表方式表示，并说明主要生产工艺的确定依据。</w:t>
      </w:r>
    </w:p>
    <w:p w14:paraId="2D98FCE4">
      <w:pPr>
        <w:spacing w:line="480" w:lineRule="exact"/>
        <w:ind w:firstLine="640" w:firstLineChars="200"/>
        <w:rPr>
          <w:rFonts w:eastAsia="仿宋_GB2312"/>
          <w:sz w:val="32"/>
          <w:szCs w:val="32"/>
        </w:rPr>
      </w:pPr>
      <w:r>
        <w:rPr>
          <w:rFonts w:eastAsia="仿宋_GB2312"/>
          <w:sz w:val="32"/>
          <w:szCs w:val="32"/>
        </w:rPr>
        <w:t>2.反应原理介绍。</w:t>
      </w:r>
    </w:p>
    <w:p w14:paraId="2AE53F6E">
      <w:pPr>
        <w:spacing w:line="480" w:lineRule="exact"/>
        <w:ind w:firstLine="640" w:firstLineChars="200"/>
        <w:rPr>
          <w:rFonts w:eastAsia="仿宋_GB2312"/>
          <w:sz w:val="32"/>
          <w:szCs w:val="32"/>
        </w:rPr>
      </w:pPr>
      <w:r>
        <w:rPr>
          <w:rFonts w:eastAsia="仿宋_GB2312"/>
          <w:sz w:val="32"/>
          <w:szCs w:val="32"/>
        </w:rPr>
        <w:t>3.详述样本采集、样本处理方式的选择和设置，提供相关的研究资料。</w:t>
      </w:r>
    </w:p>
    <w:p w14:paraId="61CEA1D1">
      <w:pPr>
        <w:spacing w:line="480" w:lineRule="exact"/>
        <w:ind w:firstLine="640" w:firstLineChars="200"/>
        <w:rPr>
          <w:rFonts w:eastAsia="仿宋_GB2312"/>
          <w:sz w:val="32"/>
          <w:szCs w:val="32"/>
        </w:rPr>
      </w:pPr>
      <w:r>
        <w:rPr>
          <w:rFonts w:eastAsia="仿宋_GB2312"/>
          <w:sz w:val="32"/>
          <w:szCs w:val="32"/>
        </w:rPr>
        <w:t>4.确定最佳反应体系的研究资料，包括样本用量、各种酶浓度、引物/探针浓度、dNTP浓度、阳离子浓度及反应各阶段温度、时间、循环数等。</w:t>
      </w:r>
    </w:p>
    <w:p w14:paraId="6AC0A453">
      <w:pPr>
        <w:spacing w:line="480" w:lineRule="exact"/>
        <w:ind w:firstLine="640" w:firstLineChars="200"/>
        <w:rPr>
          <w:rFonts w:eastAsia="仿宋_GB2312"/>
          <w:sz w:val="32"/>
          <w:szCs w:val="32"/>
        </w:rPr>
      </w:pPr>
      <w:r>
        <w:rPr>
          <w:rFonts w:eastAsia="仿宋_GB2312"/>
          <w:sz w:val="32"/>
          <w:szCs w:val="32"/>
        </w:rPr>
        <w:t>5.不同适用机型的反应条件如果有差异应分别详述，并提交验证资料。</w:t>
      </w:r>
    </w:p>
    <w:p w14:paraId="5CD97FD4">
      <w:pPr>
        <w:spacing w:line="480" w:lineRule="exact"/>
        <w:ind w:firstLine="640" w:firstLineChars="200"/>
        <w:rPr>
          <w:rFonts w:eastAsia="仿宋_GB2312"/>
          <w:sz w:val="32"/>
          <w:szCs w:val="32"/>
        </w:rPr>
      </w:pPr>
      <w:r>
        <w:rPr>
          <w:rFonts w:eastAsia="仿宋_GB2312"/>
          <w:sz w:val="32"/>
          <w:szCs w:val="32"/>
        </w:rPr>
        <w:t>6.如申报产品包含核酸分离/纯化试剂，应提交对核酸分离/纯化过程进行工艺优化的研究资料。</w:t>
      </w:r>
    </w:p>
    <w:p w14:paraId="4691BDF9">
      <w:pPr>
        <w:spacing w:line="480" w:lineRule="exact"/>
        <w:ind w:firstLine="640" w:firstLineChars="200"/>
        <w:outlineLvl w:val="1"/>
        <w:rPr>
          <w:rFonts w:hint="eastAsia" w:ascii="楷体_GB2312" w:eastAsia="楷体_GB2312"/>
          <w:sz w:val="32"/>
          <w:szCs w:val="32"/>
        </w:rPr>
      </w:pPr>
      <w:r>
        <w:rPr>
          <w:rFonts w:hint="eastAsia" w:ascii="楷体_GB2312" w:eastAsia="楷体_GB2312"/>
          <w:sz w:val="32"/>
          <w:szCs w:val="32"/>
        </w:rPr>
        <w:t>（四）分析性能评估资料</w:t>
      </w:r>
    </w:p>
    <w:p w14:paraId="372BF348">
      <w:pPr>
        <w:spacing w:line="480" w:lineRule="exact"/>
        <w:ind w:firstLine="640" w:firstLineChars="200"/>
        <w:rPr>
          <w:rFonts w:eastAsia="仿宋_GB2312"/>
          <w:sz w:val="32"/>
          <w:szCs w:val="32"/>
        </w:rPr>
      </w:pPr>
      <w:r>
        <w:rPr>
          <w:rFonts w:eastAsia="仿宋_GB2312"/>
          <w:sz w:val="32"/>
          <w:szCs w:val="32"/>
        </w:rPr>
        <w:t>申请人应提交生产者在产品研制阶段对试剂盒进行的所有性能评价的研究资料，对于每项分析性能的评价都应包括具体研究目的、试验方法、可接受标准、试验数据、统计方法等详细资料。有关分析性能验证的背景信息也应在申报资料中有所体现，包括实验地点、适用仪器、试剂规格、批号、临床样本来源等。</w:t>
      </w:r>
    </w:p>
    <w:p w14:paraId="50805373">
      <w:pPr>
        <w:spacing w:line="480" w:lineRule="exact"/>
        <w:ind w:firstLine="640" w:firstLineChars="200"/>
        <w:rPr>
          <w:rFonts w:eastAsia="仿宋_GB2312"/>
          <w:sz w:val="32"/>
          <w:szCs w:val="32"/>
        </w:rPr>
      </w:pPr>
      <w:r>
        <w:rPr>
          <w:rFonts w:eastAsia="仿宋_GB2312"/>
          <w:sz w:val="32"/>
          <w:szCs w:val="32"/>
        </w:rPr>
        <w:t>针对不同的样本类型，申请人应分别完成性能评估，包括阴阳性符合率、最低检测限、精密度、分析特异性等。</w:t>
      </w:r>
    </w:p>
    <w:p w14:paraId="02E0A624">
      <w:pPr>
        <w:spacing w:line="480" w:lineRule="exact"/>
        <w:ind w:firstLine="640" w:firstLineChars="200"/>
        <w:rPr>
          <w:rFonts w:eastAsia="仿宋_GB2312"/>
          <w:sz w:val="32"/>
          <w:szCs w:val="32"/>
        </w:rPr>
      </w:pPr>
      <w:r>
        <w:rPr>
          <w:rFonts w:eastAsia="仿宋_GB2312"/>
          <w:sz w:val="32"/>
          <w:szCs w:val="32"/>
        </w:rPr>
        <w:t>分析性能评价的试验方法可以参考</w:t>
      </w:r>
      <w:r>
        <w:rPr>
          <w:rFonts w:eastAsia="仿宋_GB2312"/>
          <w:kern w:val="0"/>
          <w:sz w:val="32"/>
          <w:szCs w:val="32"/>
        </w:rPr>
        <w:t>国际或</w:t>
      </w:r>
      <w:r>
        <w:rPr>
          <w:rFonts w:eastAsia="仿宋_GB2312"/>
          <w:sz w:val="32"/>
          <w:szCs w:val="32"/>
        </w:rPr>
        <w:t>国内有关体外诊断试剂性能评估的指导原则进行。对于此类产品，性能评估中所用样品（除非特别说明）可参考上述企业参考品的制备要求。各项性能评价应符合以下要求：</w:t>
      </w:r>
    </w:p>
    <w:p w14:paraId="4CE4B3CA">
      <w:pPr>
        <w:spacing w:line="480" w:lineRule="exact"/>
        <w:ind w:firstLine="640" w:firstLineChars="200"/>
        <w:rPr>
          <w:rFonts w:eastAsia="仿宋_GB2312"/>
          <w:sz w:val="32"/>
          <w:szCs w:val="32"/>
        </w:rPr>
      </w:pPr>
      <w:r>
        <w:rPr>
          <w:rFonts w:eastAsia="仿宋_GB2312"/>
          <w:sz w:val="32"/>
          <w:szCs w:val="32"/>
        </w:rPr>
        <w:t>1.核酸分离/纯化性能</w:t>
      </w:r>
    </w:p>
    <w:p w14:paraId="614DA525">
      <w:pPr>
        <w:spacing w:line="480" w:lineRule="exact"/>
        <w:ind w:firstLine="640" w:firstLineChars="200"/>
        <w:rPr>
          <w:rFonts w:eastAsia="仿宋_GB2312"/>
          <w:sz w:val="32"/>
          <w:szCs w:val="32"/>
        </w:rPr>
      </w:pPr>
      <w:r>
        <w:rPr>
          <w:rFonts w:eastAsia="仿宋_GB2312"/>
          <w:sz w:val="32"/>
          <w:szCs w:val="32"/>
        </w:rPr>
        <w:t>在进行靶核酸检测前，应有适当的核酸分离/纯化步骤。该步骤的目的除最大量分离出目的核酸外，还应有相应的纯化作用，尽可能去除PCR抑制物。无论检测试剂是否含有核酸分离/纯化的组分，企业都应结合检测试剂的特性，对配合使用的核酸分离/纯化试剂的提取效率、提取核酸纯度等做充分的验证，提供详细的验证资料。</w:t>
      </w:r>
    </w:p>
    <w:p w14:paraId="1B9BE8AD">
      <w:pPr>
        <w:spacing w:line="480" w:lineRule="exact"/>
        <w:ind w:firstLine="640" w:firstLineChars="200"/>
        <w:rPr>
          <w:rFonts w:eastAsia="仿宋_GB2312"/>
          <w:sz w:val="32"/>
          <w:szCs w:val="32"/>
        </w:rPr>
      </w:pPr>
      <w:r>
        <w:rPr>
          <w:rFonts w:eastAsia="仿宋_GB2312"/>
          <w:sz w:val="32"/>
          <w:szCs w:val="32"/>
        </w:rPr>
        <w:t>2.阳/阴性参考品符合率</w:t>
      </w:r>
    </w:p>
    <w:p w14:paraId="6292193A">
      <w:pPr>
        <w:spacing w:line="480" w:lineRule="exact"/>
        <w:ind w:firstLine="640" w:firstLineChars="200"/>
        <w:rPr>
          <w:rFonts w:eastAsia="仿宋_GB2312"/>
          <w:sz w:val="32"/>
          <w:szCs w:val="32"/>
        </w:rPr>
      </w:pPr>
      <w:r>
        <w:rPr>
          <w:rFonts w:eastAsia="仿宋_GB2312"/>
          <w:sz w:val="32"/>
          <w:szCs w:val="32"/>
        </w:rPr>
        <w:t>阳性参考品的检测旨在验证试剂盒检测范围内的各呼吸道病毒主要亚型均可被检测到，阳性参考品检测结果应为阳性。阴性参考品旨在评价试剂特异性，阴性参考品检测结果应为阴性。</w:t>
      </w:r>
    </w:p>
    <w:p w14:paraId="64527075">
      <w:pPr>
        <w:spacing w:line="480" w:lineRule="exact"/>
        <w:ind w:firstLine="640" w:firstLineChars="200"/>
        <w:rPr>
          <w:rFonts w:eastAsia="仿宋_GB2312"/>
          <w:sz w:val="32"/>
          <w:szCs w:val="32"/>
        </w:rPr>
      </w:pPr>
      <w:r>
        <w:rPr>
          <w:rFonts w:eastAsia="仿宋_GB2312"/>
          <w:sz w:val="32"/>
          <w:szCs w:val="32"/>
        </w:rPr>
        <w:t>3.最低检出限</w:t>
      </w:r>
    </w:p>
    <w:p w14:paraId="30B0A407">
      <w:pPr>
        <w:spacing w:line="480" w:lineRule="exact"/>
        <w:ind w:firstLine="640" w:firstLineChars="200"/>
        <w:rPr>
          <w:rFonts w:eastAsia="仿宋_GB2312"/>
          <w:sz w:val="32"/>
          <w:szCs w:val="32"/>
        </w:rPr>
      </w:pPr>
      <w:r>
        <w:rPr>
          <w:rFonts w:eastAsia="仿宋_GB2312"/>
          <w:sz w:val="32"/>
          <w:szCs w:val="32"/>
        </w:rPr>
        <w:t>申报产品最低检测限的性能评估资料应包含最低检测限的确定及验证过程。</w:t>
      </w:r>
    </w:p>
    <w:p w14:paraId="7FAF71FC">
      <w:pPr>
        <w:spacing w:line="480" w:lineRule="exact"/>
        <w:ind w:firstLine="640" w:firstLineChars="200"/>
        <w:rPr>
          <w:rFonts w:eastAsia="仿宋_GB2312"/>
          <w:sz w:val="32"/>
          <w:szCs w:val="32"/>
        </w:rPr>
      </w:pPr>
      <w:r>
        <w:rPr>
          <w:rFonts w:eastAsia="仿宋_GB2312"/>
          <w:sz w:val="32"/>
          <w:szCs w:val="32"/>
        </w:rPr>
        <w:t>病毒原液浓度测定建议采用空斑形成单位（PFU）或半数组织培养感染/致死剂量（TCID</w:t>
      </w:r>
      <w:r>
        <w:rPr>
          <w:rFonts w:eastAsia="仿宋_GB2312"/>
          <w:sz w:val="32"/>
          <w:szCs w:val="32"/>
          <w:vertAlign w:val="subscript"/>
        </w:rPr>
        <w:t>50</w:t>
      </w:r>
      <w:r>
        <w:rPr>
          <w:rFonts w:eastAsia="仿宋_GB2312"/>
          <w:sz w:val="32"/>
          <w:szCs w:val="32"/>
        </w:rPr>
        <w:t>）为计量单位（最低检出限建议的病毒亚型见表1）。建议建立PFU/TCID</w:t>
      </w:r>
      <w:r>
        <w:rPr>
          <w:rFonts w:eastAsia="仿宋_GB2312"/>
          <w:sz w:val="32"/>
          <w:szCs w:val="32"/>
          <w:vertAlign w:val="subscript"/>
        </w:rPr>
        <w:t>50</w:t>
      </w:r>
      <w:r>
        <w:rPr>
          <w:rFonts w:eastAsia="仿宋_GB2312"/>
          <w:sz w:val="32"/>
          <w:szCs w:val="32"/>
        </w:rPr>
        <w:t>与拷贝数之间的关系。</w:t>
      </w:r>
    </w:p>
    <w:p w14:paraId="2A8D4FBC">
      <w:pPr>
        <w:spacing w:line="480" w:lineRule="exact"/>
        <w:ind w:firstLine="640" w:firstLineChars="200"/>
        <w:rPr>
          <w:rFonts w:eastAsia="仿宋_GB2312"/>
          <w:sz w:val="32"/>
          <w:szCs w:val="32"/>
        </w:rPr>
      </w:pPr>
      <w:r>
        <w:rPr>
          <w:rFonts w:eastAsia="仿宋_GB2312"/>
          <w:sz w:val="32"/>
          <w:szCs w:val="32"/>
        </w:rPr>
        <w:t>企业应能够提供用于最低检出限验证的病毒株的来源、型别确认及滴度确认试验等信息。</w:t>
      </w:r>
    </w:p>
    <w:p w14:paraId="5ECC9978">
      <w:pPr>
        <w:spacing w:line="480" w:lineRule="exact"/>
        <w:ind w:firstLine="640" w:firstLineChars="200"/>
        <w:rPr>
          <w:rFonts w:eastAsia="仿宋_GB2312"/>
          <w:sz w:val="32"/>
          <w:szCs w:val="32"/>
        </w:rPr>
      </w:pPr>
      <w:r>
        <w:rPr>
          <w:rFonts w:eastAsia="仿宋_GB2312"/>
          <w:sz w:val="32"/>
          <w:szCs w:val="32"/>
        </w:rPr>
        <w:t>用于最低检测限确定和验证的病毒株如包括疫苗株，其应能够体现发病季的病毒特点。</w:t>
      </w:r>
    </w:p>
    <w:p w14:paraId="68341FC6">
      <w:pPr>
        <w:spacing w:line="480" w:lineRule="exact"/>
        <w:ind w:firstLine="640" w:firstLineChars="200"/>
        <w:rPr>
          <w:rFonts w:eastAsia="仿宋_GB2312"/>
          <w:sz w:val="32"/>
          <w:szCs w:val="32"/>
        </w:rPr>
      </w:pPr>
      <w:r>
        <w:rPr>
          <w:rFonts w:eastAsia="仿宋_GB2312"/>
          <w:sz w:val="32"/>
          <w:szCs w:val="32"/>
        </w:rPr>
        <w:t>3.1最低检测限的确定</w:t>
      </w:r>
    </w:p>
    <w:p w14:paraId="3B596147">
      <w:pPr>
        <w:spacing w:line="480" w:lineRule="exact"/>
        <w:ind w:firstLine="640" w:firstLineChars="200"/>
        <w:rPr>
          <w:rFonts w:eastAsia="仿宋_GB2312"/>
          <w:sz w:val="32"/>
          <w:szCs w:val="32"/>
        </w:rPr>
      </w:pPr>
      <w:r>
        <w:rPr>
          <w:rFonts w:eastAsia="仿宋_GB2312"/>
          <w:sz w:val="32"/>
          <w:szCs w:val="32"/>
        </w:rPr>
        <w:t>应针对申报产品所能检出的主要呼吸道病毒亚型分别进行确定。在进行最低检测限的确定时，参与研究的病毒各亚型应至少包括不同来源的2个具有代表性的病毒株的系列稀释梯度。建议采用培养后病毒原液、以混合阴性样本基质作为稀释液进行梯度稀释，难以培养的病毒也可采用假病毒或其他适宜方法进行最低检出限的确定。配制系列稀释的样品每个稀释度上重复制备3～5份样本，系列稀释度应能够覆盖大部分检出概率区间（0～100%），可通过概率计算或其他适当方法进行测算选取适当检出率水平的浓度作为最低检测限确定的标准，如90-95%（n≥20）的阳性检出率水平。</w:t>
      </w:r>
    </w:p>
    <w:p w14:paraId="1E890339">
      <w:pPr>
        <w:spacing w:line="480" w:lineRule="exact"/>
        <w:ind w:firstLine="640" w:firstLineChars="200"/>
        <w:rPr>
          <w:rFonts w:eastAsia="仿宋_GB2312"/>
          <w:sz w:val="32"/>
          <w:szCs w:val="32"/>
        </w:rPr>
      </w:pPr>
      <w:r>
        <w:rPr>
          <w:rFonts w:eastAsia="仿宋_GB2312"/>
          <w:sz w:val="32"/>
          <w:szCs w:val="32"/>
        </w:rPr>
        <w:t>通过另制备至少5份最低检测限浓度水平的病毒稀释液对90%～95%的检出率进行确认。</w:t>
      </w:r>
    </w:p>
    <w:p w14:paraId="67455865">
      <w:pPr>
        <w:spacing w:line="480" w:lineRule="exact"/>
        <w:ind w:firstLine="640" w:firstLineChars="200"/>
        <w:rPr>
          <w:rFonts w:eastAsia="仿宋_GB2312"/>
          <w:sz w:val="32"/>
          <w:szCs w:val="32"/>
        </w:rPr>
      </w:pPr>
      <w:r>
        <w:rPr>
          <w:rFonts w:eastAsia="仿宋_GB2312"/>
          <w:sz w:val="32"/>
          <w:szCs w:val="32"/>
        </w:rPr>
        <w:t>3.2最低检测限的验证</w:t>
      </w:r>
    </w:p>
    <w:p w14:paraId="6AB0BBF2">
      <w:pPr>
        <w:spacing w:line="480" w:lineRule="exact"/>
        <w:ind w:firstLine="640" w:firstLineChars="200"/>
        <w:rPr>
          <w:rFonts w:eastAsia="仿宋_GB2312"/>
          <w:sz w:val="32"/>
          <w:szCs w:val="32"/>
        </w:rPr>
      </w:pPr>
      <w:r>
        <w:rPr>
          <w:rFonts w:eastAsia="仿宋_GB2312"/>
          <w:sz w:val="32"/>
          <w:szCs w:val="32"/>
        </w:rPr>
        <w:t>申报试剂应在最低检出限或接近最低检出限的病毒浓度、对每种常见待测病毒亚型具有时间和区域特征性的至少3个不同来源的病毒（病毒株或临床样本）进行验证，总测试数不少于20次。</w:t>
      </w:r>
    </w:p>
    <w:p w14:paraId="7DA9543E">
      <w:pPr>
        <w:spacing w:line="480" w:lineRule="exact"/>
        <w:ind w:firstLine="640" w:firstLineChars="200"/>
        <w:rPr>
          <w:rFonts w:eastAsia="仿宋_GB2312"/>
          <w:sz w:val="32"/>
          <w:szCs w:val="32"/>
        </w:rPr>
      </w:pPr>
      <w:r>
        <w:rPr>
          <w:rFonts w:eastAsia="仿宋_GB2312"/>
          <w:sz w:val="32"/>
          <w:szCs w:val="32"/>
        </w:rPr>
        <w:t>4.包容性验证</w:t>
      </w:r>
    </w:p>
    <w:p w14:paraId="4A250D79">
      <w:pPr>
        <w:spacing w:line="480" w:lineRule="exact"/>
        <w:ind w:firstLine="640" w:firstLineChars="200"/>
        <w:rPr>
          <w:rFonts w:eastAsia="仿宋_GB2312"/>
          <w:sz w:val="32"/>
          <w:szCs w:val="32"/>
        </w:rPr>
      </w:pPr>
      <w:r>
        <w:rPr>
          <w:rFonts w:eastAsia="仿宋_GB2312"/>
          <w:sz w:val="32"/>
          <w:szCs w:val="32"/>
        </w:rPr>
        <w:t>建议申请人在病毒LoD水平上或附近对声称样本进行分析，证明试验能够检测代表时间和地理多样性的、每种病毒主要亚型至少3个不同来源的临床样本（推荐病毒亚型见表1）。包容性验证所用临床样本与最低检测限验证的样本不能重复使用。</w:t>
      </w:r>
    </w:p>
    <w:p w14:paraId="44E8CA61">
      <w:pPr>
        <w:spacing w:line="480" w:lineRule="exact"/>
        <w:ind w:firstLine="640" w:firstLineChars="200"/>
        <w:rPr>
          <w:rFonts w:eastAsia="仿宋_GB2312"/>
          <w:sz w:val="32"/>
          <w:szCs w:val="32"/>
        </w:rPr>
      </w:pPr>
      <w:r>
        <w:rPr>
          <w:rFonts w:eastAsia="仿宋_GB2312"/>
          <w:sz w:val="32"/>
          <w:szCs w:val="32"/>
        </w:rPr>
        <w:t>企业应能够提供用于包容性验证的病毒株的来源、型别确认、滴度确定等信息。</w:t>
      </w:r>
    </w:p>
    <w:p w14:paraId="64D96337">
      <w:pPr>
        <w:pStyle w:val="4"/>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5.干扰试验（分析特异性）</w:t>
      </w:r>
    </w:p>
    <w:p w14:paraId="60C3724F">
      <w:pPr>
        <w:spacing w:line="480" w:lineRule="exact"/>
        <w:ind w:firstLine="640" w:firstLineChars="200"/>
        <w:rPr>
          <w:rFonts w:eastAsia="仿宋_GB2312"/>
          <w:sz w:val="32"/>
          <w:szCs w:val="32"/>
        </w:rPr>
      </w:pPr>
      <w:r>
        <w:rPr>
          <w:rFonts w:eastAsia="仿宋_GB2312"/>
          <w:sz w:val="32"/>
          <w:szCs w:val="32"/>
        </w:rPr>
        <w:t>在本项试验中，申请人应充分评估整个系统即从核酸提取到扩增的全过程的分析特异性。用于分析特异性验证的样本应使用声称的样本类型基质，并包括每种申报的样本类型。</w:t>
      </w:r>
    </w:p>
    <w:p w14:paraId="03942348">
      <w:pPr>
        <w:spacing w:line="480" w:lineRule="exact"/>
        <w:ind w:firstLine="640" w:firstLineChars="200"/>
        <w:rPr>
          <w:rFonts w:eastAsia="仿宋_GB2312"/>
          <w:sz w:val="32"/>
          <w:szCs w:val="32"/>
        </w:rPr>
      </w:pPr>
      <w:r>
        <w:rPr>
          <w:rFonts w:eastAsia="仿宋_GB2312"/>
          <w:sz w:val="32"/>
          <w:szCs w:val="32"/>
        </w:rPr>
        <w:t>5.1内源/外源物质干扰</w:t>
      </w:r>
    </w:p>
    <w:p w14:paraId="4B3E8968">
      <w:pPr>
        <w:spacing w:line="480" w:lineRule="exact"/>
        <w:ind w:firstLine="640" w:firstLineChars="200"/>
        <w:rPr>
          <w:rFonts w:eastAsia="仿宋_GB2312"/>
          <w:sz w:val="32"/>
          <w:szCs w:val="32"/>
        </w:rPr>
      </w:pPr>
      <w:r>
        <w:rPr>
          <w:rFonts w:eastAsia="仿宋_GB2312"/>
          <w:sz w:val="32"/>
          <w:szCs w:val="32"/>
        </w:rPr>
        <w:t>应根据所采集样本类型，针对可能存在的干扰情况进行验证。建议申请人在每种干扰物质的潜在最大浓度（“最差条件”）条件下进行评价，并针对有代表性的呼吸道病毒亚型，在病毒临界阳性水平进行干扰试验验证。检测的潜在干扰物包括样本中的原有物质（如血液、鼻腔分泌物或粘膜，及用于缓解淤血、鼻噪、刺激或哮喘和过敏症状的鼻腔和咽喉药物）及在样本采集和制备期间引入的物质（推荐用于干扰性试验的物质见表2）。由于体外试验不一定能完全反映药物影响，在适用情况下可考虑替代性试验如评估临床实验中所纳入患者的用药影响，因此申请人也应评估其他常规或非处方药物及其代谢物。</w:t>
      </w:r>
    </w:p>
    <w:p w14:paraId="45FF0358">
      <w:pPr>
        <w:spacing w:line="560" w:lineRule="exact"/>
        <w:ind w:left="640"/>
        <w:jc w:val="center"/>
        <w:rPr>
          <w:rFonts w:eastAsia="黑体"/>
          <w:sz w:val="28"/>
          <w:szCs w:val="32"/>
        </w:rPr>
      </w:pPr>
      <w:r>
        <w:rPr>
          <w:rFonts w:eastAsia="黑体"/>
          <w:sz w:val="28"/>
          <w:szCs w:val="32"/>
        </w:rPr>
        <w:t>表2 推荐用于干扰试验的物质</w:t>
      </w:r>
    </w:p>
    <w:tbl>
      <w:tblPr>
        <w:tblStyle w:val="2"/>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5760"/>
      </w:tblGrid>
      <w:tr w14:paraId="7FC1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0F43F3C1">
            <w:pPr>
              <w:spacing w:line="560" w:lineRule="exact"/>
              <w:rPr>
                <w:rFonts w:eastAsia="黑体"/>
                <w:sz w:val="24"/>
              </w:rPr>
            </w:pPr>
            <w:r>
              <w:rPr>
                <w:rFonts w:eastAsia="黑体"/>
                <w:sz w:val="24"/>
              </w:rPr>
              <w:t>物质</w:t>
            </w:r>
          </w:p>
        </w:tc>
        <w:tc>
          <w:tcPr>
            <w:tcW w:w="5760" w:type="dxa"/>
          </w:tcPr>
          <w:p w14:paraId="33E913EC">
            <w:pPr>
              <w:spacing w:line="560" w:lineRule="exact"/>
              <w:rPr>
                <w:rFonts w:eastAsia="黑体"/>
                <w:sz w:val="24"/>
              </w:rPr>
            </w:pPr>
            <w:r>
              <w:rPr>
                <w:rFonts w:eastAsia="黑体"/>
                <w:sz w:val="24"/>
              </w:rPr>
              <w:t>活性成分</w:t>
            </w:r>
          </w:p>
        </w:tc>
      </w:tr>
      <w:tr w14:paraId="7D78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4D97ED9D">
            <w:pPr>
              <w:spacing w:line="560" w:lineRule="exact"/>
              <w:rPr>
                <w:rFonts w:eastAsia="仿宋_GB2312"/>
                <w:sz w:val="24"/>
              </w:rPr>
            </w:pPr>
            <w:r>
              <w:rPr>
                <w:rFonts w:eastAsia="仿宋_GB2312"/>
                <w:sz w:val="24"/>
              </w:rPr>
              <w:t>粘蛋白</w:t>
            </w:r>
          </w:p>
        </w:tc>
        <w:tc>
          <w:tcPr>
            <w:tcW w:w="5760" w:type="dxa"/>
          </w:tcPr>
          <w:p w14:paraId="034D9A8E">
            <w:pPr>
              <w:spacing w:line="560" w:lineRule="exact"/>
              <w:rPr>
                <w:rFonts w:eastAsia="仿宋_GB2312"/>
                <w:sz w:val="24"/>
              </w:rPr>
            </w:pPr>
            <w:r>
              <w:rPr>
                <w:rFonts w:eastAsia="仿宋_GB2312"/>
                <w:sz w:val="24"/>
              </w:rPr>
              <w:t>纯化粘蛋白</w:t>
            </w:r>
          </w:p>
        </w:tc>
      </w:tr>
      <w:tr w14:paraId="7F2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2BD71219">
            <w:pPr>
              <w:spacing w:line="560" w:lineRule="exact"/>
              <w:rPr>
                <w:rFonts w:eastAsia="仿宋_GB2312"/>
                <w:sz w:val="24"/>
              </w:rPr>
            </w:pPr>
            <w:r>
              <w:rPr>
                <w:rFonts w:eastAsia="仿宋_GB2312"/>
                <w:sz w:val="24"/>
              </w:rPr>
              <w:t>血液（人类）</w:t>
            </w:r>
          </w:p>
        </w:tc>
        <w:tc>
          <w:tcPr>
            <w:tcW w:w="5760" w:type="dxa"/>
          </w:tcPr>
          <w:p w14:paraId="28C6AAAB">
            <w:pPr>
              <w:spacing w:line="560" w:lineRule="exact"/>
              <w:rPr>
                <w:rFonts w:eastAsia="仿宋_GB2312"/>
                <w:sz w:val="24"/>
              </w:rPr>
            </w:pPr>
          </w:p>
        </w:tc>
      </w:tr>
      <w:tr w14:paraId="7DC9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39E02CAC">
            <w:pPr>
              <w:spacing w:line="560" w:lineRule="exact"/>
              <w:rPr>
                <w:rFonts w:eastAsia="仿宋_GB2312"/>
                <w:sz w:val="24"/>
              </w:rPr>
            </w:pPr>
            <w:r>
              <w:rPr>
                <w:rFonts w:eastAsia="仿宋_GB2312"/>
                <w:sz w:val="24"/>
              </w:rPr>
              <w:t>鼻腔喷雾剂或滴鼻剂</w:t>
            </w:r>
          </w:p>
        </w:tc>
        <w:tc>
          <w:tcPr>
            <w:tcW w:w="5760" w:type="dxa"/>
          </w:tcPr>
          <w:p w14:paraId="7047C0E8">
            <w:pPr>
              <w:pStyle w:val="5"/>
              <w:spacing w:line="560" w:lineRule="exact"/>
              <w:jc w:val="both"/>
              <w:rPr>
                <w:rFonts w:eastAsia="仿宋_GB2312"/>
                <w:color w:val="auto"/>
              </w:rPr>
            </w:pPr>
            <w:r>
              <w:rPr>
                <w:rFonts w:eastAsia="仿宋_GB2312"/>
                <w:color w:val="auto"/>
              </w:rPr>
              <w:t xml:space="preserve">苯福林、羟甲唑啉、氯化钠（含防腐剂） </w:t>
            </w:r>
          </w:p>
        </w:tc>
      </w:tr>
      <w:tr w14:paraId="1B61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43D5EFC6">
            <w:pPr>
              <w:spacing w:line="560" w:lineRule="exact"/>
              <w:rPr>
                <w:rFonts w:eastAsia="仿宋_GB2312"/>
                <w:sz w:val="24"/>
              </w:rPr>
            </w:pPr>
            <w:r>
              <w:rPr>
                <w:rFonts w:eastAsia="仿宋_GB2312"/>
                <w:sz w:val="24"/>
              </w:rPr>
              <w:t>鼻用皮肤类固醇</w:t>
            </w:r>
          </w:p>
        </w:tc>
        <w:tc>
          <w:tcPr>
            <w:tcW w:w="5760" w:type="dxa"/>
          </w:tcPr>
          <w:p w14:paraId="7F86043F">
            <w:pPr>
              <w:pStyle w:val="5"/>
              <w:spacing w:line="560" w:lineRule="exact"/>
              <w:jc w:val="both"/>
              <w:rPr>
                <w:rFonts w:eastAsia="仿宋_GB2312"/>
                <w:color w:val="auto"/>
              </w:rPr>
            </w:pPr>
            <w:r>
              <w:rPr>
                <w:rFonts w:eastAsia="仿宋_GB2312"/>
                <w:color w:val="auto"/>
              </w:rPr>
              <w:t xml:space="preserve">倍氯美松、地塞米松、氟尼缩松、曲安奈德、布地奈德、莫米松、氟替卡松 </w:t>
            </w:r>
          </w:p>
        </w:tc>
      </w:tr>
      <w:tr w14:paraId="003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2345EFB3">
            <w:pPr>
              <w:spacing w:line="560" w:lineRule="exact"/>
              <w:rPr>
                <w:rFonts w:eastAsia="仿宋_GB2312"/>
                <w:sz w:val="24"/>
              </w:rPr>
            </w:pPr>
            <w:r>
              <w:rPr>
                <w:rFonts w:eastAsia="仿宋_GB2312"/>
                <w:kern w:val="0"/>
                <w:sz w:val="24"/>
              </w:rPr>
              <w:t>过敏性症状缓解药物</w:t>
            </w:r>
          </w:p>
        </w:tc>
        <w:tc>
          <w:tcPr>
            <w:tcW w:w="5760" w:type="dxa"/>
          </w:tcPr>
          <w:p w14:paraId="034FA393">
            <w:pPr>
              <w:pStyle w:val="5"/>
              <w:spacing w:line="560" w:lineRule="exact"/>
              <w:jc w:val="both"/>
              <w:rPr>
                <w:rFonts w:eastAsia="仿宋_GB2312"/>
                <w:color w:val="auto"/>
              </w:rPr>
            </w:pPr>
            <w:r>
              <w:rPr>
                <w:rFonts w:eastAsia="仿宋_GB2312"/>
                <w:color w:val="auto"/>
              </w:rPr>
              <w:t>盐酸组胺</w:t>
            </w:r>
          </w:p>
        </w:tc>
      </w:tr>
      <w:tr w14:paraId="5AD4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39670212">
            <w:pPr>
              <w:spacing w:line="560" w:lineRule="exact"/>
              <w:rPr>
                <w:rFonts w:eastAsia="仿宋_GB2312"/>
                <w:sz w:val="24"/>
              </w:rPr>
            </w:pPr>
            <w:r>
              <w:rPr>
                <w:rFonts w:eastAsia="仿宋_GB2312"/>
                <w:sz w:val="24"/>
              </w:rPr>
              <w:t>流感疫苗</w:t>
            </w:r>
          </w:p>
        </w:tc>
        <w:tc>
          <w:tcPr>
            <w:tcW w:w="5760" w:type="dxa"/>
          </w:tcPr>
          <w:p w14:paraId="4FBE87EC">
            <w:pPr>
              <w:pStyle w:val="5"/>
              <w:spacing w:line="560" w:lineRule="exact"/>
              <w:jc w:val="both"/>
              <w:rPr>
                <w:rFonts w:eastAsia="仿宋_GB2312"/>
                <w:color w:val="auto"/>
              </w:rPr>
            </w:pPr>
            <w:r>
              <w:rPr>
                <w:rFonts w:eastAsia="仿宋_GB2312"/>
                <w:color w:val="auto"/>
              </w:rPr>
              <w:t>鼻内活流感病毒疫苗</w:t>
            </w:r>
          </w:p>
        </w:tc>
      </w:tr>
      <w:tr w14:paraId="4C8C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3C3CBF73">
            <w:pPr>
              <w:spacing w:line="560" w:lineRule="exact"/>
              <w:rPr>
                <w:rFonts w:eastAsia="仿宋_GB2312"/>
                <w:sz w:val="24"/>
              </w:rPr>
            </w:pPr>
            <w:r>
              <w:rPr>
                <w:rFonts w:eastAsia="仿宋_GB2312"/>
                <w:kern w:val="0"/>
                <w:sz w:val="24"/>
              </w:rPr>
              <w:t>润喉片</w:t>
            </w:r>
            <w:r>
              <w:rPr>
                <w:rFonts w:eastAsia="仿宋_GB2312"/>
                <w:sz w:val="24"/>
              </w:rPr>
              <w:t>、口服麻醉剂和镇痛剂</w:t>
            </w:r>
          </w:p>
        </w:tc>
        <w:tc>
          <w:tcPr>
            <w:tcW w:w="5760" w:type="dxa"/>
          </w:tcPr>
          <w:p w14:paraId="374AA87B">
            <w:pPr>
              <w:pStyle w:val="5"/>
              <w:spacing w:line="560" w:lineRule="exact"/>
              <w:jc w:val="both"/>
              <w:rPr>
                <w:rFonts w:eastAsia="仿宋_GB2312"/>
                <w:color w:val="auto"/>
              </w:rPr>
            </w:pPr>
            <w:r>
              <w:rPr>
                <w:rFonts w:eastAsia="仿宋_GB2312"/>
                <w:color w:val="auto"/>
              </w:rPr>
              <w:t>苯佐卡因、薄荷脑</w:t>
            </w:r>
          </w:p>
        </w:tc>
      </w:tr>
      <w:tr w14:paraId="224C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66110A55">
            <w:pPr>
              <w:spacing w:line="560" w:lineRule="exact"/>
              <w:rPr>
                <w:rFonts w:eastAsia="仿宋_GB2312"/>
                <w:sz w:val="24"/>
              </w:rPr>
            </w:pPr>
            <w:r>
              <w:rPr>
                <w:rFonts w:eastAsia="仿宋_GB2312"/>
                <w:sz w:val="24"/>
              </w:rPr>
              <w:t>抗病毒药物</w:t>
            </w:r>
          </w:p>
        </w:tc>
        <w:tc>
          <w:tcPr>
            <w:tcW w:w="5760" w:type="dxa"/>
          </w:tcPr>
          <w:p w14:paraId="76905306">
            <w:pPr>
              <w:pStyle w:val="5"/>
              <w:spacing w:line="560" w:lineRule="exact"/>
              <w:jc w:val="both"/>
              <w:rPr>
                <w:rFonts w:eastAsia="仿宋_GB2312"/>
                <w:color w:val="auto"/>
              </w:rPr>
            </w:pPr>
            <w:r>
              <w:rPr>
                <w:rFonts w:eastAsia="仿宋_GB2312"/>
                <w:color w:val="auto"/>
              </w:rPr>
              <w:t>扎那米韦、利巴韦林、奥司他韦、帕拉米韦</w:t>
            </w:r>
          </w:p>
        </w:tc>
      </w:tr>
      <w:tr w14:paraId="3F17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19BC1919">
            <w:pPr>
              <w:spacing w:line="560" w:lineRule="exact"/>
              <w:rPr>
                <w:rFonts w:eastAsia="仿宋_GB2312"/>
                <w:sz w:val="24"/>
              </w:rPr>
            </w:pPr>
            <w:r>
              <w:rPr>
                <w:rFonts w:eastAsia="仿宋_GB2312"/>
                <w:sz w:val="24"/>
              </w:rPr>
              <w:t>抗生素、鼻用软膏</w:t>
            </w:r>
          </w:p>
        </w:tc>
        <w:tc>
          <w:tcPr>
            <w:tcW w:w="5760" w:type="dxa"/>
          </w:tcPr>
          <w:p w14:paraId="2673F94A">
            <w:pPr>
              <w:spacing w:line="560" w:lineRule="exact"/>
              <w:rPr>
                <w:rFonts w:eastAsia="仿宋_GB2312"/>
                <w:sz w:val="24"/>
              </w:rPr>
            </w:pPr>
            <w:r>
              <w:rPr>
                <w:rFonts w:eastAsia="仿宋_GB2312"/>
                <w:sz w:val="24"/>
              </w:rPr>
              <w:t>莫匹罗星</w:t>
            </w:r>
          </w:p>
        </w:tc>
      </w:tr>
      <w:tr w14:paraId="2C0E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3D63D8A1">
            <w:pPr>
              <w:spacing w:line="560" w:lineRule="exact"/>
              <w:rPr>
                <w:rFonts w:eastAsia="仿宋_GB2312"/>
                <w:sz w:val="24"/>
              </w:rPr>
            </w:pPr>
            <w:r>
              <w:rPr>
                <w:rFonts w:eastAsia="仿宋_GB2312"/>
                <w:sz w:val="24"/>
              </w:rPr>
              <w:t>全身性抗菌药</w:t>
            </w:r>
          </w:p>
        </w:tc>
        <w:tc>
          <w:tcPr>
            <w:tcW w:w="5760" w:type="dxa"/>
          </w:tcPr>
          <w:p w14:paraId="5C07D31A">
            <w:pPr>
              <w:spacing w:line="560" w:lineRule="exact"/>
              <w:rPr>
                <w:rFonts w:eastAsia="仿宋_GB2312"/>
                <w:sz w:val="24"/>
              </w:rPr>
            </w:pPr>
            <w:r>
              <w:rPr>
                <w:rFonts w:eastAsia="仿宋_GB2312"/>
                <w:sz w:val="24"/>
              </w:rPr>
              <w:t>妥布霉素</w:t>
            </w:r>
          </w:p>
        </w:tc>
      </w:tr>
    </w:tbl>
    <w:p w14:paraId="3AE2308B">
      <w:pPr>
        <w:spacing w:line="480" w:lineRule="exact"/>
        <w:ind w:firstLine="640" w:firstLineChars="200"/>
        <w:rPr>
          <w:rFonts w:eastAsia="仿宋_GB2312"/>
          <w:sz w:val="32"/>
          <w:szCs w:val="32"/>
        </w:rPr>
      </w:pPr>
      <w:r>
        <w:rPr>
          <w:rFonts w:eastAsia="仿宋_GB2312"/>
          <w:sz w:val="32"/>
          <w:szCs w:val="32"/>
        </w:rPr>
        <w:t>5.2竞争性干扰</w:t>
      </w:r>
    </w:p>
    <w:p w14:paraId="04F61849">
      <w:pPr>
        <w:spacing w:line="480" w:lineRule="exact"/>
        <w:ind w:firstLine="640" w:firstLineChars="200"/>
        <w:rPr>
          <w:rFonts w:eastAsia="仿宋_GB2312"/>
          <w:sz w:val="32"/>
          <w:szCs w:val="32"/>
        </w:rPr>
      </w:pPr>
      <w:r>
        <w:rPr>
          <w:rFonts w:eastAsia="仿宋_GB2312"/>
          <w:sz w:val="32"/>
          <w:szCs w:val="32"/>
        </w:rPr>
        <w:t>申请人应充分考虑临床上常见的呼吸道病毒混合感染情况下（如甲型流感病毒与呼吸道合胞病毒），高浓度分析物对低浓度分析物检测的影响。建议申请人结合申报试剂的反应模式，使用一种</w:t>
      </w:r>
      <w:bookmarkStart w:id="2" w:name="OLE_LINK3"/>
      <w:bookmarkStart w:id="3" w:name="OLE_LINK4"/>
      <w:r>
        <w:rPr>
          <w:rFonts w:eastAsia="仿宋_GB2312"/>
          <w:sz w:val="32"/>
          <w:szCs w:val="32"/>
        </w:rPr>
        <w:t>最低检测限</w:t>
      </w:r>
      <w:bookmarkEnd w:id="2"/>
      <w:bookmarkEnd w:id="3"/>
      <w:r>
        <w:rPr>
          <w:rFonts w:eastAsia="仿宋_GB2312"/>
          <w:sz w:val="32"/>
          <w:szCs w:val="32"/>
        </w:rPr>
        <w:t>浓度的分析物和一种高浓度分析物评估竞争性干扰，竞争性感染的病毒组合建议为同一反应体系内病毒、常见重症感染病毒及常见混合感染病毒（如IFV A和RhV、IFV B和RhV、IFV A和PIV、EV和RhV、PIV和HRV、以及其他的多重感染等）。竞争性干扰试验可与最低检测限、重复性或其他干扰试验同时进行。</w:t>
      </w:r>
    </w:p>
    <w:p w14:paraId="4C55428A">
      <w:pPr>
        <w:spacing w:line="480" w:lineRule="exact"/>
        <w:ind w:firstLine="640" w:firstLineChars="200"/>
        <w:rPr>
          <w:rFonts w:eastAsia="仿宋_GB2312"/>
          <w:sz w:val="32"/>
          <w:szCs w:val="32"/>
        </w:rPr>
      </w:pPr>
      <w:r>
        <w:rPr>
          <w:rFonts w:eastAsia="仿宋_GB2312"/>
          <w:sz w:val="32"/>
          <w:szCs w:val="32"/>
        </w:rPr>
        <w:t>6.交叉反应</w:t>
      </w:r>
    </w:p>
    <w:p w14:paraId="1BF8CF45">
      <w:pPr>
        <w:spacing w:line="480" w:lineRule="exact"/>
        <w:ind w:firstLine="640" w:firstLineChars="200"/>
        <w:rPr>
          <w:rFonts w:eastAsia="仿宋_GB2312"/>
          <w:sz w:val="32"/>
          <w:szCs w:val="32"/>
        </w:rPr>
      </w:pPr>
      <w:r>
        <w:rPr>
          <w:rFonts w:eastAsia="仿宋_GB2312"/>
          <w:sz w:val="32"/>
          <w:szCs w:val="32"/>
        </w:rPr>
        <w:t>6.1与试剂盒中其他病毒的交叉反应性</w:t>
      </w:r>
    </w:p>
    <w:p w14:paraId="60E7CEF1">
      <w:pPr>
        <w:spacing w:line="480" w:lineRule="exact"/>
        <w:ind w:firstLine="640" w:firstLineChars="200"/>
        <w:rPr>
          <w:rFonts w:eastAsia="仿宋_GB2312"/>
          <w:sz w:val="32"/>
          <w:szCs w:val="32"/>
        </w:rPr>
      </w:pPr>
      <w:r>
        <w:rPr>
          <w:rFonts w:eastAsia="仿宋_GB2312"/>
          <w:sz w:val="32"/>
          <w:szCs w:val="32"/>
        </w:rPr>
        <w:t>建议申请人充分验证试剂盒中可检测病毒及亚型之间的交叉反应性，应使用病毒最高临床水平浓度进行。</w:t>
      </w:r>
    </w:p>
    <w:p w14:paraId="6D8223D8">
      <w:pPr>
        <w:spacing w:line="480" w:lineRule="exact"/>
        <w:ind w:firstLine="640" w:firstLineChars="200"/>
        <w:rPr>
          <w:rFonts w:eastAsia="仿宋_GB2312"/>
          <w:sz w:val="32"/>
          <w:szCs w:val="32"/>
        </w:rPr>
      </w:pPr>
      <w:r>
        <w:rPr>
          <w:rFonts w:eastAsia="仿宋_GB2312"/>
          <w:sz w:val="32"/>
          <w:szCs w:val="32"/>
        </w:rPr>
        <w:t>6.2与不在试剂盒检测范围中的病原体的交叉反应性</w:t>
      </w:r>
    </w:p>
    <w:p w14:paraId="3CA3F24E">
      <w:pPr>
        <w:spacing w:line="480" w:lineRule="exact"/>
        <w:ind w:firstLine="640" w:firstLineChars="200"/>
        <w:rPr>
          <w:rFonts w:eastAsia="仿宋_GB2312"/>
          <w:sz w:val="28"/>
          <w:szCs w:val="28"/>
        </w:rPr>
      </w:pPr>
      <w:r>
        <w:rPr>
          <w:rFonts w:eastAsia="仿宋_GB2312"/>
          <w:sz w:val="32"/>
          <w:szCs w:val="32"/>
        </w:rPr>
        <w:t>申请人应针对可能出现在检测样本中的病原体（如采样部位常见微生物、其他呼吸道感染病原体等）进行交叉反应验证。用于交叉反应验证的样品，应尽量采用灭活病原体或临床样本。建议在病毒和细菌感染的医学相关水平进行交叉反应的验证，申请人应详细说明交叉反应样本来源、病原体鉴定和滴度确定的方法和结果。病原体种类主要考虑以下几方面：试剂盒检测范围以外的其他呼吸道病原体、感染人群呼吸道样本中的其他微生物（如EBV和CMV）、样本中可能出现的其他病原体。</w:t>
      </w:r>
    </w:p>
    <w:p w14:paraId="1E376C09">
      <w:pPr>
        <w:spacing w:line="560" w:lineRule="exact"/>
        <w:ind w:firstLine="560"/>
        <w:jc w:val="center"/>
        <w:rPr>
          <w:sz w:val="24"/>
        </w:rPr>
      </w:pPr>
      <w:r>
        <w:rPr>
          <w:rFonts w:eastAsia="黑体"/>
          <w:sz w:val="28"/>
          <w:szCs w:val="28"/>
        </w:rPr>
        <w:t>表3 推荐用于交叉反应的病原体</w:t>
      </w:r>
    </w:p>
    <w:tbl>
      <w:tblPr>
        <w:tblStyle w:val="2"/>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2700"/>
        <w:gridCol w:w="3194"/>
      </w:tblGrid>
      <w:tr w14:paraId="0B92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5F921B0">
            <w:pPr>
              <w:spacing w:line="560" w:lineRule="exact"/>
              <w:jc w:val="center"/>
              <w:rPr>
                <w:rFonts w:eastAsia="仿宋_GB2312"/>
                <w:sz w:val="24"/>
              </w:rPr>
            </w:pPr>
            <w:r>
              <w:rPr>
                <w:rFonts w:eastAsia="仿宋_GB2312"/>
                <w:sz w:val="24"/>
              </w:rPr>
              <w:t>博卡病毒</w:t>
            </w:r>
          </w:p>
        </w:tc>
        <w:tc>
          <w:tcPr>
            <w:tcW w:w="2700" w:type="dxa"/>
          </w:tcPr>
          <w:p w14:paraId="63C0FF21">
            <w:pPr>
              <w:spacing w:line="560" w:lineRule="exact"/>
              <w:jc w:val="center"/>
              <w:rPr>
                <w:rFonts w:eastAsia="仿宋_GB2312"/>
                <w:sz w:val="24"/>
              </w:rPr>
            </w:pPr>
            <w:r>
              <w:rPr>
                <w:rFonts w:eastAsia="仿宋_GB2312"/>
                <w:sz w:val="24"/>
              </w:rPr>
              <w:t>肺炎支原体</w:t>
            </w:r>
          </w:p>
        </w:tc>
        <w:tc>
          <w:tcPr>
            <w:tcW w:w="3194" w:type="dxa"/>
          </w:tcPr>
          <w:p w14:paraId="7BF6EE59">
            <w:pPr>
              <w:spacing w:line="560" w:lineRule="exact"/>
              <w:jc w:val="center"/>
              <w:rPr>
                <w:rFonts w:eastAsia="仿宋_GB2312"/>
                <w:sz w:val="24"/>
              </w:rPr>
            </w:pPr>
            <w:r>
              <w:rPr>
                <w:rFonts w:eastAsia="仿宋_GB2312"/>
                <w:sz w:val="24"/>
              </w:rPr>
              <w:t>诺卡菌＊</w:t>
            </w:r>
          </w:p>
        </w:tc>
      </w:tr>
      <w:tr w14:paraId="67A9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49D7A08">
            <w:pPr>
              <w:spacing w:line="560" w:lineRule="exact"/>
              <w:jc w:val="center"/>
              <w:rPr>
                <w:rFonts w:eastAsia="仿宋_GB2312"/>
                <w:sz w:val="24"/>
              </w:rPr>
            </w:pPr>
            <w:r>
              <w:rPr>
                <w:rFonts w:eastAsia="仿宋_GB2312"/>
                <w:sz w:val="24"/>
              </w:rPr>
              <w:t>巨细胞病毒</w:t>
            </w:r>
          </w:p>
        </w:tc>
        <w:tc>
          <w:tcPr>
            <w:tcW w:w="2700" w:type="dxa"/>
          </w:tcPr>
          <w:p w14:paraId="6A4FB55B">
            <w:pPr>
              <w:spacing w:line="560" w:lineRule="exact"/>
              <w:jc w:val="center"/>
              <w:rPr>
                <w:rFonts w:eastAsia="仿宋_GB2312"/>
                <w:sz w:val="24"/>
              </w:rPr>
            </w:pPr>
            <w:r>
              <w:rPr>
                <w:rFonts w:eastAsia="仿宋_GB2312"/>
                <w:sz w:val="24"/>
              </w:rPr>
              <w:t>脑膜炎奈瑟菌＊</w:t>
            </w:r>
          </w:p>
        </w:tc>
        <w:tc>
          <w:tcPr>
            <w:tcW w:w="3194" w:type="dxa"/>
          </w:tcPr>
          <w:p w14:paraId="249B4F5E">
            <w:pPr>
              <w:spacing w:line="560" w:lineRule="exact"/>
              <w:jc w:val="center"/>
              <w:rPr>
                <w:rFonts w:eastAsia="仿宋_GB2312"/>
                <w:sz w:val="24"/>
              </w:rPr>
            </w:pPr>
            <w:r>
              <w:rPr>
                <w:rFonts w:eastAsia="仿宋_GB2312"/>
                <w:sz w:val="24"/>
              </w:rPr>
              <w:t>粘质沙雷菌＊</w:t>
            </w:r>
          </w:p>
        </w:tc>
      </w:tr>
      <w:tr w14:paraId="0D7F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3FEE74D5">
            <w:pPr>
              <w:spacing w:line="560" w:lineRule="exact"/>
              <w:jc w:val="center"/>
              <w:rPr>
                <w:rFonts w:eastAsia="仿宋_GB2312"/>
                <w:sz w:val="24"/>
              </w:rPr>
            </w:pPr>
            <w:r>
              <w:rPr>
                <w:rFonts w:eastAsia="仿宋_GB2312"/>
                <w:sz w:val="24"/>
              </w:rPr>
              <w:t>单纯疱疹病毒1型</w:t>
            </w:r>
          </w:p>
        </w:tc>
        <w:tc>
          <w:tcPr>
            <w:tcW w:w="2700" w:type="dxa"/>
          </w:tcPr>
          <w:p w14:paraId="7AF46EEF">
            <w:pPr>
              <w:spacing w:line="560" w:lineRule="exact"/>
              <w:jc w:val="center"/>
              <w:rPr>
                <w:rFonts w:eastAsia="仿宋_GB2312"/>
                <w:sz w:val="24"/>
              </w:rPr>
            </w:pPr>
            <w:r>
              <w:rPr>
                <w:rFonts w:eastAsia="仿宋_GB2312"/>
                <w:sz w:val="24"/>
              </w:rPr>
              <w:t>奈瑟氏菌属</w:t>
            </w:r>
          </w:p>
        </w:tc>
        <w:tc>
          <w:tcPr>
            <w:tcW w:w="3194" w:type="dxa"/>
          </w:tcPr>
          <w:p w14:paraId="687E9AFF">
            <w:pPr>
              <w:spacing w:line="560" w:lineRule="exact"/>
              <w:jc w:val="center"/>
              <w:rPr>
                <w:rFonts w:eastAsia="仿宋_GB2312"/>
                <w:sz w:val="24"/>
              </w:rPr>
            </w:pPr>
            <w:r>
              <w:rPr>
                <w:rFonts w:eastAsia="仿宋_GB2312"/>
                <w:sz w:val="24"/>
              </w:rPr>
              <w:t>柠檬酸杆菌＊</w:t>
            </w:r>
          </w:p>
        </w:tc>
      </w:tr>
      <w:tr w14:paraId="0346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061F0099">
            <w:pPr>
              <w:spacing w:line="560" w:lineRule="exact"/>
              <w:jc w:val="center"/>
              <w:rPr>
                <w:rFonts w:eastAsia="仿宋_GB2312"/>
                <w:sz w:val="24"/>
              </w:rPr>
            </w:pPr>
            <w:r>
              <w:rPr>
                <w:rFonts w:eastAsia="仿宋_GB2312"/>
                <w:sz w:val="24"/>
              </w:rPr>
              <w:t>水痘带状疱疹病毒</w:t>
            </w:r>
          </w:p>
        </w:tc>
        <w:tc>
          <w:tcPr>
            <w:tcW w:w="2700" w:type="dxa"/>
          </w:tcPr>
          <w:p w14:paraId="2100EB53">
            <w:pPr>
              <w:spacing w:line="560" w:lineRule="exact"/>
              <w:jc w:val="center"/>
              <w:rPr>
                <w:rFonts w:eastAsia="仿宋_GB2312"/>
                <w:sz w:val="24"/>
              </w:rPr>
            </w:pPr>
            <w:r>
              <w:rPr>
                <w:rFonts w:eastAsia="仿宋_GB2312"/>
                <w:sz w:val="24"/>
              </w:rPr>
              <w:t>铜绿假单胞菌＊</w:t>
            </w:r>
          </w:p>
        </w:tc>
        <w:tc>
          <w:tcPr>
            <w:tcW w:w="3194" w:type="dxa"/>
          </w:tcPr>
          <w:p w14:paraId="2D5FFC9A">
            <w:pPr>
              <w:spacing w:line="560" w:lineRule="exact"/>
              <w:jc w:val="center"/>
              <w:rPr>
                <w:rFonts w:eastAsia="仿宋_GB2312"/>
                <w:sz w:val="24"/>
              </w:rPr>
            </w:pPr>
            <w:r>
              <w:rPr>
                <w:rFonts w:eastAsia="仿宋_GB2312"/>
                <w:sz w:val="24"/>
              </w:rPr>
              <w:t>隐球菌＊</w:t>
            </w:r>
          </w:p>
        </w:tc>
      </w:tr>
      <w:tr w14:paraId="55C6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19A45D62">
            <w:pPr>
              <w:spacing w:line="560" w:lineRule="exact"/>
              <w:jc w:val="center"/>
              <w:rPr>
                <w:rFonts w:eastAsia="仿宋_GB2312"/>
                <w:sz w:val="24"/>
              </w:rPr>
            </w:pPr>
            <w:r>
              <w:rPr>
                <w:rFonts w:eastAsia="仿宋_GB2312"/>
                <w:sz w:val="24"/>
              </w:rPr>
              <w:t>EB病毒</w:t>
            </w:r>
          </w:p>
        </w:tc>
        <w:tc>
          <w:tcPr>
            <w:tcW w:w="2700" w:type="dxa"/>
          </w:tcPr>
          <w:p w14:paraId="1927032A">
            <w:pPr>
              <w:spacing w:line="560" w:lineRule="exact"/>
              <w:jc w:val="center"/>
              <w:rPr>
                <w:rFonts w:eastAsia="仿宋_GB2312"/>
                <w:sz w:val="24"/>
              </w:rPr>
            </w:pPr>
            <w:r>
              <w:rPr>
                <w:rFonts w:eastAsia="仿宋_GB2312"/>
                <w:sz w:val="24"/>
              </w:rPr>
              <w:t>金黄色葡萄球菌</w:t>
            </w:r>
          </w:p>
        </w:tc>
        <w:tc>
          <w:tcPr>
            <w:tcW w:w="3194" w:type="dxa"/>
          </w:tcPr>
          <w:p w14:paraId="2F2382EE">
            <w:pPr>
              <w:spacing w:line="560" w:lineRule="exact"/>
              <w:jc w:val="center"/>
              <w:rPr>
                <w:rFonts w:eastAsia="仿宋_GB2312"/>
                <w:sz w:val="24"/>
              </w:rPr>
            </w:pPr>
            <w:r>
              <w:rPr>
                <w:rFonts w:eastAsia="仿宋_GB2312"/>
                <w:sz w:val="24"/>
              </w:rPr>
              <w:t>烟曲霉＊</w:t>
            </w:r>
          </w:p>
        </w:tc>
      </w:tr>
      <w:tr w14:paraId="2F1F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1FC6910E">
            <w:pPr>
              <w:spacing w:line="560" w:lineRule="exact"/>
              <w:jc w:val="center"/>
              <w:rPr>
                <w:rFonts w:eastAsia="仿宋_GB2312"/>
                <w:sz w:val="24"/>
              </w:rPr>
            </w:pPr>
            <w:r>
              <w:rPr>
                <w:rFonts w:eastAsia="仿宋_GB2312"/>
                <w:sz w:val="24"/>
              </w:rPr>
              <w:t>百日咳杆菌</w:t>
            </w:r>
          </w:p>
        </w:tc>
        <w:tc>
          <w:tcPr>
            <w:tcW w:w="2700" w:type="dxa"/>
          </w:tcPr>
          <w:p w14:paraId="5C6A6E33">
            <w:pPr>
              <w:spacing w:line="560" w:lineRule="exact"/>
              <w:jc w:val="center"/>
              <w:rPr>
                <w:rFonts w:eastAsia="仿宋_GB2312"/>
                <w:sz w:val="24"/>
              </w:rPr>
            </w:pPr>
            <w:r>
              <w:rPr>
                <w:rFonts w:eastAsia="仿宋_GB2312"/>
                <w:sz w:val="24"/>
              </w:rPr>
              <w:t>表皮葡萄球菌</w:t>
            </w:r>
          </w:p>
        </w:tc>
        <w:tc>
          <w:tcPr>
            <w:tcW w:w="3194" w:type="dxa"/>
          </w:tcPr>
          <w:p w14:paraId="628BE8C0">
            <w:pPr>
              <w:spacing w:line="560" w:lineRule="exact"/>
              <w:jc w:val="center"/>
              <w:rPr>
                <w:rFonts w:eastAsia="仿宋_GB2312"/>
                <w:sz w:val="24"/>
              </w:rPr>
            </w:pPr>
            <w:r>
              <w:rPr>
                <w:rFonts w:eastAsia="仿宋_GB2312"/>
                <w:sz w:val="24"/>
              </w:rPr>
              <w:t>黄曲霉＊</w:t>
            </w:r>
          </w:p>
        </w:tc>
      </w:tr>
      <w:tr w14:paraId="7B8C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5EB2755">
            <w:pPr>
              <w:spacing w:line="560" w:lineRule="exact"/>
              <w:jc w:val="center"/>
              <w:rPr>
                <w:rFonts w:eastAsia="仿宋_GB2312"/>
                <w:sz w:val="24"/>
              </w:rPr>
            </w:pPr>
            <w:r>
              <w:rPr>
                <w:rFonts w:eastAsia="仿宋_GB2312"/>
                <w:sz w:val="24"/>
              </w:rPr>
              <w:t>肺炎衣原体</w:t>
            </w:r>
          </w:p>
        </w:tc>
        <w:tc>
          <w:tcPr>
            <w:tcW w:w="2700" w:type="dxa"/>
          </w:tcPr>
          <w:p w14:paraId="00AB77BA">
            <w:pPr>
              <w:spacing w:line="560" w:lineRule="exact"/>
              <w:jc w:val="center"/>
              <w:rPr>
                <w:rFonts w:eastAsia="仿宋_GB2312"/>
                <w:sz w:val="24"/>
              </w:rPr>
            </w:pPr>
            <w:r>
              <w:rPr>
                <w:rFonts w:eastAsia="仿宋_GB2312"/>
                <w:sz w:val="24"/>
              </w:rPr>
              <w:t>肺炎链球菌</w:t>
            </w:r>
          </w:p>
        </w:tc>
        <w:tc>
          <w:tcPr>
            <w:tcW w:w="3194" w:type="dxa"/>
          </w:tcPr>
          <w:p w14:paraId="333E6C29">
            <w:pPr>
              <w:spacing w:line="560" w:lineRule="exact"/>
              <w:jc w:val="center"/>
              <w:rPr>
                <w:rFonts w:eastAsia="仿宋_GB2312"/>
                <w:sz w:val="24"/>
              </w:rPr>
            </w:pPr>
            <w:r>
              <w:rPr>
                <w:rFonts w:eastAsia="仿宋_GB2312"/>
                <w:sz w:val="24"/>
              </w:rPr>
              <w:t>肺孢子菌</w:t>
            </w:r>
          </w:p>
        </w:tc>
      </w:tr>
      <w:tr w14:paraId="7DF5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7CCF81C5">
            <w:pPr>
              <w:spacing w:line="560" w:lineRule="exact"/>
              <w:jc w:val="center"/>
              <w:rPr>
                <w:rFonts w:eastAsia="仿宋_GB2312"/>
                <w:sz w:val="24"/>
              </w:rPr>
            </w:pPr>
            <w:r>
              <w:rPr>
                <w:rFonts w:eastAsia="仿宋_GB2312"/>
                <w:sz w:val="24"/>
              </w:rPr>
              <w:t>棒状杆菌属</w:t>
            </w:r>
          </w:p>
        </w:tc>
        <w:tc>
          <w:tcPr>
            <w:tcW w:w="2700" w:type="dxa"/>
          </w:tcPr>
          <w:p w14:paraId="3783DCB7">
            <w:pPr>
              <w:spacing w:line="560" w:lineRule="exact"/>
              <w:jc w:val="center"/>
              <w:rPr>
                <w:rFonts w:eastAsia="仿宋_GB2312"/>
                <w:sz w:val="24"/>
              </w:rPr>
            </w:pPr>
            <w:r>
              <w:rPr>
                <w:rFonts w:eastAsia="仿宋_GB2312"/>
                <w:sz w:val="24"/>
              </w:rPr>
              <w:t>化脓性链球菌</w:t>
            </w:r>
          </w:p>
        </w:tc>
        <w:tc>
          <w:tcPr>
            <w:tcW w:w="3194" w:type="dxa"/>
          </w:tcPr>
          <w:p w14:paraId="4C878CCF">
            <w:pPr>
              <w:spacing w:line="560" w:lineRule="exact"/>
              <w:jc w:val="center"/>
              <w:rPr>
                <w:rFonts w:eastAsia="仿宋_GB2312"/>
                <w:sz w:val="24"/>
              </w:rPr>
            </w:pPr>
            <w:r>
              <w:rPr>
                <w:rFonts w:eastAsia="仿宋_GB2312"/>
                <w:sz w:val="24"/>
              </w:rPr>
              <w:t>白念珠菌</w:t>
            </w:r>
          </w:p>
        </w:tc>
      </w:tr>
      <w:tr w14:paraId="3CA1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923941C">
            <w:pPr>
              <w:spacing w:line="560" w:lineRule="exact"/>
              <w:jc w:val="center"/>
              <w:rPr>
                <w:rFonts w:eastAsia="仿宋_GB2312"/>
                <w:sz w:val="24"/>
              </w:rPr>
            </w:pPr>
            <w:r>
              <w:rPr>
                <w:rFonts w:eastAsia="仿宋_GB2312"/>
                <w:sz w:val="24"/>
              </w:rPr>
              <w:t>大肠杆菌＊</w:t>
            </w:r>
          </w:p>
        </w:tc>
        <w:tc>
          <w:tcPr>
            <w:tcW w:w="2700" w:type="dxa"/>
          </w:tcPr>
          <w:p w14:paraId="5EF465D4">
            <w:pPr>
              <w:spacing w:line="560" w:lineRule="exact"/>
              <w:jc w:val="center"/>
              <w:rPr>
                <w:rFonts w:eastAsia="仿宋_GB2312"/>
                <w:sz w:val="24"/>
              </w:rPr>
            </w:pPr>
            <w:r>
              <w:rPr>
                <w:rFonts w:eastAsia="仿宋_GB2312"/>
                <w:sz w:val="24"/>
              </w:rPr>
              <w:t>唾液链球菌</w:t>
            </w:r>
          </w:p>
        </w:tc>
        <w:tc>
          <w:tcPr>
            <w:tcW w:w="3194" w:type="dxa"/>
          </w:tcPr>
          <w:p w14:paraId="531E6551">
            <w:pPr>
              <w:spacing w:line="560" w:lineRule="exact"/>
              <w:jc w:val="center"/>
              <w:rPr>
                <w:rFonts w:eastAsia="仿宋_GB2312"/>
                <w:sz w:val="24"/>
              </w:rPr>
            </w:pPr>
            <w:r>
              <w:rPr>
                <w:rFonts w:eastAsia="仿宋_GB2312"/>
                <w:sz w:val="24"/>
              </w:rPr>
              <w:t>粘液罗氏菌＊</w:t>
            </w:r>
          </w:p>
        </w:tc>
      </w:tr>
      <w:tr w14:paraId="24F9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7A1EC75C">
            <w:pPr>
              <w:spacing w:line="560" w:lineRule="exact"/>
              <w:jc w:val="center"/>
              <w:rPr>
                <w:rFonts w:eastAsia="仿宋_GB2312"/>
                <w:sz w:val="24"/>
              </w:rPr>
            </w:pPr>
            <w:r>
              <w:rPr>
                <w:rFonts w:eastAsia="仿宋_GB2312"/>
                <w:sz w:val="24"/>
              </w:rPr>
              <w:t>流感嗜血杆菌</w:t>
            </w:r>
          </w:p>
        </w:tc>
        <w:tc>
          <w:tcPr>
            <w:tcW w:w="2700" w:type="dxa"/>
          </w:tcPr>
          <w:p w14:paraId="51C84A1C">
            <w:pPr>
              <w:spacing w:line="560" w:lineRule="exact"/>
              <w:jc w:val="center"/>
              <w:rPr>
                <w:rFonts w:eastAsia="仿宋_GB2312"/>
                <w:sz w:val="24"/>
              </w:rPr>
            </w:pPr>
            <w:r>
              <w:rPr>
                <w:rFonts w:eastAsia="仿宋_GB2312"/>
                <w:sz w:val="24"/>
              </w:rPr>
              <w:t>鲍曼不动杆菌＊</w:t>
            </w:r>
          </w:p>
        </w:tc>
        <w:tc>
          <w:tcPr>
            <w:tcW w:w="3194" w:type="dxa"/>
          </w:tcPr>
          <w:p w14:paraId="1F64C3A7">
            <w:pPr>
              <w:spacing w:line="560" w:lineRule="exact"/>
              <w:jc w:val="center"/>
              <w:rPr>
                <w:rFonts w:eastAsia="仿宋_GB2312"/>
                <w:sz w:val="24"/>
              </w:rPr>
            </w:pPr>
            <w:r>
              <w:rPr>
                <w:rFonts w:eastAsia="仿宋_GB2312"/>
                <w:sz w:val="24"/>
              </w:rPr>
              <w:t>口腔链球菌＊</w:t>
            </w:r>
          </w:p>
        </w:tc>
      </w:tr>
      <w:tr w14:paraId="628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89B4A6B">
            <w:pPr>
              <w:spacing w:line="560" w:lineRule="exact"/>
              <w:jc w:val="center"/>
              <w:rPr>
                <w:rFonts w:eastAsia="仿宋_GB2312"/>
                <w:sz w:val="24"/>
              </w:rPr>
            </w:pPr>
            <w:r>
              <w:rPr>
                <w:rFonts w:eastAsia="仿宋_GB2312"/>
                <w:sz w:val="24"/>
              </w:rPr>
              <w:t>乳酸杆菌属</w:t>
            </w:r>
          </w:p>
        </w:tc>
        <w:tc>
          <w:tcPr>
            <w:tcW w:w="2700" w:type="dxa"/>
          </w:tcPr>
          <w:p w14:paraId="7100E253">
            <w:pPr>
              <w:spacing w:line="560" w:lineRule="exact"/>
              <w:jc w:val="center"/>
              <w:rPr>
                <w:rFonts w:eastAsia="仿宋_GB2312"/>
                <w:sz w:val="24"/>
              </w:rPr>
            </w:pPr>
            <w:r>
              <w:rPr>
                <w:rFonts w:eastAsia="仿宋_GB2312"/>
                <w:sz w:val="24"/>
              </w:rPr>
              <w:t>嗜麦芽窄食单胞菌＊</w:t>
            </w:r>
          </w:p>
        </w:tc>
        <w:tc>
          <w:tcPr>
            <w:tcW w:w="3194" w:type="dxa"/>
          </w:tcPr>
          <w:p w14:paraId="41C35C83">
            <w:pPr>
              <w:spacing w:line="560" w:lineRule="exact"/>
              <w:jc w:val="center"/>
              <w:rPr>
                <w:rFonts w:eastAsia="仿宋_GB2312"/>
                <w:sz w:val="24"/>
              </w:rPr>
            </w:pPr>
            <w:r>
              <w:rPr>
                <w:rFonts w:eastAsia="仿宋_GB2312"/>
                <w:sz w:val="24"/>
              </w:rPr>
              <w:t>肺炎克雷伯菌</w:t>
            </w:r>
          </w:p>
        </w:tc>
      </w:tr>
      <w:tr w14:paraId="1075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4D5E5040">
            <w:pPr>
              <w:spacing w:line="560" w:lineRule="exact"/>
              <w:jc w:val="center"/>
              <w:rPr>
                <w:rFonts w:eastAsia="仿宋_GB2312"/>
                <w:sz w:val="24"/>
              </w:rPr>
            </w:pPr>
            <w:r>
              <w:rPr>
                <w:rFonts w:eastAsia="仿宋_GB2312"/>
                <w:sz w:val="24"/>
              </w:rPr>
              <w:t>嗜肺军团菌</w:t>
            </w:r>
          </w:p>
        </w:tc>
        <w:tc>
          <w:tcPr>
            <w:tcW w:w="2700" w:type="dxa"/>
          </w:tcPr>
          <w:p w14:paraId="4DD23927">
            <w:pPr>
              <w:spacing w:line="560" w:lineRule="exact"/>
              <w:jc w:val="center"/>
              <w:rPr>
                <w:rFonts w:eastAsia="仿宋_GB2312"/>
                <w:sz w:val="24"/>
              </w:rPr>
            </w:pPr>
            <w:r>
              <w:rPr>
                <w:rFonts w:eastAsia="仿宋_GB2312"/>
                <w:sz w:val="24"/>
              </w:rPr>
              <w:t>洋葱伯克霍尔德菌＊</w:t>
            </w:r>
          </w:p>
        </w:tc>
        <w:tc>
          <w:tcPr>
            <w:tcW w:w="3194" w:type="dxa"/>
          </w:tcPr>
          <w:p w14:paraId="64D91935">
            <w:pPr>
              <w:spacing w:line="560" w:lineRule="exact"/>
              <w:jc w:val="center"/>
              <w:rPr>
                <w:rFonts w:eastAsia="仿宋_GB2312"/>
                <w:sz w:val="24"/>
              </w:rPr>
            </w:pPr>
            <w:r>
              <w:rPr>
                <w:rFonts w:eastAsia="仿宋_GB2312"/>
                <w:sz w:val="24"/>
              </w:rPr>
              <w:t>鹦鹉热衣原体＊</w:t>
            </w:r>
          </w:p>
        </w:tc>
      </w:tr>
      <w:tr w14:paraId="0CC1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E701397">
            <w:pPr>
              <w:spacing w:line="560" w:lineRule="exact"/>
              <w:jc w:val="center"/>
              <w:rPr>
                <w:rFonts w:eastAsia="仿宋_GB2312"/>
                <w:sz w:val="24"/>
              </w:rPr>
            </w:pPr>
            <w:r>
              <w:rPr>
                <w:rFonts w:eastAsia="仿宋_GB2312"/>
                <w:sz w:val="24"/>
              </w:rPr>
              <w:t>卡他莫拉菌</w:t>
            </w:r>
          </w:p>
        </w:tc>
        <w:tc>
          <w:tcPr>
            <w:tcW w:w="2700" w:type="dxa"/>
          </w:tcPr>
          <w:p w14:paraId="283F36DD">
            <w:pPr>
              <w:spacing w:line="560" w:lineRule="exact"/>
              <w:jc w:val="center"/>
              <w:rPr>
                <w:rFonts w:eastAsia="仿宋_GB2312"/>
                <w:sz w:val="24"/>
              </w:rPr>
            </w:pPr>
            <w:r>
              <w:rPr>
                <w:rFonts w:eastAsia="仿宋_GB2312"/>
                <w:sz w:val="24"/>
              </w:rPr>
              <w:t>纹带棒杆菌＊</w:t>
            </w:r>
          </w:p>
        </w:tc>
        <w:tc>
          <w:tcPr>
            <w:tcW w:w="3194" w:type="dxa"/>
          </w:tcPr>
          <w:p w14:paraId="0A4ECC25">
            <w:pPr>
              <w:spacing w:line="560" w:lineRule="exact"/>
              <w:jc w:val="center"/>
              <w:rPr>
                <w:rFonts w:eastAsia="仿宋_GB2312"/>
                <w:sz w:val="24"/>
              </w:rPr>
            </w:pPr>
            <w:r>
              <w:rPr>
                <w:rFonts w:eastAsia="仿宋_GB2312"/>
                <w:sz w:val="24"/>
              </w:rPr>
              <w:t>Q 热立克次体＊</w:t>
            </w:r>
          </w:p>
        </w:tc>
      </w:tr>
      <w:tr w14:paraId="728D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9D35320">
            <w:pPr>
              <w:spacing w:line="560" w:lineRule="exact"/>
              <w:jc w:val="center"/>
              <w:rPr>
                <w:rFonts w:eastAsia="仿宋_GB2312"/>
                <w:sz w:val="24"/>
              </w:rPr>
            </w:pPr>
            <w:r>
              <w:rPr>
                <w:rFonts w:eastAsia="仿宋_GB2312"/>
                <w:sz w:val="24"/>
              </w:rPr>
              <w:t>结核分枝杆菌减毒株＊</w:t>
            </w:r>
          </w:p>
        </w:tc>
        <w:tc>
          <w:tcPr>
            <w:tcW w:w="2700" w:type="dxa"/>
          </w:tcPr>
          <w:p w14:paraId="40AE7F7B">
            <w:pPr>
              <w:spacing w:line="560" w:lineRule="exact"/>
              <w:jc w:val="center"/>
              <w:rPr>
                <w:rFonts w:eastAsia="仿宋_GB2312"/>
                <w:sz w:val="24"/>
              </w:rPr>
            </w:pPr>
          </w:p>
        </w:tc>
        <w:tc>
          <w:tcPr>
            <w:tcW w:w="3194" w:type="dxa"/>
          </w:tcPr>
          <w:p w14:paraId="2A4C250A">
            <w:pPr>
              <w:spacing w:line="560" w:lineRule="exact"/>
              <w:jc w:val="center"/>
              <w:rPr>
                <w:rFonts w:eastAsia="仿宋_GB2312"/>
                <w:sz w:val="24"/>
              </w:rPr>
            </w:pPr>
          </w:p>
        </w:tc>
      </w:tr>
    </w:tbl>
    <w:p w14:paraId="667DBF9D">
      <w:pPr>
        <w:spacing w:line="480" w:lineRule="exact"/>
        <w:ind w:firstLine="480" w:firstLineChars="200"/>
        <w:rPr>
          <w:rFonts w:eastAsia="黑体"/>
          <w:sz w:val="24"/>
        </w:rPr>
      </w:pPr>
      <w:r>
        <w:rPr>
          <w:rFonts w:eastAsia="黑体"/>
          <w:sz w:val="24"/>
        </w:rPr>
        <w:t>注：＊项为选择性验证</w:t>
      </w:r>
    </w:p>
    <w:p w14:paraId="2E87BD1E">
      <w:pPr>
        <w:spacing w:line="480" w:lineRule="exact"/>
        <w:ind w:firstLine="640" w:firstLineChars="200"/>
        <w:rPr>
          <w:rFonts w:eastAsia="仿宋_GB2312"/>
          <w:sz w:val="32"/>
          <w:szCs w:val="32"/>
        </w:rPr>
      </w:pPr>
      <w:r>
        <w:rPr>
          <w:rFonts w:eastAsia="仿宋_GB2312"/>
          <w:sz w:val="32"/>
          <w:szCs w:val="32"/>
        </w:rPr>
        <w:t>7.精密度</w:t>
      </w:r>
    </w:p>
    <w:p w14:paraId="4077E943">
      <w:pPr>
        <w:spacing w:line="480" w:lineRule="exact"/>
        <w:ind w:firstLine="640" w:firstLineChars="200"/>
        <w:rPr>
          <w:rFonts w:eastAsia="仿宋_GB2312"/>
          <w:sz w:val="32"/>
          <w:szCs w:val="32"/>
        </w:rPr>
      </w:pPr>
      <w:r>
        <w:rPr>
          <w:rFonts w:eastAsia="仿宋_GB2312"/>
          <w:sz w:val="32"/>
          <w:szCs w:val="32"/>
        </w:rPr>
        <w:t>企业应对精密度指标，如标准差或变异系数等的评价标准做出合理要求。模拟样本并不能体现临床样本可能带来的所有变异因素，因此精密度评价中应同时包含若干临床样本，且精密度评价试验应包含核酸分离/纯化步骤。针对本类产品的精密度评价主要包括以下要求。</w:t>
      </w:r>
    </w:p>
    <w:p w14:paraId="3DFC823B">
      <w:pPr>
        <w:spacing w:line="480" w:lineRule="exact"/>
        <w:ind w:firstLine="640" w:firstLineChars="200"/>
        <w:rPr>
          <w:rFonts w:eastAsia="仿宋_GB2312"/>
          <w:sz w:val="32"/>
          <w:szCs w:val="32"/>
        </w:rPr>
      </w:pPr>
      <w:r>
        <w:rPr>
          <w:rFonts w:eastAsia="仿宋_GB2312"/>
          <w:sz w:val="32"/>
          <w:szCs w:val="32"/>
        </w:rPr>
        <w:t>7.1对可能影响检测精密度的主要变量进行验证，除检测试剂（包括核酸分离/纯化组分）本身的影响外，还应对分析仪、操作者、地点、检测轮次等要素进行相关的验证。</w:t>
      </w:r>
    </w:p>
    <w:p w14:paraId="0943AFF2">
      <w:pPr>
        <w:spacing w:line="480" w:lineRule="exact"/>
        <w:ind w:firstLine="640" w:firstLineChars="200"/>
        <w:rPr>
          <w:rFonts w:eastAsia="仿宋_GB2312"/>
          <w:sz w:val="32"/>
          <w:szCs w:val="32"/>
        </w:rPr>
      </w:pPr>
      <w:r>
        <w:rPr>
          <w:rFonts w:eastAsia="仿宋_GB2312"/>
          <w:sz w:val="32"/>
          <w:szCs w:val="32"/>
        </w:rPr>
        <w:t>7.2</w:t>
      </w:r>
      <w:r>
        <w:rPr>
          <w:rFonts w:eastAsia="仿宋_GB2312"/>
          <w:spacing w:val="-6"/>
          <w:sz w:val="32"/>
          <w:szCs w:val="32"/>
        </w:rPr>
        <w:t>设定合理的精密度评价周期，例如：为期至少20天的检测，每天至少由2人完成不少于2次的完整检测，从而对批内/批间</w:t>
      </w:r>
      <w:r>
        <w:rPr>
          <w:rFonts w:eastAsia="仿宋_GB2312"/>
          <w:sz w:val="32"/>
          <w:szCs w:val="32"/>
        </w:rPr>
        <w:t>、日内/日间以及不同操作者之间的精密度进行综合评价。</w:t>
      </w:r>
    </w:p>
    <w:p w14:paraId="315DDD54">
      <w:pPr>
        <w:spacing w:line="480" w:lineRule="exact"/>
        <w:ind w:firstLine="640" w:firstLineChars="200"/>
        <w:rPr>
          <w:rFonts w:eastAsia="仿宋_GB2312"/>
          <w:sz w:val="32"/>
          <w:szCs w:val="32"/>
        </w:rPr>
      </w:pPr>
      <w:r>
        <w:rPr>
          <w:rFonts w:eastAsia="仿宋_GB2312"/>
          <w:sz w:val="32"/>
          <w:szCs w:val="32"/>
        </w:rPr>
        <w:t>7.3用于精密度评价的人工模拟样品和临床样本均应至少包含3个水平：阴性样品、临界阳性样品、（中或强）阳性样品，并根据产品特性设定适当的精密度要求，临床样本精密度评价中的每一次检测均应从核酸提取开始。</w:t>
      </w:r>
    </w:p>
    <w:p w14:paraId="77131B66">
      <w:pPr>
        <w:spacing w:line="480" w:lineRule="exact"/>
        <w:ind w:firstLine="640" w:firstLineChars="200"/>
        <w:rPr>
          <w:rFonts w:eastAsia="仿宋_GB2312"/>
          <w:sz w:val="32"/>
          <w:szCs w:val="32"/>
        </w:rPr>
      </w:pPr>
      <w:r>
        <w:rPr>
          <w:rFonts w:eastAsia="仿宋_GB2312"/>
          <w:sz w:val="32"/>
          <w:szCs w:val="32"/>
        </w:rPr>
        <w:t>7.3.1阴性样本：待测物浓度低于最低检测限或为零浓度，阴性检出率应≥95%（n≥20）。</w:t>
      </w:r>
    </w:p>
    <w:p w14:paraId="4AB2229C">
      <w:pPr>
        <w:spacing w:line="480" w:lineRule="exact"/>
        <w:ind w:firstLine="640" w:firstLineChars="200"/>
        <w:rPr>
          <w:rFonts w:eastAsia="仿宋_GB2312"/>
          <w:sz w:val="32"/>
          <w:szCs w:val="32"/>
        </w:rPr>
      </w:pPr>
      <w:r>
        <w:rPr>
          <w:rFonts w:eastAsia="仿宋_GB2312"/>
          <w:sz w:val="32"/>
          <w:szCs w:val="32"/>
        </w:rPr>
        <w:t>7.3.2临界阳性样本：待测物浓度略高于试剂盒的最低检测限，阳性检出率应≥95%（n≥20）。</w:t>
      </w:r>
    </w:p>
    <w:p w14:paraId="168C24E3">
      <w:pPr>
        <w:spacing w:line="480" w:lineRule="exact"/>
        <w:ind w:firstLine="640" w:firstLineChars="200"/>
        <w:rPr>
          <w:rFonts w:eastAsia="仿宋_GB2312"/>
          <w:sz w:val="32"/>
          <w:szCs w:val="32"/>
        </w:rPr>
      </w:pPr>
      <w:r>
        <w:rPr>
          <w:rFonts w:eastAsia="仿宋_GB2312"/>
          <w:sz w:val="32"/>
          <w:szCs w:val="32"/>
        </w:rPr>
        <w:t>7.3.3中/强阳性样本：待测物浓度呈中度到强阳性，阳性检出率为100%且CV≤10%（n≥20）。</w:t>
      </w:r>
    </w:p>
    <w:p w14:paraId="27A6D6C8">
      <w:pPr>
        <w:spacing w:line="480" w:lineRule="exact"/>
        <w:ind w:firstLine="640" w:firstLineChars="200"/>
        <w:outlineLvl w:val="1"/>
        <w:rPr>
          <w:rFonts w:eastAsia="楷体_GB2312"/>
          <w:sz w:val="32"/>
          <w:szCs w:val="32"/>
        </w:rPr>
      </w:pPr>
      <w:bookmarkStart w:id="4" w:name="_Toc342306967"/>
      <w:r>
        <w:rPr>
          <w:rFonts w:eastAsia="楷体_GB2312"/>
          <w:sz w:val="32"/>
          <w:szCs w:val="32"/>
        </w:rPr>
        <w:t>（五）阳性判断值确定资料</w:t>
      </w:r>
      <w:bookmarkEnd w:id="4"/>
    </w:p>
    <w:p w14:paraId="7127FAC0">
      <w:pPr>
        <w:spacing w:line="480" w:lineRule="exact"/>
        <w:ind w:firstLine="640" w:firstLineChars="200"/>
        <w:rPr>
          <w:rFonts w:eastAsia="仿宋_GB2312"/>
          <w:sz w:val="32"/>
          <w:szCs w:val="32"/>
        </w:rPr>
      </w:pPr>
      <w:r>
        <w:rPr>
          <w:rFonts w:eastAsia="仿宋_GB2312"/>
          <w:sz w:val="32"/>
          <w:szCs w:val="32"/>
        </w:rPr>
        <w:t>阳性判断值确定资料主要指对每种声称可检出的病毒核酸检测的Ct值进行确认，建议申请人对申报产品用于结果判断的临界值予以确认。阳性判断值研究资料样本来源应考虑不同年龄、性别、地域等因素，尽可能考虑样本来源的多样性、代表性。如存在判定值灰区，应提供灰区的确认资料。如采用其他方法对阳性判断值进行确认研究，应说明这种方法的合理性。提供内标值的确定方法和研究资料。</w:t>
      </w:r>
    </w:p>
    <w:p w14:paraId="344AB446">
      <w:pPr>
        <w:spacing w:line="480" w:lineRule="exact"/>
        <w:ind w:firstLine="640" w:firstLineChars="200"/>
        <w:outlineLvl w:val="1"/>
        <w:rPr>
          <w:rFonts w:eastAsia="楷体_GB2312"/>
          <w:sz w:val="32"/>
          <w:szCs w:val="32"/>
        </w:rPr>
      </w:pPr>
      <w:bookmarkStart w:id="5" w:name="_Toc342306968"/>
      <w:r>
        <w:rPr>
          <w:rFonts w:eastAsia="楷体_GB2312"/>
          <w:sz w:val="32"/>
          <w:szCs w:val="32"/>
        </w:rPr>
        <w:t>（六）稳定性研究资料</w:t>
      </w:r>
      <w:bookmarkEnd w:id="5"/>
    </w:p>
    <w:p w14:paraId="7033427C">
      <w:pPr>
        <w:spacing w:line="480" w:lineRule="exact"/>
        <w:ind w:firstLine="640" w:firstLineChars="200"/>
        <w:rPr>
          <w:rFonts w:eastAsia="仿宋_GB2312"/>
          <w:sz w:val="32"/>
          <w:szCs w:val="32"/>
        </w:rPr>
      </w:pPr>
      <w:r>
        <w:rPr>
          <w:rFonts w:eastAsia="仿宋_GB2312"/>
          <w:sz w:val="32"/>
          <w:szCs w:val="32"/>
        </w:rPr>
        <w:t>稳定性研究资料主要涉及两部分内容，申报试剂的稳定性和适用样本的稳定性研究。前者主要包括实时稳定性（有效期）、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D627371">
      <w:pPr>
        <w:spacing w:line="480" w:lineRule="exact"/>
        <w:ind w:firstLine="640" w:firstLineChars="200"/>
        <w:rPr>
          <w:rFonts w:eastAsia="仿宋_GB2312"/>
          <w:sz w:val="32"/>
          <w:szCs w:val="32"/>
        </w:rPr>
      </w:pPr>
      <w:r>
        <w:rPr>
          <w:rFonts w:eastAsia="仿宋_GB2312"/>
          <w:sz w:val="32"/>
          <w:szCs w:val="32"/>
        </w:rPr>
        <w:t>考虑到病毒RNA极易被降解的特性，企业也应对样本稳定性进行研究，主要包括冷藏和冷冻两种条件下的有效期验证，可以在合理的温度范围内，每间隔一定的时间段即对储存样本进行验证，从而确认不同类型样本的效期稳定性。适于冷冻保存的样本还应对冻融次数进行评价。</w:t>
      </w:r>
    </w:p>
    <w:p w14:paraId="3842F2E3">
      <w:pPr>
        <w:spacing w:line="480" w:lineRule="exact"/>
        <w:ind w:firstLine="640" w:firstLineChars="200"/>
        <w:rPr>
          <w:rFonts w:eastAsia="仿宋_GB2312"/>
          <w:sz w:val="32"/>
          <w:szCs w:val="32"/>
        </w:rPr>
      </w:pPr>
      <w:r>
        <w:rPr>
          <w:rFonts w:eastAsia="仿宋_GB2312"/>
          <w:sz w:val="32"/>
          <w:szCs w:val="32"/>
        </w:rPr>
        <w:t>对于样本提取后不能立即进行检测的，应明确核酸储存条件、储存时间等，同时应提供相应的核酸稳定性研究资料。</w:t>
      </w:r>
    </w:p>
    <w:p w14:paraId="767271E7">
      <w:pPr>
        <w:spacing w:line="480" w:lineRule="exact"/>
        <w:ind w:firstLine="640" w:firstLineChars="200"/>
        <w:rPr>
          <w:rFonts w:eastAsia="仿宋_GB2312"/>
          <w:sz w:val="32"/>
          <w:szCs w:val="32"/>
        </w:rPr>
      </w:pPr>
      <w:r>
        <w:rPr>
          <w:rFonts w:eastAsia="仿宋_GB2312"/>
          <w:sz w:val="32"/>
          <w:szCs w:val="32"/>
        </w:rPr>
        <w:t>试剂稳定性和样本稳定性两部分内容的研究结果均应在说明书【储存条件及有效期】和【样本要求】两项中进行详细说明。</w:t>
      </w:r>
    </w:p>
    <w:p w14:paraId="3FD9B2FD">
      <w:pPr>
        <w:spacing w:line="480" w:lineRule="exact"/>
        <w:ind w:firstLine="640" w:firstLineChars="200"/>
        <w:outlineLvl w:val="1"/>
        <w:rPr>
          <w:rFonts w:eastAsia="楷体_GB2312"/>
          <w:sz w:val="32"/>
          <w:szCs w:val="32"/>
        </w:rPr>
      </w:pPr>
      <w:r>
        <w:rPr>
          <w:rFonts w:eastAsia="楷体_GB2312"/>
          <w:sz w:val="32"/>
          <w:szCs w:val="32"/>
        </w:rPr>
        <w:t>（七）临床评价资料</w:t>
      </w:r>
    </w:p>
    <w:p w14:paraId="5AEF4A25">
      <w:pPr>
        <w:spacing w:line="480" w:lineRule="exact"/>
        <w:ind w:firstLine="640" w:firstLineChars="200"/>
        <w:rPr>
          <w:rFonts w:eastAsia="仿宋_GB2312"/>
          <w:sz w:val="32"/>
          <w:szCs w:val="32"/>
        </w:rPr>
      </w:pPr>
      <w:r>
        <w:rPr>
          <w:rFonts w:eastAsia="仿宋_GB2312"/>
          <w:sz w:val="32"/>
          <w:szCs w:val="32"/>
        </w:rPr>
        <w:t>临床试验的开展、方案的制定以及报告的撰写等均应符合相关法规及《体外诊断试剂临床试验技术指导原则》（国家食品药品监督管理总局通告2014年第16号）的要求。临床试验应能检出所有声称可检出的呼吸道病毒，每种呼吸道病毒检测阳性例数可采用统计方法进行计算，建议每种罕见病毒类型的阳性样本例数不少于50例，每种病毒类型的阳性例数在满足最低例数要求的基础上还应符合统计学要求，方案中需要给出明确的样本量确定依据，如每种病毒类型与对照方法的检测阳性一致率95%的置信区间下限&gt;90%。临床试验应选择</w:t>
      </w:r>
      <w:r>
        <w:rPr>
          <w:rFonts w:eastAsia="仿宋_GB2312"/>
          <w:kern w:val="0"/>
          <w:sz w:val="32"/>
          <w:szCs w:val="32"/>
        </w:rPr>
        <w:t>不少于3家（含3家）</w:t>
      </w:r>
      <w:r>
        <w:rPr>
          <w:rFonts w:eastAsia="仿宋_GB2312"/>
          <w:sz w:val="32"/>
          <w:szCs w:val="32"/>
        </w:rPr>
        <w:t>能代表不同地域的临床试验机构完成。</w:t>
      </w:r>
    </w:p>
    <w:p w14:paraId="1DE2E9D9">
      <w:pPr>
        <w:spacing w:line="480" w:lineRule="exact"/>
        <w:ind w:firstLine="640" w:firstLineChars="200"/>
        <w:rPr>
          <w:rFonts w:eastAsia="仿宋_GB2312"/>
          <w:sz w:val="32"/>
          <w:szCs w:val="32"/>
        </w:rPr>
      </w:pPr>
      <w:r>
        <w:rPr>
          <w:rFonts w:eastAsia="仿宋_GB2312"/>
          <w:sz w:val="32"/>
          <w:szCs w:val="32"/>
        </w:rPr>
        <w:t>1.病例选择及样本类型</w:t>
      </w:r>
    </w:p>
    <w:p w14:paraId="5F50F06C">
      <w:pPr>
        <w:spacing w:line="480" w:lineRule="exact"/>
        <w:ind w:firstLine="640" w:firstLineChars="200"/>
        <w:rPr>
          <w:rFonts w:eastAsia="仿宋_GB2312"/>
          <w:sz w:val="32"/>
          <w:szCs w:val="32"/>
        </w:rPr>
      </w:pPr>
      <w:r>
        <w:rPr>
          <w:rFonts w:eastAsia="仿宋_GB2312"/>
          <w:sz w:val="32"/>
          <w:szCs w:val="32"/>
        </w:rPr>
        <w:t>申请人应选择体征/症状符合呼吸道感染的目标人群，进行前瞻性临床试验。申请人在建立病例纳入标准时，应考虑到各年龄段人群的差异，尽量覆盖各个年龄段人群。在进行结果统计分析时，除总体病例数的要求外，建议对各年龄段人群分层进行数据统计分析（如&lt;5、6－21、22－59和&gt;60岁），总体病例数应符合统计学要求。临床试验入组病例应与产品预期用途中适用人群一致。临床试验应首选新鲜样本，每种病毒应有前瞻性阳性样本检出；某些呼吸道病毒在人群中具有低流行率，可用已知含特定病毒的样本（即留存样本）进行补充。如果选择留存样本，则应证明冻存或其他保存方法的样本稳定性，且应使用盲法，避免检测偏差。</w:t>
      </w:r>
    </w:p>
    <w:p w14:paraId="7EABA4A8">
      <w:pPr>
        <w:pStyle w:val="4"/>
        <w:spacing w:line="480" w:lineRule="exact"/>
        <w:ind w:firstLine="640"/>
        <w:rPr>
          <w:rFonts w:ascii="Times New Roman" w:hAnsi="Times New Roman" w:eastAsia="仿宋_GB2312"/>
          <w:sz w:val="32"/>
          <w:szCs w:val="32"/>
        </w:rPr>
      </w:pPr>
      <w:r>
        <w:rPr>
          <w:rFonts w:ascii="Times New Roman" w:hAnsi="Times New Roman" w:eastAsia="仿宋_GB2312"/>
          <w:sz w:val="32"/>
          <w:szCs w:val="32"/>
        </w:rPr>
        <w:t>2.参比方法</w:t>
      </w:r>
    </w:p>
    <w:p w14:paraId="45C93F7D">
      <w:pPr>
        <w:spacing w:line="480" w:lineRule="exact"/>
        <w:ind w:firstLine="640" w:firstLineChars="200"/>
        <w:rPr>
          <w:rFonts w:eastAsia="仿宋_GB2312"/>
          <w:sz w:val="32"/>
          <w:szCs w:val="32"/>
        </w:rPr>
      </w:pPr>
      <w:r>
        <w:rPr>
          <w:rFonts w:eastAsia="仿宋_GB2312"/>
          <w:sz w:val="32"/>
          <w:szCs w:val="32"/>
        </w:rPr>
        <w:t>申请人应选择已批准上市、临床普遍认为质量较好的同类产品作为参比试剂，采用拟申报产品（以下称考核试剂）与之进行对比试验研究，证明本品与已上市产品等效或优于已上市产品。</w:t>
      </w:r>
    </w:p>
    <w:p w14:paraId="2EEC539A">
      <w:pPr>
        <w:spacing w:line="480" w:lineRule="exact"/>
        <w:ind w:firstLine="640" w:firstLineChars="200"/>
        <w:rPr>
          <w:rFonts w:eastAsia="仿宋_GB2312"/>
          <w:sz w:val="32"/>
          <w:szCs w:val="32"/>
        </w:rPr>
      </w:pPr>
      <w:r>
        <w:rPr>
          <w:rFonts w:eastAsia="仿宋_GB2312"/>
          <w:sz w:val="32"/>
          <w:szCs w:val="32"/>
        </w:rPr>
        <w:t>如无已上市产品可选用病毒分离培养鉴定或测序方法进行比对。对于难以培养的呼吸道病毒（如人偏肺病毒）也可直接采用测序方法作为参比方法。</w:t>
      </w:r>
    </w:p>
    <w:p w14:paraId="7DF3259F">
      <w:pPr>
        <w:spacing w:line="480" w:lineRule="exact"/>
        <w:ind w:firstLine="640" w:firstLineChars="200"/>
        <w:rPr>
          <w:rFonts w:eastAsia="仿宋_GB2312"/>
          <w:sz w:val="32"/>
          <w:szCs w:val="32"/>
        </w:rPr>
      </w:pPr>
      <w:r>
        <w:rPr>
          <w:rFonts w:eastAsia="仿宋_GB2312"/>
          <w:sz w:val="32"/>
          <w:szCs w:val="32"/>
        </w:rPr>
        <w:t>2.1测序试验中的核酸扩增方法所测靶序列应与申报产品所测靶序列不同，且申请人应对该靶序列/引物提供文献或实验室数据支持。申请人应在临床研究报告中对选用的测序方法做详细介绍，并提供以下关于测序试验的详细信息及资料：</w:t>
      </w:r>
    </w:p>
    <w:p w14:paraId="6AA46D62">
      <w:pPr>
        <w:spacing w:line="480" w:lineRule="exact"/>
        <w:ind w:firstLine="640" w:firstLineChars="200"/>
        <w:rPr>
          <w:rFonts w:eastAsia="仿宋_GB2312"/>
          <w:sz w:val="32"/>
          <w:szCs w:val="32"/>
        </w:rPr>
      </w:pPr>
      <w:r>
        <w:rPr>
          <w:rFonts w:eastAsia="仿宋_GB2312"/>
          <w:sz w:val="32"/>
          <w:szCs w:val="32"/>
        </w:rPr>
        <w:t>2.1.1测序方法原理、测序仪型号、测序试剂及消耗品的相关信息。</w:t>
      </w:r>
    </w:p>
    <w:p w14:paraId="7ADBED04">
      <w:pPr>
        <w:spacing w:line="480" w:lineRule="exact"/>
        <w:ind w:firstLine="640" w:firstLineChars="200"/>
        <w:rPr>
          <w:rFonts w:eastAsia="仿宋_GB2312"/>
          <w:sz w:val="32"/>
          <w:szCs w:val="32"/>
        </w:rPr>
      </w:pPr>
      <w:r>
        <w:rPr>
          <w:rFonts w:eastAsia="仿宋_GB2312"/>
          <w:sz w:val="32"/>
          <w:szCs w:val="32"/>
        </w:rPr>
        <w:t>2.1.2测序方法所用引物相关信息，如基因区段选择、分子量、纯度、功能性试验等资料。</w:t>
      </w:r>
    </w:p>
    <w:p w14:paraId="0107A6CA">
      <w:pPr>
        <w:spacing w:line="480" w:lineRule="exact"/>
        <w:ind w:firstLine="640" w:firstLineChars="200"/>
        <w:rPr>
          <w:rFonts w:eastAsia="仿宋_GB2312"/>
          <w:sz w:val="32"/>
          <w:szCs w:val="32"/>
        </w:rPr>
      </w:pPr>
      <w:r>
        <w:rPr>
          <w:rFonts w:eastAsia="仿宋_GB2312"/>
          <w:sz w:val="32"/>
          <w:szCs w:val="32"/>
        </w:rPr>
        <w:t>2.1.3对所选测序方法的分析性能进行合理验证，尤其是最低检测限的确认，建议将所选测序方法与拟申报产品的相关性能进行适当比对分析。</w:t>
      </w:r>
    </w:p>
    <w:p w14:paraId="2378E822">
      <w:pPr>
        <w:spacing w:line="480" w:lineRule="exact"/>
        <w:ind w:firstLine="640" w:firstLineChars="200"/>
        <w:rPr>
          <w:rFonts w:eastAsia="仿宋_GB2312"/>
          <w:sz w:val="32"/>
          <w:szCs w:val="32"/>
        </w:rPr>
      </w:pPr>
      <w:r>
        <w:rPr>
          <w:rFonts w:eastAsia="仿宋_GB2312"/>
          <w:sz w:val="32"/>
          <w:szCs w:val="32"/>
        </w:rPr>
        <w:t>2.1.4测序方法应建立合理的阳性质控品和阴性质控品对临床样本的检测结果进行质量控制。</w:t>
      </w:r>
    </w:p>
    <w:p w14:paraId="688D696E">
      <w:pPr>
        <w:spacing w:line="480" w:lineRule="exact"/>
        <w:ind w:firstLine="640" w:firstLineChars="200"/>
        <w:rPr>
          <w:rFonts w:eastAsia="仿宋_GB2312"/>
          <w:sz w:val="32"/>
          <w:szCs w:val="32"/>
        </w:rPr>
      </w:pPr>
      <w:r>
        <w:rPr>
          <w:rFonts w:eastAsia="仿宋_GB2312"/>
          <w:sz w:val="32"/>
          <w:szCs w:val="32"/>
        </w:rPr>
        <w:t>2.1.5提交有代表性的样本测序图谱及结果分析资料。</w:t>
      </w:r>
    </w:p>
    <w:p w14:paraId="400396C9">
      <w:pPr>
        <w:spacing w:line="480" w:lineRule="exact"/>
        <w:ind w:firstLine="640" w:firstLineChars="200"/>
        <w:rPr>
          <w:rFonts w:eastAsia="仿宋_GB2312"/>
          <w:sz w:val="32"/>
          <w:szCs w:val="32"/>
        </w:rPr>
      </w:pPr>
      <w:r>
        <w:rPr>
          <w:rFonts w:eastAsia="仿宋_GB2312"/>
          <w:sz w:val="32"/>
          <w:szCs w:val="32"/>
        </w:rPr>
        <w:t>2.2病毒培养时，除细胞病变效应（CPE）外，申请人还应进行病毒鉴定如病毒特异性抗体染色或PCR扩增后测序。单纯的CPE无法提供准确的病毒鉴别。申请人应提供病毒分离培养的详细实验室流程，以及特定细胞系可作为分离某种病毒的文献或数据支持。</w:t>
      </w:r>
    </w:p>
    <w:p w14:paraId="787E64C2">
      <w:pPr>
        <w:spacing w:line="480" w:lineRule="exact"/>
        <w:ind w:firstLine="640" w:firstLineChars="200"/>
        <w:rPr>
          <w:rFonts w:eastAsia="仿宋_GB2312"/>
          <w:sz w:val="32"/>
          <w:szCs w:val="32"/>
        </w:rPr>
      </w:pPr>
      <w:r>
        <w:rPr>
          <w:rFonts w:eastAsia="仿宋_GB2312"/>
          <w:sz w:val="32"/>
          <w:szCs w:val="32"/>
        </w:rPr>
        <w:t>3.另外，对于流感病毒，申请人还应根据病毒流行情况选择新鲜采集样本，使用考核试剂与流感病毒感染检测的“金标准”方法—病毒分离培养鉴定方法进行比较研究，每种样本类型不少于30例经病毒分离培养方法确定为阳性的样本。</w:t>
      </w:r>
    </w:p>
    <w:p w14:paraId="11D7DDFD">
      <w:pPr>
        <w:spacing w:line="480" w:lineRule="exact"/>
        <w:ind w:firstLine="640" w:firstLineChars="200"/>
        <w:rPr>
          <w:rFonts w:eastAsia="仿宋_GB2312"/>
          <w:sz w:val="32"/>
          <w:szCs w:val="32"/>
        </w:rPr>
      </w:pPr>
      <w:r>
        <w:rPr>
          <w:rFonts w:eastAsia="仿宋_GB2312"/>
          <w:sz w:val="32"/>
          <w:szCs w:val="32"/>
        </w:rPr>
        <w:t>4.统计学分析</w:t>
      </w:r>
    </w:p>
    <w:p w14:paraId="4070699D">
      <w:pPr>
        <w:spacing w:line="480" w:lineRule="exact"/>
        <w:ind w:firstLine="640" w:firstLineChars="200"/>
        <w:rPr>
          <w:rFonts w:eastAsia="仿宋_GB2312"/>
          <w:sz w:val="32"/>
          <w:szCs w:val="32"/>
        </w:rPr>
      </w:pPr>
      <w:r>
        <w:rPr>
          <w:rFonts w:eastAsia="仿宋_GB2312"/>
          <w:sz w:val="32"/>
          <w:szCs w:val="32"/>
        </w:rPr>
        <w:t>对临床试验结果的统计应选择合适的统计方法，如检测结果一致性分析、阴性/阳性符合率等。对于本类产品对比实验的等效性研究，常选择交叉四格表的形式总结两种试剂的定性检测结果，对定性结果进行四格表卡方或kappa检验以验证两种试剂定性结果的一致性，统计分析应可以证明两种方法的检测结果无明显统计学差异。在临床研究方案中应明确统计检验假设，即评价考核试剂与参比试剂是否等效的标准。</w:t>
      </w:r>
    </w:p>
    <w:p w14:paraId="2111A551">
      <w:pPr>
        <w:spacing w:line="480" w:lineRule="exact"/>
        <w:ind w:firstLine="640" w:firstLineChars="200"/>
        <w:rPr>
          <w:rFonts w:eastAsia="仿宋_GB2312"/>
          <w:sz w:val="32"/>
          <w:szCs w:val="32"/>
        </w:rPr>
      </w:pPr>
      <w:r>
        <w:rPr>
          <w:rFonts w:eastAsia="仿宋_GB2312"/>
          <w:sz w:val="32"/>
          <w:szCs w:val="32"/>
        </w:rPr>
        <w:t>申请人应分别统计各病毒检测的阴、阳性符合率，同时应分别统计混合感染样本使用考核试剂和参比试剂的检测结果。如考核试剂存在灰区，申请人还应统计灰区样本使用参比试剂的检测结果。</w:t>
      </w:r>
    </w:p>
    <w:p w14:paraId="78D31793">
      <w:pPr>
        <w:spacing w:line="480" w:lineRule="exact"/>
        <w:ind w:firstLine="640" w:firstLineChars="200"/>
        <w:rPr>
          <w:rFonts w:eastAsia="仿宋_GB2312"/>
          <w:sz w:val="32"/>
          <w:szCs w:val="32"/>
        </w:rPr>
      </w:pPr>
      <w:r>
        <w:rPr>
          <w:rFonts w:eastAsia="仿宋_GB2312"/>
          <w:sz w:val="32"/>
          <w:szCs w:val="32"/>
        </w:rPr>
        <w:t>在数据收集过程中，对于两种试剂检测结果不一致的样本，应采用“金标准”方法或临床上普遍认为质量较好的第三种同类试剂进行复核，同时结合患者的临床病情对差异原因及可能结果进行分析。</w:t>
      </w:r>
    </w:p>
    <w:p w14:paraId="1684216C">
      <w:pPr>
        <w:spacing w:line="480" w:lineRule="exact"/>
        <w:ind w:firstLine="640" w:firstLineChars="200"/>
        <w:rPr>
          <w:rFonts w:eastAsia="仿宋_GB2312"/>
          <w:kern w:val="0"/>
          <w:sz w:val="32"/>
          <w:szCs w:val="32"/>
        </w:rPr>
      </w:pPr>
      <w:r>
        <w:rPr>
          <w:rFonts w:eastAsia="仿宋_GB2312"/>
          <w:kern w:val="0"/>
          <w:sz w:val="32"/>
          <w:szCs w:val="32"/>
        </w:rPr>
        <w:t>5.临床试验总结报告撰写</w:t>
      </w:r>
    </w:p>
    <w:p w14:paraId="522B82F8">
      <w:pPr>
        <w:spacing w:line="480" w:lineRule="exact"/>
        <w:ind w:firstLine="640" w:firstLineChars="200"/>
        <w:rPr>
          <w:rFonts w:eastAsia="仿宋_GB2312"/>
          <w:kern w:val="0"/>
          <w:sz w:val="32"/>
          <w:szCs w:val="32"/>
        </w:rPr>
      </w:pPr>
      <w:r>
        <w:rPr>
          <w:rFonts w:eastAsia="仿宋_GB2312"/>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23450082">
      <w:pPr>
        <w:spacing w:line="480" w:lineRule="exact"/>
        <w:ind w:firstLine="640" w:firstLineChars="200"/>
        <w:rPr>
          <w:rFonts w:eastAsia="仿宋_GB2312"/>
          <w:kern w:val="0"/>
          <w:sz w:val="32"/>
          <w:szCs w:val="32"/>
        </w:rPr>
      </w:pPr>
      <w:r>
        <w:rPr>
          <w:rFonts w:eastAsia="仿宋_GB2312"/>
          <w:kern w:val="0"/>
          <w:sz w:val="32"/>
          <w:szCs w:val="32"/>
        </w:rPr>
        <w:t>5.1临床试验总体设计及方案描述</w:t>
      </w:r>
    </w:p>
    <w:p w14:paraId="5A48083A">
      <w:pPr>
        <w:spacing w:line="480" w:lineRule="exact"/>
        <w:ind w:firstLine="640" w:firstLineChars="200"/>
        <w:rPr>
          <w:rFonts w:eastAsia="仿宋_GB2312"/>
          <w:kern w:val="0"/>
          <w:sz w:val="32"/>
          <w:szCs w:val="32"/>
        </w:rPr>
      </w:pPr>
      <w:r>
        <w:rPr>
          <w:rFonts w:eastAsia="仿宋_GB2312"/>
          <w:kern w:val="0"/>
          <w:sz w:val="32"/>
          <w:szCs w:val="32"/>
        </w:rPr>
        <w:t>5.1.1临床试验的整体管理情况、临床研究单位选择、临床主要研究人员简介等基本情况介绍。</w:t>
      </w:r>
    </w:p>
    <w:p w14:paraId="0AD755F2">
      <w:pPr>
        <w:spacing w:line="480" w:lineRule="exact"/>
        <w:ind w:firstLine="640" w:firstLineChars="200"/>
        <w:rPr>
          <w:rFonts w:eastAsia="仿宋_GB2312"/>
          <w:kern w:val="0"/>
          <w:sz w:val="32"/>
          <w:szCs w:val="32"/>
        </w:rPr>
      </w:pPr>
      <w:r>
        <w:rPr>
          <w:rFonts w:eastAsia="仿宋_GB2312"/>
          <w:kern w:val="0"/>
          <w:sz w:val="32"/>
          <w:szCs w:val="32"/>
        </w:rPr>
        <w:t>5.1.2病例纳入/排除标准、不同年龄段人群的预期选择例数及标准、盲法的操作流程等。</w:t>
      </w:r>
    </w:p>
    <w:p w14:paraId="01F2BFBF">
      <w:pPr>
        <w:spacing w:line="480" w:lineRule="exact"/>
        <w:ind w:firstLine="640" w:firstLineChars="200"/>
        <w:rPr>
          <w:rFonts w:eastAsia="仿宋_GB2312"/>
          <w:kern w:val="0"/>
          <w:sz w:val="32"/>
          <w:szCs w:val="32"/>
        </w:rPr>
      </w:pPr>
      <w:r>
        <w:rPr>
          <w:rFonts w:eastAsia="仿宋_GB2312"/>
          <w:kern w:val="0"/>
          <w:sz w:val="32"/>
          <w:szCs w:val="32"/>
        </w:rPr>
        <w:t>5.1.3样本类型，样本的收集、处理及保存等。</w:t>
      </w:r>
    </w:p>
    <w:p w14:paraId="28483B0E">
      <w:pPr>
        <w:spacing w:line="480" w:lineRule="exact"/>
        <w:ind w:firstLine="640" w:firstLineChars="200"/>
        <w:rPr>
          <w:rFonts w:eastAsia="仿宋_GB2312"/>
          <w:kern w:val="0"/>
          <w:sz w:val="32"/>
          <w:szCs w:val="32"/>
        </w:rPr>
      </w:pPr>
      <w:r>
        <w:rPr>
          <w:rFonts w:eastAsia="仿宋_GB2312"/>
          <w:kern w:val="0"/>
          <w:sz w:val="32"/>
          <w:szCs w:val="32"/>
        </w:rPr>
        <w:t>5.1.4统计学方法、统计软件、评价统计结果的标准。</w:t>
      </w:r>
    </w:p>
    <w:p w14:paraId="16A3FFB2">
      <w:pPr>
        <w:spacing w:line="480" w:lineRule="exact"/>
        <w:ind w:firstLine="640" w:firstLineChars="200"/>
        <w:rPr>
          <w:rFonts w:eastAsia="仿宋_GB2312"/>
          <w:kern w:val="0"/>
          <w:sz w:val="32"/>
          <w:szCs w:val="32"/>
        </w:rPr>
      </w:pPr>
      <w:r>
        <w:rPr>
          <w:rFonts w:eastAsia="仿宋_GB2312"/>
          <w:kern w:val="0"/>
          <w:sz w:val="32"/>
          <w:szCs w:val="32"/>
        </w:rPr>
        <w:t>5.2具体的临床试验情况</w:t>
      </w:r>
    </w:p>
    <w:p w14:paraId="224FA00F">
      <w:pPr>
        <w:spacing w:line="480" w:lineRule="exact"/>
        <w:ind w:firstLine="640" w:firstLineChars="200"/>
        <w:rPr>
          <w:rFonts w:eastAsia="仿宋_GB2312"/>
          <w:kern w:val="0"/>
          <w:sz w:val="32"/>
          <w:szCs w:val="32"/>
        </w:rPr>
      </w:pPr>
      <w:r>
        <w:rPr>
          <w:rFonts w:eastAsia="仿宋_GB2312"/>
          <w:kern w:val="0"/>
          <w:sz w:val="32"/>
          <w:szCs w:val="32"/>
        </w:rPr>
        <w:t>5.2.1临床试验所用体外诊断试剂及仪器的名称、批号、机型等信息。</w:t>
      </w:r>
    </w:p>
    <w:p w14:paraId="0A91B9BD">
      <w:pPr>
        <w:spacing w:line="480" w:lineRule="exact"/>
        <w:ind w:firstLine="640" w:firstLineChars="200"/>
        <w:rPr>
          <w:rFonts w:eastAsia="仿宋_GB2312"/>
          <w:kern w:val="0"/>
          <w:sz w:val="32"/>
          <w:szCs w:val="32"/>
        </w:rPr>
      </w:pPr>
      <w:r>
        <w:rPr>
          <w:rFonts w:eastAsia="仿宋_GB2312"/>
          <w:kern w:val="0"/>
          <w:sz w:val="32"/>
          <w:szCs w:val="32"/>
        </w:rPr>
        <w:t>5.2.2对各研究单位的病例数、年龄分布情况、不同病毒分布情况进行综合，建议以列表或图示方式列出各年龄组和不同病毒的样本例数。</w:t>
      </w:r>
    </w:p>
    <w:p w14:paraId="6284FFBC">
      <w:pPr>
        <w:spacing w:line="480" w:lineRule="exact"/>
        <w:ind w:firstLine="640" w:firstLineChars="200"/>
        <w:rPr>
          <w:rFonts w:eastAsia="仿宋_GB2312"/>
          <w:kern w:val="0"/>
          <w:sz w:val="32"/>
          <w:szCs w:val="32"/>
        </w:rPr>
      </w:pPr>
      <w:r>
        <w:rPr>
          <w:rFonts w:eastAsia="仿宋_GB2312"/>
          <w:kern w:val="0"/>
          <w:sz w:val="32"/>
          <w:szCs w:val="32"/>
        </w:rPr>
        <w:t>5.2.3质量控制，试验人员培训、仪器日常维护、仪器校准、质控运行情况。</w:t>
      </w:r>
    </w:p>
    <w:p w14:paraId="65638AF5">
      <w:pPr>
        <w:spacing w:line="480" w:lineRule="exact"/>
        <w:ind w:firstLine="640" w:firstLineChars="200"/>
        <w:rPr>
          <w:rFonts w:eastAsia="仿宋_GB2312"/>
          <w:kern w:val="0"/>
          <w:sz w:val="32"/>
          <w:szCs w:val="32"/>
        </w:rPr>
      </w:pPr>
      <w:r>
        <w:rPr>
          <w:rFonts w:eastAsia="仿宋_GB2312"/>
          <w:kern w:val="0"/>
          <w:sz w:val="32"/>
          <w:szCs w:val="32"/>
        </w:rPr>
        <w:t>5.2.4具体试验过程，样本收集、样本保存、样本检测、结果处理、结果不一致样本的确认等。</w:t>
      </w:r>
    </w:p>
    <w:p w14:paraId="59387F99">
      <w:pPr>
        <w:spacing w:line="480" w:lineRule="exact"/>
        <w:ind w:firstLine="640" w:firstLineChars="200"/>
        <w:rPr>
          <w:rFonts w:eastAsia="仿宋_GB2312"/>
          <w:kern w:val="0"/>
          <w:sz w:val="32"/>
          <w:szCs w:val="32"/>
        </w:rPr>
      </w:pPr>
      <w:r>
        <w:rPr>
          <w:rFonts w:eastAsia="仿宋_GB2312"/>
          <w:kern w:val="0"/>
          <w:sz w:val="32"/>
          <w:szCs w:val="32"/>
        </w:rPr>
        <w:t>5.3统计学分析</w:t>
      </w:r>
    </w:p>
    <w:p w14:paraId="0F6C7A35">
      <w:pPr>
        <w:spacing w:line="480" w:lineRule="exact"/>
        <w:ind w:firstLine="640" w:firstLineChars="200"/>
        <w:rPr>
          <w:rFonts w:eastAsia="仿宋_GB2312"/>
          <w:kern w:val="0"/>
          <w:sz w:val="32"/>
          <w:szCs w:val="32"/>
        </w:rPr>
      </w:pPr>
      <w:r>
        <w:rPr>
          <w:rFonts w:eastAsia="仿宋_GB2312"/>
          <w:kern w:val="0"/>
          <w:sz w:val="32"/>
          <w:szCs w:val="32"/>
        </w:rPr>
        <w:t>5.3.1数据预处理、差异数据的重新检测或第三方验证以及是否纳入最终数据统计、对异常值或缺失值的处理、研究过程中是否涉及对方案的修改。</w:t>
      </w:r>
    </w:p>
    <w:p w14:paraId="042649D8">
      <w:pPr>
        <w:spacing w:line="480" w:lineRule="exact"/>
        <w:ind w:firstLine="640" w:firstLineChars="200"/>
        <w:rPr>
          <w:rFonts w:eastAsia="仿宋_GB2312"/>
          <w:kern w:val="0"/>
          <w:sz w:val="32"/>
          <w:szCs w:val="32"/>
        </w:rPr>
      </w:pPr>
      <w:r>
        <w:rPr>
          <w:rFonts w:eastAsia="仿宋_GB2312"/>
          <w:kern w:val="0"/>
          <w:sz w:val="32"/>
          <w:szCs w:val="32"/>
        </w:rPr>
        <w:t>5.3.2结果的一致性分析</w:t>
      </w:r>
    </w:p>
    <w:p w14:paraId="4C88F8D3">
      <w:pPr>
        <w:spacing w:line="480" w:lineRule="exact"/>
        <w:ind w:firstLine="640" w:firstLineChars="200"/>
        <w:rPr>
          <w:rFonts w:eastAsia="仿宋_GB2312"/>
          <w:kern w:val="0"/>
          <w:sz w:val="32"/>
          <w:szCs w:val="32"/>
        </w:rPr>
      </w:pPr>
      <w:r>
        <w:rPr>
          <w:rFonts w:eastAsia="仿宋_GB2312"/>
          <w:kern w:val="0"/>
          <w:sz w:val="32"/>
          <w:szCs w:val="32"/>
        </w:rPr>
        <w:t>计算阳性符合率、阴性符合率、总体符合率，采用适当的统计学方法，如四格表卡方检验或kappa检验以验证两种试剂定性结果的一致性。</w:t>
      </w:r>
    </w:p>
    <w:p w14:paraId="6EEF0C41">
      <w:pPr>
        <w:spacing w:line="480" w:lineRule="exact"/>
        <w:ind w:firstLine="640" w:firstLineChars="200"/>
        <w:rPr>
          <w:rFonts w:eastAsia="仿宋_GB2312"/>
          <w:kern w:val="0"/>
          <w:sz w:val="32"/>
          <w:szCs w:val="32"/>
        </w:rPr>
      </w:pPr>
      <w:r>
        <w:rPr>
          <w:rFonts w:eastAsia="仿宋_GB2312"/>
          <w:kern w:val="0"/>
          <w:sz w:val="32"/>
          <w:szCs w:val="32"/>
        </w:rPr>
        <w:t>5.4讨论和结论</w:t>
      </w:r>
    </w:p>
    <w:p w14:paraId="217C89EC">
      <w:pPr>
        <w:spacing w:line="480" w:lineRule="exact"/>
        <w:ind w:firstLine="640" w:firstLineChars="200"/>
        <w:rPr>
          <w:rFonts w:eastAsia="仿宋_GB2312"/>
          <w:kern w:val="0"/>
          <w:sz w:val="32"/>
          <w:szCs w:val="32"/>
        </w:rPr>
      </w:pPr>
      <w:r>
        <w:rPr>
          <w:rFonts w:eastAsia="仿宋_GB2312"/>
          <w:kern w:val="0"/>
          <w:sz w:val="32"/>
          <w:szCs w:val="32"/>
        </w:rPr>
        <w:t>对总体结果进行总结性描述并简要分析试验结果，对本次临床研究有无特别说明，最后得出临床试验结论。</w:t>
      </w:r>
    </w:p>
    <w:p w14:paraId="6F2733EF">
      <w:pPr>
        <w:spacing w:line="480" w:lineRule="exact"/>
        <w:ind w:firstLine="640" w:firstLineChars="200"/>
        <w:outlineLvl w:val="1"/>
        <w:rPr>
          <w:rFonts w:eastAsia="楷体_GB2312"/>
          <w:sz w:val="32"/>
          <w:szCs w:val="32"/>
        </w:rPr>
      </w:pPr>
      <w:r>
        <w:rPr>
          <w:rFonts w:eastAsia="楷体_GB2312"/>
          <w:sz w:val="32"/>
          <w:szCs w:val="32"/>
        </w:rPr>
        <w:t>（八）产品技术要求</w:t>
      </w:r>
    </w:p>
    <w:p w14:paraId="437DCCC7">
      <w:pPr>
        <w:spacing w:line="480" w:lineRule="exact"/>
        <w:ind w:firstLine="640" w:firstLineChars="200"/>
        <w:rPr>
          <w:rFonts w:eastAsia="仿宋_GB2312"/>
          <w:kern w:val="0"/>
          <w:sz w:val="32"/>
          <w:szCs w:val="32"/>
        </w:rPr>
      </w:pPr>
      <w:r>
        <w:rPr>
          <w:rFonts w:eastAsia="仿宋_GB2312"/>
          <w:kern w:val="0"/>
          <w:sz w:val="32"/>
          <w:szCs w:val="32"/>
        </w:rPr>
        <w:t>申请人应当在原材料质量和生产工艺稳定的前提下，根据申请人产品研制情况、依据国家标准、行业标准及有关文献，按照《医疗器械产品技术要求编写指导原则》（国家食品药品监督管理总局通告2014年第9号）的有关要求，编写产品技术要求。</w:t>
      </w:r>
    </w:p>
    <w:p w14:paraId="340D1F5F">
      <w:pPr>
        <w:spacing w:line="480" w:lineRule="exact"/>
        <w:ind w:firstLine="640" w:firstLineChars="200"/>
        <w:rPr>
          <w:rFonts w:eastAsia="仿宋_GB2312"/>
          <w:kern w:val="0"/>
          <w:sz w:val="32"/>
          <w:szCs w:val="32"/>
        </w:rPr>
      </w:pPr>
      <w:r>
        <w:rPr>
          <w:rFonts w:eastAsia="仿宋_GB2312"/>
          <w:kern w:val="0"/>
          <w:sz w:val="32"/>
          <w:szCs w:val="32"/>
        </w:rPr>
        <w:t>呼吸道病毒核酸检测试剂的产品性能指标应主要包括：物理性状、阴/阳性参考品符合率、精密度、最低检测限等。如果申报试剂已有适用的国家标准品、参考品发布，则申请人应在产品技术要求中提出检测要求。</w:t>
      </w:r>
    </w:p>
    <w:p w14:paraId="67AA8CB0">
      <w:pPr>
        <w:spacing w:line="480" w:lineRule="exact"/>
        <w:ind w:firstLine="640" w:firstLineChars="200"/>
        <w:rPr>
          <w:rFonts w:eastAsia="仿宋_GB2312"/>
          <w:kern w:val="0"/>
          <w:sz w:val="32"/>
          <w:szCs w:val="32"/>
        </w:rPr>
      </w:pPr>
      <w:r>
        <w:rPr>
          <w:rFonts w:eastAsia="仿宋_GB2312"/>
          <w:kern w:val="0"/>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14:paraId="4CB822E5">
      <w:pPr>
        <w:spacing w:line="480" w:lineRule="exact"/>
        <w:ind w:firstLine="640" w:firstLineChars="200"/>
        <w:outlineLvl w:val="1"/>
        <w:rPr>
          <w:rFonts w:eastAsia="楷体_GB2312"/>
          <w:sz w:val="32"/>
          <w:szCs w:val="32"/>
        </w:rPr>
      </w:pPr>
      <w:r>
        <w:rPr>
          <w:rFonts w:eastAsia="楷体_GB2312"/>
          <w:sz w:val="32"/>
          <w:szCs w:val="32"/>
        </w:rPr>
        <w:t>（九）产品注册检验报告</w:t>
      </w:r>
    </w:p>
    <w:p w14:paraId="7768122F">
      <w:pPr>
        <w:spacing w:line="480" w:lineRule="exact"/>
        <w:ind w:firstLine="640" w:firstLineChars="200"/>
        <w:outlineLvl w:val="1"/>
        <w:rPr>
          <w:rFonts w:eastAsia="仿宋_GB2312"/>
          <w:kern w:val="0"/>
          <w:sz w:val="32"/>
          <w:szCs w:val="32"/>
        </w:rPr>
      </w:pPr>
      <w:r>
        <w:rPr>
          <w:rFonts w:eastAsia="仿宋_GB2312"/>
          <w:kern w:val="0"/>
          <w:sz w:val="32"/>
          <w:szCs w:val="32"/>
        </w:rPr>
        <w:t>应提供该产品符合产品技术要求的、在具有相应医疗器械检验资质和承检范围的医疗器械检验机构进行的产品检验报告；应提供连续3个生产批次样品的检验合格报告。</w:t>
      </w:r>
    </w:p>
    <w:p w14:paraId="0DB7A0B1">
      <w:pPr>
        <w:spacing w:line="480" w:lineRule="exact"/>
        <w:ind w:firstLine="640" w:firstLineChars="200"/>
        <w:outlineLvl w:val="1"/>
        <w:rPr>
          <w:rFonts w:eastAsia="楷体_GB2312"/>
          <w:sz w:val="32"/>
          <w:szCs w:val="32"/>
        </w:rPr>
      </w:pPr>
      <w:r>
        <w:rPr>
          <w:rFonts w:eastAsia="楷体_GB2312"/>
          <w:sz w:val="32"/>
          <w:szCs w:val="32"/>
        </w:rPr>
        <w:t>（十）产品说明书</w:t>
      </w:r>
    </w:p>
    <w:p w14:paraId="4D8FF22D">
      <w:pPr>
        <w:spacing w:line="480" w:lineRule="exact"/>
        <w:ind w:firstLine="640" w:firstLineChars="200"/>
        <w:rPr>
          <w:rFonts w:eastAsia="仿宋_GB2312"/>
          <w:kern w:val="0"/>
          <w:sz w:val="32"/>
          <w:szCs w:val="32"/>
        </w:rPr>
      </w:pPr>
      <w:r>
        <w:rPr>
          <w:rFonts w:eastAsia="仿宋_GB2312"/>
          <w:kern w:val="0"/>
          <w:sz w:val="32"/>
          <w:szCs w:val="32"/>
        </w:rPr>
        <w:t>结合《体外诊断试剂说明书编写指导原则》的要求，下面对呼吸道病毒核酸检测试剂说明书的重点内容进行详细说明，以指导注册申报人员更合理地完成说明书编制。</w:t>
      </w:r>
    </w:p>
    <w:p w14:paraId="0036234C">
      <w:pPr>
        <w:spacing w:line="480" w:lineRule="exact"/>
        <w:ind w:firstLine="640" w:firstLineChars="200"/>
        <w:rPr>
          <w:rFonts w:eastAsia="仿宋_GB2312"/>
          <w:kern w:val="0"/>
          <w:sz w:val="32"/>
          <w:szCs w:val="32"/>
        </w:rPr>
      </w:pPr>
      <w:r>
        <w:rPr>
          <w:rFonts w:eastAsia="仿宋_GB2312"/>
          <w:kern w:val="0"/>
          <w:sz w:val="32"/>
          <w:szCs w:val="32"/>
        </w:rPr>
        <w:t>1.【预期用途】</w:t>
      </w:r>
    </w:p>
    <w:p w14:paraId="29D9A338">
      <w:pPr>
        <w:spacing w:line="480" w:lineRule="exact"/>
        <w:ind w:firstLine="640" w:firstLineChars="200"/>
        <w:rPr>
          <w:rFonts w:eastAsia="仿宋_GB2312"/>
          <w:kern w:val="0"/>
          <w:sz w:val="32"/>
          <w:szCs w:val="32"/>
        </w:rPr>
      </w:pPr>
      <w:r>
        <w:rPr>
          <w:rFonts w:eastAsia="仿宋_GB2312"/>
          <w:kern w:val="0"/>
          <w:sz w:val="32"/>
          <w:szCs w:val="32"/>
        </w:rPr>
        <w:t>1.1首段：本产品用于定性检测人鼻咽拭子、咽拭子或其他样本的××、××呼吸道病毒核酸。</w:t>
      </w:r>
    </w:p>
    <w:p w14:paraId="7602C217">
      <w:pPr>
        <w:spacing w:line="480" w:lineRule="exact"/>
        <w:ind w:firstLine="640" w:firstLineChars="200"/>
        <w:rPr>
          <w:rFonts w:eastAsia="仿宋_GB2312"/>
          <w:kern w:val="0"/>
          <w:sz w:val="32"/>
          <w:szCs w:val="32"/>
        </w:rPr>
      </w:pPr>
      <w:r>
        <w:rPr>
          <w:rFonts w:eastAsia="仿宋_GB2312"/>
          <w:kern w:val="0"/>
          <w:sz w:val="32"/>
          <w:szCs w:val="32"/>
        </w:rPr>
        <w:t>适用样本类型应结合实际的临床研究完成情况进行确认。应明确所有可检测的病毒种类及亚型。</w:t>
      </w:r>
    </w:p>
    <w:p w14:paraId="63BB4EC7">
      <w:pPr>
        <w:spacing w:line="480" w:lineRule="exact"/>
        <w:ind w:firstLine="640" w:firstLineChars="200"/>
        <w:rPr>
          <w:rFonts w:eastAsia="仿宋_GB2312"/>
          <w:kern w:val="0"/>
          <w:sz w:val="32"/>
          <w:szCs w:val="32"/>
        </w:rPr>
      </w:pPr>
      <w:r>
        <w:rPr>
          <w:rFonts w:eastAsia="仿宋_GB2312"/>
          <w:kern w:val="0"/>
          <w:sz w:val="32"/>
          <w:szCs w:val="32"/>
        </w:rPr>
        <w:t>1.2简单介绍待测目标的特征，如病毒种系渊源、生物学性状、宿主特性、致病性、感染后临床表现、待测靶基因特征等。明确呼吸道病毒核酸试剂的临床意义，通过对有呼吸道感染体征和症状的个体检测和鉴别特异性病毒核酸，联合其他临床和实验室结果以辅助诊断呼吸道病毒感染。</w:t>
      </w:r>
    </w:p>
    <w:p w14:paraId="60F7F2CA">
      <w:pPr>
        <w:spacing w:line="480" w:lineRule="exact"/>
        <w:ind w:firstLine="640" w:firstLineChars="200"/>
        <w:rPr>
          <w:rFonts w:eastAsia="仿宋_GB2312"/>
          <w:kern w:val="0"/>
          <w:sz w:val="32"/>
          <w:szCs w:val="32"/>
        </w:rPr>
      </w:pPr>
      <w:r>
        <w:rPr>
          <w:rFonts w:eastAsia="仿宋_GB2312"/>
          <w:kern w:val="0"/>
          <w:sz w:val="32"/>
          <w:szCs w:val="32"/>
        </w:rPr>
        <w:t>1.3阴性结果不能排除呼吸道病毒感染，不能用作诊断、治疗或其他管理决策的唯一依据。</w:t>
      </w:r>
    </w:p>
    <w:p w14:paraId="593ABF30">
      <w:pPr>
        <w:spacing w:line="480" w:lineRule="exact"/>
        <w:ind w:firstLine="640" w:firstLineChars="200"/>
        <w:rPr>
          <w:rFonts w:eastAsia="仿宋_GB2312"/>
          <w:kern w:val="0"/>
          <w:sz w:val="32"/>
          <w:szCs w:val="32"/>
        </w:rPr>
      </w:pPr>
      <w:r>
        <w:rPr>
          <w:rFonts w:eastAsia="仿宋_GB2312"/>
          <w:kern w:val="0"/>
          <w:sz w:val="32"/>
          <w:szCs w:val="32"/>
        </w:rPr>
        <w:t>1.4阳性结果不能排除检测指标外细菌感染或其他病毒混合感染情况。</w:t>
      </w:r>
    </w:p>
    <w:p w14:paraId="031E4428">
      <w:pPr>
        <w:spacing w:line="480" w:lineRule="exact"/>
        <w:ind w:firstLine="640" w:firstLineChars="200"/>
        <w:rPr>
          <w:rFonts w:eastAsia="仿宋_GB2312"/>
          <w:kern w:val="0"/>
          <w:sz w:val="32"/>
          <w:szCs w:val="32"/>
        </w:rPr>
      </w:pPr>
      <w:r>
        <w:rPr>
          <w:rFonts w:eastAsia="仿宋_GB2312"/>
          <w:kern w:val="0"/>
          <w:sz w:val="32"/>
          <w:szCs w:val="32"/>
        </w:rPr>
        <w:t>1.5待测人群特征介绍：具有呼吸道病毒感染症状的患者、相关的密切接触者、地域要求或年龄限制（如有）等，待测人群应与申报产品临床试验中入组人群一致。</w:t>
      </w:r>
    </w:p>
    <w:p w14:paraId="3AEB30A8">
      <w:pPr>
        <w:spacing w:line="480" w:lineRule="exact"/>
        <w:ind w:firstLine="640" w:firstLineChars="200"/>
        <w:rPr>
          <w:rFonts w:eastAsia="仿宋_GB2312"/>
          <w:kern w:val="0"/>
          <w:sz w:val="32"/>
          <w:szCs w:val="32"/>
        </w:rPr>
      </w:pPr>
      <w:r>
        <w:rPr>
          <w:rFonts w:eastAsia="仿宋_GB2312"/>
          <w:kern w:val="0"/>
          <w:sz w:val="32"/>
          <w:szCs w:val="32"/>
        </w:rPr>
        <w:t>1.6应强调实验操作人员应接受过基因扩增或分子生物学方法检测的专业培训，具备相关的实验操作资格，实验室应具备合理的生物安全防备设施及防护程序。</w:t>
      </w:r>
    </w:p>
    <w:p w14:paraId="43C13545">
      <w:pPr>
        <w:spacing w:line="480" w:lineRule="exact"/>
        <w:ind w:firstLine="640" w:firstLineChars="200"/>
        <w:rPr>
          <w:rFonts w:eastAsia="仿宋_GB2312"/>
          <w:kern w:val="0"/>
          <w:sz w:val="32"/>
          <w:szCs w:val="32"/>
        </w:rPr>
      </w:pPr>
      <w:r>
        <w:rPr>
          <w:rFonts w:eastAsia="仿宋_GB2312"/>
          <w:kern w:val="0"/>
          <w:sz w:val="32"/>
          <w:szCs w:val="32"/>
        </w:rPr>
        <w:t>2.【检验原理】</w:t>
      </w:r>
    </w:p>
    <w:p w14:paraId="0E1E404C">
      <w:pPr>
        <w:spacing w:line="480" w:lineRule="exact"/>
        <w:ind w:firstLine="640" w:firstLineChars="200"/>
        <w:rPr>
          <w:rFonts w:eastAsia="仿宋_GB2312"/>
          <w:kern w:val="0"/>
          <w:sz w:val="32"/>
          <w:szCs w:val="32"/>
        </w:rPr>
      </w:pPr>
      <w:r>
        <w:rPr>
          <w:rFonts w:eastAsia="仿宋_GB2312"/>
          <w:kern w:val="0"/>
          <w:sz w:val="32"/>
          <w:szCs w:val="32"/>
        </w:rPr>
        <w:t>详细说明试剂盒技术原理，及核酸分离/纯化方法、原理。说明检测的靶基因座位、序列长度等；介绍引物及探针设计、不同样品反应体系（管）组合、对照品（质控品）设置及荧光信号标记等。如添加了相关的防污染组分，也应对其作用机理作适当介绍。</w:t>
      </w:r>
    </w:p>
    <w:p w14:paraId="345DAC87">
      <w:pPr>
        <w:spacing w:line="480" w:lineRule="exact"/>
        <w:ind w:firstLine="640" w:firstLineChars="200"/>
        <w:rPr>
          <w:rFonts w:eastAsia="仿宋_GB2312"/>
          <w:kern w:val="0"/>
          <w:sz w:val="32"/>
          <w:szCs w:val="32"/>
        </w:rPr>
      </w:pPr>
      <w:r>
        <w:rPr>
          <w:rFonts w:eastAsia="仿宋_GB2312"/>
          <w:kern w:val="0"/>
          <w:sz w:val="32"/>
          <w:szCs w:val="32"/>
        </w:rPr>
        <w:t>3.【主要组成成分】</w:t>
      </w:r>
    </w:p>
    <w:p w14:paraId="12E49B56">
      <w:pPr>
        <w:spacing w:line="480" w:lineRule="exact"/>
        <w:ind w:firstLine="640" w:firstLineChars="200"/>
        <w:rPr>
          <w:rFonts w:eastAsia="仿宋_GB2312"/>
          <w:kern w:val="0"/>
          <w:sz w:val="32"/>
          <w:szCs w:val="32"/>
        </w:rPr>
      </w:pPr>
      <w:r>
        <w:rPr>
          <w:rFonts w:eastAsia="仿宋_GB2312"/>
          <w:kern w:val="0"/>
          <w:sz w:val="32"/>
          <w:szCs w:val="32"/>
        </w:rPr>
        <w:t>3.1说明试剂盒包含组分的名称、数量、比例或浓度等信息，阴性/阳性对照品（或质控品）可能含有人源组分，应提供其生物学来源、活性及其他特性；明确不同批号试剂盒中各组分是否可以互换。</w:t>
      </w:r>
    </w:p>
    <w:p w14:paraId="7FA3B320">
      <w:pPr>
        <w:spacing w:line="480" w:lineRule="exact"/>
        <w:ind w:firstLine="640" w:firstLineChars="200"/>
        <w:rPr>
          <w:rFonts w:eastAsia="仿宋_GB2312"/>
          <w:kern w:val="0"/>
          <w:sz w:val="32"/>
          <w:szCs w:val="32"/>
        </w:rPr>
      </w:pPr>
      <w:r>
        <w:rPr>
          <w:rFonts w:eastAsia="仿宋_GB2312"/>
          <w:kern w:val="0"/>
          <w:sz w:val="32"/>
          <w:szCs w:val="32"/>
        </w:rPr>
        <w:t>3.2试剂盒中不包含但对该项检测必须的组分，企业应列出相关试剂/耗材的</w:t>
      </w:r>
      <w:r>
        <w:rPr>
          <w:rFonts w:eastAsia="仿宋_GB2312"/>
          <w:spacing w:val="-2"/>
          <w:kern w:val="0"/>
          <w:sz w:val="32"/>
          <w:szCs w:val="32"/>
        </w:rPr>
        <w:t>生产企业、产品名称、货号以及医疗器械注册证号/备案号（如有）等详细信息。</w:t>
      </w:r>
    </w:p>
    <w:p w14:paraId="0EF6C1FC">
      <w:pPr>
        <w:spacing w:line="480" w:lineRule="exact"/>
        <w:ind w:firstLine="640" w:firstLineChars="200"/>
        <w:rPr>
          <w:rFonts w:eastAsia="仿宋_GB2312"/>
          <w:spacing w:val="-2"/>
          <w:kern w:val="0"/>
          <w:sz w:val="32"/>
          <w:szCs w:val="32"/>
        </w:rPr>
      </w:pPr>
      <w:r>
        <w:rPr>
          <w:rFonts w:eastAsia="仿宋_GB2312"/>
          <w:kern w:val="0"/>
          <w:sz w:val="32"/>
          <w:szCs w:val="32"/>
        </w:rPr>
        <w:t>3.3如果试剂盒中不包含用于核酸分离/纯化的试剂组分，则应在此注明经验证后推荐配合使用的商品化核酸分离/纯化试剂盒的</w:t>
      </w:r>
      <w:r>
        <w:rPr>
          <w:rFonts w:eastAsia="仿宋_GB2312"/>
          <w:spacing w:val="-2"/>
          <w:kern w:val="0"/>
          <w:sz w:val="32"/>
          <w:szCs w:val="32"/>
        </w:rPr>
        <w:t>如上信息。</w:t>
      </w:r>
    </w:p>
    <w:p w14:paraId="03B62948">
      <w:pPr>
        <w:spacing w:line="480" w:lineRule="exact"/>
        <w:ind w:firstLine="640" w:firstLineChars="200"/>
        <w:rPr>
          <w:rFonts w:eastAsia="仿宋_GB2312"/>
          <w:kern w:val="0"/>
          <w:sz w:val="32"/>
          <w:szCs w:val="32"/>
        </w:rPr>
      </w:pPr>
      <w:r>
        <w:rPr>
          <w:rFonts w:eastAsia="仿宋_GB2312"/>
          <w:kern w:val="0"/>
          <w:sz w:val="32"/>
          <w:szCs w:val="32"/>
        </w:rPr>
        <w:t>4.【储存条件及有效期】</w:t>
      </w:r>
    </w:p>
    <w:p w14:paraId="61F618C0">
      <w:pPr>
        <w:spacing w:line="480" w:lineRule="exact"/>
        <w:ind w:firstLine="640" w:firstLineChars="200"/>
        <w:rPr>
          <w:rFonts w:eastAsia="仿宋_GB2312"/>
          <w:kern w:val="0"/>
          <w:sz w:val="32"/>
          <w:szCs w:val="32"/>
        </w:rPr>
      </w:pPr>
      <w:r>
        <w:rPr>
          <w:rFonts w:eastAsia="仿宋_GB2312"/>
          <w:kern w:val="0"/>
          <w:sz w:val="32"/>
          <w:szCs w:val="32"/>
        </w:rPr>
        <w:t>试剂盒的效期稳定性、开瓶稳定性、复溶稳定性、冻融次数要求等，应与相应的稳定性研究结论一致。</w:t>
      </w:r>
    </w:p>
    <w:p w14:paraId="6D14FD32">
      <w:pPr>
        <w:spacing w:line="480" w:lineRule="exact"/>
        <w:ind w:firstLine="640" w:firstLineChars="200"/>
        <w:rPr>
          <w:rFonts w:eastAsia="仿宋_GB2312"/>
          <w:kern w:val="0"/>
          <w:sz w:val="32"/>
          <w:szCs w:val="32"/>
        </w:rPr>
      </w:pPr>
      <w:r>
        <w:rPr>
          <w:rFonts w:eastAsia="仿宋_GB2312"/>
          <w:kern w:val="0"/>
          <w:sz w:val="32"/>
          <w:szCs w:val="32"/>
        </w:rPr>
        <w:t>5.【适用仪器】</w:t>
      </w:r>
    </w:p>
    <w:p w14:paraId="0B832FBF">
      <w:pPr>
        <w:spacing w:line="480" w:lineRule="exact"/>
        <w:ind w:firstLine="640" w:firstLineChars="200"/>
        <w:rPr>
          <w:rFonts w:eastAsia="仿宋_GB2312"/>
          <w:kern w:val="0"/>
          <w:sz w:val="32"/>
          <w:szCs w:val="32"/>
        </w:rPr>
      </w:pPr>
      <w:r>
        <w:rPr>
          <w:rFonts w:eastAsia="仿宋_GB2312"/>
          <w:kern w:val="0"/>
          <w:sz w:val="32"/>
          <w:szCs w:val="32"/>
        </w:rPr>
        <w:t>所有适用的仪器型号，提供仪器的生</w:t>
      </w:r>
      <w:r>
        <w:rPr>
          <w:rFonts w:eastAsia="仿宋_GB2312"/>
          <w:spacing w:val="-2"/>
          <w:kern w:val="0"/>
          <w:sz w:val="32"/>
          <w:szCs w:val="32"/>
        </w:rPr>
        <w:t>产企业、产品名称、型号以及医疗器械注册证号/备案号（如有）等详细信息，</w:t>
      </w:r>
      <w:r>
        <w:rPr>
          <w:rFonts w:eastAsia="仿宋_GB2312"/>
          <w:kern w:val="0"/>
          <w:sz w:val="32"/>
          <w:szCs w:val="32"/>
        </w:rPr>
        <w:t>以指导用户操作。</w:t>
      </w:r>
    </w:p>
    <w:p w14:paraId="5E6C631A">
      <w:pPr>
        <w:spacing w:line="480" w:lineRule="exact"/>
        <w:ind w:firstLine="640" w:firstLineChars="200"/>
        <w:rPr>
          <w:rFonts w:eastAsia="仿宋_GB2312"/>
          <w:kern w:val="0"/>
          <w:sz w:val="32"/>
          <w:szCs w:val="32"/>
        </w:rPr>
      </w:pPr>
      <w:r>
        <w:rPr>
          <w:rFonts w:eastAsia="仿宋_GB2312"/>
          <w:kern w:val="0"/>
          <w:sz w:val="32"/>
          <w:szCs w:val="32"/>
        </w:rPr>
        <w:t>6.【样本要求】重点明确以下内容：</w:t>
      </w:r>
    </w:p>
    <w:p w14:paraId="38A7D46D">
      <w:pPr>
        <w:spacing w:line="480" w:lineRule="exact"/>
        <w:ind w:firstLine="640" w:firstLineChars="200"/>
        <w:rPr>
          <w:rFonts w:eastAsia="仿宋_GB2312"/>
          <w:kern w:val="0"/>
          <w:sz w:val="32"/>
          <w:szCs w:val="32"/>
        </w:rPr>
      </w:pPr>
      <w:r>
        <w:rPr>
          <w:rFonts w:eastAsia="仿宋_GB2312"/>
          <w:kern w:val="0"/>
          <w:sz w:val="32"/>
          <w:szCs w:val="32"/>
        </w:rPr>
        <w:t>6.1样本采集时间点的选择：是否受临床症状、用药情况等因素的影响。</w:t>
      </w:r>
    </w:p>
    <w:p w14:paraId="5155CD53">
      <w:pPr>
        <w:spacing w:line="480" w:lineRule="exact"/>
        <w:ind w:firstLine="640" w:firstLineChars="200"/>
        <w:rPr>
          <w:rFonts w:eastAsia="仿宋_GB2312"/>
          <w:kern w:val="0"/>
          <w:sz w:val="32"/>
          <w:szCs w:val="32"/>
        </w:rPr>
      </w:pPr>
      <w:r>
        <w:rPr>
          <w:rFonts w:eastAsia="仿宋_GB2312"/>
          <w:kern w:val="0"/>
          <w:sz w:val="32"/>
          <w:szCs w:val="32"/>
        </w:rPr>
        <w:t>6.2对采样拭子、容器及保存液的要求：对采样拭子的材质要求（包括对拭子头和拭子杆的要求）、保存容器、转运保存液的要求、转运条件等。</w:t>
      </w:r>
    </w:p>
    <w:p w14:paraId="1D1FA19E">
      <w:pPr>
        <w:spacing w:line="480" w:lineRule="exact"/>
        <w:ind w:firstLine="640" w:firstLineChars="200"/>
        <w:rPr>
          <w:rFonts w:eastAsia="仿宋_GB2312"/>
          <w:kern w:val="0"/>
          <w:sz w:val="32"/>
          <w:szCs w:val="32"/>
        </w:rPr>
      </w:pPr>
      <w:r>
        <w:rPr>
          <w:rFonts w:eastAsia="仿宋_GB2312"/>
          <w:kern w:val="0"/>
          <w:sz w:val="32"/>
          <w:szCs w:val="32"/>
        </w:rPr>
        <w:t>6.3样本采集：具体采集部位及类型，详述具体的操作方法或列出相关操作指南文件以指导使用者（最好能够给出具体图示），尽量减少由于样本采集或处理不当对实验造成的影响。样本的取材及处理方式等若有通用的技术规范或指南，则应遵循，并在此处引用。</w:t>
      </w:r>
    </w:p>
    <w:p w14:paraId="5A98D85E">
      <w:pPr>
        <w:spacing w:line="480" w:lineRule="exact"/>
        <w:ind w:firstLine="640" w:firstLineChars="200"/>
        <w:rPr>
          <w:rFonts w:eastAsia="仿宋_GB2312"/>
          <w:kern w:val="0"/>
          <w:sz w:val="32"/>
          <w:szCs w:val="32"/>
        </w:rPr>
      </w:pPr>
      <w:r>
        <w:rPr>
          <w:rFonts w:eastAsia="仿宋_GB2312"/>
          <w:kern w:val="0"/>
          <w:sz w:val="32"/>
          <w:szCs w:val="32"/>
        </w:rPr>
        <w:t>6.4样本处理及保存：核酸提取前的预处理、保存条件及期限（短期、长期）等。冷藏/冷冻样本检测前是否须恢复室温，冻融次数限制。有关描述均应建立在相关性能评价及稳定性研究的基础上。</w:t>
      </w:r>
    </w:p>
    <w:p w14:paraId="56CD2D35">
      <w:pPr>
        <w:spacing w:line="480" w:lineRule="exact"/>
        <w:ind w:firstLine="640" w:firstLineChars="200"/>
        <w:rPr>
          <w:rFonts w:eastAsia="仿宋_GB2312"/>
          <w:kern w:val="0"/>
          <w:sz w:val="32"/>
          <w:szCs w:val="32"/>
        </w:rPr>
      </w:pPr>
      <w:r>
        <w:rPr>
          <w:rFonts w:eastAsia="仿宋_GB2312"/>
          <w:kern w:val="0"/>
          <w:sz w:val="32"/>
          <w:szCs w:val="32"/>
        </w:rPr>
        <w:t>7.【检验方法】详细说明实验操作的各个步骤，包括：</w:t>
      </w:r>
    </w:p>
    <w:p w14:paraId="185C62BE">
      <w:pPr>
        <w:spacing w:line="480" w:lineRule="exact"/>
        <w:ind w:firstLine="640" w:firstLineChars="200"/>
        <w:rPr>
          <w:rFonts w:eastAsia="仿宋_GB2312"/>
          <w:kern w:val="0"/>
          <w:sz w:val="32"/>
          <w:szCs w:val="32"/>
        </w:rPr>
      </w:pPr>
      <w:r>
        <w:rPr>
          <w:rFonts w:eastAsia="仿宋_GB2312"/>
          <w:kern w:val="0"/>
          <w:sz w:val="32"/>
          <w:szCs w:val="32"/>
        </w:rPr>
        <w:t>7.1试剂配制方法、注意事项。</w:t>
      </w:r>
    </w:p>
    <w:p w14:paraId="7263B87E">
      <w:pPr>
        <w:spacing w:line="480" w:lineRule="exact"/>
        <w:ind w:firstLine="640" w:firstLineChars="200"/>
        <w:rPr>
          <w:rFonts w:eastAsia="仿宋_GB2312"/>
          <w:kern w:val="0"/>
          <w:sz w:val="32"/>
          <w:szCs w:val="32"/>
        </w:rPr>
      </w:pPr>
      <w:r>
        <w:rPr>
          <w:rFonts w:eastAsia="仿宋_GB2312"/>
          <w:kern w:val="0"/>
          <w:sz w:val="32"/>
          <w:szCs w:val="32"/>
        </w:rPr>
        <w:t>7.2核酸分离/纯化的条件、步骤及注意事项。对照品（质控品）参与样本核酸的平行提取要求等。应对核酸浓度、纯度等指标提出质量要求。</w:t>
      </w:r>
    </w:p>
    <w:p w14:paraId="60B7F734">
      <w:pPr>
        <w:spacing w:line="480" w:lineRule="exact"/>
        <w:ind w:firstLine="640" w:firstLineChars="200"/>
        <w:rPr>
          <w:rFonts w:eastAsia="仿宋_GB2312"/>
          <w:kern w:val="0"/>
          <w:sz w:val="32"/>
          <w:szCs w:val="32"/>
        </w:rPr>
      </w:pPr>
      <w:r>
        <w:rPr>
          <w:rFonts w:eastAsia="仿宋_GB2312"/>
          <w:kern w:val="0"/>
          <w:sz w:val="32"/>
          <w:szCs w:val="32"/>
        </w:rPr>
        <w:t>7.3扩增反应前准备：各组分加样体积、顺序、相关注意事项等。</w:t>
      </w:r>
    </w:p>
    <w:p w14:paraId="3E326AED">
      <w:pPr>
        <w:spacing w:line="480" w:lineRule="exact"/>
        <w:ind w:firstLine="640" w:firstLineChars="200"/>
        <w:rPr>
          <w:rFonts w:eastAsia="仿宋_GB2312"/>
          <w:kern w:val="0"/>
          <w:sz w:val="32"/>
          <w:szCs w:val="32"/>
        </w:rPr>
      </w:pPr>
      <w:r>
        <w:rPr>
          <w:rFonts w:eastAsia="仿宋_GB2312"/>
          <w:kern w:val="0"/>
          <w:sz w:val="32"/>
          <w:szCs w:val="32"/>
        </w:rPr>
        <w:t>7.4逆转录过程的温度和时间设置、PCR各阶段的温度、时间、循环数设置及相关注意事项。</w:t>
      </w:r>
    </w:p>
    <w:p w14:paraId="7CB1AD88">
      <w:pPr>
        <w:spacing w:line="480" w:lineRule="exact"/>
        <w:ind w:firstLine="640" w:firstLineChars="200"/>
        <w:rPr>
          <w:rFonts w:eastAsia="仿宋_GB2312"/>
          <w:spacing w:val="-4"/>
          <w:kern w:val="0"/>
          <w:sz w:val="32"/>
          <w:szCs w:val="32"/>
        </w:rPr>
      </w:pPr>
      <w:r>
        <w:rPr>
          <w:rFonts w:eastAsia="仿宋_GB2312"/>
          <w:kern w:val="0"/>
          <w:sz w:val="32"/>
          <w:szCs w:val="32"/>
        </w:rPr>
        <w:t>7.5</w:t>
      </w:r>
      <w:r>
        <w:rPr>
          <w:rFonts w:eastAsia="仿宋_GB2312"/>
          <w:spacing w:val="-4"/>
          <w:kern w:val="0"/>
          <w:sz w:val="32"/>
          <w:szCs w:val="32"/>
        </w:rPr>
        <w:t>仪器设置：特殊参数，待测基因、内标的荧光通道选择等。</w:t>
      </w:r>
    </w:p>
    <w:p w14:paraId="3D18795D">
      <w:pPr>
        <w:spacing w:line="480" w:lineRule="exact"/>
        <w:ind w:firstLine="640" w:firstLineChars="200"/>
        <w:rPr>
          <w:rFonts w:eastAsia="仿宋_GB2312"/>
          <w:kern w:val="0"/>
          <w:sz w:val="32"/>
          <w:szCs w:val="32"/>
        </w:rPr>
      </w:pPr>
      <w:r>
        <w:rPr>
          <w:rFonts w:eastAsia="仿宋_GB2312"/>
          <w:kern w:val="0"/>
          <w:sz w:val="32"/>
          <w:szCs w:val="32"/>
        </w:rPr>
        <w:t>7.6质量控制：说明对照品（质控品）的检测要求。质控品如不与申报产品一同提供，应说明质控品规格，包括病毒水平、病毒来源、灭活方法和生物安全性测定方法。</w:t>
      </w:r>
    </w:p>
    <w:p w14:paraId="7A398B3C">
      <w:pPr>
        <w:spacing w:line="480" w:lineRule="exact"/>
        <w:ind w:firstLine="640" w:firstLineChars="200"/>
        <w:rPr>
          <w:rFonts w:eastAsia="仿宋_GB2312"/>
          <w:kern w:val="0"/>
          <w:sz w:val="32"/>
          <w:szCs w:val="32"/>
        </w:rPr>
      </w:pPr>
      <w:r>
        <w:rPr>
          <w:rFonts w:eastAsia="仿宋_GB2312"/>
          <w:kern w:val="0"/>
          <w:sz w:val="32"/>
          <w:szCs w:val="32"/>
        </w:rPr>
        <w:t>8.【阳性判断值】</w:t>
      </w:r>
    </w:p>
    <w:p w14:paraId="483DF1F2">
      <w:pPr>
        <w:spacing w:line="480" w:lineRule="exact"/>
        <w:ind w:firstLine="640" w:firstLineChars="200"/>
        <w:rPr>
          <w:rFonts w:eastAsia="仿宋_GB2312"/>
          <w:kern w:val="0"/>
          <w:sz w:val="32"/>
          <w:szCs w:val="32"/>
        </w:rPr>
      </w:pPr>
      <w:r>
        <w:rPr>
          <w:rFonts w:eastAsia="仿宋_GB2312"/>
          <w:kern w:val="0"/>
          <w:sz w:val="32"/>
          <w:szCs w:val="32"/>
        </w:rPr>
        <w:t>简要总结阳性判断值研究方法及结论。</w:t>
      </w:r>
    </w:p>
    <w:p w14:paraId="1F8DC240">
      <w:pPr>
        <w:spacing w:line="480" w:lineRule="exact"/>
        <w:ind w:firstLine="640" w:firstLineChars="200"/>
        <w:rPr>
          <w:rFonts w:eastAsia="仿宋_GB2312"/>
          <w:kern w:val="0"/>
          <w:sz w:val="32"/>
          <w:szCs w:val="32"/>
        </w:rPr>
      </w:pPr>
      <w:r>
        <w:rPr>
          <w:rFonts w:eastAsia="仿宋_GB2312"/>
          <w:kern w:val="0"/>
          <w:sz w:val="32"/>
          <w:szCs w:val="32"/>
        </w:rPr>
        <w:t>9.【检验结果的解释】</w:t>
      </w:r>
    </w:p>
    <w:p w14:paraId="6E86CEF3">
      <w:pPr>
        <w:spacing w:line="480" w:lineRule="exact"/>
        <w:ind w:firstLine="640" w:firstLineChars="200"/>
        <w:rPr>
          <w:rFonts w:eastAsia="仿宋_GB2312"/>
          <w:kern w:val="0"/>
          <w:sz w:val="32"/>
          <w:szCs w:val="32"/>
        </w:rPr>
      </w:pPr>
      <w:r>
        <w:rPr>
          <w:rFonts w:eastAsia="仿宋_GB2312"/>
          <w:kern w:val="0"/>
          <w:sz w:val="32"/>
          <w:szCs w:val="32"/>
        </w:rPr>
        <w:t>结合对照品（质控品）以及样本管中靶基因和内标的检测结果，对所有可能出现的结果组合及相应的解释进行详述。检验结果的解释应以阳性判断值的研究结论为依据。如有适用的临床诊疗或筛查指南，则应在此项下引用，相应检验结果的解释应符合相关指南的要求。</w:t>
      </w:r>
    </w:p>
    <w:p w14:paraId="74ABDA01">
      <w:pPr>
        <w:spacing w:line="480" w:lineRule="exact"/>
        <w:ind w:firstLine="640" w:firstLineChars="200"/>
        <w:rPr>
          <w:rFonts w:eastAsia="仿宋_GB2312"/>
          <w:kern w:val="0"/>
          <w:sz w:val="32"/>
          <w:szCs w:val="32"/>
        </w:rPr>
      </w:pPr>
      <w:r>
        <w:rPr>
          <w:rFonts w:eastAsia="仿宋_GB2312"/>
          <w:kern w:val="0"/>
          <w:sz w:val="32"/>
          <w:szCs w:val="32"/>
        </w:rPr>
        <w:t>10.【检验方法的局限性】</w:t>
      </w:r>
    </w:p>
    <w:p w14:paraId="23409861">
      <w:pPr>
        <w:spacing w:line="480" w:lineRule="exact"/>
        <w:ind w:firstLine="640" w:firstLineChars="200"/>
        <w:rPr>
          <w:rFonts w:eastAsia="仿宋_GB2312"/>
          <w:kern w:val="0"/>
          <w:sz w:val="32"/>
          <w:szCs w:val="32"/>
        </w:rPr>
      </w:pPr>
      <w:r>
        <w:rPr>
          <w:rFonts w:eastAsia="仿宋_GB2312"/>
          <w:kern w:val="0"/>
          <w:sz w:val="32"/>
          <w:szCs w:val="32"/>
        </w:rPr>
        <w:t>应至少包括如下描述：</w:t>
      </w:r>
    </w:p>
    <w:p w14:paraId="5BCFB049">
      <w:pPr>
        <w:spacing w:line="480" w:lineRule="exact"/>
        <w:ind w:firstLine="640" w:firstLineChars="200"/>
        <w:rPr>
          <w:rFonts w:eastAsia="仿宋_GB2312"/>
          <w:kern w:val="0"/>
          <w:sz w:val="32"/>
          <w:szCs w:val="32"/>
        </w:rPr>
      </w:pPr>
      <w:r>
        <w:rPr>
          <w:rFonts w:eastAsia="仿宋_GB2312"/>
          <w:kern w:val="0"/>
          <w:sz w:val="32"/>
          <w:szCs w:val="32"/>
        </w:rPr>
        <w:t>10.1本试剂检测结果应结合患者临床症状及其他相关医学检查结果进行综合分析，不得单独作为患者管理的依据。</w:t>
      </w:r>
    </w:p>
    <w:p w14:paraId="22436B81">
      <w:pPr>
        <w:spacing w:line="480" w:lineRule="exact"/>
        <w:ind w:firstLine="640" w:firstLineChars="200"/>
        <w:rPr>
          <w:rFonts w:eastAsia="仿宋_GB2312"/>
          <w:kern w:val="0"/>
          <w:sz w:val="32"/>
          <w:szCs w:val="32"/>
        </w:rPr>
      </w:pPr>
      <w:r>
        <w:rPr>
          <w:rFonts w:eastAsia="仿宋_GB2312"/>
          <w:kern w:val="0"/>
          <w:sz w:val="32"/>
          <w:szCs w:val="32"/>
        </w:rPr>
        <w:t>10.2检验的病毒核酸出现序列变异时会存在假阴性风险。</w:t>
      </w:r>
    </w:p>
    <w:p w14:paraId="5E7BAFE9">
      <w:pPr>
        <w:spacing w:line="480" w:lineRule="exact"/>
        <w:ind w:firstLine="640" w:firstLineChars="200"/>
        <w:rPr>
          <w:rFonts w:eastAsia="仿宋_GB2312"/>
          <w:kern w:val="0"/>
          <w:sz w:val="32"/>
          <w:szCs w:val="32"/>
        </w:rPr>
      </w:pPr>
      <w:r>
        <w:rPr>
          <w:rFonts w:eastAsia="仿宋_GB2312"/>
          <w:kern w:val="0"/>
          <w:sz w:val="32"/>
          <w:szCs w:val="32"/>
        </w:rPr>
        <w:t>10.3不合理的样本采集、转运及处理以及不当的实验操作和实验环境均有可能导致假阴性或假阳性结果。</w:t>
      </w:r>
    </w:p>
    <w:p w14:paraId="766586D6">
      <w:pPr>
        <w:spacing w:line="480" w:lineRule="exact"/>
        <w:ind w:firstLine="640" w:firstLineChars="200"/>
        <w:rPr>
          <w:rFonts w:eastAsia="仿宋_GB2312"/>
          <w:kern w:val="0"/>
          <w:sz w:val="32"/>
          <w:szCs w:val="32"/>
        </w:rPr>
      </w:pPr>
      <w:r>
        <w:rPr>
          <w:rFonts w:eastAsia="仿宋_GB2312"/>
          <w:kern w:val="0"/>
          <w:sz w:val="32"/>
          <w:szCs w:val="32"/>
        </w:rPr>
        <w:t>10.4申报产品应明确不同病程不同阶段样本的阳性率不一致。</w:t>
      </w:r>
    </w:p>
    <w:p w14:paraId="0498C05C">
      <w:pPr>
        <w:spacing w:line="480" w:lineRule="exact"/>
        <w:ind w:firstLine="640" w:firstLineChars="200"/>
        <w:rPr>
          <w:rFonts w:eastAsia="仿宋_GB2312"/>
          <w:kern w:val="0"/>
          <w:sz w:val="32"/>
          <w:szCs w:val="32"/>
        </w:rPr>
      </w:pPr>
      <w:r>
        <w:rPr>
          <w:rFonts w:eastAsia="仿宋_GB2312"/>
          <w:kern w:val="0"/>
          <w:sz w:val="32"/>
          <w:szCs w:val="32"/>
        </w:rPr>
        <w:t>10.5取标本期间，接种减毒活疫苗的患者可能会导致检测试剂检测结果呈阳性。</w:t>
      </w:r>
    </w:p>
    <w:p w14:paraId="2C031F2D">
      <w:pPr>
        <w:spacing w:line="480" w:lineRule="exact"/>
        <w:ind w:firstLine="640" w:firstLineChars="200"/>
        <w:rPr>
          <w:rFonts w:eastAsia="仿宋_GB2312"/>
          <w:kern w:val="0"/>
          <w:sz w:val="32"/>
          <w:szCs w:val="32"/>
        </w:rPr>
      </w:pPr>
      <w:r>
        <w:rPr>
          <w:rFonts w:eastAsia="仿宋_GB2312"/>
          <w:kern w:val="0"/>
          <w:sz w:val="32"/>
          <w:szCs w:val="32"/>
        </w:rPr>
        <w:t>10.6阳性和阴性预测值很大程度上取决于流行率。该检验性能是在流行季节期间（如2018/2019）确立。对某些病毒的检验性能可能随检测流行率和检测人群变化。</w:t>
      </w:r>
    </w:p>
    <w:p w14:paraId="2C7AB101">
      <w:pPr>
        <w:spacing w:line="480" w:lineRule="exact"/>
        <w:ind w:firstLine="640" w:firstLineChars="200"/>
        <w:rPr>
          <w:rFonts w:eastAsia="仿宋_GB2312"/>
          <w:kern w:val="0"/>
          <w:sz w:val="32"/>
          <w:szCs w:val="32"/>
        </w:rPr>
      </w:pPr>
      <w:r>
        <w:rPr>
          <w:rFonts w:eastAsia="仿宋_GB2312"/>
          <w:kern w:val="0"/>
          <w:sz w:val="32"/>
          <w:szCs w:val="32"/>
        </w:rPr>
        <w:t>10.7待检核酸序列可能长时间出现在体内，而与病毒活性无关。核酸检测阳性并一定不意味着目前感染了相应病毒或其为临床症状的致病因子。</w:t>
      </w:r>
    </w:p>
    <w:p w14:paraId="1853DFED">
      <w:pPr>
        <w:spacing w:line="480" w:lineRule="exact"/>
        <w:ind w:firstLine="640" w:firstLineChars="200"/>
        <w:rPr>
          <w:rFonts w:eastAsia="仿宋_GB2312"/>
          <w:kern w:val="0"/>
          <w:sz w:val="32"/>
          <w:szCs w:val="32"/>
        </w:rPr>
      </w:pPr>
      <w:r>
        <w:rPr>
          <w:rFonts w:eastAsia="仿宋_GB2312"/>
          <w:kern w:val="0"/>
          <w:sz w:val="32"/>
          <w:szCs w:val="32"/>
        </w:rPr>
        <w:t>11.【产品性能指标】</w:t>
      </w:r>
    </w:p>
    <w:p w14:paraId="05F0D81F">
      <w:pPr>
        <w:spacing w:line="480" w:lineRule="exact"/>
        <w:ind w:firstLine="640" w:firstLineChars="200"/>
        <w:rPr>
          <w:rFonts w:eastAsia="仿宋_GB2312"/>
          <w:kern w:val="0"/>
          <w:sz w:val="32"/>
          <w:szCs w:val="32"/>
        </w:rPr>
      </w:pPr>
      <w:r>
        <w:rPr>
          <w:rFonts w:eastAsia="仿宋_GB2312"/>
          <w:kern w:val="0"/>
          <w:sz w:val="32"/>
          <w:szCs w:val="32"/>
        </w:rPr>
        <w:t>依据分析性能评估资料，详述以下性能指标：</w:t>
      </w:r>
    </w:p>
    <w:p w14:paraId="2BAEA05C">
      <w:pPr>
        <w:spacing w:line="480" w:lineRule="exact"/>
        <w:ind w:firstLine="640" w:firstLineChars="200"/>
        <w:rPr>
          <w:rFonts w:eastAsia="仿宋_GB2312"/>
          <w:kern w:val="0"/>
          <w:sz w:val="32"/>
          <w:szCs w:val="32"/>
        </w:rPr>
      </w:pPr>
      <w:r>
        <w:rPr>
          <w:rFonts w:eastAsia="仿宋_GB2312"/>
          <w:kern w:val="0"/>
          <w:sz w:val="32"/>
          <w:szCs w:val="32"/>
        </w:rPr>
        <w:t>11.1对相应国家标准品、参考品（如有）检测的符合情况。</w:t>
      </w:r>
    </w:p>
    <w:p w14:paraId="5F6C6723">
      <w:pPr>
        <w:spacing w:line="480" w:lineRule="exact"/>
        <w:ind w:firstLine="640" w:firstLineChars="200"/>
        <w:rPr>
          <w:rFonts w:eastAsia="仿宋_GB2312"/>
          <w:kern w:val="0"/>
          <w:sz w:val="32"/>
          <w:szCs w:val="32"/>
        </w:rPr>
      </w:pPr>
      <w:r>
        <w:rPr>
          <w:rFonts w:eastAsia="仿宋_GB2312"/>
          <w:kern w:val="0"/>
          <w:sz w:val="32"/>
          <w:szCs w:val="32"/>
        </w:rPr>
        <w:t>11.2最低检测限</w:t>
      </w:r>
    </w:p>
    <w:p w14:paraId="018E5AFA">
      <w:pPr>
        <w:spacing w:line="480" w:lineRule="exact"/>
        <w:ind w:firstLine="640" w:firstLineChars="200"/>
        <w:rPr>
          <w:rFonts w:eastAsia="仿宋_GB2312"/>
          <w:kern w:val="0"/>
          <w:sz w:val="32"/>
          <w:szCs w:val="32"/>
        </w:rPr>
      </w:pPr>
      <w:r>
        <w:rPr>
          <w:rFonts w:eastAsia="仿宋_GB2312"/>
          <w:kern w:val="0"/>
          <w:sz w:val="32"/>
          <w:szCs w:val="32"/>
        </w:rPr>
        <w:t>11.3企业内部阳性/阴性参考品符合率</w:t>
      </w:r>
    </w:p>
    <w:p w14:paraId="29BD0108">
      <w:pPr>
        <w:spacing w:line="480" w:lineRule="exact"/>
        <w:ind w:firstLine="640" w:firstLineChars="200"/>
        <w:rPr>
          <w:rFonts w:eastAsia="仿宋_GB2312"/>
          <w:kern w:val="0"/>
          <w:sz w:val="32"/>
          <w:szCs w:val="32"/>
        </w:rPr>
      </w:pPr>
      <w:r>
        <w:rPr>
          <w:rFonts w:eastAsia="仿宋_GB2312"/>
          <w:kern w:val="0"/>
          <w:sz w:val="32"/>
          <w:szCs w:val="32"/>
        </w:rPr>
        <w:t>11.4精密度：精密度评价结果可采用列表形式描述。</w:t>
      </w:r>
    </w:p>
    <w:p w14:paraId="3A9141F4">
      <w:pPr>
        <w:spacing w:line="480" w:lineRule="exact"/>
        <w:ind w:firstLine="640" w:firstLineChars="200"/>
        <w:rPr>
          <w:rFonts w:eastAsia="仿宋_GB2312"/>
          <w:kern w:val="0"/>
          <w:sz w:val="32"/>
          <w:szCs w:val="32"/>
        </w:rPr>
      </w:pPr>
      <w:r>
        <w:rPr>
          <w:rFonts w:eastAsia="仿宋_GB2312"/>
          <w:kern w:val="0"/>
          <w:sz w:val="32"/>
          <w:szCs w:val="32"/>
        </w:rPr>
        <w:t>11.5分析特异性：建议以列表方式说明验证的其他呼吸道病毒亚型、相关病原体等的交叉反应性及其验证浓度水平。总结潜在干扰物质的评价浓度水平及干扰情况。</w:t>
      </w:r>
    </w:p>
    <w:p w14:paraId="1A69053C">
      <w:pPr>
        <w:spacing w:line="480" w:lineRule="exact"/>
        <w:ind w:firstLine="640" w:firstLineChars="200"/>
        <w:rPr>
          <w:rFonts w:eastAsia="仿宋_GB2312"/>
          <w:kern w:val="0"/>
          <w:sz w:val="32"/>
          <w:szCs w:val="32"/>
        </w:rPr>
      </w:pPr>
      <w:r>
        <w:rPr>
          <w:rFonts w:eastAsia="仿宋_GB2312"/>
          <w:kern w:val="0"/>
          <w:sz w:val="32"/>
          <w:szCs w:val="32"/>
        </w:rPr>
        <w:t>11.6简要描述临床试验的基本信息、试验方法和结论。</w:t>
      </w:r>
    </w:p>
    <w:p w14:paraId="607812E1">
      <w:pPr>
        <w:spacing w:line="480" w:lineRule="exact"/>
        <w:ind w:firstLine="640" w:firstLineChars="200"/>
        <w:rPr>
          <w:rFonts w:eastAsia="仿宋_GB2312"/>
          <w:kern w:val="0"/>
          <w:sz w:val="32"/>
          <w:szCs w:val="32"/>
        </w:rPr>
      </w:pPr>
      <w:r>
        <w:rPr>
          <w:rFonts w:eastAsia="仿宋_GB2312"/>
          <w:kern w:val="0"/>
          <w:sz w:val="32"/>
          <w:szCs w:val="32"/>
        </w:rPr>
        <w:t>12.【注意事项】</w:t>
      </w:r>
    </w:p>
    <w:p w14:paraId="202EC6A4">
      <w:pPr>
        <w:spacing w:line="480" w:lineRule="exact"/>
        <w:ind w:firstLine="640" w:firstLineChars="200"/>
        <w:rPr>
          <w:rFonts w:eastAsia="仿宋_GB2312"/>
          <w:kern w:val="0"/>
          <w:sz w:val="32"/>
          <w:szCs w:val="32"/>
        </w:rPr>
      </w:pPr>
      <w:r>
        <w:rPr>
          <w:rFonts w:eastAsia="仿宋_GB2312"/>
          <w:kern w:val="0"/>
          <w:sz w:val="32"/>
          <w:szCs w:val="32"/>
        </w:rPr>
        <w:t>应至少包括以下内容：</w:t>
      </w:r>
    </w:p>
    <w:p w14:paraId="5FAFE91D">
      <w:pPr>
        <w:spacing w:line="480" w:lineRule="exact"/>
        <w:ind w:firstLine="640" w:firstLineChars="200"/>
        <w:rPr>
          <w:rFonts w:eastAsia="仿宋_GB2312"/>
          <w:kern w:val="0"/>
          <w:sz w:val="32"/>
          <w:szCs w:val="32"/>
        </w:rPr>
      </w:pPr>
      <w:r>
        <w:rPr>
          <w:rFonts w:eastAsia="仿宋_GB2312"/>
          <w:kern w:val="0"/>
          <w:sz w:val="32"/>
          <w:szCs w:val="32"/>
        </w:rPr>
        <w:t>12.1如该产品含有人源或动物源性物质，应给出生物安全性的警告。</w:t>
      </w:r>
    </w:p>
    <w:p w14:paraId="720D8B5C">
      <w:pPr>
        <w:spacing w:line="480" w:lineRule="exact"/>
        <w:ind w:firstLine="640" w:firstLineChars="200"/>
        <w:rPr>
          <w:rFonts w:eastAsia="仿宋_GB2312"/>
          <w:kern w:val="0"/>
          <w:sz w:val="32"/>
          <w:szCs w:val="32"/>
        </w:rPr>
      </w:pPr>
      <w:r>
        <w:rPr>
          <w:rFonts w:eastAsia="仿宋_GB2312"/>
          <w:kern w:val="0"/>
          <w:sz w:val="32"/>
          <w:szCs w:val="32"/>
        </w:rPr>
        <w:t>12.2临床实验室应严格按照《医疗机构临床基因扩增实验室管理办法》（卫办医政发〔2010〕194号或现行有效版本）等有关分子生物学实验室、临床基因扩增实验室的管理规范执行。</w:t>
      </w:r>
    </w:p>
    <w:p w14:paraId="5FA82635">
      <w:pPr>
        <w:spacing w:line="480" w:lineRule="exact"/>
        <w:ind w:firstLine="640" w:firstLineChars="200"/>
        <w:rPr>
          <w:rFonts w:eastAsia="仿宋_GB2312"/>
          <w:kern w:val="0"/>
          <w:sz w:val="32"/>
          <w:szCs w:val="32"/>
        </w:rPr>
      </w:pPr>
      <w:r>
        <w:rPr>
          <w:rFonts w:eastAsia="仿宋_GB2312"/>
          <w:kern w:val="0"/>
          <w:sz w:val="32"/>
          <w:szCs w:val="32"/>
        </w:rPr>
        <w:t>12.3强调产品性能仅针对声称的适用样本类型及【样本要求】项下说明的样本采集和处理方法（包括样本采集液等）进行了验证，其他样本类型或样本采集、处理方法不能保证产品性能。</w:t>
      </w:r>
    </w:p>
    <w:p w14:paraId="1737B350">
      <w:pPr>
        <w:spacing w:line="480" w:lineRule="exact"/>
        <w:ind w:firstLine="640" w:firstLineChars="200"/>
        <w:outlineLvl w:val="0"/>
        <w:rPr>
          <w:rFonts w:ascii="黑体" w:hAnsi="黑体" w:eastAsia="黑体"/>
          <w:sz w:val="32"/>
          <w:szCs w:val="32"/>
        </w:rPr>
      </w:pPr>
      <w:r>
        <w:rPr>
          <w:rFonts w:ascii="黑体" w:hAnsi="黑体" w:eastAsia="黑体"/>
          <w:sz w:val="32"/>
          <w:szCs w:val="32"/>
        </w:rPr>
        <w:t>三、名词解释</w:t>
      </w:r>
    </w:p>
    <w:p w14:paraId="6441CFDC">
      <w:pPr>
        <w:spacing w:line="480" w:lineRule="exact"/>
        <w:ind w:firstLine="640" w:firstLineChars="200"/>
        <w:rPr>
          <w:rFonts w:eastAsia="仿宋_GB2312"/>
          <w:kern w:val="0"/>
          <w:sz w:val="32"/>
          <w:szCs w:val="32"/>
        </w:rPr>
      </w:pPr>
      <w:r>
        <w:rPr>
          <w:rFonts w:eastAsia="仿宋_GB2312"/>
          <w:kern w:val="0"/>
          <w:sz w:val="32"/>
          <w:szCs w:val="32"/>
        </w:rPr>
        <w:t>PCR-荧光探针法：在PCR过程中利用荧光标记的特异性探针，对PCR产物进行标记跟踪，释放的荧光能量的变化直接反映出PCR扩增产物量的变化，并通过对荧光的采集和分析以达到对原始模板量进行分析的PCR。</w:t>
      </w:r>
      <w:bookmarkStart w:id="6" w:name="参1"/>
      <w:bookmarkEnd w:id="6"/>
      <w:bookmarkStart w:id="7" w:name="参2"/>
      <w:bookmarkEnd w:id="7"/>
      <w:bookmarkStart w:id="8" w:name="参3"/>
      <w:bookmarkEnd w:id="8"/>
      <w:bookmarkStart w:id="9" w:name="参4"/>
      <w:bookmarkEnd w:id="9"/>
      <w:bookmarkStart w:id="10" w:name="参5"/>
      <w:bookmarkEnd w:id="10"/>
      <w:bookmarkStart w:id="11" w:name="GongKaiShuXingΩ1"/>
      <w:bookmarkEnd w:id="11"/>
      <w:bookmarkStart w:id="12" w:name="参6"/>
      <w:bookmarkEnd w:id="12"/>
    </w:p>
    <w:p w14:paraId="379C8541">
      <w:pPr>
        <w:spacing w:line="480" w:lineRule="exact"/>
        <w:ind w:firstLine="640" w:firstLineChars="200"/>
        <w:outlineLvl w:val="0"/>
        <w:rPr>
          <w:rFonts w:ascii="黑体" w:hAnsi="黑体" w:eastAsia="黑体"/>
          <w:sz w:val="32"/>
          <w:szCs w:val="32"/>
        </w:rPr>
      </w:pPr>
      <w:r>
        <w:rPr>
          <w:rFonts w:ascii="黑体" w:hAnsi="黑体" w:eastAsia="黑体"/>
          <w:sz w:val="32"/>
          <w:szCs w:val="32"/>
        </w:rPr>
        <w:t>四、起草单位</w:t>
      </w:r>
    </w:p>
    <w:p w14:paraId="5A27FD77">
      <w:pPr>
        <w:spacing w:line="480" w:lineRule="exact"/>
        <w:ind w:firstLine="640" w:firstLineChars="200"/>
        <w:rPr>
          <w:rFonts w:eastAsia="仿宋_GB2312"/>
          <w:sz w:val="32"/>
          <w:szCs w:val="32"/>
        </w:rPr>
      </w:pPr>
      <w:r>
        <w:rPr>
          <w:rFonts w:eastAsia="仿宋_GB2312"/>
          <w:sz w:val="32"/>
          <w:szCs w:val="32"/>
        </w:rPr>
        <w:t>国家药品监督管理局医疗器械技术审评中心</w:t>
      </w:r>
      <w:r>
        <w:rPr>
          <w:rFonts w:hint="eastAsia" w:eastAsia="仿宋_GB2312"/>
          <w:sz w:val="32"/>
          <w:szCs w:val="32"/>
        </w:rPr>
        <w:t>。</w:t>
      </w:r>
    </w:p>
    <w:p w14:paraId="0EE60EAE"/>
    <w:p w14:paraId="3A8320E6">
      <w:pPr>
        <w:spacing w:line="560" w:lineRule="exact"/>
        <w:rPr>
          <w:rFonts w:hint="eastAsia" w:eastAsia="宋体"/>
          <w:lang w:eastAsia="zh-CN"/>
        </w:rPr>
      </w:pPr>
    </w:p>
    <w:p w14:paraId="162B5165">
      <w:pPr>
        <w:spacing w:line="560" w:lineRule="exact"/>
        <w:jc w:val="center"/>
        <w:rPr>
          <w:rFonts w:hint="eastAsia" w:eastAsia="宋体"/>
          <w:lang w:eastAsia="zh-CN"/>
        </w:rPr>
      </w:pPr>
    </w:p>
    <w:p w14:paraId="5DD7AE0D">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7501"/>
    <w:rsid w:val="00467501"/>
    <w:rsid w:val="004B018B"/>
    <w:rsid w:val="00F07194"/>
    <w:rsid w:val="00F3322C"/>
    <w:rsid w:val="06C1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 w:type="paragraph" w:customStyle="1" w:styleId="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12233</Words>
  <Characters>12894</Characters>
  <Lines>93</Lines>
  <Paragraphs>26</Paragraphs>
  <TotalTime>0</TotalTime>
  <ScaleCrop>false</ScaleCrop>
  <LinksUpToDate>false</LinksUpToDate>
  <CharactersWithSpaces>12916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2019-11-15T09:23:00Z</dcterms:created>
  <dc:creator>haier</dc:creator>
  <cp:lastModifiedBy>太极箫客</cp:lastModifiedBy>
  <dcterms:modified xsi:type="dcterms:W3CDTF">2025-08-14T06:45:47Z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1B018432BAAC4454858B5D092B746C57_12</vt:lpwstr>
  </property>
</Properties>
</file>