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EA0B3">
      <w:pPr>
        <w:topLinePunct/>
        <w:adjustRightInd w:val="0"/>
        <w:snapToGrid w:val="0"/>
        <w:spacing w:after="234" w:afterLines="75" w:line="288" w:lineRule="auto"/>
        <w:rPr>
          <w:rFonts w:hint="eastAsia" w:ascii="Arial" w:hAnsi="Arial" w:eastAsia="宋体" w:cs="Arial"/>
          <w:snapToGrid w:val="0"/>
          <w:kern w:val="0"/>
          <w:sz w:val="24"/>
        </w:rPr>
      </w:pPr>
      <w:bookmarkStart w:id="31" w:name="_GoBack"/>
      <w:bookmarkEnd w:id="31"/>
    </w:p>
    <w:p w14:paraId="034CC065">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56"/>
          <w:szCs w:val="72"/>
        </w:rPr>
      </w:pPr>
      <w:bookmarkStart w:id="0" w:name="OLE_LINK40"/>
      <w:bookmarkStart w:id="1" w:name="OLE_LINK41"/>
      <w:r>
        <w:rPr>
          <w:rFonts w:ascii="Arial" w:hAnsi="Arial" w:eastAsia="宋体" w:cs="Arial"/>
          <w:b/>
          <w:snapToGrid w:val="0"/>
          <w:kern w:val="0"/>
          <w:sz w:val="56"/>
          <w:szCs w:val="72"/>
        </w:rPr>
        <w:t>含肝素医疗器械与组合产品：标签和安全性检测建议</w:t>
      </w:r>
    </w:p>
    <w:p w14:paraId="3928596E">
      <w:pPr>
        <w:topLinePunct/>
        <w:adjustRightInd w:val="0"/>
        <w:snapToGrid w:val="0"/>
        <w:spacing w:after="234" w:afterLines="75" w:line="288" w:lineRule="auto"/>
        <w:jc w:val="center"/>
        <w:rPr>
          <w:rFonts w:ascii="Arial" w:hAnsi="Arial" w:eastAsia="宋体" w:cs="Arial"/>
          <w:b/>
          <w:snapToGrid w:val="0"/>
          <w:kern w:val="0"/>
          <w:sz w:val="52"/>
          <w:szCs w:val="52"/>
        </w:rPr>
      </w:pPr>
      <w:r>
        <w:rPr>
          <w:rFonts w:ascii="Arial" w:hAnsi="Arial" w:eastAsia="宋体" w:cs="Arial"/>
          <w:b/>
          <w:snapToGrid w:val="0"/>
          <w:kern w:val="0"/>
          <w:sz w:val="52"/>
          <w:szCs w:val="52"/>
        </w:rPr>
        <w:t>行业与食品药品监督管理局工作人员指南草案</w:t>
      </w:r>
      <w:bookmarkEnd w:id="0"/>
      <w:bookmarkEnd w:id="1"/>
    </w:p>
    <w:p w14:paraId="32D9D48E">
      <w:pPr>
        <w:topLinePunct/>
        <w:adjustRightInd w:val="0"/>
        <w:snapToGrid w:val="0"/>
        <w:spacing w:after="234" w:afterLines="75" w:line="288" w:lineRule="auto"/>
        <w:jc w:val="center"/>
        <w:rPr>
          <w:rFonts w:ascii="Arial" w:hAnsi="Arial" w:eastAsia="宋体" w:cs="Arial"/>
          <w:b/>
          <w:i/>
          <w:snapToGrid w:val="0"/>
          <w:kern w:val="0"/>
          <w:sz w:val="32"/>
        </w:rPr>
      </w:pPr>
      <w:r>
        <w:rPr>
          <w:rFonts w:ascii="Arial" w:hAnsi="Arial" w:eastAsia="宋体" w:cs="Arial"/>
          <w:b/>
          <w:i/>
          <w:snapToGrid w:val="0"/>
          <w:kern w:val="0"/>
          <w:sz w:val="32"/>
        </w:rPr>
        <w:t>指南草案</w:t>
      </w:r>
    </w:p>
    <w:p w14:paraId="0EB289D9">
      <w:pPr>
        <w:topLinePunct/>
        <w:adjustRightInd w:val="0"/>
        <w:snapToGrid w:val="0"/>
        <w:spacing w:after="234" w:afterLines="75" w:line="288" w:lineRule="auto"/>
        <w:jc w:val="center"/>
        <w:rPr>
          <w:rFonts w:ascii="Arial" w:hAnsi="Arial" w:eastAsia="宋体" w:cs="Arial"/>
          <w:b/>
          <w:snapToGrid w:val="0"/>
          <w:kern w:val="0"/>
          <w:sz w:val="24"/>
        </w:rPr>
      </w:pPr>
      <w:r>
        <w:rPr>
          <w:rFonts w:hint="eastAsia" w:ascii="Arial" w:hAnsi="Arial" w:eastAsia="宋体" w:cs="Arial"/>
          <w:b/>
          <w:snapToGrid w:val="0"/>
          <w:kern w:val="0"/>
          <w:sz w:val="24"/>
        </w:rPr>
        <w:t>本指南草案公布的目的仅用于征询意见、建议用途。</w:t>
      </w:r>
    </w:p>
    <w:p w14:paraId="7CD7F157">
      <w:pPr>
        <w:topLinePunct/>
        <w:adjustRightInd w:val="0"/>
        <w:snapToGrid w:val="0"/>
        <w:spacing w:after="234" w:afterLines="75" w:line="288" w:lineRule="auto"/>
        <w:jc w:val="center"/>
        <w:rPr>
          <w:rFonts w:ascii="Arial" w:hAnsi="Arial" w:eastAsia="宋体" w:cs="Arial"/>
          <w:b/>
          <w:snapToGrid w:val="0"/>
          <w:kern w:val="0"/>
          <w:sz w:val="24"/>
        </w:rPr>
      </w:pPr>
      <w:r>
        <w:rPr>
          <w:rFonts w:ascii="Arial" w:hAnsi="Arial" w:eastAsia="宋体" w:cs="Arial"/>
          <w:b/>
          <w:snapToGrid w:val="0"/>
          <w:kern w:val="0"/>
          <w:sz w:val="24"/>
        </w:rPr>
        <w:t>文件发布日期：2015年7月9日</w:t>
      </w:r>
    </w:p>
    <w:p w14:paraId="75CCBCA8">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关于本草案文件的任何评论及建议，请于联邦公报刊载草案文件发布通知的90天内提交。</w:t>
      </w:r>
      <w:r>
        <w:rPr>
          <w:rFonts w:ascii="Arial" w:hAnsi="Arial" w:eastAsia="宋体" w:cs="Arial"/>
          <w:snapToGrid w:val="0"/>
          <w:kern w:val="0"/>
          <w:sz w:val="24"/>
        </w:rPr>
        <w:t>请将书面评论提交至食品药品监督管理局案卷管理科（HFA-305）（5630 Fishers Lane，Rm. 1061，Rockville，MD 20852）。请将电子评论提交至</w:t>
      </w:r>
      <w:r>
        <w:fldChar w:fldCharType="begin"/>
      </w:r>
      <w:r>
        <w:instrText xml:space="preserve"> HYPERLINK "http://www.regulations.gov" </w:instrText>
      </w:r>
      <w:r>
        <w:fldChar w:fldCharType="separate"/>
      </w:r>
      <w:r>
        <w:rPr>
          <w:rStyle w:val="9"/>
          <w:rFonts w:ascii="Arial" w:hAnsi="Arial" w:eastAsia="宋体" w:cs="Arial"/>
          <w:snapToGrid w:val="0"/>
          <w:kern w:val="0"/>
          <w:sz w:val="24"/>
        </w:rPr>
        <w:t>http://www.regulations.gov</w:t>
      </w:r>
      <w:r>
        <w:rPr>
          <w:rStyle w:val="9"/>
          <w:rFonts w:ascii="Arial" w:hAnsi="Arial" w:eastAsia="宋体" w:cs="Arial"/>
          <w:snapToGrid w:val="0"/>
          <w:kern w:val="0"/>
          <w:sz w:val="24"/>
        </w:rPr>
        <w:fldChar w:fldCharType="end"/>
      </w:r>
      <w:r>
        <w:rPr>
          <w:rFonts w:ascii="Arial" w:hAnsi="Arial" w:eastAsia="宋体" w:cs="Arial"/>
          <w:snapToGrid w:val="0"/>
          <w:kern w:val="0"/>
          <w:sz w:val="24"/>
        </w:rPr>
        <w:t>。</w:t>
      </w:r>
      <w:r>
        <w:rPr>
          <w:rFonts w:hint="eastAsia" w:ascii="Arial" w:hAnsi="Arial" w:eastAsia="宋体" w:cs="Arial"/>
          <w:snapToGrid w:val="0"/>
          <w:kern w:val="0"/>
          <w:sz w:val="24"/>
        </w:rPr>
        <w:t>所有评论应注明案卷编号，该编号在联邦公报上公布的可用性通知中列出。</w:t>
      </w:r>
    </w:p>
    <w:p w14:paraId="2EF5C76C">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有关</w:t>
      </w:r>
      <w:r>
        <w:rPr>
          <w:rFonts w:ascii="Arial" w:hAnsi="Arial" w:eastAsia="宋体" w:cs="Arial"/>
          <w:snapToGrid w:val="0"/>
          <w:kern w:val="0"/>
          <w:sz w:val="24"/>
        </w:rPr>
        <w:t>器械和放射卫生中心（CDRH）监管医疗产品</w:t>
      </w:r>
      <w:r>
        <w:rPr>
          <w:rFonts w:hint="eastAsia" w:ascii="Arial" w:hAnsi="Arial" w:eastAsia="宋体" w:cs="Arial"/>
          <w:snapToGrid w:val="0"/>
          <w:kern w:val="0"/>
          <w:sz w:val="24"/>
        </w:rPr>
        <w:t>的问题</w:t>
      </w:r>
      <w:r>
        <w:rPr>
          <w:rFonts w:ascii="Arial" w:hAnsi="Arial" w:eastAsia="宋体" w:cs="Arial"/>
          <w:snapToGrid w:val="0"/>
          <w:kern w:val="0"/>
          <w:sz w:val="24"/>
        </w:rPr>
        <w:t>，请致电301-796-6380或发送电子邮件至</w:t>
      </w:r>
      <w:r>
        <w:fldChar w:fldCharType="begin"/>
      </w:r>
      <w:r>
        <w:instrText xml:space="preserve"> HYPERLINK "mailto:angela.krueger@fda.hhs.gov" </w:instrText>
      </w:r>
      <w:r>
        <w:fldChar w:fldCharType="separate"/>
      </w:r>
      <w:r>
        <w:rPr>
          <w:rStyle w:val="9"/>
          <w:rFonts w:ascii="Arial" w:hAnsi="Arial" w:eastAsia="宋体" w:cs="Arial"/>
          <w:snapToGrid w:val="0"/>
          <w:kern w:val="0"/>
          <w:sz w:val="24"/>
        </w:rPr>
        <w:t>angela.krueger@fda.hhs.gov</w:t>
      </w:r>
      <w:r>
        <w:rPr>
          <w:rStyle w:val="9"/>
          <w:rFonts w:ascii="Arial" w:hAnsi="Arial" w:eastAsia="宋体" w:cs="Arial"/>
          <w:snapToGrid w:val="0"/>
          <w:kern w:val="0"/>
          <w:sz w:val="24"/>
        </w:rPr>
        <w:fldChar w:fldCharType="end"/>
      </w:r>
      <w:r>
        <w:rPr>
          <w:rFonts w:ascii="Arial" w:hAnsi="Arial" w:eastAsia="宋体" w:cs="Arial"/>
          <w:snapToGrid w:val="0"/>
          <w:kern w:val="0"/>
          <w:sz w:val="24"/>
        </w:rPr>
        <w:t>与Angela Krueger联系。</w:t>
      </w:r>
    </w:p>
    <w:p w14:paraId="28AA780E">
      <w:pPr>
        <w:topLinePunct/>
        <w:adjustRightInd w:val="0"/>
        <w:snapToGrid w:val="0"/>
        <w:spacing w:line="288" w:lineRule="auto"/>
        <w:jc w:val="right"/>
        <w:rPr>
          <w:rFonts w:ascii="Arial" w:hAnsi="Arial" w:eastAsia="宋体" w:cs="Arial"/>
          <w:b/>
          <w:snapToGrid w:val="0"/>
          <w:kern w:val="0"/>
          <w:sz w:val="24"/>
        </w:rPr>
      </w:pPr>
    </w:p>
    <w:p w14:paraId="18E74C3B">
      <w:pPr>
        <w:topLinePunct/>
        <w:adjustRightInd w:val="0"/>
        <w:snapToGrid w:val="0"/>
        <w:spacing w:line="288" w:lineRule="auto"/>
        <w:jc w:val="right"/>
        <w:rPr>
          <w:rFonts w:ascii="Arial" w:hAnsi="Arial" w:eastAsia="宋体" w:cs="Arial"/>
          <w:b/>
          <w:snapToGrid w:val="0"/>
          <w:kern w:val="0"/>
          <w:sz w:val="24"/>
        </w:rPr>
      </w:pPr>
    </w:p>
    <w:p w14:paraId="20634C32">
      <w:pPr>
        <w:topLinePunct/>
        <w:adjustRightInd w:val="0"/>
        <w:snapToGrid w:val="0"/>
        <w:spacing w:line="288" w:lineRule="auto"/>
        <w:jc w:val="right"/>
        <w:rPr>
          <w:rFonts w:ascii="Arial" w:hAnsi="Arial" w:eastAsia="宋体" w:cs="Arial"/>
          <w:b/>
          <w:snapToGrid w:val="0"/>
          <w:kern w:val="0"/>
          <w:sz w:val="24"/>
        </w:rPr>
      </w:pPr>
    </w:p>
    <w:p w14:paraId="3098523B">
      <w:pPr>
        <w:topLinePunct/>
        <w:adjustRightInd w:val="0"/>
        <w:snapToGrid w:val="0"/>
        <w:spacing w:line="288" w:lineRule="auto"/>
        <w:jc w:val="right"/>
        <w:rPr>
          <w:rFonts w:ascii="Arial" w:hAnsi="Arial" w:eastAsia="宋体" w:cs="Arial"/>
          <w:b/>
          <w:snapToGrid w:val="0"/>
          <w:kern w:val="0"/>
          <w:sz w:val="24"/>
        </w:rPr>
      </w:pPr>
      <w:r>
        <w:rPr>
          <w:rFonts w:hint="eastAsia" w:ascii="Arial" w:hAnsi="Arial" w:eastAsia="宋体" w:cs="Arial"/>
          <w:b/>
          <w:kern w:val="0"/>
          <w:sz w:val="24"/>
        </w:rPr>
        <w:drawing>
          <wp:anchor distT="0" distB="0" distL="114300" distR="114300" simplePos="0" relativeHeight="251659264" behindDoc="1" locked="0" layoutInCell="1" allowOverlap="1">
            <wp:simplePos x="0" y="0"/>
            <wp:positionH relativeFrom="column">
              <wp:posOffset>85725</wp:posOffset>
            </wp:positionH>
            <wp:positionV relativeFrom="paragraph">
              <wp:posOffset>69215</wp:posOffset>
            </wp:positionV>
            <wp:extent cx="867410" cy="809625"/>
            <wp:effectExtent l="0" t="0" r="889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67410" cy="809625"/>
                    </a:xfrm>
                    <a:prstGeom prst="rect">
                      <a:avLst/>
                    </a:prstGeom>
                    <a:noFill/>
                    <a:ln>
                      <a:noFill/>
                    </a:ln>
                  </pic:spPr>
                </pic:pic>
              </a:graphicData>
            </a:graphic>
          </wp:anchor>
        </w:drawing>
      </w:r>
    </w:p>
    <w:p w14:paraId="72F86E92">
      <w:pPr>
        <w:topLinePunct/>
        <w:adjustRightInd w:val="0"/>
        <w:snapToGrid w:val="0"/>
        <w:spacing w:line="288" w:lineRule="auto"/>
        <w:jc w:val="right"/>
        <w:rPr>
          <w:rFonts w:ascii="Arial" w:hAnsi="Arial" w:eastAsia="宋体" w:cs="Arial"/>
          <w:b/>
          <w:snapToGrid w:val="0"/>
          <w:kern w:val="0"/>
          <w:sz w:val="24"/>
        </w:rPr>
      </w:pPr>
    </w:p>
    <w:p w14:paraId="09830C98">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美国卫生和人类服务署</w:t>
      </w:r>
    </w:p>
    <w:p w14:paraId="064D1C05">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食品药品监督管理局</w:t>
      </w:r>
    </w:p>
    <w:p w14:paraId="2368AAE5">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器械和放射卫生中心</w:t>
      </w:r>
    </w:p>
    <w:p w14:paraId="24607BD6">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器械评价办公室</w:t>
      </w:r>
    </w:p>
    <w:p w14:paraId="317A4B11">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120C9336">
      <w:pPr>
        <w:topLinePunct/>
        <w:adjustRightInd w:val="0"/>
        <w:snapToGrid w:val="0"/>
        <w:spacing w:after="234" w:afterLines="75" w:line="288" w:lineRule="auto"/>
        <w:jc w:val="center"/>
        <w:rPr>
          <w:rFonts w:ascii="Arial" w:hAnsi="Arial" w:eastAsia="宋体" w:cs="Arial"/>
          <w:b/>
          <w:snapToGrid w:val="0"/>
          <w:kern w:val="0"/>
          <w:sz w:val="48"/>
          <w:szCs w:val="52"/>
        </w:rPr>
      </w:pPr>
      <w:r>
        <w:rPr>
          <w:rFonts w:hint="eastAsia" w:ascii="Arial" w:hAnsi="Arial" w:eastAsia="宋体" w:cs="Arial"/>
          <w:b/>
          <w:snapToGrid w:val="0"/>
          <w:kern w:val="0"/>
          <w:sz w:val="48"/>
          <w:szCs w:val="52"/>
        </w:rPr>
        <w:t>前</w:t>
      </w:r>
      <w:r>
        <w:rPr>
          <w:rFonts w:ascii="Arial" w:hAnsi="Arial" w:eastAsia="宋体" w:cs="Arial"/>
          <w:b/>
          <w:snapToGrid w:val="0"/>
          <w:kern w:val="0"/>
          <w:sz w:val="48"/>
          <w:szCs w:val="52"/>
        </w:rPr>
        <w:t>言</w:t>
      </w:r>
    </w:p>
    <w:p w14:paraId="54BFD938">
      <w:pPr>
        <w:topLinePunct/>
        <w:adjustRightInd w:val="0"/>
        <w:snapToGrid w:val="0"/>
        <w:spacing w:after="234" w:afterLines="75" w:line="288" w:lineRule="auto"/>
        <w:rPr>
          <w:rFonts w:ascii="Arial" w:hAnsi="Arial" w:eastAsia="宋体" w:cs="Arial"/>
          <w:b/>
          <w:snapToGrid w:val="0"/>
          <w:kern w:val="0"/>
          <w:sz w:val="36"/>
          <w:szCs w:val="36"/>
        </w:rPr>
      </w:pPr>
      <w:r>
        <w:rPr>
          <w:rFonts w:ascii="Arial" w:hAnsi="Arial" w:eastAsia="宋体" w:cs="Arial"/>
          <w:b/>
          <w:snapToGrid w:val="0"/>
          <w:kern w:val="0"/>
          <w:sz w:val="36"/>
          <w:szCs w:val="36"/>
        </w:rPr>
        <w:t>其它副本</w:t>
      </w:r>
    </w:p>
    <w:p w14:paraId="027B29A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其它副本可从互联网</w:t>
      </w:r>
      <w:r>
        <w:rPr>
          <w:rFonts w:hint="eastAsia" w:ascii="Arial" w:hAnsi="Arial" w:eastAsia="宋体" w:cs="Arial"/>
          <w:snapToGrid w:val="0"/>
          <w:kern w:val="0"/>
          <w:sz w:val="24"/>
        </w:rPr>
        <w:t>获得</w:t>
      </w:r>
      <w:r>
        <w:rPr>
          <w:rFonts w:ascii="Arial" w:hAnsi="Arial" w:eastAsia="宋体" w:cs="Arial"/>
          <w:snapToGrid w:val="0"/>
          <w:kern w:val="0"/>
          <w:sz w:val="24"/>
        </w:rPr>
        <w:t>。</w:t>
      </w:r>
      <w:r>
        <w:rPr>
          <w:rFonts w:hint="eastAsia" w:ascii="Arial" w:hAnsi="Arial" w:eastAsia="宋体" w:cs="Arial"/>
          <w:snapToGrid w:val="0"/>
          <w:kern w:val="0"/>
          <w:sz w:val="24"/>
        </w:rPr>
        <w:t>您还可以向</w:t>
      </w:r>
      <w:r>
        <w:fldChar w:fldCharType="begin"/>
      </w:r>
      <w:r>
        <w:instrText xml:space="preserve"> HYPERLINK "mailto:CDRH-Guidance@fda.hhs.gov" </w:instrText>
      </w:r>
      <w:r>
        <w:fldChar w:fldCharType="separate"/>
      </w:r>
      <w:r>
        <w:rPr>
          <w:rStyle w:val="9"/>
          <w:rFonts w:ascii="Arial" w:hAnsi="Arial" w:eastAsia="宋体" w:cs="Arial"/>
          <w:snapToGrid w:val="0"/>
          <w:kern w:val="0"/>
          <w:sz w:val="24"/>
        </w:rPr>
        <w:t>CDRH-Guidance@fda.hhs.gov</w:t>
      </w:r>
      <w:r>
        <w:rPr>
          <w:rStyle w:val="9"/>
          <w:rFonts w:ascii="Arial" w:hAnsi="Arial" w:eastAsia="宋体" w:cs="Arial"/>
          <w:snapToGrid w:val="0"/>
          <w:kern w:val="0"/>
          <w:sz w:val="24"/>
        </w:rPr>
        <w:fldChar w:fldCharType="end"/>
      </w:r>
      <w:r>
        <w:rPr>
          <w:rFonts w:hint="eastAsia" w:ascii="Arial" w:hAnsi="Arial" w:eastAsia="宋体" w:cs="Arial"/>
          <w:snapToGrid w:val="0"/>
          <w:kern w:val="0"/>
          <w:sz w:val="24"/>
        </w:rPr>
        <w:t>发送电子邮件请求以接收本指南的电子副本。请使用文件编号1817来注明您所要求获得的指南。</w:t>
      </w:r>
    </w:p>
    <w:p w14:paraId="3C97F0AF">
      <w:pPr>
        <w:topLinePunct/>
        <w:adjustRightInd w:val="0"/>
        <w:snapToGrid w:val="0"/>
        <w:spacing w:after="234" w:afterLines="75" w:line="288" w:lineRule="auto"/>
        <w:rPr>
          <w:rFonts w:ascii="Arial" w:hAnsi="Arial" w:eastAsia="宋体" w:cs="Arial"/>
          <w:snapToGrid w:val="0"/>
          <w:kern w:val="0"/>
          <w:sz w:val="24"/>
        </w:rPr>
      </w:pPr>
    </w:p>
    <w:p w14:paraId="5841C724">
      <w:pPr>
        <w:topLinePunct/>
        <w:adjustRightInd w:val="0"/>
        <w:snapToGrid w:val="0"/>
        <w:spacing w:after="234" w:afterLines="75" w:line="288" w:lineRule="auto"/>
        <w:rPr>
          <w:rFonts w:ascii="Arial" w:hAnsi="Arial" w:eastAsia="宋体" w:cs="Arial"/>
          <w:b/>
          <w:snapToGrid w:val="0"/>
          <w:kern w:val="0"/>
          <w:sz w:val="24"/>
        </w:rPr>
        <w:sectPr>
          <w:headerReference r:id="rId6" w:type="first"/>
          <w:footerReference r:id="rId9" w:type="first"/>
          <w:headerReference r:id="rId4" w:type="default"/>
          <w:footerReference r:id="rId7" w:type="default"/>
          <w:headerReference r:id="rId5" w:type="even"/>
          <w:footerReference r:id="rId8" w:type="even"/>
          <w:pgSz w:w="11906" w:h="16838"/>
          <w:pgMar w:top="1134" w:right="1440" w:bottom="1134" w:left="1440" w:header="720" w:footer="720" w:gutter="0"/>
          <w:cols w:space="425" w:num="1"/>
          <w:docGrid w:type="lines" w:linePitch="312" w:charSpace="0"/>
        </w:sectPr>
      </w:pPr>
    </w:p>
    <w:p w14:paraId="7BE62ECD">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48"/>
          <w:szCs w:val="48"/>
        </w:rPr>
      </w:pPr>
      <w:r>
        <w:rPr>
          <w:rFonts w:ascii="Arial" w:hAnsi="Arial" w:eastAsia="宋体" w:cs="Arial"/>
          <w:b/>
          <w:snapToGrid w:val="0"/>
          <w:kern w:val="0"/>
          <w:sz w:val="48"/>
          <w:szCs w:val="48"/>
        </w:rPr>
        <w:t>含肝素医疗器械与组合产品：标签和安全性检测建议</w:t>
      </w:r>
    </w:p>
    <w:p w14:paraId="102F4BAF">
      <w:pPr>
        <w:topLinePunct/>
        <w:adjustRightInd w:val="0"/>
        <w:snapToGrid w:val="0"/>
        <w:spacing w:after="234" w:afterLines="75" w:line="288" w:lineRule="auto"/>
        <w:jc w:val="center"/>
        <w:rPr>
          <w:rFonts w:ascii="Arial" w:hAnsi="Arial" w:eastAsia="宋体" w:cs="Arial"/>
          <w:b/>
          <w:snapToGrid w:val="0"/>
          <w:kern w:val="0"/>
          <w:sz w:val="48"/>
          <w:szCs w:val="48"/>
        </w:rPr>
      </w:pPr>
      <w:r>
        <w:rPr>
          <w:rFonts w:ascii="Arial" w:hAnsi="Arial" w:eastAsia="宋体" w:cs="Arial"/>
          <w:b/>
          <w:snapToGrid w:val="0"/>
          <w:kern w:val="0"/>
          <w:sz w:val="48"/>
          <w:szCs w:val="48"/>
        </w:rPr>
        <w:t>行业</w:t>
      </w:r>
      <w:r>
        <w:rPr>
          <w:rFonts w:hint="eastAsia" w:ascii="Arial" w:hAnsi="Arial" w:eastAsia="宋体" w:cs="Arial"/>
          <w:b/>
          <w:snapToGrid w:val="0"/>
          <w:kern w:val="0"/>
          <w:sz w:val="48"/>
          <w:szCs w:val="48"/>
        </w:rPr>
        <w:t>和</w:t>
      </w:r>
      <w:r>
        <w:rPr>
          <w:rFonts w:ascii="Arial" w:hAnsi="Arial" w:eastAsia="宋体" w:cs="Arial"/>
          <w:b/>
          <w:snapToGrid w:val="0"/>
          <w:kern w:val="0"/>
          <w:sz w:val="48"/>
          <w:szCs w:val="48"/>
        </w:rPr>
        <w:t>食品药品监督管理局工作人员指南草案</w:t>
      </w:r>
    </w:p>
    <w:p w14:paraId="3275676E">
      <w:pPr>
        <w:topLinePunct/>
        <w:adjustRightInd w:val="0"/>
        <w:snapToGrid w:val="0"/>
        <w:spacing w:after="234" w:afterLines="75" w:line="288" w:lineRule="auto"/>
        <w:rPr>
          <w:rFonts w:ascii="Arial" w:hAnsi="Arial" w:eastAsia="宋体" w:cs="Arial"/>
          <w:snapToGrid w:val="0"/>
          <w:kern w:val="0"/>
          <w:sz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7FB0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thinThickSmallGap" w:color="auto" w:sz="24" w:space="0"/>
              <w:left w:val="thinThickSmallGap" w:color="auto" w:sz="24" w:space="0"/>
              <w:bottom w:val="thickThinSmallGap" w:color="auto" w:sz="24" w:space="0"/>
              <w:right w:val="thickThinSmallGap" w:color="auto" w:sz="24" w:space="0"/>
            </w:tcBorders>
          </w:tcPr>
          <w:p w14:paraId="6161F392">
            <w:pPr>
              <w:topLinePunct/>
              <w:adjustRightInd w:val="0"/>
              <w:snapToGrid w:val="0"/>
              <w:spacing w:before="156" w:beforeLines="50" w:after="234" w:afterLines="75" w:line="288" w:lineRule="auto"/>
              <w:rPr>
                <w:rFonts w:ascii="Arial" w:hAnsi="Arial" w:eastAsia="宋体" w:cs="Arial"/>
                <w:b/>
                <w:i/>
                <w:snapToGrid w:val="0"/>
                <w:kern w:val="0"/>
                <w:sz w:val="24"/>
              </w:rPr>
            </w:pPr>
            <w:r>
              <w:rPr>
                <w:rFonts w:hint="eastAsia" w:ascii="Arial" w:hAnsi="Arial" w:eastAsia="宋体" w:cs="Arial"/>
                <w:b/>
                <w:i/>
                <w:snapToGrid w:val="0"/>
                <w:kern w:val="0"/>
                <w:sz w:val="24"/>
              </w:rPr>
              <w:t>本指南草案代表</w:t>
            </w:r>
            <w:r>
              <w:rPr>
                <w:rFonts w:ascii="Arial" w:hAnsi="Arial" w:eastAsia="宋体" w:cs="Arial"/>
                <w:b/>
                <w:i/>
                <w:snapToGrid w:val="0"/>
                <w:kern w:val="0"/>
                <w:sz w:val="24"/>
              </w:rPr>
              <w:t>食品药品监督管理局（FDA）</w:t>
            </w:r>
            <w:r>
              <w:rPr>
                <w:rFonts w:hint="eastAsia" w:ascii="Arial" w:hAnsi="Arial" w:eastAsia="宋体" w:cs="Arial"/>
                <w:b/>
                <w:i/>
                <w:snapToGrid w:val="0"/>
                <w:kern w:val="0"/>
                <w:sz w:val="24"/>
              </w:rPr>
              <w:t>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694178C7">
      <w:pPr>
        <w:topLinePunct/>
        <w:adjustRightInd w:val="0"/>
        <w:snapToGrid w:val="0"/>
        <w:spacing w:after="234" w:afterLines="75" w:line="288" w:lineRule="auto"/>
        <w:rPr>
          <w:rFonts w:ascii="Arial" w:hAnsi="Arial" w:eastAsia="宋体" w:cs="Arial"/>
          <w:snapToGrid w:val="0"/>
          <w:kern w:val="0"/>
          <w:sz w:val="24"/>
        </w:rPr>
      </w:pPr>
    </w:p>
    <w:p w14:paraId="529584C5">
      <w:pPr>
        <w:pStyle w:val="14"/>
        <w:numPr>
          <w:ilvl w:val="0"/>
          <w:numId w:val="1"/>
        </w:numPr>
        <w:topLinePunct/>
        <w:adjustRightInd w:val="0"/>
        <w:snapToGrid w:val="0"/>
        <w:spacing w:after="234" w:afterLines="75" w:line="288" w:lineRule="auto"/>
        <w:ind w:firstLineChars="0"/>
        <w:rPr>
          <w:rFonts w:ascii="Arial" w:hAnsi="Arial" w:eastAsia="宋体" w:cs="Arial"/>
          <w:b/>
          <w:snapToGrid w:val="0"/>
          <w:kern w:val="0"/>
          <w:sz w:val="32"/>
        </w:rPr>
      </w:pPr>
      <w:r>
        <w:rPr>
          <w:rFonts w:ascii="Arial" w:hAnsi="Arial" w:eastAsia="宋体" w:cs="Arial"/>
          <w:b/>
          <w:snapToGrid w:val="0"/>
          <w:kern w:val="0"/>
          <w:sz w:val="32"/>
        </w:rPr>
        <w:t>前言</w:t>
      </w:r>
    </w:p>
    <w:p w14:paraId="4B48204E">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在</w:t>
      </w:r>
      <w:r>
        <w:rPr>
          <w:rFonts w:ascii="Arial" w:hAnsi="Arial" w:eastAsia="宋体" w:cs="Arial"/>
          <w:snapToGrid w:val="0"/>
          <w:kern w:val="0"/>
          <w:sz w:val="24"/>
        </w:rPr>
        <w:t>与使用肝素钠产品有关的严重和致命性事件后，最近已对美国药典（USP）</w:t>
      </w:r>
      <w:r>
        <w:rPr>
          <w:rStyle w:val="10"/>
          <w:rFonts w:ascii="Arial" w:hAnsi="Arial" w:eastAsia="宋体" w:cs="Arial"/>
          <w:snapToGrid w:val="0"/>
          <w:kern w:val="0"/>
          <w:sz w:val="24"/>
        </w:rPr>
        <w:footnoteReference w:id="0"/>
      </w:r>
      <w:r>
        <w:rPr>
          <w:rFonts w:ascii="Arial" w:hAnsi="Arial" w:eastAsia="宋体" w:cs="Arial"/>
          <w:snapToGrid w:val="0"/>
          <w:kern w:val="0"/>
          <w:sz w:val="24"/>
        </w:rPr>
        <w:t>中的肝素钠药物材料专论与肝素锁定冲洗液和肝素钠注射液药物产品专论进行了几次修订。</w:t>
      </w:r>
      <w:r>
        <w:rPr>
          <w:rStyle w:val="10"/>
          <w:rFonts w:ascii="Arial" w:hAnsi="Arial" w:eastAsia="宋体" w:cs="Arial"/>
          <w:snapToGrid w:val="0"/>
          <w:kern w:val="0"/>
          <w:sz w:val="24"/>
        </w:rPr>
        <w:footnoteReference w:id="1"/>
      </w:r>
      <w:r>
        <w:rPr>
          <w:rFonts w:ascii="Arial" w:hAnsi="Arial" w:eastAsia="宋体" w:cs="Arial"/>
          <w:snapToGrid w:val="0"/>
          <w:kern w:val="0"/>
          <w:sz w:val="24"/>
        </w:rPr>
        <w:t>通过对肝素产品用药过量差错的调查已将标签中的药量表达确认为这些差错的一个主要</w:t>
      </w:r>
      <w:r>
        <w:rPr>
          <w:rFonts w:hint="eastAsia" w:ascii="Arial" w:hAnsi="Arial" w:eastAsia="宋体" w:cs="Arial"/>
          <w:snapToGrid w:val="0"/>
          <w:kern w:val="0"/>
          <w:sz w:val="24"/>
        </w:rPr>
        <w:t>因素</w:t>
      </w:r>
      <w:r>
        <w:rPr>
          <w:rFonts w:ascii="Arial" w:hAnsi="Arial" w:eastAsia="宋体" w:cs="Arial"/>
          <w:snapToGrid w:val="0"/>
          <w:kern w:val="0"/>
          <w:sz w:val="24"/>
        </w:rPr>
        <w:t>。</w:t>
      </w:r>
      <w:r>
        <w:rPr>
          <w:rFonts w:hint="eastAsia" w:ascii="Arial" w:hAnsi="Arial" w:eastAsia="宋体" w:cs="Arial"/>
          <w:snapToGrid w:val="0"/>
          <w:kern w:val="0"/>
          <w:sz w:val="24"/>
        </w:rPr>
        <w:t>编制</w:t>
      </w:r>
      <w:r>
        <w:rPr>
          <w:rFonts w:ascii="Arial" w:hAnsi="Arial" w:eastAsia="宋体" w:cs="Arial"/>
          <w:snapToGrid w:val="0"/>
          <w:kern w:val="0"/>
          <w:sz w:val="24"/>
        </w:rPr>
        <w:t>完成</w:t>
      </w:r>
      <w:r>
        <w:rPr>
          <w:rFonts w:hint="eastAsia" w:ascii="Arial" w:hAnsi="Arial" w:eastAsia="宋体" w:cs="Arial"/>
          <w:snapToGrid w:val="0"/>
          <w:kern w:val="0"/>
          <w:sz w:val="24"/>
        </w:rPr>
        <w:t>后，</w:t>
      </w:r>
      <w:r>
        <w:rPr>
          <w:rFonts w:ascii="Arial" w:hAnsi="Arial" w:eastAsia="宋体" w:cs="Arial"/>
          <w:snapToGrid w:val="0"/>
          <w:kern w:val="0"/>
          <w:sz w:val="24"/>
        </w:rPr>
        <w:t>本指导性文件将根据修订过的美国药典肝素专论</w:t>
      </w:r>
      <w:r>
        <w:rPr>
          <w:rStyle w:val="10"/>
          <w:rFonts w:ascii="Arial" w:hAnsi="Arial" w:eastAsia="宋体" w:cs="Arial"/>
          <w:snapToGrid w:val="0"/>
          <w:kern w:val="0"/>
          <w:sz w:val="24"/>
        </w:rPr>
        <w:footnoteReference w:id="2"/>
      </w:r>
      <w:r>
        <w:rPr>
          <w:rFonts w:hint="eastAsia" w:ascii="Arial" w:hAnsi="Arial" w:eastAsia="宋体" w:cs="Arial"/>
          <w:snapToGrid w:val="0"/>
          <w:kern w:val="0"/>
          <w:sz w:val="24"/>
        </w:rPr>
        <w:t>说明</w:t>
      </w:r>
      <w:r>
        <w:rPr>
          <w:rFonts w:ascii="Arial" w:hAnsi="Arial" w:eastAsia="宋体" w:cs="Arial"/>
          <w:snapToGrid w:val="0"/>
          <w:kern w:val="0"/>
          <w:sz w:val="24"/>
        </w:rPr>
        <w:t>标签新</w:t>
      </w:r>
      <w:r>
        <w:rPr>
          <w:rFonts w:hint="eastAsia" w:ascii="Arial" w:hAnsi="Arial" w:eastAsia="宋体" w:cs="Arial"/>
          <w:snapToGrid w:val="0"/>
          <w:kern w:val="0"/>
          <w:sz w:val="24"/>
        </w:rPr>
        <w:t>预测来解决</w:t>
      </w:r>
      <w:r>
        <w:rPr>
          <w:rFonts w:ascii="Arial" w:hAnsi="Arial" w:eastAsia="宋体" w:cs="Arial"/>
          <w:snapToGrid w:val="0"/>
          <w:kern w:val="0"/>
          <w:sz w:val="24"/>
        </w:rPr>
        <w:t>安全</w:t>
      </w:r>
      <w:r>
        <w:rPr>
          <w:rFonts w:hint="eastAsia" w:ascii="Arial" w:hAnsi="Arial" w:eastAsia="宋体" w:cs="Arial"/>
          <w:snapToGrid w:val="0"/>
          <w:kern w:val="0"/>
          <w:sz w:val="24"/>
        </w:rPr>
        <w:t>性问题</w:t>
      </w:r>
      <w:r>
        <w:rPr>
          <w:rFonts w:ascii="Arial" w:hAnsi="Arial" w:eastAsia="宋体" w:cs="Arial"/>
          <w:snapToGrid w:val="0"/>
          <w:kern w:val="0"/>
          <w:sz w:val="24"/>
        </w:rPr>
        <w:t>，</w:t>
      </w:r>
      <w:r>
        <w:rPr>
          <w:rFonts w:hint="eastAsia" w:ascii="Arial" w:hAnsi="Arial" w:eastAsia="宋体" w:cs="Arial"/>
          <w:snapToGrid w:val="0"/>
          <w:kern w:val="0"/>
          <w:sz w:val="24"/>
        </w:rPr>
        <w:t>并</w:t>
      </w:r>
      <w:r>
        <w:rPr>
          <w:rFonts w:ascii="Arial" w:hAnsi="Arial" w:eastAsia="宋体" w:cs="Arial"/>
          <w:snapToGrid w:val="0"/>
          <w:kern w:val="0"/>
          <w:sz w:val="24"/>
        </w:rPr>
        <w:t>对安全性检测建议进行概述。</w:t>
      </w:r>
    </w:p>
    <w:p w14:paraId="19CB82A3">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此外</w:t>
      </w:r>
      <w:r>
        <w:rPr>
          <w:rFonts w:ascii="Arial" w:hAnsi="Arial" w:eastAsia="宋体" w:cs="Arial"/>
          <w:snapToGrid w:val="0"/>
          <w:kern w:val="0"/>
          <w:sz w:val="24"/>
        </w:rPr>
        <w:t>，2008年，因肝素污染含过多硫酸盐的硫酸软骨素（OSCS）导致</w:t>
      </w:r>
      <w:r>
        <w:rPr>
          <w:rFonts w:hint="eastAsia" w:ascii="Arial" w:hAnsi="Arial" w:eastAsia="宋体" w:cs="Arial"/>
          <w:snapToGrid w:val="0"/>
          <w:kern w:val="0"/>
          <w:sz w:val="24"/>
        </w:rPr>
        <w:t>重大致命性</w:t>
      </w:r>
      <w:r>
        <w:rPr>
          <w:rFonts w:ascii="Arial" w:hAnsi="Arial" w:eastAsia="宋体" w:cs="Arial"/>
          <w:snapToGrid w:val="0"/>
          <w:kern w:val="0"/>
          <w:sz w:val="24"/>
        </w:rPr>
        <w:t>事件的爆发。为确保肝素的质量和纯度，美国药典在其药物材料专论中增加了对肝素钠的补充检测。本指南完成时还将对上市前申请文件中遵从专论的使用情况，尤其是对包含在美国药典现行专论中</w:t>
      </w:r>
      <w:r>
        <w:rPr>
          <w:rFonts w:hint="eastAsia" w:ascii="Arial" w:hAnsi="Arial" w:eastAsia="宋体" w:cs="Arial"/>
          <w:snapToGrid w:val="0"/>
          <w:kern w:val="0"/>
          <w:sz w:val="24"/>
        </w:rPr>
        <w:t>的</w:t>
      </w:r>
      <w:r>
        <w:rPr>
          <w:rFonts w:ascii="Arial" w:hAnsi="Arial" w:eastAsia="宋体" w:cs="Arial"/>
          <w:snapToGrid w:val="0"/>
          <w:kern w:val="0"/>
          <w:sz w:val="24"/>
        </w:rPr>
        <w:t>检测和证明文件要求和／或建议以及指导性文件</w:t>
      </w:r>
      <w:r>
        <w:rPr>
          <w:rFonts w:ascii="宋体" w:hAnsi="宋体" w:eastAsia="宋体" w:cs="Arial"/>
          <w:snapToGrid w:val="0"/>
          <w:kern w:val="0"/>
          <w:sz w:val="24"/>
        </w:rPr>
        <w:t>“</w:t>
      </w:r>
      <w:bookmarkStart w:id="2" w:name="OLE_LINK44"/>
      <w:bookmarkStart w:id="3" w:name="OLE_LINK10"/>
      <w:bookmarkStart w:id="4" w:name="OLE_LINK45"/>
      <w:r>
        <w:rPr>
          <w:rFonts w:ascii="Arial" w:hAnsi="Arial" w:eastAsia="宋体" w:cs="Arial"/>
          <w:i/>
          <w:snapToGrid w:val="0"/>
          <w:color w:val="0000FF"/>
          <w:kern w:val="0"/>
          <w:sz w:val="24"/>
        </w:rPr>
        <w:t>药物和医疗器械用途之肝素：粗制肝素的质量监测</w:t>
      </w:r>
      <w:bookmarkEnd w:id="2"/>
      <w:bookmarkEnd w:id="3"/>
      <w:bookmarkEnd w:id="4"/>
      <w:r>
        <w:rPr>
          <w:rFonts w:ascii="宋体" w:hAnsi="宋体" w:eastAsia="宋体" w:cs="Arial"/>
          <w:snapToGrid w:val="0"/>
          <w:kern w:val="0"/>
          <w:sz w:val="24"/>
        </w:rPr>
        <w:t>”</w:t>
      </w:r>
      <w:r>
        <w:rPr>
          <w:rFonts w:ascii="Arial" w:hAnsi="Arial" w:eastAsia="宋体" w:cs="Arial"/>
          <w:snapToGrid w:val="0"/>
          <w:kern w:val="0"/>
          <w:sz w:val="24"/>
        </w:rPr>
        <w:t>的遵从情况进行概述。</w:t>
      </w:r>
      <w:r>
        <w:rPr>
          <w:rFonts w:hint="eastAsia" w:ascii="Arial" w:hAnsi="Arial" w:eastAsia="宋体" w:cs="Arial"/>
          <w:snapToGrid w:val="0"/>
          <w:kern w:val="0"/>
          <w:sz w:val="24"/>
        </w:rPr>
        <w:br w:type="textWrapping"/>
      </w:r>
      <w:r>
        <w:rPr>
          <w:rFonts w:ascii="Arial" w:hAnsi="Arial" w:eastAsia="宋体" w:cs="Arial"/>
          <w:snapToGrid w:val="0"/>
          <w:kern w:val="0"/>
          <w:sz w:val="24"/>
        </w:rPr>
        <w:t>（</w:t>
      </w:r>
      <w:r>
        <w:fldChar w:fldCharType="begin"/>
      </w:r>
      <w:r>
        <w:instrText xml:space="preserve"> HYPERLINK "http://www.fda.gov/downloads/Drugs/GuidanceComplianceRegulatoryInformation/Guidances/UCM291390.pdf" </w:instrText>
      </w:r>
      <w:r>
        <w:fldChar w:fldCharType="separate"/>
      </w:r>
      <w:r>
        <w:rPr>
          <w:rStyle w:val="9"/>
          <w:rFonts w:ascii="Arial" w:hAnsi="Arial" w:eastAsia="宋体" w:cs="Arial"/>
          <w:snapToGrid w:val="0"/>
          <w:kern w:val="0"/>
          <w:sz w:val="24"/>
        </w:rPr>
        <w:t>http://www.fda.gov/downloads/Drugs/GuidanceComplianceRegulatoryInformation/Guidances/UCM291390.pdf</w:t>
      </w:r>
      <w:r>
        <w:rPr>
          <w:rStyle w:val="9"/>
          <w:rFonts w:ascii="Arial" w:hAnsi="Arial" w:eastAsia="宋体" w:cs="Arial"/>
          <w:snapToGrid w:val="0"/>
          <w:kern w:val="0"/>
          <w:sz w:val="24"/>
        </w:rPr>
        <w:fldChar w:fldCharType="end"/>
      </w:r>
      <w:r>
        <w:rPr>
          <w:rFonts w:ascii="Arial" w:hAnsi="Arial" w:eastAsia="宋体" w:cs="Arial"/>
          <w:snapToGrid w:val="0"/>
          <w:kern w:val="0"/>
          <w:sz w:val="24"/>
        </w:rPr>
        <w:t>）。</w:t>
      </w:r>
      <w:r>
        <w:rPr>
          <w:rStyle w:val="10"/>
          <w:rFonts w:ascii="Arial" w:hAnsi="Arial" w:eastAsia="宋体" w:cs="Arial"/>
          <w:snapToGrid w:val="0"/>
          <w:kern w:val="0"/>
          <w:sz w:val="24"/>
        </w:rPr>
        <w:footnoteReference w:id="3"/>
      </w:r>
    </w:p>
    <w:p w14:paraId="5DF07B4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应当注意的是，本指南提出的建议反映了FDA当前对该问题的</w:t>
      </w:r>
      <w:r>
        <w:rPr>
          <w:rFonts w:hint="eastAsia" w:ascii="Arial" w:hAnsi="Arial" w:eastAsia="宋体" w:cs="Arial"/>
          <w:snapToGrid w:val="0"/>
          <w:kern w:val="0"/>
          <w:sz w:val="24"/>
        </w:rPr>
        <w:t>看法</w:t>
      </w:r>
      <w:r>
        <w:rPr>
          <w:rFonts w:ascii="Arial" w:hAnsi="Arial" w:eastAsia="宋体" w:cs="Arial"/>
          <w:snapToGrid w:val="0"/>
          <w:kern w:val="0"/>
          <w:sz w:val="24"/>
        </w:rPr>
        <w:t>，这些建议将来可能会随着新的科学信息或新的检测方法而有所变化。FDA</w:t>
      </w:r>
      <w:r>
        <w:rPr>
          <w:rFonts w:hint="eastAsia" w:ascii="Arial" w:hAnsi="Arial" w:eastAsia="宋体" w:cs="Arial"/>
          <w:snapToGrid w:val="0"/>
          <w:kern w:val="0"/>
          <w:sz w:val="24"/>
        </w:rPr>
        <w:t>旨在根据</w:t>
      </w:r>
      <w:r>
        <w:rPr>
          <w:rFonts w:ascii="Arial" w:hAnsi="Arial" w:eastAsia="宋体" w:cs="Arial"/>
          <w:snapToGrid w:val="0"/>
          <w:kern w:val="0"/>
          <w:sz w:val="24"/>
        </w:rPr>
        <w:t>需要</w:t>
      </w:r>
      <w:r>
        <w:rPr>
          <w:rFonts w:hint="eastAsia" w:ascii="Arial" w:hAnsi="Arial" w:eastAsia="宋体" w:cs="Arial"/>
          <w:snapToGrid w:val="0"/>
          <w:kern w:val="0"/>
          <w:sz w:val="24"/>
        </w:rPr>
        <w:t>对该指南草案进行修订，以反映此类</w:t>
      </w:r>
      <w:r>
        <w:rPr>
          <w:rFonts w:ascii="Arial" w:hAnsi="Arial" w:eastAsia="宋体" w:cs="Arial"/>
          <w:snapToGrid w:val="0"/>
          <w:kern w:val="0"/>
          <w:sz w:val="24"/>
        </w:rPr>
        <w:t>USP肝素专论的任何其它修订。</w:t>
      </w:r>
    </w:p>
    <w:p w14:paraId="6BB81AE9">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FDA指导性文件，包括本指南在内，不具有法律强制责任。相反，指南表明了该机构目前关于该主题的思考，除非引用具体的法规或法律要求，否则只应视为建议。在本机构指南中使用词语“应当”是指建议或推荐进行某一事项，并非强制要求。</w:t>
      </w:r>
    </w:p>
    <w:p w14:paraId="6F60BD46">
      <w:pPr>
        <w:pStyle w:val="14"/>
        <w:numPr>
          <w:ilvl w:val="0"/>
          <w:numId w:val="1"/>
        </w:numPr>
        <w:topLinePunct/>
        <w:adjustRightInd w:val="0"/>
        <w:snapToGrid w:val="0"/>
        <w:spacing w:after="234" w:afterLines="75" w:line="288" w:lineRule="auto"/>
        <w:ind w:firstLineChars="0"/>
        <w:rPr>
          <w:rFonts w:ascii="Arial" w:hAnsi="Arial" w:eastAsia="宋体" w:cs="Arial"/>
          <w:b/>
          <w:snapToGrid w:val="0"/>
          <w:kern w:val="0"/>
          <w:sz w:val="32"/>
        </w:rPr>
      </w:pPr>
      <w:r>
        <w:rPr>
          <w:rFonts w:ascii="Arial" w:hAnsi="Arial" w:eastAsia="宋体" w:cs="Arial"/>
          <w:b/>
          <w:snapToGrid w:val="0"/>
          <w:kern w:val="0"/>
          <w:sz w:val="32"/>
        </w:rPr>
        <w:t>范围</w:t>
      </w:r>
    </w:p>
    <w:p w14:paraId="501054B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本指南为医疗器械和</w:t>
      </w:r>
      <w:r>
        <w:rPr>
          <w:rFonts w:hint="eastAsia" w:ascii="Arial" w:hAnsi="Arial" w:eastAsia="宋体" w:cs="Arial"/>
          <w:snapToGrid w:val="0"/>
          <w:kern w:val="0"/>
          <w:sz w:val="24"/>
        </w:rPr>
        <w:t>具有器械作要作用方式的</w:t>
      </w:r>
      <w:r>
        <w:rPr>
          <w:rFonts w:ascii="Arial" w:hAnsi="Arial" w:eastAsia="宋体" w:cs="Arial"/>
          <w:snapToGrid w:val="0"/>
          <w:kern w:val="0"/>
          <w:sz w:val="24"/>
        </w:rPr>
        <w:t>组合产品提供标签与安全性检测建议。组合产品中包含肝素钠或低分子量肝素</w:t>
      </w:r>
      <w:r>
        <w:rPr>
          <w:rFonts w:hint="eastAsia" w:ascii="Arial" w:hAnsi="Arial" w:eastAsia="宋体" w:cs="Arial"/>
          <w:snapToGrid w:val="0"/>
          <w:kern w:val="0"/>
          <w:sz w:val="24"/>
        </w:rPr>
        <w:t>并由</w:t>
      </w:r>
      <w:r>
        <w:rPr>
          <w:rFonts w:ascii="Arial" w:hAnsi="Arial" w:eastAsia="宋体" w:cs="Arial"/>
          <w:snapToGrid w:val="0"/>
          <w:kern w:val="0"/>
          <w:sz w:val="24"/>
        </w:rPr>
        <w:t>CDRH</w:t>
      </w:r>
      <w:r>
        <w:rPr>
          <w:rFonts w:hint="eastAsia" w:ascii="Arial" w:hAnsi="Arial" w:eastAsia="宋体" w:cs="Arial"/>
          <w:snapToGrid w:val="0"/>
          <w:kern w:val="0"/>
          <w:sz w:val="24"/>
        </w:rPr>
        <w:t>对其进行</w:t>
      </w:r>
      <w:r>
        <w:rPr>
          <w:rFonts w:ascii="Arial" w:hAnsi="Arial" w:eastAsia="宋体" w:cs="Arial"/>
          <w:snapToGrid w:val="0"/>
          <w:kern w:val="0"/>
          <w:sz w:val="24"/>
        </w:rPr>
        <w:t>监管。</w:t>
      </w:r>
      <w:r>
        <w:rPr>
          <w:rStyle w:val="10"/>
          <w:rFonts w:ascii="Arial" w:hAnsi="Arial" w:eastAsia="宋体" w:cs="Arial"/>
          <w:snapToGrid w:val="0"/>
          <w:kern w:val="0"/>
          <w:sz w:val="24"/>
        </w:rPr>
        <w:footnoteReference w:id="4"/>
      </w:r>
      <w:r>
        <w:rPr>
          <w:rFonts w:ascii="Arial" w:hAnsi="Arial" w:eastAsia="宋体" w:cs="Arial"/>
          <w:snapToGrid w:val="0"/>
          <w:kern w:val="0"/>
          <w:sz w:val="24"/>
        </w:rPr>
        <w:t>仅包含肝素钠或肝素总剂量固定的低分子量肝素粘合涂层</w:t>
      </w:r>
      <w:r>
        <w:rPr>
          <w:rFonts w:hint="eastAsia" w:ascii="Arial" w:hAnsi="Arial" w:eastAsia="宋体" w:cs="Arial"/>
          <w:snapToGrid w:val="0"/>
          <w:kern w:val="0"/>
          <w:sz w:val="24"/>
        </w:rPr>
        <w:t>的</w:t>
      </w:r>
      <w:r>
        <w:rPr>
          <w:rFonts w:ascii="Arial" w:hAnsi="Arial" w:eastAsia="宋体" w:cs="Arial"/>
          <w:snapToGrid w:val="0"/>
          <w:kern w:val="0"/>
          <w:sz w:val="24"/>
        </w:rPr>
        <w:t>产品不可能产生肝素用药过量风险。然而，这些器械</w:t>
      </w:r>
      <w:r>
        <w:rPr>
          <w:rFonts w:hint="eastAsia" w:ascii="Arial" w:hAnsi="Arial" w:eastAsia="宋体" w:cs="Arial"/>
          <w:snapToGrid w:val="0"/>
          <w:kern w:val="0"/>
          <w:sz w:val="24"/>
        </w:rPr>
        <w:t>也</w:t>
      </w:r>
      <w:r>
        <w:rPr>
          <w:rFonts w:ascii="Arial" w:hAnsi="Arial" w:eastAsia="宋体" w:cs="Arial"/>
          <w:snapToGrid w:val="0"/>
          <w:kern w:val="0"/>
          <w:sz w:val="24"/>
        </w:rPr>
        <w:t>应遵从本指南提出的建议。</w:t>
      </w:r>
    </w:p>
    <w:p w14:paraId="19B52AAD">
      <w:pPr>
        <w:pStyle w:val="14"/>
        <w:numPr>
          <w:ilvl w:val="0"/>
          <w:numId w:val="1"/>
        </w:numPr>
        <w:topLinePunct/>
        <w:adjustRightInd w:val="0"/>
        <w:snapToGrid w:val="0"/>
        <w:spacing w:after="234" w:afterLines="75" w:line="288" w:lineRule="auto"/>
        <w:ind w:firstLineChars="0"/>
        <w:rPr>
          <w:rFonts w:ascii="Arial" w:hAnsi="Arial" w:eastAsia="宋体" w:cs="Arial"/>
          <w:b/>
          <w:snapToGrid w:val="0"/>
          <w:kern w:val="0"/>
          <w:sz w:val="32"/>
        </w:rPr>
      </w:pPr>
      <w:r>
        <w:rPr>
          <w:rFonts w:ascii="Arial" w:hAnsi="Arial" w:eastAsia="宋体" w:cs="Arial"/>
          <w:b/>
          <w:snapToGrid w:val="0"/>
          <w:kern w:val="0"/>
          <w:sz w:val="32"/>
        </w:rPr>
        <w:t>背景</w:t>
      </w:r>
    </w:p>
    <w:p w14:paraId="3FB3570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肝素给药剂量错误时</w:t>
      </w:r>
      <w:r>
        <w:rPr>
          <w:rFonts w:hint="eastAsia" w:ascii="Arial" w:hAnsi="Arial" w:eastAsia="宋体" w:cs="Arial"/>
          <w:snapToGrid w:val="0"/>
          <w:kern w:val="0"/>
          <w:sz w:val="24"/>
        </w:rPr>
        <w:t>，</w:t>
      </w:r>
      <w:r>
        <w:rPr>
          <w:rFonts w:ascii="Arial" w:hAnsi="Arial" w:eastAsia="宋体" w:cs="Arial"/>
          <w:snapToGrid w:val="0"/>
          <w:kern w:val="0"/>
          <w:sz w:val="24"/>
        </w:rPr>
        <w:t>对患者产生伤害的风险有所提高，因此，</w:t>
      </w:r>
      <w:bookmarkStart w:id="5" w:name="OLE_LINK17"/>
      <w:bookmarkStart w:id="6" w:name="OLE_LINK16"/>
      <w:r>
        <w:rPr>
          <w:rFonts w:ascii="Arial" w:hAnsi="Arial" w:eastAsia="宋体" w:cs="Arial"/>
          <w:snapToGrid w:val="0"/>
          <w:kern w:val="0"/>
          <w:sz w:val="24"/>
        </w:rPr>
        <w:t>安全用药规范研究所（ISMP</w:t>
      </w:r>
      <w:bookmarkEnd w:id="5"/>
      <w:bookmarkEnd w:id="6"/>
      <w:r>
        <w:rPr>
          <w:rFonts w:ascii="Arial" w:hAnsi="Arial" w:eastAsia="宋体" w:cs="Arial"/>
          <w:snapToGrid w:val="0"/>
          <w:kern w:val="0"/>
          <w:sz w:val="24"/>
        </w:rPr>
        <w:t>）将肝素确认为高度警戒药物。2003年，美国药典安全用药专家委员会确认与注射产品标签浓度表达方式</w:t>
      </w:r>
      <w:r>
        <w:rPr>
          <w:rFonts w:hint="eastAsia" w:ascii="Arial" w:hAnsi="Arial" w:eastAsia="宋体" w:cs="Arial"/>
          <w:snapToGrid w:val="0"/>
          <w:kern w:val="0"/>
          <w:sz w:val="24"/>
        </w:rPr>
        <w:t>理解错误</w:t>
      </w:r>
      <w:r>
        <w:rPr>
          <w:rFonts w:ascii="Arial" w:hAnsi="Arial" w:eastAsia="宋体" w:cs="Arial"/>
          <w:snapToGrid w:val="0"/>
          <w:kern w:val="0"/>
          <w:sz w:val="24"/>
        </w:rPr>
        <w:t>有关的用药差错有再现趋势，已给患者造成了严重后果，包括死亡。</w:t>
      </w:r>
      <w:r>
        <w:rPr>
          <w:rFonts w:hint="eastAsia" w:ascii="Arial" w:hAnsi="Arial" w:eastAsia="宋体" w:cs="Arial"/>
          <w:snapToGrid w:val="0"/>
          <w:kern w:val="0"/>
          <w:sz w:val="24"/>
        </w:rPr>
        <w:t>根据</w:t>
      </w:r>
      <w:r>
        <w:rPr>
          <w:rFonts w:ascii="Arial" w:hAnsi="Arial" w:eastAsia="宋体" w:cs="Arial"/>
          <w:snapToGrid w:val="0"/>
          <w:kern w:val="0"/>
          <w:sz w:val="24"/>
        </w:rPr>
        <w:t>该产品的</w:t>
      </w:r>
      <w:r>
        <w:rPr>
          <w:rFonts w:hint="eastAsia" w:ascii="Arial" w:hAnsi="Arial" w:eastAsia="宋体" w:cs="Arial"/>
          <w:snapToGrid w:val="0"/>
          <w:kern w:val="0"/>
          <w:sz w:val="24"/>
        </w:rPr>
        <w:t>适应症</w:t>
      </w:r>
      <w:r>
        <w:rPr>
          <w:rFonts w:ascii="Arial" w:hAnsi="Arial" w:eastAsia="宋体" w:cs="Arial"/>
          <w:snapToGrid w:val="0"/>
          <w:kern w:val="0"/>
          <w:sz w:val="24"/>
        </w:rPr>
        <w:t>和预期患者人群，肝素产品包含了宽范围的剂量和浓度。用于全身抗凝时，肝素的给药剂量以终浓度达50-100单位／毫升为准。用于制备肝素稀释液的源药瓶中，肝素的浓度为1,000-20,000单位／毫升。当肝素钠</w:t>
      </w:r>
      <w:r>
        <w:rPr>
          <w:rFonts w:hint="eastAsia" w:ascii="Arial" w:hAnsi="Arial" w:eastAsia="宋体" w:cs="Arial"/>
          <w:snapToGrid w:val="0"/>
          <w:kern w:val="0"/>
          <w:sz w:val="24"/>
        </w:rPr>
        <w:t>仅用于</w:t>
      </w:r>
      <w:r>
        <w:rPr>
          <w:rFonts w:ascii="Arial" w:hAnsi="Arial" w:eastAsia="宋体" w:cs="Arial"/>
          <w:snapToGrid w:val="0"/>
          <w:kern w:val="0"/>
          <w:sz w:val="24"/>
        </w:rPr>
        <w:t>维持血管内留置导管通畅时，肝素锁定冲洗液（FDA将其作为</w:t>
      </w:r>
      <w:r>
        <w:rPr>
          <w:rFonts w:hint="eastAsia" w:ascii="Arial" w:hAnsi="Arial" w:eastAsia="宋体" w:cs="Arial"/>
          <w:snapToGrid w:val="0"/>
          <w:kern w:val="0"/>
          <w:sz w:val="24"/>
        </w:rPr>
        <w:t>具有器械</w:t>
      </w:r>
      <w:r>
        <w:rPr>
          <w:rFonts w:ascii="Arial" w:hAnsi="Arial" w:eastAsia="宋体" w:cs="Arial"/>
          <w:snapToGrid w:val="0"/>
          <w:kern w:val="0"/>
          <w:sz w:val="24"/>
        </w:rPr>
        <w:t>主要作用方式</w:t>
      </w:r>
      <w:r>
        <w:rPr>
          <w:rFonts w:hint="eastAsia" w:ascii="Arial" w:hAnsi="Arial" w:eastAsia="宋体" w:cs="Arial"/>
          <w:snapToGrid w:val="0"/>
          <w:kern w:val="0"/>
          <w:sz w:val="24"/>
        </w:rPr>
        <w:t>的</w:t>
      </w:r>
      <w:r>
        <w:rPr>
          <w:rFonts w:ascii="Arial" w:hAnsi="Arial" w:eastAsia="宋体" w:cs="Arial"/>
          <w:snapToGrid w:val="0"/>
          <w:kern w:val="0"/>
          <w:sz w:val="24"/>
        </w:rPr>
        <w:t>药物-器械</w:t>
      </w:r>
      <w:r>
        <w:rPr>
          <w:rFonts w:hint="eastAsia" w:ascii="Arial" w:hAnsi="Arial" w:eastAsia="宋体" w:cs="Arial"/>
          <w:snapToGrid w:val="0"/>
          <w:kern w:val="0"/>
          <w:sz w:val="24"/>
        </w:rPr>
        <w:t>组合</w:t>
      </w:r>
      <w:r>
        <w:rPr>
          <w:rFonts w:ascii="Arial" w:hAnsi="Arial" w:eastAsia="宋体" w:cs="Arial"/>
          <w:snapToGrid w:val="0"/>
          <w:kern w:val="0"/>
          <w:sz w:val="24"/>
        </w:rPr>
        <w:t>产品</w:t>
      </w:r>
      <w:r>
        <w:rPr>
          <w:rFonts w:hint="eastAsia" w:ascii="Arial" w:hAnsi="Arial" w:eastAsia="宋体" w:cs="Arial"/>
          <w:snapToGrid w:val="0"/>
          <w:kern w:val="0"/>
          <w:sz w:val="24"/>
        </w:rPr>
        <w:t>（</w:t>
      </w:r>
      <w:r>
        <w:rPr>
          <w:rFonts w:ascii="Arial" w:hAnsi="Arial" w:eastAsia="宋体" w:cs="Arial"/>
          <w:snapToGrid w:val="0"/>
          <w:kern w:val="0"/>
          <w:sz w:val="24"/>
        </w:rPr>
        <w:t>见71 FR 47499</w:t>
      </w:r>
      <w:r>
        <w:rPr>
          <w:rFonts w:hint="eastAsia" w:ascii="Arial" w:hAnsi="Arial" w:eastAsia="宋体" w:cs="Arial"/>
          <w:snapToGrid w:val="0"/>
          <w:kern w:val="0"/>
          <w:sz w:val="24"/>
        </w:rPr>
        <w:t>，</w:t>
      </w:r>
      <w:r>
        <w:rPr>
          <w:rFonts w:ascii="Arial" w:hAnsi="Arial" w:eastAsia="宋体" w:cs="Arial"/>
          <w:snapToGrid w:val="0"/>
          <w:kern w:val="0"/>
          <w:sz w:val="24"/>
        </w:rPr>
        <w:t>2006年8月17日）中的肝素浓度通常为1-100单位／毫升，装在1-30毫升的药瓶中，其中药物总量在1-1000单位。肝素锁定冲洗液</w:t>
      </w:r>
      <w:r>
        <w:rPr>
          <w:rFonts w:hint="eastAsia" w:ascii="Arial" w:hAnsi="Arial" w:eastAsia="宋体" w:cs="Arial"/>
          <w:snapToGrid w:val="0"/>
          <w:kern w:val="0"/>
          <w:sz w:val="24"/>
        </w:rPr>
        <w:t>也</w:t>
      </w:r>
      <w:r>
        <w:rPr>
          <w:rFonts w:ascii="Arial" w:hAnsi="Arial" w:eastAsia="宋体" w:cs="Arial"/>
          <w:snapToGrid w:val="0"/>
          <w:kern w:val="0"/>
          <w:sz w:val="24"/>
        </w:rPr>
        <w:t>可装在预装注射器中，灌注体积可多种多样，每支注射器中的药物总量在1-500单位。</w:t>
      </w:r>
    </w:p>
    <w:p w14:paraId="6688BF1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2007年，USP</w:t>
      </w:r>
      <w:r>
        <w:rPr>
          <w:rFonts w:hint="eastAsia" w:ascii="Arial" w:hAnsi="Arial" w:eastAsia="宋体" w:cs="Arial"/>
          <w:snapToGrid w:val="0"/>
          <w:kern w:val="0"/>
          <w:sz w:val="24"/>
        </w:rPr>
        <w:t>注射用药物</w:t>
      </w:r>
      <w:r>
        <w:rPr>
          <w:rFonts w:ascii="Arial" w:hAnsi="Arial" w:eastAsia="宋体" w:cs="Arial"/>
          <w:snapToGrid w:val="0"/>
          <w:kern w:val="0"/>
          <w:sz w:val="24"/>
        </w:rPr>
        <w:t>产品-行业专家委员会建议将修订内容作为</w:t>
      </w:r>
      <w:r>
        <w:rPr>
          <w:rFonts w:ascii="宋体" w:hAnsi="宋体" w:eastAsia="宋体" w:cs="Arial"/>
          <w:snapToGrid w:val="0"/>
          <w:kern w:val="0"/>
          <w:sz w:val="24"/>
        </w:rPr>
        <w:t>“</w:t>
      </w:r>
      <w:r>
        <w:rPr>
          <w:rFonts w:ascii="Arial" w:hAnsi="Arial" w:eastAsia="宋体" w:cs="Arial"/>
          <w:snapToGrid w:val="0"/>
          <w:kern w:val="0"/>
          <w:sz w:val="24"/>
        </w:rPr>
        <w:t>USP总章&lt;1&gt;注射液</w:t>
      </w:r>
      <w:r>
        <w:rPr>
          <w:rFonts w:ascii="宋体" w:hAnsi="宋体" w:eastAsia="宋体" w:cs="Arial"/>
          <w:snapToGrid w:val="0"/>
          <w:kern w:val="0"/>
          <w:sz w:val="24"/>
        </w:rPr>
        <w:t>”</w:t>
      </w:r>
      <w:r>
        <w:rPr>
          <w:rFonts w:ascii="Arial" w:hAnsi="Arial" w:eastAsia="宋体" w:cs="Arial"/>
          <w:snapToGrid w:val="0"/>
          <w:kern w:val="0"/>
          <w:sz w:val="24"/>
        </w:rPr>
        <w:t>的一个新部分，名称定为</w:t>
      </w:r>
      <w:r>
        <w:rPr>
          <w:rFonts w:ascii="宋体" w:hAnsi="宋体" w:eastAsia="宋体" w:cs="Arial"/>
          <w:snapToGrid w:val="0"/>
          <w:kern w:val="0"/>
          <w:sz w:val="24"/>
        </w:rPr>
        <w:t>“</w:t>
      </w:r>
      <w:r>
        <w:rPr>
          <w:rFonts w:ascii="Arial" w:hAnsi="Arial" w:eastAsia="宋体" w:cs="Arial"/>
          <w:snapToGrid w:val="0"/>
          <w:kern w:val="0"/>
          <w:sz w:val="24"/>
        </w:rPr>
        <w:t>单剂量和多剂量可注射药物产品的药量与总体积</w:t>
      </w:r>
      <w:r>
        <w:rPr>
          <w:rFonts w:ascii="宋体" w:hAnsi="宋体" w:eastAsia="宋体" w:cs="Arial"/>
          <w:snapToGrid w:val="0"/>
          <w:kern w:val="0"/>
          <w:sz w:val="24"/>
        </w:rPr>
        <w:t>”</w:t>
      </w:r>
      <w:r>
        <w:rPr>
          <w:rFonts w:ascii="Arial" w:hAnsi="Arial" w:eastAsia="宋体" w:cs="Arial"/>
          <w:snapToGrid w:val="0"/>
          <w:kern w:val="0"/>
          <w:sz w:val="24"/>
        </w:rPr>
        <w:t>。</w:t>
      </w:r>
      <w:r>
        <w:rPr>
          <w:rStyle w:val="10"/>
          <w:rFonts w:ascii="Arial" w:hAnsi="Arial" w:eastAsia="宋体" w:cs="Arial"/>
          <w:snapToGrid w:val="0"/>
          <w:kern w:val="0"/>
          <w:sz w:val="24"/>
        </w:rPr>
        <w:footnoteReference w:id="5"/>
      </w:r>
      <w:r>
        <w:rPr>
          <w:rFonts w:ascii="Arial" w:hAnsi="Arial" w:eastAsia="宋体" w:cs="Arial"/>
          <w:snapToGrid w:val="0"/>
          <w:kern w:val="0"/>
          <w:sz w:val="24"/>
        </w:rPr>
        <w:t>这些修订内容于2009年</w:t>
      </w:r>
      <w:r>
        <w:rPr>
          <w:rFonts w:hint="eastAsia" w:ascii="Arial" w:hAnsi="Arial" w:eastAsia="宋体" w:cs="Arial"/>
          <w:snapToGrid w:val="0"/>
          <w:kern w:val="0"/>
          <w:sz w:val="24"/>
        </w:rPr>
        <w:t>正式</w:t>
      </w:r>
      <w:r>
        <w:rPr>
          <w:rFonts w:ascii="Arial" w:hAnsi="Arial" w:eastAsia="宋体" w:cs="Arial"/>
          <w:snapToGrid w:val="0"/>
          <w:kern w:val="0"/>
          <w:sz w:val="24"/>
        </w:rPr>
        <w:t>规定。该章要求每个总体积中的药量</w:t>
      </w:r>
      <w:bookmarkStart w:id="7" w:name="OLE_LINK7"/>
      <w:bookmarkStart w:id="8" w:name="OLE_LINK8"/>
      <w:r>
        <w:rPr>
          <w:rFonts w:ascii="Arial" w:hAnsi="Arial" w:eastAsia="宋体" w:cs="Arial"/>
          <w:snapToGrid w:val="0"/>
          <w:kern w:val="0"/>
          <w:sz w:val="24"/>
        </w:rPr>
        <w:t>应</w:t>
      </w:r>
      <w:r>
        <w:rPr>
          <w:rFonts w:hint="eastAsia" w:ascii="Arial" w:hAnsi="Arial" w:eastAsia="宋体" w:cs="Arial"/>
          <w:snapToGrid w:val="0"/>
          <w:kern w:val="0"/>
          <w:sz w:val="24"/>
        </w:rPr>
        <w:t>在</w:t>
      </w:r>
      <w:r>
        <w:rPr>
          <w:rFonts w:ascii="Arial" w:hAnsi="Arial" w:eastAsia="宋体" w:cs="Arial"/>
          <w:snapToGrid w:val="0"/>
          <w:kern w:val="0"/>
          <w:sz w:val="24"/>
        </w:rPr>
        <w:t>标签主显示面主要和突出</w:t>
      </w:r>
      <w:bookmarkEnd w:id="7"/>
      <w:bookmarkEnd w:id="8"/>
      <w:r>
        <w:rPr>
          <w:rFonts w:hint="eastAsia" w:ascii="Arial" w:hAnsi="Arial" w:eastAsia="宋体" w:cs="Arial"/>
          <w:snapToGrid w:val="0"/>
          <w:kern w:val="0"/>
          <w:sz w:val="24"/>
        </w:rPr>
        <w:t>显示</w:t>
      </w:r>
      <w:r>
        <w:rPr>
          <w:rFonts w:ascii="Arial" w:hAnsi="Arial" w:eastAsia="宋体" w:cs="Arial"/>
          <w:snapToGrid w:val="0"/>
          <w:kern w:val="0"/>
          <w:sz w:val="24"/>
        </w:rPr>
        <w:t>，后面紧接每毫升体积中的药量并将其放在圆括号里。在做出这些变更后，FDA和ISMP对肝素锁定冲洗液专论（和肝素钠注射液专论）中规定的标签未遵从</w:t>
      </w:r>
      <w:r>
        <w:rPr>
          <w:rFonts w:ascii="宋体" w:hAnsi="宋体" w:eastAsia="宋体" w:cs="Arial"/>
          <w:snapToGrid w:val="0"/>
          <w:kern w:val="0"/>
          <w:sz w:val="24"/>
        </w:rPr>
        <w:t>“</w:t>
      </w:r>
      <w:r>
        <w:rPr>
          <w:rFonts w:ascii="Arial" w:hAnsi="Arial" w:eastAsia="宋体" w:cs="Arial"/>
          <w:snapToGrid w:val="0"/>
          <w:kern w:val="0"/>
          <w:sz w:val="24"/>
        </w:rPr>
        <w:t>总章&lt;1&gt;注射液</w:t>
      </w:r>
      <w:r>
        <w:rPr>
          <w:rFonts w:ascii="宋体" w:hAnsi="宋体" w:eastAsia="宋体" w:cs="Arial"/>
          <w:snapToGrid w:val="0"/>
          <w:kern w:val="0"/>
          <w:sz w:val="24"/>
        </w:rPr>
        <w:t>”</w:t>
      </w:r>
      <w:r>
        <w:rPr>
          <w:rFonts w:ascii="Arial" w:hAnsi="Arial" w:eastAsia="宋体" w:cs="Arial"/>
          <w:snapToGrid w:val="0"/>
          <w:kern w:val="0"/>
          <w:sz w:val="24"/>
        </w:rPr>
        <w:t>要求的情况</w:t>
      </w:r>
      <w:r>
        <w:rPr>
          <w:rFonts w:hint="eastAsia" w:ascii="Arial" w:hAnsi="Arial" w:eastAsia="宋体" w:cs="Arial"/>
          <w:snapToGrid w:val="0"/>
          <w:kern w:val="0"/>
          <w:sz w:val="24"/>
        </w:rPr>
        <w:t>表示担忧</w:t>
      </w:r>
      <w:r>
        <w:rPr>
          <w:rFonts w:ascii="Arial" w:hAnsi="Arial" w:eastAsia="宋体" w:cs="Arial"/>
          <w:snapToGrid w:val="0"/>
          <w:kern w:val="0"/>
          <w:sz w:val="24"/>
        </w:rPr>
        <w:t>。美国药典专家委员会</w:t>
      </w:r>
      <w:r>
        <w:rPr>
          <w:rFonts w:hint="eastAsia" w:ascii="Arial" w:hAnsi="Arial" w:eastAsia="宋体" w:cs="Arial"/>
          <w:snapToGrid w:val="0"/>
          <w:kern w:val="0"/>
          <w:sz w:val="24"/>
        </w:rPr>
        <w:t>，</w:t>
      </w:r>
      <w:r>
        <w:rPr>
          <w:rFonts w:ascii="Arial" w:hAnsi="Arial" w:eastAsia="宋体" w:cs="Arial"/>
          <w:snapToGrid w:val="0"/>
          <w:kern w:val="0"/>
          <w:sz w:val="24"/>
        </w:rPr>
        <w:t>包括负责这些肝素专论</w:t>
      </w:r>
      <w:r>
        <w:rPr>
          <w:rFonts w:hint="eastAsia" w:ascii="Arial" w:hAnsi="Arial" w:eastAsia="宋体" w:cs="Arial"/>
          <w:snapToGrid w:val="0"/>
          <w:kern w:val="0"/>
          <w:sz w:val="24"/>
        </w:rPr>
        <w:t>、</w:t>
      </w:r>
      <w:r>
        <w:rPr>
          <w:rFonts w:ascii="Arial" w:hAnsi="Arial" w:eastAsia="宋体" w:cs="Arial"/>
          <w:snapToGrid w:val="0"/>
          <w:kern w:val="0"/>
          <w:sz w:val="24"/>
        </w:rPr>
        <w:t>专论－生物制剂和生物技术1的委员会）对肝素专论的标签部分提出修订。修订版要求产品容器标签遵从美国药典的可注射药物标准，尤其要遵从</w:t>
      </w:r>
      <w:r>
        <w:rPr>
          <w:rFonts w:ascii="宋体" w:hAnsi="宋体" w:eastAsia="宋体" w:cs="Arial"/>
          <w:snapToGrid w:val="0"/>
          <w:kern w:val="0"/>
          <w:sz w:val="24"/>
        </w:rPr>
        <w:t>“</w:t>
      </w:r>
      <w:r>
        <w:rPr>
          <w:rFonts w:ascii="Arial" w:hAnsi="Arial" w:eastAsia="宋体" w:cs="Arial"/>
          <w:snapToGrid w:val="0"/>
          <w:kern w:val="0"/>
          <w:sz w:val="24"/>
        </w:rPr>
        <w:t>总章&lt;1&gt;注射液</w:t>
      </w:r>
      <w:r>
        <w:rPr>
          <w:rFonts w:ascii="宋体" w:hAnsi="宋体" w:eastAsia="宋体" w:cs="Arial"/>
          <w:snapToGrid w:val="0"/>
          <w:kern w:val="0"/>
          <w:sz w:val="24"/>
        </w:rPr>
        <w:t>”</w:t>
      </w:r>
      <w:r>
        <w:rPr>
          <w:rFonts w:ascii="Arial" w:hAnsi="Arial" w:eastAsia="宋体" w:cs="Arial"/>
          <w:snapToGrid w:val="0"/>
          <w:kern w:val="0"/>
          <w:sz w:val="24"/>
        </w:rPr>
        <w:t>中规定的标准。这些修订内容于2013年5月1日</w:t>
      </w:r>
      <w:r>
        <w:rPr>
          <w:rFonts w:hint="eastAsia" w:ascii="Arial" w:hAnsi="Arial" w:eastAsia="宋体" w:cs="Arial"/>
          <w:snapToGrid w:val="0"/>
          <w:kern w:val="0"/>
          <w:sz w:val="24"/>
        </w:rPr>
        <w:t>正式</w:t>
      </w:r>
      <w:r>
        <w:rPr>
          <w:rFonts w:ascii="Arial" w:hAnsi="Arial" w:eastAsia="宋体" w:cs="Arial"/>
          <w:snapToGrid w:val="0"/>
          <w:kern w:val="0"/>
          <w:sz w:val="24"/>
        </w:rPr>
        <w:t>规定。</w:t>
      </w:r>
    </w:p>
    <w:p w14:paraId="65CEBC08">
      <w:pPr>
        <w:pStyle w:val="14"/>
        <w:numPr>
          <w:ilvl w:val="0"/>
          <w:numId w:val="1"/>
        </w:numPr>
        <w:topLinePunct/>
        <w:adjustRightInd w:val="0"/>
        <w:snapToGrid w:val="0"/>
        <w:spacing w:after="234" w:afterLines="75" w:line="288" w:lineRule="auto"/>
        <w:ind w:firstLineChars="0"/>
        <w:rPr>
          <w:rFonts w:ascii="Arial" w:hAnsi="Arial" w:eastAsia="宋体" w:cs="Arial"/>
          <w:b/>
          <w:snapToGrid w:val="0"/>
          <w:kern w:val="0"/>
          <w:sz w:val="32"/>
        </w:rPr>
      </w:pPr>
      <w:r>
        <w:rPr>
          <w:rFonts w:ascii="Arial" w:hAnsi="Arial" w:eastAsia="宋体" w:cs="Arial"/>
          <w:b/>
          <w:snapToGrid w:val="0"/>
          <w:kern w:val="0"/>
          <w:sz w:val="32"/>
        </w:rPr>
        <w:t>标签</w:t>
      </w:r>
      <w:r>
        <w:rPr>
          <w:rFonts w:hint="eastAsia" w:ascii="Arial" w:hAnsi="Arial" w:eastAsia="宋体" w:cs="Arial"/>
          <w:b/>
          <w:snapToGrid w:val="0"/>
          <w:kern w:val="0"/>
          <w:sz w:val="32"/>
        </w:rPr>
        <w:t>声明</w:t>
      </w:r>
    </w:p>
    <w:p w14:paraId="65CF9EFD">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用于肝素锁定冲洗液产品</w:t>
      </w:r>
    </w:p>
    <w:p w14:paraId="7AE8D1E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对于单剂量和多剂量可注射药物产品，美国药典肝素锁定冲洗液专论要求产品标签</w:t>
      </w:r>
      <w:r>
        <w:rPr>
          <w:rStyle w:val="10"/>
          <w:rFonts w:ascii="Arial" w:hAnsi="Arial" w:eastAsia="宋体" w:cs="Arial"/>
          <w:snapToGrid w:val="0"/>
          <w:kern w:val="0"/>
          <w:sz w:val="24"/>
        </w:rPr>
        <w:footnoteReference w:id="6"/>
      </w:r>
      <w:r>
        <w:rPr>
          <w:rFonts w:hint="eastAsia" w:ascii="Arial" w:hAnsi="Arial" w:eastAsia="宋体" w:cs="Arial"/>
          <w:snapToGrid w:val="0"/>
          <w:kern w:val="0"/>
          <w:sz w:val="24"/>
        </w:rPr>
        <w:t>说明</w:t>
      </w:r>
      <w:r>
        <w:rPr>
          <w:rFonts w:ascii="Arial" w:hAnsi="Arial" w:eastAsia="宋体" w:cs="Arial"/>
          <w:snapToGrid w:val="0"/>
          <w:kern w:val="0"/>
          <w:sz w:val="24"/>
        </w:rPr>
        <w:t>每个容器总体积中的药量，并以此作为药量的主要</w:t>
      </w:r>
      <w:r>
        <w:rPr>
          <w:rFonts w:hint="eastAsia" w:ascii="Arial" w:hAnsi="Arial" w:eastAsia="宋体" w:cs="Arial"/>
          <w:snapToGrid w:val="0"/>
          <w:kern w:val="0"/>
          <w:sz w:val="24"/>
        </w:rPr>
        <w:t>说明</w:t>
      </w:r>
      <w:r>
        <w:rPr>
          <w:rFonts w:ascii="Arial" w:hAnsi="Arial" w:eastAsia="宋体" w:cs="Arial"/>
          <w:snapToGrid w:val="0"/>
          <w:kern w:val="0"/>
          <w:sz w:val="24"/>
        </w:rPr>
        <w:t>，后面紧接每毫升体积中的药量并将其放在圆括号中。每个容器总体积中的药量应</w:t>
      </w:r>
      <w:r>
        <w:rPr>
          <w:rFonts w:hint="eastAsia" w:ascii="Arial" w:hAnsi="Arial" w:eastAsia="宋体" w:cs="Arial"/>
          <w:snapToGrid w:val="0"/>
          <w:kern w:val="0"/>
          <w:sz w:val="24"/>
        </w:rPr>
        <w:t>在</w:t>
      </w:r>
      <w:r>
        <w:rPr>
          <w:rFonts w:ascii="Arial" w:hAnsi="Arial" w:eastAsia="宋体" w:cs="Arial"/>
          <w:snapToGrid w:val="0"/>
          <w:kern w:val="0"/>
          <w:sz w:val="24"/>
        </w:rPr>
        <w:t>标签主显示面主要和突出</w:t>
      </w:r>
      <w:r>
        <w:rPr>
          <w:rFonts w:hint="eastAsia" w:ascii="Arial" w:hAnsi="Arial" w:eastAsia="宋体" w:cs="Arial"/>
          <w:snapToGrid w:val="0"/>
          <w:kern w:val="0"/>
          <w:sz w:val="24"/>
        </w:rPr>
        <w:t>显示</w:t>
      </w:r>
      <w:r>
        <w:rPr>
          <w:rFonts w:ascii="Arial" w:hAnsi="Arial" w:eastAsia="宋体" w:cs="Arial"/>
          <w:snapToGrid w:val="0"/>
          <w:kern w:val="0"/>
          <w:sz w:val="24"/>
        </w:rPr>
        <w:t>。</w:t>
      </w:r>
      <w:r>
        <w:rPr>
          <w:rStyle w:val="10"/>
          <w:rFonts w:ascii="Arial" w:hAnsi="Arial" w:eastAsia="宋体" w:cs="Arial"/>
          <w:snapToGrid w:val="0"/>
          <w:kern w:val="0"/>
          <w:sz w:val="24"/>
        </w:rPr>
        <w:footnoteReference w:id="7"/>
      </w:r>
      <w:r>
        <w:rPr>
          <w:rFonts w:ascii="Arial" w:hAnsi="Arial" w:eastAsia="宋体" w:cs="Arial"/>
          <w:snapToGrid w:val="0"/>
          <w:kern w:val="0"/>
          <w:sz w:val="24"/>
        </w:rPr>
        <w:t>例如：</w:t>
      </w:r>
    </w:p>
    <w:p w14:paraId="30933C60">
      <w:pPr>
        <w:tabs>
          <w:tab w:val="left" w:pos="4395"/>
        </w:tabs>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总药量／总体积：</w:t>
      </w:r>
      <w:r>
        <w:rPr>
          <w:rFonts w:hint="eastAsia" w:ascii="Arial" w:hAnsi="Arial" w:eastAsia="宋体" w:cs="Arial"/>
          <w:snapToGrid w:val="0"/>
          <w:kern w:val="0"/>
          <w:sz w:val="24"/>
        </w:rPr>
        <w:tab/>
      </w:r>
      <w:r>
        <w:rPr>
          <w:rFonts w:ascii="Arial" w:hAnsi="Arial" w:eastAsia="宋体" w:cs="Arial"/>
          <w:snapToGrid w:val="0"/>
          <w:kern w:val="0"/>
          <w:sz w:val="24"/>
        </w:rPr>
        <w:t>100</w:t>
      </w:r>
      <w:r>
        <w:rPr>
          <w:rFonts w:ascii="Arial" w:hAnsi="Arial" w:eastAsia="宋体" w:cs="Arial"/>
          <w:snapToGrid w:val="0"/>
          <w:kern w:val="0"/>
          <w:sz w:val="24"/>
          <w:vertAlign w:val="subscript"/>
        </w:rPr>
        <w:t>USP</w:t>
      </w:r>
      <w:r>
        <w:rPr>
          <w:rFonts w:ascii="Arial" w:hAnsi="Arial" w:eastAsia="宋体" w:cs="Arial"/>
          <w:snapToGrid w:val="0"/>
          <w:kern w:val="0"/>
          <w:sz w:val="24"/>
        </w:rPr>
        <w:t>单位／10毫升</w:t>
      </w:r>
    </w:p>
    <w:p w14:paraId="591D09D0">
      <w:pPr>
        <w:tabs>
          <w:tab w:val="left" w:pos="4395"/>
        </w:tabs>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药量／毫升：</w:t>
      </w:r>
      <w:r>
        <w:rPr>
          <w:rFonts w:hint="eastAsia" w:ascii="Arial" w:hAnsi="Arial" w:eastAsia="宋体" w:cs="Arial"/>
          <w:snapToGrid w:val="0"/>
          <w:kern w:val="0"/>
          <w:sz w:val="24"/>
        </w:rPr>
        <w:tab/>
      </w:r>
      <w:r>
        <w:rPr>
          <w:rFonts w:ascii="Arial" w:hAnsi="Arial" w:eastAsia="宋体" w:cs="Arial"/>
          <w:snapToGrid w:val="0"/>
          <w:kern w:val="0"/>
          <w:sz w:val="24"/>
        </w:rPr>
        <w:t>（10</w:t>
      </w:r>
      <w:r>
        <w:rPr>
          <w:rFonts w:ascii="Arial" w:hAnsi="Arial" w:eastAsia="宋体" w:cs="Arial"/>
          <w:snapToGrid w:val="0"/>
          <w:kern w:val="0"/>
          <w:sz w:val="24"/>
          <w:vertAlign w:val="subscript"/>
        </w:rPr>
        <w:t>USP</w:t>
      </w:r>
      <w:r>
        <w:rPr>
          <w:rFonts w:ascii="Arial" w:hAnsi="Arial" w:eastAsia="宋体" w:cs="Arial"/>
          <w:snapToGrid w:val="0"/>
          <w:kern w:val="0"/>
          <w:sz w:val="24"/>
        </w:rPr>
        <w:t>单位／毫升）</w:t>
      </w:r>
    </w:p>
    <w:p w14:paraId="2A32AF4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对于体积小于1毫升的产品，每个1毫升分数中的药量应为药量的唯一</w:t>
      </w:r>
      <w:r>
        <w:rPr>
          <w:rFonts w:hint="eastAsia" w:ascii="Arial" w:hAnsi="Arial" w:eastAsia="宋体" w:cs="Arial"/>
          <w:snapToGrid w:val="0"/>
          <w:kern w:val="0"/>
          <w:sz w:val="24"/>
        </w:rPr>
        <w:t>说明</w:t>
      </w:r>
      <w:r>
        <w:rPr>
          <w:rFonts w:ascii="Arial" w:hAnsi="Arial" w:eastAsia="宋体" w:cs="Arial"/>
          <w:snapToGrid w:val="0"/>
          <w:kern w:val="0"/>
          <w:sz w:val="24"/>
        </w:rPr>
        <w:t>。</w:t>
      </w:r>
      <w:r>
        <w:rPr>
          <w:rStyle w:val="10"/>
          <w:rFonts w:ascii="Arial" w:hAnsi="Arial" w:eastAsia="宋体" w:cs="Arial"/>
          <w:snapToGrid w:val="0"/>
          <w:kern w:val="0"/>
          <w:sz w:val="24"/>
        </w:rPr>
        <w:footnoteReference w:id="8"/>
      </w:r>
      <w:r>
        <w:rPr>
          <w:rFonts w:ascii="Arial" w:hAnsi="Arial" w:eastAsia="宋体" w:cs="Arial"/>
          <w:snapToGrid w:val="0"/>
          <w:kern w:val="0"/>
          <w:sz w:val="24"/>
        </w:rPr>
        <w:t>例如：</w:t>
      </w:r>
    </w:p>
    <w:p w14:paraId="65D82B3D">
      <w:pPr>
        <w:tabs>
          <w:tab w:val="left" w:pos="4395"/>
        </w:tabs>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药量／毫升：</w:t>
      </w:r>
      <w:r>
        <w:rPr>
          <w:rFonts w:hint="eastAsia" w:ascii="Arial" w:hAnsi="Arial" w:eastAsia="宋体" w:cs="Arial"/>
          <w:snapToGrid w:val="0"/>
          <w:kern w:val="0"/>
          <w:sz w:val="24"/>
        </w:rPr>
        <w:tab/>
      </w:r>
      <w:r>
        <w:rPr>
          <w:rFonts w:ascii="Arial" w:hAnsi="Arial" w:eastAsia="宋体" w:cs="Arial"/>
          <w:snapToGrid w:val="0"/>
          <w:kern w:val="0"/>
          <w:sz w:val="24"/>
        </w:rPr>
        <w:t>100</w:t>
      </w:r>
      <w:r>
        <w:rPr>
          <w:rFonts w:ascii="Arial" w:hAnsi="Arial" w:eastAsia="宋体" w:cs="Arial"/>
          <w:snapToGrid w:val="0"/>
          <w:kern w:val="0"/>
          <w:sz w:val="24"/>
          <w:vertAlign w:val="subscript"/>
        </w:rPr>
        <w:t>USP</w:t>
      </w:r>
      <w:r>
        <w:rPr>
          <w:rFonts w:ascii="Arial" w:hAnsi="Arial" w:eastAsia="宋体" w:cs="Arial"/>
          <w:snapToGrid w:val="0"/>
          <w:kern w:val="0"/>
          <w:sz w:val="24"/>
        </w:rPr>
        <w:t>单位／0.5毫升</w:t>
      </w:r>
    </w:p>
    <w:p w14:paraId="3C25A706">
      <w:pPr>
        <w:topLinePunct/>
        <w:adjustRightInd w:val="0"/>
        <w:snapToGrid w:val="0"/>
        <w:spacing w:after="234" w:afterLines="75" w:line="288" w:lineRule="auto"/>
        <w:rPr>
          <w:rFonts w:ascii="Arial" w:hAnsi="Arial" w:eastAsia="宋体" w:cs="Arial"/>
          <w:snapToGrid w:val="0"/>
          <w:kern w:val="0"/>
          <w:sz w:val="24"/>
        </w:rPr>
      </w:pPr>
      <w:bookmarkStart w:id="9" w:name="OLE_LINK30"/>
      <w:bookmarkStart w:id="10" w:name="OLE_LINK31"/>
      <w:r>
        <w:rPr>
          <w:rFonts w:ascii="Arial" w:hAnsi="Arial" w:eastAsia="宋体" w:cs="Arial"/>
          <w:snapToGrid w:val="0"/>
          <w:kern w:val="0"/>
          <w:sz w:val="24"/>
        </w:rPr>
        <w:t>本机构进一步建议将以上信息作为器械／组合产品描述的组成部分包含在使用说明中。标签必须与专论一致，确认肝素钠提取</w:t>
      </w:r>
      <w:r>
        <w:rPr>
          <w:rFonts w:hint="eastAsia" w:ascii="Arial" w:hAnsi="Arial" w:eastAsia="宋体" w:cs="Arial"/>
          <w:snapToGrid w:val="0"/>
          <w:kern w:val="0"/>
          <w:sz w:val="24"/>
        </w:rPr>
        <w:t>来源</w:t>
      </w:r>
      <w:r>
        <w:rPr>
          <w:rFonts w:ascii="Arial" w:hAnsi="Arial" w:eastAsia="宋体" w:cs="Arial"/>
          <w:snapToGrid w:val="0"/>
          <w:kern w:val="0"/>
          <w:sz w:val="24"/>
        </w:rPr>
        <w:t>的器官（如肠黏膜）和动物物种。</w:t>
      </w:r>
      <w:bookmarkEnd w:id="9"/>
      <w:bookmarkEnd w:id="10"/>
      <w:r>
        <w:rPr>
          <w:rStyle w:val="10"/>
          <w:rFonts w:ascii="Arial" w:hAnsi="Arial" w:eastAsia="宋体" w:cs="Arial"/>
          <w:snapToGrid w:val="0"/>
          <w:kern w:val="0"/>
          <w:sz w:val="24"/>
        </w:rPr>
        <w:footnoteReference w:id="9"/>
      </w:r>
    </w:p>
    <w:p w14:paraId="5DD64B7E">
      <w:pPr>
        <w:pStyle w:val="14"/>
        <w:numPr>
          <w:ilvl w:val="0"/>
          <w:numId w:val="2"/>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用于肝素粘合产品</w:t>
      </w:r>
    </w:p>
    <w:p w14:paraId="13BFCCD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对于肝素粘合产品，应在主包装标签上显示每个总表面积的肝素总量，并在圆括号中紧跟每个面积单位上的浓度。例如：</w:t>
      </w:r>
    </w:p>
    <w:p w14:paraId="5798470F">
      <w:pPr>
        <w:tabs>
          <w:tab w:val="left" w:pos="4395"/>
        </w:tabs>
        <w:topLinePunct/>
        <w:adjustRightInd w:val="0"/>
        <w:snapToGrid w:val="0"/>
        <w:spacing w:after="234" w:afterLines="75" w:line="288" w:lineRule="auto"/>
        <w:ind w:left="1680" w:leftChars="800"/>
        <w:rPr>
          <w:rFonts w:ascii="Arial" w:hAnsi="Arial" w:eastAsia="宋体" w:cs="Arial"/>
          <w:snapToGrid w:val="0"/>
          <w:kern w:val="0"/>
          <w:sz w:val="24"/>
        </w:rPr>
      </w:pPr>
      <w:r>
        <w:rPr>
          <w:rFonts w:ascii="Arial" w:hAnsi="Arial" w:eastAsia="宋体" w:cs="Arial"/>
          <w:snapToGrid w:val="0"/>
          <w:kern w:val="0"/>
          <w:sz w:val="24"/>
        </w:rPr>
        <w:t>肝素总量／总表面积：</w:t>
      </w:r>
      <w:bookmarkStart w:id="11" w:name="OLE_LINK28"/>
      <w:bookmarkStart w:id="12" w:name="OLE_LINK29"/>
      <w:r>
        <w:rPr>
          <w:rFonts w:hint="eastAsia" w:ascii="Arial" w:hAnsi="Arial" w:eastAsia="宋体" w:cs="Arial"/>
          <w:snapToGrid w:val="0"/>
          <w:kern w:val="0"/>
          <w:sz w:val="24"/>
        </w:rPr>
        <w:tab/>
      </w:r>
      <w:r>
        <w:rPr>
          <w:rFonts w:ascii="Arial" w:hAnsi="Arial" w:eastAsia="宋体" w:cs="Arial"/>
          <w:snapToGrid w:val="0"/>
          <w:kern w:val="0"/>
          <w:sz w:val="24"/>
        </w:rPr>
        <w:t>10</w:t>
      </w:r>
      <w:bookmarkStart w:id="13" w:name="OLE_LINK1"/>
      <w:bookmarkStart w:id="14" w:name="OLE_LINK2"/>
      <w:r>
        <w:rPr>
          <w:rFonts w:ascii="Arial" w:hAnsi="Arial" w:eastAsia="宋体" w:cs="Arial"/>
          <w:snapToGrid w:val="0"/>
          <w:kern w:val="0"/>
          <w:sz w:val="24"/>
        </w:rPr>
        <w:t>0</w:t>
      </w:r>
      <w:r>
        <w:rPr>
          <w:rFonts w:ascii="Arial" w:hAnsi="Arial" w:eastAsia="宋体" w:cs="Arial"/>
          <w:snapToGrid w:val="0"/>
          <w:kern w:val="0"/>
          <w:sz w:val="24"/>
          <w:vertAlign w:val="subscript"/>
        </w:rPr>
        <w:t>USP</w:t>
      </w:r>
      <w:bookmarkEnd w:id="13"/>
      <w:bookmarkEnd w:id="14"/>
      <w:r>
        <w:rPr>
          <w:rFonts w:ascii="Arial" w:hAnsi="Arial" w:eastAsia="宋体" w:cs="Arial"/>
          <w:snapToGrid w:val="0"/>
          <w:kern w:val="0"/>
          <w:sz w:val="24"/>
        </w:rPr>
        <w:t>单位</w:t>
      </w:r>
      <w:bookmarkEnd w:id="11"/>
      <w:bookmarkEnd w:id="12"/>
      <w:r>
        <w:rPr>
          <w:rFonts w:ascii="Arial" w:hAnsi="Arial" w:eastAsia="宋体" w:cs="Arial"/>
          <w:snapToGrid w:val="0"/>
          <w:kern w:val="0"/>
          <w:sz w:val="24"/>
        </w:rPr>
        <w:t>／总表面积</w:t>
      </w:r>
      <w:r>
        <w:rPr>
          <w:rFonts w:ascii="Arial" w:hAnsi="Arial" w:eastAsia="宋体" w:cs="Arial"/>
          <w:snapToGrid w:val="0"/>
          <w:kern w:val="0"/>
          <w:sz w:val="24"/>
          <w:vertAlign w:val="superscript"/>
        </w:rPr>
        <w:t>2</w:t>
      </w:r>
    </w:p>
    <w:p w14:paraId="50BF0C4F">
      <w:pPr>
        <w:tabs>
          <w:tab w:val="left" w:pos="4395"/>
        </w:tabs>
        <w:topLinePunct/>
        <w:adjustRightInd w:val="0"/>
        <w:snapToGrid w:val="0"/>
        <w:spacing w:after="234" w:afterLines="75" w:line="288" w:lineRule="auto"/>
        <w:ind w:left="1842" w:leftChars="877"/>
        <w:rPr>
          <w:rFonts w:ascii="Arial" w:hAnsi="Arial" w:eastAsia="宋体" w:cs="Arial"/>
          <w:snapToGrid w:val="0"/>
          <w:kern w:val="0"/>
          <w:sz w:val="24"/>
        </w:rPr>
      </w:pPr>
      <w:r>
        <w:rPr>
          <w:rFonts w:ascii="Arial" w:hAnsi="Arial" w:eastAsia="宋体" w:cs="Arial"/>
          <w:snapToGrid w:val="0"/>
          <w:kern w:val="0"/>
          <w:sz w:val="24"/>
        </w:rPr>
        <w:t>药量／面积单位：</w:t>
      </w:r>
      <w:r>
        <w:rPr>
          <w:rFonts w:hint="eastAsia" w:ascii="Arial" w:hAnsi="Arial" w:eastAsia="宋体" w:cs="Arial"/>
          <w:snapToGrid w:val="0"/>
          <w:kern w:val="0"/>
          <w:sz w:val="24"/>
        </w:rPr>
        <w:tab/>
      </w:r>
      <w:r>
        <w:rPr>
          <w:rFonts w:ascii="Arial" w:hAnsi="Arial" w:eastAsia="宋体" w:cs="Arial"/>
          <w:snapToGrid w:val="0"/>
          <w:kern w:val="0"/>
          <w:sz w:val="24"/>
        </w:rPr>
        <w:t>（10</w:t>
      </w:r>
      <w:r>
        <w:rPr>
          <w:rFonts w:ascii="Arial" w:hAnsi="Arial" w:eastAsia="宋体" w:cs="Arial"/>
          <w:snapToGrid w:val="0"/>
          <w:kern w:val="0"/>
          <w:sz w:val="24"/>
          <w:vertAlign w:val="subscript"/>
        </w:rPr>
        <w:t>USP</w:t>
      </w:r>
      <w:r>
        <w:rPr>
          <w:rFonts w:ascii="Arial" w:hAnsi="Arial" w:eastAsia="宋体" w:cs="Arial"/>
          <w:snapToGrid w:val="0"/>
          <w:kern w:val="0"/>
          <w:sz w:val="24"/>
        </w:rPr>
        <w:t>单位）/表面积单位</w:t>
      </w:r>
      <w:r>
        <w:rPr>
          <w:rFonts w:ascii="Arial" w:hAnsi="Arial" w:eastAsia="宋体" w:cs="Arial"/>
          <w:snapToGrid w:val="0"/>
          <w:kern w:val="0"/>
          <w:sz w:val="24"/>
          <w:vertAlign w:val="superscript"/>
        </w:rPr>
        <w:t>2</w:t>
      </w:r>
    </w:p>
    <w:p w14:paraId="714F4A9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本机构进一步建议将以上信息作为器械／组合产品描述的组成部分包含在使用说明</w:t>
      </w:r>
      <w:r>
        <w:rPr>
          <w:rFonts w:hint="eastAsia" w:ascii="Arial" w:hAnsi="Arial" w:eastAsia="宋体" w:cs="Arial"/>
          <w:snapToGrid w:val="0"/>
          <w:kern w:val="0"/>
          <w:sz w:val="24"/>
        </w:rPr>
        <w:t>书</w:t>
      </w:r>
      <w:r>
        <w:rPr>
          <w:rFonts w:ascii="Arial" w:hAnsi="Arial" w:eastAsia="宋体" w:cs="Arial"/>
          <w:snapToGrid w:val="0"/>
          <w:kern w:val="0"/>
          <w:sz w:val="24"/>
        </w:rPr>
        <w:t>中</w:t>
      </w:r>
      <w:r>
        <w:rPr>
          <w:rFonts w:hint="eastAsia" w:ascii="Arial" w:hAnsi="Arial" w:eastAsia="宋体" w:cs="Arial"/>
          <w:snapToGrid w:val="0"/>
          <w:kern w:val="0"/>
          <w:sz w:val="24"/>
        </w:rPr>
        <w:t>，</w:t>
      </w:r>
      <w:r>
        <w:rPr>
          <w:rFonts w:ascii="Arial" w:hAnsi="Arial" w:eastAsia="宋体" w:cs="Arial"/>
          <w:snapToGrid w:val="0"/>
          <w:kern w:val="0"/>
          <w:sz w:val="24"/>
        </w:rPr>
        <w:t>标签应确认肝素钠提取</w:t>
      </w:r>
      <w:r>
        <w:rPr>
          <w:rFonts w:hint="eastAsia" w:ascii="Arial" w:hAnsi="Arial" w:eastAsia="宋体" w:cs="Arial"/>
          <w:snapToGrid w:val="0"/>
          <w:kern w:val="0"/>
          <w:sz w:val="24"/>
        </w:rPr>
        <w:t>来源</w:t>
      </w:r>
      <w:r>
        <w:rPr>
          <w:rFonts w:ascii="Arial" w:hAnsi="Arial" w:eastAsia="宋体" w:cs="Arial"/>
          <w:snapToGrid w:val="0"/>
          <w:kern w:val="0"/>
          <w:sz w:val="24"/>
        </w:rPr>
        <w:t>的组织（如肠黏膜）和动物物种（如猪）。</w:t>
      </w:r>
    </w:p>
    <w:p w14:paraId="7EEE925D">
      <w:pPr>
        <w:pStyle w:val="14"/>
        <w:numPr>
          <w:ilvl w:val="0"/>
          <w:numId w:val="1"/>
        </w:numPr>
        <w:topLinePunct/>
        <w:adjustRightInd w:val="0"/>
        <w:snapToGrid w:val="0"/>
        <w:spacing w:after="234" w:afterLines="75" w:line="288" w:lineRule="auto"/>
        <w:ind w:firstLineChars="0"/>
        <w:rPr>
          <w:rFonts w:ascii="Arial" w:hAnsi="Arial" w:eastAsia="宋体" w:cs="Arial"/>
          <w:b/>
          <w:snapToGrid w:val="0"/>
          <w:kern w:val="0"/>
          <w:sz w:val="32"/>
        </w:rPr>
      </w:pPr>
      <w:r>
        <w:rPr>
          <w:rFonts w:ascii="Arial" w:hAnsi="Arial" w:eastAsia="宋体" w:cs="Arial"/>
          <w:b/>
          <w:snapToGrid w:val="0"/>
          <w:kern w:val="0"/>
          <w:sz w:val="32"/>
        </w:rPr>
        <w:t>含肝素产品的安全性检测</w:t>
      </w:r>
    </w:p>
    <w:p w14:paraId="1C67CD1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肝素锁定冲洗液制造商必须遵从美国药典关于该产品的现行专论以及</w:t>
      </w:r>
      <w:bookmarkStart w:id="15" w:name="OLE_LINK37"/>
      <w:bookmarkStart w:id="16" w:name="OLE_LINK36"/>
      <w:r>
        <w:rPr>
          <w:rFonts w:ascii="Arial" w:hAnsi="Arial" w:eastAsia="宋体" w:cs="Arial"/>
          <w:snapToGrid w:val="0"/>
          <w:kern w:val="0"/>
          <w:sz w:val="24"/>
        </w:rPr>
        <w:t>美国药典关于肝素钠的药物材料专论。</w:t>
      </w:r>
      <w:bookmarkEnd w:id="15"/>
      <w:bookmarkEnd w:id="16"/>
      <w:r>
        <w:rPr>
          <w:rFonts w:ascii="Arial" w:hAnsi="Arial" w:eastAsia="宋体" w:cs="Arial"/>
          <w:snapToGrid w:val="0"/>
          <w:kern w:val="0"/>
          <w:sz w:val="24"/>
        </w:rPr>
        <w:t>肝素钠注射液制造商必须遵从美国药典关于该产品的现行专论以及美国药典关于肝素钠的药物材料专论。见FD&amp;C法案第501（b）部分和第502（g）部分。我们还建议公司遵从指导性文件</w:t>
      </w:r>
      <w:r>
        <w:rPr>
          <w:rFonts w:ascii="宋体" w:hAnsi="宋体" w:eastAsia="宋体" w:cs="Arial"/>
          <w:snapToGrid w:val="0"/>
          <w:kern w:val="0"/>
          <w:sz w:val="24"/>
        </w:rPr>
        <w:t>“</w:t>
      </w:r>
      <w:r>
        <w:rPr>
          <w:rFonts w:ascii="Arial" w:hAnsi="Arial" w:eastAsia="宋体" w:cs="Arial"/>
          <w:snapToGrid w:val="0"/>
          <w:kern w:val="0"/>
          <w:sz w:val="24"/>
        </w:rPr>
        <w:t>药物和医疗器械用肝素：粗制肝素的质量监测</w:t>
      </w:r>
      <w:r>
        <w:rPr>
          <w:rFonts w:ascii="宋体" w:hAnsi="宋体" w:eastAsia="宋体" w:cs="Arial"/>
          <w:snapToGrid w:val="0"/>
          <w:kern w:val="0"/>
          <w:sz w:val="24"/>
        </w:rPr>
        <w:t>”</w:t>
      </w:r>
      <w:r>
        <w:rPr>
          <w:rFonts w:ascii="Arial" w:hAnsi="Arial" w:eastAsia="宋体" w:cs="Arial"/>
          <w:snapToGrid w:val="0"/>
          <w:kern w:val="0"/>
          <w:sz w:val="24"/>
        </w:rPr>
        <w:t>。</w:t>
      </w:r>
      <w:r>
        <w:rPr>
          <w:rStyle w:val="10"/>
          <w:rFonts w:ascii="Arial" w:hAnsi="Arial" w:eastAsia="宋体" w:cs="Arial"/>
          <w:snapToGrid w:val="0"/>
          <w:kern w:val="0"/>
          <w:sz w:val="24"/>
        </w:rPr>
        <w:footnoteReference w:id="10"/>
      </w:r>
      <w:r>
        <w:rPr>
          <w:rFonts w:ascii="Arial" w:hAnsi="Arial" w:eastAsia="宋体" w:cs="Arial"/>
          <w:snapToGrid w:val="0"/>
          <w:kern w:val="0"/>
          <w:sz w:val="24"/>
        </w:rPr>
        <w:t>另外，我们建议收到体现其将成为</w:t>
      </w:r>
      <w:r>
        <w:rPr>
          <w:rFonts w:ascii="宋体" w:hAnsi="宋体" w:eastAsia="宋体" w:cs="Arial"/>
          <w:snapToGrid w:val="0"/>
          <w:kern w:val="0"/>
          <w:sz w:val="24"/>
        </w:rPr>
        <w:t>“</w:t>
      </w:r>
      <w:r>
        <w:rPr>
          <w:rFonts w:ascii="Arial" w:hAnsi="Arial" w:eastAsia="宋体" w:cs="Arial"/>
          <w:snapToGrid w:val="0"/>
          <w:kern w:val="0"/>
          <w:sz w:val="24"/>
        </w:rPr>
        <w:t>美国药典</w:t>
      </w:r>
      <w:r>
        <w:rPr>
          <w:rFonts w:ascii="宋体" w:hAnsi="宋体" w:eastAsia="宋体" w:cs="Arial"/>
          <w:snapToGrid w:val="0"/>
          <w:kern w:val="0"/>
          <w:sz w:val="24"/>
        </w:rPr>
        <w:t>”</w:t>
      </w:r>
      <w:r>
        <w:rPr>
          <w:rFonts w:ascii="Arial" w:hAnsi="Arial" w:eastAsia="宋体" w:cs="Arial"/>
          <w:snapToGrid w:val="0"/>
          <w:kern w:val="0"/>
          <w:sz w:val="24"/>
        </w:rPr>
        <w:t>肝素钠药物材料或活性药物成分（API）用于生产包含肝素钠或低分子量肝素</w:t>
      </w:r>
      <w:r>
        <w:rPr>
          <w:rFonts w:hint="eastAsia" w:ascii="Arial" w:hAnsi="Arial" w:eastAsia="宋体" w:cs="Arial"/>
          <w:snapToGrid w:val="0"/>
          <w:kern w:val="0"/>
          <w:sz w:val="24"/>
        </w:rPr>
        <w:t>的</w:t>
      </w:r>
      <w:r>
        <w:rPr>
          <w:rFonts w:ascii="Arial" w:hAnsi="Arial" w:eastAsia="宋体" w:cs="Arial"/>
          <w:snapToGrid w:val="0"/>
          <w:kern w:val="0"/>
          <w:sz w:val="24"/>
        </w:rPr>
        <w:t>组合产品或体外诊断医疗器械的制造商确保并证明已按美国药典现行药物材料专论对肝素进行了检测且遵从适用肝素指导性文件对肝素实施生产和／或检测。包含肝素</w:t>
      </w:r>
      <w:r>
        <w:rPr>
          <w:rFonts w:hint="eastAsia" w:ascii="Arial" w:hAnsi="Arial" w:eastAsia="宋体" w:cs="Arial"/>
          <w:snapToGrid w:val="0"/>
          <w:kern w:val="0"/>
          <w:sz w:val="24"/>
        </w:rPr>
        <w:t>的</w:t>
      </w:r>
      <w:r>
        <w:rPr>
          <w:rFonts w:ascii="Arial" w:hAnsi="Arial" w:eastAsia="宋体" w:cs="Arial"/>
          <w:snapToGrid w:val="0"/>
          <w:kern w:val="0"/>
          <w:sz w:val="24"/>
        </w:rPr>
        <w:t>医疗器械和组合产品制造商必须遵从安全性检测原理。</w:t>
      </w:r>
      <w:bookmarkStart w:id="17" w:name="OLE_LINK46"/>
      <w:bookmarkStart w:id="18" w:name="OLE_LINK47"/>
      <w:r>
        <w:rPr>
          <w:rFonts w:ascii="Arial" w:hAnsi="Arial" w:eastAsia="宋体" w:cs="Arial"/>
          <w:snapToGrid w:val="0"/>
          <w:kern w:val="0"/>
          <w:sz w:val="24"/>
        </w:rPr>
        <w:t>要求将这些安全性检测原理作为对器械质量体系（QS）法规合规性的组成部分予以实施和记录。</w:t>
      </w:r>
      <w:bookmarkEnd w:id="17"/>
      <w:bookmarkEnd w:id="18"/>
      <w:r>
        <w:rPr>
          <w:rFonts w:ascii="Arial" w:hAnsi="Arial" w:eastAsia="宋体" w:cs="Arial"/>
          <w:snapToGrid w:val="0"/>
          <w:kern w:val="0"/>
          <w:sz w:val="24"/>
        </w:rPr>
        <w:t>如果该产品是一种组合产品，要求将这些安全性检测原理作为对药物质量体系（QS）法规与现行良好生产规范要求合规性的组成部分予以实施和记录（见21 CFR第4部）。</w:t>
      </w:r>
    </w:p>
    <w:p w14:paraId="11E4CF7C">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AF9A538">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在提交给CDRH的上市前申请－上市前通告（510（k））申请、上市前批准申请、</w:t>
      </w:r>
      <w:r>
        <w:rPr>
          <w:rFonts w:hint="eastAsia" w:ascii="Arial" w:hAnsi="Arial" w:eastAsia="宋体" w:cs="Arial"/>
          <w:snapToGrid w:val="0"/>
          <w:kern w:val="0"/>
          <w:sz w:val="24"/>
        </w:rPr>
        <w:t>再次</w:t>
      </w:r>
      <w:r>
        <w:rPr>
          <w:rFonts w:ascii="Arial" w:hAnsi="Arial" w:eastAsia="宋体" w:cs="Arial"/>
          <w:snapToGrid w:val="0"/>
          <w:kern w:val="0"/>
          <w:sz w:val="24"/>
        </w:rPr>
        <w:t>申请和人道主义器械豁免（HDE）申请－中应对肝素产品做出详细描述并对肝素安全性检测的合规性提出证明。然而，请注意，肝素检测数据和记录应由医疗器械或组合产品制造商维护归档，但</w:t>
      </w:r>
      <w:r>
        <w:rPr>
          <w:rFonts w:hint="eastAsia" w:ascii="Arial" w:hAnsi="Arial" w:eastAsia="宋体" w:cs="Arial"/>
          <w:snapToGrid w:val="0"/>
          <w:kern w:val="0"/>
          <w:sz w:val="24"/>
        </w:rPr>
        <w:t>无需</w:t>
      </w:r>
      <w:r>
        <w:rPr>
          <w:rFonts w:ascii="Arial" w:hAnsi="Arial" w:eastAsia="宋体" w:cs="Arial"/>
          <w:snapToGrid w:val="0"/>
          <w:kern w:val="0"/>
          <w:sz w:val="24"/>
        </w:rPr>
        <w:t>包含在上市前申请中。更多细节见附录A。上市前申请应包含下列信息：</w:t>
      </w:r>
    </w:p>
    <w:p w14:paraId="7D318158">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肝素来源组织和物种（如猪肠黏膜）；</w:t>
      </w:r>
    </w:p>
    <w:p w14:paraId="7BAB783B">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肝素钠物种来源确认（如猪）；</w:t>
      </w:r>
    </w:p>
    <w:p w14:paraId="46BFBF57">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肝素钠活性药物成分（API）实际制造商与收货前接触肝素钠的任何重新装箱商和经销商的身份信息（即名称、地址和联系信息）。</w:t>
      </w:r>
    </w:p>
    <w:p w14:paraId="5C54D1FF">
      <w:pPr>
        <w:topLinePunct/>
        <w:adjustRightInd w:val="0"/>
        <w:snapToGrid w:val="0"/>
        <w:spacing w:after="234" w:afterLines="75" w:line="288" w:lineRule="auto"/>
        <w:jc w:val="left"/>
        <w:rPr>
          <w:rFonts w:ascii="Arial" w:hAnsi="Arial" w:eastAsia="宋体" w:cs="Arial"/>
          <w:snapToGrid w:val="0"/>
          <w:kern w:val="0"/>
          <w:sz w:val="24"/>
        </w:rPr>
      </w:pPr>
      <w:r>
        <w:rPr>
          <w:rFonts w:ascii="Arial" w:hAnsi="Arial" w:eastAsia="宋体" w:cs="Arial"/>
          <w:snapToGrid w:val="0"/>
          <w:kern w:val="0"/>
          <w:sz w:val="24"/>
        </w:rPr>
        <w:t>上市前申请还应提供下列项目，</w:t>
      </w:r>
      <w:r>
        <w:rPr>
          <w:rFonts w:hint="eastAsia" w:ascii="Arial" w:hAnsi="Arial" w:eastAsia="宋体" w:cs="Arial"/>
          <w:snapToGrid w:val="0"/>
          <w:kern w:val="0"/>
          <w:sz w:val="24"/>
        </w:rPr>
        <w:t>表明</w:t>
      </w:r>
      <w:r>
        <w:rPr>
          <w:rFonts w:ascii="Arial" w:hAnsi="Arial" w:eastAsia="宋体" w:cs="Arial"/>
          <w:snapToGrid w:val="0"/>
          <w:kern w:val="0"/>
          <w:sz w:val="24"/>
        </w:rPr>
        <w:t>制造商</w:t>
      </w:r>
      <w:r>
        <w:rPr>
          <w:rFonts w:hint="eastAsia" w:ascii="Arial" w:hAnsi="Arial" w:eastAsia="宋体" w:cs="Arial"/>
          <w:snapToGrid w:val="0"/>
          <w:kern w:val="0"/>
          <w:sz w:val="24"/>
        </w:rPr>
        <w:t>符合该指南中的</w:t>
      </w:r>
      <w:r>
        <w:rPr>
          <w:rFonts w:ascii="Arial" w:hAnsi="Arial" w:eastAsia="宋体" w:cs="Arial"/>
          <w:snapToGrid w:val="0"/>
          <w:kern w:val="0"/>
          <w:sz w:val="24"/>
        </w:rPr>
        <w:t>检测参数</w:t>
      </w:r>
      <w:r>
        <w:rPr>
          <w:rFonts w:ascii="宋体" w:hAnsi="宋体" w:eastAsia="宋体" w:cs="Arial"/>
          <w:i/>
          <w:snapToGrid w:val="0"/>
          <w:color w:val="0000FF"/>
          <w:kern w:val="0"/>
          <w:sz w:val="24"/>
          <w:u w:val="single"/>
        </w:rPr>
        <w:t>“</w:t>
      </w:r>
      <w:bookmarkStart w:id="19" w:name="OLE_LINK26"/>
      <w:bookmarkStart w:id="20" w:name="OLE_LINK25"/>
      <w:bookmarkStart w:id="21" w:name="OLE_LINK27"/>
      <w:r>
        <w:rPr>
          <w:rFonts w:ascii="Arial" w:hAnsi="Arial" w:eastAsia="宋体" w:cs="Arial"/>
          <w:i/>
          <w:snapToGrid w:val="0"/>
          <w:color w:val="0000FF"/>
          <w:kern w:val="0"/>
          <w:sz w:val="24"/>
          <w:u w:val="single"/>
        </w:rPr>
        <w:t>药物和医疗器械用肝素：粗制肝素的质量监测</w:t>
      </w:r>
      <w:bookmarkEnd w:id="19"/>
      <w:bookmarkEnd w:id="20"/>
      <w:bookmarkEnd w:id="21"/>
      <w:r>
        <w:rPr>
          <w:rFonts w:ascii="宋体" w:hAnsi="宋体" w:eastAsia="宋体" w:cs="Arial"/>
          <w:i/>
          <w:snapToGrid w:val="0"/>
          <w:color w:val="0000FF"/>
          <w:kern w:val="0"/>
          <w:sz w:val="24"/>
          <w:u w:val="single"/>
        </w:rPr>
        <w:t>”</w:t>
      </w:r>
      <w:r>
        <w:rPr>
          <w:rFonts w:ascii="Arial" w:hAnsi="Arial" w:eastAsia="宋体" w:cs="Arial"/>
          <w:snapToGrid w:val="0"/>
          <w:kern w:val="0"/>
          <w:sz w:val="24"/>
        </w:rPr>
        <w:t>（</w:t>
      </w:r>
      <w:r>
        <w:fldChar w:fldCharType="begin"/>
      </w:r>
      <w:r>
        <w:instrText xml:space="preserve"> HYPERLINK "http://www.fda.gov/downloads/Drugs/GuidanceComplianceRegulatoryInformation/Guidances/UCM291390.pdf" </w:instrText>
      </w:r>
      <w:r>
        <w:fldChar w:fldCharType="separate"/>
      </w:r>
      <w:r>
        <w:rPr>
          <w:rStyle w:val="9"/>
          <w:rFonts w:ascii="Arial" w:hAnsi="Arial" w:eastAsia="宋体" w:cs="Arial"/>
          <w:snapToGrid w:val="0"/>
          <w:kern w:val="0"/>
          <w:sz w:val="24"/>
        </w:rPr>
        <w:t>http://www.fda.gov/downloads/Drugs/GuidanceComplianceRegulatoryInformation/Guidances/UCM291390.pdf</w:t>
      </w:r>
      <w:r>
        <w:rPr>
          <w:rStyle w:val="9"/>
          <w:rFonts w:ascii="Arial" w:hAnsi="Arial" w:eastAsia="宋体" w:cs="Arial"/>
          <w:snapToGrid w:val="0"/>
          <w:kern w:val="0"/>
          <w:sz w:val="24"/>
        </w:rPr>
        <w:fldChar w:fldCharType="end"/>
      </w:r>
      <w:r>
        <w:rPr>
          <w:rFonts w:ascii="Arial" w:hAnsi="Arial" w:eastAsia="宋体" w:cs="Arial"/>
          <w:snapToGrid w:val="0"/>
          <w:kern w:val="0"/>
          <w:sz w:val="24"/>
        </w:rPr>
        <w:t>）：</w:t>
      </w:r>
      <w:r>
        <w:rPr>
          <w:rFonts w:ascii="Arial" w:hAnsi="Arial" w:eastAsia="宋体" w:cs="Arial"/>
          <w:snapToGrid w:val="0"/>
          <w:kern w:val="0"/>
          <w:sz w:val="24"/>
          <w:vertAlign w:val="superscript"/>
        </w:rPr>
        <w:t>4</w:t>
      </w:r>
    </w:p>
    <w:p w14:paraId="52FEEAC8">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采用合格且适合检测低水平</w:t>
      </w:r>
      <w:bookmarkStart w:id="22" w:name="OLE_LINK11"/>
      <w:bookmarkStart w:id="23" w:name="OLE_LINK12"/>
      <w:r>
        <w:rPr>
          <w:rFonts w:ascii="Arial" w:hAnsi="Arial" w:eastAsia="宋体" w:cs="Arial"/>
          <w:snapToGrid w:val="0"/>
          <w:kern w:val="0"/>
          <w:sz w:val="24"/>
        </w:rPr>
        <w:t>OSCS</w:t>
      </w:r>
      <w:bookmarkEnd w:id="22"/>
      <w:bookmarkEnd w:id="23"/>
      <w:r>
        <w:rPr>
          <w:rFonts w:ascii="Arial" w:hAnsi="Arial" w:eastAsia="宋体" w:cs="Arial"/>
          <w:snapToGrid w:val="0"/>
          <w:kern w:val="0"/>
          <w:sz w:val="24"/>
        </w:rPr>
        <w:t>浓度的方法（如强阴离子交换高压液相色谱法与</w:t>
      </w:r>
      <w:r>
        <w:rPr>
          <w:rFonts w:ascii="Arial" w:hAnsi="Arial" w:eastAsia="宋体" w:cs="Arial"/>
          <w:snapToGrid w:val="0"/>
          <w:kern w:val="0"/>
          <w:sz w:val="24"/>
          <w:vertAlign w:val="superscript"/>
        </w:rPr>
        <w:t>1</w:t>
      </w:r>
      <w:r>
        <w:rPr>
          <w:rFonts w:ascii="Arial" w:hAnsi="Arial" w:eastAsia="宋体" w:cs="Arial"/>
          <w:snapToGrid w:val="0"/>
          <w:kern w:val="0"/>
          <w:sz w:val="24"/>
        </w:rPr>
        <w:t>H核磁共振法）检测OSCS。</w:t>
      </w:r>
    </w:p>
    <w:p w14:paraId="34929ADF">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含肝素组合产品和医疗器械应遵从美国药典肝素钠专论</w:t>
      </w:r>
      <w:r>
        <w:rPr>
          <w:rFonts w:hint="eastAsia" w:ascii="Arial" w:hAnsi="Arial" w:eastAsia="宋体" w:cs="Arial"/>
          <w:snapToGrid w:val="0"/>
          <w:kern w:val="0"/>
          <w:sz w:val="24"/>
        </w:rPr>
        <w:t>的</w:t>
      </w:r>
      <w:r>
        <w:rPr>
          <w:rFonts w:ascii="Arial" w:hAnsi="Arial" w:eastAsia="宋体" w:cs="Arial"/>
          <w:snapToGrid w:val="0"/>
          <w:kern w:val="0"/>
          <w:sz w:val="24"/>
        </w:rPr>
        <w:t>污染物安全性检测推荐规范与药物评价和研究中心（CDER）的指导性推荐规范检测肝素的OSCS污染情况并鉴定肝素的动物来源。</w:t>
      </w:r>
    </w:p>
    <w:p w14:paraId="5C9F412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7289FCC3">
      <w:pPr>
        <w:topLinePunct/>
        <w:adjustRightInd w:val="0"/>
        <w:snapToGrid w:val="0"/>
        <w:spacing w:after="234" w:afterLines="75" w:line="288" w:lineRule="auto"/>
        <w:jc w:val="center"/>
        <w:rPr>
          <w:rFonts w:ascii="Arial" w:hAnsi="Arial" w:eastAsia="宋体" w:cs="Arial"/>
          <w:b/>
          <w:snapToGrid w:val="0"/>
          <w:kern w:val="0"/>
          <w:sz w:val="32"/>
        </w:rPr>
      </w:pPr>
      <w:r>
        <w:rPr>
          <w:rFonts w:ascii="Arial" w:hAnsi="Arial" w:eastAsia="宋体" w:cs="Arial"/>
          <w:b/>
          <w:snapToGrid w:val="0"/>
          <w:kern w:val="0"/>
          <w:sz w:val="32"/>
        </w:rPr>
        <w:t>附录A－肝素安全性检测证明文件</w:t>
      </w:r>
    </w:p>
    <w:p w14:paraId="64A8AD8F">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FDA建议对下列粗制肝素、肝素活性药物成分（API）和肝素产品的肝素安全控制检测数据和记录维护归档：</w:t>
      </w:r>
    </w:p>
    <w:p w14:paraId="6E0FB21C">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粗制肝素：</w:t>
      </w:r>
    </w:p>
    <w:p w14:paraId="7E2E6D00">
      <w:pPr>
        <w:pStyle w:val="14"/>
        <w:numPr>
          <w:ilvl w:val="0"/>
          <w:numId w:val="3"/>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发现任何粗制肝素中含有任何数量的OSCS或反刍材料污染物并将该发现通知当地FDA管理区办公室后对这些粗制肝素予以拒绝、控制和适当</w:t>
      </w:r>
      <w:r>
        <w:rPr>
          <w:rFonts w:hint="eastAsia" w:ascii="Arial" w:hAnsi="Arial" w:eastAsia="宋体" w:cs="Arial"/>
          <w:snapToGrid w:val="0"/>
          <w:kern w:val="0"/>
          <w:sz w:val="24"/>
        </w:rPr>
        <w:t>处理</w:t>
      </w:r>
      <w:r>
        <w:rPr>
          <w:rFonts w:ascii="Arial" w:hAnsi="Arial" w:eastAsia="宋体" w:cs="Arial"/>
          <w:snapToGrid w:val="0"/>
          <w:kern w:val="0"/>
          <w:sz w:val="24"/>
        </w:rPr>
        <w:t>应遵从的规程以及所采取的所有相关行动的证明文件。</w:t>
      </w:r>
    </w:p>
    <w:p w14:paraId="3AB35CA4">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肝素钠（包括</w:t>
      </w:r>
      <w:r>
        <w:rPr>
          <w:rFonts w:hint="eastAsia" w:ascii="Arial" w:hAnsi="Arial" w:eastAsia="宋体" w:cs="Arial"/>
          <w:snapToGrid w:val="0"/>
          <w:kern w:val="0"/>
          <w:sz w:val="24"/>
        </w:rPr>
        <w:t>用于</w:t>
      </w:r>
      <w:r>
        <w:rPr>
          <w:rFonts w:ascii="Arial" w:hAnsi="Arial" w:eastAsia="宋体" w:cs="Arial"/>
          <w:snapToGrid w:val="0"/>
          <w:kern w:val="0"/>
          <w:sz w:val="24"/>
        </w:rPr>
        <w:t>制备低分子量肝素的肝素钠）：</w:t>
      </w:r>
    </w:p>
    <w:p w14:paraId="5B5C7AB7">
      <w:pPr>
        <w:pStyle w:val="14"/>
        <w:numPr>
          <w:ilvl w:val="0"/>
          <w:numId w:val="3"/>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对旨在防止使用含有OSCS或任何其它污染物的肝素所用控制措施的描述（如美国药典专论中的检测方法、ICH Q7、</w:t>
      </w:r>
      <w:r>
        <w:rPr>
          <w:rFonts w:ascii="Arial" w:hAnsi="Arial" w:eastAsia="宋体" w:cs="Arial"/>
          <w:i/>
          <w:snapToGrid w:val="0"/>
          <w:kern w:val="0"/>
          <w:sz w:val="24"/>
        </w:rPr>
        <w:t>良好生产规范中的活性药物成分指南Q7</w:t>
      </w:r>
      <w:r>
        <w:rPr>
          <w:rFonts w:ascii="Arial" w:hAnsi="Arial" w:eastAsia="宋体" w:cs="Arial"/>
          <w:snapToGrid w:val="0"/>
          <w:kern w:val="0"/>
          <w:sz w:val="24"/>
        </w:rPr>
        <w:t>）。</w:t>
      </w:r>
    </w:p>
    <w:p w14:paraId="5A20C6B2">
      <w:pPr>
        <w:pStyle w:val="14"/>
        <w:numPr>
          <w:ilvl w:val="0"/>
          <w:numId w:val="3"/>
        </w:numPr>
        <w:topLinePunct/>
        <w:adjustRightInd w:val="0"/>
        <w:snapToGrid w:val="0"/>
        <w:spacing w:after="234" w:afterLines="75" w:line="288" w:lineRule="auto"/>
        <w:ind w:left="1260" w:leftChars="600" w:firstLineChars="0"/>
        <w:jc w:val="left"/>
        <w:rPr>
          <w:rFonts w:ascii="Arial" w:hAnsi="Arial" w:eastAsia="宋体" w:cs="Arial"/>
          <w:snapToGrid w:val="0"/>
          <w:kern w:val="0"/>
          <w:sz w:val="24"/>
        </w:rPr>
      </w:pPr>
      <w:r>
        <w:rPr>
          <w:rFonts w:ascii="Arial" w:hAnsi="Arial" w:eastAsia="宋体" w:cs="Arial"/>
          <w:snapToGrid w:val="0"/>
          <w:kern w:val="0"/>
          <w:sz w:val="24"/>
        </w:rPr>
        <w:t>对制造商如何遵从CDER肝素指南</w:t>
      </w:r>
      <w:r>
        <w:rPr>
          <w:rFonts w:ascii="宋体" w:hAnsi="宋体" w:eastAsia="宋体" w:cs="Arial"/>
          <w:i/>
          <w:snapToGrid w:val="0"/>
          <w:color w:val="0000FF"/>
          <w:kern w:val="0"/>
          <w:sz w:val="24"/>
          <w:u w:val="single"/>
        </w:rPr>
        <w:t>“</w:t>
      </w:r>
      <w:r>
        <w:rPr>
          <w:rFonts w:ascii="Arial" w:hAnsi="Arial" w:eastAsia="宋体" w:cs="Arial"/>
          <w:i/>
          <w:snapToGrid w:val="0"/>
          <w:color w:val="0000FF"/>
          <w:kern w:val="0"/>
          <w:sz w:val="24"/>
          <w:u w:val="single"/>
        </w:rPr>
        <w:t>药物和医疗器械用肝素：粗制肝素的质量监测</w:t>
      </w:r>
      <w:r>
        <w:rPr>
          <w:rFonts w:ascii="宋体" w:hAnsi="宋体" w:eastAsia="宋体" w:cs="Arial"/>
          <w:i/>
          <w:snapToGrid w:val="0"/>
          <w:color w:val="0000FF"/>
          <w:kern w:val="0"/>
          <w:sz w:val="24"/>
          <w:u w:val="single"/>
        </w:rPr>
        <w:t>”</w:t>
      </w:r>
      <w:r>
        <w:rPr>
          <w:rFonts w:ascii="Arial" w:hAnsi="Arial" w:eastAsia="宋体" w:cs="Arial"/>
          <w:i/>
          <w:snapToGrid w:val="0"/>
          <w:color w:val="0000FF"/>
          <w:kern w:val="0"/>
          <w:sz w:val="24"/>
          <w:u w:val="single"/>
        </w:rPr>
        <w:t>的描述</w:t>
      </w:r>
      <w:r>
        <w:rPr>
          <w:rFonts w:ascii="Arial" w:hAnsi="Arial" w:eastAsia="宋体" w:cs="Arial"/>
          <w:snapToGrid w:val="0"/>
          <w:kern w:val="0"/>
          <w:sz w:val="24"/>
        </w:rPr>
        <w:t>（</w:t>
      </w:r>
      <w:r>
        <w:fldChar w:fldCharType="begin"/>
      </w:r>
      <w:r>
        <w:instrText xml:space="preserve"> HYPERLINK "http://www.fda.gov/downloads/Drugs/GuidanceComplianceRegulatoryInformati%20on/Guidances/UCM291390.pdf" </w:instrText>
      </w:r>
      <w:r>
        <w:fldChar w:fldCharType="separate"/>
      </w:r>
      <w:r>
        <w:rPr>
          <w:rStyle w:val="9"/>
          <w:rFonts w:ascii="Arial" w:hAnsi="Arial" w:eastAsia="宋体" w:cs="Arial"/>
          <w:snapToGrid w:val="0"/>
          <w:kern w:val="0"/>
          <w:sz w:val="24"/>
        </w:rPr>
        <w:t>http://www.fda.gov/downloads/Drugs/GuidanceComplianceRegulatoryInformati on/Guidances/UCM291390.pdf</w:t>
      </w:r>
      <w:r>
        <w:rPr>
          <w:rStyle w:val="9"/>
          <w:rFonts w:ascii="Arial" w:hAnsi="Arial" w:eastAsia="宋体" w:cs="Arial"/>
          <w:snapToGrid w:val="0"/>
          <w:kern w:val="0"/>
          <w:sz w:val="24"/>
        </w:rPr>
        <w:fldChar w:fldCharType="end"/>
      </w:r>
      <w:r>
        <w:rPr>
          <w:rFonts w:ascii="Arial" w:hAnsi="Arial" w:eastAsia="宋体" w:cs="Arial"/>
          <w:snapToGrid w:val="0"/>
          <w:kern w:val="0"/>
          <w:sz w:val="24"/>
        </w:rPr>
        <w:t>）。</w:t>
      </w:r>
    </w:p>
    <w:p w14:paraId="189A2732">
      <w:pPr>
        <w:pStyle w:val="14"/>
        <w:numPr>
          <w:ilvl w:val="0"/>
          <w:numId w:val="3"/>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尽管对存在偏离、不合格或污染的成批肝素钠应予拒绝且不让其进入供应链，但彻底而迅速地调查和解决质量或肝素钠合规证明偏离与不合格问题所遵从的所有规程以及所采取的所有相关行动的证明文件应予维护归档。</w:t>
      </w:r>
    </w:p>
    <w:p w14:paraId="2828BFD1">
      <w:pPr>
        <w:pStyle w:val="14"/>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肝素产品：</w:t>
      </w:r>
    </w:p>
    <w:p w14:paraId="546C5EAF">
      <w:pPr>
        <w:pStyle w:val="14"/>
        <w:numPr>
          <w:ilvl w:val="0"/>
          <w:numId w:val="3"/>
        </w:numPr>
        <w:topLinePunct/>
        <w:adjustRightInd w:val="0"/>
        <w:snapToGrid w:val="0"/>
        <w:spacing w:after="234" w:afterLines="75" w:line="288" w:lineRule="auto"/>
        <w:ind w:left="1260" w:leftChars="600" w:firstLineChars="0"/>
        <w:rPr>
          <w:rFonts w:ascii="Arial" w:hAnsi="Arial" w:eastAsia="宋体" w:cs="Arial"/>
          <w:snapToGrid w:val="0"/>
          <w:kern w:val="0"/>
          <w:sz w:val="24"/>
        </w:rPr>
      </w:pPr>
      <w:r>
        <w:rPr>
          <w:rFonts w:ascii="Arial" w:hAnsi="Arial" w:eastAsia="宋体" w:cs="Arial"/>
          <w:snapToGrid w:val="0"/>
          <w:kern w:val="0"/>
          <w:sz w:val="24"/>
        </w:rPr>
        <w:t>如果要求在生产活动中对美国药典记载的肝素产品做进一步处理，应提供该附加处理不会干扰产品纯度或有效性的证明文件。</w:t>
      </w:r>
    </w:p>
    <w:p w14:paraId="15288663">
      <w:pPr>
        <w:topLinePunct/>
        <w:adjustRightInd w:val="0"/>
        <w:snapToGrid w:val="0"/>
        <w:spacing w:after="234" w:afterLines="75" w:line="288" w:lineRule="auto"/>
        <w:rPr>
          <w:rFonts w:ascii="Arial" w:hAnsi="Arial" w:eastAsia="宋体" w:cs="Arial"/>
          <w:snapToGrid w:val="0"/>
          <w:kern w:val="0"/>
          <w:sz w:val="24"/>
        </w:rPr>
      </w:pPr>
    </w:p>
    <w:p w14:paraId="76C06691">
      <w:pPr>
        <w:topLinePunct/>
        <w:adjustRightInd w:val="0"/>
        <w:snapToGrid w:val="0"/>
        <w:spacing w:after="234" w:afterLines="75" w:line="288" w:lineRule="auto"/>
        <w:rPr>
          <w:rFonts w:hint="eastAsia" w:eastAsia="宋体"/>
          <w:lang w:eastAsia="zh-CN"/>
        </w:rPr>
      </w:pPr>
    </w:p>
    <w:p w14:paraId="09372F13">
      <w:pPr>
        <w:topLinePunct/>
        <w:adjustRightInd w:val="0"/>
        <w:snapToGrid w:val="0"/>
        <w:spacing w:after="234" w:afterLines="75" w:line="288" w:lineRule="auto"/>
        <w:jc w:val="center"/>
        <w:rPr>
          <w:rFonts w:hint="eastAsia" w:eastAsia="宋体"/>
          <w:lang w:eastAsia="zh-CN"/>
        </w:rPr>
      </w:pPr>
    </w:p>
    <w:p w14:paraId="124B4ED2">
      <w:pPr>
        <w:topLinePunct/>
        <w:adjustRightInd w:val="0"/>
        <w:snapToGrid w:val="0"/>
        <w:spacing w:after="23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10" w:type="default"/>
      <w:footerReference r:id="rId11" w:type="default"/>
      <w:pgSz w:w="11906" w:h="16838"/>
      <w:pgMar w:top="1134" w:right="1440" w:bottom="1134" w:left="144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B10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69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1BD3">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5794">
    <w:pPr>
      <w:pStyle w:val="3"/>
      <w:jc w:val="right"/>
      <w:rPr>
        <w:rFonts w:ascii="Arial" w:hAnsi="Arial" w:cs="Arial"/>
        <w:sz w:val="21"/>
      </w:rPr>
    </w:pPr>
  </w:p>
  <w:p w14:paraId="5CDBD8F8">
    <w:pPr>
      <w:pStyle w:val="3"/>
      <w:jc w:val="right"/>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1</w:t>
    </w:r>
    <w:r>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614E60C3">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美国药典委员会是为在美国销售的药物和药物成分的特性、药量、质量和纯度制定标准的一个非营利组织。这些标准以美国药典和国家处方集（USP-NF）纲要的形式公开发表。联邦食品、药品和化妆品法案（</w:t>
      </w:r>
      <w:bookmarkStart w:id="24" w:name="OLE_LINK78"/>
      <w:bookmarkStart w:id="25" w:name="OLE_LINK69"/>
      <w:bookmarkStart w:id="26" w:name="OLE_LINK68"/>
      <w:r>
        <w:rPr>
          <w:rFonts w:ascii="Arial" w:hAnsi="Arial" w:eastAsia="宋体" w:cs="Arial"/>
          <w:snapToGrid w:val="0"/>
          <w:kern w:val="0"/>
          <w:sz w:val="21"/>
          <w:szCs w:val="21"/>
        </w:rPr>
        <w:t>FD&amp;C法案</w:t>
      </w:r>
      <w:bookmarkEnd w:id="24"/>
      <w:bookmarkEnd w:id="25"/>
      <w:bookmarkEnd w:id="26"/>
      <w:r>
        <w:rPr>
          <w:rFonts w:ascii="Arial" w:hAnsi="Arial" w:eastAsia="宋体" w:cs="Arial"/>
          <w:snapToGrid w:val="0"/>
          <w:kern w:val="0"/>
          <w:sz w:val="21"/>
          <w:szCs w:val="21"/>
        </w:rPr>
        <w:t>）将USP-NF视为官方纲要。FD&amp;C法案第201（j）部分。</w:t>
      </w:r>
    </w:p>
  </w:footnote>
  <w:footnote w:id="1">
    <w:p w14:paraId="1BF52931">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USP37–NF32</w:t>
      </w:r>
      <w:r>
        <w:rPr>
          <w:rFonts w:hint="eastAsia" w:ascii="Arial" w:hAnsi="Arial" w:eastAsia="宋体" w:cs="Arial"/>
          <w:snapToGrid w:val="0"/>
          <w:kern w:val="0"/>
          <w:sz w:val="21"/>
          <w:szCs w:val="21"/>
        </w:rPr>
        <w:t>，</w:t>
      </w:r>
      <w:r>
        <w:rPr>
          <w:rFonts w:ascii="Arial" w:hAnsi="Arial" w:eastAsia="宋体" w:cs="Arial"/>
          <w:snapToGrid w:val="0"/>
          <w:kern w:val="0"/>
          <w:sz w:val="21"/>
          <w:szCs w:val="21"/>
        </w:rPr>
        <w:t>3222（肝素钠）；USP37–NF32</w:t>
      </w:r>
      <w:r>
        <w:rPr>
          <w:rFonts w:hint="eastAsia" w:ascii="Arial" w:hAnsi="Arial" w:eastAsia="宋体" w:cs="Arial"/>
          <w:snapToGrid w:val="0"/>
          <w:kern w:val="0"/>
          <w:sz w:val="21"/>
          <w:szCs w:val="21"/>
        </w:rPr>
        <w:t>，</w:t>
      </w:r>
      <w:r>
        <w:rPr>
          <w:rFonts w:ascii="Arial" w:hAnsi="Arial" w:eastAsia="宋体" w:cs="Arial"/>
          <w:snapToGrid w:val="0"/>
          <w:kern w:val="0"/>
          <w:sz w:val="21"/>
          <w:szCs w:val="21"/>
        </w:rPr>
        <w:t>3227（肝素钠注射液）；USP37–NF32</w:t>
      </w:r>
      <w:r>
        <w:rPr>
          <w:rFonts w:hint="eastAsia" w:ascii="Arial" w:hAnsi="Arial" w:eastAsia="宋体" w:cs="Arial"/>
          <w:snapToGrid w:val="0"/>
          <w:kern w:val="0"/>
          <w:sz w:val="21"/>
          <w:szCs w:val="21"/>
        </w:rPr>
        <w:t>，</w:t>
      </w:r>
      <w:r>
        <w:rPr>
          <w:rFonts w:ascii="Arial" w:hAnsi="Arial" w:eastAsia="宋体" w:cs="Arial"/>
          <w:snapToGrid w:val="0"/>
          <w:kern w:val="0"/>
          <w:sz w:val="21"/>
          <w:szCs w:val="21"/>
        </w:rPr>
        <w:t>3228（肝素锁定冲洗液）。</w:t>
      </w:r>
      <w:bookmarkStart w:id="27" w:name="OLE_LINK80"/>
      <w:bookmarkStart w:id="28" w:name="OLE_LINK79"/>
      <w:r>
        <w:rPr>
          <w:rFonts w:ascii="Arial" w:hAnsi="Arial" w:eastAsia="宋体" w:cs="Arial"/>
          <w:snapToGrid w:val="0"/>
          <w:kern w:val="0"/>
          <w:sz w:val="21"/>
          <w:szCs w:val="21"/>
        </w:rPr>
        <w:t>FD&amp;C法案</w:t>
      </w:r>
      <w:bookmarkEnd w:id="27"/>
      <w:bookmarkEnd w:id="28"/>
      <w:r>
        <w:rPr>
          <w:rFonts w:ascii="Arial" w:hAnsi="Arial" w:eastAsia="宋体" w:cs="Arial"/>
          <w:snapToGrid w:val="0"/>
          <w:kern w:val="0"/>
          <w:sz w:val="21"/>
          <w:szCs w:val="21"/>
        </w:rPr>
        <w:t>要求药物产品遵从相关的官方美国药典药物产品专论。FD&amp;C法案第501（b）部分和第502（g）部分。</w:t>
      </w:r>
    </w:p>
  </w:footnote>
  <w:footnote w:id="2">
    <w:p w14:paraId="5EAF664E">
      <w:pPr>
        <w:topLinePunct/>
        <w:adjustRightInd w:val="0"/>
        <w:snapToGrid w:val="0"/>
        <w:spacing w:line="300" w:lineRule="auto"/>
        <w:rPr>
          <w:szCs w:val="21"/>
        </w:rPr>
      </w:pPr>
      <w:r>
        <w:rPr>
          <w:rStyle w:val="10"/>
          <w:szCs w:val="21"/>
        </w:rPr>
        <w:footnoteRef/>
      </w:r>
      <w:r>
        <w:rPr>
          <w:szCs w:val="21"/>
        </w:rPr>
        <w:t xml:space="preserve"> </w:t>
      </w:r>
      <w:r>
        <w:rPr>
          <w:rFonts w:hint="eastAsia" w:ascii="Arial" w:hAnsi="Arial" w:eastAsia="宋体" w:cs="Arial"/>
          <w:snapToGrid w:val="0"/>
          <w:kern w:val="0"/>
          <w:szCs w:val="21"/>
        </w:rPr>
        <w:t>也可</w:t>
      </w:r>
      <w:r>
        <w:rPr>
          <w:rFonts w:ascii="Arial" w:hAnsi="Arial" w:eastAsia="宋体" w:cs="Arial"/>
          <w:snapToGrid w:val="0"/>
          <w:kern w:val="0"/>
          <w:szCs w:val="21"/>
        </w:rPr>
        <w:t>见</w:t>
      </w:r>
      <w:r>
        <w:rPr>
          <w:rFonts w:ascii="Arial" w:hAnsi="Arial" w:eastAsia="宋体" w:cs="Arial"/>
          <w:i/>
          <w:snapToGrid w:val="0"/>
          <w:kern w:val="0"/>
          <w:szCs w:val="21"/>
        </w:rPr>
        <w:t>FDA</w:t>
      </w:r>
      <w:r>
        <w:rPr>
          <w:rFonts w:hint="eastAsia" w:ascii="Arial" w:hAnsi="Arial" w:eastAsia="宋体" w:cs="Arial"/>
          <w:i/>
          <w:snapToGrid w:val="0"/>
          <w:kern w:val="0"/>
          <w:szCs w:val="21"/>
        </w:rPr>
        <w:t>药物安全通讯</w:t>
      </w:r>
      <w:r>
        <w:rPr>
          <w:rFonts w:ascii="Arial" w:hAnsi="Arial" w:eastAsia="宋体" w:cs="Arial"/>
          <w:snapToGrid w:val="0"/>
          <w:kern w:val="0"/>
          <w:szCs w:val="21"/>
        </w:rPr>
        <w:t>：明确</w:t>
      </w:r>
      <w:r>
        <w:rPr>
          <w:rFonts w:hint="eastAsia" w:ascii="Arial" w:hAnsi="Arial" w:eastAsia="宋体" w:cs="Arial"/>
          <w:snapToGrid w:val="0"/>
          <w:kern w:val="0"/>
          <w:szCs w:val="21"/>
        </w:rPr>
        <w:t>说明</w:t>
      </w:r>
      <w:r>
        <w:rPr>
          <w:rFonts w:ascii="Arial" w:hAnsi="Arial" w:eastAsia="宋体" w:cs="Arial"/>
          <w:snapToGrid w:val="0"/>
          <w:kern w:val="0"/>
          <w:szCs w:val="21"/>
        </w:rPr>
        <w:t>总药量的肝素容器标签的重大变更，网址：</w:t>
      </w:r>
      <w:r>
        <w:fldChar w:fldCharType="begin"/>
      </w:r>
      <w:r>
        <w:instrText xml:space="preserve"> HYPERLINK "http://www.fda.gov/Drugs/DrugSafety/ucm330695.htm" </w:instrText>
      </w:r>
      <w:r>
        <w:fldChar w:fldCharType="separate"/>
      </w:r>
      <w:r>
        <w:rPr>
          <w:rStyle w:val="9"/>
          <w:rFonts w:ascii="Arial" w:hAnsi="Arial" w:eastAsia="宋体" w:cs="Arial"/>
          <w:snapToGrid w:val="0"/>
          <w:kern w:val="0"/>
          <w:szCs w:val="21"/>
        </w:rPr>
        <w:t>http://www.fda.gov/Drugs/DrugSafety/ucm330695.htm</w:t>
      </w:r>
      <w:r>
        <w:rPr>
          <w:rStyle w:val="9"/>
          <w:rFonts w:ascii="Arial" w:hAnsi="Arial" w:eastAsia="宋体" w:cs="Arial"/>
          <w:snapToGrid w:val="0"/>
          <w:kern w:val="0"/>
          <w:szCs w:val="21"/>
        </w:rPr>
        <w:fldChar w:fldCharType="end"/>
      </w:r>
      <w:r>
        <w:rPr>
          <w:rFonts w:ascii="Arial" w:hAnsi="Arial" w:eastAsia="宋体" w:cs="Arial"/>
          <w:snapToGrid w:val="0"/>
          <w:kern w:val="0"/>
          <w:szCs w:val="21"/>
        </w:rPr>
        <w:t>。</w:t>
      </w:r>
    </w:p>
  </w:footnote>
  <w:footnote w:id="3">
    <w:p w14:paraId="127B7B0B">
      <w:pPr>
        <w:topLinePunct/>
        <w:adjustRightInd w:val="0"/>
        <w:snapToGrid w:val="0"/>
        <w:spacing w:line="300" w:lineRule="auto"/>
        <w:rPr>
          <w:szCs w:val="21"/>
        </w:rPr>
      </w:pPr>
      <w:r>
        <w:rPr>
          <w:rStyle w:val="10"/>
          <w:szCs w:val="21"/>
        </w:rPr>
        <w:footnoteRef/>
      </w:r>
      <w:r>
        <w:rPr>
          <w:szCs w:val="21"/>
        </w:rPr>
        <w:t xml:space="preserve"> </w:t>
      </w:r>
      <w:r>
        <w:rPr>
          <w:rFonts w:ascii="Arial" w:hAnsi="Arial" w:eastAsia="宋体" w:cs="Arial"/>
          <w:snapToGrid w:val="0"/>
          <w:kern w:val="0"/>
          <w:szCs w:val="21"/>
        </w:rPr>
        <w:t>本机构定期更新指南。为确保</w:t>
      </w:r>
      <w:r>
        <w:rPr>
          <w:rFonts w:hint="eastAsia" w:ascii="Arial" w:hAnsi="Arial" w:eastAsia="宋体" w:cs="Arial"/>
          <w:snapToGrid w:val="0"/>
          <w:kern w:val="0"/>
          <w:szCs w:val="21"/>
        </w:rPr>
        <w:t>持有</w:t>
      </w:r>
      <w:r>
        <w:rPr>
          <w:rFonts w:ascii="Arial" w:hAnsi="Arial" w:eastAsia="宋体" w:cs="Arial"/>
          <w:snapToGrid w:val="0"/>
          <w:kern w:val="0"/>
          <w:szCs w:val="21"/>
        </w:rPr>
        <w:t>本指南最新版本，</w:t>
      </w:r>
      <w:r>
        <w:rPr>
          <w:rFonts w:hint="eastAsia" w:ascii="Arial" w:hAnsi="Arial" w:eastAsia="宋体" w:cs="Arial"/>
          <w:snapToGrid w:val="0"/>
          <w:kern w:val="0"/>
          <w:szCs w:val="21"/>
        </w:rPr>
        <w:t>查询</w:t>
      </w:r>
      <w:r>
        <w:rPr>
          <w:rFonts w:ascii="Arial" w:hAnsi="Arial" w:eastAsia="宋体" w:cs="Arial"/>
          <w:snapToGrid w:val="0"/>
          <w:kern w:val="0"/>
          <w:szCs w:val="21"/>
        </w:rPr>
        <w:t>CDER</w:t>
      </w:r>
      <w:r>
        <w:rPr>
          <w:rFonts w:hint="eastAsia" w:ascii="Arial" w:hAnsi="Arial" w:eastAsia="宋体" w:cs="Arial"/>
          <w:snapToGrid w:val="0"/>
          <w:kern w:val="0"/>
          <w:szCs w:val="21"/>
        </w:rPr>
        <w:t>指南网页：</w:t>
      </w:r>
      <w:r>
        <w:rPr>
          <w:rFonts w:hint="eastAsia" w:ascii="Arial" w:hAnsi="Arial" w:eastAsia="宋体" w:cs="Arial"/>
          <w:snapToGrid w:val="0"/>
          <w:kern w:val="0"/>
          <w:szCs w:val="21"/>
        </w:rPr>
        <w:br w:type="textWrapping"/>
      </w:r>
      <w:r>
        <w:fldChar w:fldCharType="begin"/>
      </w:r>
      <w:r>
        <w:instrText xml:space="preserve"> HYPERLINK "http://www.fda.gov/Drugs/GuidanceComplianceRegulatoryInformation/Guidances/default.htm" </w:instrText>
      </w:r>
      <w:r>
        <w:fldChar w:fldCharType="separate"/>
      </w:r>
      <w:r>
        <w:rPr>
          <w:rStyle w:val="9"/>
          <w:rFonts w:ascii="Arial" w:hAnsi="Arial" w:eastAsia="宋体" w:cs="Arial"/>
          <w:snapToGrid w:val="0"/>
          <w:kern w:val="0"/>
          <w:szCs w:val="21"/>
        </w:rPr>
        <w:t>http://www.fda.gov/Drugs/GuidanceComplianceRegulatoryInformation/Guidances/default.htm</w:t>
      </w:r>
      <w:r>
        <w:rPr>
          <w:rStyle w:val="9"/>
          <w:rFonts w:ascii="Arial" w:hAnsi="Arial" w:eastAsia="宋体" w:cs="Arial"/>
          <w:snapToGrid w:val="0"/>
          <w:kern w:val="0"/>
          <w:szCs w:val="21"/>
        </w:rPr>
        <w:fldChar w:fldCharType="end"/>
      </w:r>
      <w:r>
        <w:rPr>
          <w:rFonts w:ascii="Arial" w:hAnsi="Arial" w:eastAsia="宋体" w:cs="Arial"/>
          <w:snapToGrid w:val="0"/>
          <w:kern w:val="0"/>
          <w:szCs w:val="21"/>
        </w:rPr>
        <w:t>。</w:t>
      </w:r>
    </w:p>
  </w:footnote>
  <w:footnote w:id="4">
    <w:p w14:paraId="3D1DB019">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某些体外诊断器械包含肝素。包含</w:t>
      </w:r>
      <w:r>
        <w:rPr>
          <w:rFonts w:hint="eastAsia" w:ascii="Arial" w:hAnsi="Arial" w:eastAsia="宋体" w:cs="Arial"/>
          <w:snapToGrid w:val="0"/>
          <w:kern w:val="0"/>
          <w:sz w:val="21"/>
          <w:szCs w:val="21"/>
        </w:rPr>
        <w:t>体外使用的</w:t>
      </w:r>
      <w:r>
        <w:rPr>
          <w:rFonts w:ascii="Arial" w:hAnsi="Arial" w:eastAsia="宋体" w:cs="Arial"/>
          <w:snapToGrid w:val="0"/>
          <w:kern w:val="0"/>
          <w:sz w:val="21"/>
          <w:szCs w:val="21"/>
        </w:rPr>
        <w:t>器械和肝素的产品为组合产品。组合产品</w:t>
      </w:r>
      <w:r>
        <w:rPr>
          <w:rFonts w:hint="eastAsia" w:ascii="Arial" w:hAnsi="Arial" w:eastAsia="宋体" w:cs="Arial"/>
          <w:snapToGrid w:val="0"/>
          <w:kern w:val="0"/>
          <w:sz w:val="21"/>
          <w:szCs w:val="21"/>
        </w:rPr>
        <w:t>的</w:t>
      </w:r>
      <w:r>
        <w:rPr>
          <w:rFonts w:ascii="Arial" w:hAnsi="Arial" w:eastAsia="宋体" w:cs="Arial"/>
          <w:snapToGrid w:val="0"/>
          <w:kern w:val="0"/>
          <w:sz w:val="21"/>
          <w:szCs w:val="21"/>
        </w:rPr>
        <w:t>中心分配基于（此例为药物或器械）提供主要作用方式（PMOA）</w:t>
      </w:r>
      <w:r>
        <w:rPr>
          <w:rFonts w:hint="eastAsia" w:ascii="Arial" w:hAnsi="Arial" w:eastAsia="宋体" w:cs="Arial"/>
          <w:snapToGrid w:val="0"/>
          <w:kern w:val="0"/>
          <w:sz w:val="21"/>
          <w:szCs w:val="21"/>
        </w:rPr>
        <w:t>的</w:t>
      </w:r>
      <w:r>
        <w:rPr>
          <w:rFonts w:ascii="Arial" w:hAnsi="Arial" w:eastAsia="宋体" w:cs="Arial"/>
          <w:snapToGrid w:val="0"/>
          <w:kern w:val="0"/>
          <w:sz w:val="21"/>
          <w:szCs w:val="21"/>
        </w:rPr>
        <w:t>组成部分，即对组合产品的整体预期疗效做出最大贡献。见21 CFR 3.2。如果该器械提供PMOA，则将包含肝素和器械的组合产品分配给CDRH。</w:t>
      </w:r>
    </w:p>
  </w:footnote>
  <w:footnote w:id="5">
    <w:p w14:paraId="28DFC1BC">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美国药典已宣布计划，近期要重新将该信息放到</w:t>
      </w:r>
      <w:r>
        <w:rPr>
          <w:rFonts w:ascii="宋体" w:hAnsi="宋体" w:eastAsia="宋体" w:cs="Arial"/>
          <w:snapToGrid w:val="0"/>
          <w:kern w:val="0"/>
          <w:sz w:val="21"/>
          <w:szCs w:val="21"/>
        </w:rPr>
        <w:t>“</w:t>
      </w:r>
      <w:r>
        <w:rPr>
          <w:rFonts w:ascii="Arial" w:hAnsi="Arial" w:eastAsia="宋体" w:cs="Arial"/>
          <w:snapToGrid w:val="0"/>
          <w:kern w:val="0"/>
          <w:sz w:val="21"/>
          <w:szCs w:val="21"/>
        </w:rPr>
        <w:t>总章&lt;7&gt;标签</w:t>
      </w:r>
      <w:r>
        <w:rPr>
          <w:rFonts w:ascii="宋体" w:hAnsi="宋体" w:eastAsia="宋体" w:cs="Arial"/>
          <w:snapToGrid w:val="0"/>
          <w:kern w:val="0"/>
          <w:sz w:val="21"/>
          <w:szCs w:val="21"/>
        </w:rPr>
        <w:t>”</w:t>
      </w:r>
      <w:r>
        <w:rPr>
          <w:rFonts w:ascii="Arial" w:hAnsi="Arial" w:eastAsia="宋体" w:cs="Arial"/>
          <w:snapToGrid w:val="0"/>
          <w:kern w:val="0"/>
          <w:sz w:val="21"/>
          <w:szCs w:val="21"/>
        </w:rPr>
        <w:t>中（</w:t>
      </w:r>
      <w:r>
        <w:fldChar w:fldCharType="begin"/>
      </w:r>
      <w:r>
        <w:instrText xml:space="preserve"> HYPERLINK "http://www.gphaonline.org/media/cms/Donna_Bohannon.pdf" </w:instrText>
      </w:r>
      <w:r>
        <w:fldChar w:fldCharType="separate"/>
      </w:r>
      <w:r>
        <w:rPr>
          <w:rStyle w:val="9"/>
          <w:rFonts w:ascii="Arial" w:hAnsi="Arial" w:eastAsia="宋体" w:cs="Arial"/>
          <w:snapToGrid w:val="0"/>
          <w:color w:val="auto"/>
          <w:kern w:val="0"/>
          <w:sz w:val="21"/>
          <w:szCs w:val="21"/>
          <w:u w:val="none"/>
        </w:rPr>
        <w:t>http://www.gphaonline.org/media/cms/Donna_Bohannon.pdf</w:t>
      </w:r>
      <w:r>
        <w:rPr>
          <w:rStyle w:val="9"/>
          <w:rFonts w:ascii="Arial" w:hAnsi="Arial" w:eastAsia="宋体" w:cs="Arial"/>
          <w:snapToGrid w:val="0"/>
          <w:color w:val="auto"/>
          <w:kern w:val="0"/>
          <w:sz w:val="21"/>
          <w:szCs w:val="21"/>
          <w:u w:val="none"/>
        </w:rPr>
        <w:fldChar w:fldCharType="end"/>
      </w:r>
      <w:r>
        <w:rPr>
          <w:rFonts w:ascii="Arial" w:hAnsi="Arial" w:eastAsia="宋体" w:cs="Arial"/>
          <w:snapToGrid w:val="0"/>
          <w:kern w:val="0"/>
          <w:sz w:val="21"/>
          <w:szCs w:val="21"/>
        </w:rPr>
        <w:t>）。</w:t>
      </w:r>
    </w:p>
  </w:footnote>
  <w:footnote w:id="6">
    <w:p w14:paraId="6A7E3CFE">
      <w:pPr>
        <w:pStyle w:val="5"/>
        <w:spacing w:line="300" w:lineRule="auto"/>
        <w:jc w:val="both"/>
        <w:rPr>
          <w:sz w:val="21"/>
          <w:szCs w:val="21"/>
        </w:rPr>
      </w:pPr>
      <w:r>
        <w:rPr>
          <w:rStyle w:val="10"/>
          <w:sz w:val="21"/>
          <w:szCs w:val="21"/>
        </w:rPr>
        <w:footnoteRef/>
      </w:r>
      <w:r>
        <w:rPr>
          <w:sz w:val="21"/>
          <w:szCs w:val="21"/>
        </w:rPr>
        <w:t xml:space="preserve"> </w:t>
      </w:r>
      <w:r>
        <w:rPr>
          <w:rFonts w:hint="eastAsia" w:ascii="Arial" w:hAnsi="Arial" w:eastAsia="宋体" w:cs="Arial"/>
          <w:snapToGrid w:val="0"/>
          <w:kern w:val="0"/>
          <w:sz w:val="21"/>
          <w:szCs w:val="21"/>
        </w:rPr>
        <w:t>根据</w:t>
      </w:r>
      <w:r>
        <w:rPr>
          <w:rFonts w:ascii="Arial" w:hAnsi="Arial" w:eastAsia="宋体" w:cs="Arial"/>
          <w:snapToGrid w:val="0"/>
          <w:kern w:val="0"/>
          <w:sz w:val="21"/>
          <w:szCs w:val="21"/>
        </w:rPr>
        <w:t>FD&amp;C法案第201（m）部分，标签是指（1）位于任何物料或其任何容器或包装材料上或（2）随此类物料配发的所有标签与其它书面、印刷或图形材料。</w:t>
      </w:r>
      <w:r>
        <w:rPr>
          <w:rFonts w:hint="eastAsia" w:ascii="Arial" w:hAnsi="Arial" w:eastAsia="宋体" w:cs="Arial"/>
          <w:snapToGrid w:val="0"/>
          <w:kern w:val="0"/>
          <w:sz w:val="21"/>
          <w:szCs w:val="21"/>
        </w:rPr>
        <w:t>根据</w:t>
      </w:r>
      <w:r>
        <w:rPr>
          <w:rFonts w:ascii="Arial" w:hAnsi="Arial" w:eastAsia="宋体" w:cs="Arial"/>
          <w:snapToGrid w:val="0"/>
          <w:kern w:val="0"/>
          <w:sz w:val="21"/>
          <w:szCs w:val="21"/>
        </w:rPr>
        <w:t>FD&amp;C法案第201（k）部分，</w:t>
      </w:r>
      <w:r>
        <w:rPr>
          <w:rFonts w:hint="eastAsia" w:ascii="Arial" w:hAnsi="Arial" w:eastAsia="宋体" w:cs="Arial"/>
          <w:snapToGrid w:val="0"/>
          <w:kern w:val="0"/>
          <w:sz w:val="21"/>
          <w:szCs w:val="21"/>
        </w:rPr>
        <w:t>术语</w:t>
      </w:r>
      <w:r>
        <w:rPr>
          <w:rFonts w:ascii="宋体" w:hAnsi="宋体" w:eastAsia="宋体" w:cs="Arial"/>
          <w:snapToGrid w:val="0"/>
          <w:kern w:val="0"/>
          <w:sz w:val="21"/>
          <w:szCs w:val="21"/>
        </w:rPr>
        <w:t>“</w:t>
      </w:r>
      <w:r>
        <w:rPr>
          <w:rFonts w:ascii="Arial" w:hAnsi="Arial" w:eastAsia="宋体" w:cs="Arial"/>
          <w:snapToGrid w:val="0"/>
          <w:kern w:val="0"/>
          <w:sz w:val="21"/>
          <w:szCs w:val="21"/>
        </w:rPr>
        <w:t>标签</w:t>
      </w:r>
      <w:r>
        <w:rPr>
          <w:rFonts w:ascii="宋体" w:hAnsi="宋体" w:eastAsia="宋体" w:cs="Arial"/>
          <w:snapToGrid w:val="0"/>
          <w:kern w:val="0"/>
          <w:sz w:val="21"/>
          <w:szCs w:val="21"/>
        </w:rPr>
        <w:t>”</w:t>
      </w:r>
      <w:r>
        <w:rPr>
          <w:rFonts w:ascii="Arial" w:hAnsi="Arial" w:eastAsia="宋体" w:cs="Arial"/>
          <w:snapToGrid w:val="0"/>
          <w:kern w:val="0"/>
          <w:sz w:val="21"/>
          <w:szCs w:val="21"/>
        </w:rPr>
        <w:t>指位于任何物料直接容器上的书面、印刷或图形材料</w:t>
      </w:r>
      <w:r>
        <w:rPr>
          <w:rFonts w:hint="eastAsia" w:ascii="Arial" w:hAnsi="Arial" w:eastAsia="宋体" w:cs="Arial"/>
          <w:snapToGrid w:val="0"/>
          <w:kern w:val="0"/>
          <w:sz w:val="21"/>
          <w:szCs w:val="21"/>
        </w:rPr>
        <w:t>显示；根据</w:t>
      </w:r>
      <w:r>
        <w:rPr>
          <w:rFonts w:ascii="Arial" w:hAnsi="Arial" w:eastAsia="宋体" w:cs="Arial"/>
          <w:snapToGrid w:val="0"/>
          <w:kern w:val="0"/>
          <w:sz w:val="21"/>
          <w:szCs w:val="21"/>
        </w:rPr>
        <w:t>该法案</w:t>
      </w:r>
      <w:r>
        <w:rPr>
          <w:rFonts w:hint="eastAsia" w:ascii="Arial" w:hAnsi="Arial" w:eastAsia="宋体" w:cs="Arial"/>
          <w:snapToGrid w:val="0"/>
          <w:kern w:val="0"/>
          <w:sz w:val="21"/>
          <w:szCs w:val="21"/>
        </w:rPr>
        <w:t>机构</w:t>
      </w:r>
      <w:r>
        <w:rPr>
          <w:rFonts w:ascii="Arial" w:hAnsi="Arial" w:eastAsia="宋体" w:cs="Arial"/>
          <w:snapToGrid w:val="0"/>
          <w:kern w:val="0"/>
          <w:sz w:val="21"/>
          <w:szCs w:val="21"/>
        </w:rPr>
        <w:t>或在</w:t>
      </w:r>
      <w:r>
        <w:rPr>
          <w:rFonts w:hint="eastAsia" w:ascii="Arial" w:hAnsi="Arial" w:eastAsia="宋体" w:cs="Arial"/>
          <w:snapToGrid w:val="0"/>
          <w:kern w:val="0"/>
          <w:sz w:val="21"/>
          <w:szCs w:val="21"/>
        </w:rPr>
        <w:t>由</w:t>
      </w:r>
      <w:r>
        <w:rPr>
          <w:rFonts w:ascii="Arial" w:hAnsi="Arial" w:eastAsia="宋体" w:cs="Arial"/>
          <w:snapToGrid w:val="0"/>
          <w:kern w:val="0"/>
          <w:sz w:val="21"/>
          <w:szCs w:val="21"/>
        </w:rPr>
        <w:t>法案</w:t>
      </w:r>
      <w:r>
        <w:rPr>
          <w:rFonts w:hint="eastAsia" w:ascii="Arial" w:hAnsi="Arial" w:eastAsia="宋体" w:cs="Arial"/>
          <w:snapToGrid w:val="0"/>
          <w:kern w:val="0"/>
          <w:sz w:val="21"/>
          <w:szCs w:val="21"/>
        </w:rPr>
        <w:t>机构</w:t>
      </w:r>
      <w:r>
        <w:rPr>
          <w:rFonts w:ascii="Arial" w:hAnsi="Arial" w:eastAsia="宋体" w:cs="Arial"/>
          <w:snapToGrid w:val="0"/>
          <w:kern w:val="0"/>
          <w:sz w:val="21"/>
          <w:szCs w:val="21"/>
        </w:rPr>
        <w:t>提出的要求</w:t>
      </w:r>
      <w:r>
        <w:rPr>
          <w:rFonts w:hint="eastAsia" w:ascii="Arial" w:hAnsi="Arial" w:eastAsia="宋体" w:cs="Arial"/>
          <w:snapToGrid w:val="0"/>
          <w:kern w:val="0"/>
          <w:sz w:val="21"/>
          <w:szCs w:val="21"/>
        </w:rPr>
        <w:t>，</w:t>
      </w:r>
      <w:r>
        <w:rPr>
          <w:rFonts w:ascii="Arial" w:hAnsi="Arial" w:eastAsia="宋体" w:cs="Arial"/>
          <w:snapToGrid w:val="0"/>
          <w:kern w:val="0"/>
          <w:sz w:val="21"/>
          <w:szCs w:val="21"/>
        </w:rPr>
        <w:t>对出现在标签上的任何词语、</w:t>
      </w:r>
      <w:r>
        <w:rPr>
          <w:rFonts w:hint="eastAsia" w:ascii="Arial" w:hAnsi="Arial" w:eastAsia="宋体" w:cs="Arial"/>
          <w:snapToGrid w:val="0"/>
          <w:kern w:val="0"/>
          <w:sz w:val="21"/>
          <w:szCs w:val="21"/>
        </w:rPr>
        <w:t>声明</w:t>
      </w:r>
      <w:r>
        <w:rPr>
          <w:rFonts w:ascii="Arial" w:hAnsi="Arial" w:eastAsia="宋体" w:cs="Arial"/>
          <w:snapToGrid w:val="0"/>
          <w:kern w:val="0"/>
          <w:sz w:val="21"/>
          <w:szCs w:val="21"/>
        </w:rPr>
        <w:t>或其它信息不</w:t>
      </w:r>
      <w:r>
        <w:rPr>
          <w:rFonts w:hint="eastAsia" w:ascii="Arial" w:hAnsi="Arial" w:eastAsia="宋体" w:cs="Arial"/>
          <w:snapToGrid w:val="0"/>
          <w:kern w:val="0"/>
          <w:sz w:val="21"/>
          <w:szCs w:val="21"/>
        </w:rPr>
        <w:t>应</w:t>
      </w:r>
      <w:r>
        <w:rPr>
          <w:rFonts w:ascii="Arial" w:hAnsi="Arial" w:eastAsia="宋体" w:cs="Arial"/>
          <w:snapToGrid w:val="0"/>
          <w:kern w:val="0"/>
          <w:sz w:val="21"/>
          <w:szCs w:val="21"/>
        </w:rPr>
        <w:t>视为</w:t>
      </w:r>
      <w:r>
        <w:rPr>
          <w:rFonts w:hint="eastAsia" w:ascii="Arial" w:hAnsi="Arial" w:eastAsia="宋体" w:cs="Arial"/>
          <w:snapToGrid w:val="0"/>
          <w:kern w:val="0"/>
          <w:sz w:val="21"/>
          <w:szCs w:val="21"/>
        </w:rPr>
        <w:t>合规</w:t>
      </w:r>
      <w:r>
        <w:rPr>
          <w:rFonts w:ascii="Arial" w:hAnsi="Arial" w:eastAsia="宋体" w:cs="Arial"/>
          <w:snapToGrid w:val="0"/>
          <w:kern w:val="0"/>
          <w:sz w:val="21"/>
          <w:szCs w:val="21"/>
        </w:rPr>
        <w:t>，除非此类词语、</w:t>
      </w:r>
      <w:r>
        <w:rPr>
          <w:rFonts w:hint="eastAsia" w:ascii="Arial" w:hAnsi="Arial" w:eastAsia="宋体" w:cs="Arial"/>
          <w:snapToGrid w:val="0"/>
          <w:kern w:val="0"/>
          <w:sz w:val="21"/>
          <w:szCs w:val="21"/>
        </w:rPr>
        <w:t>声明</w:t>
      </w:r>
      <w:r>
        <w:rPr>
          <w:rFonts w:ascii="Arial" w:hAnsi="Arial" w:eastAsia="宋体" w:cs="Arial"/>
          <w:snapToGrid w:val="0"/>
          <w:kern w:val="0"/>
          <w:sz w:val="21"/>
          <w:szCs w:val="21"/>
        </w:rPr>
        <w:t>或其它信息</w:t>
      </w:r>
      <w:r>
        <w:rPr>
          <w:rFonts w:hint="eastAsia" w:ascii="Arial" w:hAnsi="Arial" w:eastAsia="宋体" w:cs="Arial"/>
          <w:snapToGrid w:val="0"/>
          <w:kern w:val="0"/>
          <w:sz w:val="21"/>
          <w:szCs w:val="21"/>
        </w:rPr>
        <w:t>也</w:t>
      </w:r>
      <w:r>
        <w:rPr>
          <w:rFonts w:ascii="Arial" w:hAnsi="Arial" w:eastAsia="宋体" w:cs="Arial"/>
          <w:snapToGrid w:val="0"/>
          <w:kern w:val="0"/>
          <w:sz w:val="21"/>
          <w:szCs w:val="21"/>
        </w:rPr>
        <w:t>出现在此类物料零售包装的外部容器或包装材料（如果有的话）上或通过外部容器或包装材料易于读到此类词语、</w:t>
      </w:r>
      <w:r>
        <w:rPr>
          <w:rFonts w:hint="eastAsia" w:ascii="Arial" w:hAnsi="Arial" w:eastAsia="宋体" w:cs="Arial"/>
          <w:snapToGrid w:val="0"/>
          <w:kern w:val="0"/>
          <w:sz w:val="21"/>
          <w:szCs w:val="21"/>
        </w:rPr>
        <w:t>声明</w:t>
      </w:r>
      <w:r>
        <w:rPr>
          <w:rFonts w:ascii="Arial" w:hAnsi="Arial" w:eastAsia="宋体" w:cs="Arial"/>
          <w:snapToGrid w:val="0"/>
          <w:kern w:val="0"/>
          <w:sz w:val="21"/>
          <w:szCs w:val="21"/>
        </w:rPr>
        <w:t>或其它信息。</w:t>
      </w:r>
    </w:p>
  </w:footnote>
  <w:footnote w:id="7">
    <w:p w14:paraId="0E452238">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USP37–NF32</w:t>
      </w:r>
      <w:r>
        <w:rPr>
          <w:rFonts w:hint="eastAsia" w:ascii="Arial" w:hAnsi="Arial" w:eastAsia="宋体" w:cs="Arial"/>
          <w:snapToGrid w:val="0"/>
          <w:kern w:val="0"/>
          <w:sz w:val="21"/>
          <w:szCs w:val="21"/>
        </w:rPr>
        <w:t>，</w:t>
      </w:r>
      <w:r>
        <w:rPr>
          <w:rFonts w:ascii="Arial" w:hAnsi="Arial" w:eastAsia="宋体" w:cs="Arial"/>
          <w:snapToGrid w:val="0"/>
          <w:kern w:val="0"/>
          <w:sz w:val="21"/>
          <w:szCs w:val="21"/>
        </w:rPr>
        <w:t>3228（肝素锁定冲洗液）。</w:t>
      </w:r>
    </w:p>
  </w:footnote>
  <w:footnote w:id="8">
    <w:p w14:paraId="257D354C">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同上。</w:t>
      </w:r>
    </w:p>
  </w:footnote>
  <w:footnote w:id="9">
    <w:p w14:paraId="2B594BC7">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同上。</w:t>
      </w:r>
    </w:p>
  </w:footnote>
  <w:footnote w:id="10">
    <w:p w14:paraId="0453B52E">
      <w:pPr>
        <w:pStyle w:val="5"/>
        <w:spacing w:line="300" w:lineRule="auto"/>
        <w:rPr>
          <w:sz w:val="21"/>
          <w:szCs w:val="21"/>
        </w:rPr>
      </w:pPr>
      <w:r>
        <w:rPr>
          <w:rStyle w:val="10"/>
          <w:sz w:val="21"/>
          <w:szCs w:val="21"/>
        </w:rPr>
        <w:footnoteRef/>
      </w:r>
      <w:r>
        <w:rPr>
          <w:sz w:val="21"/>
          <w:szCs w:val="21"/>
        </w:rPr>
        <w:t xml:space="preserve"> </w:t>
      </w:r>
      <w:r>
        <w:rPr>
          <w:rFonts w:ascii="Arial" w:hAnsi="Arial" w:eastAsia="宋体" w:cs="Arial"/>
          <w:snapToGrid w:val="0"/>
          <w:kern w:val="0"/>
          <w:sz w:val="21"/>
          <w:szCs w:val="21"/>
        </w:rPr>
        <w:t>另外，</w:t>
      </w:r>
      <w:bookmarkStart w:id="29" w:name="OLE_LINK15"/>
      <w:bookmarkStart w:id="30" w:name="OLE_LINK18"/>
      <w:r>
        <w:rPr>
          <w:rFonts w:ascii="Arial" w:hAnsi="Arial" w:eastAsia="宋体" w:cs="Arial"/>
          <w:snapToGrid w:val="0"/>
          <w:kern w:val="0"/>
          <w:sz w:val="21"/>
          <w:szCs w:val="21"/>
        </w:rPr>
        <w:t>药物评价和研究中</w:t>
      </w:r>
      <w:bookmarkEnd w:id="29"/>
      <w:bookmarkEnd w:id="30"/>
      <w:r>
        <w:rPr>
          <w:rFonts w:ascii="Arial" w:hAnsi="Arial" w:eastAsia="宋体" w:cs="Arial"/>
          <w:snapToGrid w:val="0"/>
          <w:kern w:val="0"/>
          <w:sz w:val="21"/>
          <w:szCs w:val="21"/>
        </w:rPr>
        <w:t>心（CDER）已发布了一份行业指南草案－</w:t>
      </w:r>
      <w:r>
        <w:rPr>
          <w:rFonts w:ascii="Arial" w:hAnsi="Arial" w:eastAsia="宋体" w:cs="Arial"/>
          <w:i/>
          <w:snapToGrid w:val="0"/>
          <w:color w:val="0000FF"/>
          <w:kern w:val="0"/>
          <w:sz w:val="21"/>
          <w:szCs w:val="21"/>
          <w:u w:val="single"/>
        </w:rPr>
        <w:t>NDA</w:t>
      </w:r>
      <w:r>
        <w:rPr>
          <w:rFonts w:hint="eastAsia" w:ascii="Arial" w:hAnsi="Arial" w:eastAsia="宋体" w:cs="Arial"/>
          <w:i/>
          <w:snapToGrid w:val="0"/>
          <w:color w:val="0000FF"/>
          <w:kern w:val="0"/>
          <w:sz w:val="21"/>
          <w:szCs w:val="21"/>
          <w:u w:val="single"/>
        </w:rPr>
        <w:t>和</w:t>
      </w:r>
      <w:r>
        <w:rPr>
          <w:rFonts w:ascii="Arial" w:hAnsi="Arial" w:eastAsia="宋体" w:cs="Arial"/>
          <w:i/>
          <w:snapToGrid w:val="0"/>
          <w:color w:val="0000FF"/>
          <w:kern w:val="0"/>
          <w:sz w:val="21"/>
          <w:szCs w:val="21"/>
          <w:u w:val="single"/>
        </w:rPr>
        <w:t>ANDA低分子量肝素申请批准的免疫原性相关考虑</w:t>
      </w:r>
      <w:r>
        <w:rPr>
          <w:rFonts w:ascii="Arial" w:hAnsi="Arial" w:eastAsia="宋体" w:cs="Arial"/>
          <w:snapToGrid w:val="0"/>
          <w:kern w:val="0"/>
          <w:sz w:val="21"/>
          <w:szCs w:val="21"/>
        </w:rPr>
        <w:t>，网址为：</w:t>
      </w:r>
      <w:r>
        <w:fldChar w:fldCharType="begin"/>
      </w:r>
      <w:r>
        <w:instrText xml:space="preserve"> HYPERLINK "http://www.fda.gov/downloads/drugs/guidancecomplianceregulatoryinformation/guidances/ucm392194.pdf" </w:instrText>
      </w:r>
      <w:r>
        <w:fldChar w:fldCharType="separate"/>
      </w:r>
      <w:r>
        <w:rPr>
          <w:rStyle w:val="9"/>
          <w:rFonts w:ascii="Arial" w:hAnsi="Arial" w:eastAsia="宋体" w:cs="Arial"/>
          <w:snapToGrid w:val="0"/>
          <w:kern w:val="0"/>
          <w:sz w:val="21"/>
          <w:szCs w:val="21"/>
        </w:rPr>
        <w:t>http://www.fda.gov/downloads/drugs/guidancecomplianceregulatoryinformation/guidances/ucm392194.pdf</w:t>
      </w:r>
      <w:r>
        <w:rPr>
          <w:rStyle w:val="9"/>
          <w:rFonts w:ascii="Arial" w:hAnsi="Arial" w:eastAsia="宋体" w:cs="Arial"/>
          <w:snapToGrid w:val="0"/>
          <w:kern w:val="0"/>
          <w:sz w:val="21"/>
          <w:szCs w:val="21"/>
        </w:rPr>
        <w:fldChar w:fldCharType="end"/>
      </w:r>
      <w:r>
        <w:rPr>
          <w:rFonts w:ascii="Arial" w:hAnsi="Arial" w:eastAsia="宋体" w:cs="Arial"/>
          <w:snapToGrid w:val="0"/>
          <w:kern w:val="0"/>
          <w:sz w:val="21"/>
          <w:szCs w:val="21"/>
        </w:rPr>
        <w:t>。完成</w:t>
      </w:r>
      <w:r>
        <w:rPr>
          <w:rFonts w:hint="eastAsia" w:ascii="Arial" w:hAnsi="Arial" w:eastAsia="宋体" w:cs="Arial"/>
          <w:snapToGrid w:val="0"/>
          <w:kern w:val="0"/>
          <w:sz w:val="21"/>
          <w:szCs w:val="21"/>
        </w:rPr>
        <w:t>编制，</w:t>
      </w:r>
      <w:r>
        <w:rPr>
          <w:rFonts w:ascii="Arial" w:hAnsi="Arial" w:eastAsia="宋体" w:cs="Arial"/>
          <w:snapToGrid w:val="0"/>
          <w:kern w:val="0"/>
          <w:sz w:val="21"/>
          <w:szCs w:val="21"/>
        </w:rPr>
        <w:t>本指南</w:t>
      </w:r>
      <w:r>
        <w:rPr>
          <w:rFonts w:hint="eastAsia" w:ascii="Arial" w:hAnsi="Arial" w:eastAsia="宋体" w:cs="Arial"/>
          <w:snapToGrid w:val="0"/>
          <w:kern w:val="0"/>
          <w:sz w:val="21"/>
          <w:szCs w:val="21"/>
        </w:rPr>
        <w:t>后</w:t>
      </w:r>
      <w:r>
        <w:rPr>
          <w:rFonts w:ascii="Arial" w:hAnsi="Arial" w:eastAsia="宋体" w:cs="Arial"/>
          <w:snapToGrid w:val="0"/>
          <w:kern w:val="0"/>
          <w:sz w:val="21"/>
          <w:szCs w:val="21"/>
        </w:rPr>
        <w:t>代表本机构对该主题的最新思考。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2CF1">
    <w:pPr>
      <w:topLinePunct/>
      <w:adjustRightInd w:val="0"/>
      <w:snapToGrid w:val="0"/>
      <w:spacing w:line="288" w:lineRule="auto"/>
      <w:jc w:val="center"/>
      <w:rPr>
        <w:rFonts w:ascii="Arial" w:hAnsi="Arial" w:eastAsia="宋体" w:cs="Arial"/>
        <w:b/>
        <w:i/>
        <w:snapToGrid w:val="0"/>
        <w:kern w:val="0"/>
      </w:rPr>
    </w:pPr>
    <w:r>
      <w:rPr>
        <w:rFonts w:hint="eastAsia" w:ascii="Arial" w:hAnsi="Arial" w:eastAsia="宋体" w:cs="Arial"/>
        <w:b/>
        <w:i/>
        <w:snapToGrid w:val="0"/>
        <w:kern w:val="0"/>
      </w:rPr>
      <w:t>所含</w:t>
    </w:r>
    <w:r>
      <w:rPr>
        <w:rFonts w:ascii="Arial" w:hAnsi="Arial" w:eastAsia="宋体" w:cs="Arial"/>
        <w:b/>
        <w:i/>
        <w:snapToGrid w:val="0"/>
        <w:kern w:val="0"/>
      </w:rPr>
      <w:t>建议</w:t>
    </w:r>
    <w:r>
      <w:rPr>
        <w:rFonts w:hint="eastAsia" w:ascii="Arial" w:hAnsi="Arial" w:eastAsia="宋体" w:cs="Arial"/>
        <w:b/>
        <w:i/>
        <w:snapToGrid w:val="0"/>
        <w:kern w:val="0"/>
      </w:rPr>
      <w:t>不具约束力</w:t>
    </w:r>
  </w:p>
  <w:p w14:paraId="5AFFBC6F">
    <w:pPr>
      <w:pStyle w:val="4"/>
      <w:pBdr>
        <w:bottom w:val="none" w:color="auto" w:sz="0" w:space="0"/>
      </w:pBdr>
      <w:rPr>
        <w:i/>
        <w:sz w:val="15"/>
      </w:rPr>
    </w:pPr>
    <w:r>
      <w:rPr>
        <w:rFonts w:ascii="Arial" w:hAnsi="Arial" w:eastAsia="宋体" w:cs="Arial"/>
        <w:i/>
        <w:snapToGrid w:val="0"/>
        <w:kern w:val="0"/>
        <w:sz w:val="21"/>
      </w:rPr>
      <w:t>草案－不用于</w:t>
    </w:r>
    <w:r>
      <w:rPr>
        <w:rFonts w:hint="eastAsia" w:ascii="Arial" w:hAnsi="Arial" w:eastAsia="宋体" w:cs="Arial"/>
        <w:i/>
        <w:snapToGrid w:val="0"/>
        <w:kern w:val="0"/>
        <w:sz w:val="21"/>
      </w:rPr>
      <w:t>实施</w:t>
    </w:r>
  </w:p>
  <w:p w14:paraId="5245EB4F">
    <w:pPr>
      <w:pStyle w:val="4"/>
      <w:pBdr>
        <w:bottom w:val="none" w:color="auto" w:sz="0" w:space="0"/>
      </w:pBdr>
    </w:pPr>
  </w:p>
  <w:p w14:paraId="5189AFB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1C9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2220">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7823">
    <w:pPr>
      <w:topLinePunct/>
      <w:adjustRightInd w:val="0"/>
      <w:snapToGrid w:val="0"/>
      <w:spacing w:line="288" w:lineRule="auto"/>
      <w:jc w:val="center"/>
      <w:rPr>
        <w:rFonts w:ascii="Arial" w:hAnsi="Arial" w:eastAsia="宋体" w:cs="Arial"/>
        <w:b/>
        <w:i/>
        <w:snapToGrid w:val="0"/>
        <w:kern w:val="0"/>
      </w:rPr>
    </w:pPr>
  </w:p>
  <w:p w14:paraId="580615EE">
    <w:pPr>
      <w:pStyle w:val="4"/>
      <w:pBdr>
        <w:bottom w:val="none" w:color="auto" w:sz="0" w:space="0"/>
      </w:pBdr>
      <w:rPr>
        <w:i/>
        <w:sz w:val="15"/>
      </w:rPr>
    </w:pPr>
  </w:p>
  <w:p w14:paraId="7D274986">
    <w:pPr>
      <w:pStyle w:val="4"/>
      <w:pBdr>
        <w:bottom w:val="none" w:color="auto" w:sz="0" w:space="0"/>
      </w:pBdr>
    </w:pPr>
  </w:p>
  <w:p w14:paraId="50DF676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92968"/>
    <w:multiLevelType w:val="multilevel"/>
    <w:tmpl w:val="00D929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C6605B"/>
    <w:multiLevelType w:val="multilevel"/>
    <w:tmpl w:val="04C6605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704CA0"/>
    <w:multiLevelType w:val="multilevel"/>
    <w:tmpl w:val="2A704CA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EB"/>
    <w:rsid w:val="0000239A"/>
    <w:rsid w:val="00012B11"/>
    <w:rsid w:val="00014C84"/>
    <w:rsid w:val="000223DC"/>
    <w:rsid w:val="000239D7"/>
    <w:rsid w:val="00057ED3"/>
    <w:rsid w:val="00084BCC"/>
    <w:rsid w:val="00095236"/>
    <w:rsid w:val="000A4A18"/>
    <w:rsid w:val="000B3B9D"/>
    <w:rsid w:val="000C4611"/>
    <w:rsid w:val="000C5792"/>
    <w:rsid w:val="000D35F2"/>
    <w:rsid w:val="000E2FB9"/>
    <w:rsid w:val="000F39EB"/>
    <w:rsid w:val="00111CB1"/>
    <w:rsid w:val="001176E8"/>
    <w:rsid w:val="00140407"/>
    <w:rsid w:val="001458BD"/>
    <w:rsid w:val="00150336"/>
    <w:rsid w:val="00150974"/>
    <w:rsid w:val="00176672"/>
    <w:rsid w:val="00181E53"/>
    <w:rsid w:val="00185E69"/>
    <w:rsid w:val="001901E1"/>
    <w:rsid w:val="001A7E0E"/>
    <w:rsid w:val="001E2C5A"/>
    <w:rsid w:val="001E2F24"/>
    <w:rsid w:val="001F0A32"/>
    <w:rsid w:val="001F752C"/>
    <w:rsid w:val="00200185"/>
    <w:rsid w:val="00204B2C"/>
    <w:rsid w:val="00225710"/>
    <w:rsid w:val="002332D6"/>
    <w:rsid w:val="002416F7"/>
    <w:rsid w:val="00252BD9"/>
    <w:rsid w:val="00252CC7"/>
    <w:rsid w:val="002722A9"/>
    <w:rsid w:val="0027434E"/>
    <w:rsid w:val="0027573B"/>
    <w:rsid w:val="0029170C"/>
    <w:rsid w:val="002C2BF4"/>
    <w:rsid w:val="002C2E12"/>
    <w:rsid w:val="002D2F11"/>
    <w:rsid w:val="002E4AFC"/>
    <w:rsid w:val="00303EC3"/>
    <w:rsid w:val="003049AA"/>
    <w:rsid w:val="003142B2"/>
    <w:rsid w:val="00316A12"/>
    <w:rsid w:val="00323A90"/>
    <w:rsid w:val="00337B2B"/>
    <w:rsid w:val="003577AE"/>
    <w:rsid w:val="00393116"/>
    <w:rsid w:val="003A509E"/>
    <w:rsid w:val="003C0B22"/>
    <w:rsid w:val="003F10E1"/>
    <w:rsid w:val="003F7E6F"/>
    <w:rsid w:val="0041351D"/>
    <w:rsid w:val="00414102"/>
    <w:rsid w:val="0041557D"/>
    <w:rsid w:val="0041676F"/>
    <w:rsid w:val="00416E36"/>
    <w:rsid w:val="00423D2D"/>
    <w:rsid w:val="004444EB"/>
    <w:rsid w:val="00480536"/>
    <w:rsid w:val="00494DA9"/>
    <w:rsid w:val="004A3642"/>
    <w:rsid w:val="004A39DF"/>
    <w:rsid w:val="00506EE3"/>
    <w:rsid w:val="005308BE"/>
    <w:rsid w:val="005321A3"/>
    <w:rsid w:val="005924F4"/>
    <w:rsid w:val="005A40A6"/>
    <w:rsid w:val="005A4248"/>
    <w:rsid w:val="005A5AC5"/>
    <w:rsid w:val="005B43A1"/>
    <w:rsid w:val="005C68A8"/>
    <w:rsid w:val="005C7207"/>
    <w:rsid w:val="005D5192"/>
    <w:rsid w:val="005E11DD"/>
    <w:rsid w:val="00606BA2"/>
    <w:rsid w:val="00612373"/>
    <w:rsid w:val="00622F8A"/>
    <w:rsid w:val="00636E75"/>
    <w:rsid w:val="006371D7"/>
    <w:rsid w:val="00640463"/>
    <w:rsid w:val="00641403"/>
    <w:rsid w:val="0064338E"/>
    <w:rsid w:val="0065086D"/>
    <w:rsid w:val="00652266"/>
    <w:rsid w:val="00660895"/>
    <w:rsid w:val="00662D33"/>
    <w:rsid w:val="00675148"/>
    <w:rsid w:val="00675D85"/>
    <w:rsid w:val="00696A9E"/>
    <w:rsid w:val="006A6967"/>
    <w:rsid w:val="006A7D74"/>
    <w:rsid w:val="006B62F0"/>
    <w:rsid w:val="006B731F"/>
    <w:rsid w:val="006C1D6C"/>
    <w:rsid w:val="006C37E0"/>
    <w:rsid w:val="006F135E"/>
    <w:rsid w:val="006F13A0"/>
    <w:rsid w:val="00717F19"/>
    <w:rsid w:val="00746217"/>
    <w:rsid w:val="00761EF0"/>
    <w:rsid w:val="00780DA4"/>
    <w:rsid w:val="00793782"/>
    <w:rsid w:val="007A0433"/>
    <w:rsid w:val="007B08A7"/>
    <w:rsid w:val="007C3C7E"/>
    <w:rsid w:val="007D1025"/>
    <w:rsid w:val="007D7F57"/>
    <w:rsid w:val="007F61C4"/>
    <w:rsid w:val="00806FB3"/>
    <w:rsid w:val="00820A37"/>
    <w:rsid w:val="00831C7D"/>
    <w:rsid w:val="008436EF"/>
    <w:rsid w:val="00856E48"/>
    <w:rsid w:val="0088226B"/>
    <w:rsid w:val="008876C6"/>
    <w:rsid w:val="008A1F18"/>
    <w:rsid w:val="008B6A0C"/>
    <w:rsid w:val="008C0E29"/>
    <w:rsid w:val="008D5317"/>
    <w:rsid w:val="008E65A6"/>
    <w:rsid w:val="008F054C"/>
    <w:rsid w:val="008F0D85"/>
    <w:rsid w:val="00916AC3"/>
    <w:rsid w:val="00927D6B"/>
    <w:rsid w:val="00936098"/>
    <w:rsid w:val="00970F24"/>
    <w:rsid w:val="009778C5"/>
    <w:rsid w:val="00994D55"/>
    <w:rsid w:val="009B0E5B"/>
    <w:rsid w:val="009C3AAD"/>
    <w:rsid w:val="009C566E"/>
    <w:rsid w:val="009D06DF"/>
    <w:rsid w:val="009D2FE3"/>
    <w:rsid w:val="009E30FB"/>
    <w:rsid w:val="009F5831"/>
    <w:rsid w:val="00A0207B"/>
    <w:rsid w:val="00A03086"/>
    <w:rsid w:val="00A0333D"/>
    <w:rsid w:val="00A12449"/>
    <w:rsid w:val="00A16CFD"/>
    <w:rsid w:val="00A20140"/>
    <w:rsid w:val="00A2261E"/>
    <w:rsid w:val="00A328CF"/>
    <w:rsid w:val="00A3735C"/>
    <w:rsid w:val="00A606E7"/>
    <w:rsid w:val="00A6154A"/>
    <w:rsid w:val="00A637B1"/>
    <w:rsid w:val="00A965A3"/>
    <w:rsid w:val="00AA2332"/>
    <w:rsid w:val="00AA73B9"/>
    <w:rsid w:val="00AB0952"/>
    <w:rsid w:val="00AB21EE"/>
    <w:rsid w:val="00AD75DE"/>
    <w:rsid w:val="00AF1C9F"/>
    <w:rsid w:val="00B01986"/>
    <w:rsid w:val="00B04831"/>
    <w:rsid w:val="00B1760A"/>
    <w:rsid w:val="00B61C5A"/>
    <w:rsid w:val="00B931DE"/>
    <w:rsid w:val="00B977EE"/>
    <w:rsid w:val="00BC325D"/>
    <w:rsid w:val="00BC5A0F"/>
    <w:rsid w:val="00BE26A0"/>
    <w:rsid w:val="00BE5978"/>
    <w:rsid w:val="00BF2270"/>
    <w:rsid w:val="00BF708C"/>
    <w:rsid w:val="00C10D05"/>
    <w:rsid w:val="00C16766"/>
    <w:rsid w:val="00C25FF7"/>
    <w:rsid w:val="00C2652A"/>
    <w:rsid w:val="00C35D41"/>
    <w:rsid w:val="00C476A0"/>
    <w:rsid w:val="00C510CA"/>
    <w:rsid w:val="00C529ED"/>
    <w:rsid w:val="00C72B23"/>
    <w:rsid w:val="00C95E6E"/>
    <w:rsid w:val="00CA5EDC"/>
    <w:rsid w:val="00CB6E7E"/>
    <w:rsid w:val="00CE03C5"/>
    <w:rsid w:val="00CE5E3F"/>
    <w:rsid w:val="00CF44B8"/>
    <w:rsid w:val="00D03A26"/>
    <w:rsid w:val="00D1602A"/>
    <w:rsid w:val="00D216FE"/>
    <w:rsid w:val="00D5010D"/>
    <w:rsid w:val="00D61A4F"/>
    <w:rsid w:val="00D639E6"/>
    <w:rsid w:val="00D83A96"/>
    <w:rsid w:val="00DC7BEA"/>
    <w:rsid w:val="00DF609E"/>
    <w:rsid w:val="00DF7609"/>
    <w:rsid w:val="00E12D88"/>
    <w:rsid w:val="00E23BA3"/>
    <w:rsid w:val="00E40F5C"/>
    <w:rsid w:val="00E41CAF"/>
    <w:rsid w:val="00E54F74"/>
    <w:rsid w:val="00E60717"/>
    <w:rsid w:val="00E63D1F"/>
    <w:rsid w:val="00EA4E15"/>
    <w:rsid w:val="00EA6EFF"/>
    <w:rsid w:val="00ED349F"/>
    <w:rsid w:val="00EE3945"/>
    <w:rsid w:val="00EF0D77"/>
    <w:rsid w:val="00F01C9B"/>
    <w:rsid w:val="00F0745C"/>
    <w:rsid w:val="00F32657"/>
    <w:rsid w:val="00F474CF"/>
    <w:rsid w:val="00F477C5"/>
    <w:rsid w:val="00F52272"/>
    <w:rsid w:val="00FA33F2"/>
    <w:rsid w:val="00FA528F"/>
    <w:rsid w:val="00FA7F89"/>
    <w:rsid w:val="00FC4578"/>
    <w:rsid w:val="00FC5889"/>
    <w:rsid w:val="00FC69E0"/>
    <w:rsid w:val="5A31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semiHidden/>
    <w:unhideWhenUsed/>
    <w:qFormat/>
    <w:uiPriority w:val="99"/>
    <w:pPr>
      <w:snapToGrid w:val="0"/>
      <w:jc w:val="left"/>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footnote reference"/>
    <w:basedOn w:val="8"/>
    <w:semiHidden/>
    <w:unhideWhenUsed/>
    <w:qFormat/>
    <w:uiPriority w:val="99"/>
    <w:rPr>
      <w:vertAlign w:val="superscript"/>
    </w:rPr>
  </w:style>
  <w:style w:type="character" w:customStyle="1" w:styleId="11">
    <w:name w:val="批注框文本 Char"/>
    <w:basedOn w:val="8"/>
    <w:link w:val="2"/>
    <w:semiHidden/>
    <w:qFormat/>
    <w:uiPriority w:val="99"/>
    <w:rPr>
      <w:sz w:val="18"/>
      <w:szCs w:val="1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脚注文本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F844-40A0-4EE7-88B3-FDECDC0D1F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3642</Words>
  <Characters>4283</Characters>
  <Lines>34</Lines>
  <Paragraphs>9</Paragraphs>
  <TotalTime>1</TotalTime>
  <ScaleCrop>false</ScaleCrop>
  <LinksUpToDate>false</LinksUpToDate>
  <CharactersWithSpaces>4298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2017-12-18T14:30:00Z</dcterms:created>
  <dc:creator>donghaiyangbo</dc:creator>
  <cp:lastModifiedBy>太极箫客</cp:lastModifiedBy>
  <dcterms:modified xsi:type="dcterms:W3CDTF">2025-08-14T06:45:26Z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DA9FF7251C96443BABD3C674F5EF990A_12</vt:lpwstr>
  </property>
</Properties>
</file>