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AD573">
      <w:pPr>
        <w:snapToGrid w:val="0"/>
        <w:spacing w:line="300" w:lineRule="auto"/>
        <w:jc w:val="center"/>
        <w:rPr>
          <w:rFonts w:ascii="Arial" w:hAnsi="Arial"/>
          <w:b/>
          <w:sz w:val="59"/>
        </w:rPr>
      </w:pPr>
      <w:bookmarkStart w:id="20" w:name="_GoBack"/>
      <w:bookmarkEnd w:id="20"/>
      <w:bookmarkStart w:id="0" w:name="OLE_LINK26"/>
      <w:bookmarkStart w:id="1" w:name="OLE_LINK27"/>
      <w:r>
        <w:rPr>
          <w:rFonts w:ascii="Arial" w:hAnsi="Arial"/>
          <w:b/>
          <w:sz w:val="59"/>
        </w:rPr>
        <mc:AlternateContent>
          <mc:Choice Requires="wps">
            <w:drawing>
              <wp:anchor distT="0" distB="0" distL="114300" distR="114300" simplePos="0" relativeHeight="251665408" behindDoc="0" locked="0" layoutInCell="1" allowOverlap="1">
                <wp:simplePos x="0" y="0"/>
                <wp:positionH relativeFrom="column">
                  <wp:posOffset>6985</wp:posOffset>
                </wp:positionH>
                <wp:positionV relativeFrom="paragraph">
                  <wp:posOffset>438785</wp:posOffset>
                </wp:positionV>
                <wp:extent cx="6059170" cy="0"/>
                <wp:effectExtent l="0" t="0" r="36830" b="19050"/>
                <wp:wrapNone/>
                <wp:docPr id="8" name="直接连接符 8"/>
                <wp:cNvGraphicFramePr/>
                <a:graphic xmlns:a="http://schemas.openxmlformats.org/drawingml/2006/main">
                  <a:graphicData uri="http://schemas.microsoft.com/office/word/2010/wordprocessingShape">
                    <wps:wsp>
                      <wps:cNvCnPr/>
                      <wps:spPr>
                        <a:xfrm>
                          <a:off x="0" y="0"/>
                          <a:ext cx="605927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5pt;margin-top:34.55pt;height:0pt;width:477.1pt;z-index:251665408;mso-width-relative:page;mso-height-relative:page;" filled="f" stroked="t" coordsize="21600,21600" o:gfxdata="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BGWab9MAAAAHAQAADwAA&#10;AAAAAAABACAAAAAiAAAAZHJzL2Rvd25yZXYueG1sUEsBAhQAFAAAAAgAh07iQHihiWziAQAAsQMA&#10;AA4AAAAAAAAAAQAgAAAAIgEAAGRycy9lMm9Eb2MueG1sUEsFBgAAAAAGAAYAWQEAAHYFAAAAAA==&#10;">
                <v:fill on="f" focussize="0,0"/>
                <v:stroke weight="0.5pt" color="#000000 [3213]" miterlimit="8" joinstyle="miter"/>
                <v:imagedata o:title=""/>
                <o:lock v:ext="edit" aspectratio="f"/>
              </v:line>
            </w:pict>
          </mc:Fallback>
        </mc:AlternateContent>
      </w:r>
      <w:r>
        <w:rPr>
          <w:rFonts w:ascii="Arial" w:hAnsi="Arial"/>
          <w:b/>
          <w:sz w:val="59"/>
        </w:rPr>
        <w:t>行业和FDA人员指南</w:t>
      </w:r>
    </w:p>
    <w:bookmarkEnd w:id="0"/>
    <w:bookmarkEnd w:id="1"/>
    <w:p w14:paraId="4DE110C6">
      <w:pPr>
        <w:snapToGrid w:val="0"/>
        <w:spacing w:line="300" w:lineRule="auto"/>
        <w:ind w:hanging="179"/>
        <w:jc w:val="center"/>
        <w:rPr>
          <w:rFonts w:ascii="Arial" w:hAnsi="Arial"/>
          <w:b/>
          <w:sz w:val="59"/>
        </w:rPr>
      </w:pPr>
      <w:r>
        <w:rPr>
          <w:rFonts w:ascii="Arial" w:hAnsi="Arial"/>
          <w:b/>
          <w:sz w:val="59"/>
        </w:rPr>
        <w:t>含有防锐器损伤特性的医疗器械</w:t>
      </w:r>
    </w:p>
    <w:p w14:paraId="2F92C1FF">
      <w:pPr>
        <w:snapToGrid w:val="0"/>
        <w:spacing w:line="300" w:lineRule="auto"/>
        <w:jc w:val="both"/>
        <w:rPr>
          <w:rFonts w:ascii="Arial" w:hAnsi="Arial"/>
          <w:sz w:val="24"/>
        </w:rPr>
      </w:pPr>
    </w:p>
    <w:p w14:paraId="21E2C115">
      <w:pPr>
        <w:snapToGrid w:val="0"/>
        <w:spacing w:line="300" w:lineRule="auto"/>
        <w:jc w:val="both"/>
        <w:rPr>
          <w:rFonts w:ascii="Arial" w:hAnsi="Arial"/>
          <w:sz w:val="24"/>
        </w:rPr>
      </w:pPr>
    </w:p>
    <w:p w14:paraId="4889FCD8">
      <w:pPr>
        <w:snapToGrid w:val="0"/>
        <w:spacing w:line="300" w:lineRule="auto"/>
        <w:jc w:val="center"/>
        <w:rPr>
          <w:rFonts w:ascii="Arial" w:hAnsi="Arial"/>
          <w:b/>
          <w:sz w:val="29"/>
        </w:rPr>
      </w:pPr>
      <w:r>
        <w:rPr>
          <w:rFonts w:ascii="Arial" w:hAnsi="Arial"/>
          <w:b/>
          <w:sz w:val="29"/>
        </w:rPr>
        <w:t>文件发行日期：2005年8月9日</w:t>
      </w:r>
    </w:p>
    <w:p w14:paraId="66FDDA98">
      <w:pPr>
        <w:snapToGrid w:val="0"/>
        <w:spacing w:line="300" w:lineRule="auto"/>
        <w:jc w:val="center"/>
        <w:rPr>
          <w:rFonts w:ascii="Arial" w:hAnsi="Arial"/>
          <w:sz w:val="24"/>
        </w:rPr>
      </w:pPr>
    </w:p>
    <w:p w14:paraId="05C72E47">
      <w:pPr>
        <w:snapToGrid w:val="0"/>
        <w:spacing w:line="300" w:lineRule="auto"/>
        <w:jc w:val="center"/>
        <w:rPr>
          <w:rFonts w:ascii="Arial" w:hAnsi="Arial"/>
          <w:b/>
          <w:sz w:val="29"/>
        </w:rPr>
      </w:pPr>
      <w:r>
        <w:rPr>
          <w:rFonts w:ascii="Arial" w:hAnsi="Arial"/>
          <w:b/>
          <w:sz w:val="29"/>
        </w:rPr>
        <w:t>本文件取代2002年12月31日的关于含有防锐器损伤特性医疗器械（防针刺）上市前通告[510（k）]提交资料内容的补充指南。</w:t>
      </w:r>
    </w:p>
    <w:p w14:paraId="1B06BACB">
      <w:pPr>
        <w:snapToGrid w:val="0"/>
        <w:spacing w:line="300" w:lineRule="auto"/>
        <w:jc w:val="both"/>
        <w:rPr>
          <w:rFonts w:ascii="Arial" w:hAnsi="Arial"/>
          <w:sz w:val="24"/>
        </w:rPr>
      </w:pPr>
    </w:p>
    <w:p w14:paraId="47E43D27">
      <w:pPr>
        <w:snapToGrid w:val="0"/>
        <w:spacing w:line="300" w:lineRule="auto"/>
        <w:jc w:val="both"/>
        <w:rPr>
          <w:rFonts w:ascii="Arial" w:hAnsi="Arial"/>
          <w:sz w:val="24"/>
        </w:rPr>
      </w:pPr>
      <w:r>
        <w:rPr>
          <w:rFonts w:ascii="Arial" w:hAnsi="Arial"/>
          <w:sz w:val="24"/>
        </w:rPr>
        <w:t>本文件相关的问题，请联系Anthony Watson先生，电话240-276-3700。</w:t>
      </w:r>
    </w:p>
    <w:p w14:paraId="01A1DA2A">
      <w:pPr>
        <w:snapToGrid w:val="0"/>
        <w:spacing w:line="300" w:lineRule="auto"/>
        <w:jc w:val="both"/>
        <w:rPr>
          <w:rFonts w:ascii="Arial" w:hAnsi="Arial"/>
          <w:sz w:val="24"/>
        </w:rPr>
      </w:pPr>
    </w:p>
    <w:p w14:paraId="1847FFC0">
      <w:pPr>
        <w:snapToGrid w:val="0"/>
        <w:spacing w:line="300" w:lineRule="auto"/>
        <w:jc w:val="both"/>
        <w:rPr>
          <w:rFonts w:ascii="Arial" w:hAnsi="Arial"/>
          <w:sz w:val="24"/>
        </w:rPr>
      </w:pPr>
    </w:p>
    <w:p w14:paraId="79CA938C">
      <w:pPr>
        <w:snapToGrid w:val="0"/>
        <w:spacing w:line="300" w:lineRule="auto"/>
        <w:jc w:val="both"/>
        <w:rPr>
          <w:rFonts w:ascii="Arial" w:hAnsi="Arial"/>
          <w:sz w:val="24"/>
        </w:rPr>
      </w:pPr>
      <w:r>
        <w:rPr>
          <w:rFonts w:ascii="Arial" w:hAnsi="Arial"/>
          <w:sz w:val="24"/>
        </w:rPr>
        <w:drawing>
          <wp:anchor distT="0" distB="0" distL="114300" distR="114300" simplePos="0" relativeHeight="251662336" behindDoc="1" locked="0" layoutInCell="0" allowOverlap="1">
            <wp:simplePos x="0" y="0"/>
            <wp:positionH relativeFrom="margin">
              <wp:align>left</wp:align>
            </wp:positionH>
            <wp:positionV relativeFrom="paragraph">
              <wp:posOffset>26670</wp:posOffset>
            </wp:positionV>
            <wp:extent cx="876300" cy="981075"/>
            <wp:effectExtent l="0" t="0" r="0"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76300" cy="981075"/>
                    </a:xfrm>
                    <a:prstGeom prst="rect">
                      <a:avLst/>
                    </a:prstGeom>
                    <a:noFill/>
                  </pic:spPr>
                </pic:pic>
              </a:graphicData>
            </a:graphic>
          </wp:anchor>
        </w:drawing>
      </w:r>
    </w:p>
    <w:p w14:paraId="62EB0C74">
      <w:pPr>
        <w:snapToGrid w:val="0"/>
        <w:spacing w:line="300" w:lineRule="auto"/>
        <w:jc w:val="both"/>
        <w:rPr>
          <w:rFonts w:ascii="Arial" w:hAnsi="Arial"/>
          <w:sz w:val="24"/>
        </w:rPr>
      </w:pPr>
    </w:p>
    <w:p w14:paraId="14E7B39A">
      <w:pPr>
        <w:snapToGrid w:val="0"/>
        <w:spacing w:line="300" w:lineRule="auto"/>
        <w:ind w:left="4720" w:firstLine="1687" w:firstLineChars="700"/>
        <w:jc w:val="right"/>
        <w:rPr>
          <w:rFonts w:ascii="Arial" w:hAnsi="Arial"/>
          <w:b/>
          <w:sz w:val="24"/>
          <w:szCs w:val="24"/>
        </w:rPr>
      </w:pPr>
      <w:r>
        <w:rPr>
          <w:rFonts w:ascii="Arial" w:hAnsi="Arial"/>
          <w:b/>
          <w:sz w:val="24"/>
          <w:szCs w:val="24"/>
        </w:rPr>
        <w:t>美国卫生</w:t>
      </w:r>
      <w:r>
        <w:rPr>
          <w:rFonts w:hint="eastAsia" w:ascii="Arial" w:hAnsi="Arial"/>
          <w:b/>
          <w:sz w:val="24"/>
          <w:szCs w:val="24"/>
        </w:rPr>
        <w:t>与公众</w:t>
      </w:r>
      <w:r>
        <w:rPr>
          <w:rFonts w:ascii="Arial" w:hAnsi="Arial"/>
          <w:b/>
          <w:sz w:val="24"/>
          <w:szCs w:val="24"/>
        </w:rPr>
        <w:t>服务部</w:t>
      </w:r>
    </w:p>
    <w:p w14:paraId="436AFCA0">
      <w:pPr>
        <w:snapToGrid w:val="0"/>
        <w:spacing w:line="300" w:lineRule="auto"/>
        <w:ind w:left="6440"/>
        <w:jc w:val="right"/>
        <w:rPr>
          <w:rFonts w:ascii="Arial" w:hAnsi="Arial"/>
          <w:b/>
          <w:sz w:val="24"/>
          <w:szCs w:val="24"/>
        </w:rPr>
      </w:pPr>
      <w:r>
        <w:rPr>
          <w:rFonts w:ascii="Arial" w:hAnsi="Arial"/>
          <w:b/>
          <w:sz w:val="24"/>
          <w:szCs w:val="24"/>
        </w:rPr>
        <w:t>食品药品监督管理局</w:t>
      </w:r>
    </w:p>
    <w:p w14:paraId="1A7E0D28">
      <w:pPr>
        <w:snapToGrid w:val="0"/>
        <w:spacing w:line="300" w:lineRule="auto"/>
        <w:jc w:val="right"/>
        <w:rPr>
          <w:rFonts w:ascii="Arial" w:hAnsi="Arial"/>
          <w:b/>
          <w:sz w:val="24"/>
          <w:szCs w:val="24"/>
        </w:rPr>
      </w:pPr>
      <w:r>
        <w:rPr>
          <w:rFonts w:ascii="Arial" w:hAnsi="Arial"/>
          <w:b/>
          <w:sz w:val="24"/>
          <w:szCs w:val="24"/>
        </w:rPr>
        <w:t>器械和放射健康中心</w:t>
      </w:r>
    </w:p>
    <w:p w14:paraId="4FA6CD31">
      <w:pPr>
        <w:snapToGrid w:val="0"/>
        <w:spacing w:line="300" w:lineRule="auto"/>
        <w:jc w:val="right"/>
        <w:rPr>
          <w:rFonts w:ascii="Arial" w:hAnsi="Arial"/>
          <w:sz w:val="24"/>
          <w:szCs w:val="24"/>
        </w:rPr>
      </w:pPr>
    </w:p>
    <w:p w14:paraId="2CB5EE6B">
      <w:pPr>
        <w:snapToGrid w:val="0"/>
        <w:spacing w:line="300" w:lineRule="auto"/>
        <w:ind w:left="5880" w:firstLine="602" w:firstLineChars="250"/>
        <w:jc w:val="right"/>
        <w:rPr>
          <w:rFonts w:ascii="Arial" w:hAnsi="Arial"/>
          <w:b/>
          <w:sz w:val="24"/>
          <w:szCs w:val="24"/>
        </w:rPr>
      </w:pPr>
      <w:r>
        <w:rPr>
          <w:rFonts w:ascii="Arial" w:hAnsi="Arial"/>
          <w:b/>
          <w:sz w:val="24"/>
          <w:szCs w:val="24"/>
        </w:rPr>
        <w:t>综合医院器械科</w:t>
      </w:r>
    </w:p>
    <w:p w14:paraId="303B4247">
      <w:pPr>
        <w:snapToGrid w:val="0"/>
        <w:spacing w:line="300" w:lineRule="auto"/>
        <w:ind w:left="4640"/>
        <w:jc w:val="right"/>
        <w:rPr>
          <w:rFonts w:ascii="Arial" w:hAnsi="Arial"/>
          <w:b/>
          <w:sz w:val="24"/>
          <w:szCs w:val="24"/>
        </w:rPr>
      </w:pPr>
      <w:r>
        <w:rPr>
          <w:rFonts w:ascii="Arial" w:hAnsi="Arial"/>
          <w:b/>
          <w:sz w:val="24"/>
          <w:szCs w:val="24"/>
        </w:rPr>
        <w:t>麻醉科，综合医院</w:t>
      </w:r>
    </w:p>
    <w:p w14:paraId="28C5EAB6">
      <w:pPr>
        <w:snapToGrid w:val="0"/>
        <w:spacing w:line="300" w:lineRule="auto"/>
        <w:ind w:left="5400" w:firstLine="1566" w:firstLineChars="650"/>
        <w:jc w:val="right"/>
        <w:rPr>
          <w:rFonts w:ascii="Arial" w:hAnsi="Arial"/>
          <w:b/>
          <w:sz w:val="24"/>
          <w:szCs w:val="24"/>
        </w:rPr>
      </w:pPr>
      <w:r>
        <w:rPr>
          <w:rFonts w:ascii="Arial" w:hAnsi="Arial"/>
          <w:b/>
          <w:sz w:val="24"/>
          <w:szCs w:val="24"/>
        </w:rPr>
        <w:t>感染控制和牙科器械</w:t>
      </w:r>
    </w:p>
    <w:p w14:paraId="0F01C158">
      <w:pPr>
        <w:snapToGrid w:val="0"/>
        <w:spacing w:line="300" w:lineRule="auto"/>
        <w:jc w:val="right"/>
        <w:rPr>
          <w:rFonts w:ascii="Arial" w:hAnsi="Arial"/>
          <w:b/>
          <w:sz w:val="24"/>
          <w:szCs w:val="24"/>
        </w:rPr>
      </w:pPr>
      <w:r>
        <w:rPr>
          <w:rFonts w:ascii="Arial" w:hAnsi="Arial"/>
          <w:b/>
          <w:sz w:val="24"/>
          <w:szCs w:val="24"/>
        </w:rPr>
        <w:t>器械评估办公室</w:t>
      </w:r>
    </w:p>
    <w:p w14:paraId="60328614">
      <w:pPr>
        <w:snapToGrid w:val="0"/>
        <w:spacing w:line="300" w:lineRule="auto"/>
        <w:jc w:val="both"/>
        <w:rPr>
          <w:rFonts w:ascii="Arial" w:hAnsi="Arial"/>
          <w:b/>
          <w:sz w:val="24"/>
          <w:szCs w:val="24"/>
        </w:rPr>
      </w:pPr>
      <w:r>
        <w:rPr>
          <w:rFonts w:ascii="Arial" w:hAnsi="Arial"/>
          <w:b/>
          <w:sz w:val="24"/>
          <w:szCs w:val="24"/>
        </w:rPr>
        <w:br w:type="page"/>
      </w:r>
    </w:p>
    <w:p w14:paraId="3CE7F4E9">
      <w:pPr>
        <w:snapToGrid w:val="0"/>
        <w:spacing w:line="300" w:lineRule="auto"/>
        <w:jc w:val="both"/>
        <w:rPr>
          <w:rFonts w:ascii="Arial" w:hAnsi="Arial"/>
        </w:rPr>
      </w:pPr>
    </w:p>
    <w:p w14:paraId="49E6C9F5">
      <w:pPr>
        <w:snapToGrid w:val="0"/>
        <w:spacing w:line="300" w:lineRule="auto"/>
        <w:jc w:val="both"/>
        <w:rPr>
          <w:rFonts w:ascii="Arial" w:hAnsi="Arial"/>
        </w:rPr>
      </w:pPr>
    </w:p>
    <w:p w14:paraId="24CD4367">
      <w:pPr>
        <w:snapToGrid w:val="0"/>
        <w:spacing w:line="300" w:lineRule="auto"/>
        <w:jc w:val="both"/>
        <w:rPr>
          <w:rFonts w:ascii="Arial" w:hAnsi="Arial"/>
        </w:rPr>
      </w:pPr>
    </w:p>
    <w:p w14:paraId="073B7F33">
      <w:pPr>
        <w:snapToGrid w:val="0"/>
        <w:spacing w:line="300" w:lineRule="auto"/>
        <w:jc w:val="center"/>
        <w:rPr>
          <w:rFonts w:ascii="Arial" w:hAnsi="Arial"/>
          <w:b/>
          <w:sz w:val="48"/>
        </w:rPr>
      </w:pPr>
      <w:r>
        <w:rPr>
          <w:rFonts w:ascii="Arial" w:hAnsi="Arial"/>
          <w:b/>
          <w:sz w:val="48"/>
        </w:rPr>
        <w:t>序</w:t>
      </w:r>
      <w:r>
        <w:rPr>
          <w:rFonts w:hint="eastAsia" w:ascii="Arial" w:hAnsi="Arial"/>
          <w:b/>
          <w:sz w:val="48"/>
        </w:rPr>
        <w:t>言</w:t>
      </w:r>
    </w:p>
    <w:p w14:paraId="42D2F205">
      <w:pPr>
        <w:snapToGrid w:val="0"/>
        <w:spacing w:line="300" w:lineRule="auto"/>
        <w:jc w:val="both"/>
        <w:rPr>
          <w:rFonts w:ascii="Arial" w:hAnsi="Arial"/>
        </w:rPr>
      </w:pPr>
    </w:p>
    <w:p w14:paraId="4338FE55">
      <w:pPr>
        <w:snapToGrid w:val="0"/>
        <w:spacing w:line="300" w:lineRule="auto"/>
        <w:jc w:val="both"/>
        <w:rPr>
          <w:rFonts w:ascii="Arial" w:hAnsi="Arial"/>
          <w:b/>
          <w:sz w:val="36"/>
        </w:rPr>
      </w:pPr>
      <w:r>
        <w:rPr>
          <w:rFonts w:ascii="Arial" w:hAnsi="Arial"/>
          <w:b/>
          <w:sz w:val="36"/>
        </w:rPr>
        <w:t>公众评论</w:t>
      </w:r>
    </w:p>
    <w:p w14:paraId="568D7642">
      <w:pPr>
        <w:snapToGrid w:val="0"/>
        <w:spacing w:line="300" w:lineRule="auto"/>
        <w:jc w:val="both"/>
        <w:rPr>
          <w:rFonts w:ascii="Arial" w:hAnsi="Arial"/>
        </w:rPr>
      </w:pPr>
    </w:p>
    <w:p w14:paraId="17A6C53B">
      <w:pPr>
        <w:snapToGrid w:val="0"/>
        <w:spacing w:line="300" w:lineRule="auto"/>
        <w:jc w:val="both"/>
        <w:rPr>
          <w:rFonts w:ascii="Arial" w:hAnsi="Arial"/>
          <w:sz w:val="24"/>
        </w:rPr>
      </w:pPr>
      <w:r>
        <w:rPr>
          <w:rFonts w:ascii="Arial" w:hAnsi="Arial"/>
          <w:sz w:val="24"/>
        </w:rPr>
        <w:t>书面评论和建议可以随时提交至文档管理部，食品药品监督管理局</w:t>
      </w:r>
      <w:r>
        <w:rPr>
          <w:rStyle w:val="8"/>
          <w:rFonts w:ascii="Arial" w:hAnsi="Arial"/>
          <w:color w:val="auto"/>
          <w:sz w:val="23"/>
          <w:u w:val="none"/>
        </w:rPr>
        <w:t>，5630 Fishers Lane，Room 1061</w:t>
      </w:r>
      <w:r>
        <w:rPr>
          <w:rStyle w:val="8"/>
          <w:rFonts w:hint="eastAsia" w:ascii="Arial" w:hAnsi="Arial"/>
          <w:color w:val="auto"/>
          <w:sz w:val="23"/>
          <w:u w:val="none"/>
        </w:rPr>
        <w:t>，</w:t>
      </w:r>
      <w:r>
        <w:rPr>
          <w:rStyle w:val="8"/>
          <w:rFonts w:ascii="Arial" w:hAnsi="Arial"/>
          <w:color w:val="auto"/>
          <w:sz w:val="23"/>
          <w:u w:val="none"/>
        </w:rPr>
        <w:t>(HFA-305)</w:t>
      </w:r>
      <w:r>
        <w:rPr>
          <w:rStyle w:val="8"/>
          <w:rFonts w:hint="eastAsia" w:ascii="Arial" w:hAnsi="Arial"/>
          <w:color w:val="auto"/>
          <w:sz w:val="23"/>
          <w:u w:val="none"/>
        </w:rPr>
        <w:t>，</w:t>
      </w:r>
      <w:r>
        <w:rPr>
          <w:rStyle w:val="8"/>
          <w:rFonts w:ascii="Arial" w:hAnsi="Arial"/>
          <w:color w:val="auto"/>
          <w:sz w:val="23"/>
          <w:u w:val="none"/>
        </w:rPr>
        <w:t>Rockville</w:t>
      </w:r>
      <w:r>
        <w:rPr>
          <w:rStyle w:val="8"/>
          <w:rFonts w:hint="eastAsia" w:ascii="Arial" w:hAnsi="Arial"/>
          <w:color w:val="auto"/>
          <w:sz w:val="23"/>
          <w:u w:val="none"/>
        </w:rPr>
        <w:t>，</w:t>
      </w:r>
      <w:r>
        <w:rPr>
          <w:rStyle w:val="8"/>
          <w:rFonts w:ascii="Arial" w:hAnsi="Arial"/>
          <w:color w:val="auto"/>
          <w:sz w:val="23"/>
          <w:u w:val="none"/>
        </w:rPr>
        <w:t>MD</w:t>
      </w:r>
      <w:r>
        <w:rPr>
          <w:rStyle w:val="8"/>
          <w:rFonts w:hint="eastAsia" w:ascii="Arial" w:hAnsi="Arial"/>
          <w:color w:val="auto"/>
          <w:sz w:val="23"/>
          <w:u w:val="none"/>
        </w:rPr>
        <w:t>，</w:t>
      </w:r>
      <w:r>
        <w:rPr>
          <w:rStyle w:val="8"/>
          <w:rFonts w:ascii="Arial" w:hAnsi="Arial"/>
          <w:color w:val="auto"/>
          <w:sz w:val="23"/>
          <w:u w:val="none"/>
        </w:rPr>
        <w:t>20852。</w:t>
      </w:r>
      <w:r>
        <w:rPr>
          <w:rFonts w:ascii="Arial" w:hAnsi="Arial"/>
          <w:sz w:val="24"/>
        </w:rPr>
        <w:t>提交评论时，请说明本指导性文件的准确标题。</w:t>
      </w:r>
      <w:r>
        <w:rPr>
          <w:rFonts w:hint="eastAsia" w:ascii="Arial" w:hAnsi="Arial"/>
          <w:sz w:val="24"/>
        </w:rPr>
        <w:t>可能直到文件下次修订或更新时，评论才会被机构受理。</w:t>
      </w:r>
    </w:p>
    <w:p w14:paraId="7657F93D">
      <w:pPr>
        <w:snapToGrid w:val="0"/>
        <w:spacing w:line="300" w:lineRule="auto"/>
        <w:jc w:val="both"/>
        <w:rPr>
          <w:rFonts w:ascii="Arial" w:hAnsi="Arial"/>
          <w:sz w:val="24"/>
        </w:rPr>
      </w:pPr>
    </w:p>
    <w:p w14:paraId="404CEB40">
      <w:pPr>
        <w:snapToGrid w:val="0"/>
        <w:spacing w:line="300" w:lineRule="auto"/>
        <w:jc w:val="both"/>
        <w:rPr>
          <w:rFonts w:ascii="Arial" w:hAnsi="Arial"/>
        </w:rPr>
      </w:pPr>
    </w:p>
    <w:p w14:paraId="6E663FD8">
      <w:pPr>
        <w:snapToGrid w:val="0"/>
        <w:spacing w:line="300" w:lineRule="auto"/>
        <w:jc w:val="both"/>
        <w:rPr>
          <w:rFonts w:ascii="Arial" w:hAnsi="Arial"/>
        </w:rPr>
      </w:pPr>
    </w:p>
    <w:p w14:paraId="27446653">
      <w:pPr>
        <w:snapToGrid w:val="0"/>
        <w:spacing w:line="300" w:lineRule="auto"/>
        <w:jc w:val="both"/>
        <w:rPr>
          <w:rFonts w:ascii="Arial" w:hAnsi="Arial"/>
          <w:b/>
          <w:sz w:val="36"/>
        </w:rPr>
      </w:pPr>
      <w:r>
        <w:rPr>
          <w:rFonts w:ascii="Arial" w:hAnsi="Arial"/>
          <w:b/>
          <w:sz w:val="36"/>
        </w:rPr>
        <w:t>其他副本</w:t>
      </w:r>
    </w:p>
    <w:p w14:paraId="2FE71FDC">
      <w:pPr>
        <w:snapToGrid w:val="0"/>
        <w:spacing w:line="300" w:lineRule="auto"/>
        <w:jc w:val="both"/>
        <w:rPr>
          <w:rFonts w:ascii="Arial" w:hAnsi="Arial"/>
          <w:sz w:val="24"/>
        </w:rPr>
      </w:pPr>
    </w:p>
    <w:p w14:paraId="432CB1A4">
      <w:pPr>
        <w:snapToGrid w:val="0"/>
        <w:spacing w:line="300" w:lineRule="auto"/>
        <w:jc w:val="both"/>
        <w:rPr>
          <w:rFonts w:ascii="Arial" w:hAnsi="Arial"/>
          <w:sz w:val="24"/>
          <w:szCs w:val="24"/>
        </w:rPr>
      </w:pPr>
      <w:r>
        <w:rPr>
          <w:rFonts w:ascii="Arial" w:hAnsi="Arial"/>
          <w:sz w:val="24"/>
          <w:szCs w:val="24"/>
        </w:rPr>
        <w:t>其他副本可从网站获取：</w:t>
      </w:r>
      <w:r>
        <w:fldChar w:fldCharType="begin"/>
      </w:r>
      <w:r>
        <w:instrText xml:space="preserve"> HYPERLINK "http://www.fda.gov/cdrh/ode/%20" </w:instrText>
      </w:r>
      <w:r>
        <w:fldChar w:fldCharType="separate"/>
      </w:r>
      <w:r>
        <w:rPr>
          <w:rStyle w:val="8"/>
          <w:rFonts w:ascii="Arial" w:hAnsi="Arial"/>
          <w:color w:val="auto"/>
          <w:sz w:val="24"/>
          <w:szCs w:val="24"/>
          <w:u w:val="none"/>
        </w:rPr>
        <w:t>http://www.fda.gov/cdrh/ode/</w:t>
      </w:r>
      <w:r>
        <w:rPr>
          <w:rStyle w:val="8"/>
          <w:rFonts w:ascii="Arial" w:hAnsi="Arial"/>
          <w:color w:val="auto"/>
          <w:sz w:val="24"/>
          <w:szCs w:val="24"/>
          <w:u w:val="none"/>
        </w:rPr>
        <w:fldChar w:fldCharType="end"/>
      </w:r>
      <w:r>
        <w:rPr>
          <w:rFonts w:ascii="Arial" w:hAnsi="Arial"/>
          <w:sz w:val="24"/>
          <w:szCs w:val="24"/>
        </w:rPr>
        <w:t>guidance/934.pdf或CDRH自动回传系统。如贵公司需通过传真机接收本文件，请使用按键电话致电CDRH</w:t>
      </w:r>
      <w:r>
        <w:rPr>
          <w:rFonts w:hint="eastAsia" w:ascii="Arial" w:hAnsi="Arial"/>
          <w:sz w:val="24"/>
          <w:szCs w:val="24"/>
        </w:rPr>
        <w:t>资源索取自动回传系统</w:t>
      </w:r>
      <w:r>
        <w:rPr>
          <w:rFonts w:ascii="Arial" w:hAnsi="Arial"/>
          <w:sz w:val="24"/>
          <w:szCs w:val="24"/>
        </w:rPr>
        <w:t>800-899-0381 或 301-827-0111。</w:t>
      </w:r>
    </w:p>
    <w:p w14:paraId="50008062">
      <w:pPr>
        <w:snapToGrid w:val="0"/>
        <w:spacing w:line="300" w:lineRule="auto"/>
        <w:jc w:val="both"/>
        <w:rPr>
          <w:rFonts w:ascii="Arial" w:hAnsi="Arial"/>
          <w:sz w:val="24"/>
        </w:rPr>
      </w:pPr>
    </w:p>
    <w:p w14:paraId="547C486E">
      <w:pPr>
        <w:snapToGrid w:val="0"/>
        <w:spacing w:line="300" w:lineRule="auto"/>
        <w:jc w:val="both"/>
        <w:rPr>
          <w:rFonts w:ascii="Arial" w:hAnsi="Arial"/>
          <w:sz w:val="24"/>
        </w:rPr>
      </w:pPr>
      <w:r>
        <w:rPr>
          <w:rFonts w:ascii="Arial" w:hAnsi="Arial"/>
          <w:sz w:val="24"/>
        </w:rPr>
        <w:t>按1进入系统。在第二个语音提示时，按1指定文件。输入文件编号（</w:t>
      </w:r>
      <w:r>
        <w:rPr>
          <w:rFonts w:ascii="Arial" w:hAnsi="Arial"/>
          <w:b/>
          <w:sz w:val="24"/>
        </w:rPr>
        <w:t>934</w:t>
      </w:r>
      <w:r>
        <w:rPr>
          <w:rFonts w:ascii="Arial" w:hAnsi="Arial"/>
          <w:sz w:val="24"/>
        </w:rPr>
        <w:t>），以</w:t>
      </w:r>
      <w:r>
        <w:rPr>
          <w:rFonts w:hint="eastAsia" w:ascii="Arial" w:hAnsi="Arial"/>
          <w:sz w:val="24"/>
        </w:rPr>
        <w:t>井</w:t>
      </w:r>
      <w:r>
        <w:rPr>
          <w:rFonts w:ascii="Arial" w:hAnsi="Arial"/>
          <w:sz w:val="24"/>
        </w:rPr>
        <w:t>号键结束。按照其余语音提示完成贵公司的请求。</w:t>
      </w:r>
    </w:p>
    <w:p w14:paraId="14BCC20E">
      <w:pPr>
        <w:snapToGrid w:val="0"/>
        <w:spacing w:line="300" w:lineRule="auto"/>
        <w:jc w:val="both"/>
        <w:rPr>
          <w:rFonts w:ascii="Arial" w:hAnsi="Arial"/>
          <w:sz w:val="24"/>
        </w:rPr>
      </w:pPr>
      <w:r>
        <w:rPr>
          <w:rFonts w:ascii="Arial" w:hAnsi="Arial"/>
          <w:sz w:val="24"/>
        </w:rPr>
        <w:br w:type="page"/>
      </w:r>
    </w:p>
    <w:sdt>
      <w:sdtPr>
        <w:rPr>
          <w:rFonts w:ascii="Calibri" w:hAnsi="Calibri" w:eastAsia="宋体" w:cs="Arial"/>
          <w:color w:val="auto"/>
          <w:sz w:val="20"/>
          <w:szCs w:val="20"/>
          <w:lang w:val="zh-CN"/>
        </w:rPr>
        <w:id w:val="270050790"/>
        <w:docPartObj>
          <w:docPartGallery w:val="Table of Contents"/>
          <w:docPartUnique/>
        </w:docPartObj>
      </w:sdtPr>
      <w:sdtEndPr>
        <w:rPr>
          <w:rFonts w:ascii="Calibri" w:hAnsi="Calibri" w:eastAsia="宋体" w:cs="Arial"/>
          <w:b/>
          <w:bCs/>
          <w:color w:val="auto"/>
          <w:sz w:val="20"/>
          <w:szCs w:val="20"/>
          <w:lang w:val="zh-CN"/>
        </w:rPr>
      </w:sdtEndPr>
      <w:sdtContent>
        <w:p w14:paraId="1F05D3F7">
          <w:pPr>
            <w:pStyle w:val="12"/>
            <w:jc w:val="center"/>
            <w:rPr>
              <w:b/>
              <w:color w:val="auto"/>
            </w:rPr>
          </w:pPr>
          <w:r>
            <w:rPr>
              <w:b/>
              <w:color w:val="auto"/>
              <w:lang w:val="zh-CN"/>
            </w:rPr>
            <w:t>目录</w:t>
          </w:r>
        </w:p>
        <w:p w14:paraId="41B4EC6B">
          <w:pPr>
            <w:pStyle w:val="5"/>
            <w:tabs>
              <w:tab w:val="left" w:pos="420"/>
              <w:tab w:val="right" w:leader="dot" w:pos="9628"/>
            </w:tabs>
            <w:rPr>
              <w:rFonts w:ascii="Arial" w:hAnsi="Arial"/>
              <w:kern w:val="2"/>
              <w:sz w:val="21"/>
              <w:szCs w:val="22"/>
            </w:rPr>
          </w:pPr>
          <w:r>
            <w:rPr>
              <w:rFonts w:ascii="Arial" w:hAnsi="Arial"/>
            </w:rPr>
            <w:fldChar w:fldCharType="begin"/>
          </w:r>
          <w:r>
            <w:rPr>
              <w:rFonts w:ascii="Arial" w:hAnsi="Arial"/>
            </w:rPr>
            <w:instrText xml:space="preserve"> TOC \o "1-3" \h \z \u </w:instrText>
          </w:r>
          <w:r>
            <w:rPr>
              <w:rFonts w:ascii="Arial" w:hAnsi="Arial"/>
            </w:rPr>
            <w:fldChar w:fldCharType="separate"/>
          </w:r>
          <w:r>
            <w:fldChar w:fldCharType="begin"/>
          </w:r>
          <w:r>
            <w:instrText xml:space="preserve"> HYPERLINK \l "_Toc481741689" </w:instrText>
          </w:r>
          <w:r>
            <w:fldChar w:fldCharType="separate"/>
          </w:r>
          <w:r>
            <w:rPr>
              <w:rStyle w:val="8"/>
              <w:rFonts w:ascii="Arial" w:hAnsi="Arial"/>
              <w:b/>
            </w:rPr>
            <w:t>1.</w:t>
          </w:r>
          <w:r>
            <w:rPr>
              <w:rFonts w:ascii="Arial" w:hAnsi="Arial"/>
              <w:kern w:val="2"/>
              <w:sz w:val="21"/>
              <w:szCs w:val="22"/>
            </w:rPr>
            <w:tab/>
          </w:r>
          <w:r>
            <w:rPr>
              <w:rStyle w:val="8"/>
              <w:rFonts w:ascii="Arial" w:hAnsi="Arial"/>
              <w:b/>
            </w:rPr>
            <w:t>前言</w:t>
          </w:r>
          <w:r>
            <w:rPr>
              <w:rFonts w:ascii="Arial" w:hAnsi="Arial"/>
            </w:rPr>
            <w:tab/>
          </w:r>
          <w:r>
            <w:rPr>
              <w:rFonts w:ascii="Arial" w:hAnsi="Arial"/>
            </w:rPr>
            <w:fldChar w:fldCharType="begin"/>
          </w:r>
          <w:r>
            <w:rPr>
              <w:rFonts w:ascii="Arial" w:hAnsi="Arial"/>
            </w:rPr>
            <w:instrText xml:space="preserve"> PAGEREF _Toc481741689 \h </w:instrText>
          </w:r>
          <w:r>
            <w:rPr>
              <w:rFonts w:ascii="Arial" w:hAnsi="Arial"/>
            </w:rPr>
            <w:fldChar w:fldCharType="separate"/>
          </w:r>
          <w:r>
            <w:rPr>
              <w:rFonts w:ascii="Arial" w:hAnsi="Arial"/>
            </w:rPr>
            <w:t>1</w:t>
          </w:r>
          <w:r>
            <w:rPr>
              <w:rFonts w:ascii="Arial" w:hAnsi="Arial"/>
            </w:rPr>
            <w:fldChar w:fldCharType="end"/>
          </w:r>
          <w:r>
            <w:rPr>
              <w:rFonts w:ascii="Arial" w:hAnsi="Arial"/>
            </w:rPr>
            <w:fldChar w:fldCharType="end"/>
          </w:r>
        </w:p>
        <w:p w14:paraId="6EE372BF">
          <w:pPr>
            <w:pStyle w:val="5"/>
            <w:tabs>
              <w:tab w:val="left" w:pos="420"/>
              <w:tab w:val="right" w:leader="dot" w:pos="9628"/>
            </w:tabs>
            <w:rPr>
              <w:rFonts w:ascii="Arial" w:hAnsi="Arial"/>
              <w:kern w:val="2"/>
              <w:sz w:val="21"/>
              <w:szCs w:val="22"/>
            </w:rPr>
          </w:pPr>
          <w:r>
            <w:fldChar w:fldCharType="begin"/>
          </w:r>
          <w:r>
            <w:instrText xml:space="preserve"> HYPERLINK \l "_Toc481741690" </w:instrText>
          </w:r>
          <w:r>
            <w:fldChar w:fldCharType="separate"/>
          </w:r>
          <w:r>
            <w:rPr>
              <w:rStyle w:val="8"/>
              <w:rFonts w:ascii="Arial" w:hAnsi="Arial"/>
              <w:b/>
            </w:rPr>
            <w:t>2.</w:t>
          </w:r>
          <w:r>
            <w:rPr>
              <w:rFonts w:ascii="Arial" w:hAnsi="Arial"/>
              <w:kern w:val="2"/>
              <w:sz w:val="21"/>
              <w:szCs w:val="22"/>
            </w:rPr>
            <w:tab/>
          </w:r>
          <w:r>
            <w:rPr>
              <w:rStyle w:val="8"/>
              <w:rFonts w:ascii="Arial" w:hAnsi="Arial"/>
              <w:b/>
            </w:rPr>
            <w:t>背景</w:t>
          </w:r>
          <w:r>
            <w:rPr>
              <w:rFonts w:ascii="Arial" w:hAnsi="Arial"/>
            </w:rPr>
            <w:tab/>
          </w:r>
          <w:r>
            <w:rPr>
              <w:rFonts w:ascii="Arial" w:hAnsi="Arial"/>
            </w:rPr>
            <w:fldChar w:fldCharType="begin"/>
          </w:r>
          <w:r>
            <w:rPr>
              <w:rFonts w:ascii="Arial" w:hAnsi="Arial"/>
            </w:rPr>
            <w:instrText xml:space="preserve"> PAGEREF _Toc481741690 \h </w:instrText>
          </w:r>
          <w:r>
            <w:rPr>
              <w:rFonts w:ascii="Arial" w:hAnsi="Arial"/>
            </w:rPr>
            <w:fldChar w:fldCharType="separate"/>
          </w:r>
          <w:r>
            <w:rPr>
              <w:rFonts w:ascii="Arial" w:hAnsi="Arial"/>
            </w:rPr>
            <w:t>2</w:t>
          </w:r>
          <w:r>
            <w:rPr>
              <w:rFonts w:ascii="Arial" w:hAnsi="Arial"/>
            </w:rPr>
            <w:fldChar w:fldCharType="end"/>
          </w:r>
          <w:r>
            <w:rPr>
              <w:rFonts w:ascii="Arial" w:hAnsi="Arial"/>
            </w:rPr>
            <w:fldChar w:fldCharType="end"/>
          </w:r>
        </w:p>
        <w:p w14:paraId="511190C2">
          <w:pPr>
            <w:pStyle w:val="5"/>
            <w:tabs>
              <w:tab w:val="left" w:pos="420"/>
              <w:tab w:val="right" w:leader="dot" w:pos="9628"/>
            </w:tabs>
            <w:rPr>
              <w:rFonts w:ascii="Arial" w:hAnsi="Arial"/>
              <w:kern w:val="2"/>
              <w:sz w:val="21"/>
              <w:szCs w:val="22"/>
            </w:rPr>
          </w:pPr>
          <w:r>
            <w:fldChar w:fldCharType="begin"/>
          </w:r>
          <w:r>
            <w:instrText xml:space="preserve"> HYPERLINK \l "_Toc481741691" </w:instrText>
          </w:r>
          <w:r>
            <w:fldChar w:fldCharType="separate"/>
          </w:r>
          <w:r>
            <w:rPr>
              <w:rStyle w:val="8"/>
              <w:rFonts w:ascii="Arial" w:hAnsi="Arial"/>
              <w:b/>
            </w:rPr>
            <w:t>3.</w:t>
          </w:r>
          <w:r>
            <w:rPr>
              <w:rFonts w:ascii="Arial" w:hAnsi="Arial"/>
              <w:kern w:val="2"/>
              <w:sz w:val="21"/>
              <w:szCs w:val="22"/>
            </w:rPr>
            <w:tab/>
          </w:r>
          <w:r>
            <w:rPr>
              <w:rStyle w:val="8"/>
              <w:rFonts w:ascii="Arial" w:hAnsi="Arial"/>
              <w:b/>
            </w:rPr>
            <w:t>简化510（k）提交资料的内容和格式</w:t>
          </w:r>
          <w:r>
            <w:rPr>
              <w:rFonts w:ascii="Arial" w:hAnsi="Arial"/>
            </w:rPr>
            <w:tab/>
          </w:r>
          <w:r>
            <w:rPr>
              <w:rFonts w:ascii="Arial" w:hAnsi="Arial"/>
            </w:rPr>
            <w:fldChar w:fldCharType="begin"/>
          </w:r>
          <w:r>
            <w:rPr>
              <w:rFonts w:ascii="Arial" w:hAnsi="Arial"/>
            </w:rPr>
            <w:instrText xml:space="preserve"> PAGEREF _Toc481741691 \h </w:instrText>
          </w:r>
          <w:r>
            <w:rPr>
              <w:rFonts w:ascii="Arial" w:hAnsi="Arial"/>
            </w:rPr>
            <w:fldChar w:fldCharType="separate"/>
          </w:r>
          <w:r>
            <w:rPr>
              <w:rFonts w:ascii="Arial" w:hAnsi="Arial"/>
            </w:rPr>
            <w:t>3</w:t>
          </w:r>
          <w:r>
            <w:rPr>
              <w:rFonts w:ascii="Arial" w:hAnsi="Arial"/>
            </w:rPr>
            <w:fldChar w:fldCharType="end"/>
          </w:r>
          <w:r>
            <w:rPr>
              <w:rFonts w:ascii="Arial" w:hAnsi="Arial"/>
            </w:rPr>
            <w:fldChar w:fldCharType="end"/>
          </w:r>
        </w:p>
        <w:p w14:paraId="6EE46D72">
          <w:pPr>
            <w:pStyle w:val="5"/>
            <w:tabs>
              <w:tab w:val="left" w:pos="420"/>
              <w:tab w:val="right" w:leader="dot" w:pos="9628"/>
            </w:tabs>
            <w:rPr>
              <w:rFonts w:ascii="Arial" w:hAnsi="Arial"/>
              <w:kern w:val="2"/>
              <w:sz w:val="21"/>
              <w:szCs w:val="22"/>
            </w:rPr>
          </w:pPr>
          <w:r>
            <w:fldChar w:fldCharType="begin"/>
          </w:r>
          <w:r>
            <w:instrText xml:space="preserve"> HYPERLINK \l "_Toc481741692" </w:instrText>
          </w:r>
          <w:r>
            <w:fldChar w:fldCharType="separate"/>
          </w:r>
          <w:r>
            <w:rPr>
              <w:rStyle w:val="8"/>
              <w:rFonts w:ascii="Arial" w:hAnsi="Arial"/>
              <w:b/>
            </w:rPr>
            <w:t>4.</w:t>
          </w:r>
          <w:r>
            <w:rPr>
              <w:rFonts w:ascii="Arial" w:hAnsi="Arial"/>
              <w:kern w:val="2"/>
              <w:sz w:val="21"/>
              <w:szCs w:val="22"/>
            </w:rPr>
            <w:tab/>
          </w:r>
          <w:r>
            <w:rPr>
              <w:rStyle w:val="8"/>
              <w:rFonts w:ascii="Arial" w:hAnsi="Arial"/>
              <w:b/>
            </w:rPr>
            <w:t>适用范围</w:t>
          </w:r>
          <w:r>
            <w:rPr>
              <w:rFonts w:ascii="Arial" w:hAnsi="Arial"/>
            </w:rPr>
            <w:tab/>
          </w:r>
          <w:r>
            <w:rPr>
              <w:rFonts w:ascii="Arial" w:hAnsi="Arial"/>
            </w:rPr>
            <w:fldChar w:fldCharType="begin"/>
          </w:r>
          <w:r>
            <w:rPr>
              <w:rFonts w:ascii="Arial" w:hAnsi="Arial"/>
            </w:rPr>
            <w:instrText xml:space="preserve"> PAGEREF _Toc481741692 \h </w:instrText>
          </w:r>
          <w:r>
            <w:rPr>
              <w:rFonts w:ascii="Arial" w:hAnsi="Arial"/>
            </w:rPr>
            <w:fldChar w:fldCharType="separate"/>
          </w:r>
          <w:r>
            <w:rPr>
              <w:rFonts w:ascii="Arial" w:hAnsi="Arial"/>
            </w:rPr>
            <w:t>5</w:t>
          </w:r>
          <w:r>
            <w:rPr>
              <w:rFonts w:ascii="Arial" w:hAnsi="Arial"/>
            </w:rPr>
            <w:fldChar w:fldCharType="end"/>
          </w:r>
          <w:r>
            <w:rPr>
              <w:rFonts w:ascii="Arial" w:hAnsi="Arial"/>
            </w:rPr>
            <w:fldChar w:fldCharType="end"/>
          </w:r>
        </w:p>
        <w:p w14:paraId="603AB82E">
          <w:pPr>
            <w:pStyle w:val="5"/>
            <w:tabs>
              <w:tab w:val="left" w:pos="420"/>
              <w:tab w:val="right" w:leader="dot" w:pos="9628"/>
            </w:tabs>
            <w:rPr>
              <w:rFonts w:ascii="Arial" w:hAnsi="Arial"/>
              <w:kern w:val="2"/>
              <w:sz w:val="21"/>
              <w:szCs w:val="22"/>
            </w:rPr>
          </w:pPr>
          <w:r>
            <w:fldChar w:fldCharType="begin"/>
          </w:r>
          <w:r>
            <w:instrText xml:space="preserve"> HYPERLINK \l "_Toc481741693" </w:instrText>
          </w:r>
          <w:r>
            <w:fldChar w:fldCharType="separate"/>
          </w:r>
          <w:r>
            <w:rPr>
              <w:rStyle w:val="8"/>
              <w:rFonts w:ascii="Arial" w:hAnsi="Arial"/>
              <w:b/>
            </w:rPr>
            <w:t>5.</w:t>
          </w:r>
          <w:r>
            <w:rPr>
              <w:rFonts w:ascii="Arial" w:hAnsi="Arial"/>
              <w:kern w:val="2"/>
              <w:sz w:val="21"/>
              <w:szCs w:val="22"/>
            </w:rPr>
            <w:tab/>
          </w:r>
          <w:r>
            <w:rPr>
              <w:rStyle w:val="8"/>
              <w:rFonts w:ascii="Arial" w:hAnsi="Arial"/>
              <w:b/>
            </w:rPr>
            <w:t>器械设计</w:t>
          </w:r>
          <w:r>
            <w:rPr>
              <w:rFonts w:ascii="Arial" w:hAnsi="Arial"/>
            </w:rPr>
            <w:tab/>
          </w:r>
          <w:r>
            <w:rPr>
              <w:rFonts w:ascii="Arial" w:hAnsi="Arial"/>
            </w:rPr>
            <w:fldChar w:fldCharType="begin"/>
          </w:r>
          <w:r>
            <w:rPr>
              <w:rFonts w:ascii="Arial" w:hAnsi="Arial"/>
            </w:rPr>
            <w:instrText xml:space="preserve"> PAGEREF _Toc481741693 \h </w:instrText>
          </w:r>
          <w:r>
            <w:rPr>
              <w:rFonts w:ascii="Arial" w:hAnsi="Arial"/>
            </w:rPr>
            <w:fldChar w:fldCharType="separate"/>
          </w:r>
          <w:r>
            <w:rPr>
              <w:rFonts w:ascii="Arial" w:hAnsi="Arial"/>
            </w:rPr>
            <w:t>6</w:t>
          </w:r>
          <w:r>
            <w:rPr>
              <w:rFonts w:ascii="Arial" w:hAnsi="Arial"/>
            </w:rPr>
            <w:fldChar w:fldCharType="end"/>
          </w:r>
          <w:r>
            <w:rPr>
              <w:rFonts w:ascii="Arial" w:hAnsi="Arial"/>
            </w:rPr>
            <w:fldChar w:fldCharType="end"/>
          </w:r>
        </w:p>
        <w:p w14:paraId="6D370303">
          <w:pPr>
            <w:pStyle w:val="5"/>
            <w:tabs>
              <w:tab w:val="left" w:pos="420"/>
              <w:tab w:val="right" w:leader="dot" w:pos="9628"/>
            </w:tabs>
            <w:rPr>
              <w:rFonts w:ascii="Arial" w:hAnsi="Arial"/>
              <w:kern w:val="2"/>
              <w:sz w:val="21"/>
              <w:szCs w:val="22"/>
            </w:rPr>
          </w:pPr>
          <w:r>
            <w:fldChar w:fldCharType="begin"/>
          </w:r>
          <w:r>
            <w:instrText xml:space="preserve"> HYPERLINK \l "_Toc481741694" </w:instrText>
          </w:r>
          <w:r>
            <w:fldChar w:fldCharType="separate"/>
          </w:r>
          <w:r>
            <w:rPr>
              <w:rStyle w:val="8"/>
              <w:rFonts w:ascii="Arial" w:hAnsi="Arial"/>
              <w:b/>
            </w:rPr>
            <w:t>6.</w:t>
          </w:r>
          <w:r>
            <w:rPr>
              <w:rFonts w:ascii="Arial" w:hAnsi="Arial"/>
              <w:kern w:val="2"/>
              <w:sz w:val="21"/>
              <w:szCs w:val="22"/>
            </w:rPr>
            <w:tab/>
          </w:r>
          <w:r>
            <w:rPr>
              <w:rStyle w:val="8"/>
              <w:rFonts w:ascii="Arial" w:hAnsi="Arial"/>
              <w:b/>
            </w:rPr>
            <w:t>器械说明</w:t>
          </w:r>
          <w:r>
            <w:rPr>
              <w:rFonts w:ascii="Arial" w:hAnsi="Arial"/>
            </w:rPr>
            <w:tab/>
          </w:r>
          <w:r>
            <w:rPr>
              <w:rFonts w:ascii="Arial" w:hAnsi="Arial"/>
            </w:rPr>
            <w:fldChar w:fldCharType="begin"/>
          </w:r>
          <w:r>
            <w:rPr>
              <w:rFonts w:ascii="Arial" w:hAnsi="Arial"/>
            </w:rPr>
            <w:instrText xml:space="preserve"> PAGEREF _Toc481741694 \h </w:instrText>
          </w:r>
          <w:r>
            <w:rPr>
              <w:rFonts w:ascii="Arial" w:hAnsi="Arial"/>
            </w:rPr>
            <w:fldChar w:fldCharType="separate"/>
          </w:r>
          <w:r>
            <w:rPr>
              <w:rFonts w:ascii="Arial" w:hAnsi="Arial"/>
            </w:rPr>
            <w:t>7</w:t>
          </w:r>
          <w:r>
            <w:rPr>
              <w:rFonts w:ascii="Arial" w:hAnsi="Arial"/>
            </w:rPr>
            <w:fldChar w:fldCharType="end"/>
          </w:r>
          <w:r>
            <w:rPr>
              <w:rFonts w:ascii="Arial" w:hAnsi="Arial"/>
            </w:rPr>
            <w:fldChar w:fldCharType="end"/>
          </w:r>
        </w:p>
        <w:p w14:paraId="6BA94940">
          <w:pPr>
            <w:pStyle w:val="5"/>
            <w:tabs>
              <w:tab w:val="left" w:pos="420"/>
              <w:tab w:val="right" w:leader="dot" w:pos="9628"/>
            </w:tabs>
            <w:rPr>
              <w:rFonts w:ascii="Arial" w:hAnsi="Arial"/>
              <w:kern w:val="2"/>
              <w:sz w:val="21"/>
              <w:szCs w:val="22"/>
            </w:rPr>
          </w:pPr>
          <w:r>
            <w:fldChar w:fldCharType="begin"/>
          </w:r>
          <w:r>
            <w:instrText xml:space="preserve"> HYPERLINK \l "_Toc481741695" </w:instrText>
          </w:r>
          <w:r>
            <w:fldChar w:fldCharType="separate"/>
          </w:r>
          <w:r>
            <w:rPr>
              <w:rStyle w:val="8"/>
              <w:rFonts w:ascii="Arial" w:hAnsi="Arial"/>
              <w:b/>
            </w:rPr>
            <w:t>7.</w:t>
          </w:r>
          <w:r>
            <w:rPr>
              <w:rFonts w:ascii="Arial" w:hAnsi="Arial"/>
              <w:kern w:val="2"/>
              <w:sz w:val="21"/>
              <w:szCs w:val="22"/>
            </w:rPr>
            <w:tab/>
          </w:r>
          <w:r>
            <w:rPr>
              <w:rStyle w:val="8"/>
              <w:rFonts w:ascii="Arial" w:hAnsi="Arial"/>
              <w:b/>
            </w:rPr>
            <w:t>健康风险</w:t>
          </w:r>
          <w:r>
            <w:rPr>
              <w:rFonts w:ascii="Arial" w:hAnsi="Arial"/>
            </w:rPr>
            <w:tab/>
          </w:r>
          <w:r>
            <w:rPr>
              <w:rFonts w:ascii="Arial" w:hAnsi="Arial"/>
            </w:rPr>
            <w:fldChar w:fldCharType="begin"/>
          </w:r>
          <w:r>
            <w:rPr>
              <w:rFonts w:ascii="Arial" w:hAnsi="Arial"/>
            </w:rPr>
            <w:instrText xml:space="preserve"> PAGEREF _Toc481741695 \h </w:instrText>
          </w:r>
          <w:r>
            <w:rPr>
              <w:rFonts w:ascii="Arial" w:hAnsi="Arial"/>
            </w:rPr>
            <w:fldChar w:fldCharType="separate"/>
          </w:r>
          <w:r>
            <w:rPr>
              <w:rFonts w:ascii="Arial" w:hAnsi="Arial"/>
            </w:rPr>
            <w:t>8</w:t>
          </w:r>
          <w:r>
            <w:rPr>
              <w:rFonts w:ascii="Arial" w:hAnsi="Arial"/>
            </w:rPr>
            <w:fldChar w:fldCharType="end"/>
          </w:r>
          <w:r>
            <w:rPr>
              <w:rFonts w:ascii="Arial" w:hAnsi="Arial"/>
            </w:rPr>
            <w:fldChar w:fldCharType="end"/>
          </w:r>
        </w:p>
        <w:p w14:paraId="0DF11A79">
          <w:pPr>
            <w:pStyle w:val="5"/>
            <w:tabs>
              <w:tab w:val="left" w:pos="420"/>
              <w:tab w:val="right" w:leader="dot" w:pos="9628"/>
            </w:tabs>
            <w:rPr>
              <w:rFonts w:ascii="Arial" w:hAnsi="Arial"/>
              <w:kern w:val="2"/>
              <w:sz w:val="21"/>
              <w:szCs w:val="22"/>
            </w:rPr>
          </w:pPr>
          <w:r>
            <w:fldChar w:fldCharType="begin"/>
          </w:r>
          <w:r>
            <w:instrText xml:space="preserve"> HYPERLINK \l "_Toc481741696" </w:instrText>
          </w:r>
          <w:r>
            <w:fldChar w:fldCharType="separate"/>
          </w:r>
          <w:r>
            <w:rPr>
              <w:rStyle w:val="8"/>
              <w:rFonts w:ascii="Arial" w:hAnsi="Arial"/>
              <w:b/>
            </w:rPr>
            <w:t>8.</w:t>
          </w:r>
          <w:r>
            <w:rPr>
              <w:rFonts w:ascii="Arial" w:hAnsi="Arial"/>
              <w:kern w:val="2"/>
              <w:sz w:val="21"/>
              <w:szCs w:val="22"/>
            </w:rPr>
            <w:tab/>
          </w:r>
          <w:r>
            <w:rPr>
              <w:rStyle w:val="8"/>
              <w:rFonts w:ascii="Arial" w:hAnsi="Arial"/>
              <w:b/>
            </w:rPr>
            <w:t>台架测试</w:t>
          </w:r>
          <w:r>
            <w:rPr>
              <w:rFonts w:ascii="Arial" w:hAnsi="Arial"/>
            </w:rPr>
            <w:tab/>
          </w:r>
          <w:r>
            <w:rPr>
              <w:rFonts w:ascii="Arial" w:hAnsi="Arial"/>
            </w:rPr>
            <w:fldChar w:fldCharType="begin"/>
          </w:r>
          <w:r>
            <w:rPr>
              <w:rFonts w:ascii="Arial" w:hAnsi="Arial"/>
            </w:rPr>
            <w:instrText xml:space="preserve"> PAGEREF _Toc481741696 \h </w:instrText>
          </w:r>
          <w:r>
            <w:rPr>
              <w:rFonts w:ascii="Arial" w:hAnsi="Arial"/>
            </w:rPr>
            <w:fldChar w:fldCharType="separate"/>
          </w:r>
          <w:r>
            <w:rPr>
              <w:rFonts w:ascii="Arial" w:hAnsi="Arial"/>
            </w:rPr>
            <w:t>9</w:t>
          </w:r>
          <w:r>
            <w:rPr>
              <w:rFonts w:ascii="Arial" w:hAnsi="Arial"/>
            </w:rPr>
            <w:fldChar w:fldCharType="end"/>
          </w:r>
          <w:r>
            <w:rPr>
              <w:rFonts w:ascii="Arial" w:hAnsi="Arial"/>
            </w:rPr>
            <w:fldChar w:fldCharType="end"/>
          </w:r>
        </w:p>
        <w:p w14:paraId="6342E845">
          <w:pPr>
            <w:pStyle w:val="5"/>
            <w:tabs>
              <w:tab w:val="left" w:pos="420"/>
              <w:tab w:val="right" w:leader="dot" w:pos="9628"/>
            </w:tabs>
            <w:rPr>
              <w:rFonts w:ascii="Arial" w:hAnsi="Arial"/>
              <w:kern w:val="2"/>
              <w:sz w:val="21"/>
              <w:szCs w:val="22"/>
            </w:rPr>
          </w:pPr>
          <w:r>
            <w:fldChar w:fldCharType="begin"/>
          </w:r>
          <w:r>
            <w:instrText xml:space="preserve"> HYPERLINK \l "_Toc481741697" </w:instrText>
          </w:r>
          <w:r>
            <w:fldChar w:fldCharType="separate"/>
          </w:r>
          <w:r>
            <w:rPr>
              <w:rStyle w:val="8"/>
              <w:rFonts w:ascii="Arial" w:hAnsi="Arial"/>
              <w:b/>
            </w:rPr>
            <w:t>9.</w:t>
          </w:r>
          <w:r>
            <w:rPr>
              <w:rFonts w:ascii="Arial" w:hAnsi="Arial"/>
              <w:kern w:val="2"/>
              <w:sz w:val="21"/>
              <w:szCs w:val="22"/>
            </w:rPr>
            <w:tab/>
          </w:r>
          <w:r>
            <w:rPr>
              <w:rStyle w:val="8"/>
              <w:rFonts w:ascii="Arial" w:hAnsi="Arial"/>
              <w:b/>
            </w:rPr>
            <w:t>微生物入侵测试</w:t>
          </w:r>
          <w:r>
            <w:rPr>
              <w:rFonts w:ascii="Arial" w:hAnsi="Arial"/>
            </w:rPr>
            <w:tab/>
          </w:r>
          <w:r>
            <w:rPr>
              <w:rFonts w:ascii="Arial" w:hAnsi="Arial"/>
            </w:rPr>
            <w:fldChar w:fldCharType="begin"/>
          </w:r>
          <w:r>
            <w:rPr>
              <w:rFonts w:ascii="Arial" w:hAnsi="Arial"/>
            </w:rPr>
            <w:instrText xml:space="preserve"> PAGEREF _Toc481741697 \h </w:instrText>
          </w:r>
          <w:r>
            <w:rPr>
              <w:rFonts w:ascii="Arial" w:hAnsi="Arial"/>
            </w:rPr>
            <w:fldChar w:fldCharType="separate"/>
          </w:r>
          <w:r>
            <w:rPr>
              <w:rFonts w:ascii="Arial" w:hAnsi="Arial"/>
            </w:rPr>
            <w:t>10</w:t>
          </w:r>
          <w:r>
            <w:rPr>
              <w:rFonts w:ascii="Arial" w:hAnsi="Arial"/>
            </w:rPr>
            <w:fldChar w:fldCharType="end"/>
          </w:r>
          <w:r>
            <w:rPr>
              <w:rFonts w:ascii="Arial" w:hAnsi="Arial"/>
            </w:rPr>
            <w:fldChar w:fldCharType="end"/>
          </w:r>
        </w:p>
        <w:p w14:paraId="2D15164E">
          <w:pPr>
            <w:pStyle w:val="5"/>
            <w:tabs>
              <w:tab w:val="left" w:pos="630"/>
              <w:tab w:val="right" w:leader="dot" w:pos="9628"/>
            </w:tabs>
            <w:rPr>
              <w:rFonts w:ascii="Arial" w:hAnsi="Arial"/>
              <w:kern w:val="2"/>
              <w:sz w:val="21"/>
              <w:szCs w:val="22"/>
            </w:rPr>
          </w:pPr>
          <w:r>
            <w:fldChar w:fldCharType="begin"/>
          </w:r>
          <w:r>
            <w:instrText xml:space="preserve"> HYPERLINK \l "_Toc481741698" </w:instrText>
          </w:r>
          <w:r>
            <w:fldChar w:fldCharType="separate"/>
          </w:r>
          <w:r>
            <w:rPr>
              <w:rStyle w:val="8"/>
              <w:rFonts w:ascii="Arial" w:hAnsi="Arial"/>
              <w:b/>
            </w:rPr>
            <w:t>10.</w:t>
          </w:r>
          <w:r>
            <w:rPr>
              <w:rFonts w:ascii="Arial" w:hAnsi="Arial"/>
              <w:kern w:val="2"/>
              <w:sz w:val="21"/>
              <w:szCs w:val="22"/>
            </w:rPr>
            <w:tab/>
          </w:r>
          <w:r>
            <w:rPr>
              <w:rStyle w:val="8"/>
              <w:rFonts w:ascii="Arial" w:hAnsi="Arial"/>
              <w:b/>
            </w:rPr>
            <w:t>模拟临床应用测试</w:t>
          </w:r>
          <w:r>
            <w:rPr>
              <w:rFonts w:ascii="Arial" w:hAnsi="Arial"/>
            </w:rPr>
            <w:tab/>
          </w:r>
          <w:r>
            <w:rPr>
              <w:rFonts w:ascii="Arial" w:hAnsi="Arial"/>
            </w:rPr>
            <w:fldChar w:fldCharType="begin"/>
          </w:r>
          <w:r>
            <w:rPr>
              <w:rFonts w:ascii="Arial" w:hAnsi="Arial"/>
            </w:rPr>
            <w:instrText xml:space="preserve"> PAGEREF _Toc481741698 \h </w:instrText>
          </w:r>
          <w:r>
            <w:rPr>
              <w:rFonts w:ascii="Arial" w:hAnsi="Arial"/>
            </w:rPr>
            <w:fldChar w:fldCharType="separate"/>
          </w:r>
          <w:r>
            <w:rPr>
              <w:rFonts w:ascii="Arial" w:hAnsi="Arial"/>
            </w:rPr>
            <w:t>10</w:t>
          </w:r>
          <w:r>
            <w:rPr>
              <w:rFonts w:ascii="Arial" w:hAnsi="Arial"/>
            </w:rPr>
            <w:fldChar w:fldCharType="end"/>
          </w:r>
          <w:r>
            <w:rPr>
              <w:rFonts w:ascii="Arial" w:hAnsi="Arial"/>
            </w:rPr>
            <w:fldChar w:fldCharType="end"/>
          </w:r>
        </w:p>
        <w:p w14:paraId="1C7961DC">
          <w:pPr>
            <w:pStyle w:val="5"/>
            <w:tabs>
              <w:tab w:val="left" w:pos="630"/>
              <w:tab w:val="right" w:leader="dot" w:pos="9628"/>
            </w:tabs>
            <w:rPr>
              <w:rFonts w:ascii="Arial" w:hAnsi="Arial"/>
              <w:kern w:val="2"/>
              <w:sz w:val="21"/>
              <w:szCs w:val="22"/>
            </w:rPr>
          </w:pPr>
          <w:r>
            <w:fldChar w:fldCharType="begin"/>
          </w:r>
          <w:r>
            <w:instrText xml:space="preserve"> HYPERLINK \l "_Toc481741699" </w:instrText>
          </w:r>
          <w:r>
            <w:fldChar w:fldCharType="separate"/>
          </w:r>
          <w:r>
            <w:rPr>
              <w:rStyle w:val="8"/>
              <w:rFonts w:ascii="Arial" w:hAnsi="Arial"/>
              <w:b/>
            </w:rPr>
            <w:t>11.</w:t>
          </w:r>
          <w:r>
            <w:rPr>
              <w:rFonts w:ascii="Arial" w:hAnsi="Arial"/>
              <w:kern w:val="2"/>
              <w:sz w:val="21"/>
              <w:szCs w:val="22"/>
            </w:rPr>
            <w:tab/>
          </w:r>
          <w:r>
            <w:rPr>
              <w:rStyle w:val="8"/>
              <w:rFonts w:ascii="Arial" w:hAnsi="Arial"/>
              <w:b/>
            </w:rPr>
            <w:t>灭菌</w:t>
          </w:r>
          <w:r>
            <w:rPr>
              <w:rFonts w:ascii="Arial" w:hAnsi="Arial"/>
            </w:rPr>
            <w:tab/>
          </w:r>
          <w:r>
            <w:rPr>
              <w:rFonts w:ascii="Arial" w:hAnsi="Arial"/>
            </w:rPr>
            <w:fldChar w:fldCharType="begin"/>
          </w:r>
          <w:r>
            <w:rPr>
              <w:rFonts w:ascii="Arial" w:hAnsi="Arial"/>
            </w:rPr>
            <w:instrText xml:space="preserve"> PAGEREF _Toc481741699 \h </w:instrText>
          </w:r>
          <w:r>
            <w:rPr>
              <w:rFonts w:ascii="Arial" w:hAnsi="Arial"/>
            </w:rPr>
            <w:fldChar w:fldCharType="separate"/>
          </w:r>
          <w:r>
            <w:rPr>
              <w:rFonts w:ascii="Arial" w:hAnsi="Arial"/>
            </w:rPr>
            <w:t>14</w:t>
          </w:r>
          <w:r>
            <w:rPr>
              <w:rFonts w:ascii="Arial" w:hAnsi="Arial"/>
            </w:rPr>
            <w:fldChar w:fldCharType="end"/>
          </w:r>
          <w:r>
            <w:rPr>
              <w:rFonts w:ascii="Arial" w:hAnsi="Arial"/>
            </w:rPr>
            <w:fldChar w:fldCharType="end"/>
          </w:r>
        </w:p>
        <w:p w14:paraId="3E6E0CAF">
          <w:pPr>
            <w:pStyle w:val="5"/>
            <w:tabs>
              <w:tab w:val="left" w:pos="630"/>
              <w:tab w:val="right" w:leader="dot" w:pos="9628"/>
            </w:tabs>
            <w:rPr>
              <w:rFonts w:ascii="Arial" w:hAnsi="Arial"/>
              <w:kern w:val="2"/>
              <w:sz w:val="21"/>
              <w:szCs w:val="22"/>
            </w:rPr>
          </w:pPr>
          <w:r>
            <w:fldChar w:fldCharType="begin"/>
          </w:r>
          <w:r>
            <w:instrText xml:space="preserve"> HYPERLINK \l "_Toc481741700" </w:instrText>
          </w:r>
          <w:r>
            <w:fldChar w:fldCharType="separate"/>
          </w:r>
          <w:r>
            <w:rPr>
              <w:rStyle w:val="8"/>
              <w:rFonts w:ascii="Arial" w:hAnsi="Arial"/>
              <w:b/>
            </w:rPr>
            <w:t>12.</w:t>
          </w:r>
          <w:r>
            <w:rPr>
              <w:rFonts w:ascii="Arial" w:hAnsi="Arial"/>
              <w:kern w:val="2"/>
              <w:sz w:val="21"/>
              <w:szCs w:val="22"/>
            </w:rPr>
            <w:tab/>
          </w:r>
          <w:r>
            <w:rPr>
              <w:rStyle w:val="8"/>
              <w:rFonts w:ascii="Arial" w:hAnsi="Arial"/>
              <w:b/>
            </w:rPr>
            <w:t>生物相容性</w:t>
          </w:r>
          <w:r>
            <w:rPr>
              <w:rFonts w:ascii="Arial" w:hAnsi="Arial"/>
            </w:rPr>
            <w:tab/>
          </w:r>
          <w:r>
            <w:rPr>
              <w:rFonts w:ascii="Arial" w:hAnsi="Arial"/>
            </w:rPr>
            <w:fldChar w:fldCharType="begin"/>
          </w:r>
          <w:r>
            <w:rPr>
              <w:rFonts w:ascii="Arial" w:hAnsi="Arial"/>
            </w:rPr>
            <w:instrText xml:space="preserve"> PAGEREF _Toc481741700 \h </w:instrText>
          </w:r>
          <w:r>
            <w:rPr>
              <w:rFonts w:ascii="Arial" w:hAnsi="Arial"/>
            </w:rPr>
            <w:fldChar w:fldCharType="separate"/>
          </w:r>
          <w:r>
            <w:rPr>
              <w:rFonts w:ascii="Arial" w:hAnsi="Arial"/>
            </w:rPr>
            <w:t>14</w:t>
          </w:r>
          <w:r>
            <w:rPr>
              <w:rFonts w:ascii="Arial" w:hAnsi="Arial"/>
            </w:rPr>
            <w:fldChar w:fldCharType="end"/>
          </w:r>
          <w:r>
            <w:rPr>
              <w:rFonts w:ascii="Arial" w:hAnsi="Arial"/>
            </w:rPr>
            <w:fldChar w:fldCharType="end"/>
          </w:r>
        </w:p>
        <w:p w14:paraId="0BDC633D">
          <w:pPr>
            <w:pStyle w:val="5"/>
            <w:tabs>
              <w:tab w:val="left" w:pos="630"/>
              <w:tab w:val="right" w:leader="dot" w:pos="9628"/>
            </w:tabs>
            <w:rPr>
              <w:rFonts w:ascii="Arial" w:hAnsi="Arial"/>
              <w:kern w:val="2"/>
              <w:sz w:val="21"/>
              <w:szCs w:val="22"/>
            </w:rPr>
          </w:pPr>
          <w:r>
            <w:fldChar w:fldCharType="begin"/>
          </w:r>
          <w:r>
            <w:instrText xml:space="preserve"> HYPERLINK \l "_Toc481741701" </w:instrText>
          </w:r>
          <w:r>
            <w:fldChar w:fldCharType="separate"/>
          </w:r>
          <w:r>
            <w:rPr>
              <w:rStyle w:val="8"/>
              <w:rFonts w:ascii="Arial" w:hAnsi="Arial"/>
              <w:b/>
            </w:rPr>
            <w:t>13.</w:t>
          </w:r>
          <w:r>
            <w:rPr>
              <w:rFonts w:ascii="Arial" w:hAnsi="Arial"/>
              <w:kern w:val="2"/>
              <w:sz w:val="21"/>
              <w:szCs w:val="22"/>
            </w:rPr>
            <w:tab/>
          </w:r>
          <w:r>
            <w:rPr>
              <w:rStyle w:val="8"/>
              <w:rFonts w:ascii="Arial" w:hAnsi="Arial"/>
              <w:b/>
            </w:rPr>
            <w:t>标签</w:t>
          </w:r>
          <w:r>
            <w:rPr>
              <w:rFonts w:ascii="Arial" w:hAnsi="Arial"/>
            </w:rPr>
            <w:tab/>
          </w:r>
          <w:r>
            <w:rPr>
              <w:rFonts w:ascii="Arial" w:hAnsi="Arial"/>
            </w:rPr>
            <w:fldChar w:fldCharType="begin"/>
          </w:r>
          <w:r>
            <w:rPr>
              <w:rFonts w:ascii="Arial" w:hAnsi="Arial"/>
            </w:rPr>
            <w:instrText xml:space="preserve"> PAGEREF _Toc481741701 \h </w:instrText>
          </w:r>
          <w:r>
            <w:rPr>
              <w:rFonts w:ascii="Arial" w:hAnsi="Arial"/>
            </w:rPr>
            <w:fldChar w:fldCharType="separate"/>
          </w:r>
          <w:r>
            <w:rPr>
              <w:rFonts w:ascii="Arial" w:hAnsi="Arial"/>
            </w:rPr>
            <w:t>15</w:t>
          </w:r>
          <w:r>
            <w:rPr>
              <w:rFonts w:ascii="Arial" w:hAnsi="Arial"/>
            </w:rPr>
            <w:fldChar w:fldCharType="end"/>
          </w:r>
          <w:r>
            <w:rPr>
              <w:rFonts w:ascii="Arial" w:hAnsi="Arial"/>
            </w:rPr>
            <w:fldChar w:fldCharType="end"/>
          </w:r>
        </w:p>
        <w:p w14:paraId="19B362DC">
          <w:pPr>
            <w:pStyle w:val="5"/>
            <w:tabs>
              <w:tab w:val="right" w:leader="dot" w:pos="9628"/>
            </w:tabs>
            <w:rPr>
              <w:rFonts w:ascii="Arial" w:hAnsi="Arial"/>
              <w:kern w:val="2"/>
              <w:sz w:val="21"/>
              <w:szCs w:val="22"/>
            </w:rPr>
          </w:pPr>
          <w:r>
            <w:fldChar w:fldCharType="begin"/>
          </w:r>
          <w:r>
            <w:instrText xml:space="preserve"> HYPERLINK \l "_Toc481741702" </w:instrText>
          </w:r>
          <w:r>
            <w:fldChar w:fldCharType="separate"/>
          </w:r>
          <w:r>
            <w:rPr>
              <w:rStyle w:val="8"/>
              <w:rFonts w:ascii="Arial" w:hAnsi="Arial"/>
              <w:b/>
            </w:rPr>
            <w:t>附录 I. 缩写</w:t>
          </w:r>
          <w:r>
            <w:rPr>
              <w:rFonts w:ascii="Arial" w:hAnsi="Arial"/>
            </w:rPr>
            <w:tab/>
          </w:r>
          <w:r>
            <w:rPr>
              <w:rFonts w:ascii="Arial" w:hAnsi="Arial"/>
            </w:rPr>
            <w:fldChar w:fldCharType="begin"/>
          </w:r>
          <w:r>
            <w:rPr>
              <w:rFonts w:ascii="Arial" w:hAnsi="Arial"/>
            </w:rPr>
            <w:instrText xml:space="preserve"> PAGEREF _Toc481741702 \h </w:instrText>
          </w:r>
          <w:r>
            <w:rPr>
              <w:rFonts w:ascii="Arial" w:hAnsi="Arial"/>
            </w:rPr>
            <w:fldChar w:fldCharType="separate"/>
          </w:r>
          <w:r>
            <w:rPr>
              <w:rFonts w:ascii="Arial" w:hAnsi="Arial"/>
            </w:rPr>
            <w:t>17</w:t>
          </w:r>
          <w:r>
            <w:rPr>
              <w:rFonts w:ascii="Arial" w:hAnsi="Arial"/>
            </w:rPr>
            <w:fldChar w:fldCharType="end"/>
          </w:r>
          <w:r>
            <w:rPr>
              <w:rFonts w:ascii="Arial" w:hAnsi="Arial"/>
            </w:rPr>
            <w:fldChar w:fldCharType="end"/>
          </w:r>
        </w:p>
        <w:p w14:paraId="40FE87AE">
          <w:r>
            <w:rPr>
              <w:rFonts w:ascii="Arial" w:hAnsi="Arial"/>
              <w:b/>
              <w:bCs/>
              <w:lang w:val="zh-CN"/>
            </w:rPr>
            <w:fldChar w:fldCharType="end"/>
          </w:r>
        </w:p>
      </w:sdtContent>
    </w:sdt>
    <w:p w14:paraId="75E6ADB1">
      <w:pPr>
        <w:snapToGrid w:val="0"/>
        <w:spacing w:line="300" w:lineRule="auto"/>
        <w:jc w:val="both"/>
        <w:rPr>
          <w:rFonts w:ascii="Arial" w:hAnsi="Arial"/>
          <w:sz w:val="24"/>
          <w:szCs w:val="24"/>
        </w:rPr>
      </w:pPr>
    </w:p>
    <w:p w14:paraId="3639293E">
      <w:pPr>
        <w:snapToGrid w:val="0"/>
        <w:spacing w:line="300" w:lineRule="auto"/>
        <w:jc w:val="center"/>
        <w:rPr>
          <w:rFonts w:ascii="Arial" w:hAnsi="Arial"/>
          <w:b/>
          <w:sz w:val="59"/>
        </w:rPr>
        <w:sectPr>
          <w:headerReference r:id="rId3" w:type="default"/>
          <w:footerReference r:id="rId4" w:type="default"/>
          <w:pgSz w:w="11906" w:h="16838"/>
          <w:pgMar w:top="1134" w:right="1134" w:bottom="1134" w:left="1134" w:header="851" w:footer="992" w:gutter="0"/>
          <w:cols w:space="425" w:num="1"/>
          <w:docGrid w:type="lines" w:linePitch="312" w:charSpace="0"/>
        </w:sectPr>
      </w:pPr>
    </w:p>
    <w:p w14:paraId="341BBD99">
      <w:pPr>
        <w:snapToGrid w:val="0"/>
        <w:spacing w:line="300" w:lineRule="auto"/>
        <w:jc w:val="center"/>
        <w:rPr>
          <w:rFonts w:ascii="Arial" w:hAnsi="Arial"/>
          <w:b/>
          <w:sz w:val="59"/>
        </w:rPr>
      </w:pPr>
      <w:r>
        <w:rPr>
          <w:rFonts w:ascii="Arial" w:hAnsi="Arial"/>
          <w:b/>
          <w:sz w:val="59"/>
        </w:rPr>
        <w:t>行业和FDA人员指南</w:t>
      </w:r>
    </w:p>
    <w:p w14:paraId="7ACB5EF8">
      <w:pPr>
        <w:snapToGrid w:val="0"/>
        <w:spacing w:line="300" w:lineRule="auto"/>
        <w:jc w:val="center"/>
        <w:rPr>
          <w:rFonts w:ascii="Arial" w:hAnsi="Arial"/>
        </w:rPr>
      </w:pPr>
      <w:r>
        <w:rPr>
          <w:rFonts w:ascii="Arial" w:hAnsi="Arial"/>
          <w:b/>
          <w:sz w:val="48"/>
        </w:rPr>
        <mc:AlternateContent>
          <mc:Choice Requires="wps">
            <w:drawing>
              <wp:anchor distT="0" distB="0" distL="114300" distR="114300" simplePos="0" relativeHeight="251663360" behindDoc="1" locked="0" layoutInCell="0" allowOverlap="1">
                <wp:simplePos x="0" y="0"/>
                <wp:positionH relativeFrom="column">
                  <wp:posOffset>-133350</wp:posOffset>
                </wp:positionH>
                <wp:positionV relativeFrom="paragraph">
                  <wp:posOffset>43180</wp:posOffset>
                </wp:positionV>
                <wp:extent cx="6210300" cy="0"/>
                <wp:effectExtent l="9525" t="5715" r="9525" b="1333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pt;margin-top:3.4pt;height:0pt;width:489pt;z-index:-251653120;mso-width-relative:page;mso-height-relative:page;" filled="f" stroked="t" coordsize="21600,21600" o:allowincell="f" o:gfxdata="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bZ+fu1AAAAAcBAAAP&#10;AAAAAAAAAAEAIAAAACIAAABkcnMvZG93bnJldi54bWxQSwECFAAUAAAACACHTuJAgimhmOMBAACq&#10;AwAADgAAAAAAAAABACAAAAAjAQAAZHJzL2Uyb0RvYy54bWxQSwUGAAAAAAYABgBZAQAAeAUAAAAA&#10;">
                <v:fill on="f" focussize="0,0"/>
                <v:stroke color="#000000" joinstyle="round"/>
                <v:imagedata o:title=""/>
                <o:lock v:ext="edit" aspectratio="f"/>
              </v:line>
            </w:pict>
          </mc:Fallback>
        </mc:AlternateContent>
      </w:r>
    </w:p>
    <w:p w14:paraId="3235B6EC">
      <w:pPr>
        <w:snapToGrid w:val="0"/>
        <w:spacing w:line="300" w:lineRule="auto"/>
        <w:ind w:hanging="1589"/>
        <w:jc w:val="center"/>
        <w:rPr>
          <w:rFonts w:ascii="Arial" w:hAnsi="Arial"/>
          <w:b/>
          <w:sz w:val="48"/>
        </w:rPr>
      </w:pPr>
      <w:r>
        <w:rPr>
          <w:rFonts w:ascii="Arial" w:hAnsi="Arial"/>
          <w:b/>
          <w:sz w:val="48"/>
        </w:rPr>
        <w:t>含有防锐器损伤特性的医疗器械</w:t>
      </w:r>
    </w:p>
    <w:p w14:paraId="28F264FB">
      <w:pPr>
        <w:snapToGrid w:val="0"/>
        <w:spacing w:line="300" w:lineRule="auto"/>
        <w:jc w:val="center"/>
        <w:rPr>
          <w:rFonts w:ascii="Arial" w:hAnsi="Arial"/>
          <w:sz w:val="24"/>
          <w:szCs w:val="24"/>
        </w:rPr>
      </w:pPr>
    </w:p>
    <w:p w14:paraId="7CAC460A">
      <w:pPr>
        <w:pBdr>
          <w:top w:val="single" w:color="auto" w:sz="36" w:space="1"/>
          <w:left w:val="single" w:color="auto" w:sz="36" w:space="4"/>
          <w:bottom w:val="single" w:color="auto" w:sz="36" w:space="1"/>
          <w:right w:val="single" w:color="auto" w:sz="36" w:space="4"/>
        </w:pBdr>
        <w:snapToGrid w:val="0"/>
        <w:spacing w:line="300" w:lineRule="auto"/>
        <w:jc w:val="both"/>
        <w:rPr>
          <w:rFonts w:ascii="Arial" w:hAnsi="Arial"/>
          <w:b/>
          <w:i/>
          <w:sz w:val="24"/>
        </w:rPr>
      </w:pPr>
      <w:r>
        <w:rPr>
          <w:rFonts w:hint="eastAsia" w:ascii="Arial" w:hAnsi="Arial"/>
          <w:b/>
          <w:i/>
          <w:sz w:val="24"/>
        </w:rPr>
        <w:t>本指南代表食品药品监督管理局（FDA）对此主题的最新见解。其不会为任何人创造或赋予任何权利，也不对FDA或公众具有约束力。如果替代方法满足适用的法律、法规或其两者的要求，可以使用替代方法。如果贵公司希望讨论一种替代方法，请联系负责实施本指南的FDA员工。如果贵公司无法确定适当的FDA员工，请拨打本指南标题页上列出的适当的电话号码。</w:t>
      </w:r>
    </w:p>
    <w:p w14:paraId="14A36D9B">
      <w:pPr>
        <w:snapToGrid w:val="0"/>
        <w:spacing w:line="300" w:lineRule="auto"/>
        <w:jc w:val="both"/>
        <w:rPr>
          <w:rFonts w:ascii="Arial" w:hAnsi="Arial"/>
          <w:sz w:val="24"/>
          <w:szCs w:val="24"/>
        </w:rPr>
      </w:pPr>
    </w:p>
    <w:p w14:paraId="5541534D">
      <w:pPr>
        <w:numPr>
          <w:ilvl w:val="0"/>
          <w:numId w:val="1"/>
        </w:numPr>
        <w:tabs>
          <w:tab w:val="left" w:pos="720"/>
        </w:tabs>
        <w:snapToGrid w:val="0"/>
        <w:spacing w:line="300" w:lineRule="auto"/>
        <w:ind w:left="720" w:hanging="720"/>
        <w:jc w:val="both"/>
        <w:outlineLvl w:val="0"/>
        <w:rPr>
          <w:rFonts w:ascii="Arial" w:hAnsi="Arial"/>
          <w:b/>
          <w:sz w:val="36"/>
        </w:rPr>
      </w:pPr>
      <w:bookmarkStart w:id="2" w:name="_Toc481741689"/>
      <w:r>
        <w:rPr>
          <w:rFonts w:ascii="Arial" w:hAnsi="Arial"/>
          <w:b/>
          <w:sz w:val="36"/>
        </w:rPr>
        <w:t>前言</w:t>
      </w:r>
      <w:bookmarkEnd w:id="2"/>
    </w:p>
    <w:p w14:paraId="7EB66586">
      <w:pPr>
        <w:snapToGrid w:val="0"/>
        <w:spacing w:line="300" w:lineRule="auto"/>
        <w:jc w:val="both"/>
        <w:rPr>
          <w:rFonts w:ascii="Arial" w:hAnsi="Arial"/>
        </w:rPr>
      </w:pPr>
    </w:p>
    <w:p w14:paraId="4E56615E">
      <w:pPr>
        <w:snapToGrid w:val="0"/>
        <w:spacing w:line="300" w:lineRule="auto"/>
        <w:jc w:val="both"/>
        <w:rPr>
          <w:rFonts w:ascii="Arial" w:hAnsi="Arial"/>
          <w:sz w:val="21"/>
          <w:szCs w:val="21"/>
        </w:rPr>
      </w:pPr>
      <w:r>
        <w:rPr>
          <w:rFonts w:ascii="Arial" w:hAnsi="Arial"/>
          <w:sz w:val="21"/>
          <w:szCs w:val="21"/>
        </w:rPr>
        <w:t>FDA制定本指导性文件</w:t>
      </w:r>
      <w:r>
        <w:rPr>
          <w:rFonts w:hint="eastAsia" w:ascii="Arial" w:hAnsi="Arial"/>
          <w:sz w:val="21"/>
          <w:szCs w:val="21"/>
        </w:rPr>
        <w:t>的目的是</w:t>
      </w:r>
      <w:r>
        <w:rPr>
          <w:rFonts w:ascii="Arial" w:hAnsi="Arial"/>
          <w:sz w:val="21"/>
          <w:szCs w:val="21"/>
        </w:rPr>
        <w:t>协助行业为含有防锐器损伤特性的（如，防针刺特性）医疗器械准备上市前通告提交</w:t>
      </w:r>
      <w:r>
        <w:rPr>
          <w:rFonts w:hint="eastAsia" w:ascii="Arial" w:hAnsi="Arial"/>
          <w:sz w:val="21"/>
          <w:szCs w:val="21"/>
        </w:rPr>
        <w:t>资料</w:t>
      </w:r>
      <w:r>
        <w:rPr>
          <w:rFonts w:ascii="Arial" w:hAnsi="Arial"/>
          <w:sz w:val="21"/>
          <w:szCs w:val="21"/>
        </w:rPr>
        <w:t xml:space="preserve">。防锐器损伤特性的设计目的旨在保护用户免受锐器损伤。大多数有防锐器损伤特性的医疗器械是血管内（IV）给药装置（21 CFR </w:t>
      </w:r>
      <w:r>
        <w:rPr>
          <w:rFonts w:ascii="Arial" w:hAnsi="Arial"/>
          <w:color w:val="0000FF"/>
          <w:sz w:val="21"/>
          <w:szCs w:val="21"/>
          <w:u w:val="single"/>
        </w:rPr>
        <w:t>880.5440</w:t>
      </w:r>
      <w:r>
        <w:rPr>
          <w:rFonts w:ascii="Arial" w:hAnsi="Arial"/>
          <w:sz w:val="21"/>
          <w:szCs w:val="21"/>
        </w:rPr>
        <w:t xml:space="preserve">）、活塞注射器（21 CFR </w:t>
      </w:r>
      <w:r>
        <w:rPr>
          <w:rFonts w:ascii="Arial" w:hAnsi="Arial"/>
          <w:color w:val="0000FF"/>
          <w:sz w:val="21"/>
          <w:szCs w:val="21"/>
          <w:u w:val="single"/>
        </w:rPr>
        <w:t>880.5860</w:t>
      </w:r>
      <w:r>
        <w:rPr>
          <w:rFonts w:ascii="Arial" w:hAnsi="Arial"/>
          <w:sz w:val="21"/>
          <w:szCs w:val="21"/>
        </w:rPr>
        <w:t xml:space="preserve">）或皮下单腔针（21 CFR </w:t>
      </w:r>
      <w:r>
        <w:rPr>
          <w:rFonts w:ascii="Arial" w:hAnsi="Arial"/>
          <w:color w:val="0000FF"/>
          <w:sz w:val="21"/>
          <w:szCs w:val="21"/>
          <w:u w:val="single"/>
        </w:rPr>
        <w:t>880.5570</w:t>
      </w:r>
      <w:r>
        <w:rPr>
          <w:rFonts w:ascii="Arial" w:hAnsi="Arial"/>
          <w:sz w:val="21"/>
          <w:szCs w:val="21"/>
        </w:rPr>
        <w:t>）。</w:t>
      </w:r>
    </w:p>
    <w:p w14:paraId="2D599E6E">
      <w:pPr>
        <w:snapToGrid w:val="0"/>
        <w:spacing w:line="300" w:lineRule="auto"/>
        <w:jc w:val="both"/>
        <w:rPr>
          <w:rFonts w:ascii="Arial" w:hAnsi="Arial"/>
          <w:sz w:val="21"/>
          <w:szCs w:val="21"/>
        </w:rPr>
      </w:pPr>
    </w:p>
    <w:p w14:paraId="4CCDD0E3">
      <w:pPr>
        <w:snapToGrid w:val="0"/>
        <w:spacing w:line="300" w:lineRule="auto"/>
        <w:jc w:val="both"/>
        <w:rPr>
          <w:rFonts w:ascii="Arial" w:hAnsi="Arial"/>
          <w:sz w:val="21"/>
          <w:szCs w:val="21"/>
        </w:rPr>
      </w:pPr>
      <w:r>
        <w:rPr>
          <w:rFonts w:ascii="Arial" w:hAnsi="Arial"/>
          <w:sz w:val="21"/>
          <w:szCs w:val="21"/>
        </w:rPr>
        <w:t>本指南仅针对防锐器损伤特性。其不提供FDA对器械本身的建议。因此，如下所示，贵公司也应该查阅FDA有关器械的指南（如果有）。</w:t>
      </w:r>
    </w:p>
    <w:p w14:paraId="753C17B9">
      <w:pPr>
        <w:snapToGrid w:val="0"/>
        <w:spacing w:line="300" w:lineRule="auto"/>
        <w:jc w:val="both"/>
        <w:rPr>
          <w:rFonts w:ascii="Arial" w:hAnsi="Arial"/>
          <w:sz w:val="21"/>
          <w:szCs w:val="21"/>
        </w:rPr>
      </w:pPr>
    </w:p>
    <w:p w14:paraId="67ABF80E">
      <w:pPr>
        <w:numPr>
          <w:ilvl w:val="0"/>
          <w:numId w:val="2"/>
        </w:numPr>
        <w:tabs>
          <w:tab w:val="left" w:pos="820"/>
        </w:tabs>
        <w:snapToGrid w:val="0"/>
        <w:spacing w:line="300" w:lineRule="auto"/>
        <w:ind w:left="820" w:hanging="370"/>
        <w:rPr>
          <w:rFonts w:ascii="Arial" w:hAnsi="Arial"/>
          <w:sz w:val="21"/>
          <w:szCs w:val="21"/>
        </w:rPr>
      </w:pPr>
      <w:r>
        <w:rPr>
          <w:rFonts w:ascii="Arial" w:hAnsi="Arial"/>
          <w:sz w:val="21"/>
          <w:szCs w:val="21"/>
        </w:rPr>
        <w:t>皮下单腔针上市前通告510（k）提交资料内容指南，</w:t>
      </w:r>
      <w:r>
        <w:fldChar w:fldCharType="begin"/>
      </w:r>
      <w:r>
        <w:instrText xml:space="preserve"> HYPERLINK "http://www.fda.gov/cdrh/ode/odegr450.html" </w:instrText>
      </w:r>
      <w:r>
        <w:fldChar w:fldCharType="separate"/>
      </w:r>
      <w:r>
        <w:rPr>
          <w:rFonts w:ascii="Arial" w:hAnsi="Arial"/>
          <w:color w:val="0000FF"/>
          <w:sz w:val="21"/>
          <w:szCs w:val="21"/>
          <w:u w:val="single"/>
        </w:rPr>
        <w:t>http://www.fda.gov/cdrh/ode/odegr450.html</w:t>
      </w:r>
      <w:r>
        <w:rPr>
          <w:rFonts w:ascii="Arial" w:hAnsi="Arial"/>
          <w:color w:val="0000FF"/>
          <w:sz w:val="21"/>
          <w:szCs w:val="21"/>
          <w:u w:val="single"/>
        </w:rPr>
        <w:fldChar w:fldCharType="end"/>
      </w:r>
    </w:p>
    <w:p w14:paraId="761E9C5D">
      <w:pPr>
        <w:snapToGrid w:val="0"/>
        <w:spacing w:line="300" w:lineRule="auto"/>
        <w:jc w:val="both"/>
        <w:rPr>
          <w:rFonts w:ascii="Arial" w:hAnsi="Arial"/>
          <w:sz w:val="21"/>
          <w:szCs w:val="21"/>
        </w:rPr>
      </w:pPr>
    </w:p>
    <w:p w14:paraId="31EDFFFC">
      <w:pPr>
        <w:numPr>
          <w:ilvl w:val="0"/>
          <w:numId w:val="2"/>
        </w:numPr>
        <w:tabs>
          <w:tab w:val="left" w:pos="820"/>
        </w:tabs>
        <w:snapToGrid w:val="0"/>
        <w:spacing w:line="300" w:lineRule="auto"/>
        <w:ind w:left="820" w:hanging="370"/>
        <w:jc w:val="both"/>
        <w:rPr>
          <w:rFonts w:ascii="Arial" w:hAnsi="Arial"/>
          <w:sz w:val="21"/>
          <w:szCs w:val="21"/>
        </w:rPr>
      </w:pPr>
      <w:r>
        <w:rPr>
          <w:rFonts w:ascii="Arial" w:hAnsi="Arial"/>
          <w:sz w:val="21"/>
          <w:szCs w:val="21"/>
        </w:rPr>
        <w:t>血管内给药装置上市前通告提交资料[510（K）]内容指南，</w:t>
      </w:r>
    </w:p>
    <w:p w14:paraId="7D4179B2">
      <w:pPr>
        <w:tabs>
          <w:tab w:val="left" w:pos="820"/>
        </w:tabs>
        <w:snapToGrid w:val="0"/>
        <w:spacing w:line="300" w:lineRule="auto"/>
        <w:ind w:firstLine="700" w:firstLineChars="350"/>
        <w:jc w:val="both"/>
        <w:rPr>
          <w:rFonts w:ascii="Arial" w:hAnsi="Arial"/>
          <w:sz w:val="21"/>
          <w:szCs w:val="21"/>
        </w:rPr>
      </w:pPr>
      <w:r>
        <w:fldChar w:fldCharType="begin"/>
      </w:r>
      <w:r>
        <w:instrText xml:space="preserve"> HYPERLINK "http://www.fda.gov/cdrh/ode/guidance/1189.html" </w:instrText>
      </w:r>
      <w:r>
        <w:fldChar w:fldCharType="separate"/>
      </w:r>
      <w:r>
        <w:rPr>
          <w:rStyle w:val="8"/>
          <w:rFonts w:ascii="Arial" w:hAnsi="Arial"/>
          <w:sz w:val="21"/>
          <w:szCs w:val="21"/>
        </w:rPr>
        <w:t>http://www.fda.gov/cdrh/ode/guidance/1189.html</w:t>
      </w:r>
      <w:r>
        <w:rPr>
          <w:rStyle w:val="8"/>
          <w:rFonts w:ascii="Arial" w:hAnsi="Arial"/>
          <w:sz w:val="21"/>
          <w:szCs w:val="21"/>
        </w:rPr>
        <w:fldChar w:fldCharType="end"/>
      </w:r>
    </w:p>
    <w:p w14:paraId="38AF72E6">
      <w:pPr>
        <w:snapToGrid w:val="0"/>
        <w:spacing w:line="300" w:lineRule="auto"/>
        <w:jc w:val="both"/>
        <w:rPr>
          <w:rFonts w:ascii="Arial" w:hAnsi="Arial"/>
          <w:sz w:val="21"/>
          <w:szCs w:val="21"/>
        </w:rPr>
      </w:pPr>
    </w:p>
    <w:p w14:paraId="5564AD7B">
      <w:pPr>
        <w:numPr>
          <w:ilvl w:val="0"/>
          <w:numId w:val="2"/>
        </w:numPr>
        <w:tabs>
          <w:tab w:val="left" w:pos="820"/>
        </w:tabs>
        <w:snapToGrid w:val="0"/>
        <w:spacing w:line="300" w:lineRule="auto"/>
        <w:ind w:left="820" w:hanging="370"/>
        <w:jc w:val="both"/>
        <w:rPr>
          <w:rFonts w:ascii="Arial" w:hAnsi="Arial"/>
          <w:sz w:val="21"/>
          <w:szCs w:val="21"/>
        </w:rPr>
      </w:pPr>
      <w:r>
        <w:rPr>
          <w:rFonts w:ascii="Arial" w:hAnsi="Arial"/>
          <w:sz w:val="21"/>
          <w:szCs w:val="21"/>
        </w:rPr>
        <w:t>活塞注射器上市前通告[510（K）]提交资料内容指南，</w:t>
      </w:r>
    </w:p>
    <w:p w14:paraId="2557F865">
      <w:pPr>
        <w:tabs>
          <w:tab w:val="left" w:pos="820"/>
        </w:tabs>
        <w:snapToGrid w:val="0"/>
        <w:spacing w:line="300" w:lineRule="auto"/>
        <w:ind w:left="820"/>
        <w:jc w:val="both"/>
        <w:rPr>
          <w:rFonts w:ascii="Arial" w:hAnsi="Arial"/>
          <w:sz w:val="21"/>
          <w:szCs w:val="21"/>
        </w:rPr>
      </w:pPr>
      <w:r>
        <w:fldChar w:fldCharType="begin"/>
      </w:r>
      <w:r>
        <w:instrText xml:space="preserve"> HYPERLINK "http://www.fda.gov/cdrh/ode/odegr821.html" </w:instrText>
      </w:r>
      <w:r>
        <w:fldChar w:fldCharType="separate"/>
      </w:r>
      <w:r>
        <w:rPr>
          <w:rStyle w:val="8"/>
          <w:rFonts w:ascii="Arial" w:hAnsi="Arial"/>
          <w:sz w:val="21"/>
          <w:szCs w:val="21"/>
        </w:rPr>
        <w:t>http://www.fda.gov/cdrh/ode/odegr821.html</w:t>
      </w:r>
      <w:r>
        <w:rPr>
          <w:rStyle w:val="8"/>
          <w:rFonts w:ascii="Arial" w:hAnsi="Arial"/>
          <w:sz w:val="21"/>
          <w:szCs w:val="21"/>
        </w:rPr>
        <w:fldChar w:fldCharType="end"/>
      </w:r>
    </w:p>
    <w:p w14:paraId="3DF14FCA">
      <w:pPr>
        <w:snapToGrid w:val="0"/>
        <w:spacing w:line="300" w:lineRule="auto"/>
        <w:jc w:val="both"/>
        <w:rPr>
          <w:rFonts w:ascii="Arial" w:hAnsi="Arial"/>
          <w:sz w:val="21"/>
          <w:szCs w:val="21"/>
        </w:rPr>
      </w:pPr>
    </w:p>
    <w:p w14:paraId="14BCEA45">
      <w:pPr>
        <w:snapToGrid w:val="0"/>
        <w:spacing w:line="300" w:lineRule="auto"/>
        <w:jc w:val="both"/>
        <w:rPr>
          <w:rFonts w:ascii="Arial" w:hAnsi="Arial"/>
          <w:sz w:val="21"/>
          <w:szCs w:val="21"/>
        </w:rPr>
      </w:pPr>
      <w:r>
        <w:rPr>
          <w:rFonts w:ascii="Arial" w:hAnsi="Arial"/>
          <w:sz w:val="21"/>
          <w:szCs w:val="21"/>
        </w:rPr>
        <w:t>一些防锐器损伤特性作为集成元件包含在成品器械内。其他的作为附件单独上市，当用户使用时安装至器械，如单独上市的针头护帽，用户可在使用前安装至活塞注射器上。本指南适用于集成防锐器损伤特性和单独上市的附件。</w:t>
      </w:r>
    </w:p>
    <w:p w14:paraId="2B922FC8">
      <w:pPr>
        <w:snapToGrid w:val="0"/>
        <w:spacing w:line="300" w:lineRule="auto"/>
        <w:jc w:val="both"/>
        <w:rPr>
          <w:rFonts w:ascii="Arial" w:hAnsi="Arial"/>
          <w:sz w:val="21"/>
          <w:szCs w:val="21"/>
        </w:rPr>
      </w:pPr>
      <w:r>
        <w:rPr>
          <w:rFonts w:ascii="Arial" w:hAnsi="Arial"/>
          <w:sz w:val="21"/>
          <w:szCs w:val="21"/>
        </w:rPr>
        <w:br w:type="page"/>
      </w:r>
    </w:p>
    <w:p w14:paraId="3758CF7F">
      <w:pPr>
        <w:snapToGrid w:val="0"/>
        <w:spacing w:line="300" w:lineRule="auto"/>
        <w:jc w:val="both"/>
        <w:rPr>
          <w:rFonts w:ascii="Arial" w:hAnsi="Arial"/>
          <w:b/>
          <w:sz w:val="36"/>
        </w:rPr>
      </w:pPr>
      <w:r>
        <w:rPr>
          <w:rFonts w:ascii="Arial" w:hAnsi="Arial"/>
          <w:b/>
          <w:sz w:val="36"/>
        </w:rPr>
        <w:t>最小负担方法</w:t>
      </w:r>
    </w:p>
    <w:p w14:paraId="044BCB0C">
      <w:pPr>
        <w:snapToGrid w:val="0"/>
        <w:spacing w:line="300" w:lineRule="auto"/>
        <w:jc w:val="both"/>
        <w:rPr>
          <w:rFonts w:ascii="Arial" w:hAnsi="Arial"/>
        </w:rPr>
      </w:pPr>
    </w:p>
    <w:p w14:paraId="534DAC19">
      <w:pPr>
        <w:snapToGrid w:val="0"/>
        <w:spacing w:line="300" w:lineRule="auto"/>
        <w:jc w:val="both"/>
        <w:rPr>
          <w:rFonts w:ascii="Arial" w:hAnsi="Arial"/>
          <w:sz w:val="21"/>
          <w:szCs w:val="21"/>
        </w:rPr>
      </w:pPr>
      <w:r>
        <w:rPr>
          <w:rFonts w:ascii="Arial" w:hAnsi="Arial"/>
          <w:sz w:val="21"/>
          <w:szCs w:val="21"/>
        </w:rPr>
        <w:t>本指导性文件中确定的问题代表我们认为在器械可以上市前应该解决的问题。在制定本指南时，我们仔细考虑了</w:t>
      </w:r>
      <w:r>
        <w:rPr>
          <w:rFonts w:hint="eastAsia" w:ascii="Arial" w:hAnsi="Arial"/>
          <w:sz w:val="21"/>
          <w:szCs w:val="21"/>
        </w:rPr>
        <w:t>机构决策的</w:t>
      </w:r>
      <w:r>
        <w:rPr>
          <w:rFonts w:ascii="Arial" w:hAnsi="Arial"/>
          <w:sz w:val="21"/>
          <w:szCs w:val="21"/>
        </w:rPr>
        <w:t>相关法规标准。我们也考虑到在尝试遵守指南和解决我们确定的问题时可能产生的负担。我们相信我们考虑了最小负担方法来解决本指导性文件中确定的问题。然而，如果贵公司相信</w:t>
      </w:r>
      <w:r>
        <w:rPr>
          <w:rFonts w:hint="eastAsia" w:ascii="Arial" w:hAnsi="Arial"/>
          <w:sz w:val="21"/>
          <w:szCs w:val="21"/>
        </w:rPr>
        <w:t>有更小</w:t>
      </w:r>
      <w:r>
        <w:rPr>
          <w:rFonts w:ascii="Arial" w:hAnsi="Arial"/>
          <w:sz w:val="21"/>
          <w:szCs w:val="21"/>
        </w:rPr>
        <w:t>负担</w:t>
      </w:r>
      <w:r>
        <w:rPr>
          <w:rFonts w:hint="eastAsia" w:ascii="Arial" w:hAnsi="Arial"/>
          <w:sz w:val="21"/>
          <w:szCs w:val="21"/>
        </w:rPr>
        <w:t>的</w:t>
      </w:r>
      <w:r>
        <w:rPr>
          <w:rFonts w:ascii="Arial" w:hAnsi="Arial"/>
          <w:sz w:val="21"/>
          <w:szCs w:val="21"/>
        </w:rPr>
        <w:t>方法可以解决问题，则贵公司应该遵守“</w:t>
      </w:r>
      <w:r>
        <w:rPr>
          <w:rFonts w:hint="eastAsia" w:ascii="Arial" w:hAnsi="Arial"/>
          <w:sz w:val="21"/>
          <w:szCs w:val="21"/>
        </w:rPr>
        <w:t>解决最小负担</w:t>
      </w:r>
      <w:r>
        <w:rPr>
          <w:rFonts w:ascii="Arial" w:hAnsi="Arial"/>
          <w:sz w:val="21"/>
          <w:szCs w:val="21"/>
        </w:rPr>
        <w:t>的建议方法”中所述的程序。可在我们中心的网页查看：</w:t>
      </w:r>
      <w:r>
        <w:fldChar w:fldCharType="begin"/>
      </w:r>
      <w:r>
        <w:instrText xml:space="preserve"> HYPERLINK "http://www.fda.gov/cdrh/modact/leastburdensome.html" </w:instrText>
      </w:r>
      <w:r>
        <w:fldChar w:fldCharType="separate"/>
      </w:r>
      <w:r>
        <w:rPr>
          <w:rFonts w:ascii="Arial" w:hAnsi="Arial"/>
          <w:color w:val="0000FF"/>
          <w:sz w:val="21"/>
          <w:szCs w:val="21"/>
          <w:u w:val="single"/>
        </w:rPr>
        <w:t>http://www.fda.gov/cdrh/modact/leastburdensome.html</w:t>
      </w:r>
      <w:r>
        <w:rPr>
          <w:rFonts w:ascii="Arial" w:hAnsi="Arial"/>
          <w:color w:val="0000FF"/>
          <w:sz w:val="21"/>
          <w:szCs w:val="21"/>
          <w:u w:val="single"/>
        </w:rPr>
        <w:fldChar w:fldCharType="end"/>
      </w:r>
      <w:r>
        <w:rPr>
          <w:rFonts w:ascii="Arial" w:hAnsi="Arial"/>
          <w:sz w:val="21"/>
          <w:szCs w:val="21"/>
        </w:rPr>
        <w:t>。</w:t>
      </w:r>
    </w:p>
    <w:p w14:paraId="1541A4E9">
      <w:pPr>
        <w:snapToGrid w:val="0"/>
        <w:spacing w:line="300" w:lineRule="auto"/>
        <w:ind w:left="360"/>
        <w:jc w:val="both"/>
        <w:rPr>
          <w:rFonts w:ascii="Arial" w:hAnsi="Arial"/>
          <w:color w:val="000000"/>
          <w:sz w:val="21"/>
          <w:szCs w:val="21"/>
        </w:rPr>
      </w:pPr>
    </w:p>
    <w:p w14:paraId="383B96EE">
      <w:pPr>
        <w:snapToGrid w:val="0"/>
        <w:spacing w:line="300" w:lineRule="auto"/>
        <w:jc w:val="both"/>
        <w:rPr>
          <w:rFonts w:ascii="Arial" w:hAnsi="Arial"/>
          <w:sz w:val="21"/>
          <w:szCs w:val="21"/>
        </w:rPr>
      </w:pPr>
    </w:p>
    <w:p w14:paraId="57050EBE">
      <w:pPr>
        <w:snapToGrid w:val="0"/>
        <w:spacing w:line="300" w:lineRule="auto"/>
        <w:jc w:val="both"/>
        <w:rPr>
          <w:rFonts w:ascii="Arial" w:hAnsi="Arial"/>
          <w:sz w:val="21"/>
          <w:szCs w:val="21"/>
        </w:rPr>
      </w:pPr>
      <w:r>
        <w:rPr>
          <w:rFonts w:hint="eastAsia" w:ascii="Arial" w:hAnsi="Arial"/>
          <w:sz w:val="21"/>
          <w:szCs w:val="21"/>
        </w:rPr>
        <w:t>FDA的指导性文件，包括本指南，不构成具有法律强制性的责任。相反，指南表明了本审查机构对某一主题的最新见解，除非引用具体的法规或法律要求，否则只应视为建议。在本审查机构指南中使用词语“应”是指建议或推荐进行某一事项，并非强制要求。</w:t>
      </w:r>
    </w:p>
    <w:p w14:paraId="4FD0D42F">
      <w:pPr>
        <w:snapToGrid w:val="0"/>
        <w:spacing w:line="300" w:lineRule="auto"/>
        <w:jc w:val="both"/>
        <w:rPr>
          <w:rFonts w:ascii="Arial" w:hAnsi="Arial"/>
          <w:sz w:val="21"/>
          <w:szCs w:val="21"/>
        </w:rPr>
      </w:pPr>
    </w:p>
    <w:p w14:paraId="65585568">
      <w:pPr>
        <w:snapToGrid w:val="0"/>
        <w:spacing w:line="300" w:lineRule="auto"/>
        <w:jc w:val="both"/>
        <w:rPr>
          <w:rFonts w:ascii="Arial" w:hAnsi="Arial"/>
        </w:rPr>
      </w:pPr>
    </w:p>
    <w:p w14:paraId="4B4BED20">
      <w:pPr>
        <w:snapToGrid w:val="0"/>
        <w:spacing w:line="300" w:lineRule="auto"/>
        <w:jc w:val="both"/>
        <w:rPr>
          <w:rFonts w:ascii="Arial" w:hAnsi="Arial"/>
        </w:rPr>
      </w:pPr>
    </w:p>
    <w:p w14:paraId="3CDA83DA">
      <w:pPr>
        <w:numPr>
          <w:ilvl w:val="0"/>
          <w:numId w:val="1"/>
        </w:numPr>
        <w:tabs>
          <w:tab w:val="left" w:pos="720"/>
        </w:tabs>
        <w:snapToGrid w:val="0"/>
        <w:spacing w:line="300" w:lineRule="auto"/>
        <w:ind w:left="720" w:hanging="720"/>
        <w:jc w:val="both"/>
        <w:outlineLvl w:val="0"/>
        <w:rPr>
          <w:rFonts w:ascii="Arial" w:hAnsi="Arial"/>
          <w:b/>
          <w:sz w:val="36"/>
        </w:rPr>
      </w:pPr>
      <w:bookmarkStart w:id="3" w:name="_Toc481741690"/>
      <w:r>
        <w:rPr>
          <w:rFonts w:ascii="Arial" w:hAnsi="Arial"/>
          <w:b/>
          <w:sz w:val="36"/>
        </w:rPr>
        <w:t>背景</w:t>
      </w:r>
      <w:bookmarkEnd w:id="3"/>
    </w:p>
    <w:p w14:paraId="44B1148C">
      <w:pPr>
        <w:snapToGrid w:val="0"/>
        <w:spacing w:line="300" w:lineRule="auto"/>
        <w:jc w:val="both"/>
        <w:rPr>
          <w:rFonts w:ascii="Arial" w:hAnsi="Arial"/>
        </w:rPr>
      </w:pPr>
    </w:p>
    <w:p w14:paraId="115C2E18">
      <w:pPr>
        <w:snapToGrid w:val="0"/>
        <w:spacing w:line="300" w:lineRule="auto"/>
        <w:jc w:val="both"/>
        <w:rPr>
          <w:rFonts w:ascii="Arial" w:hAnsi="Arial"/>
          <w:sz w:val="21"/>
          <w:szCs w:val="21"/>
        </w:rPr>
      </w:pPr>
      <w:r>
        <w:rPr>
          <w:rFonts w:ascii="Arial" w:hAnsi="Arial"/>
          <w:sz w:val="21"/>
          <w:szCs w:val="21"/>
        </w:rPr>
        <w:t>预计上市此类器械的制造商应该遵守</w:t>
      </w:r>
      <w:r>
        <w:rPr>
          <w:rFonts w:hint="eastAsia" w:ascii="Arial" w:hAnsi="Arial"/>
          <w:sz w:val="21"/>
          <w:szCs w:val="21"/>
        </w:rPr>
        <w:t>《</w:t>
      </w:r>
      <w:r>
        <w:rPr>
          <w:rFonts w:ascii="Arial" w:hAnsi="Arial"/>
          <w:sz w:val="21"/>
          <w:szCs w:val="21"/>
        </w:rPr>
        <w:t>联邦食品、药品和化妆品法案</w:t>
      </w:r>
      <w:r>
        <w:rPr>
          <w:rFonts w:hint="eastAsia" w:ascii="Arial" w:hAnsi="Arial"/>
          <w:sz w:val="21"/>
          <w:szCs w:val="21"/>
        </w:rPr>
        <w:t>》</w:t>
      </w:r>
      <w:r>
        <w:rPr>
          <w:rFonts w:ascii="Arial" w:hAnsi="Arial"/>
          <w:sz w:val="21"/>
          <w:szCs w:val="21"/>
        </w:rPr>
        <w:t>（下文称法案）的一般</w:t>
      </w:r>
      <w:r>
        <w:rPr>
          <w:rFonts w:hint="eastAsia" w:ascii="Arial" w:hAnsi="Arial"/>
          <w:sz w:val="21"/>
          <w:szCs w:val="21"/>
        </w:rPr>
        <w:t>控制</w:t>
      </w:r>
      <w:r>
        <w:rPr>
          <w:rFonts w:ascii="Arial" w:hAnsi="Arial"/>
          <w:sz w:val="21"/>
          <w:szCs w:val="21"/>
        </w:rPr>
        <w:t>，包括21 CFR 807子部分E中描述的上市前通告要求，在上市器械前从FDA获得实质等同性测定。（另参见21 CFR 807.81 和 807.87）。</w:t>
      </w:r>
    </w:p>
    <w:p w14:paraId="1190FDAF">
      <w:pPr>
        <w:snapToGrid w:val="0"/>
        <w:spacing w:line="300" w:lineRule="auto"/>
        <w:jc w:val="both"/>
        <w:rPr>
          <w:rFonts w:ascii="Arial" w:hAnsi="Arial"/>
          <w:sz w:val="21"/>
          <w:szCs w:val="21"/>
        </w:rPr>
      </w:pPr>
    </w:p>
    <w:p w14:paraId="12CC3D15">
      <w:pPr>
        <w:snapToGrid w:val="0"/>
        <w:spacing w:line="300" w:lineRule="auto"/>
        <w:rPr>
          <w:rFonts w:ascii="Arial" w:hAnsi="Arial"/>
          <w:color w:val="0000FF"/>
          <w:sz w:val="21"/>
          <w:szCs w:val="21"/>
        </w:rPr>
      </w:pPr>
      <w:r>
        <w:rPr>
          <w:rFonts w:ascii="Arial" w:hAnsi="Arial"/>
          <w:sz w:val="21"/>
          <w:szCs w:val="21"/>
        </w:rPr>
        <w:t>本文件补充了关于上市前通告提交的具体内容要求的其他FDA文件。贵公司也应该参见21 CFR 807.87和</w:t>
      </w:r>
      <w:r>
        <w:rPr>
          <w:rFonts w:hint="eastAsia" w:ascii="Arial" w:hAnsi="Arial"/>
          <w:sz w:val="21"/>
          <w:szCs w:val="21"/>
        </w:rPr>
        <w:t>《</w:t>
      </w:r>
      <w:r>
        <w:rPr>
          <w:rFonts w:ascii="Arial" w:hAnsi="Arial"/>
          <w:b/>
          <w:sz w:val="21"/>
          <w:szCs w:val="21"/>
        </w:rPr>
        <w:t>如何准备510（k）提交资料</w:t>
      </w:r>
      <w:r>
        <w:rPr>
          <w:rFonts w:hint="eastAsia" w:ascii="Arial" w:hAnsi="Arial"/>
          <w:sz w:val="21"/>
          <w:szCs w:val="21"/>
        </w:rPr>
        <w:t>》</w:t>
      </w:r>
      <w:r>
        <w:rPr>
          <w:rFonts w:ascii="Arial" w:hAnsi="Arial"/>
          <w:sz w:val="21"/>
          <w:szCs w:val="21"/>
        </w:rPr>
        <w:t>，参见FDA器械建议网址</w:t>
      </w:r>
      <w:r>
        <w:rPr>
          <w:rFonts w:ascii="Arial" w:hAnsi="Arial"/>
          <w:sz w:val="21"/>
          <w:szCs w:val="21"/>
        </w:rPr>
        <w:fldChar w:fldCharType="begin"/>
      </w:r>
      <w:r>
        <w:rPr>
          <w:rFonts w:ascii="Arial" w:hAnsi="Arial"/>
          <w:sz w:val="21"/>
          <w:szCs w:val="21"/>
        </w:rPr>
        <w:instrText xml:space="preserve"> HYPERLINK "http://www.fda.gov/cdrh/devadvice/314.html" </w:instrText>
      </w:r>
      <w:r>
        <w:rPr>
          <w:rFonts w:ascii="Arial" w:hAnsi="Arial"/>
          <w:sz w:val="21"/>
          <w:szCs w:val="21"/>
        </w:rPr>
        <w:fldChar w:fldCharType="separate"/>
      </w:r>
      <w:r>
        <w:rPr>
          <w:rFonts w:ascii="Arial" w:hAnsi="Arial"/>
          <w:color w:val="0000FF"/>
          <w:sz w:val="21"/>
          <w:szCs w:val="21"/>
          <w:u w:val="single"/>
        </w:rPr>
        <w:t>http://www.fda.gov/cdrh/devadvice/314.html</w:t>
      </w:r>
      <w:r>
        <w:rPr>
          <w:rFonts w:ascii="Arial" w:hAnsi="Arial"/>
          <w:sz w:val="21"/>
          <w:szCs w:val="21"/>
        </w:rPr>
        <w:fldChar w:fldCharType="end"/>
      </w:r>
      <w:r>
        <w:rPr>
          <w:rFonts w:ascii="Arial" w:hAnsi="Arial"/>
          <w:color w:val="0000FF"/>
          <w:sz w:val="21"/>
          <w:szCs w:val="21"/>
        </w:rPr>
        <w:t>。</w:t>
      </w:r>
    </w:p>
    <w:p w14:paraId="7E7CB9CD">
      <w:pPr>
        <w:snapToGrid w:val="0"/>
        <w:spacing w:line="300" w:lineRule="auto"/>
        <w:rPr>
          <w:rFonts w:ascii="Arial" w:hAnsi="Arial"/>
          <w:sz w:val="21"/>
          <w:szCs w:val="21"/>
        </w:rPr>
      </w:pPr>
    </w:p>
    <w:p w14:paraId="1B60A843">
      <w:pPr>
        <w:snapToGrid w:val="0"/>
        <w:spacing w:line="300" w:lineRule="auto"/>
        <w:rPr>
          <w:rFonts w:ascii="Arial" w:hAnsi="Arial"/>
          <w:sz w:val="21"/>
          <w:szCs w:val="21"/>
        </w:rPr>
      </w:pPr>
      <w:r>
        <w:rPr>
          <w:rFonts w:ascii="Arial" w:hAnsi="Arial"/>
          <w:sz w:val="21"/>
          <w:szCs w:val="21"/>
        </w:rPr>
        <w:t>按照</w:t>
      </w:r>
      <w:r>
        <w:rPr>
          <w:rFonts w:hint="eastAsia" w:ascii="Arial" w:hAnsi="Arial"/>
          <w:sz w:val="21"/>
          <w:szCs w:val="21"/>
        </w:rPr>
        <w:t>《</w:t>
      </w:r>
      <w:r>
        <w:rPr>
          <w:rFonts w:ascii="Arial" w:hAnsi="Arial"/>
          <w:b/>
          <w:sz w:val="21"/>
          <w:szCs w:val="21"/>
        </w:rPr>
        <w:t>新510（k）范例-证明上市前通告实质等同性的替代方法</w:t>
      </w:r>
      <w:r>
        <w:rPr>
          <w:rFonts w:hint="eastAsia" w:ascii="Arial" w:hAnsi="Arial"/>
          <w:sz w:val="21"/>
          <w:szCs w:val="21"/>
        </w:rPr>
        <w:t>》</w:t>
      </w:r>
      <w:r>
        <w:fldChar w:fldCharType="begin"/>
      </w:r>
      <w:r>
        <w:instrText xml:space="preserve"> HYPERLINK "http://www.fda.gov/cdrh/ode/parad510.html" </w:instrText>
      </w:r>
      <w:r>
        <w:fldChar w:fldCharType="separate"/>
      </w:r>
      <w:r>
        <w:rPr>
          <w:rStyle w:val="8"/>
          <w:rFonts w:ascii="Arial" w:hAnsi="Arial"/>
          <w:sz w:val="21"/>
          <w:szCs w:val="21"/>
        </w:rPr>
        <w:t>http://www.fda.gov/cdrh/ode/parad510.html</w:t>
      </w:r>
      <w:r>
        <w:rPr>
          <w:rStyle w:val="8"/>
          <w:rFonts w:ascii="Arial" w:hAnsi="Arial"/>
          <w:sz w:val="21"/>
          <w:szCs w:val="21"/>
        </w:rPr>
        <w:fldChar w:fldCharType="end"/>
      </w:r>
      <w:r>
        <w:rPr>
          <w:rFonts w:ascii="Arial" w:hAnsi="Arial"/>
          <w:color w:val="0000FF"/>
          <w:sz w:val="21"/>
          <w:szCs w:val="21"/>
          <w:u w:val="single"/>
        </w:rPr>
        <w:t>，</w:t>
      </w:r>
      <w:r>
        <w:rPr>
          <w:rFonts w:ascii="Arial" w:hAnsi="Arial"/>
          <w:sz w:val="21"/>
          <w:szCs w:val="21"/>
        </w:rPr>
        <w:t>制造商可以提交传统510（k）或可以选择提交简化510（k）或特殊510（k）。FDA认为简化510（k）是证明新器械实质等同性的最合理方法，特别是当FDA已经发行了解决该器械的指导性文件时。考虑对已获准许的器械进行某些改进的制造商可以通过提交特殊510（k）减轻监管负担。</w:t>
      </w:r>
    </w:p>
    <w:p w14:paraId="00427AE1">
      <w:pPr>
        <w:snapToGrid w:val="0"/>
        <w:spacing w:line="300" w:lineRule="auto"/>
        <w:jc w:val="both"/>
        <w:rPr>
          <w:rFonts w:ascii="Arial" w:hAnsi="Arial"/>
          <w:sz w:val="21"/>
          <w:szCs w:val="21"/>
        </w:rPr>
      </w:pPr>
      <w:r>
        <w:rPr>
          <w:rFonts w:ascii="Arial" w:hAnsi="Arial"/>
          <w:sz w:val="21"/>
          <w:szCs w:val="21"/>
        </w:rPr>
        <w:br w:type="page"/>
      </w:r>
    </w:p>
    <w:p w14:paraId="4A3B1DE1">
      <w:pPr>
        <w:numPr>
          <w:ilvl w:val="0"/>
          <w:numId w:val="1"/>
        </w:numPr>
        <w:tabs>
          <w:tab w:val="left" w:pos="720"/>
        </w:tabs>
        <w:snapToGrid w:val="0"/>
        <w:spacing w:line="300" w:lineRule="auto"/>
        <w:ind w:left="720" w:hanging="720"/>
        <w:jc w:val="both"/>
        <w:outlineLvl w:val="0"/>
        <w:rPr>
          <w:rFonts w:ascii="Arial" w:hAnsi="Arial"/>
          <w:b/>
          <w:sz w:val="36"/>
        </w:rPr>
      </w:pPr>
      <w:bookmarkStart w:id="4" w:name="_Toc481741691"/>
      <w:r>
        <w:rPr>
          <w:rFonts w:ascii="Arial" w:hAnsi="Arial"/>
          <w:b/>
          <w:sz w:val="36"/>
        </w:rPr>
        <w:t>简化510（k）提交资料的内容和格式</w:t>
      </w:r>
      <w:bookmarkEnd w:id="4"/>
    </w:p>
    <w:p w14:paraId="5173C16A">
      <w:pPr>
        <w:snapToGrid w:val="0"/>
        <w:spacing w:line="300" w:lineRule="auto"/>
        <w:jc w:val="both"/>
        <w:rPr>
          <w:rFonts w:ascii="Arial" w:hAnsi="Arial"/>
        </w:rPr>
      </w:pPr>
    </w:p>
    <w:p w14:paraId="182862BE">
      <w:pPr>
        <w:snapToGrid w:val="0"/>
        <w:spacing w:line="300" w:lineRule="auto"/>
        <w:jc w:val="both"/>
        <w:rPr>
          <w:rFonts w:ascii="Arial" w:hAnsi="Arial"/>
          <w:sz w:val="21"/>
          <w:szCs w:val="21"/>
        </w:rPr>
      </w:pPr>
      <w:r>
        <w:rPr>
          <w:rFonts w:ascii="Arial" w:hAnsi="Arial"/>
          <w:sz w:val="21"/>
          <w:szCs w:val="21"/>
        </w:rPr>
        <w:t>简化510（k）提交资料必须包含21 CFR 807.87中确定的要求要素，包括用于描述器械其预期用途及其使用说明的器械建议标签。在简化510（k）中，FDA可能考虑支持21 CFR 807.87（f） 或 （g）意义内数据的合适的总结报告的内容；因此，我们建议贵公司提供总结报告。报告应该描述在器械研发和测试过程中使用本指导性文件</w:t>
      </w:r>
      <w:r>
        <w:rPr>
          <w:rFonts w:hint="eastAsia" w:ascii="Arial" w:hAnsi="Arial"/>
          <w:sz w:val="21"/>
          <w:szCs w:val="21"/>
        </w:rPr>
        <w:t>的方法</w:t>
      </w:r>
      <w:r>
        <w:rPr>
          <w:rFonts w:ascii="Arial" w:hAnsi="Arial"/>
          <w:sz w:val="21"/>
          <w:szCs w:val="21"/>
        </w:rPr>
        <w:t>，且应该简要描述使用的方法或测试。我们建议贵公司还提供包含测试数据总结或描述应用的为解决本文件中确定的风险的验收标准，以及任何贵公司器械特定的其他风险。本节建议提供符合21 CFR 807.87的 一些要求的信息，以及我们建议贵公司在简化510（k）内包含的一些其他事项。</w:t>
      </w:r>
    </w:p>
    <w:p w14:paraId="2A2014B3">
      <w:pPr>
        <w:snapToGrid w:val="0"/>
        <w:spacing w:line="300" w:lineRule="auto"/>
        <w:jc w:val="both"/>
        <w:rPr>
          <w:rFonts w:ascii="Arial" w:hAnsi="Arial"/>
          <w:sz w:val="21"/>
          <w:szCs w:val="21"/>
        </w:rPr>
      </w:pPr>
    </w:p>
    <w:p w14:paraId="3BD629D1">
      <w:pPr>
        <w:snapToGrid w:val="0"/>
        <w:spacing w:line="300" w:lineRule="auto"/>
        <w:ind w:left="540"/>
        <w:jc w:val="both"/>
        <w:rPr>
          <w:rFonts w:ascii="Arial" w:hAnsi="Arial"/>
          <w:b/>
          <w:sz w:val="24"/>
          <w:szCs w:val="24"/>
        </w:rPr>
      </w:pPr>
      <w:r>
        <w:rPr>
          <w:rFonts w:ascii="Arial" w:hAnsi="Arial"/>
          <w:b/>
          <w:sz w:val="24"/>
          <w:szCs w:val="24"/>
        </w:rPr>
        <w:t>封面</w:t>
      </w:r>
    </w:p>
    <w:p w14:paraId="5E278773">
      <w:pPr>
        <w:snapToGrid w:val="0"/>
        <w:spacing w:line="300" w:lineRule="auto"/>
        <w:jc w:val="both"/>
        <w:rPr>
          <w:rFonts w:ascii="Arial" w:hAnsi="Arial"/>
          <w:sz w:val="21"/>
          <w:szCs w:val="21"/>
        </w:rPr>
      </w:pPr>
    </w:p>
    <w:p w14:paraId="5DE183D2">
      <w:pPr>
        <w:snapToGrid w:val="0"/>
        <w:spacing w:line="300" w:lineRule="auto"/>
        <w:ind w:left="540"/>
        <w:jc w:val="both"/>
        <w:rPr>
          <w:rFonts w:ascii="Arial" w:hAnsi="Arial"/>
          <w:sz w:val="21"/>
          <w:szCs w:val="21"/>
        </w:rPr>
      </w:pPr>
      <w:r>
        <w:rPr>
          <w:rFonts w:ascii="Arial" w:hAnsi="Arial"/>
          <w:sz w:val="21"/>
          <w:szCs w:val="21"/>
        </w:rPr>
        <w:t>封面应该突出显示提交资料为简化510（k）并引用本指导性文件的标题。</w:t>
      </w:r>
    </w:p>
    <w:p w14:paraId="149DEAFD">
      <w:pPr>
        <w:snapToGrid w:val="0"/>
        <w:spacing w:line="300" w:lineRule="auto"/>
        <w:jc w:val="both"/>
        <w:rPr>
          <w:rFonts w:ascii="Arial" w:hAnsi="Arial"/>
          <w:sz w:val="21"/>
          <w:szCs w:val="21"/>
        </w:rPr>
      </w:pPr>
    </w:p>
    <w:p w14:paraId="3FAF21AA">
      <w:pPr>
        <w:snapToGrid w:val="0"/>
        <w:spacing w:line="300" w:lineRule="auto"/>
        <w:ind w:left="540"/>
        <w:jc w:val="both"/>
        <w:rPr>
          <w:rFonts w:ascii="Arial" w:hAnsi="Arial"/>
          <w:b/>
          <w:sz w:val="24"/>
          <w:szCs w:val="24"/>
        </w:rPr>
      </w:pPr>
      <w:r>
        <w:rPr>
          <w:rFonts w:ascii="Arial" w:hAnsi="Arial"/>
          <w:b/>
          <w:sz w:val="24"/>
          <w:szCs w:val="24"/>
        </w:rPr>
        <w:t>建议标签</w:t>
      </w:r>
    </w:p>
    <w:p w14:paraId="3211F6D3">
      <w:pPr>
        <w:snapToGrid w:val="0"/>
        <w:spacing w:line="300" w:lineRule="auto"/>
        <w:jc w:val="both"/>
        <w:rPr>
          <w:rFonts w:ascii="Arial" w:hAnsi="Arial"/>
          <w:sz w:val="21"/>
          <w:szCs w:val="21"/>
        </w:rPr>
      </w:pPr>
    </w:p>
    <w:p w14:paraId="298E41A4">
      <w:pPr>
        <w:snapToGrid w:val="0"/>
        <w:spacing w:line="300" w:lineRule="auto"/>
        <w:ind w:left="540"/>
        <w:jc w:val="both"/>
        <w:rPr>
          <w:rFonts w:ascii="Arial" w:hAnsi="Arial"/>
          <w:sz w:val="21"/>
          <w:szCs w:val="21"/>
        </w:rPr>
      </w:pPr>
      <w:r>
        <w:rPr>
          <w:rFonts w:ascii="Arial" w:hAnsi="Arial"/>
          <w:sz w:val="21"/>
          <w:szCs w:val="21"/>
        </w:rPr>
        <w:t>建议标签应该足以说明器械，其预期用途和使用说明书。（关于我们建议贵公司添加标签的具体信息，请参见第11节。）</w:t>
      </w:r>
    </w:p>
    <w:p w14:paraId="1A7007CC">
      <w:pPr>
        <w:snapToGrid w:val="0"/>
        <w:spacing w:line="300" w:lineRule="auto"/>
        <w:jc w:val="both"/>
        <w:rPr>
          <w:rFonts w:ascii="Arial" w:hAnsi="Arial"/>
          <w:sz w:val="21"/>
          <w:szCs w:val="21"/>
        </w:rPr>
      </w:pPr>
    </w:p>
    <w:p w14:paraId="06322572">
      <w:pPr>
        <w:snapToGrid w:val="0"/>
        <w:spacing w:line="300" w:lineRule="auto"/>
        <w:ind w:left="540"/>
        <w:jc w:val="both"/>
        <w:rPr>
          <w:rFonts w:ascii="Arial" w:hAnsi="Arial"/>
          <w:b/>
          <w:sz w:val="24"/>
          <w:szCs w:val="24"/>
        </w:rPr>
      </w:pPr>
      <w:r>
        <w:rPr>
          <w:rFonts w:ascii="Arial" w:hAnsi="Arial"/>
          <w:b/>
          <w:sz w:val="24"/>
          <w:szCs w:val="24"/>
        </w:rPr>
        <w:t>总结报告</w:t>
      </w:r>
    </w:p>
    <w:p w14:paraId="4407EF07">
      <w:pPr>
        <w:snapToGrid w:val="0"/>
        <w:spacing w:line="300" w:lineRule="auto"/>
        <w:jc w:val="both"/>
        <w:rPr>
          <w:rFonts w:ascii="Arial" w:hAnsi="Arial"/>
          <w:sz w:val="21"/>
          <w:szCs w:val="21"/>
        </w:rPr>
      </w:pPr>
    </w:p>
    <w:p w14:paraId="2D30AB50">
      <w:pPr>
        <w:snapToGrid w:val="0"/>
        <w:spacing w:line="300" w:lineRule="auto"/>
        <w:ind w:left="540"/>
        <w:jc w:val="both"/>
        <w:rPr>
          <w:rFonts w:ascii="Arial" w:hAnsi="Arial"/>
          <w:sz w:val="21"/>
          <w:szCs w:val="21"/>
        </w:rPr>
      </w:pPr>
      <w:r>
        <w:rPr>
          <w:rFonts w:ascii="Arial" w:hAnsi="Arial"/>
          <w:sz w:val="21"/>
          <w:szCs w:val="21"/>
        </w:rPr>
        <w:t>我们建议总结报告包含：</w:t>
      </w:r>
    </w:p>
    <w:p w14:paraId="2743EA0F">
      <w:pPr>
        <w:snapToGrid w:val="0"/>
        <w:spacing w:line="300" w:lineRule="auto"/>
        <w:jc w:val="both"/>
        <w:rPr>
          <w:rFonts w:ascii="Arial" w:hAnsi="Arial"/>
          <w:sz w:val="21"/>
          <w:szCs w:val="21"/>
        </w:rPr>
      </w:pPr>
    </w:p>
    <w:p w14:paraId="67CA2E3E">
      <w:pPr>
        <w:snapToGrid w:val="0"/>
        <w:spacing w:line="300" w:lineRule="auto"/>
        <w:ind w:left="900"/>
        <w:jc w:val="both"/>
        <w:rPr>
          <w:rFonts w:ascii="Arial" w:hAnsi="Arial"/>
          <w:b/>
          <w:sz w:val="21"/>
          <w:szCs w:val="21"/>
        </w:rPr>
      </w:pPr>
      <w:r>
        <w:rPr>
          <w:rFonts w:ascii="Arial" w:hAnsi="Arial"/>
          <w:b/>
          <w:sz w:val="21"/>
          <w:szCs w:val="21"/>
        </w:rPr>
        <w:t>器械说明及其预期用途</w:t>
      </w:r>
    </w:p>
    <w:p w14:paraId="083F4756">
      <w:pPr>
        <w:snapToGrid w:val="0"/>
        <w:spacing w:line="300" w:lineRule="auto"/>
        <w:ind w:left="900"/>
        <w:jc w:val="both"/>
        <w:rPr>
          <w:rFonts w:ascii="Arial" w:hAnsi="Arial"/>
          <w:sz w:val="21"/>
          <w:szCs w:val="21"/>
          <w:vertAlign w:val="superscript"/>
        </w:rPr>
      </w:pPr>
      <w:r>
        <w:rPr>
          <w:rFonts w:ascii="Arial" w:hAnsi="Arial"/>
          <w:sz w:val="21"/>
          <w:szCs w:val="21"/>
        </w:rPr>
        <w:t>我们建议贵公司描述性能规格，并当合适时包含器械的详细标签图纸。（关于我们建议贵公司包含在本指导性文件所列器械类型的器械说明中的具体信息请参见第5节器械说明）。贵公司也应该提交“适应症”附件。</w:t>
      </w:r>
      <w:r>
        <w:fldChar w:fldCharType="begin"/>
      </w:r>
      <w:r>
        <w:instrText xml:space="preserve"> HYPERLINK \l "page6" </w:instrText>
      </w:r>
      <w:r>
        <w:fldChar w:fldCharType="separate"/>
      </w:r>
      <w:r>
        <w:rPr>
          <w:rFonts w:ascii="Arial" w:hAnsi="Arial"/>
          <w:sz w:val="21"/>
          <w:szCs w:val="21"/>
          <w:vertAlign w:val="superscript"/>
        </w:rPr>
        <w:t>1</w:t>
      </w:r>
      <w:r>
        <w:rPr>
          <w:rFonts w:ascii="Arial" w:hAnsi="Arial"/>
          <w:sz w:val="21"/>
          <w:szCs w:val="21"/>
          <w:vertAlign w:val="superscript"/>
        </w:rPr>
        <w:fldChar w:fldCharType="end"/>
      </w:r>
    </w:p>
    <w:p w14:paraId="3EB11ED0">
      <w:pPr>
        <w:snapToGrid w:val="0"/>
        <w:spacing w:line="300" w:lineRule="auto"/>
        <w:jc w:val="both"/>
        <w:rPr>
          <w:rFonts w:ascii="Arial" w:hAnsi="Arial"/>
          <w:sz w:val="24"/>
          <w:szCs w:val="24"/>
        </w:rPr>
      </w:pPr>
    </w:p>
    <w:p w14:paraId="133A658E">
      <w:pPr>
        <w:snapToGrid w:val="0"/>
        <w:spacing w:line="300" w:lineRule="auto"/>
        <w:jc w:val="both"/>
        <w:rPr>
          <w:rFonts w:ascii="Arial" w:hAnsi="Arial"/>
          <w:sz w:val="24"/>
          <w:szCs w:val="24"/>
        </w:rPr>
      </w:pPr>
    </w:p>
    <w:p w14:paraId="2D0B7DED">
      <w:pPr>
        <w:snapToGrid w:val="0"/>
        <w:spacing w:line="300" w:lineRule="auto"/>
        <w:jc w:val="both"/>
        <w:rPr>
          <w:rFonts w:ascii="Arial" w:hAnsi="Arial"/>
          <w:sz w:val="24"/>
          <w:szCs w:val="24"/>
        </w:rPr>
      </w:pPr>
    </w:p>
    <w:p w14:paraId="113E156E">
      <w:pPr>
        <w:snapToGrid w:val="0"/>
        <w:spacing w:line="300" w:lineRule="auto"/>
        <w:jc w:val="both"/>
        <w:rPr>
          <w:rFonts w:ascii="Arial" w:hAnsi="Arial"/>
          <w:sz w:val="24"/>
          <w:szCs w:val="24"/>
        </w:rPr>
      </w:pPr>
    </w:p>
    <w:p w14:paraId="43B2DA3D">
      <w:pPr>
        <w:snapToGrid w:val="0"/>
        <w:spacing w:line="300" w:lineRule="auto"/>
        <w:jc w:val="both"/>
        <w:rPr>
          <w:rFonts w:ascii="Arial" w:hAnsi="Arial"/>
          <w:sz w:val="24"/>
          <w:szCs w:val="24"/>
        </w:rPr>
      </w:pPr>
    </w:p>
    <w:p w14:paraId="58D0FA7A">
      <w:pPr>
        <w:snapToGrid w:val="0"/>
        <w:spacing w:line="300" w:lineRule="auto"/>
        <w:jc w:val="both"/>
        <w:rPr>
          <w:rFonts w:ascii="Arial" w:hAnsi="Arial"/>
          <w:sz w:val="24"/>
          <w:szCs w:val="24"/>
        </w:rPr>
      </w:pPr>
    </w:p>
    <w:p w14:paraId="03420DF9">
      <w:pPr>
        <w:snapToGrid w:val="0"/>
        <w:spacing w:line="300" w:lineRule="auto"/>
        <w:jc w:val="both"/>
        <w:rPr>
          <w:rFonts w:ascii="Arial" w:hAnsi="Arial"/>
          <w:sz w:val="24"/>
          <w:szCs w:val="24"/>
        </w:rPr>
      </w:pPr>
    </w:p>
    <w:p w14:paraId="014B93DC">
      <w:pPr>
        <w:snapToGrid w:val="0"/>
        <w:spacing w:line="300" w:lineRule="auto"/>
        <w:jc w:val="both"/>
        <w:rPr>
          <w:rFonts w:ascii="Arial" w:hAnsi="Arial"/>
        </w:rPr>
      </w:pPr>
    </w:p>
    <w:p w14:paraId="77902D12">
      <w:pPr>
        <w:snapToGrid w:val="0"/>
        <w:spacing w:line="300" w:lineRule="auto"/>
        <w:jc w:val="both"/>
        <w:rPr>
          <w:rFonts w:ascii="Arial" w:hAnsi="Arial"/>
        </w:rPr>
      </w:pPr>
      <w:r>
        <w:rPr>
          <w:rFonts w:ascii="Arial" w:hAnsi="Arial"/>
        </w:rPr>
        <mc:AlternateContent>
          <mc:Choice Requires="wps">
            <w:drawing>
              <wp:anchor distT="0" distB="0" distL="114300" distR="114300" simplePos="0" relativeHeight="251666432" behindDoc="0" locked="0" layoutInCell="1" allowOverlap="1">
                <wp:simplePos x="0" y="0"/>
                <wp:positionH relativeFrom="column">
                  <wp:posOffset>15240</wp:posOffset>
                </wp:positionH>
                <wp:positionV relativeFrom="paragraph">
                  <wp:posOffset>106045</wp:posOffset>
                </wp:positionV>
                <wp:extent cx="1779270" cy="0"/>
                <wp:effectExtent l="0" t="0" r="31115" b="19050"/>
                <wp:wrapNone/>
                <wp:docPr id="9" name="直接连接符 9"/>
                <wp:cNvGraphicFramePr/>
                <a:graphic xmlns:a="http://schemas.openxmlformats.org/drawingml/2006/main">
                  <a:graphicData uri="http://schemas.microsoft.com/office/word/2010/wordprocessingShape">
                    <wps:wsp>
                      <wps:cNvCnPr/>
                      <wps:spPr>
                        <a:xfrm>
                          <a:off x="0" y="0"/>
                          <a:ext cx="17791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pt;margin-top:8.35pt;height:0pt;width:140.1pt;z-index:251666432;mso-width-relative:page;mso-height-relative:page;" filled="f" stroked="t" coordsize="21600,21600" o:gfxdata="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5N9eA0wAAAAcBAAAP&#10;AAAAAAAAAAEAIAAAACIAAABkcnMvZG93bnJldi54bWxQSwECFAAUAAAACACHTuJA62czn+QBAACx&#10;AwAADgAAAAAAAAABACAAAAAiAQAAZHJzL2Uyb0RvYy54bWxQSwUGAAAAAAYABgBZAQAAeAUAAAAA&#10;">
                <v:fill on="f" focussize="0,0"/>
                <v:stroke weight="0.5pt" color="#000000 [3213]" miterlimit="8" joinstyle="miter"/>
                <v:imagedata o:title=""/>
                <o:lock v:ext="edit" aspectratio="f"/>
              </v:line>
            </w:pict>
          </mc:Fallback>
        </mc:AlternateContent>
      </w:r>
    </w:p>
    <w:p w14:paraId="2B604451">
      <w:pPr>
        <w:snapToGrid w:val="0"/>
        <w:spacing w:line="300" w:lineRule="auto"/>
        <w:jc w:val="both"/>
        <w:rPr>
          <w:rFonts w:ascii="Arial" w:hAnsi="Arial"/>
          <w:sz w:val="21"/>
          <w:szCs w:val="21"/>
        </w:rPr>
      </w:pPr>
      <w:r>
        <w:rPr>
          <w:rFonts w:ascii="Arial" w:hAnsi="Arial"/>
          <w:sz w:val="21"/>
          <w:szCs w:val="21"/>
          <w:vertAlign w:val="superscript"/>
        </w:rPr>
        <w:t>1</w:t>
      </w:r>
      <w:r>
        <w:rPr>
          <w:rFonts w:ascii="Arial" w:hAnsi="Arial"/>
          <w:sz w:val="21"/>
          <w:szCs w:val="21"/>
        </w:rPr>
        <w:t xml:space="preserve"> 建议格式参见</w:t>
      </w:r>
      <w:r>
        <w:fldChar w:fldCharType="begin"/>
      </w:r>
      <w:r>
        <w:instrText xml:space="preserve"> HYPERLINK "http://www.fda.gov/cdrh/ode/indicate.html" </w:instrText>
      </w:r>
      <w:r>
        <w:fldChar w:fldCharType="separate"/>
      </w:r>
      <w:r>
        <w:rPr>
          <w:rFonts w:ascii="Arial" w:hAnsi="Arial"/>
          <w:color w:val="0000FF"/>
          <w:sz w:val="21"/>
          <w:szCs w:val="21"/>
          <w:u w:val="single"/>
        </w:rPr>
        <w:t>http://www.fda.gov/cdrh/ode/indicate.html</w:t>
      </w:r>
      <w:r>
        <w:rPr>
          <w:rFonts w:ascii="Arial" w:hAnsi="Arial"/>
          <w:color w:val="0000FF"/>
          <w:sz w:val="21"/>
          <w:szCs w:val="21"/>
          <w:u w:val="single"/>
        </w:rPr>
        <w:fldChar w:fldCharType="end"/>
      </w:r>
      <w:r>
        <w:rPr>
          <w:rFonts w:ascii="Arial" w:hAnsi="Arial"/>
          <w:sz w:val="21"/>
          <w:szCs w:val="21"/>
        </w:rPr>
        <w:t>。</w:t>
      </w:r>
    </w:p>
    <w:p w14:paraId="5696DD51">
      <w:pPr>
        <w:rPr>
          <w:rFonts w:ascii="Arial" w:hAnsi="Arial"/>
          <w:b/>
          <w:sz w:val="24"/>
        </w:rPr>
      </w:pPr>
      <w:r>
        <w:rPr>
          <w:rFonts w:ascii="Arial" w:hAnsi="Arial"/>
          <w:b/>
          <w:sz w:val="24"/>
        </w:rPr>
        <w:br w:type="page"/>
      </w:r>
    </w:p>
    <w:p w14:paraId="78F28534">
      <w:pPr>
        <w:snapToGrid w:val="0"/>
        <w:spacing w:line="300" w:lineRule="auto"/>
        <w:ind w:left="900"/>
        <w:jc w:val="both"/>
        <w:rPr>
          <w:rFonts w:ascii="Arial" w:hAnsi="Arial"/>
          <w:b/>
          <w:sz w:val="21"/>
          <w:szCs w:val="21"/>
        </w:rPr>
      </w:pPr>
      <w:r>
        <w:rPr>
          <w:rFonts w:ascii="Arial" w:hAnsi="Arial"/>
          <w:b/>
          <w:sz w:val="21"/>
          <w:szCs w:val="21"/>
        </w:rPr>
        <w:t>器械设计说明</w:t>
      </w:r>
    </w:p>
    <w:p w14:paraId="6A7C7644">
      <w:pPr>
        <w:snapToGrid w:val="0"/>
        <w:spacing w:line="300" w:lineRule="auto"/>
        <w:jc w:val="both"/>
        <w:rPr>
          <w:rFonts w:ascii="Arial" w:hAnsi="Arial"/>
          <w:sz w:val="21"/>
          <w:szCs w:val="21"/>
        </w:rPr>
      </w:pPr>
    </w:p>
    <w:p w14:paraId="516D36A2">
      <w:pPr>
        <w:snapToGrid w:val="0"/>
        <w:spacing w:line="300" w:lineRule="auto"/>
        <w:ind w:left="900"/>
        <w:jc w:val="both"/>
        <w:rPr>
          <w:rFonts w:ascii="Arial" w:hAnsi="Arial"/>
          <w:sz w:val="21"/>
          <w:szCs w:val="21"/>
        </w:rPr>
      </w:pPr>
      <w:r>
        <w:rPr>
          <w:rFonts w:ascii="Arial" w:hAnsi="Arial"/>
          <w:sz w:val="21"/>
          <w:szCs w:val="21"/>
        </w:rPr>
        <w:t>我们建议简要说明器械设计要求。</w:t>
      </w:r>
    </w:p>
    <w:p w14:paraId="6F407B59">
      <w:pPr>
        <w:snapToGrid w:val="0"/>
        <w:spacing w:line="300" w:lineRule="auto"/>
        <w:jc w:val="both"/>
        <w:rPr>
          <w:rFonts w:ascii="Arial" w:hAnsi="Arial"/>
          <w:sz w:val="21"/>
          <w:szCs w:val="21"/>
        </w:rPr>
      </w:pPr>
    </w:p>
    <w:p w14:paraId="112CC939">
      <w:pPr>
        <w:snapToGrid w:val="0"/>
        <w:spacing w:line="300" w:lineRule="auto"/>
        <w:ind w:left="900"/>
        <w:jc w:val="both"/>
        <w:rPr>
          <w:rFonts w:ascii="Arial" w:hAnsi="Arial"/>
          <w:b/>
          <w:sz w:val="21"/>
          <w:szCs w:val="21"/>
        </w:rPr>
      </w:pPr>
      <w:r>
        <w:rPr>
          <w:rFonts w:ascii="Arial" w:hAnsi="Arial"/>
          <w:b/>
          <w:sz w:val="21"/>
          <w:szCs w:val="21"/>
        </w:rPr>
        <w:t>风险分析方法说明</w:t>
      </w:r>
    </w:p>
    <w:p w14:paraId="43F2DF9C">
      <w:pPr>
        <w:snapToGrid w:val="0"/>
        <w:spacing w:line="300" w:lineRule="auto"/>
        <w:jc w:val="both"/>
        <w:rPr>
          <w:rFonts w:ascii="Arial" w:hAnsi="Arial"/>
          <w:sz w:val="21"/>
          <w:szCs w:val="21"/>
        </w:rPr>
      </w:pPr>
    </w:p>
    <w:p w14:paraId="78F0ABA9">
      <w:pPr>
        <w:snapToGrid w:val="0"/>
        <w:spacing w:line="300" w:lineRule="auto"/>
        <w:ind w:left="900"/>
        <w:jc w:val="both"/>
        <w:rPr>
          <w:rFonts w:ascii="Arial" w:hAnsi="Arial"/>
          <w:sz w:val="21"/>
          <w:szCs w:val="21"/>
        </w:rPr>
      </w:pPr>
      <w:r>
        <w:rPr>
          <w:rFonts w:ascii="Arial" w:hAnsi="Arial"/>
          <w:sz w:val="21"/>
          <w:szCs w:val="21"/>
        </w:rPr>
        <w:t>我们建议大体识别用于评估风险状况的风险分析方法，以及具体器械的设计和该分析的结果。（FDA已经鉴定的通常与该器械使用的相关的对健康的风险请参见第</w:t>
      </w:r>
      <w:r>
        <w:rPr>
          <w:rFonts w:ascii="Arial" w:hAnsi="Arial"/>
          <w:b/>
          <w:sz w:val="21"/>
          <w:szCs w:val="21"/>
        </w:rPr>
        <w:t>6节健康风险</w:t>
      </w:r>
      <w:r>
        <w:rPr>
          <w:rFonts w:ascii="Arial" w:hAnsi="Arial"/>
          <w:sz w:val="21"/>
          <w:szCs w:val="21"/>
        </w:rPr>
        <w:t>。）</w:t>
      </w:r>
    </w:p>
    <w:p w14:paraId="78FDECB4">
      <w:pPr>
        <w:snapToGrid w:val="0"/>
        <w:spacing w:line="300" w:lineRule="auto"/>
        <w:jc w:val="both"/>
        <w:rPr>
          <w:rFonts w:ascii="Arial" w:hAnsi="Arial"/>
          <w:sz w:val="21"/>
          <w:szCs w:val="21"/>
        </w:rPr>
      </w:pPr>
    </w:p>
    <w:p w14:paraId="54889C0B">
      <w:pPr>
        <w:snapToGrid w:val="0"/>
        <w:spacing w:line="300" w:lineRule="auto"/>
        <w:ind w:left="900"/>
        <w:jc w:val="both"/>
        <w:rPr>
          <w:rFonts w:ascii="Arial" w:hAnsi="Arial"/>
          <w:b/>
          <w:sz w:val="21"/>
          <w:szCs w:val="21"/>
        </w:rPr>
      </w:pPr>
      <w:r>
        <w:rPr>
          <w:rFonts w:ascii="Arial" w:hAnsi="Arial"/>
          <w:b/>
          <w:sz w:val="21"/>
          <w:szCs w:val="21"/>
        </w:rPr>
        <w:t>器械特征的讨论</w:t>
      </w:r>
    </w:p>
    <w:p w14:paraId="575DCC32">
      <w:pPr>
        <w:snapToGrid w:val="0"/>
        <w:spacing w:line="300" w:lineRule="auto"/>
        <w:jc w:val="both"/>
        <w:rPr>
          <w:rFonts w:ascii="Arial" w:hAnsi="Arial"/>
          <w:sz w:val="21"/>
          <w:szCs w:val="21"/>
        </w:rPr>
      </w:pPr>
    </w:p>
    <w:p w14:paraId="5769ABA1">
      <w:pPr>
        <w:snapToGrid w:val="0"/>
        <w:spacing w:line="300" w:lineRule="auto"/>
        <w:ind w:left="900"/>
        <w:jc w:val="both"/>
        <w:rPr>
          <w:rFonts w:ascii="Arial" w:hAnsi="Arial"/>
          <w:sz w:val="21"/>
          <w:szCs w:val="21"/>
        </w:rPr>
      </w:pPr>
      <w:r>
        <w:rPr>
          <w:rFonts w:ascii="Arial" w:hAnsi="Arial"/>
          <w:sz w:val="21"/>
          <w:szCs w:val="21"/>
        </w:rPr>
        <w:t>我们建议贵公司讨论解决本指导性文件中确定的风险的器械特征，以及贵公司风险分析中鉴定出的任何其他风险。</w:t>
      </w:r>
    </w:p>
    <w:p w14:paraId="3B702609">
      <w:pPr>
        <w:snapToGrid w:val="0"/>
        <w:spacing w:line="300" w:lineRule="auto"/>
        <w:jc w:val="both"/>
        <w:rPr>
          <w:rFonts w:ascii="Arial" w:hAnsi="Arial"/>
          <w:sz w:val="21"/>
          <w:szCs w:val="21"/>
        </w:rPr>
      </w:pPr>
    </w:p>
    <w:p w14:paraId="2C021544">
      <w:pPr>
        <w:snapToGrid w:val="0"/>
        <w:spacing w:line="300" w:lineRule="auto"/>
        <w:ind w:left="900"/>
        <w:jc w:val="both"/>
        <w:rPr>
          <w:rFonts w:ascii="Arial" w:hAnsi="Arial"/>
          <w:b/>
          <w:sz w:val="21"/>
          <w:szCs w:val="21"/>
        </w:rPr>
      </w:pPr>
      <w:r>
        <w:rPr>
          <w:rFonts w:ascii="Arial" w:hAnsi="Arial"/>
          <w:b/>
          <w:sz w:val="21"/>
          <w:szCs w:val="21"/>
        </w:rPr>
        <w:t>性能方面说明</w:t>
      </w:r>
    </w:p>
    <w:p w14:paraId="093EC0B4">
      <w:pPr>
        <w:snapToGrid w:val="0"/>
        <w:spacing w:line="300" w:lineRule="auto"/>
        <w:jc w:val="both"/>
        <w:rPr>
          <w:rFonts w:ascii="Arial" w:hAnsi="Arial"/>
          <w:sz w:val="21"/>
          <w:szCs w:val="21"/>
        </w:rPr>
      </w:pPr>
    </w:p>
    <w:p w14:paraId="333AF399">
      <w:pPr>
        <w:snapToGrid w:val="0"/>
        <w:spacing w:line="300" w:lineRule="auto"/>
        <w:ind w:left="900"/>
        <w:jc w:val="both"/>
        <w:rPr>
          <w:rFonts w:ascii="Arial" w:hAnsi="Arial"/>
          <w:sz w:val="21"/>
          <w:szCs w:val="21"/>
        </w:rPr>
      </w:pPr>
      <w:r>
        <w:rPr>
          <w:rFonts w:ascii="Arial" w:hAnsi="Arial"/>
          <w:sz w:val="21"/>
          <w:szCs w:val="21"/>
        </w:rPr>
        <w:t>我们建议贵公司简要说明使用的或预计用于解决本指导性文件第</w:t>
      </w:r>
      <w:r>
        <w:rPr>
          <w:rFonts w:ascii="Arial" w:hAnsi="Arial"/>
          <w:b/>
          <w:sz w:val="21"/>
          <w:szCs w:val="21"/>
        </w:rPr>
        <w:t>7-11节</w:t>
      </w:r>
      <w:r>
        <w:rPr>
          <w:rFonts w:ascii="Arial" w:hAnsi="Arial"/>
          <w:sz w:val="21"/>
          <w:szCs w:val="21"/>
        </w:rPr>
        <w:t>确定的每种性能方面的测试方法。如果贵公司遵守建议的测试方法，可以引用该方法而不是描述。如果贵公司修改建议的测试方法，可以引用该方法，但应该提供足够的信息解释修改的性质和理由。对于每项测试，贵公司可以（1） 以明确简明的形式简要说明测试数据，如表格，</w:t>
      </w:r>
      <w:r>
        <w:rPr>
          <w:rFonts w:ascii="Arial" w:hAnsi="Arial"/>
          <w:b/>
          <w:sz w:val="21"/>
          <w:szCs w:val="21"/>
          <w:u w:val="single"/>
        </w:rPr>
        <w:t>或者</w:t>
      </w:r>
      <w:r>
        <w:rPr>
          <w:rFonts w:ascii="Arial" w:hAnsi="Arial"/>
          <w:sz w:val="21"/>
          <w:szCs w:val="21"/>
        </w:rPr>
        <w:t>（2）描述将对贵公司的测试结果应用的验收标准。</w:t>
      </w:r>
      <w:r>
        <w:rPr>
          <w:rFonts w:ascii="Arial" w:hAnsi="Arial"/>
          <w:sz w:val="21"/>
          <w:szCs w:val="21"/>
          <w:vertAlign w:val="superscript"/>
        </w:rPr>
        <w:t>2</w:t>
      </w:r>
      <w:r>
        <w:rPr>
          <w:rFonts w:ascii="Arial" w:hAnsi="Arial"/>
          <w:sz w:val="21"/>
          <w:szCs w:val="21"/>
        </w:rPr>
        <w:t>（另参见21 CFR 820.30 C部分-质量体系规范下的设计控制。）</w:t>
      </w:r>
    </w:p>
    <w:p w14:paraId="2AE65420">
      <w:pPr>
        <w:snapToGrid w:val="0"/>
        <w:spacing w:line="300" w:lineRule="auto"/>
        <w:jc w:val="both"/>
        <w:rPr>
          <w:rFonts w:ascii="Arial" w:hAnsi="Arial"/>
          <w:sz w:val="21"/>
          <w:szCs w:val="21"/>
        </w:rPr>
      </w:pPr>
    </w:p>
    <w:p w14:paraId="7D552B71">
      <w:pPr>
        <w:snapToGrid w:val="0"/>
        <w:spacing w:line="300" w:lineRule="auto"/>
        <w:ind w:left="900"/>
        <w:jc w:val="both"/>
        <w:rPr>
          <w:rFonts w:ascii="Arial" w:hAnsi="Arial"/>
          <w:b/>
          <w:sz w:val="21"/>
          <w:szCs w:val="21"/>
        </w:rPr>
      </w:pPr>
      <w:r>
        <w:rPr>
          <w:rFonts w:ascii="Arial" w:hAnsi="Arial"/>
          <w:b/>
          <w:sz w:val="21"/>
          <w:szCs w:val="21"/>
        </w:rPr>
        <w:t>依赖标准</w:t>
      </w:r>
    </w:p>
    <w:p w14:paraId="33A46E43">
      <w:pPr>
        <w:snapToGrid w:val="0"/>
        <w:spacing w:line="300" w:lineRule="auto"/>
        <w:jc w:val="both"/>
        <w:rPr>
          <w:rFonts w:ascii="Arial" w:hAnsi="Arial"/>
          <w:sz w:val="21"/>
          <w:szCs w:val="21"/>
        </w:rPr>
      </w:pPr>
    </w:p>
    <w:p w14:paraId="5582DD40">
      <w:pPr>
        <w:snapToGrid w:val="0"/>
        <w:spacing w:line="300" w:lineRule="auto"/>
        <w:ind w:left="900"/>
        <w:jc w:val="both"/>
        <w:rPr>
          <w:rFonts w:ascii="Arial" w:hAnsi="Arial"/>
          <w:sz w:val="21"/>
          <w:szCs w:val="21"/>
        </w:rPr>
      </w:pPr>
      <w:r>
        <w:rPr>
          <w:rFonts w:ascii="Arial" w:hAnsi="Arial"/>
          <w:sz w:val="21"/>
          <w:szCs w:val="21"/>
        </w:rPr>
        <w:t>如果贵公司的器械设计或测试的任何部分依赖认可的标准，贵公司则可以包含以下内容：</w:t>
      </w:r>
    </w:p>
    <w:p w14:paraId="68D1ADD6">
      <w:pPr>
        <w:snapToGrid w:val="0"/>
        <w:spacing w:line="300" w:lineRule="auto"/>
        <w:jc w:val="both"/>
        <w:rPr>
          <w:rFonts w:ascii="Arial" w:hAnsi="Arial"/>
          <w:sz w:val="21"/>
          <w:szCs w:val="21"/>
        </w:rPr>
      </w:pPr>
    </w:p>
    <w:p w14:paraId="09417B73">
      <w:pPr>
        <w:numPr>
          <w:ilvl w:val="0"/>
          <w:numId w:val="3"/>
        </w:numPr>
        <w:tabs>
          <w:tab w:val="left" w:pos="1680"/>
        </w:tabs>
        <w:snapToGrid w:val="0"/>
        <w:spacing w:line="300" w:lineRule="auto"/>
        <w:ind w:left="1680" w:hanging="360"/>
        <w:jc w:val="both"/>
        <w:rPr>
          <w:rFonts w:ascii="Arial" w:hAnsi="Arial"/>
          <w:sz w:val="21"/>
          <w:szCs w:val="21"/>
        </w:rPr>
      </w:pPr>
      <w:r>
        <w:rPr>
          <w:rFonts w:ascii="Arial" w:hAnsi="Arial"/>
          <w:sz w:val="21"/>
          <w:szCs w:val="21"/>
        </w:rPr>
        <w:t>将在器械上市前进行测试，并符合指定验收标准的声明，或</w:t>
      </w:r>
    </w:p>
    <w:p w14:paraId="43860A5F">
      <w:pPr>
        <w:snapToGrid w:val="0"/>
        <w:spacing w:line="300" w:lineRule="auto"/>
        <w:jc w:val="both"/>
        <w:rPr>
          <w:rFonts w:ascii="Arial" w:hAnsi="Arial"/>
          <w:sz w:val="21"/>
          <w:szCs w:val="21"/>
        </w:rPr>
      </w:pPr>
    </w:p>
    <w:p w14:paraId="1C98D580">
      <w:pPr>
        <w:snapToGrid w:val="0"/>
        <w:spacing w:line="300" w:lineRule="auto"/>
        <w:jc w:val="both"/>
        <w:rPr>
          <w:rFonts w:ascii="Arial" w:hAnsi="Arial"/>
          <w:sz w:val="21"/>
          <w:szCs w:val="21"/>
        </w:rPr>
      </w:pPr>
    </w:p>
    <w:p w14:paraId="55FD42C3">
      <w:pPr>
        <w:snapToGrid w:val="0"/>
        <w:spacing w:line="300" w:lineRule="auto"/>
        <w:jc w:val="both"/>
        <w:rPr>
          <w:rFonts w:ascii="Arial" w:hAnsi="Arial"/>
          <w:sz w:val="21"/>
          <w:szCs w:val="21"/>
        </w:rPr>
      </w:pPr>
    </w:p>
    <w:p w14:paraId="0AD0A198">
      <w:pPr>
        <w:snapToGrid w:val="0"/>
        <w:spacing w:line="300" w:lineRule="auto"/>
        <w:jc w:val="both"/>
        <w:rPr>
          <w:rFonts w:ascii="Arial" w:hAnsi="Arial"/>
          <w:sz w:val="21"/>
          <w:szCs w:val="21"/>
        </w:rPr>
      </w:pPr>
    </w:p>
    <w:p w14:paraId="6E6C9E16">
      <w:pPr>
        <w:snapToGrid w:val="0"/>
        <w:spacing w:line="300" w:lineRule="auto"/>
        <w:jc w:val="both"/>
        <w:rPr>
          <w:rFonts w:ascii="Arial" w:hAnsi="Arial"/>
          <w:sz w:val="21"/>
          <w:szCs w:val="21"/>
        </w:rPr>
      </w:pPr>
    </w:p>
    <w:p w14:paraId="6927C314">
      <w:pPr>
        <w:snapToGrid w:val="0"/>
        <w:spacing w:line="300" w:lineRule="auto"/>
        <w:jc w:val="both"/>
        <w:rPr>
          <w:rFonts w:ascii="Arial" w:hAnsi="Arial"/>
          <w:sz w:val="21"/>
          <w:szCs w:val="21"/>
        </w:rPr>
      </w:pPr>
      <w:r>
        <w:rPr>
          <w:rFonts w:ascii="Arial" w:hAnsi="Arial"/>
          <w:sz w:val="21"/>
          <w:szCs w:val="21"/>
        </w:rPr>
        <mc:AlternateContent>
          <mc:Choice Requires="wps">
            <w:drawing>
              <wp:anchor distT="0" distB="0" distL="114300" distR="114300" simplePos="0" relativeHeight="251659264" behindDoc="1" locked="0" layoutInCell="0" allowOverlap="1">
                <wp:simplePos x="0" y="0"/>
                <wp:positionH relativeFrom="column">
                  <wp:posOffset>0</wp:posOffset>
                </wp:positionH>
                <wp:positionV relativeFrom="paragraph">
                  <wp:posOffset>95250</wp:posOffset>
                </wp:positionV>
                <wp:extent cx="1828800" cy="0"/>
                <wp:effectExtent l="0" t="0" r="1905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7.5pt;height:0pt;width:144pt;z-index:-251657216;mso-width-relative:page;mso-height-relative:page;" filled="f" stroked="t" coordsize="21600,21600" o:allowincell="f" o:gfxdata="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gi6iLSAAAABgEAAA8A&#10;AAAAAAAAAQAgAAAAIgAAAGRycy9kb3ducmV2LnhtbFBLAQIUABQAAAAIAIdO4kC+LX0G5AEAAKoD&#10;AAAOAAAAAAAAAAEAIAAAACEBAABkcnMvZTJvRG9jLnhtbFBLBQYAAAAABgAGAFkBAAB3BQAAAAA=&#10;">
                <v:fill on="f" focussize="0,0"/>
                <v:stroke color="#000000" joinstyle="round"/>
                <v:imagedata o:title=""/>
                <o:lock v:ext="edit" aspectratio="f"/>
              </v:line>
            </w:pict>
          </mc:Fallback>
        </mc:AlternateContent>
      </w:r>
    </w:p>
    <w:p w14:paraId="1CDC4678">
      <w:pPr>
        <w:snapToGrid w:val="0"/>
        <w:spacing w:line="300" w:lineRule="auto"/>
        <w:jc w:val="both"/>
        <w:rPr>
          <w:rFonts w:ascii="Arial" w:hAnsi="Arial"/>
          <w:sz w:val="21"/>
          <w:szCs w:val="21"/>
        </w:rPr>
      </w:pPr>
      <w:r>
        <w:rPr>
          <w:rFonts w:ascii="Arial" w:hAnsi="Arial"/>
          <w:sz w:val="21"/>
          <w:szCs w:val="21"/>
          <w:vertAlign w:val="superscript"/>
        </w:rPr>
        <w:t>2</w:t>
      </w:r>
      <w:r>
        <w:rPr>
          <w:rFonts w:ascii="Arial" w:hAnsi="Arial"/>
          <w:sz w:val="21"/>
          <w:szCs w:val="21"/>
        </w:rPr>
        <w:t>如果FDA基于验收标准进行实质等同性测定，则在引入洲际贸易前，应该测试主题器械并证明其符合这些验收标准。如果成品器械不符合验收标准，因而与批准的510（k）中描述的器械不同，FDA建议提交者应用评估合理上市器械修改的标准 （21 CFR 807.81（a）（3））以确定成品器械的上市是否需要批准新的510（k）。</w:t>
      </w:r>
      <w:r>
        <w:rPr>
          <w:rFonts w:ascii="Arial" w:hAnsi="Arial"/>
          <w:sz w:val="21"/>
          <w:szCs w:val="21"/>
        </w:rPr>
        <w:br w:type="page"/>
      </w:r>
    </w:p>
    <w:p w14:paraId="6A27A7D3">
      <w:pPr>
        <w:numPr>
          <w:ilvl w:val="0"/>
          <w:numId w:val="4"/>
        </w:numPr>
        <w:tabs>
          <w:tab w:val="left" w:pos="1680"/>
        </w:tabs>
        <w:snapToGrid w:val="0"/>
        <w:spacing w:line="300" w:lineRule="auto"/>
        <w:ind w:left="1680" w:hanging="360"/>
        <w:jc w:val="both"/>
        <w:rPr>
          <w:rFonts w:ascii="Arial" w:hAnsi="Arial"/>
          <w:sz w:val="21"/>
          <w:szCs w:val="21"/>
        </w:rPr>
      </w:pPr>
      <w:r>
        <w:rPr>
          <w:rFonts w:ascii="Arial" w:hAnsi="Arial"/>
          <w:sz w:val="21"/>
          <w:szCs w:val="21"/>
        </w:rPr>
        <w:t>符合标准的声明。</w:t>
      </w:r>
      <w:r>
        <w:rPr>
          <w:rFonts w:ascii="Arial" w:hAnsi="Arial"/>
          <w:sz w:val="21"/>
          <w:szCs w:val="21"/>
          <w:vertAlign w:val="superscript"/>
        </w:rPr>
        <w:t>3</w:t>
      </w:r>
    </w:p>
    <w:p w14:paraId="047615EC">
      <w:pPr>
        <w:snapToGrid w:val="0"/>
        <w:spacing w:line="300" w:lineRule="auto"/>
        <w:jc w:val="both"/>
        <w:rPr>
          <w:rFonts w:ascii="Arial" w:hAnsi="Arial"/>
          <w:sz w:val="21"/>
          <w:szCs w:val="21"/>
        </w:rPr>
      </w:pPr>
    </w:p>
    <w:p w14:paraId="20EEC73C">
      <w:pPr>
        <w:snapToGrid w:val="0"/>
        <w:spacing w:line="300" w:lineRule="auto"/>
        <w:ind w:left="900"/>
        <w:rPr>
          <w:rFonts w:ascii="Arial" w:hAnsi="Arial"/>
          <w:color w:val="000000"/>
          <w:sz w:val="21"/>
          <w:szCs w:val="21"/>
        </w:rPr>
      </w:pPr>
      <w:r>
        <w:rPr>
          <w:rFonts w:ascii="Arial" w:hAnsi="Arial"/>
          <w:color w:val="000000"/>
          <w:sz w:val="21"/>
          <w:szCs w:val="21"/>
        </w:rPr>
        <w:t>由于符合标准声明是基于测试结果，我们认为只有完成了标准中描述的测试，才可正确提交符合性标准声明。更多信息，请参见法案的第</w:t>
      </w:r>
      <w:r>
        <w:rPr>
          <w:rFonts w:ascii="Arial" w:hAnsi="Arial"/>
          <w:sz w:val="21"/>
          <w:szCs w:val="21"/>
        </w:rPr>
        <w:t>514（c）（1）（B）部分</w:t>
      </w:r>
      <w:r>
        <w:rPr>
          <w:rFonts w:ascii="Arial" w:hAnsi="Arial"/>
          <w:color w:val="000000"/>
          <w:sz w:val="21"/>
          <w:szCs w:val="21"/>
        </w:rPr>
        <w:t>和FDA指导性文件，</w:t>
      </w:r>
      <w:r>
        <w:rPr>
          <w:rFonts w:ascii="Arial" w:hAnsi="Arial"/>
          <w:b/>
          <w:color w:val="000000"/>
          <w:sz w:val="21"/>
          <w:szCs w:val="21"/>
        </w:rPr>
        <w:t>使用标准进行实质等同性测定；行业和FDA最终指南，</w:t>
      </w:r>
      <w:r>
        <w:rPr>
          <w:rFonts w:ascii="Arial" w:hAnsi="Arial"/>
          <w:sz w:val="21"/>
          <w:szCs w:val="21"/>
        </w:rPr>
        <w:fldChar w:fldCharType="begin"/>
      </w:r>
      <w:r>
        <w:rPr>
          <w:rFonts w:ascii="Arial" w:hAnsi="Arial"/>
          <w:sz w:val="21"/>
          <w:szCs w:val="21"/>
        </w:rPr>
        <w:instrText xml:space="preserve"> HYPERLINK "http://www.fda.gov/cdrh/ode/guidance/1131.html" </w:instrText>
      </w:r>
      <w:r>
        <w:rPr>
          <w:rFonts w:ascii="Arial" w:hAnsi="Arial"/>
          <w:sz w:val="21"/>
          <w:szCs w:val="21"/>
        </w:rPr>
        <w:fldChar w:fldCharType="separate"/>
      </w:r>
      <w:r>
        <w:rPr>
          <w:rFonts w:ascii="Arial" w:hAnsi="Arial"/>
          <w:color w:val="0000FF"/>
          <w:sz w:val="21"/>
          <w:szCs w:val="21"/>
          <w:u w:val="single"/>
        </w:rPr>
        <w:t>http://www.fda.gov/cdrh/ode/guidance/1131.html</w:t>
      </w:r>
      <w:r>
        <w:rPr>
          <w:rFonts w:ascii="Arial" w:hAnsi="Arial"/>
          <w:sz w:val="21"/>
          <w:szCs w:val="21"/>
        </w:rPr>
        <w:fldChar w:fldCharType="end"/>
      </w:r>
      <w:r>
        <w:rPr>
          <w:rFonts w:ascii="Arial" w:hAnsi="Arial"/>
          <w:color w:val="000000"/>
          <w:sz w:val="21"/>
          <w:szCs w:val="21"/>
        </w:rPr>
        <w:t>。</w:t>
      </w:r>
    </w:p>
    <w:p w14:paraId="2958A7C1">
      <w:pPr>
        <w:snapToGrid w:val="0"/>
        <w:spacing w:line="300" w:lineRule="auto"/>
        <w:jc w:val="both"/>
        <w:rPr>
          <w:rFonts w:ascii="Arial" w:hAnsi="Arial"/>
          <w:sz w:val="21"/>
          <w:szCs w:val="21"/>
        </w:rPr>
      </w:pPr>
    </w:p>
    <w:p w14:paraId="69B96B32">
      <w:pPr>
        <w:snapToGrid w:val="0"/>
        <w:spacing w:line="300" w:lineRule="auto"/>
        <w:jc w:val="both"/>
        <w:rPr>
          <w:rFonts w:ascii="Arial" w:hAnsi="Arial"/>
          <w:sz w:val="21"/>
          <w:szCs w:val="21"/>
        </w:rPr>
      </w:pPr>
      <w:r>
        <w:rPr>
          <w:rFonts w:ascii="Arial" w:hAnsi="Arial"/>
          <w:sz w:val="21"/>
          <w:szCs w:val="21"/>
        </w:rPr>
        <w:t>如果贵公司不清楚应该如何解决FDA确定的风险或贵公司通过风险分析中鉴定的其他风险，我们可能会要求提供关于器械性能特征方面的其他信息。我们也可能会要求评估贵公司的验收标准充分性所需的其他信息。（按照21 CFR 807.87（l），我们可能会要求提供任何所需的其他信息，以达到与实质等同性相关的测定。）</w:t>
      </w:r>
    </w:p>
    <w:p w14:paraId="62978A1B">
      <w:pPr>
        <w:snapToGrid w:val="0"/>
        <w:spacing w:line="300" w:lineRule="auto"/>
        <w:jc w:val="both"/>
        <w:rPr>
          <w:rFonts w:ascii="Arial" w:hAnsi="Arial"/>
          <w:sz w:val="21"/>
          <w:szCs w:val="21"/>
        </w:rPr>
      </w:pPr>
    </w:p>
    <w:p w14:paraId="3C65F743">
      <w:pPr>
        <w:snapToGrid w:val="0"/>
        <w:spacing w:line="300" w:lineRule="auto"/>
        <w:jc w:val="both"/>
        <w:rPr>
          <w:rFonts w:ascii="Arial" w:hAnsi="Arial"/>
          <w:sz w:val="21"/>
          <w:szCs w:val="21"/>
        </w:rPr>
      </w:pPr>
      <w:r>
        <w:rPr>
          <w:rFonts w:ascii="Arial" w:hAnsi="Arial"/>
          <w:sz w:val="21"/>
          <w:szCs w:val="21"/>
        </w:rPr>
        <w:t>作为提交简化510（k）的替代方法，贵公司可以提交传统510（k），即提供21 CFR 807.87要求的所有信息和数据的510（k）并在本指南中描述。传统510（k）应该包含贵公司的所有方法、数据、验收标准和结论。考虑对已经批准的器械进行某些修改的制造商应该考虑提交特殊510（k）。</w:t>
      </w:r>
    </w:p>
    <w:p w14:paraId="4088667C">
      <w:pPr>
        <w:snapToGrid w:val="0"/>
        <w:spacing w:line="300" w:lineRule="auto"/>
        <w:jc w:val="both"/>
        <w:rPr>
          <w:rFonts w:ascii="Arial" w:hAnsi="Arial"/>
          <w:sz w:val="21"/>
          <w:szCs w:val="21"/>
        </w:rPr>
      </w:pPr>
    </w:p>
    <w:p w14:paraId="0F803A9D">
      <w:pPr>
        <w:snapToGrid w:val="0"/>
        <w:spacing w:line="300" w:lineRule="auto"/>
        <w:jc w:val="both"/>
        <w:rPr>
          <w:rFonts w:ascii="Arial" w:hAnsi="Arial"/>
          <w:sz w:val="21"/>
          <w:szCs w:val="21"/>
        </w:rPr>
      </w:pPr>
    </w:p>
    <w:p w14:paraId="25054A6C">
      <w:pPr>
        <w:numPr>
          <w:ilvl w:val="0"/>
          <w:numId w:val="1"/>
        </w:numPr>
        <w:tabs>
          <w:tab w:val="left" w:pos="720"/>
        </w:tabs>
        <w:snapToGrid w:val="0"/>
        <w:spacing w:line="300" w:lineRule="auto"/>
        <w:ind w:left="720" w:hanging="720"/>
        <w:jc w:val="both"/>
        <w:outlineLvl w:val="0"/>
        <w:rPr>
          <w:rFonts w:ascii="Arial" w:hAnsi="Arial"/>
          <w:b/>
          <w:sz w:val="36"/>
          <w:szCs w:val="36"/>
        </w:rPr>
      </w:pPr>
      <w:bookmarkStart w:id="5" w:name="_Toc481741692"/>
      <w:r>
        <w:rPr>
          <w:rFonts w:ascii="Arial" w:hAnsi="Arial"/>
          <w:b/>
          <w:sz w:val="36"/>
        </w:rPr>
        <w:t>适用范围</w:t>
      </w:r>
      <w:bookmarkEnd w:id="5"/>
    </w:p>
    <w:p w14:paraId="4B042A18">
      <w:pPr>
        <w:snapToGrid w:val="0"/>
        <w:spacing w:line="300" w:lineRule="auto"/>
        <w:jc w:val="both"/>
        <w:rPr>
          <w:rFonts w:ascii="Arial" w:hAnsi="Arial"/>
          <w:sz w:val="21"/>
          <w:szCs w:val="21"/>
        </w:rPr>
      </w:pPr>
    </w:p>
    <w:p w14:paraId="2F2CA343">
      <w:pPr>
        <w:snapToGrid w:val="0"/>
        <w:spacing w:line="300" w:lineRule="auto"/>
        <w:jc w:val="both"/>
        <w:rPr>
          <w:rFonts w:ascii="Arial" w:hAnsi="Arial"/>
          <w:sz w:val="21"/>
          <w:szCs w:val="21"/>
        </w:rPr>
      </w:pPr>
      <w:r>
        <w:rPr>
          <w:rFonts w:ascii="Arial" w:hAnsi="Arial"/>
          <w:sz w:val="21"/>
          <w:szCs w:val="21"/>
        </w:rPr>
        <w:t>本文件的适用范围仅限于含有防锐器损伤特性的医疗器械。含有防锐器损伤特性的医疗器械是设计为有主动或被动的组件或附件，保护用户免受锐器损伤。</w:t>
      </w:r>
    </w:p>
    <w:p w14:paraId="50E39550">
      <w:pPr>
        <w:snapToGrid w:val="0"/>
        <w:spacing w:line="300" w:lineRule="auto"/>
        <w:jc w:val="both"/>
        <w:rPr>
          <w:rFonts w:ascii="Arial" w:hAnsi="Arial"/>
          <w:sz w:val="21"/>
          <w:szCs w:val="21"/>
        </w:rPr>
      </w:pPr>
    </w:p>
    <w:p w14:paraId="5A6D2CB2">
      <w:pPr>
        <w:snapToGrid w:val="0"/>
        <w:spacing w:line="300" w:lineRule="auto"/>
        <w:jc w:val="both"/>
        <w:rPr>
          <w:rFonts w:ascii="Arial" w:hAnsi="Arial"/>
          <w:sz w:val="21"/>
          <w:szCs w:val="21"/>
        </w:rPr>
      </w:pPr>
      <w:r>
        <w:rPr>
          <w:rFonts w:ascii="Arial" w:hAnsi="Arial"/>
          <w:sz w:val="21"/>
          <w:szCs w:val="21"/>
        </w:rPr>
        <w:t>本文件不讨论锐器容器或针翻新器械。关于单独的锐器容器和针翻新器械的FDA指导性文件，名为</w:t>
      </w:r>
      <w:r>
        <w:rPr>
          <w:rFonts w:ascii="Arial" w:hAnsi="Arial"/>
          <w:b/>
          <w:sz w:val="21"/>
          <w:szCs w:val="21"/>
        </w:rPr>
        <w:t>锐器容器上市前通告[510（k）]提交资料内容和格式指南</w:t>
      </w:r>
      <w:r>
        <w:rPr>
          <w:rFonts w:ascii="Arial" w:hAnsi="Arial"/>
          <w:sz w:val="21"/>
          <w:szCs w:val="21"/>
        </w:rPr>
        <w:t>，</w:t>
      </w:r>
      <w:r>
        <w:fldChar w:fldCharType="begin"/>
      </w:r>
      <w:r>
        <w:instrText xml:space="preserve"> HYPERLINK "http://www.fda.gov/cdrh/ode/895.pdf" </w:instrText>
      </w:r>
      <w:r>
        <w:fldChar w:fldCharType="separate"/>
      </w:r>
      <w:r>
        <w:rPr>
          <w:rFonts w:ascii="Arial" w:hAnsi="Arial"/>
          <w:color w:val="0000FF"/>
          <w:sz w:val="21"/>
          <w:szCs w:val="21"/>
          <w:u w:val="single"/>
        </w:rPr>
        <w:t>http://www.fda.gov/cdrh/ode/895.pdf</w:t>
      </w:r>
      <w:r>
        <w:rPr>
          <w:rFonts w:ascii="Arial" w:hAnsi="Arial"/>
          <w:color w:val="0000FF"/>
          <w:sz w:val="21"/>
          <w:szCs w:val="21"/>
          <w:u w:val="single"/>
        </w:rPr>
        <w:fldChar w:fldCharType="end"/>
      </w:r>
      <w:r>
        <w:rPr>
          <w:rFonts w:ascii="Arial" w:hAnsi="Arial"/>
          <w:sz w:val="21"/>
          <w:szCs w:val="21"/>
        </w:rPr>
        <w:t>。</w:t>
      </w:r>
    </w:p>
    <w:p w14:paraId="150B73A5">
      <w:pPr>
        <w:snapToGrid w:val="0"/>
        <w:spacing w:line="300" w:lineRule="auto"/>
        <w:jc w:val="both"/>
        <w:rPr>
          <w:rFonts w:ascii="Arial" w:hAnsi="Arial"/>
          <w:sz w:val="21"/>
          <w:szCs w:val="21"/>
        </w:rPr>
      </w:pPr>
    </w:p>
    <w:p w14:paraId="06C1E98C">
      <w:pPr>
        <w:snapToGrid w:val="0"/>
        <w:spacing w:line="300" w:lineRule="auto"/>
        <w:jc w:val="both"/>
        <w:rPr>
          <w:rFonts w:ascii="Arial" w:hAnsi="Arial"/>
          <w:sz w:val="21"/>
          <w:szCs w:val="21"/>
        </w:rPr>
      </w:pPr>
    </w:p>
    <w:p w14:paraId="10A5992E">
      <w:pPr>
        <w:snapToGrid w:val="0"/>
        <w:spacing w:line="300" w:lineRule="auto"/>
        <w:jc w:val="both"/>
        <w:rPr>
          <w:rFonts w:ascii="Arial" w:hAnsi="Arial"/>
          <w:sz w:val="21"/>
          <w:szCs w:val="21"/>
        </w:rPr>
      </w:pPr>
    </w:p>
    <w:p w14:paraId="70DD11A6">
      <w:pPr>
        <w:snapToGrid w:val="0"/>
        <w:spacing w:line="300" w:lineRule="auto"/>
        <w:jc w:val="both"/>
        <w:rPr>
          <w:rFonts w:ascii="Arial" w:hAnsi="Arial"/>
          <w:sz w:val="21"/>
          <w:szCs w:val="21"/>
        </w:rPr>
      </w:pPr>
    </w:p>
    <w:p w14:paraId="41D4F0A3">
      <w:pPr>
        <w:snapToGrid w:val="0"/>
        <w:spacing w:line="300" w:lineRule="auto"/>
        <w:jc w:val="both"/>
        <w:rPr>
          <w:rFonts w:ascii="Arial" w:hAnsi="Arial"/>
          <w:sz w:val="21"/>
          <w:szCs w:val="21"/>
        </w:rPr>
      </w:pPr>
    </w:p>
    <w:p w14:paraId="64CE1D09">
      <w:pPr>
        <w:snapToGrid w:val="0"/>
        <w:spacing w:line="300" w:lineRule="auto"/>
        <w:jc w:val="both"/>
        <w:rPr>
          <w:rFonts w:ascii="Arial" w:hAnsi="Arial"/>
          <w:sz w:val="21"/>
          <w:szCs w:val="21"/>
        </w:rPr>
      </w:pPr>
    </w:p>
    <w:p w14:paraId="782C7ECF">
      <w:pPr>
        <w:snapToGrid w:val="0"/>
        <w:spacing w:line="300" w:lineRule="auto"/>
        <w:jc w:val="both"/>
        <w:rPr>
          <w:rFonts w:ascii="Arial" w:hAnsi="Arial"/>
          <w:sz w:val="21"/>
          <w:szCs w:val="21"/>
        </w:rPr>
      </w:pPr>
      <w:r>
        <w:rPr>
          <w:rFonts w:ascii="Arial" w:hAnsi="Arial"/>
          <w:sz w:val="21"/>
          <w:szCs w:val="21"/>
        </w:rPr>
        <mc:AlternateContent>
          <mc:Choice Requires="wps">
            <w:drawing>
              <wp:anchor distT="0" distB="0" distL="114300" distR="114300" simplePos="0" relativeHeight="251663360" behindDoc="1" locked="0" layoutInCell="0" allowOverlap="1">
                <wp:simplePos x="0" y="0"/>
                <wp:positionH relativeFrom="column">
                  <wp:posOffset>0</wp:posOffset>
                </wp:positionH>
                <wp:positionV relativeFrom="paragraph">
                  <wp:posOffset>126365</wp:posOffset>
                </wp:positionV>
                <wp:extent cx="1828800" cy="0"/>
                <wp:effectExtent l="0" t="0" r="1905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9.95pt;height:0pt;width:144pt;z-index:-251653120;mso-width-relative:page;mso-height-relative:page;" filled="f" stroked="t" coordsize="21600,21600" o:allowincell="f" o:gfxdata="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QcunjSAAAABgEAAA8A&#10;AAAAAAAAAQAgAAAAIgAAAGRycy9kb3ducmV2LnhtbFBLAQIUABQAAAAIAIdO4kAkRyVA5AEAAKoD&#10;AAAOAAAAAAAAAAEAIAAAACEBAABkcnMvZTJvRG9jLnhtbFBLBQYAAAAABgAGAFkBAAB3BQAAAAA=&#10;">
                <v:fill on="f" focussize="0,0"/>
                <v:stroke color="#000000" joinstyle="round"/>
                <v:imagedata o:title=""/>
                <o:lock v:ext="edit" aspectratio="f"/>
              </v:line>
            </w:pict>
          </mc:Fallback>
        </mc:AlternateContent>
      </w:r>
    </w:p>
    <w:p w14:paraId="57469795">
      <w:pPr>
        <w:snapToGrid w:val="0"/>
        <w:spacing w:line="300" w:lineRule="auto"/>
        <w:rPr>
          <w:rFonts w:ascii="Arial" w:hAnsi="Arial"/>
          <w:sz w:val="21"/>
          <w:szCs w:val="21"/>
        </w:rPr>
      </w:pPr>
      <w:r>
        <w:rPr>
          <w:rFonts w:ascii="Arial" w:hAnsi="Arial"/>
          <w:sz w:val="21"/>
          <w:szCs w:val="21"/>
          <w:vertAlign w:val="superscript"/>
        </w:rPr>
        <w:t>3</w:t>
      </w:r>
      <w:r>
        <w:rPr>
          <w:rFonts w:ascii="Arial" w:hAnsi="Arial"/>
          <w:sz w:val="21"/>
          <w:szCs w:val="21"/>
        </w:rPr>
        <w:t xml:space="preserve"> </w:t>
      </w:r>
      <w:r>
        <w:rPr>
          <w:rFonts w:ascii="Arial" w:hAnsi="Arial"/>
          <w:color w:val="000000"/>
          <w:sz w:val="21"/>
          <w:szCs w:val="21"/>
        </w:rPr>
        <w:t>参见符合认可标准声明所要求的要素（筛查所有上市前通告</w:t>
      </w:r>
      <w:r>
        <w:rPr>
          <w:rFonts w:ascii="Arial" w:hAnsi="Arial"/>
          <w:sz w:val="21"/>
          <w:szCs w:val="21"/>
        </w:rPr>
        <w:t>[510（K）]提交资料的清单），</w:t>
      </w:r>
      <w:r>
        <w:rPr>
          <w:rFonts w:ascii="Arial" w:hAnsi="Arial"/>
          <w:sz w:val="21"/>
          <w:szCs w:val="21"/>
        </w:rPr>
        <w:fldChar w:fldCharType="begin"/>
      </w:r>
      <w:r>
        <w:rPr>
          <w:rFonts w:ascii="Arial" w:hAnsi="Arial"/>
          <w:sz w:val="21"/>
          <w:szCs w:val="21"/>
        </w:rPr>
        <w:instrText xml:space="preserve"> HYPERLINK "http://www.fda.gov/cdrh/ode/reqrecstand.html" </w:instrText>
      </w:r>
      <w:r>
        <w:rPr>
          <w:rFonts w:ascii="Arial" w:hAnsi="Arial"/>
          <w:sz w:val="21"/>
          <w:szCs w:val="21"/>
        </w:rPr>
        <w:fldChar w:fldCharType="separate"/>
      </w:r>
      <w:r>
        <w:rPr>
          <w:rFonts w:ascii="Arial" w:hAnsi="Arial"/>
          <w:color w:val="0000FF"/>
          <w:sz w:val="21"/>
          <w:szCs w:val="21"/>
          <w:u w:val="single"/>
        </w:rPr>
        <w:t>http://www.fda.gov/cdrh/ode/reqrecstand.html</w:t>
      </w:r>
      <w:r>
        <w:rPr>
          <w:rFonts w:ascii="Arial" w:hAnsi="Arial"/>
          <w:sz w:val="21"/>
          <w:szCs w:val="21"/>
        </w:rPr>
        <w:fldChar w:fldCharType="end"/>
      </w:r>
      <w:r>
        <w:rPr>
          <w:rFonts w:ascii="Arial" w:hAnsi="Arial"/>
          <w:sz w:val="21"/>
          <w:szCs w:val="21"/>
        </w:rPr>
        <w:t>。</w:t>
      </w:r>
    </w:p>
    <w:p w14:paraId="121DB27E">
      <w:pPr>
        <w:snapToGrid w:val="0"/>
        <w:spacing w:line="300" w:lineRule="auto"/>
        <w:jc w:val="both"/>
        <w:rPr>
          <w:rFonts w:ascii="Arial" w:hAnsi="Arial"/>
          <w:sz w:val="21"/>
          <w:szCs w:val="21"/>
        </w:rPr>
      </w:pPr>
      <w:r>
        <w:rPr>
          <w:rFonts w:ascii="Arial" w:hAnsi="Arial"/>
          <w:sz w:val="21"/>
          <w:szCs w:val="21"/>
        </w:rPr>
        <w:br w:type="page"/>
      </w:r>
    </w:p>
    <w:p w14:paraId="191E2E81">
      <w:pPr>
        <w:numPr>
          <w:ilvl w:val="0"/>
          <w:numId w:val="1"/>
        </w:numPr>
        <w:tabs>
          <w:tab w:val="left" w:pos="720"/>
        </w:tabs>
        <w:snapToGrid w:val="0"/>
        <w:spacing w:line="300" w:lineRule="auto"/>
        <w:ind w:left="720" w:hanging="720"/>
        <w:jc w:val="both"/>
        <w:outlineLvl w:val="0"/>
        <w:rPr>
          <w:rFonts w:ascii="Arial" w:hAnsi="Arial"/>
          <w:b/>
          <w:sz w:val="36"/>
          <w:szCs w:val="36"/>
        </w:rPr>
      </w:pPr>
      <w:bookmarkStart w:id="6" w:name="_Toc481741693"/>
      <w:r>
        <w:rPr>
          <w:rFonts w:ascii="Arial" w:hAnsi="Arial"/>
          <w:b/>
          <w:sz w:val="36"/>
          <w:szCs w:val="36"/>
        </w:rPr>
        <w:t>器械设计</w:t>
      </w:r>
      <w:bookmarkEnd w:id="6"/>
    </w:p>
    <w:p w14:paraId="5A7298DD">
      <w:pPr>
        <w:snapToGrid w:val="0"/>
        <w:spacing w:line="300" w:lineRule="auto"/>
        <w:jc w:val="both"/>
        <w:rPr>
          <w:rFonts w:ascii="Arial" w:hAnsi="Arial"/>
          <w:sz w:val="21"/>
          <w:szCs w:val="21"/>
        </w:rPr>
      </w:pPr>
    </w:p>
    <w:p w14:paraId="016DD7B4">
      <w:pPr>
        <w:snapToGrid w:val="0"/>
        <w:spacing w:line="300" w:lineRule="auto"/>
        <w:jc w:val="both"/>
        <w:rPr>
          <w:rFonts w:ascii="Arial" w:hAnsi="Arial"/>
          <w:sz w:val="21"/>
          <w:szCs w:val="21"/>
        </w:rPr>
      </w:pPr>
      <w:r>
        <w:rPr>
          <w:rFonts w:ascii="Arial" w:hAnsi="Arial"/>
          <w:sz w:val="21"/>
          <w:szCs w:val="21"/>
        </w:rPr>
        <w:t>通常，含有防锐器损伤特性的器械是II类器械，符合21 CFR 820节质量体系规章，包括设计控制。设计控制（21 CFR 820.30）是一套融入设计和研发过程的互相关联的惯例和程序，即相互制衡系统。设计控制将设计的系统评估成为器械研发必不可少的一部分。因此，设计投入需求量的缺陷和提议设计和要求之间的差异，可能在研发过程中更早被发现并纠正。我们认为设计控制增加了转移至生产的设计变成适合于其预期用途器械的可能性。</w:t>
      </w:r>
    </w:p>
    <w:p w14:paraId="36DE9614">
      <w:pPr>
        <w:snapToGrid w:val="0"/>
        <w:spacing w:line="300" w:lineRule="auto"/>
        <w:jc w:val="both"/>
        <w:rPr>
          <w:rFonts w:ascii="Arial" w:hAnsi="Arial"/>
          <w:sz w:val="21"/>
          <w:szCs w:val="21"/>
        </w:rPr>
      </w:pPr>
    </w:p>
    <w:p w14:paraId="6CB88BBC">
      <w:pPr>
        <w:snapToGrid w:val="0"/>
        <w:spacing w:line="300" w:lineRule="auto"/>
        <w:jc w:val="both"/>
        <w:rPr>
          <w:rFonts w:ascii="Arial" w:hAnsi="Arial"/>
          <w:sz w:val="21"/>
          <w:szCs w:val="21"/>
        </w:rPr>
      </w:pPr>
      <w:r>
        <w:rPr>
          <w:rFonts w:ascii="Arial" w:hAnsi="Arial"/>
          <w:sz w:val="21"/>
          <w:szCs w:val="21"/>
        </w:rPr>
        <w:t>下来表1中的设计建议与功能和人因工程学相关，目的是帮贵公司解决器械或防锐器损伤特性的用户需要。</w:t>
      </w:r>
    </w:p>
    <w:p w14:paraId="32DEB4E3">
      <w:pPr>
        <w:snapToGrid w:val="0"/>
        <w:spacing w:line="300" w:lineRule="auto"/>
        <w:jc w:val="both"/>
        <w:rPr>
          <w:rFonts w:ascii="Arial" w:hAnsi="Arial"/>
        </w:rPr>
      </w:pPr>
    </w:p>
    <w:p w14:paraId="384A9FF3">
      <w:pPr>
        <w:snapToGrid w:val="0"/>
        <w:spacing w:line="300" w:lineRule="auto"/>
        <w:ind w:left="360"/>
        <w:jc w:val="both"/>
        <w:rPr>
          <w:rFonts w:ascii="Arial" w:hAnsi="Arial"/>
          <w:b/>
          <w:sz w:val="21"/>
          <w:szCs w:val="21"/>
        </w:rPr>
      </w:pPr>
      <w:r>
        <w:rPr>
          <w:rFonts w:ascii="Arial" w:hAnsi="Arial"/>
          <w:b/>
          <w:sz w:val="21"/>
          <w:szCs w:val="21"/>
        </w:rPr>
        <w:t>表 1. 防锐器损伤特性的设计建议</w:t>
      </w:r>
    </w:p>
    <w:tbl>
      <w:tblPr>
        <w:tblStyle w:val="6"/>
        <w:tblW w:w="0" w:type="auto"/>
        <w:tblInd w:w="350" w:type="dxa"/>
        <w:tblLayout w:type="fixed"/>
        <w:tblCellMar>
          <w:top w:w="0" w:type="dxa"/>
          <w:left w:w="0" w:type="dxa"/>
          <w:bottom w:w="0" w:type="dxa"/>
          <w:right w:w="0" w:type="dxa"/>
        </w:tblCellMar>
      </w:tblPr>
      <w:tblGrid>
        <w:gridCol w:w="3260"/>
        <w:gridCol w:w="5520"/>
      </w:tblGrid>
      <w:tr w14:paraId="7A07A5A0">
        <w:tblPrEx>
          <w:tblCellMar>
            <w:top w:w="0" w:type="dxa"/>
            <w:left w:w="0" w:type="dxa"/>
            <w:bottom w:w="0" w:type="dxa"/>
            <w:right w:w="0" w:type="dxa"/>
          </w:tblCellMar>
        </w:tblPrEx>
        <w:tc>
          <w:tcPr>
            <w:tcW w:w="3260" w:type="dxa"/>
            <w:tcBorders>
              <w:top w:val="single" w:color="auto" w:sz="2" w:space="0"/>
              <w:left w:val="single" w:color="auto" w:sz="2" w:space="0"/>
              <w:bottom w:val="single" w:color="auto" w:sz="2" w:space="0"/>
              <w:right w:val="single" w:color="auto" w:sz="2" w:space="0"/>
            </w:tcBorders>
            <w:shd w:val="clear" w:color="auto" w:fill="CCFFFF"/>
            <w:vAlign w:val="bottom"/>
          </w:tcPr>
          <w:p w14:paraId="4B94DC69">
            <w:pPr>
              <w:snapToGrid w:val="0"/>
              <w:spacing w:before="46" w:beforeLines="15" w:after="46" w:afterLines="15" w:line="280" w:lineRule="exact"/>
              <w:jc w:val="center"/>
              <w:rPr>
                <w:rFonts w:ascii="Arial" w:hAnsi="Arial"/>
                <w:sz w:val="21"/>
                <w:szCs w:val="21"/>
              </w:rPr>
            </w:pPr>
            <w:r>
              <w:rPr>
                <w:rFonts w:ascii="Arial" w:hAnsi="Arial"/>
                <w:b/>
                <w:sz w:val="21"/>
                <w:szCs w:val="21"/>
              </w:rPr>
              <w:t>特性类型</w:t>
            </w:r>
          </w:p>
        </w:tc>
        <w:tc>
          <w:tcPr>
            <w:tcW w:w="5520" w:type="dxa"/>
            <w:tcBorders>
              <w:top w:val="single" w:color="auto" w:sz="2" w:space="0"/>
              <w:left w:val="single" w:color="auto" w:sz="2" w:space="0"/>
              <w:bottom w:val="single" w:color="auto" w:sz="2" w:space="0"/>
              <w:right w:val="single" w:color="auto" w:sz="2" w:space="0"/>
            </w:tcBorders>
            <w:shd w:val="clear" w:color="auto" w:fill="CCFFFF"/>
            <w:vAlign w:val="bottom"/>
          </w:tcPr>
          <w:p w14:paraId="109D9E29">
            <w:pPr>
              <w:snapToGrid w:val="0"/>
              <w:spacing w:before="46" w:beforeLines="15" w:after="46" w:afterLines="15" w:line="280" w:lineRule="exact"/>
              <w:jc w:val="center"/>
              <w:rPr>
                <w:rFonts w:ascii="Arial" w:hAnsi="Arial"/>
                <w:sz w:val="21"/>
                <w:szCs w:val="21"/>
              </w:rPr>
            </w:pPr>
            <w:r>
              <w:rPr>
                <w:rFonts w:ascii="Arial" w:hAnsi="Arial"/>
                <w:b/>
                <w:sz w:val="21"/>
                <w:szCs w:val="21"/>
              </w:rPr>
              <w:t>建议</w:t>
            </w:r>
          </w:p>
        </w:tc>
      </w:tr>
      <w:tr w14:paraId="4D5F38B7">
        <w:tblPrEx>
          <w:tblCellMar>
            <w:top w:w="0" w:type="dxa"/>
            <w:left w:w="0" w:type="dxa"/>
            <w:bottom w:w="0" w:type="dxa"/>
            <w:right w:w="0" w:type="dxa"/>
          </w:tblCellMar>
        </w:tblPrEx>
        <w:tc>
          <w:tcPr>
            <w:tcW w:w="3260" w:type="dxa"/>
            <w:tcBorders>
              <w:top w:val="single" w:color="auto" w:sz="2" w:space="0"/>
              <w:left w:val="single" w:color="auto" w:sz="8" w:space="0"/>
              <w:right w:val="single" w:color="auto" w:sz="8" w:space="0"/>
            </w:tcBorders>
            <w:shd w:val="clear" w:color="auto" w:fill="auto"/>
            <w:vAlign w:val="bottom"/>
          </w:tcPr>
          <w:p w14:paraId="5546E442">
            <w:pPr>
              <w:snapToGrid w:val="0"/>
              <w:spacing w:before="46" w:beforeLines="15" w:after="46" w:afterLines="15" w:line="280" w:lineRule="exact"/>
              <w:jc w:val="center"/>
              <w:rPr>
                <w:rFonts w:ascii="Arial" w:hAnsi="Arial"/>
                <w:sz w:val="21"/>
                <w:szCs w:val="21"/>
              </w:rPr>
            </w:pPr>
            <w:r>
              <w:rPr>
                <w:rFonts w:ascii="Arial" w:hAnsi="Arial"/>
                <w:sz w:val="21"/>
                <w:szCs w:val="21"/>
              </w:rPr>
              <w:t>所有</w:t>
            </w:r>
          </w:p>
        </w:tc>
        <w:tc>
          <w:tcPr>
            <w:tcW w:w="5520" w:type="dxa"/>
            <w:tcBorders>
              <w:top w:val="single" w:color="auto" w:sz="2" w:space="0"/>
              <w:left w:val="single" w:color="auto" w:sz="8" w:space="0"/>
              <w:right w:val="single" w:color="auto" w:sz="8" w:space="0"/>
            </w:tcBorders>
            <w:shd w:val="clear" w:color="auto" w:fill="auto"/>
            <w:vAlign w:val="bottom"/>
          </w:tcPr>
          <w:p w14:paraId="45DAB6ED">
            <w:pPr>
              <w:snapToGrid w:val="0"/>
              <w:spacing w:before="46" w:beforeLines="15" w:after="46" w:afterLines="15" w:line="280" w:lineRule="exact"/>
              <w:jc w:val="both"/>
              <w:rPr>
                <w:rFonts w:ascii="Arial" w:hAnsi="Arial"/>
                <w:sz w:val="21"/>
                <w:szCs w:val="21"/>
              </w:rPr>
            </w:pPr>
            <w:r>
              <w:rPr>
                <w:rFonts w:ascii="Arial" w:hAnsi="Arial"/>
                <w:sz w:val="21"/>
                <w:szCs w:val="21"/>
              </w:rPr>
              <w:t>用户应该能轻易地辨别防锐器损伤特性是否激活。</w:t>
            </w:r>
          </w:p>
        </w:tc>
      </w:tr>
      <w:tr w14:paraId="6F3AC5BC">
        <w:tblPrEx>
          <w:tblCellMar>
            <w:top w:w="0" w:type="dxa"/>
            <w:left w:w="0" w:type="dxa"/>
            <w:bottom w:w="0" w:type="dxa"/>
            <w:right w:w="0" w:type="dxa"/>
          </w:tblCellMar>
        </w:tblPrEx>
        <w:tc>
          <w:tcPr>
            <w:tcW w:w="3260" w:type="dxa"/>
            <w:tcBorders>
              <w:top w:val="single" w:color="auto" w:sz="2" w:space="0"/>
              <w:left w:val="single" w:color="auto" w:sz="2" w:space="0"/>
              <w:bottom w:val="single" w:color="auto" w:sz="2" w:space="0"/>
              <w:right w:val="single" w:color="auto" w:sz="2" w:space="0"/>
            </w:tcBorders>
            <w:shd w:val="clear" w:color="auto" w:fill="auto"/>
            <w:vAlign w:val="bottom"/>
          </w:tcPr>
          <w:p w14:paraId="7F7EC83E">
            <w:pPr>
              <w:snapToGrid w:val="0"/>
              <w:spacing w:before="46" w:beforeLines="15" w:after="46" w:afterLines="15" w:line="280" w:lineRule="exact"/>
              <w:jc w:val="center"/>
              <w:rPr>
                <w:rFonts w:ascii="Arial" w:hAnsi="Arial"/>
                <w:sz w:val="21"/>
                <w:szCs w:val="21"/>
              </w:rPr>
            </w:pPr>
            <w:r>
              <w:rPr>
                <w:rFonts w:ascii="Arial" w:hAnsi="Arial"/>
                <w:sz w:val="21"/>
                <w:szCs w:val="21"/>
              </w:rPr>
              <w:t>所有</w:t>
            </w:r>
          </w:p>
        </w:tc>
        <w:tc>
          <w:tcPr>
            <w:tcW w:w="5520" w:type="dxa"/>
            <w:tcBorders>
              <w:top w:val="single" w:color="auto" w:sz="2" w:space="0"/>
              <w:left w:val="single" w:color="auto" w:sz="2" w:space="0"/>
              <w:bottom w:val="single" w:color="auto" w:sz="2" w:space="0"/>
              <w:right w:val="single" w:color="auto" w:sz="2" w:space="0"/>
            </w:tcBorders>
            <w:shd w:val="clear" w:color="auto" w:fill="auto"/>
            <w:vAlign w:val="bottom"/>
          </w:tcPr>
          <w:p w14:paraId="28897C27">
            <w:pPr>
              <w:snapToGrid w:val="0"/>
              <w:spacing w:before="46" w:beforeLines="15" w:after="46" w:afterLines="15" w:line="280" w:lineRule="exact"/>
              <w:jc w:val="both"/>
              <w:rPr>
                <w:rFonts w:ascii="Arial" w:hAnsi="Arial"/>
                <w:sz w:val="21"/>
                <w:szCs w:val="21"/>
              </w:rPr>
            </w:pPr>
            <w:r>
              <w:rPr>
                <w:rFonts w:ascii="Arial" w:hAnsi="Arial"/>
                <w:sz w:val="21"/>
                <w:szCs w:val="21"/>
              </w:rPr>
              <w:t>一旦激活，防锐器损伤特性不能失效且应该保持防护性直到丢弃。</w:t>
            </w:r>
          </w:p>
        </w:tc>
      </w:tr>
      <w:tr w14:paraId="18D17EA8">
        <w:tblPrEx>
          <w:tblCellMar>
            <w:top w:w="0" w:type="dxa"/>
            <w:left w:w="0" w:type="dxa"/>
            <w:bottom w:w="0" w:type="dxa"/>
            <w:right w:w="0" w:type="dxa"/>
          </w:tblCellMar>
        </w:tblPrEx>
        <w:tc>
          <w:tcPr>
            <w:tcW w:w="3260" w:type="dxa"/>
            <w:tcBorders>
              <w:top w:val="single" w:color="auto" w:sz="2" w:space="0"/>
              <w:left w:val="single" w:color="auto" w:sz="2" w:space="0"/>
              <w:bottom w:val="single" w:color="auto" w:sz="2" w:space="0"/>
              <w:right w:val="single" w:color="auto" w:sz="2" w:space="0"/>
            </w:tcBorders>
            <w:shd w:val="clear" w:color="auto" w:fill="auto"/>
            <w:vAlign w:val="bottom"/>
          </w:tcPr>
          <w:p w14:paraId="1BA2D286">
            <w:pPr>
              <w:snapToGrid w:val="0"/>
              <w:spacing w:before="46" w:beforeLines="15" w:after="46" w:afterLines="15" w:line="280" w:lineRule="exact"/>
              <w:jc w:val="center"/>
              <w:rPr>
                <w:rFonts w:ascii="Arial" w:hAnsi="Arial"/>
                <w:sz w:val="21"/>
                <w:szCs w:val="21"/>
              </w:rPr>
            </w:pPr>
            <w:r>
              <w:rPr>
                <w:rFonts w:hint="eastAsia" w:ascii="Arial" w:hAnsi="Arial"/>
                <w:sz w:val="21"/>
                <w:szCs w:val="21"/>
              </w:rPr>
              <w:t>有源</w:t>
            </w:r>
            <w:r>
              <w:rPr>
                <w:rFonts w:ascii="Arial" w:hAnsi="Arial"/>
                <w:sz w:val="21"/>
                <w:szCs w:val="21"/>
              </w:rPr>
              <w:t>（即，需要用户激活的</w:t>
            </w:r>
          </w:p>
          <w:p w14:paraId="0061D3D0">
            <w:pPr>
              <w:snapToGrid w:val="0"/>
              <w:spacing w:before="46" w:beforeLines="15" w:after="46" w:afterLines="15" w:line="280" w:lineRule="exact"/>
              <w:jc w:val="center"/>
              <w:rPr>
                <w:rFonts w:ascii="Arial" w:hAnsi="Arial"/>
                <w:sz w:val="21"/>
                <w:szCs w:val="21"/>
              </w:rPr>
            </w:pPr>
            <w:r>
              <w:rPr>
                <w:rFonts w:ascii="Arial" w:hAnsi="Arial"/>
                <w:sz w:val="21"/>
                <w:szCs w:val="21"/>
              </w:rPr>
              <w:t>特性）</w:t>
            </w:r>
          </w:p>
        </w:tc>
        <w:tc>
          <w:tcPr>
            <w:tcW w:w="5520" w:type="dxa"/>
            <w:tcBorders>
              <w:top w:val="single" w:color="auto" w:sz="2" w:space="0"/>
              <w:left w:val="single" w:color="auto" w:sz="2" w:space="0"/>
              <w:bottom w:val="single" w:color="auto" w:sz="2" w:space="0"/>
              <w:right w:val="single" w:color="auto" w:sz="2" w:space="0"/>
            </w:tcBorders>
            <w:shd w:val="clear" w:color="auto" w:fill="auto"/>
            <w:vAlign w:val="bottom"/>
          </w:tcPr>
          <w:p w14:paraId="2C9AA29D">
            <w:pPr>
              <w:snapToGrid w:val="0"/>
              <w:spacing w:before="46" w:beforeLines="15" w:after="46" w:afterLines="15" w:line="280" w:lineRule="exact"/>
              <w:jc w:val="both"/>
              <w:rPr>
                <w:rFonts w:ascii="Arial" w:hAnsi="Arial"/>
                <w:sz w:val="21"/>
                <w:szCs w:val="21"/>
              </w:rPr>
            </w:pPr>
            <w:r>
              <w:rPr>
                <w:rFonts w:ascii="Arial" w:hAnsi="Arial"/>
                <w:sz w:val="21"/>
                <w:szCs w:val="21"/>
              </w:rPr>
              <w:t>应该允许用单手技术激活特性，允许用户的手停留在暴露的锐器后面。·</w:t>
            </w:r>
          </w:p>
        </w:tc>
      </w:tr>
      <w:tr w14:paraId="0F0D3084">
        <w:tblPrEx>
          <w:tblCellMar>
            <w:top w:w="0" w:type="dxa"/>
            <w:left w:w="0" w:type="dxa"/>
            <w:bottom w:w="0" w:type="dxa"/>
            <w:right w:w="0" w:type="dxa"/>
          </w:tblCellMar>
        </w:tblPrEx>
        <w:tc>
          <w:tcPr>
            <w:tcW w:w="3260" w:type="dxa"/>
            <w:tcBorders>
              <w:top w:val="single" w:color="auto" w:sz="2" w:space="0"/>
              <w:left w:val="single" w:color="auto" w:sz="2" w:space="0"/>
              <w:bottom w:val="single" w:color="auto" w:sz="2" w:space="0"/>
              <w:right w:val="single" w:color="auto" w:sz="2" w:space="0"/>
            </w:tcBorders>
            <w:shd w:val="clear" w:color="auto" w:fill="auto"/>
            <w:vAlign w:val="bottom"/>
          </w:tcPr>
          <w:p w14:paraId="4AA70895">
            <w:pPr>
              <w:snapToGrid w:val="0"/>
              <w:spacing w:before="46" w:beforeLines="15" w:after="46" w:afterLines="15" w:line="280" w:lineRule="exact"/>
              <w:jc w:val="center"/>
              <w:rPr>
                <w:rFonts w:ascii="Arial" w:hAnsi="Arial"/>
                <w:sz w:val="21"/>
                <w:szCs w:val="21"/>
              </w:rPr>
            </w:pPr>
            <w:r>
              <w:rPr>
                <w:rFonts w:ascii="Arial" w:hAnsi="Arial"/>
                <w:sz w:val="21"/>
                <w:szCs w:val="21"/>
              </w:rPr>
              <w:t>针头护帽</w:t>
            </w:r>
          </w:p>
        </w:tc>
        <w:tc>
          <w:tcPr>
            <w:tcW w:w="5520" w:type="dxa"/>
            <w:tcBorders>
              <w:top w:val="single" w:color="auto" w:sz="2" w:space="0"/>
              <w:left w:val="single" w:color="auto" w:sz="2" w:space="0"/>
              <w:bottom w:val="single" w:color="auto" w:sz="2" w:space="0"/>
              <w:right w:val="single" w:color="auto" w:sz="2" w:space="0"/>
            </w:tcBorders>
            <w:shd w:val="clear" w:color="auto" w:fill="auto"/>
            <w:vAlign w:val="bottom"/>
          </w:tcPr>
          <w:p w14:paraId="0365C9F1">
            <w:pPr>
              <w:snapToGrid w:val="0"/>
              <w:spacing w:before="46" w:beforeLines="15" w:after="46" w:afterLines="15" w:line="280" w:lineRule="exact"/>
              <w:jc w:val="both"/>
              <w:rPr>
                <w:rFonts w:ascii="Arial" w:hAnsi="Arial"/>
                <w:sz w:val="21"/>
                <w:szCs w:val="21"/>
              </w:rPr>
            </w:pPr>
            <w:r>
              <w:rPr>
                <w:rFonts w:ascii="Arial" w:hAnsi="Arial"/>
                <w:sz w:val="21"/>
                <w:szCs w:val="21"/>
              </w:rPr>
              <w:t>护帽应该完全护住针头以防止激活后手指接触。</w:t>
            </w:r>
          </w:p>
        </w:tc>
      </w:tr>
      <w:tr w14:paraId="3EA03633">
        <w:tblPrEx>
          <w:tblCellMar>
            <w:top w:w="0" w:type="dxa"/>
            <w:left w:w="0" w:type="dxa"/>
            <w:bottom w:w="0" w:type="dxa"/>
            <w:right w:w="0" w:type="dxa"/>
          </w:tblCellMar>
        </w:tblPrEx>
        <w:tc>
          <w:tcPr>
            <w:tcW w:w="3260" w:type="dxa"/>
            <w:tcBorders>
              <w:top w:val="single" w:color="auto" w:sz="2" w:space="0"/>
              <w:left w:val="single" w:color="auto" w:sz="2" w:space="0"/>
              <w:bottom w:val="single" w:color="auto" w:sz="2" w:space="0"/>
              <w:right w:val="single" w:color="auto" w:sz="2" w:space="0"/>
            </w:tcBorders>
            <w:shd w:val="clear" w:color="auto" w:fill="auto"/>
            <w:vAlign w:val="bottom"/>
          </w:tcPr>
          <w:p w14:paraId="7BD333F3">
            <w:pPr>
              <w:snapToGrid w:val="0"/>
              <w:spacing w:before="46" w:beforeLines="15" w:after="46" w:afterLines="15" w:line="280" w:lineRule="exact"/>
              <w:jc w:val="center"/>
              <w:rPr>
                <w:rFonts w:ascii="Arial" w:hAnsi="Arial"/>
                <w:sz w:val="21"/>
                <w:szCs w:val="21"/>
              </w:rPr>
            </w:pPr>
            <w:r>
              <w:rPr>
                <w:rFonts w:ascii="Arial" w:hAnsi="Arial"/>
                <w:sz w:val="21"/>
                <w:szCs w:val="21"/>
              </w:rPr>
              <w:t>伸缩式锐器</w:t>
            </w:r>
          </w:p>
        </w:tc>
        <w:tc>
          <w:tcPr>
            <w:tcW w:w="5520" w:type="dxa"/>
            <w:tcBorders>
              <w:top w:val="single" w:color="auto" w:sz="2" w:space="0"/>
              <w:left w:val="single" w:color="auto" w:sz="2" w:space="0"/>
              <w:bottom w:val="single" w:color="auto" w:sz="2" w:space="0"/>
              <w:right w:val="single" w:color="auto" w:sz="2" w:space="0"/>
            </w:tcBorders>
            <w:shd w:val="clear" w:color="auto" w:fill="auto"/>
            <w:vAlign w:val="bottom"/>
          </w:tcPr>
          <w:p w14:paraId="0FC1836B">
            <w:pPr>
              <w:snapToGrid w:val="0"/>
              <w:spacing w:before="46" w:beforeLines="15" w:after="46" w:afterLines="15" w:line="280" w:lineRule="exact"/>
              <w:jc w:val="both"/>
              <w:rPr>
                <w:rFonts w:ascii="Arial" w:hAnsi="Arial"/>
                <w:sz w:val="21"/>
                <w:szCs w:val="21"/>
              </w:rPr>
            </w:pPr>
            <w:r>
              <w:rPr>
                <w:rFonts w:ascii="Arial" w:hAnsi="Arial"/>
                <w:sz w:val="21"/>
                <w:szCs w:val="21"/>
              </w:rPr>
              <w:t>锐器应该完全缩回到器械外罩内。</w:t>
            </w:r>
          </w:p>
        </w:tc>
      </w:tr>
      <w:tr w14:paraId="1FB967F0">
        <w:tblPrEx>
          <w:tblCellMar>
            <w:top w:w="0" w:type="dxa"/>
            <w:left w:w="0" w:type="dxa"/>
            <w:bottom w:w="0" w:type="dxa"/>
            <w:right w:w="0" w:type="dxa"/>
          </w:tblCellMar>
        </w:tblPrEx>
        <w:tc>
          <w:tcPr>
            <w:tcW w:w="3260" w:type="dxa"/>
            <w:tcBorders>
              <w:top w:val="single" w:color="auto" w:sz="2" w:space="0"/>
              <w:left w:val="single" w:color="auto" w:sz="2" w:space="0"/>
              <w:bottom w:val="single" w:color="auto" w:sz="2" w:space="0"/>
              <w:right w:val="single" w:color="auto" w:sz="2" w:space="0"/>
            </w:tcBorders>
            <w:shd w:val="clear" w:color="auto" w:fill="auto"/>
            <w:vAlign w:val="bottom"/>
          </w:tcPr>
          <w:p w14:paraId="34CA0180">
            <w:pPr>
              <w:snapToGrid w:val="0"/>
              <w:spacing w:before="46" w:beforeLines="15" w:after="46" w:afterLines="15" w:line="280" w:lineRule="exact"/>
              <w:jc w:val="center"/>
              <w:rPr>
                <w:rFonts w:ascii="Arial" w:hAnsi="Arial"/>
                <w:sz w:val="21"/>
                <w:szCs w:val="21"/>
              </w:rPr>
            </w:pPr>
            <w:r>
              <w:rPr>
                <w:rFonts w:ascii="Arial" w:hAnsi="Arial"/>
                <w:sz w:val="21"/>
                <w:szCs w:val="21"/>
              </w:rPr>
              <w:t>固定嵌入针</w:t>
            </w:r>
          </w:p>
        </w:tc>
        <w:tc>
          <w:tcPr>
            <w:tcW w:w="5520" w:type="dxa"/>
            <w:tcBorders>
              <w:top w:val="single" w:color="auto" w:sz="2" w:space="0"/>
              <w:left w:val="single" w:color="auto" w:sz="2" w:space="0"/>
              <w:bottom w:val="single" w:color="auto" w:sz="2" w:space="0"/>
              <w:right w:val="single" w:color="auto" w:sz="2" w:space="0"/>
            </w:tcBorders>
            <w:shd w:val="clear" w:color="auto" w:fill="auto"/>
            <w:vAlign w:val="bottom"/>
          </w:tcPr>
          <w:p w14:paraId="71462214">
            <w:pPr>
              <w:snapToGrid w:val="0"/>
              <w:spacing w:before="46" w:beforeLines="15" w:after="46" w:afterLines="15" w:line="280" w:lineRule="exact"/>
              <w:jc w:val="both"/>
              <w:rPr>
                <w:rFonts w:ascii="Arial" w:hAnsi="Arial"/>
                <w:sz w:val="21"/>
                <w:szCs w:val="21"/>
              </w:rPr>
            </w:pPr>
            <w:r>
              <w:rPr>
                <w:rFonts w:ascii="Arial" w:hAnsi="Arial"/>
                <w:sz w:val="21"/>
                <w:szCs w:val="21"/>
              </w:rPr>
              <w:t>外罩应该延伸即完全盖住锐器并防止手指接触。</w:t>
            </w:r>
          </w:p>
        </w:tc>
      </w:tr>
      <w:tr w14:paraId="7F8DAD5B">
        <w:tblPrEx>
          <w:tblCellMar>
            <w:top w:w="0" w:type="dxa"/>
            <w:left w:w="0" w:type="dxa"/>
            <w:bottom w:w="0" w:type="dxa"/>
            <w:right w:w="0" w:type="dxa"/>
          </w:tblCellMar>
        </w:tblPrEx>
        <w:tc>
          <w:tcPr>
            <w:tcW w:w="3260" w:type="dxa"/>
            <w:tcBorders>
              <w:top w:val="single" w:color="auto" w:sz="2" w:space="0"/>
              <w:left w:val="single" w:color="auto" w:sz="2" w:space="0"/>
              <w:bottom w:val="single" w:color="auto" w:sz="2" w:space="0"/>
              <w:right w:val="single" w:color="auto" w:sz="2" w:space="0"/>
            </w:tcBorders>
            <w:shd w:val="clear" w:color="auto" w:fill="auto"/>
            <w:vAlign w:val="bottom"/>
          </w:tcPr>
          <w:p w14:paraId="7FBEE363">
            <w:pPr>
              <w:snapToGrid w:val="0"/>
              <w:spacing w:before="46" w:beforeLines="15" w:after="46" w:afterLines="15" w:line="280" w:lineRule="exact"/>
              <w:jc w:val="center"/>
              <w:rPr>
                <w:rFonts w:ascii="Arial" w:hAnsi="Arial"/>
                <w:sz w:val="21"/>
                <w:szCs w:val="21"/>
              </w:rPr>
            </w:pPr>
            <w:r>
              <w:rPr>
                <w:rFonts w:ascii="Arial" w:hAnsi="Arial"/>
                <w:sz w:val="21"/>
                <w:szCs w:val="21"/>
              </w:rPr>
              <w:t>有色特性或组件</w:t>
            </w:r>
          </w:p>
        </w:tc>
        <w:tc>
          <w:tcPr>
            <w:tcW w:w="5520" w:type="dxa"/>
            <w:tcBorders>
              <w:top w:val="single" w:color="auto" w:sz="2" w:space="0"/>
              <w:left w:val="single" w:color="auto" w:sz="2" w:space="0"/>
              <w:bottom w:val="single" w:color="auto" w:sz="2" w:space="0"/>
              <w:right w:val="single" w:color="auto" w:sz="2" w:space="0"/>
            </w:tcBorders>
            <w:shd w:val="clear" w:color="auto" w:fill="auto"/>
            <w:vAlign w:val="bottom"/>
          </w:tcPr>
          <w:p w14:paraId="30C659C0">
            <w:pPr>
              <w:snapToGrid w:val="0"/>
              <w:spacing w:before="46" w:beforeLines="15" w:after="46" w:afterLines="15" w:line="280" w:lineRule="exact"/>
              <w:jc w:val="both"/>
              <w:rPr>
                <w:rFonts w:ascii="Arial" w:hAnsi="Arial"/>
                <w:sz w:val="21"/>
                <w:szCs w:val="21"/>
              </w:rPr>
            </w:pPr>
            <w:r>
              <w:rPr>
                <w:rFonts w:ascii="Arial" w:hAnsi="Arial"/>
                <w:sz w:val="21"/>
                <w:szCs w:val="21"/>
              </w:rPr>
              <w:t>颜色的使用应该达到特定的目的（如，区分</w:t>
            </w:r>
          </w:p>
          <w:p w14:paraId="2CAB569E">
            <w:pPr>
              <w:snapToGrid w:val="0"/>
              <w:spacing w:before="46" w:beforeLines="15" w:after="46" w:afterLines="15" w:line="280" w:lineRule="exact"/>
              <w:jc w:val="both"/>
              <w:rPr>
                <w:rFonts w:ascii="Arial" w:hAnsi="Arial"/>
                <w:sz w:val="21"/>
                <w:szCs w:val="21"/>
              </w:rPr>
            </w:pPr>
            <w:r>
              <w:rPr>
                <w:rFonts w:ascii="Arial" w:hAnsi="Arial"/>
                <w:sz w:val="21"/>
                <w:szCs w:val="21"/>
              </w:rPr>
              <w:t>器械型号或尺寸）并与用户惯例一致（如，胰岛素注射器使用橙色衬套和针头护帽）。</w:t>
            </w:r>
          </w:p>
        </w:tc>
      </w:tr>
    </w:tbl>
    <w:p w14:paraId="1013BE4A">
      <w:pPr>
        <w:snapToGrid w:val="0"/>
        <w:spacing w:line="300" w:lineRule="auto"/>
        <w:jc w:val="both"/>
        <w:rPr>
          <w:rFonts w:ascii="Arial" w:hAnsi="Arial"/>
          <w:sz w:val="24"/>
          <w:szCs w:val="24"/>
        </w:rPr>
      </w:pPr>
    </w:p>
    <w:p w14:paraId="15B31045">
      <w:pPr>
        <w:snapToGrid w:val="0"/>
        <w:spacing w:line="300" w:lineRule="auto"/>
        <w:jc w:val="both"/>
        <w:rPr>
          <w:rFonts w:ascii="Arial" w:hAnsi="Arial"/>
          <w:sz w:val="24"/>
          <w:szCs w:val="24"/>
        </w:rPr>
      </w:pPr>
      <w:r>
        <w:rPr>
          <w:rFonts w:ascii="Arial" w:hAnsi="Arial"/>
          <w:sz w:val="24"/>
          <w:szCs w:val="24"/>
        </w:rPr>
        <w:br w:type="page"/>
      </w:r>
    </w:p>
    <w:p w14:paraId="246D6A46">
      <w:pPr>
        <w:snapToGrid w:val="0"/>
        <w:spacing w:line="300" w:lineRule="auto"/>
        <w:ind w:left="360"/>
        <w:jc w:val="both"/>
        <w:rPr>
          <w:rFonts w:ascii="Arial" w:hAnsi="Arial"/>
          <w:sz w:val="21"/>
          <w:szCs w:val="21"/>
        </w:rPr>
      </w:pPr>
      <w:r>
        <w:rPr>
          <w:rFonts w:ascii="Arial" w:hAnsi="Arial"/>
          <w:sz w:val="21"/>
          <w:szCs w:val="21"/>
        </w:rPr>
        <w:t>关于器械设计和人因的更多信息，请参见</w:t>
      </w:r>
      <w:r>
        <w:rPr>
          <w:rFonts w:hint="eastAsia" w:ascii="Arial" w:hAnsi="Arial"/>
          <w:sz w:val="21"/>
          <w:szCs w:val="21"/>
        </w:rPr>
        <w:t>《</w:t>
      </w:r>
      <w:r>
        <w:rPr>
          <w:rFonts w:ascii="Arial" w:hAnsi="Arial"/>
          <w:b/>
          <w:sz w:val="21"/>
          <w:szCs w:val="21"/>
        </w:rPr>
        <w:t>设计实现-医疗器械中引入人类因素</w:t>
      </w:r>
      <w:r>
        <w:rPr>
          <w:rFonts w:hint="eastAsia" w:ascii="Arial" w:hAnsi="Arial"/>
          <w:sz w:val="21"/>
          <w:szCs w:val="21"/>
        </w:rPr>
        <w:t>》</w:t>
      </w:r>
      <w:r>
        <w:rPr>
          <w:rFonts w:ascii="Arial" w:hAnsi="Arial"/>
          <w:sz w:val="21"/>
          <w:szCs w:val="21"/>
        </w:rPr>
        <w:t>的指南</w:t>
      </w:r>
      <w:r>
        <w:fldChar w:fldCharType="begin"/>
      </w:r>
      <w:r>
        <w:instrText xml:space="preserve"> HYPERLINK "http://www.fda.gov/cdrh/humfac/doit.html" </w:instrText>
      </w:r>
      <w:r>
        <w:fldChar w:fldCharType="separate"/>
      </w:r>
      <w:r>
        <w:rPr>
          <w:rStyle w:val="8"/>
          <w:rFonts w:ascii="Arial" w:hAnsi="Arial"/>
          <w:color w:val="auto"/>
          <w:sz w:val="21"/>
          <w:szCs w:val="21"/>
        </w:rPr>
        <w:t>http://www.fda.gov/cdrh/humfac/doit.html</w:t>
      </w:r>
      <w:r>
        <w:rPr>
          <w:rStyle w:val="8"/>
          <w:rFonts w:ascii="Arial" w:hAnsi="Arial"/>
          <w:color w:val="auto"/>
          <w:sz w:val="21"/>
          <w:szCs w:val="21"/>
        </w:rPr>
        <w:fldChar w:fldCharType="end"/>
      </w:r>
      <w:r>
        <w:rPr>
          <w:rFonts w:ascii="Arial" w:hAnsi="Arial"/>
          <w:sz w:val="21"/>
          <w:szCs w:val="21"/>
        </w:rPr>
        <w:t>和ANSI/AAMI HE48-1993：人因工程学指南和医疗器械设计的首选实践</w:t>
      </w:r>
    </w:p>
    <w:p w14:paraId="63EF79AC">
      <w:pPr>
        <w:snapToGrid w:val="0"/>
        <w:spacing w:line="300" w:lineRule="auto"/>
        <w:jc w:val="both"/>
        <w:rPr>
          <w:rFonts w:ascii="Arial" w:hAnsi="Arial"/>
          <w:sz w:val="21"/>
          <w:szCs w:val="21"/>
        </w:rPr>
      </w:pPr>
    </w:p>
    <w:p w14:paraId="210730A9">
      <w:pPr>
        <w:numPr>
          <w:ilvl w:val="0"/>
          <w:numId w:val="1"/>
        </w:numPr>
        <w:tabs>
          <w:tab w:val="left" w:pos="720"/>
        </w:tabs>
        <w:snapToGrid w:val="0"/>
        <w:spacing w:line="300" w:lineRule="auto"/>
        <w:ind w:left="720" w:hanging="720"/>
        <w:jc w:val="both"/>
        <w:outlineLvl w:val="0"/>
        <w:rPr>
          <w:rFonts w:ascii="Arial" w:hAnsi="Arial"/>
          <w:b/>
          <w:sz w:val="36"/>
          <w:szCs w:val="36"/>
        </w:rPr>
      </w:pPr>
      <w:bookmarkStart w:id="7" w:name="_Toc481741694"/>
      <w:r>
        <w:rPr>
          <w:rFonts w:ascii="Arial" w:hAnsi="Arial"/>
          <w:b/>
          <w:sz w:val="36"/>
          <w:szCs w:val="36"/>
        </w:rPr>
        <w:t>器械说明</w:t>
      </w:r>
      <w:bookmarkEnd w:id="7"/>
    </w:p>
    <w:p w14:paraId="175C9752">
      <w:pPr>
        <w:snapToGrid w:val="0"/>
        <w:spacing w:line="300" w:lineRule="auto"/>
        <w:jc w:val="both"/>
        <w:rPr>
          <w:rFonts w:ascii="Arial" w:hAnsi="Arial"/>
          <w:sz w:val="21"/>
          <w:szCs w:val="21"/>
        </w:rPr>
      </w:pPr>
    </w:p>
    <w:p w14:paraId="574E96BE">
      <w:pPr>
        <w:snapToGrid w:val="0"/>
        <w:spacing w:line="300" w:lineRule="auto"/>
        <w:jc w:val="both"/>
        <w:rPr>
          <w:rFonts w:ascii="Arial" w:hAnsi="Arial"/>
          <w:sz w:val="21"/>
          <w:szCs w:val="21"/>
        </w:rPr>
      </w:pPr>
      <w:r>
        <w:rPr>
          <w:rFonts w:ascii="Arial" w:hAnsi="Arial"/>
          <w:sz w:val="21"/>
          <w:szCs w:val="21"/>
        </w:rPr>
        <w:t>我们建议贵公司通过法规和产品代码识别含有防锐器损伤特性的器械。我们也建议贵公司提供信息，通过比较，说明器械的防锐器损伤特性与其他合法上市器械的相似和不同之处。</w:t>
      </w:r>
    </w:p>
    <w:p w14:paraId="3CCDA9E5">
      <w:pPr>
        <w:snapToGrid w:val="0"/>
        <w:spacing w:line="300" w:lineRule="auto"/>
        <w:jc w:val="both"/>
        <w:rPr>
          <w:rFonts w:ascii="Arial" w:hAnsi="Arial"/>
          <w:sz w:val="21"/>
          <w:szCs w:val="21"/>
        </w:rPr>
      </w:pPr>
    </w:p>
    <w:p w14:paraId="429D1408">
      <w:pPr>
        <w:numPr>
          <w:ilvl w:val="0"/>
          <w:numId w:val="5"/>
        </w:numPr>
        <w:tabs>
          <w:tab w:val="left" w:pos="720"/>
        </w:tabs>
        <w:snapToGrid w:val="0"/>
        <w:spacing w:line="300" w:lineRule="auto"/>
        <w:ind w:left="720" w:hanging="360"/>
        <w:jc w:val="both"/>
        <w:rPr>
          <w:rFonts w:ascii="Arial" w:hAnsi="Arial"/>
          <w:sz w:val="21"/>
          <w:szCs w:val="21"/>
        </w:rPr>
      </w:pPr>
      <w:r>
        <w:rPr>
          <w:rFonts w:ascii="Arial" w:hAnsi="Arial"/>
          <w:sz w:val="21"/>
          <w:szCs w:val="21"/>
        </w:rPr>
        <w:t>适应症</w:t>
      </w:r>
    </w:p>
    <w:p w14:paraId="3C0680F5">
      <w:pPr>
        <w:numPr>
          <w:ilvl w:val="0"/>
          <w:numId w:val="5"/>
        </w:numPr>
        <w:tabs>
          <w:tab w:val="left" w:pos="720"/>
        </w:tabs>
        <w:snapToGrid w:val="0"/>
        <w:spacing w:line="300" w:lineRule="auto"/>
        <w:ind w:left="720" w:hanging="360"/>
        <w:jc w:val="both"/>
        <w:rPr>
          <w:rFonts w:ascii="Arial" w:hAnsi="Arial"/>
          <w:sz w:val="21"/>
          <w:szCs w:val="21"/>
        </w:rPr>
      </w:pPr>
      <w:r>
        <w:rPr>
          <w:rFonts w:ascii="Arial" w:hAnsi="Arial"/>
          <w:sz w:val="21"/>
          <w:szCs w:val="21"/>
        </w:rPr>
        <w:t>设计特征；如，材料、配置、尺寸</w:t>
      </w:r>
    </w:p>
    <w:p w14:paraId="39679B61">
      <w:pPr>
        <w:numPr>
          <w:ilvl w:val="0"/>
          <w:numId w:val="5"/>
        </w:numPr>
        <w:tabs>
          <w:tab w:val="left" w:pos="720"/>
        </w:tabs>
        <w:snapToGrid w:val="0"/>
        <w:spacing w:line="300" w:lineRule="auto"/>
        <w:ind w:left="720" w:hanging="360"/>
        <w:jc w:val="both"/>
        <w:rPr>
          <w:rFonts w:ascii="Arial" w:hAnsi="Arial"/>
          <w:sz w:val="21"/>
          <w:szCs w:val="21"/>
        </w:rPr>
      </w:pPr>
      <w:r>
        <w:rPr>
          <w:rFonts w:ascii="Arial" w:hAnsi="Arial"/>
          <w:sz w:val="21"/>
          <w:szCs w:val="21"/>
        </w:rPr>
        <w:t>规格和尺寸</w:t>
      </w:r>
    </w:p>
    <w:p w14:paraId="3018FA7B">
      <w:pPr>
        <w:numPr>
          <w:ilvl w:val="0"/>
          <w:numId w:val="5"/>
        </w:numPr>
        <w:tabs>
          <w:tab w:val="left" w:pos="720"/>
        </w:tabs>
        <w:snapToGrid w:val="0"/>
        <w:spacing w:line="300" w:lineRule="auto"/>
        <w:ind w:left="720" w:hanging="360"/>
        <w:jc w:val="both"/>
        <w:rPr>
          <w:rFonts w:ascii="Arial" w:hAnsi="Arial"/>
          <w:sz w:val="21"/>
          <w:szCs w:val="21"/>
        </w:rPr>
      </w:pPr>
      <w:r>
        <w:rPr>
          <w:rFonts w:ascii="Arial" w:hAnsi="Arial"/>
          <w:sz w:val="21"/>
          <w:szCs w:val="21"/>
        </w:rPr>
        <w:t>材料，包括化学配方</w:t>
      </w:r>
    </w:p>
    <w:p w14:paraId="4A720FF3">
      <w:pPr>
        <w:numPr>
          <w:ilvl w:val="0"/>
          <w:numId w:val="5"/>
        </w:numPr>
        <w:tabs>
          <w:tab w:val="left" w:pos="720"/>
        </w:tabs>
        <w:snapToGrid w:val="0"/>
        <w:spacing w:line="300" w:lineRule="auto"/>
        <w:ind w:left="720" w:hanging="360"/>
        <w:jc w:val="both"/>
        <w:rPr>
          <w:rFonts w:ascii="Arial" w:hAnsi="Arial"/>
          <w:sz w:val="21"/>
          <w:szCs w:val="21"/>
        </w:rPr>
      </w:pPr>
      <w:r>
        <w:rPr>
          <w:rFonts w:ascii="Arial" w:hAnsi="Arial"/>
          <w:sz w:val="21"/>
          <w:szCs w:val="21"/>
        </w:rPr>
        <w:t>任何相关的自愿性标准。</w:t>
      </w:r>
    </w:p>
    <w:p w14:paraId="4E86A815">
      <w:pPr>
        <w:snapToGrid w:val="0"/>
        <w:spacing w:line="300" w:lineRule="auto"/>
        <w:jc w:val="both"/>
        <w:rPr>
          <w:rFonts w:ascii="Arial" w:hAnsi="Arial"/>
          <w:sz w:val="21"/>
          <w:szCs w:val="21"/>
        </w:rPr>
      </w:pPr>
    </w:p>
    <w:p w14:paraId="1F711272">
      <w:pPr>
        <w:snapToGrid w:val="0"/>
        <w:spacing w:line="300" w:lineRule="auto"/>
        <w:jc w:val="both"/>
        <w:rPr>
          <w:rFonts w:ascii="Arial" w:hAnsi="Arial"/>
          <w:sz w:val="21"/>
          <w:szCs w:val="21"/>
        </w:rPr>
      </w:pPr>
      <w:r>
        <w:rPr>
          <w:rFonts w:ascii="Arial" w:hAnsi="Arial"/>
          <w:sz w:val="21"/>
          <w:szCs w:val="21"/>
        </w:rPr>
        <w:t>我们建议贵公司尽可能以表格形式包含以下描述信息进行并列比较。我们也建议贵公司描述任何差异对防锐器损伤特性的相对安全性和性能的可能影响。</w:t>
      </w:r>
    </w:p>
    <w:p w14:paraId="1D6FE2C5">
      <w:pPr>
        <w:snapToGrid w:val="0"/>
        <w:spacing w:line="300" w:lineRule="auto"/>
        <w:jc w:val="both"/>
        <w:rPr>
          <w:rFonts w:ascii="Arial" w:hAnsi="Arial"/>
          <w:sz w:val="21"/>
          <w:szCs w:val="21"/>
        </w:rPr>
      </w:pPr>
    </w:p>
    <w:p w14:paraId="61AADF01">
      <w:pPr>
        <w:snapToGrid w:val="0"/>
        <w:spacing w:line="300" w:lineRule="auto"/>
        <w:ind w:left="360"/>
        <w:jc w:val="both"/>
        <w:rPr>
          <w:rFonts w:ascii="Arial" w:hAnsi="Arial"/>
          <w:b/>
          <w:sz w:val="24"/>
          <w:szCs w:val="24"/>
        </w:rPr>
      </w:pPr>
      <w:r>
        <w:rPr>
          <w:rFonts w:ascii="Arial" w:hAnsi="Arial"/>
          <w:b/>
          <w:sz w:val="24"/>
          <w:szCs w:val="24"/>
        </w:rPr>
        <w:t>材料成分</w:t>
      </w:r>
    </w:p>
    <w:p w14:paraId="26747A25">
      <w:pPr>
        <w:snapToGrid w:val="0"/>
        <w:spacing w:line="300" w:lineRule="auto"/>
        <w:jc w:val="both"/>
        <w:rPr>
          <w:rFonts w:ascii="Arial" w:hAnsi="Arial"/>
          <w:sz w:val="21"/>
          <w:szCs w:val="21"/>
        </w:rPr>
      </w:pPr>
    </w:p>
    <w:p w14:paraId="2A2A6822">
      <w:pPr>
        <w:snapToGrid w:val="0"/>
        <w:spacing w:line="300" w:lineRule="auto"/>
        <w:ind w:left="360"/>
        <w:jc w:val="both"/>
        <w:rPr>
          <w:rFonts w:ascii="Arial" w:hAnsi="Arial"/>
          <w:sz w:val="21"/>
          <w:szCs w:val="21"/>
        </w:rPr>
      </w:pPr>
      <w:r>
        <w:rPr>
          <w:rFonts w:ascii="Arial" w:hAnsi="Arial"/>
          <w:sz w:val="21"/>
          <w:szCs w:val="21"/>
        </w:rPr>
        <w:t>我们建议贵公司提供制造防锐器损伤特性过程中使用的所有器械材料的完整列表（商品名和化学配方），并确定任何金属组件。金属组件可能影响MRI环境中器械的安全性。我们也建议贵公司确定任何PVC增塑剂、黏合剂或其他添加剂（如着色剂、油墨、染料、标记线、不透射线材料）并提供其数量。</w:t>
      </w:r>
    </w:p>
    <w:p w14:paraId="67285784">
      <w:pPr>
        <w:snapToGrid w:val="0"/>
        <w:spacing w:line="300" w:lineRule="auto"/>
        <w:ind w:left="360"/>
        <w:jc w:val="both"/>
        <w:rPr>
          <w:rFonts w:ascii="Arial" w:hAnsi="Arial"/>
          <w:sz w:val="21"/>
          <w:szCs w:val="21"/>
        </w:rPr>
      </w:pPr>
    </w:p>
    <w:p w14:paraId="30EDBFA3">
      <w:pPr>
        <w:snapToGrid w:val="0"/>
        <w:spacing w:line="300" w:lineRule="auto"/>
        <w:ind w:left="360"/>
        <w:jc w:val="both"/>
        <w:rPr>
          <w:rFonts w:ascii="Arial" w:hAnsi="Arial"/>
          <w:sz w:val="21"/>
          <w:szCs w:val="21"/>
        </w:rPr>
      </w:pPr>
      <w:r>
        <w:rPr>
          <w:rFonts w:ascii="Arial" w:hAnsi="Arial"/>
          <w:sz w:val="21"/>
          <w:szCs w:val="21"/>
        </w:rPr>
        <w:t>以列表形式呈现信息是有益的，组件名称后面要加上特定材料标识符。我们认为仅标出类别（如聚氯乙烯[PVC]）是不充分的，因为材料成分有很多配方。</w:t>
      </w:r>
    </w:p>
    <w:p w14:paraId="69E2322D">
      <w:pPr>
        <w:snapToGrid w:val="0"/>
        <w:spacing w:line="300" w:lineRule="auto"/>
        <w:jc w:val="both"/>
        <w:rPr>
          <w:rFonts w:ascii="Arial" w:hAnsi="Arial"/>
          <w:sz w:val="21"/>
          <w:szCs w:val="21"/>
        </w:rPr>
      </w:pPr>
    </w:p>
    <w:p w14:paraId="36CF83E1">
      <w:pPr>
        <w:snapToGrid w:val="0"/>
        <w:spacing w:line="300" w:lineRule="auto"/>
        <w:ind w:left="360"/>
        <w:jc w:val="both"/>
        <w:rPr>
          <w:rFonts w:ascii="Arial" w:hAnsi="Arial"/>
          <w:b/>
          <w:sz w:val="24"/>
          <w:szCs w:val="24"/>
        </w:rPr>
      </w:pPr>
      <w:r>
        <w:rPr>
          <w:rFonts w:ascii="Arial" w:hAnsi="Arial"/>
          <w:b/>
          <w:sz w:val="24"/>
          <w:szCs w:val="24"/>
        </w:rPr>
        <w:t>机身规格</w:t>
      </w:r>
    </w:p>
    <w:p w14:paraId="60FCC839">
      <w:pPr>
        <w:snapToGrid w:val="0"/>
        <w:spacing w:line="300" w:lineRule="auto"/>
        <w:jc w:val="both"/>
        <w:rPr>
          <w:rFonts w:ascii="Arial" w:hAnsi="Arial"/>
          <w:sz w:val="21"/>
          <w:szCs w:val="21"/>
        </w:rPr>
      </w:pPr>
    </w:p>
    <w:p w14:paraId="51F4E985">
      <w:pPr>
        <w:snapToGrid w:val="0"/>
        <w:spacing w:line="300" w:lineRule="auto"/>
        <w:ind w:left="360"/>
        <w:jc w:val="both"/>
        <w:rPr>
          <w:rFonts w:ascii="Arial" w:hAnsi="Arial"/>
          <w:sz w:val="21"/>
          <w:szCs w:val="21"/>
        </w:rPr>
      </w:pPr>
      <w:r>
        <w:rPr>
          <w:rFonts w:ascii="Arial" w:hAnsi="Arial"/>
          <w:sz w:val="21"/>
          <w:szCs w:val="21"/>
        </w:rPr>
        <w:t>当描述机身规格时，我们建议贵公司说明以下规格与未保护的皮下注射针或无效的防锐器损伤特性的比较结果。我们建议贵公司指出：</w:t>
      </w:r>
    </w:p>
    <w:p w14:paraId="157E0E07">
      <w:pPr>
        <w:snapToGrid w:val="0"/>
        <w:spacing w:line="300" w:lineRule="auto"/>
        <w:jc w:val="both"/>
        <w:rPr>
          <w:rFonts w:ascii="Arial" w:hAnsi="Arial"/>
          <w:sz w:val="21"/>
          <w:szCs w:val="21"/>
        </w:rPr>
      </w:pPr>
      <w:r>
        <w:rPr>
          <w:rFonts w:ascii="Arial" w:hAnsi="Arial"/>
          <w:sz w:val="21"/>
          <w:szCs w:val="21"/>
        </w:rPr>
        <w:br w:type="page"/>
      </w:r>
    </w:p>
    <w:p w14:paraId="4054499D">
      <w:pPr>
        <w:numPr>
          <w:ilvl w:val="0"/>
          <w:numId w:val="6"/>
        </w:numPr>
        <w:tabs>
          <w:tab w:val="left" w:pos="1080"/>
        </w:tabs>
        <w:snapToGrid w:val="0"/>
        <w:spacing w:line="300" w:lineRule="auto"/>
        <w:ind w:left="1080" w:hanging="360"/>
        <w:jc w:val="both"/>
        <w:rPr>
          <w:rFonts w:ascii="Arial" w:hAnsi="Arial"/>
          <w:sz w:val="21"/>
          <w:szCs w:val="21"/>
        </w:rPr>
      </w:pPr>
      <w:r>
        <w:rPr>
          <w:rFonts w:ascii="Arial" w:hAnsi="Arial"/>
          <w:sz w:val="21"/>
          <w:szCs w:val="21"/>
        </w:rPr>
        <w:t>尺寸比如内径（ID）、外径（OD）、高度、长度、宽度、厚度、量规</w:t>
      </w:r>
    </w:p>
    <w:p w14:paraId="3F6BFAFA">
      <w:pPr>
        <w:numPr>
          <w:ilvl w:val="0"/>
          <w:numId w:val="6"/>
        </w:numPr>
        <w:tabs>
          <w:tab w:val="left" w:pos="1080"/>
        </w:tabs>
        <w:snapToGrid w:val="0"/>
        <w:spacing w:line="300" w:lineRule="auto"/>
        <w:ind w:left="1080" w:hanging="360"/>
        <w:jc w:val="both"/>
        <w:rPr>
          <w:rFonts w:ascii="Arial" w:hAnsi="Arial"/>
          <w:sz w:val="21"/>
          <w:szCs w:val="21"/>
        </w:rPr>
      </w:pPr>
      <w:r>
        <w:rPr>
          <w:rFonts w:ascii="Arial" w:hAnsi="Arial"/>
          <w:sz w:val="21"/>
          <w:szCs w:val="21"/>
        </w:rPr>
        <w:t>外罩直径（对固定嵌入针安全器械）</w:t>
      </w:r>
    </w:p>
    <w:p w14:paraId="70E9321C">
      <w:pPr>
        <w:numPr>
          <w:ilvl w:val="0"/>
          <w:numId w:val="6"/>
        </w:numPr>
        <w:tabs>
          <w:tab w:val="left" w:pos="1080"/>
        </w:tabs>
        <w:snapToGrid w:val="0"/>
        <w:spacing w:line="300" w:lineRule="auto"/>
        <w:ind w:left="1080" w:hanging="360"/>
        <w:jc w:val="both"/>
        <w:rPr>
          <w:rFonts w:ascii="Arial" w:hAnsi="Arial"/>
          <w:sz w:val="21"/>
          <w:szCs w:val="21"/>
        </w:rPr>
      </w:pPr>
      <w:r>
        <w:rPr>
          <w:rFonts w:ascii="Arial" w:hAnsi="Arial"/>
          <w:sz w:val="21"/>
          <w:szCs w:val="21"/>
        </w:rPr>
        <w:t>套管/针尖配置</w:t>
      </w:r>
    </w:p>
    <w:p w14:paraId="7E0E719E">
      <w:pPr>
        <w:numPr>
          <w:ilvl w:val="0"/>
          <w:numId w:val="6"/>
        </w:numPr>
        <w:tabs>
          <w:tab w:val="left" w:pos="1080"/>
        </w:tabs>
        <w:snapToGrid w:val="0"/>
        <w:spacing w:line="300" w:lineRule="auto"/>
        <w:ind w:left="1080" w:hanging="360"/>
        <w:jc w:val="both"/>
        <w:rPr>
          <w:rFonts w:ascii="Arial" w:hAnsi="Arial"/>
          <w:sz w:val="21"/>
          <w:szCs w:val="21"/>
        </w:rPr>
      </w:pPr>
      <w:r>
        <w:rPr>
          <w:rFonts w:ascii="Arial" w:hAnsi="Arial"/>
          <w:sz w:val="21"/>
          <w:szCs w:val="21"/>
        </w:rPr>
        <w:t>灌注量</w:t>
      </w:r>
    </w:p>
    <w:p w14:paraId="65F1646A">
      <w:pPr>
        <w:numPr>
          <w:ilvl w:val="0"/>
          <w:numId w:val="6"/>
        </w:numPr>
        <w:tabs>
          <w:tab w:val="left" w:pos="1080"/>
        </w:tabs>
        <w:snapToGrid w:val="0"/>
        <w:spacing w:line="300" w:lineRule="auto"/>
        <w:ind w:left="1080" w:hanging="360"/>
        <w:jc w:val="both"/>
        <w:rPr>
          <w:rFonts w:ascii="Arial" w:hAnsi="Arial"/>
          <w:sz w:val="21"/>
          <w:szCs w:val="21"/>
        </w:rPr>
      </w:pPr>
      <w:r>
        <w:rPr>
          <w:rFonts w:ascii="Arial" w:hAnsi="Arial"/>
          <w:sz w:val="21"/>
          <w:szCs w:val="21"/>
        </w:rPr>
        <w:t>注射进入孔或注射器中的余气量</w:t>
      </w:r>
    </w:p>
    <w:p w14:paraId="356A0153">
      <w:pPr>
        <w:numPr>
          <w:ilvl w:val="0"/>
          <w:numId w:val="6"/>
        </w:numPr>
        <w:tabs>
          <w:tab w:val="left" w:pos="1080"/>
        </w:tabs>
        <w:snapToGrid w:val="0"/>
        <w:spacing w:line="300" w:lineRule="auto"/>
        <w:ind w:left="1080" w:hanging="360"/>
        <w:jc w:val="both"/>
        <w:rPr>
          <w:rFonts w:ascii="Arial" w:hAnsi="Arial"/>
          <w:sz w:val="21"/>
          <w:szCs w:val="21"/>
        </w:rPr>
      </w:pPr>
      <w:r>
        <w:rPr>
          <w:rFonts w:ascii="Arial" w:hAnsi="Arial"/>
          <w:sz w:val="21"/>
          <w:szCs w:val="21"/>
        </w:rPr>
        <w:t>连接器类型： 如，卢尔锁、滑动配合</w:t>
      </w:r>
    </w:p>
    <w:p w14:paraId="11CAD136">
      <w:pPr>
        <w:numPr>
          <w:ilvl w:val="0"/>
          <w:numId w:val="6"/>
        </w:numPr>
        <w:tabs>
          <w:tab w:val="left" w:pos="1080"/>
        </w:tabs>
        <w:snapToGrid w:val="0"/>
        <w:spacing w:line="300" w:lineRule="auto"/>
        <w:ind w:left="1080" w:hanging="360"/>
        <w:jc w:val="both"/>
        <w:rPr>
          <w:rFonts w:ascii="Arial" w:hAnsi="Arial"/>
          <w:sz w:val="21"/>
          <w:szCs w:val="21"/>
        </w:rPr>
      </w:pPr>
      <w:r>
        <w:rPr>
          <w:rFonts w:ascii="Arial" w:hAnsi="Arial"/>
          <w:sz w:val="21"/>
          <w:szCs w:val="21"/>
        </w:rPr>
        <w:t>其他特性的尺寸</w:t>
      </w:r>
    </w:p>
    <w:p w14:paraId="7D1E61AE">
      <w:pPr>
        <w:numPr>
          <w:ilvl w:val="0"/>
          <w:numId w:val="6"/>
        </w:numPr>
        <w:tabs>
          <w:tab w:val="left" w:pos="1080"/>
        </w:tabs>
        <w:snapToGrid w:val="0"/>
        <w:spacing w:line="300" w:lineRule="auto"/>
        <w:ind w:left="1080" w:hanging="360"/>
        <w:jc w:val="both"/>
        <w:rPr>
          <w:rFonts w:ascii="Arial" w:hAnsi="Arial"/>
          <w:sz w:val="21"/>
          <w:szCs w:val="21"/>
        </w:rPr>
      </w:pPr>
      <w:r>
        <w:rPr>
          <w:rFonts w:ascii="Arial" w:hAnsi="Arial"/>
          <w:sz w:val="21"/>
          <w:szCs w:val="21"/>
        </w:rPr>
        <w:t>所有组件的颜色</w:t>
      </w:r>
    </w:p>
    <w:p w14:paraId="001AD62A">
      <w:pPr>
        <w:numPr>
          <w:ilvl w:val="0"/>
          <w:numId w:val="6"/>
        </w:numPr>
        <w:tabs>
          <w:tab w:val="left" w:pos="1080"/>
        </w:tabs>
        <w:snapToGrid w:val="0"/>
        <w:spacing w:line="300" w:lineRule="auto"/>
        <w:ind w:left="1080" w:hanging="360"/>
        <w:jc w:val="both"/>
        <w:rPr>
          <w:rFonts w:ascii="Arial" w:hAnsi="Arial"/>
          <w:sz w:val="21"/>
          <w:szCs w:val="21"/>
        </w:rPr>
      </w:pPr>
      <w:r>
        <w:rPr>
          <w:rFonts w:ascii="Arial" w:hAnsi="Arial"/>
          <w:sz w:val="21"/>
          <w:szCs w:val="21"/>
        </w:rPr>
        <w:t>可能影响使用的任何组件的不透明度（如，回流可视化或针头进入皮肤）</w:t>
      </w:r>
    </w:p>
    <w:p w14:paraId="03B082FC">
      <w:pPr>
        <w:numPr>
          <w:ilvl w:val="0"/>
          <w:numId w:val="6"/>
        </w:numPr>
        <w:tabs>
          <w:tab w:val="left" w:pos="1080"/>
        </w:tabs>
        <w:snapToGrid w:val="0"/>
        <w:spacing w:line="300" w:lineRule="auto"/>
        <w:ind w:left="1080" w:hanging="360"/>
        <w:jc w:val="both"/>
        <w:rPr>
          <w:rFonts w:ascii="Arial" w:hAnsi="Arial"/>
          <w:sz w:val="21"/>
          <w:szCs w:val="21"/>
        </w:rPr>
      </w:pPr>
      <w:r>
        <w:rPr>
          <w:rFonts w:ascii="Arial" w:hAnsi="Arial"/>
          <w:sz w:val="21"/>
          <w:szCs w:val="21"/>
        </w:rPr>
        <w:t>标记线和量表：颜色、量表类型，指出他们是否能在所有使用条件下能阅读（如当填充注射器使用前时针头护帽缩回，倒置）</w:t>
      </w:r>
    </w:p>
    <w:p w14:paraId="3B0DAE12">
      <w:pPr>
        <w:numPr>
          <w:ilvl w:val="0"/>
          <w:numId w:val="6"/>
        </w:numPr>
        <w:tabs>
          <w:tab w:val="left" w:pos="1080"/>
        </w:tabs>
        <w:snapToGrid w:val="0"/>
        <w:spacing w:line="300" w:lineRule="auto"/>
        <w:ind w:left="1080" w:hanging="360"/>
        <w:jc w:val="both"/>
        <w:rPr>
          <w:rFonts w:ascii="Arial" w:hAnsi="Arial"/>
          <w:sz w:val="21"/>
          <w:szCs w:val="21"/>
        </w:rPr>
      </w:pPr>
      <w:r>
        <w:rPr>
          <w:rFonts w:ascii="Arial" w:hAnsi="Arial"/>
          <w:sz w:val="21"/>
          <w:szCs w:val="21"/>
        </w:rPr>
        <w:t>器械任何其他独特的机身特性和规格。</w:t>
      </w:r>
    </w:p>
    <w:p w14:paraId="6ABFAABE">
      <w:pPr>
        <w:snapToGrid w:val="0"/>
        <w:spacing w:line="300" w:lineRule="auto"/>
        <w:jc w:val="both"/>
        <w:rPr>
          <w:rFonts w:ascii="Arial" w:hAnsi="Arial"/>
          <w:sz w:val="21"/>
          <w:szCs w:val="21"/>
        </w:rPr>
      </w:pPr>
    </w:p>
    <w:p w14:paraId="6C59AA7B">
      <w:pPr>
        <w:snapToGrid w:val="0"/>
        <w:spacing w:line="300" w:lineRule="auto"/>
        <w:ind w:left="360"/>
        <w:jc w:val="both"/>
        <w:rPr>
          <w:rFonts w:ascii="Arial" w:hAnsi="Arial"/>
          <w:b/>
          <w:sz w:val="24"/>
          <w:szCs w:val="24"/>
        </w:rPr>
      </w:pPr>
      <w:r>
        <w:rPr>
          <w:rFonts w:ascii="Arial" w:hAnsi="Arial"/>
          <w:b/>
          <w:sz w:val="24"/>
          <w:szCs w:val="24"/>
        </w:rPr>
        <w:t>器械参数</w:t>
      </w:r>
    </w:p>
    <w:p w14:paraId="09B51892">
      <w:pPr>
        <w:snapToGrid w:val="0"/>
        <w:spacing w:line="300" w:lineRule="auto"/>
        <w:jc w:val="both"/>
        <w:rPr>
          <w:rFonts w:ascii="Arial" w:hAnsi="Arial"/>
          <w:sz w:val="21"/>
          <w:szCs w:val="21"/>
        </w:rPr>
      </w:pPr>
    </w:p>
    <w:p w14:paraId="329A9DDE">
      <w:pPr>
        <w:snapToGrid w:val="0"/>
        <w:spacing w:line="300" w:lineRule="auto"/>
        <w:ind w:left="360"/>
        <w:jc w:val="both"/>
        <w:rPr>
          <w:rFonts w:ascii="Arial" w:hAnsi="Arial"/>
          <w:sz w:val="21"/>
          <w:szCs w:val="21"/>
        </w:rPr>
      </w:pPr>
      <w:r>
        <w:rPr>
          <w:rFonts w:ascii="Arial" w:hAnsi="Arial"/>
          <w:sz w:val="21"/>
          <w:szCs w:val="21"/>
        </w:rPr>
        <w:t>当提供器械参数时，我们建议贵公司说明：</w:t>
      </w:r>
    </w:p>
    <w:p w14:paraId="59E30DFB">
      <w:pPr>
        <w:snapToGrid w:val="0"/>
        <w:spacing w:line="300" w:lineRule="auto"/>
        <w:jc w:val="both"/>
        <w:rPr>
          <w:rFonts w:ascii="Arial" w:hAnsi="Arial"/>
          <w:sz w:val="21"/>
          <w:szCs w:val="21"/>
        </w:rPr>
      </w:pPr>
    </w:p>
    <w:p w14:paraId="17BF0042">
      <w:pPr>
        <w:numPr>
          <w:ilvl w:val="0"/>
          <w:numId w:val="7"/>
        </w:numPr>
        <w:tabs>
          <w:tab w:val="left" w:pos="1080"/>
        </w:tabs>
        <w:snapToGrid w:val="0"/>
        <w:spacing w:line="300" w:lineRule="auto"/>
        <w:ind w:left="1080" w:hanging="360"/>
        <w:jc w:val="both"/>
        <w:rPr>
          <w:rFonts w:ascii="Arial" w:hAnsi="Arial"/>
          <w:sz w:val="21"/>
          <w:szCs w:val="21"/>
        </w:rPr>
      </w:pPr>
      <w:r>
        <w:rPr>
          <w:rFonts w:ascii="Arial" w:hAnsi="Arial"/>
          <w:sz w:val="21"/>
          <w:szCs w:val="21"/>
        </w:rPr>
        <w:t>材料强度 （张力、弯曲、伸长、等）</w:t>
      </w:r>
    </w:p>
    <w:p w14:paraId="56A3CBD6">
      <w:pPr>
        <w:numPr>
          <w:ilvl w:val="0"/>
          <w:numId w:val="7"/>
        </w:numPr>
        <w:tabs>
          <w:tab w:val="left" w:pos="1080"/>
        </w:tabs>
        <w:snapToGrid w:val="0"/>
        <w:spacing w:line="300" w:lineRule="auto"/>
        <w:ind w:left="1080" w:hanging="360"/>
        <w:jc w:val="both"/>
        <w:rPr>
          <w:rFonts w:ascii="Arial" w:hAnsi="Arial"/>
          <w:sz w:val="21"/>
          <w:szCs w:val="21"/>
        </w:rPr>
      </w:pPr>
      <w:r>
        <w:rPr>
          <w:rFonts w:ascii="Arial" w:hAnsi="Arial"/>
          <w:sz w:val="21"/>
          <w:szCs w:val="21"/>
        </w:rPr>
        <w:t>接头、粘合、连接、铰链、阀门、锁紧机构等的强度。</w:t>
      </w:r>
    </w:p>
    <w:p w14:paraId="68D68040">
      <w:pPr>
        <w:numPr>
          <w:ilvl w:val="0"/>
          <w:numId w:val="7"/>
        </w:numPr>
        <w:tabs>
          <w:tab w:val="left" w:pos="1080"/>
        </w:tabs>
        <w:snapToGrid w:val="0"/>
        <w:spacing w:line="300" w:lineRule="auto"/>
        <w:ind w:left="1080" w:hanging="360"/>
        <w:jc w:val="both"/>
        <w:rPr>
          <w:rFonts w:ascii="Arial" w:hAnsi="Arial"/>
          <w:sz w:val="21"/>
          <w:szCs w:val="21"/>
        </w:rPr>
      </w:pPr>
      <w:r>
        <w:rPr>
          <w:rFonts w:ascii="Arial" w:hAnsi="Arial"/>
          <w:sz w:val="21"/>
          <w:szCs w:val="21"/>
        </w:rPr>
        <w:t>安全罩或安全鞘的硬度</w:t>
      </w:r>
    </w:p>
    <w:p w14:paraId="12AA2AA4">
      <w:pPr>
        <w:numPr>
          <w:ilvl w:val="0"/>
          <w:numId w:val="7"/>
        </w:numPr>
        <w:tabs>
          <w:tab w:val="left" w:pos="1080"/>
        </w:tabs>
        <w:snapToGrid w:val="0"/>
        <w:spacing w:line="300" w:lineRule="auto"/>
        <w:ind w:left="1080" w:hanging="360"/>
        <w:jc w:val="both"/>
        <w:rPr>
          <w:rFonts w:ascii="Arial" w:hAnsi="Arial"/>
          <w:sz w:val="21"/>
          <w:szCs w:val="21"/>
        </w:rPr>
      </w:pPr>
      <w:r>
        <w:rPr>
          <w:rFonts w:ascii="Arial" w:hAnsi="Arial"/>
          <w:sz w:val="21"/>
          <w:szCs w:val="21"/>
        </w:rPr>
        <w:t>隔板穿刺/再封限制。</w:t>
      </w:r>
    </w:p>
    <w:p w14:paraId="072BF870">
      <w:pPr>
        <w:snapToGrid w:val="0"/>
        <w:spacing w:line="300" w:lineRule="auto"/>
        <w:jc w:val="both"/>
        <w:rPr>
          <w:rFonts w:ascii="Arial" w:hAnsi="Arial"/>
          <w:sz w:val="21"/>
          <w:szCs w:val="21"/>
        </w:rPr>
      </w:pPr>
    </w:p>
    <w:p w14:paraId="2250E21A">
      <w:pPr>
        <w:snapToGrid w:val="0"/>
        <w:spacing w:line="300" w:lineRule="auto"/>
        <w:ind w:left="360"/>
        <w:jc w:val="both"/>
        <w:rPr>
          <w:rFonts w:ascii="Arial" w:hAnsi="Arial"/>
          <w:b/>
          <w:sz w:val="24"/>
          <w:szCs w:val="24"/>
        </w:rPr>
      </w:pPr>
      <w:r>
        <w:rPr>
          <w:rFonts w:ascii="Arial" w:hAnsi="Arial"/>
          <w:b/>
          <w:sz w:val="24"/>
          <w:szCs w:val="24"/>
        </w:rPr>
        <w:t>设计特点</w:t>
      </w:r>
    </w:p>
    <w:p w14:paraId="3EF52975">
      <w:pPr>
        <w:snapToGrid w:val="0"/>
        <w:spacing w:line="300" w:lineRule="auto"/>
        <w:ind w:left="360"/>
        <w:jc w:val="both"/>
        <w:rPr>
          <w:rFonts w:ascii="Arial" w:hAnsi="Arial"/>
          <w:sz w:val="21"/>
          <w:szCs w:val="21"/>
        </w:rPr>
      </w:pPr>
      <w:r>
        <w:rPr>
          <w:rFonts w:ascii="Arial" w:hAnsi="Arial"/>
          <w:sz w:val="21"/>
          <w:szCs w:val="21"/>
        </w:rPr>
        <w:t>我们建议贵公司描述贵公司的器械和类似的同类合法上市器械在特性方面的任何相似或不同之处，因为其可能影响安全性和有效性。如，我们建议贵公司把一个含有安全罩的新注射器和一个合法上市的含有安全罩的注射器进行比较。</w:t>
      </w:r>
    </w:p>
    <w:p w14:paraId="015AED55">
      <w:pPr>
        <w:snapToGrid w:val="0"/>
        <w:spacing w:line="300" w:lineRule="auto"/>
        <w:jc w:val="both"/>
        <w:rPr>
          <w:rFonts w:ascii="Arial" w:hAnsi="Arial"/>
          <w:sz w:val="21"/>
          <w:szCs w:val="21"/>
        </w:rPr>
      </w:pPr>
    </w:p>
    <w:p w14:paraId="4399829D">
      <w:pPr>
        <w:snapToGrid w:val="0"/>
        <w:spacing w:line="300" w:lineRule="auto"/>
        <w:jc w:val="both"/>
        <w:rPr>
          <w:rFonts w:ascii="Arial" w:hAnsi="Arial"/>
          <w:sz w:val="21"/>
          <w:szCs w:val="21"/>
        </w:rPr>
      </w:pPr>
    </w:p>
    <w:p w14:paraId="6BAF058A">
      <w:pPr>
        <w:numPr>
          <w:ilvl w:val="0"/>
          <w:numId w:val="1"/>
        </w:numPr>
        <w:tabs>
          <w:tab w:val="left" w:pos="720"/>
        </w:tabs>
        <w:snapToGrid w:val="0"/>
        <w:spacing w:line="300" w:lineRule="auto"/>
        <w:ind w:left="720" w:hanging="720"/>
        <w:jc w:val="both"/>
        <w:outlineLvl w:val="0"/>
        <w:rPr>
          <w:rFonts w:ascii="Arial" w:hAnsi="Arial"/>
          <w:b/>
          <w:sz w:val="36"/>
          <w:szCs w:val="36"/>
        </w:rPr>
      </w:pPr>
      <w:bookmarkStart w:id="8" w:name="_Toc481741695"/>
      <w:r>
        <w:rPr>
          <w:rFonts w:ascii="Arial" w:hAnsi="Arial"/>
          <w:b/>
          <w:sz w:val="36"/>
        </w:rPr>
        <w:t>健康</w:t>
      </w:r>
      <w:r>
        <w:rPr>
          <w:rFonts w:ascii="Arial" w:hAnsi="Arial"/>
          <w:b/>
          <w:sz w:val="36"/>
          <w:szCs w:val="36"/>
        </w:rPr>
        <w:t>风险</w:t>
      </w:r>
      <w:bookmarkEnd w:id="8"/>
    </w:p>
    <w:p w14:paraId="099C3038">
      <w:pPr>
        <w:snapToGrid w:val="0"/>
        <w:spacing w:line="300" w:lineRule="auto"/>
        <w:jc w:val="both"/>
        <w:rPr>
          <w:rFonts w:ascii="Arial" w:hAnsi="Arial"/>
          <w:sz w:val="21"/>
          <w:szCs w:val="21"/>
        </w:rPr>
      </w:pPr>
    </w:p>
    <w:p w14:paraId="53AC2768">
      <w:pPr>
        <w:snapToGrid w:val="0"/>
        <w:spacing w:line="300" w:lineRule="auto"/>
        <w:jc w:val="both"/>
        <w:rPr>
          <w:rFonts w:ascii="Arial" w:hAnsi="Arial"/>
          <w:sz w:val="21"/>
          <w:szCs w:val="21"/>
        </w:rPr>
      </w:pPr>
      <w:r>
        <w:rPr>
          <w:rFonts w:ascii="Arial" w:hAnsi="Arial"/>
          <w:sz w:val="21"/>
          <w:szCs w:val="21"/>
        </w:rPr>
        <w:t>在下表中，FDA已经确定通常与本文件中讨论的防锐器损伤特性相关的健康风险。我们建议贵公司在510（k）中包含信息以解决这些已鉴定的风险，请参见本指导性文件，如下表所示。我们建议贵公司进行风险分析（在提交贵公司的510（k）之前）之前，鉴定器械特有的任何其他风险。510（k）应该描述风险分析方法，并包含风险分析及其结果。如果选择使用替代方法解决本文件鉴定的特定风险或确定本文件中存在的其他风险，则应该提供足够的详细信息证明所使用解决该风险的方法。</w:t>
      </w:r>
    </w:p>
    <w:p w14:paraId="6C87A1A0">
      <w:pPr>
        <w:snapToGrid w:val="0"/>
        <w:spacing w:line="300" w:lineRule="auto"/>
        <w:jc w:val="both"/>
        <w:rPr>
          <w:rFonts w:ascii="Arial" w:hAnsi="Arial"/>
          <w:sz w:val="24"/>
        </w:rPr>
      </w:pPr>
      <w:r>
        <w:rPr>
          <w:rFonts w:ascii="Arial" w:hAnsi="Arial"/>
          <w:sz w:val="24"/>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14:paraId="724E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8" w:type="dxa"/>
            <w:shd w:val="clear" w:color="auto" w:fill="CCFFFF"/>
            <w:vAlign w:val="center"/>
          </w:tcPr>
          <w:p w14:paraId="0805C873">
            <w:pPr>
              <w:snapToGrid w:val="0"/>
              <w:spacing w:line="300" w:lineRule="auto"/>
              <w:jc w:val="center"/>
              <w:rPr>
                <w:rFonts w:ascii="Arial" w:hAnsi="Arial"/>
                <w:b/>
                <w:sz w:val="21"/>
                <w:szCs w:val="21"/>
              </w:rPr>
            </w:pPr>
            <w:r>
              <w:rPr>
                <w:rFonts w:hint="eastAsia" w:ascii="Arial" w:hAnsi="Arial"/>
                <w:b/>
                <w:sz w:val="21"/>
                <w:szCs w:val="21"/>
              </w:rPr>
              <w:t>鉴定的风险</w:t>
            </w:r>
          </w:p>
        </w:tc>
        <w:tc>
          <w:tcPr>
            <w:tcW w:w="4948" w:type="dxa"/>
            <w:shd w:val="clear" w:color="auto" w:fill="CCFFFF"/>
            <w:vAlign w:val="center"/>
          </w:tcPr>
          <w:p w14:paraId="3E0BEE7B">
            <w:pPr>
              <w:snapToGrid w:val="0"/>
              <w:spacing w:line="300" w:lineRule="auto"/>
              <w:jc w:val="center"/>
              <w:rPr>
                <w:rFonts w:ascii="Arial" w:hAnsi="Arial"/>
                <w:b/>
                <w:sz w:val="21"/>
                <w:szCs w:val="21"/>
              </w:rPr>
            </w:pPr>
            <w:r>
              <w:rPr>
                <w:rFonts w:hint="eastAsia" w:ascii="Arial" w:hAnsi="Arial"/>
                <w:b/>
                <w:sz w:val="21"/>
                <w:szCs w:val="21"/>
              </w:rPr>
              <w:t>建议的缓解措施</w:t>
            </w:r>
          </w:p>
        </w:tc>
      </w:tr>
      <w:tr w14:paraId="0AFA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8" w:type="dxa"/>
            <w:shd w:val="clear" w:color="auto" w:fill="auto"/>
            <w:vAlign w:val="center"/>
          </w:tcPr>
          <w:p w14:paraId="6152D252">
            <w:pPr>
              <w:snapToGrid w:val="0"/>
              <w:spacing w:line="300" w:lineRule="auto"/>
              <w:jc w:val="center"/>
              <w:rPr>
                <w:rFonts w:ascii="Arial" w:hAnsi="Arial"/>
                <w:sz w:val="21"/>
                <w:szCs w:val="21"/>
              </w:rPr>
            </w:pPr>
            <w:r>
              <w:rPr>
                <w:rFonts w:ascii="Arial" w:hAnsi="Arial"/>
                <w:sz w:val="21"/>
                <w:szCs w:val="21"/>
              </w:rPr>
              <w:t>器械故障</w:t>
            </w:r>
          </w:p>
        </w:tc>
        <w:tc>
          <w:tcPr>
            <w:tcW w:w="4948" w:type="dxa"/>
            <w:shd w:val="clear" w:color="auto" w:fill="auto"/>
            <w:vAlign w:val="center"/>
          </w:tcPr>
          <w:p w14:paraId="09CE6292">
            <w:pPr>
              <w:snapToGrid w:val="0"/>
              <w:spacing w:line="300" w:lineRule="auto"/>
              <w:jc w:val="center"/>
              <w:rPr>
                <w:rFonts w:ascii="Arial" w:hAnsi="Arial"/>
                <w:sz w:val="21"/>
                <w:szCs w:val="21"/>
              </w:rPr>
            </w:pPr>
            <w:r>
              <w:rPr>
                <w:rFonts w:ascii="Arial" w:hAnsi="Arial"/>
                <w:sz w:val="21"/>
                <w:szCs w:val="21"/>
              </w:rPr>
              <w:t>第8节台架测试</w:t>
            </w:r>
          </w:p>
        </w:tc>
      </w:tr>
      <w:tr w14:paraId="3452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8" w:type="dxa"/>
            <w:shd w:val="clear" w:color="auto" w:fill="auto"/>
            <w:vAlign w:val="center"/>
          </w:tcPr>
          <w:p w14:paraId="5593E378">
            <w:pPr>
              <w:snapToGrid w:val="0"/>
              <w:spacing w:line="300" w:lineRule="auto"/>
              <w:jc w:val="center"/>
              <w:rPr>
                <w:rFonts w:ascii="Arial" w:hAnsi="Arial"/>
                <w:sz w:val="21"/>
                <w:szCs w:val="21"/>
              </w:rPr>
            </w:pPr>
            <w:r>
              <w:rPr>
                <w:rFonts w:ascii="Arial" w:hAnsi="Arial"/>
                <w:sz w:val="21"/>
                <w:szCs w:val="21"/>
              </w:rPr>
              <w:t>不良组织反应</w:t>
            </w:r>
          </w:p>
        </w:tc>
        <w:tc>
          <w:tcPr>
            <w:tcW w:w="4948" w:type="dxa"/>
            <w:shd w:val="clear" w:color="auto" w:fill="auto"/>
            <w:vAlign w:val="center"/>
          </w:tcPr>
          <w:p w14:paraId="7043F5AA">
            <w:pPr>
              <w:snapToGrid w:val="0"/>
              <w:spacing w:line="300" w:lineRule="auto"/>
              <w:jc w:val="center"/>
              <w:rPr>
                <w:rFonts w:ascii="Arial" w:hAnsi="Arial"/>
                <w:sz w:val="21"/>
                <w:szCs w:val="21"/>
              </w:rPr>
            </w:pPr>
            <w:r>
              <w:rPr>
                <w:rFonts w:ascii="Arial" w:hAnsi="Arial"/>
                <w:sz w:val="21"/>
                <w:szCs w:val="21"/>
              </w:rPr>
              <w:t>第11节生物相容性</w:t>
            </w:r>
          </w:p>
        </w:tc>
      </w:tr>
      <w:tr w14:paraId="6269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8" w:type="dxa"/>
            <w:shd w:val="clear" w:color="auto" w:fill="auto"/>
            <w:vAlign w:val="center"/>
          </w:tcPr>
          <w:p w14:paraId="49E79411">
            <w:pPr>
              <w:tabs>
                <w:tab w:val="left" w:pos="840"/>
              </w:tabs>
              <w:snapToGrid w:val="0"/>
              <w:spacing w:line="300" w:lineRule="auto"/>
              <w:jc w:val="center"/>
              <w:rPr>
                <w:rFonts w:ascii="Arial" w:hAnsi="Arial"/>
                <w:sz w:val="21"/>
                <w:szCs w:val="21"/>
              </w:rPr>
            </w:pPr>
            <w:r>
              <w:rPr>
                <w:rFonts w:ascii="Arial" w:hAnsi="Arial"/>
                <w:sz w:val="21"/>
                <w:szCs w:val="21"/>
              </w:rPr>
              <w:t>感染</w:t>
            </w:r>
          </w:p>
        </w:tc>
        <w:tc>
          <w:tcPr>
            <w:tcW w:w="4948" w:type="dxa"/>
            <w:shd w:val="clear" w:color="auto" w:fill="auto"/>
            <w:vAlign w:val="center"/>
          </w:tcPr>
          <w:p w14:paraId="517DF658">
            <w:pPr>
              <w:snapToGrid w:val="0"/>
              <w:spacing w:line="300" w:lineRule="auto"/>
              <w:jc w:val="center"/>
              <w:rPr>
                <w:rFonts w:ascii="Arial" w:hAnsi="Arial"/>
                <w:sz w:val="21"/>
                <w:szCs w:val="21"/>
              </w:rPr>
            </w:pPr>
            <w:r>
              <w:rPr>
                <w:rFonts w:ascii="Arial" w:hAnsi="Arial"/>
                <w:sz w:val="21"/>
                <w:szCs w:val="21"/>
              </w:rPr>
              <w:t>第9节微生物入侵测试</w:t>
            </w:r>
          </w:p>
          <w:p w14:paraId="5899787B">
            <w:pPr>
              <w:snapToGrid w:val="0"/>
              <w:spacing w:line="300" w:lineRule="auto"/>
              <w:jc w:val="center"/>
              <w:rPr>
                <w:rFonts w:ascii="Arial" w:hAnsi="Arial"/>
                <w:sz w:val="21"/>
                <w:szCs w:val="21"/>
              </w:rPr>
            </w:pPr>
            <w:r>
              <w:rPr>
                <w:rFonts w:ascii="Arial" w:hAnsi="Arial"/>
                <w:sz w:val="21"/>
                <w:szCs w:val="21"/>
              </w:rPr>
              <w:t>第10节模拟临床应用测试</w:t>
            </w:r>
          </w:p>
          <w:p w14:paraId="32318879">
            <w:pPr>
              <w:snapToGrid w:val="0"/>
              <w:spacing w:line="300" w:lineRule="auto"/>
              <w:jc w:val="center"/>
              <w:rPr>
                <w:rFonts w:ascii="Arial" w:hAnsi="Arial"/>
                <w:sz w:val="21"/>
                <w:szCs w:val="21"/>
              </w:rPr>
            </w:pPr>
            <w:r>
              <w:rPr>
                <w:rFonts w:ascii="Arial" w:hAnsi="Arial"/>
                <w:sz w:val="21"/>
                <w:szCs w:val="21"/>
              </w:rPr>
              <w:t>第12节灭菌</w:t>
            </w:r>
          </w:p>
        </w:tc>
      </w:tr>
      <w:tr w14:paraId="6C69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8" w:type="dxa"/>
            <w:shd w:val="clear" w:color="auto" w:fill="auto"/>
            <w:vAlign w:val="center"/>
          </w:tcPr>
          <w:p w14:paraId="01380881">
            <w:pPr>
              <w:snapToGrid w:val="0"/>
              <w:spacing w:line="300" w:lineRule="auto"/>
              <w:jc w:val="center"/>
              <w:rPr>
                <w:rFonts w:ascii="Arial" w:hAnsi="Arial"/>
                <w:sz w:val="21"/>
                <w:szCs w:val="21"/>
              </w:rPr>
            </w:pPr>
            <w:r>
              <w:rPr>
                <w:rFonts w:ascii="Arial" w:hAnsi="Arial"/>
                <w:sz w:val="21"/>
                <w:szCs w:val="21"/>
              </w:rPr>
              <w:t>使用不适当</w:t>
            </w:r>
          </w:p>
        </w:tc>
        <w:tc>
          <w:tcPr>
            <w:tcW w:w="4948" w:type="dxa"/>
            <w:shd w:val="clear" w:color="auto" w:fill="auto"/>
            <w:vAlign w:val="center"/>
          </w:tcPr>
          <w:p w14:paraId="20731B59">
            <w:pPr>
              <w:snapToGrid w:val="0"/>
              <w:spacing w:line="300" w:lineRule="auto"/>
              <w:jc w:val="center"/>
              <w:rPr>
                <w:rFonts w:ascii="Arial" w:hAnsi="Arial"/>
                <w:sz w:val="21"/>
                <w:szCs w:val="21"/>
              </w:rPr>
            </w:pPr>
            <w:r>
              <w:rPr>
                <w:rFonts w:ascii="Arial" w:hAnsi="Arial"/>
                <w:sz w:val="21"/>
                <w:szCs w:val="21"/>
              </w:rPr>
              <w:t>第13节标签</w:t>
            </w:r>
          </w:p>
        </w:tc>
      </w:tr>
    </w:tbl>
    <w:p w14:paraId="54664BD8">
      <w:pPr>
        <w:snapToGrid w:val="0"/>
        <w:spacing w:line="300" w:lineRule="auto"/>
        <w:jc w:val="both"/>
        <w:rPr>
          <w:rFonts w:ascii="Arial" w:hAnsi="Arial"/>
          <w:sz w:val="21"/>
          <w:szCs w:val="21"/>
        </w:rPr>
      </w:pPr>
    </w:p>
    <w:p w14:paraId="41BD99EB">
      <w:pPr>
        <w:snapToGrid w:val="0"/>
        <w:spacing w:line="300" w:lineRule="auto"/>
        <w:jc w:val="both"/>
        <w:rPr>
          <w:rFonts w:ascii="Arial" w:hAnsi="Arial"/>
          <w:sz w:val="21"/>
          <w:szCs w:val="21"/>
        </w:rPr>
      </w:pPr>
    </w:p>
    <w:p w14:paraId="50638E76">
      <w:pPr>
        <w:numPr>
          <w:ilvl w:val="0"/>
          <w:numId w:val="1"/>
        </w:numPr>
        <w:tabs>
          <w:tab w:val="left" w:pos="740"/>
        </w:tabs>
        <w:snapToGrid w:val="0"/>
        <w:spacing w:line="300" w:lineRule="auto"/>
        <w:ind w:left="720" w:hanging="720"/>
        <w:jc w:val="both"/>
        <w:outlineLvl w:val="0"/>
        <w:rPr>
          <w:rFonts w:ascii="Arial" w:hAnsi="Arial"/>
          <w:b/>
          <w:sz w:val="36"/>
          <w:szCs w:val="36"/>
        </w:rPr>
      </w:pPr>
      <w:bookmarkStart w:id="9" w:name="_Toc481741696"/>
      <w:r>
        <w:rPr>
          <w:rFonts w:ascii="Arial" w:hAnsi="Arial"/>
          <w:b/>
          <w:sz w:val="36"/>
          <w:szCs w:val="36"/>
        </w:rPr>
        <w:t>台架测试</w:t>
      </w:r>
      <w:bookmarkEnd w:id="9"/>
    </w:p>
    <w:p w14:paraId="7B4E6B8A">
      <w:pPr>
        <w:snapToGrid w:val="0"/>
        <w:spacing w:line="300" w:lineRule="auto"/>
        <w:jc w:val="both"/>
        <w:rPr>
          <w:rFonts w:ascii="Arial" w:hAnsi="Arial"/>
          <w:sz w:val="21"/>
          <w:szCs w:val="21"/>
        </w:rPr>
      </w:pPr>
    </w:p>
    <w:p w14:paraId="38A78DA6">
      <w:pPr>
        <w:snapToGrid w:val="0"/>
        <w:spacing w:line="300" w:lineRule="auto"/>
        <w:ind w:left="20"/>
        <w:jc w:val="both"/>
        <w:rPr>
          <w:rFonts w:ascii="Arial" w:hAnsi="Arial"/>
          <w:sz w:val="21"/>
          <w:szCs w:val="21"/>
        </w:rPr>
      </w:pPr>
      <w:r>
        <w:rPr>
          <w:rFonts w:ascii="Arial" w:hAnsi="Arial"/>
          <w:sz w:val="21"/>
          <w:szCs w:val="21"/>
        </w:rPr>
        <w:t>我们建议贵公司在干燥测试环境和模拟体液或液体的潮湿环境的两种情况下进行所有的测试。我们建议贵公司评估贵公司的器械与类似的合法上市器械进行比较，使用组件故障点最坏情况模拟静态或动态。我们也建议贵公司描述贵公司如何确定最坏情况。我们建议贵测试评估以下内容：</w:t>
      </w:r>
    </w:p>
    <w:p w14:paraId="24ECADE9">
      <w:pPr>
        <w:snapToGrid w:val="0"/>
        <w:spacing w:line="300" w:lineRule="auto"/>
        <w:jc w:val="both"/>
        <w:rPr>
          <w:rFonts w:ascii="Arial" w:hAnsi="Arial"/>
          <w:sz w:val="21"/>
          <w:szCs w:val="21"/>
        </w:rPr>
      </w:pPr>
    </w:p>
    <w:p w14:paraId="737436B6">
      <w:pPr>
        <w:numPr>
          <w:ilvl w:val="0"/>
          <w:numId w:val="8"/>
        </w:numPr>
        <w:tabs>
          <w:tab w:val="left" w:pos="740"/>
        </w:tabs>
        <w:snapToGrid w:val="0"/>
        <w:spacing w:line="300" w:lineRule="auto"/>
        <w:ind w:left="740" w:hanging="360"/>
        <w:jc w:val="both"/>
        <w:rPr>
          <w:rFonts w:ascii="Arial" w:hAnsi="Arial"/>
          <w:sz w:val="21"/>
          <w:szCs w:val="21"/>
        </w:rPr>
      </w:pPr>
      <w:r>
        <w:rPr>
          <w:rFonts w:ascii="Arial" w:hAnsi="Arial"/>
          <w:sz w:val="21"/>
          <w:szCs w:val="21"/>
        </w:rPr>
        <w:t>强制安装和分离连接</w:t>
      </w:r>
    </w:p>
    <w:p w14:paraId="0A60EAB8">
      <w:pPr>
        <w:snapToGrid w:val="0"/>
        <w:spacing w:line="300" w:lineRule="auto"/>
        <w:jc w:val="both"/>
        <w:rPr>
          <w:rFonts w:ascii="Arial" w:hAnsi="Arial"/>
          <w:sz w:val="21"/>
          <w:szCs w:val="21"/>
        </w:rPr>
      </w:pPr>
    </w:p>
    <w:p w14:paraId="5142FE58">
      <w:pPr>
        <w:numPr>
          <w:ilvl w:val="0"/>
          <w:numId w:val="8"/>
        </w:numPr>
        <w:tabs>
          <w:tab w:val="left" w:pos="740"/>
        </w:tabs>
        <w:snapToGrid w:val="0"/>
        <w:spacing w:line="300" w:lineRule="auto"/>
        <w:ind w:left="740" w:hanging="360"/>
        <w:jc w:val="both"/>
        <w:rPr>
          <w:rFonts w:ascii="Arial" w:hAnsi="Arial"/>
          <w:sz w:val="21"/>
          <w:szCs w:val="21"/>
        </w:rPr>
      </w:pPr>
      <w:r>
        <w:rPr>
          <w:rFonts w:ascii="Arial" w:hAnsi="Arial"/>
          <w:sz w:val="21"/>
          <w:szCs w:val="21"/>
        </w:rPr>
        <w:t>强制激活和关闭安全特性</w:t>
      </w:r>
    </w:p>
    <w:p w14:paraId="0052169A">
      <w:pPr>
        <w:snapToGrid w:val="0"/>
        <w:spacing w:line="300" w:lineRule="auto"/>
        <w:jc w:val="both"/>
        <w:rPr>
          <w:rFonts w:ascii="Arial" w:hAnsi="Arial"/>
          <w:sz w:val="21"/>
          <w:szCs w:val="21"/>
        </w:rPr>
      </w:pPr>
    </w:p>
    <w:p w14:paraId="093DEC2E">
      <w:pPr>
        <w:numPr>
          <w:ilvl w:val="0"/>
          <w:numId w:val="8"/>
        </w:numPr>
        <w:tabs>
          <w:tab w:val="left" w:pos="740"/>
        </w:tabs>
        <w:snapToGrid w:val="0"/>
        <w:spacing w:line="300" w:lineRule="auto"/>
        <w:ind w:left="740" w:hanging="360"/>
        <w:jc w:val="both"/>
        <w:rPr>
          <w:rFonts w:ascii="Arial" w:hAnsi="Arial"/>
          <w:sz w:val="21"/>
          <w:szCs w:val="21"/>
        </w:rPr>
      </w:pPr>
      <w:r>
        <w:rPr>
          <w:rFonts w:ascii="Arial" w:hAnsi="Arial"/>
          <w:sz w:val="21"/>
          <w:szCs w:val="21"/>
        </w:rPr>
        <w:t>激活机制产生的反作用力，如果有（如，含有被动弹簧加载特性或弹性组件）</w:t>
      </w:r>
    </w:p>
    <w:p w14:paraId="58300305">
      <w:pPr>
        <w:snapToGrid w:val="0"/>
        <w:spacing w:line="300" w:lineRule="auto"/>
        <w:jc w:val="both"/>
        <w:rPr>
          <w:rFonts w:ascii="Arial" w:hAnsi="Arial"/>
          <w:sz w:val="21"/>
          <w:szCs w:val="21"/>
        </w:rPr>
      </w:pPr>
    </w:p>
    <w:p w14:paraId="13E94562">
      <w:pPr>
        <w:numPr>
          <w:ilvl w:val="0"/>
          <w:numId w:val="8"/>
        </w:numPr>
        <w:tabs>
          <w:tab w:val="left" w:pos="740"/>
        </w:tabs>
        <w:snapToGrid w:val="0"/>
        <w:spacing w:line="300" w:lineRule="auto"/>
        <w:ind w:left="740" w:hanging="360"/>
        <w:jc w:val="both"/>
        <w:rPr>
          <w:rFonts w:ascii="Arial" w:hAnsi="Arial"/>
          <w:sz w:val="21"/>
          <w:szCs w:val="21"/>
        </w:rPr>
      </w:pPr>
      <w:r>
        <w:rPr>
          <w:rFonts w:ascii="Arial" w:hAnsi="Arial"/>
          <w:sz w:val="21"/>
          <w:szCs w:val="21"/>
        </w:rPr>
        <w:t>激活失败次数</w:t>
      </w:r>
    </w:p>
    <w:p w14:paraId="7658C445">
      <w:pPr>
        <w:snapToGrid w:val="0"/>
        <w:spacing w:line="300" w:lineRule="auto"/>
        <w:jc w:val="both"/>
        <w:rPr>
          <w:rFonts w:ascii="Arial" w:hAnsi="Arial"/>
          <w:sz w:val="21"/>
          <w:szCs w:val="21"/>
        </w:rPr>
      </w:pPr>
    </w:p>
    <w:p w14:paraId="19219520">
      <w:pPr>
        <w:tabs>
          <w:tab w:val="left" w:pos="720"/>
        </w:tabs>
        <w:snapToGrid w:val="0"/>
        <w:spacing w:line="300" w:lineRule="auto"/>
        <w:ind w:left="380"/>
        <w:jc w:val="both"/>
        <w:rPr>
          <w:rFonts w:ascii="Arial" w:hAnsi="Arial"/>
          <w:sz w:val="21"/>
          <w:szCs w:val="21"/>
        </w:rPr>
      </w:pPr>
      <w:r>
        <w:rPr>
          <w:rFonts w:ascii="Arial" w:hAnsi="Arial"/>
          <w:sz w:val="21"/>
          <w:szCs w:val="21"/>
        </w:rPr>
        <w:t></w:t>
      </w:r>
      <w:r>
        <w:rPr>
          <w:rFonts w:ascii="Arial" w:hAnsi="Arial"/>
          <w:sz w:val="21"/>
          <w:szCs w:val="21"/>
        </w:rPr>
        <w:tab/>
      </w:r>
      <w:r>
        <w:rPr>
          <w:rFonts w:ascii="Arial" w:hAnsi="Arial"/>
          <w:sz w:val="21"/>
          <w:szCs w:val="21"/>
        </w:rPr>
        <w:t xml:space="preserve">罩或鞘的抗穿刺性，即破坏力（穿刺） </w:t>
      </w:r>
    </w:p>
    <w:p w14:paraId="496124C0">
      <w:pPr>
        <w:snapToGrid w:val="0"/>
        <w:spacing w:line="300" w:lineRule="auto"/>
        <w:jc w:val="both"/>
        <w:rPr>
          <w:rFonts w:ascii="Arial" w:hAnsi="Arial"/>
          <w:sz w:val="21"/>
          <w:szCs w:val="21"/>
        </w:rPr>
      </w:pPr>
    </w:p>
    <w:p w14:paraId="5FBC7E0B">
      <w:pPr>
        <w:numPr>
          <w:ilvl w:val="0"/>
          <w:numId w:val="9"/>
        </w:numPr>
        <w:tabs>
          <w:tab w:val="left" w:pos="740"/>
        </w:tabs>
        <w:snapToGrid w:val="0"/>
        <w:spacing w:line="300" w:lineRule="auto"/>
        <w:ind w:left="920" w:hanging="540"/>
        <w:jc w:val="both"/>
        <w:rPr>
          <w:rFonts w:ascii="Arial" w:hAnsi="Arial"/>
          <w:sz w:val="21"/>
          <w:szCs w:val="21"/>
        </w:rPr>
      </w:pPr>
      <w:r>
        <w:rPr>
          <w:rFonts w:ascii="Arial" w:hAnsi="Arial"/>
          <w:sz w:val="21"/>
          <w:szCs w:val="21"/>
        </w:rPr>
        <w:t>模拟极端压力值时的流体流动率（如对活塞应用的最大力或通过进入孔的最大流量）</w:t>
      </w:r>
    </w:p>
    <w:p w14:paraId="66367D7B">
      <w:pPr>
        <w:snapToGrid w:val="0"/>
        <w:spacing w:line="300" w:lineRule="auto"/>
        <w:jc w:val="both"/>
        <w:rPr>
          <w:rFonts w:ascii="Arial" w:hAnsi="Arial"/>
          <w:sz w:val="21"/>
          <w:szCs w:val="21"/>
        </w:rPr>
      </w:pPr>
    </w:p>
    <w:p w14:paraId="34D8D9BA">
      <w:pPr>
        <w:numPr>
          <w:ilvl w:val="0"/>
          <w:numId w:val="9"/>
        </w:numPr>
        <w:tabs>
          <w:tab w:val="left" w:pos="740"/>
        </w:tabs>
        <w:snapToGrid w:val="0"/>
        <w:spacing w:line="300" w:lineRule="auto"/>
        <w:ind w:left="740" w:hanging="360"/>
        <w:jc w:val="both"/>
        <w:rPr>
          <w:rFonts w:ascii="Arial" w:hAnsi="Arial"/>
          <w:sz w:val="21"/>
          <w:szCs w:val="21"/>
        </w:rPr>
      </w:pPr>
      <w:r>
        <w:rPr>
          <w:rFonts w:ascii="Arial" w:hAnsi="Arial"/>
          <w:sz w:val="21"/>
          <w:szCs w:val="21"/>
        </w:rPr>
        <w:t xml:space="preserve">给予剂量的精确度，如果贵公司的器械具有非典型或异常标记，如倒置的注射器标记 </w:t>
      </w:r>
    </w:p>
    <w:p w14:paraId="494F18B1">
      <w:pPr>
        <w:snapToGrid w:val="0"/>
        <w:spacing w:line="300" w:lineRule="auto"/>
        <w:jc w:val="both"/>
        <w:rPr>
          <w:rFonts w:ascii="Arial" w:hAnsi="Arial"/>
          <w:sz w:val="21"/>
          <w:szCs w:val="21"/>
        </w:rPr>
      </w:pPr>
    </w:p>
    <w:p w14:paraId="77FB0396">
      <w:pPr>
        <w:numPr>
          <w:ilvl w:val="0"/>
          <w:numId w:val="9"/>
        </w:numPr>
        <w:tabs>
          <w:tab w:val="left" w:pos="740"/>
        </w:tabs>
        <w:snapToGrid w:val="0"/>
        <w:spacing w:line="300" w:lineRule="auto"/>
        <w:ind w:left="740" w:hanging="360"/>
        <w:jc w:val="both"/>
        <w:rPr>
          <w:rFonts w:ascii="Arial" w:hAnsi="Arial"/>
          <w:sz w:val="21"/>
          <w:szCs w:val="21"/>
        </w:rPr>
      </w:pPr>
      <w:r>
        <w:rPr>
          <w:rFonts w:ascii="Arial" w:hAnsi="Arial"/>
          <w:sz w:val="21"/>
          <w:szCs w:val="21"/>
        </w:rPr>
        <w:t>接头、粘合、连接、铰链、阀门，锁紧机构等的强度。</w:t>
      </w:r>
    </w:p>
    <w:p w14:paraId="35C878C0">
      <w:pPr>
        <w:snapToGrid w:val="0"/>
        <w:spacing w:line="300" w:lineRule="auto"/>
        <w:jc w:val="both"/>
        <w:rPr>
          <w:rFonts w:ascii="Arial" w:hAnsi="Arial"/>
          <w:sz w:val="21"/>
          <w:szCs w:val="21"/>
        </w:rPr>
      </w:pPr>
    </w:p>
    <w:p w14:paraId="7FC5CB2B">
      <w:pPr>
        <w:snapToGrid w:val="0"/>
        <w:spacing w:line="300" w:lineRule="auto"/>
        <w:jc w:val="both"/>
        <w:rPr>
          <w:rFonts w:ascii="Arial" w:hAnsi="Arial"/>
          <w:sz w:val="21"/>
          <w:szCs w:val="21"/>
        </w:rPr>
      </w:pPr>
      <w:r>
        <w:rPr>
          <w:rFonts w:ascii="Arial" w:hAnsi="Arial"/>
          <w:sz w:val="21"/>
          <w:szCs w:val="21"/>
        </w:rPr>
        <w:t>除上述内容外，我们建议贵公司评估材料的张力、弯曲或伸长强度。我们也建议贵公司说明关于强度的规范或公差，通过/失败测试标准、规范和标准的基础。</w:t>
      </w:r>
    </w:p>
    <w:p w14:paraId="3AAEA61C">
      <w:pPr>
        <w:snapToGrid w:val="0"/>
        <w:spacing w:line="300" w:lineRule="auto"/>
        <w:jc w:val="both"/>
        <w:rPr>
          <w:rFonts w:ascii="Arial" w:hAnsi="Arial"/>
          <w:sz w:val="21"/>
          <w:szCs w:val="21"/>
        </w:rPr>
      </w:pPr>
      <w:r>
        <w:rPr>
          <w:rFonts w:ascii="Arial" w:hAnsi="Arial"/>
          <w:sz w:val="21"/>
          <w:szCs w:val="21"/>
        </w:rPr>
        <w:br w:type="page"/>
      </w:r>
    </w:p>
    <w:p w14:paraId="05C333E9">
      <w:pPr>
        <w:snapToGrid w:val="0"/>
        <w:spacing w:line="300" w:lineRule="auto"/>
        <w:jc w:val="both"/>
        <w:rPr>
          <w:rFonts w:ascii="Arial" w:hAnsi="Arial"/>
          <w:sz w:val="21"/>
          <w:szCs w:val="21"/>
        </w:rPr>
      </w:pPr>
      <w:r>
        <w:rPr>
          <w:rFonts w:ascii="Arial" w:hAnsi="Arial"/>
          <w:sz w:val="21"/>
          <w:szCs w:val="21"/>
        </w:rPr>
        <w:t>在适合于器械预期用途或设计的情况下，除已经描述的测试之外，我们也建议贵公司遵守ISO 594注射器、针和某些其他器械的含有6%（Luer）接头的锥头的等效措施。</w:t>
      </w:r>
    </w:p>
    <w:p w14:paraId="520D46C7">
      <w:pPr>
        <w:snapToGrid w:val="0"/>
        <w:spacing w:line="300" w:lineRule="auto"/>
        <w:jc w:val="both"/>
        <w:rPr>
          <w:rFonts w:ascii="Arial" w:hAnsi="Arial"/>
          <w:sz w:val="21"/>
          <w:szCs w:val="21"/>
        </w:rPr>
      </w:pPr>
    </w:p>
    <w:p w14:paraId="6E828EF1">
      <w:pPr>
        <w:snapToGrid w:val="0"/>
        <w:spacing w:line="300" w:lineRule="auto"/>
        <w:jc w:val="both"/>
        <w:rPr>
          <w:rFonts w:ascii="Arial" w:hAnsi="Arial"/>
          <w:sz w:val="21"/>
          <w:szCs w:val="21"/>
        </w:rPr>
      </w:pPr>
    </w:p>
    <w:p w14:paraId="0F46C959">
      <w:pPr>
        <w:numPr>
          <w:ilvl w:val="0"/>
          <w:numId w:val="1"/>
        </w:numPr>
        <w:tabs>
          <w:tab w:val="left" w:pos="720"/>
        </w:tabs>
        <w:snapToGrid w:val="0"/>
        <w:spacing w:line="300" w:lineRule="auto"/>
        <w:ind w:left="720" w:hanging="720"/>
        <w:jc w:val="both"/>
        <w:outlineLvl w:val="0"/>
        <w:rPr>
          <w:rFonts w:ascii="Arial" w:hAnsi="Arial"/>
          <w:b/>
          <w:sz w:val="36"/>
          <w:szCs w:val="36"/>
        </w:rPr>
      </w:pPr>
      <w:bookmarkStart w:id="10" w:name="_Toc481741697"/>
      <w:r>
        <w:rPr>
          <w:rFonts w:ascii="Arial" w:hAnsi="Arial"/>
          <w:b/>
          <w:sz w:val="36"/>
        </w:rPr>
        <w:t>微生物</w:t>
      </w:r>
      <w:r>
        <w:rPr>
          <w:rFonts w:ascii="Arial" w:hAnsi="Arial"/>
          <w:b/>
          <w:sz w:val="36"/>
          <w:szCs w:val="36"/>
        </w:rPr>
        <w:t>入侵测试</w:t>
      </w:r>
      <w:bookmarkEnd w:id="10"/>
    </w:p>
    <w:p w14:paraId="670E763D">
      <w:pPr>
        <w:snapToGrid w:val="0"/>
        <w:spacing w:line="300" w:lineRule="auto"/>
        <w:jc w:val="both"/>
        <w:rPr>
          <w:rFonts w:ascii="Arial" w:hAnsi="Arial"/>
          <w:sz w:val="21"/>
          <w:szCs w:val="21"/>
        </w:rPr>
      </w:pPr>
    </w:p>
    <w:p w14:paraId="38E6D39D">
      <w:pPr>
        <w:snapToGrid w:val="0"/>
        <w:spacing w:line="300" w:lineRule="auto"/>
        <w:jc w:val="both"/>
        <w:rPr>
          <w:rFonts w:ascii="Arial" w:hAnsi="Arial"/>
          <w:color w:val="000000"/>
          <w:sz w:val="21"/>
          <w:szCs w:val="21"/>
        </w:rPr>
      </w:pPr>
      <w:r>
        <w:rPr>
          <w:rFonts w:ascii="Arial" w:hAnsi="Arial"/>
          <w:color w:val="000000"/>
          <w:sz w:val="21"/>
          <w:szCs w:val="21"/>
        </w:rPr>
        <w:t>我们建议贵公司为非针头的（即无针）防锐器损伤特性实施微生物入侵测试。</w:t>
      </w:r>
      <w:r>
        <w:rPr>
          <w:rFonts w:ascii="Arial" w:hAnsi="Arial"/>
          <w:sz w:val="21"/>
          <w:szCs w:val="21"/>
          <w:vertAlign w:val="superscript"/>
        </w:rPr>
        <w:t xml:space="preserve">4 </w:t>
      </w:r>
      <w:r>
        <w:rPr>
          <w:rFonts w:ascii="Arial" w:hAnsi="Arial"/>
          <w:color w:val="000000"/>
          <w:sz w:val="21"/>
          <w:szCs w:val="21"/>
        </w:rPr>
        <w:t>对于微生物侵入测试指南，参见血管内给药器械上市前通告指南，</w:t>
      </w:r>
      <w:r>
        <w:fldChar w:fldCharType="begin"/>
      </w:r>
      <w:r>
        <w:instrText xml:space="preserve"> HYPERLINK "http://www.fda.gov/cdrh/ode/guidance/1189.html" </w:instrText>
      </w:r>
      <w:r>
        <w:fldChar w:fldCharType="separate"/>
      </w:r>
      <w:r>
        <w:rPr>
          <w:rFonts w:ascii="Arial" w:hAnsi="Arial"/>
          <w:color w:val="0000FF"/>
          <w:sz w:val="21"/>
          <w:szCs w:val="21"/>
          <w:u w:val="single"/>
        </w:rPr>
        <w:t>http://www.fda.gov/cdrh/ode/guidance/1189.html</w:t>
      </w:r>
      <w:r>
        <w:rPr>
          <w:rFonts w:ascii="Arial" w:hAnsi="Arial"/>
          <w:color w:val="0000FF"/>
          <w:sz w:val="21"/>
          <w:szCs w:val="21"/>
          <w:u w:val="single"/>
        </w:rPr>
        <w:fldChar w:fldCharType="end"/>
      </w:r>
      <w:r>
        <w:rPr>
          <w:rFonts w:ascii="Arial" w:hAnsi="Arial"/>
          <w:color w:val="000000"/>
          <w:sz w:val="21"/>
          <w:szCs w:val="21"/>
        </w:rPr>
        <w:t>。</w:t>
      </w:r>
    </w:p>
    <w:p w14:paraId="5BD8DAD5">
      <w:pPr>
        <w:snapToGrid w:val="0"/>
        <w:spacing w:line="300" w:lineRule="auto"/>
        <w:jc w:val="both"/>
        <w:rPr>
          <w:rFonts w:ascii="Arial" w:hAnsi="Arial"/>
          <w:sz w:val="21"/>
          <w:szCs w:val="21"/>
        </w:rPr>
      </w:pPr>
    </w:p>
    <w:p w14:paraId="63261C1E">
      <w:pPr>
        <w:snapToGrid w:val="0"/>
        <w:spacing w:line="300" w:lineRule="auto"/>
        <w:jc w:val="both"/>
        <w:rPr>
          <w:rFonts w:ascii="Arial" w:hAnsi="Arial"/>
          <w:sz w:val="21"/>
          <w:szCs w:val="21"/>
        </w:rPr>
      </w:pPr>
    </w:p>
    <w:p w14:paraId="74F94DCE">
      <w:pPr>
        <w:numPr>
          <w:ilvl w:val="0"/>
          <w:numId w:val="1"/>
        </w:numPr>
        <w:tabs>
          <w:tab w:val="left" w:pos="700"/>
        </w:tabs>
        <w:snapToGrid w:val="0"/>
        <w:spacing w:line="300" w:lineRule="auto"/>
        <w:ind w:left="720" w:hanging="720"/>
        <w:jc w:val="both"/>
        <w:outlineLvl w:val="0"/>
        <w:rPr>
          <w:rFonts w:ascii="Arial" w:hAnsi="Arial"/>
          <w:b/>
          <w:sz w:val="36"/>
          <w:szCs w:val="36"/>
        </w:rPr>
      </w:pPr>
      <w:bookmarkStart w:id="11" w:name="OLE_LINK2"/>
      <w:bookmarkStart w:id="12" w:name="OLE_LINK1"/>
      <w:bookmarkStart w:id="13" w:name="_Toc481741698"/>
      <w:r>
        <w:rPr>
          <w:rFonts w:ascii="Arial" w:hAnsi="Arial"/>
          <w:b/>
          <w:sz w:val="36"/>
          <w:szCs w:val="36"/>
        </w:rPr>
        <w:t>模拟临床</w:t>
      </w:r>
      <w:bookmarkEnd w:id="11"/>
      <w:bookmarkEnd w:id="12"/>
      <w:r>
        <w:rPr>
          <w:rFonts w:ascii="Arial" w:hAnsi="Arial"/>
          <w:b/>
          <w:sz w:val="36"/>
          <w:szCs w:val="36"/>
        </w:rPr>
        <w:t>应用测试</w:t>
      </w:r>
      <w:bookmarkEnd w:id="13"/>
    </w:p>
    <w:p w14:paraId="47A4A0D6">
      <w:pPr>
        <w:snapToGrid w:val="0"/>
        <w:spacing w:line="300" w:lineRule="auto"/>
        <w:jc w:val="both"/>
        <w:rPr>
          <w:rFonts w:ascii="Arial" w:hAnsi="Arial"/>
          <w:sz w:val="21"/>
          <w:szCs w:val="21"/>
        </w:rPr>
      </w:pPr>
    </w:p>
    <w:p w14:paraId="3D48B921">
      <w:pPr>
        <w:snapToGrid w:val="0"/>
        <w:spacing w:line="300" w:lineRule="auto"/>
        <w:jc w:val="both"/>
        <w:rPr>
          <w:rFonts w:ascii="Arial" w:hAnsi="Arial"/>
          <w:color w:val="000000"/>
          <w:sz w:val="21"/>
          <w:szCs w:val="21"/>
        </w:rPr>
      </w:pPr>
      <w:r>
        <w:rPr>
          <w:rFonts w:ascii="Arial" w:hAnsi="Arial"/>
          <w:sz w:val="21"/>
          <w:szCs w:val="21"/>
        </w:rPr>
        <w:t>对于含有</w:t>
      </w:r>
      <w:r>
        <w:rPr>
          <w:rFonts w:ascii="Arial" w:hAnsi="Arial"/>
          <w:color w:val="000000"/>
          <w:sz w:val="21"/>
          <w:szCs w:val="21"/>
        </w:rPr>
        <w:t>防锐器损伤特性的器械，我们建议进行模拟临床应用测试，并提供模拟临床应用测试结果的分析和结果总结和结论。如果贵公司的防锐器损伤特性目前作为另一种器械的一部分合法上市，贵公司可以说明该器械，而不用进行模拟床应用测试。</w:t>
      </w:r>
    </w:p>
    <w:p w14:paraId="18026CE6">
      <w:pPr>
        <w:snapToGrid w:val="0"/>
        <w:spacing w:line="300" w:lineRule="auto"/>
        <w:jc w:val="both"/>
        <w:rPr>
          <w:rFonts w:ascii="Arial" w:hAnsi="Arial"/>
          <w:sz w:val="21"/>
          <w:szCs w:val="21"/>
        </w:rPr>
      </w:pPr>
    </w:p>
    <w:p w14:paraId="16921923">
      <w:pPr>
        <w:snapToGrid w:val="0"/>
        <w:spacing w:line="300" w:lineRule="auto"/>
        <w:jc w:val="both"/>
        <w:rPr>
          <w:rFonts w:ascii="Arial" w:hAnsi="Arial"/>
          <w:sz w:val="21"/>
          <w:szCs w:val="21"/>
        </w:rPr>
      </w:pPr>
      <w:r>
        <w:rPr>
          <w:rFonts w:ascii="Arial" w:hAnsi="Arial"/>
          <w:color w:val="000000"/>
          <w:sz w:val="21"/>
          <w:szCs w:val="21"/>
        </w:rPr>
        <w:t>模拟应用测试通过使用患者替代物（如教学模型）而不是真实的患者来模仿实际临床使用。如果由医疗专业人员完成，第7节中建议的台架测试也可以作为模拟测试的一部分。把水果作为教学模型可以模仿皮下</w:t>
      </w:r>
      <w:r>
        <w:rPr>
          <w:rFonts w:ascii="Arial" w:hAnsi="Arial"/>
          <w:sz w:val="21"/>
          <w:szCs w:val="21"/>
        </w:rPr>
        <w:t>（SC）或肌肉内（IM）给药途径，但不能模拟IV给药。模拟应用测试有助于：</w:t>
      </w:r>
    </w:p>
    <w:p w14:paraId="331AF6C7">
      <w:pPr>
        <w:snapToGrid w:val="0"/>
        <w:spacing w:line="300" w:lineRule="auto"/>
        <w:jc w:val="both"/>
        <w:rPr>
          <w:rFonts w:ascii="Arial" w:hAnsi="Arial"/>
          <w:sz w:val="21"/>
          <w:szCs w:val="21"/>
        </w:rPr>
      </w:pPr>
    </w:p>
    <w:p w14:paraId="63D72FDB">
      <w:pPr>
        <w:numPr>
          <w:ilvl w:val="0"/>
          <w:numId w:val="10"/>
        </w:numPr>
        <w:tabs>
          <w:tab w:val="left" w:pos="720"/>
        </w:tabs>
        <w:snapToGrid w:val="0"/>
        <w:spacing w:line="300" w:lineRule="auto"/>
        <w:ind w:left="720" w:hanging="360"/>
        <w:jc w:val="both"/>
        <w:rPr>
          <w:rFonts w:ascii="Arial" w:hAnsi="Arial"/>
          <w:sz w:val="21"/>
          <w:szCs w:val="21"/>
        </w:rPr>
      </w:pPr>
      <w:r>
        <w:rPr>
          <w:rFonts w:ascii="Arial" w:hAnsi="Arial"/>
          <w:sz w:val="21"/>
          <w:szCs w:val="21"/>
        </w:rPr>
        <w:t>单独考虑与器械相关的问题</w:t>
      </w:r>
    </w:p>
    <w:p w14:paraId="378B5C2B">
      <w:pPr>
        <w:numPr>
          <w:ilvl w:val="0"/>
          <w:numId w:val="10"/>
        </w:numPr>
        <w:tabs>
          <w:tab w:val="left" w:pos="720"/>
        </w:tabs>
        <w:snapToGrid w:val="0"/>
        <w:spacing w:line="300" w:lineRule="auto"/>
        <w:ind w:left="720" w:hanging="361"/>
        <w:jc w:val="both"/>
        <w:rPr>
          <w:rFonts w:ascii="Arial" w:hAnsi="Arial"/>
          <w:sz w:val="21"/>
          <w:szCs w:val="21"/>
        </w:rPr>
      </w:pPr>
      <w:r>
        <w:rPr>
          <w:rFonts w:ascii="Arial" w:hAnsi="Arial"/>
          <w:sz w:val="21"/>
          <w:szCs w:val="21"/>
        </w:rPr>
        <w:t>使器械设计最优化</w:t>
      </w:r>
    </w:p>
    <w:p w14:paraId="5AF80807">
      <w:pPr>
        <w:numPr>
          <w:ilvl w:val="0"/>
          <w:numId w:val="10"/>
        </w:numPr>
        <w:tabs>
          <w:tab w:val="left" w:pos="720"/>
        </w:tabs>
        <w:snapToGrid w:val="0"/>
        <w:spacing w:line="300" w:lineRule="auto"/>
        <w:ind w:left="720" w:hanging="361"/>
        <w:jc w:val="both"/>
        <w:rPr>
          <w:rFonts w:ascii="Arial" w:hAnsi="Arial"/>
          <w:sz w:val="21"/>
          <w:szCs w:val="21"/>
        </w:rPr>
      </w:pPr>
      <w:r>
        <w:rPr>
          <w:rFonts w:ascii="Arial" w:hAnsi="Arial"/>
          <w:sz w:val="21"/>
          <w:szCs w:val="21"/>
        </w:rPr>
        <w:t>鉴定标签中的缺陷</w:t>
      </w:r>
    </w:p>
    <w:p w14:paraId="359C6B24">
      <w:pPr>
        <w:numPr>
          <w:ilvl w:val="0"/>
          <w:numId w:val="10"/>
        </w:numPr>
        <w:tabs>
          <w:tab w:val="left" w:pos="720"/>
        </w:tabs>
        <w:snapToGrid w:val="0"/>
        <w:spacing w:line="300" w:lineRule="auto"/>
        <w:ind w:left="720" w:hanging="361"/>
        <w:jc w:val="both"/>
        <w:rPr>
          <w:rFonts w:ascii="Arial" w:hAnsi="Arial"/>
          <w:sz w:val="21"/>
          <w:szCs w:val="21"/>
        </w:rPr>
      </w:pPr>
      <w:r>
        <w:rPr>
          <w:rFonts w:ascii="Arial" w:hAnsi="Arial"/>
          <w:sz w:val="21"/>
          <w:szCs w:val="21"/>
        </w:rPr>
        <w:t>评估器械用户所需的培训类型。</w:t>
      </w:r>
    </w:p>
    <w:p w14:paraId="2C80E679">
      <w:pPr>
        <w:snapToGrid w:val="0"/>
        <w:spacing w:line="300" w:lineRule="auto"/>
        <w:jc w:val="both"/>
        <w:rPr>
          <w:rFonts w:ascii="Arial" w:hAnsi="Arial"/>
          <w:sz w:val="21"/>
          <w:szCs w:val="21"/>
        </w:rPr>
      </w:pPr>
    </w:p>
    <w:p w14:paraId="76C1E7C0">
      <w:pPr>
        <w:snapToGrid w:val="0"/>
        <w:spacing w:line="300" w:lineRule="auto"/>
        <w:jc w:val="both"/>
        <w:rPr>
          <w:rFonts w:ascii="Arial" w:hAnsi="Arial"/>
          <w:color w:val="000000"/>
          <w:sz w:val="21"/>
          <w:szCs w:val="21"/>
        </w:rPr>
      </w:pPr>
      <w:r>
        <w:rPr>
          <w:rFonts w:ascii="Arial" w:hAnsi="Arial"/>
          <w:color w:val="000000"/>
          <w:sz w:val="21"/>
          <w:szCs w:val="21"/>
        </w:rPr>
        <w:t>没有标准化，确认的方法来模拟防锐器损伤特性的临床应用。我们建议贵公司制定专用于器械设计方案。只要可能，方案应该基于统计考虑因素，比如样本量、响应变量，通过/失败标准、综合报告表格/问卷，恰当的</w:t>
      </w:r>
      <w:r>
        <w:rPr>
          <w:rFonts w:ascii="Arial" w:hAnsi="Arial"/>
          <w:sz w:val="21"/>
          <w:szCs w:val="21"/>
        </w:rPr>
        <w:t>对照和恰当的统计测试方法。</w:t>
      </w:r>
    </w:p>
    <w:p w14:paraId="57C95F01">
      <w:pPr>
        <w:snapToGrid w:val="0"/>
        <w:spacing w:line="300" w:lineRule="auto"/>
        <w:jc w:val="both"/>
        <w:rPr>
          <w:rFonts w:ascii="Arial" w:hAnsi="Arial"/>
          <w:sz w:val="21"/>
          <w:szCs w:val="21"/>
        </w:rPr>
      </w:pPr>
    </w:p>
    <w:p w14:paraId="4686A5C3">
      <w:pPr>
        <w:snapToGrid w:val="0"/>
        <w:spacing w:line="300" w:lineRule="auto"/>
        <w:jc w:val="both"/>
        <w:rPr>
          <w:rFonts w:ascii="Arial" w:hAnsi="Arial"/>
          <w:sz w:val="21"/>
          <w:szCs w:val="21"/>
        </w:rPr>
      </w:pPr>
    </w:p>
    <w:p w14:paraId="69B29446">
      <w:pPr>
        <w:snapToGrid w:val="0"/>
        <w:spacing w:line="300" w:lineRule="auto"/>
        <w:jc w:val="both"/>
        <w:rPr>
          <w:rFonts w:ascii="Arial" w:hAnsi="Arial"/>
          <w:sz w:val="21"/>
          <w:szCs w:val="21"/>
        </w:rPr>
      </w:pPr>
    </w:p>
    <w:p w14:paraId="2DBBEAF7">
      <w:pPr>
        <w:snapToGrid w:val="0"/>
        <w:spacing w:line="300" w:lineRule="auto"/>
        <w:jc w:val="both"/>
        <w:rPr>
          <w:rFonts w:ascii="Arial" w:hAnsi="Arial"/>
          <w:sz w:val="21"/>
          <w:szCs w:val="21"/>
        </w:rPr>
      </w:pPr>
      <w:r>
        <w:rPr>
          <w:rFonts w:ascii="Arial" w:hAnsi="Arial"/>
          <w:sz w:val="21"/>
          <w:szCs w:val="21"/>
        </w:rPr>
        <mc:AlternateContent>
          <mc:Choice Requires="wps">
            <w:drawing>
              <wp:anchor distT="0" distB="0" distL="114300" distR="114300" simplePos="0" relativeHeight="251660288" behindDoc="1" locked="0" layoutInCell="0" allowOverlap="1">
                <wp:simplePos x="0" y="0"/>
                <wp:positionH relativeFrom="column">
                  <wp:posOffset>0</wp:posOffset>
                </wp:positionH>
                <wp:positionV relativeFrom="paragraph">
                  <wp:posOffset>330200</wp:posOffset>
                </wp:positionV>
                <wp:extent cx="1828800" cy="0"/>
                <wp:effectExtent l="9525" t="13970" r="9525"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26pt;height:0pt;width:144pt;z-index:-251656192;mso-width-relative:page;mso-height-relative:page;" filled="f" stroked="t" coordsize="21600,21600" o:allowincell="f" o:gfxdata="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QU1b7TAAAABgEAAA8A&#10;AAAAAAAAAQAgAAAAIgAAAGRycy9kb3ducmV2LnhtbFBLAQIUABQAAAAIAIdO4kBXPAuV4wEAAKoD&#10;AAAOAAAAAAAAAAEAIAAAACIBAABkcnMvZTJvRG9jLnhtbFBLBQYAAAAABgAGAFkBAAB3BQAAAAA=&#10;">
                <v:fill on="f" focussize="0,0"/>
                <v:stroke color="#000000" joinstyle="round"/>
                <v:imagedata o:title=""/>
                <o:lock v:ext="edit" aspectratio="f"/>
              </v:line>
            </w:pict>
          </mc:Fallback>
        </mc:AlternateContent>
      </w:r>
    </w:p>
    <w:p w14:paraId="15801994">
      <w:pPr>
        <w:snapToGrid w:val="0"/>
        <w:spacing w:line="300" w:lineRule="auto"/>
        <w:jc w:val="both"/>
        <w:rPr>
          <w:rFonts w:ascii="Arial" w:hAnsi="Arial"/>
          <w:sz w:val="21"/>
          <w:szCs w:val="21"/>
        </w:rPr>
      </w:pPr>
    </w:p>
    <w:p w14:paraId="2760AB8E">
      <w:pPr>
        <w:snapToGrid w:val="0"/>
        <w:spacing w:line="300" w:lineRule="auto"/>
        <w:jc w:val="both"/>
        <w:rPr>
          <w:rFonts w:ascii="Arial" w:hAnsi="Arial"/>
          <w:sz w:val="21"/>
          <w:szCs w:val="21"/>
        </w:rPr>
      </w:pPr>
      <w:r>
        <w:rPr>
          <w:rFonts w:ascii="Arial" w:hAnsi="Arial"/>
          <w:sz w:val="21"/>
          <w:szCs w:val="21"/>
          <w:vertAlign w:val="superscript"/>
        </w:rPr>
        <w:t>4</w:t>
      </w:r>
      <w:r>
        <w:rPr>
          <w:rFonts w:ascii="Arial" w:hAnsi="Arial"/>
          <w:sz w:val="21"/>
          <w:szCs w:val="21"/>
        </w:rPr>
        <w:t xml:space="preserve"> 无针系统是那些不使用锐器且允许重复进入患者血管系统的系统。系统内的流体流动可能是单向或双向，后者使用户能够给药并撤回流体或药物。无针机制通常包括三种类型：预穿刺的隔膜和钝的套管；阀门连接器（也叫回流阀）；带帽的Luer 连接器。</w:t>
      </w:r>
    </w:p>
    <w:p w14:paraId="0E56B511">
      <w:pPr>
        <w:snapToGrid w:val="0"/>
        <w:spacing w:line="300" w:lineRule="auto"/>
        <w:jc w:val="both"/>
        <w:rPr>
          <w:rFonts w:ascii="Arial" w:hAnsi="Arial"/>
          <w:sz w:val="21"/>
          <w:szCs w:val="21"/>
        </w:rPr>
      </w:pPr>
      <w:r>
        <w:rPr>
          <w:rFonts w:ascii="Arial" w:hAnsi="Arial"/>
          <w:sz w:val="21"/>
          <w:szCs w:val="21"/>
        </w:rPr>
        <w:t>方案应该完整，也就是说应该：</w:t>
      </w:r>
    </w:p>
    <w:p w14:paraId="3089A25E">
      <w:pPr>
        <w:snapToGrid w:val="0"/>
        <w:spacing w:line="300" w:lineRule="auto"/>
        <w:jc w:val="both"/>
        <w:rPr>
          <w:rFonts w:ascii="Arial" w:hAnsi="Arial"/>
          <w:sz w:val="21"/>
          <w:szCs w:val="21"/>
        </w:rPr>
      </w:pPr>
    </w:p>
    <w:p w14:paraId="1DEE6127">
      <w:pPr>
        <w:snapToGrid w:val="0"/>
        <w:spacing w:line="300" w:lineRule="auto"/>
        <w:jc w:val="both"/>
        <w:rPr>
          <w:rFonts w:ascii="Arial" w:hAnsi="Arial"/>
          <w:sz w:val="21"/>
          <w:szCs w:val="21"/>
        </w:rPr>
      </w:pPr>
    </w:p>
    <w:p w14:paraId="4295078A">
      <w:pPr>
        <w:snapToGrid w:val="0"/>
        <w:spacing w:line="300" w:lineRule="auto"/>
        <w:jc w:val="both"/>
        <w:rPr>
          <w:rFonts w:ascii="Arial" w:hAnsi="Arial"/>
          <w:sz w:val="21"/>
          <w:szCs w:val="21"/>
        </w:rPr>
      </w:pPr>
    </w:p>
    <w:p w14:paraId="0A056E52">
      <w:pPr>
        <w:snapToGrid w:val="0"/>
        <w:spacing w:line="300" w:lineRule="auto"/>
        <w:jc w:val="both"/>
        <w:rPr>
          <w:rFonts w:ascii="Arial" w:hAnsi="Arial"/>
          <w:sz w:val="21"/>
          <w:szCs w:val="21"/>
        </w:rPr>
      </w:pPr>
    </w:p>
    <w:p w14:paraId="35991CB9">
      <w:pPr>
        <w:snapToGrid w:val="0"/>
        <w:spacing w:line="300" w:lineRule="auto"/>
        <w:jc w:val="both"/>
        <w:rPr>
          <w:rFonts w:ascii="Arial" w:hAnsi="Arial"/>
          <w:sz w:val="21"/>
          <w:szCs w:val="21"/>
        </w:rPr>
      </w:pPr>
    </w:p>
    <w:p w14:paraId="7F9B40A1">
      <w:pPr>
        <w:numPr>
          <w:ilvl w:val="0"/>
          <w:numId w:val="11"/>
        </w:numPr>
        <w:tabs>
          <w:tab w:val="left" w:pos="720"/>
        </w:tabs>
        <w:snapToGrid w:val="0"/>
        <w:spacing w:line="300" w:lineRule="auto"/>
        <w:ind w:left="720" w:hanging="360"/>
        <w:jc w:val="both"/>
        <w:rPr>
          <w:rFonts w:ascii="Arial" w:hAnsi="Arial"/>
          <w:sz w:val="21"/>
          <w:szCs w:val="21"/>
        </w:rPr>
      </w:pPr>
      <w:r>
        <w:rPr>
          <w:rFonts w:ascii="Arial" w:hAnsi="Arial"/>
          <w:sz w:val="21"/>
          <w:szCs w:val="21"/>
        </w:rPr>
        <w:t>说明明确的目标</w:t>
      </w:r>
    </w:p>
    <w:p w14:paraId="3AF782FD">
      <w:pPr>
        <w:numPr>
          <w:ilvl w:val="0"/>
          <w:numId w:val="11"/>
        </w:numPr>
        <w:tabs>
          <w:tab w:val="left" w:pos="720"/>
        </w:tabs>
        <w:snapToGrid w:val="0"/>
        <w:spacing w:line="300" w:lineRule="auto"/>
        <w:ind w:left="720" w:hanging="360"/>
        <w:jc w:val="both"/>
        <w:rPr>
          <w:rFonts w:ascii="Arial" w:hAnsi="Arial"/>
          <w:sz w:val="21"/>
          <w:szCs w:val="21"/>
        </w:rPr>
      </w:pPr>
      <w:r>
        <w:rPr>
          <w:rFonts w:ascii="Arial" w:hAnsi="Arial"/>
          <w:sz w:val="21"/>
          <w:szCs w:val="21"/>
        </w:rPr>
        <w:t>包含样本量的确定</w:t>
      </w:r>
    </w:p>
    <w:p w14:paraId="141C16E3">
      <w:pPr>
        <w:numPr>
          <w:ilvl w:val="0"/>
          <w:numId w:val="11"/>
        </w:numPr>
        <w:tabs>
          <w:tab w:val="left" w:pos="720"/>
        </w:tabs>
        <w:snapToGrid w:val="0"/>
        <w:spacing w:line="300" w:lineRule="auto"/>
        <w:ind w:left="720" w:hanging="360"/>
        <w:jc w:val="both"/>
        <w:rPr>
          <w:rFonts w:ascii="Arial" w:hAnsi="Arial"/>
          <w:sz w:val="21"/>
          <w:szCs w:val="21"/>
        </w:rPr>
      </w:pPr>
      <w:r>
        <w:rPr>
          <w:rFonts w:ascii="Arial" w:hAnsi="Arial"/>
          <w:sz w:val="21"/>
          <w:szCs w:val="21"/>
        </w:rPr>
        <w:t>说明评估者数量</w:t>
      </w:r>
      <w:r>
        <w:rPr>
          <w:rFonts w:hint="eastAsia" w:ascii="Arial" w:hAnsi="Arial"/>
          <w:sz w:val="21"/>
          <w:szCs w:val="21"/>
        </w:rPr>
        <w:t>的</w:t>
      </w:r>
      <w:r>
        <w:rPr>
          <w:rFonts w:ascii="Arial" w:hAnsi="Arial"/>
          <w:sz w:val="21"/>
          <w:szCs w:val="21"/>
        </w:rPr>
        <w:t>确定</w:t>
      </w:r>
      <w:r>
        <w:rPr>
          <w:rFonts w:hint="eastAsia" w:ascii="Arial" w:hAnsi="Arial"/>
          <w:sz w:val="21"/>
          <w:szCs w:val="21"/>
        </w:rPr>
        <w:t>方法</w:t>
      </w:r>
    </w:p>
    <w:p w14:paraId="4B407B8E">
      <w:pPr>
        <w:numPr>
          <w:ilvl w:val="0"/>
          <w:numId w:val="11"/>
        </w:numPr>
        <w:tabs>
          <w:tab w:val="left" w:pos="720"/>
        </w:tabs>
        <w:snapToGrid w:val="0"/>
        <w:spacing w:line="300" w:lineRule="auto"/>
        <w:ind w:left="720" w:hanging="360"/>
        <w:jc w:val="both"/>
        <w:rPr>
          <w:rFonts w:ascii="Arial" w:hAnsi="Arial"/>
          <w:sz w:val="21"/>
          <w:szCs w:val="21"/>
        </w:rPr>
      </w:pPr>
      <w:r>
        <w:rPr>
          <w:rFonts w:ascii="Arial" w:hAnsi="Arial"/>
          <w:sz w:val="21"/>
          <w:szCs w:val="21"/>
        </w:rPr>
        <w:t>说明评估者</w:t>
      </w:r>
      <w:r>
        <w:rPr>
          <w:rFonts w:hint="eastAsia" w:ascii="Arial" w:hAnsi="Arial"/>
          <w:sz w:val="21"/>
          <w:szCs w:val="21"/>
        </w:rPr>
        <w:t>的</w:t>
      </w:r>
      <w:r>
        <w:rPr>
          <w:rFonts w:ascii="Arial" w:hAnsi="Arial"/>
          <w:sz w:val="21"/>
          <w:szCs w:val="21"/>
        </w:rPr>
        <w:t>选择</w:t>
      </w:r>
      <w:r>
        <w:rPr>
          <w:rFonts w:hint="eastAsia" w:ascii="Arial" w:hAnsi="Arial"/>
          <w:sz w:val="21"/>
          <w:szCs w:val="21"/>
        </w:rPr>
        <w:t>方法</w:t>
      </w:r>
    </w:p>
    <w:p w14:paraId="3D7B5853">
      <w:pPr>
        <w:numPr>
          <w:ilvl w:val="0"/>
          <w:numId w:val="11"/>
        </w:numPr>
        <w:tabs>
          <w:tab w:val="left" w:pos="720"/>
        </w:tabs>
        <w:snapToGrid w:val="0"/>
        <w:spacing w:line="300" w:lineRule="auto"/>
        <w:ind w:left="720" w:hanging="360"/>
        <w:jc w:val="both"/>
        <w:rPr>
          <w:rFonts w:ascii="Arial" w:hAnsi="Arial"/>
          <w:sz w:val="21"/>
          <w:szCs w:val="21"/>
        </w:rPr>
      </w:pPr>
      <w:r>
        <w:rPr>
          <w:rFonts w:ascii="Arial" w:hAnsi="Arial"/>
          <w:sz w:val="21"/>
          <w:szCs w:val="21"/>
        </w:rPr>
        <w:t>定义使用的术语和评估参数</w:t>
      </w:r>
    </w:p>
    <w:p w14:paraId="40CC789E">
      <w:pPr>
        <w:numPr>
          <w:ilvl w:val="0"/>
          <w:numId w:val="11"/>
        </w:numPr>
        <w:tabs>
          <w:tab w:val="left" w:pos="720"/>
        </w:tabs>
        <w:snapToGrid w:val="0"/>
        <w:spacing w:line="300" w:lineRule="auto"/>
        <w:ind w:left="720" w:hanging="360"/>
        <w:jc w:val="both"/>
        <w:rPr>
          <w:rFonts w:ascii="Arial" w:hAnsi="Arial"/>
          <w:sz w:val="21"/>
          <w:szCs w:val="21"/>
        </w:rPr>
      </w:pPr>
      <w:r>
        <w:rPr>
          <w:rFonts w:ascii="Arial" w:hAnsi="Arial"/>
          <w:sz w:val="21"/>
          <w:szCs w:val="21"/>
        </w:rPr>
        <w:t>说明如何分析数据。</w:t>
      </w:r>
    </w:p>
    <w:p w14:paraId="25728804">
      <w:pPr>
        <w:snapToGrid w:val="0"/>
        <w:spacing w:line="300" w:lineRule="auto"/>
        <w:jc w:val="both"/>
        <w:rPr>
          <w:rFonts w:ascii="Arial" w:hAnsi="Arial"/>
          <w:sz w:val="21"/>
          <w:szCs w:val="21"/>
        </w:rPr>
      </w:pPr>
    </w:p>
    <w:p w14:paraId="140E9E22">
      <w:pPr>
        <w:snapToGrid w:val="0"/>
        <w:spacing w:line="300" w:lineRule="auto"/>
        <w:ind w:left="360"/>
        <w:jc w:val="both"/>
        <w:rPr>
          <w:rFonts w:ascii="Arial" w:hAnsi="Arial"/>
          <w:b/>
          <w:sz w:val="24"/>
          <w:szCs w:val="24"/>
        </w:rPr>
      </w:pPr>
      <w:r>
        <w:rPr>
          <w:rFonts w:ascii="Arial" w:hAnsi="Arial"/>
          <w:b/>
          <w:sz w:val="24"/>
          <w:szCs w:val="24"/>
        </w:rPr>
        <w:t>研究设计</w:t>
      </w:r>
    </w:p>
    <w:p w14:paraId="0FC7A6ED">
      <w:pPr>
        <w:snapToGrid w:val="0"/>
        <w:spacing w:line="300" w:lineRule="auto"/>
        <w:jc w:val="both"/>
        <w:rPr>
          <w:rFonts w:ascii="Arial" w:hAnsi="Arial"/>
          <w:sz w:val="21"/>
          <w:szCs w:val="21"/>
        </w:rPr>
      </w:pPr>
    </w:p>
    <w:p w14:paraId="1E4C0923">
      <w:pPr>
        <w:snapToGrid w:val="0"/>
        <w:spacing w:line="300" w:lineRule="auto"/>
        <w:ind w:left="360"/>
        <w:jc w:val="both"/>
        <w:rPr>
          <w:rFonts w:ascii="Arial" w:hAnsi="Arial"/>
          <w:sz w:val="21"/>
          <w:szCs w:val="21"/>
        </w:rPr>
      </w:pPr>
      <w:r>
        <w:rPr>
          <w:rFonts w:ascii="Arial" w:hAnsi="Arial"/>
          <w:sz w:val="21"/>
          <w:szCs w:val="21"/>
        </w:rPr>
        <w:t>评估者应该包含通常使用正在测试类型器械的各种医疗专业人员。我们认为使用经验丰富的医疗专业人员志愿者的</w:t>
      </w:r>
      <w:r>
        <w:rPr>
          <w:rFonts w:ascii="Arial" w:hAnsi="Arial"/>
          <w:sz w:val="21"/>
          <w:szCs w:val="21"/>
          <w:u w:val="single"/>
        </w:rPr>
        <w:t>模拟临床应用</w:t>
      </w:r>
      <w:r>
        <w:rPr>
          <w:rFonts w:ascii="Arial" w:hAnsi="Arial"/>
          <w:sz w:val="21"/>
          <w:szCs w:val="21"/>
        </w:rPr>
        <w:t>研究通常有助于避免学习曲线人为现象。我们建议研究也包含对评估者遵守方案及其技术发表评论的观察员。</w:t>
      </w:r>
    </w:p>
    <w:p w14:paraId="1FE8BBE5">
      <w:pPr>
        <w:snapToGrid w:val="0"/>
        <w:spacing w:line="300" w:lineRule="auto"/>
        <w:jc w:val="both"/>
        <w:rPr>
          <w:rFonts w:ascii="Arial" w:hAnsi="Arial"/>
          <w:sz w:val="21"/>
          <w:szCs w:val="21"/>
        </w:rPr>
      </w:pPr>
    </w:p>
    <w:p w14:paraId="39DAB393">
      <w:pPr>
        <w:snapToGrid w:val="0"/>
        <w:spacing w:line="300" w:lineRule="auto"/>
        <w:ind w:left="360"/>
        <w:jc w:val="both"/>
        <w:rPr>
          <w:rFonts w:ascii="Arial" w:hAnsi="Arial"/>
          <w:sz w:val="21"/>
          <w:szCs w:val="21"/>
        </w:rPr>
      </w:pPr>
      <w:r>
        <w:rPr>
          <w:rFonts w:ascii="Arial" w:hAnsi="Arial"/>
          <w:sz w:val="21"/>
          <w:szCs w:val="21"/>
        </w:rPr>
        <w:t>我们建议通过选择足够数量的评估者使偏差降至最低，每名评估者使用足够大的器械样本量（如每名评估者评估总数的1/8），以便他们熟悉器械，因而提供客观的观点。评估者对器械的经济利益无任何冲突，但他们可能因他们花费的时间而获得补偿。在多个测试中心进行的研究将降低测试偏差。</w:t>
      </w:r>
    </w:p>
    <w:p w14:paraId="1634EB57">
      <w:pPr>
        <w:snapToGrid w:val="0"/>
        <w:spacing w:line="300" w:lineRule="auto"/>
        <w:jc w:val="both"/>
        <w:rPr>
          <w:rFonts w:ascii="Arial" w:hAnsi="Arial"/>
          <w:sz w:val="21"/>
          <w:szCs w:val="21"/>
        </w:rPr>
      </w:pPr>
    </w:p>
    <w:p w14:paraId="6D1C6A4A">
      <w:pPr>
        <w:snapToGrid w:val="0"/>
        <w:spacing w:line="300" w:lineRule="auto"/>
        <w:ind w:left="360"/>
        <w:jc w:val="both"/>
        <w:rPr>
          <w:rFonts w:ascii="Arial" w:hAnsi="Arial"/>
          <w:sz w:val="21"/>
          <w:szCs w:val="21"/>
        </w:rPr>
      </w:pPr>
      <w:r>
        <w:rPr>
          <w:rFonts w:ascii="Arial" w:hAnsi="Arial"/>
          <w:sz w:val="21"/>
          <w:szCs w:val="21"/>
        </w:rPr>
        <w:t>器械测试应该在模拟关键临床变量的环境下进行（如模拟患者的模型、双手戴手套、干燥和潮湿的手指、单手技术）。</w:t>
      </w:r>
    </w:p>
    <w:p w14:paraId="7532C11A">
      <w:pPr>
        <w:snapToGrid w:val="0"/>
        <w:spacing w:line="300" w:lineRule="auto"/>
        <w:jc w:val="both"/>
        <w:rPr>
          <w:rFonts w:ascii="Arial" w:hAnsi="Arial"/>
          <w:sz w:val="21"/>
          <w:szCs w:val="21"/>
        </w:rPr>
      </w:pPr>
    </w:p>
    <w:p w14:paraId="0653E2ED">
      <w:pPr>
        <w:snapToGrid w:val="0"/>
        <w:spacing w:line="300" w:lineRule="auto"/>
        <w:ind w:left="360"/>
        <w:jc w:val="both"/>
        <w:rPr>
          <w:rFonts w:ascii="Arial" w:hAnsi="Arial"/>
          <w:sz w:val="21"/>
          <w:szCs w:val="21"/>
        </w:rPr>
      </w:pPr>
      <w:r>
        <w:rPr>
          <w:rFonts w:ascii="Arial" w:hAnsi="Arial"/>
          <w:sz w:val="21"/>
          <w:szCs w:val="21"/>
        </w:rPr>
        <w:t>贵公司应该尽全力设计和执行正确模拟。贵公司应该在分析中包含所有的数据点。不完整的方案或不完整的数据不太可能提供足够的信息证明FDA的评估。如果贵公司的方案不完整或贵公司的数据不完整，FDA可能要求提供其他的模拟数据。</w:t>
      </w:r>
    </w:p>
    <w:p w14:paraId="1CE6C857">
      <w:pPr>
        <w:snapToGrid w:val="0"/>
        <w:spacing w:line="300" w:lineRule="auto"/>
        <w:jc w:val="both"/>
        <w:rPr>
          <w:rFonts w:ascii="Arial" w:hAnsi="Arial"/>
          <w:sz w:val="21"/>
          <w:szCs w:val="21"/>
        </w:rPr>
      </w:pPr>
    </w:p>
    <w:p w14:paraId="15EBB2F2">
      <w:pPr>
        <w:snapToGrid w:val="0"/>
        <w:spacing w:line="300" w:lineRule="auto"/>
        <w:ind w:left="360"/>
        <w:jc w:val="both"/>
        <w:rPr>
          <w:rFonts w:ascii="Arial" w:hAnsi="Arial"/>
          <w:b/>
          <w:sz w:val="24"/>
          <w:szCs w:val="24"/>
        </w:rPr>
      </w:pPr>
      <w:r>
        <w:rPr>
          <w:rFonts w:ascii="Arial" w:hAnsi="Arial"/>
          <w:b/>
          <w:sz w:val="24"/>
          <w:szCs w:val="24"/>
        </w:rPr>
        <w:t>评估者培训</w:t>
      </w:r>
    </w:p>
    <w:p w14:paraId="05CCEDCA">
      <w:pPr>
        <w:snapToGrid w:val="0"/>
        <w:spacing w:line="300" w:lineRule="auto"/>
        <w:jc w:val="both"/>
        <w:rPr>
          <w:rFonts w:ascii="Arial" w:hAnsi="Arial"/>
          <w:sz w:val="21"/>
          <w:szCs w:val="21"/>
        </w:rPr>
      </w:pPr>
    </w:p>
    <w:p w14:paraId="2051FA6D">
      <w:pPr>
        <w:snapToGrid w:val="0"/>
        <w:spacing w:line="300" w:lineRule="auto"/>
        <w:ind w:left="360"/>
        <w:jc w:val="both"/>
        <w:rPr>
          <w:rFonts w:ascii="Arial" w:hAnsi="Arial"/>
          <w:sz w:val="21"/>
          <w:szCs w:val="21"/>
        </w:rPr>
      </w:pPr>
      <w:r>
        <w:rPr>
          <w:rFonts w:ascii="Arial" w:hAnsi="Arial"/>
          <w:sz w:val="21"/>
          <w:szCs w:val="21"/>
        </w:rPr>
        <w:t>我们建议贵公司在研究方案方面指导评估者，以确保技术的一致性，模拟遵守全面防护措施、一致观察、评分和评估以及完整的数据收集。</w:t>
      </w:r>
    </w:p>
    <w:p w14:paraId="15B32C5E">
      <w:pPr>
        <w:snapToGrid w:val="0"/>
        <w:spacing w:line="300" w:lineRule="auto"/>
        <w:jc w:val="both"/>
        <w:rPr>
          <w:rFonts w:ascii="Arial" w:hAnsi="Arial"/>
          <w:sz w:val="21"/>
          <w:szCs w:val="21"/>
        </w:rPr>
      </w:pPr>
    </w:p>
    <w:p w14:paraId="43061D6A">
      <w:pPr>
        <w:snapToGrid w:val="0"/>
        <w:spacing w:line="300" w:lineRule="auto"/>
        <w:ind w:left="360"/>
        <w:jc w:val="both"/>
        <w:rPr>
          <w:rFonts w:ascii="Arial" w:hAnsi="Arial"/>
          <w:b/>
          <w:sz w:val="24"/>
          <w:szCs w:val="24"/>
        </w:rPr>
      </w:pPr>
      <w:r>
        <w:rPr>
          <w:rFonts w:ascii="Arial" w:hAnsi="Arial"/>
          <w:b/>
          <w:sz w:val="24"/>
          <w:szCs w:val="24"/>
        </w:rPr>
        <w:t>报告表</w:t>
      </w:r>
    </w:p>
    <w:p w14:paraId="09CB61EA">
      <w:pPr>
        <w:snapToGrid w:val="0"/>
        <w:spacing w:line="300" w:lineRule="auto"/>
        <w:jc w:val="both"/>
        <w:rPr>
          <w:rFonts w:ascii="Arial" w:hAnsi="Arial"/>
          <w:sz w:val="21"/>
          <w:szCs w:val="21"/>
        </w:rPr>
      </w:pPr>
    </w:p>
    <w:p w14:paraId="4B828282">
      <w:pPr>
        <w:snapToGrid w:val="0"/>
        <w:spacing w:line="300" w:lineRule="auto"/>
        <w:ind w:left="360"/>
        <w:jc w:val="both"/>
        <w:rPr>
          <w:rFonts w:ascii="Arial" w:hAnsi="Arial"/>
          <w:sz w:val="21"/>
          <w:szCs w:val="21"/>
        </w:rPr>
      </w:pPr>
      <w:r>
        <w:rPr>
          <w:rFonts w:ascii="Arial" w:hAnsi="Arial"/>
          <w:sz w:val="21"/>
          <w:szCs w:val="21"/>
        </w:rPr>
        <w:t>评估者应该将测试结果记录在报告表上（即评估者问卷）。报告表范例可在创新科技项目研发培训</w:t>
      </w:r>
      <w:r>
        <w:fldChar w:fldCharType="begin"/>
      </w:r>
      <w:r>
        <w:instrText xml:space="preserve"> HYPERLINK "http:http://www.tdict.org" </w:instrText>
      </w:r>
      <w:r>
        <w:fldChar w:fldCharType="separate"/>
      </w:r>
      <w:r>
        <w:rPr>
          <w:rFonts w:ascii="Arial" w:hAnsi="Arial"/>
          <w:sz w:val="21"/>
          <w:szCs w:val="21"/>
          <w:u w:val="single"/>
        </w:rPr>
        <w:t>http://www.tdict.org</w:t>
      </w:r>
      <w:r>
        <w:rPr>
          <w:rFonts w:ascii="Arial" w:hAnsi="Arial"/>
          <w:sz w:val="21"/>
          <w:szCs w:val="21"/>
          <w:u w:val="single"/>
        </w:rPr>
        <w:fldChar w:fldCharType="end"/>
      </w:r>
      <w:r>
        <w:rPr>
          <w:rFonts w:ascii="Arial" w:hAnsi="Arial"/>
          <w:sz w:val="21"/>
          <w:szCs w:val="21"/>
        </w:rPr>
        <w:t>中获取。</w:t>
      </w:r>
    </w:p>
    <w:p w14:paraId="1FAFFB84">
      <w:pPr>
        <w:snapToGrid w:val="0"/>
        <w:spacing w:line="300" w:lineRule="auto"/>
        <w:jc w:val="both"/>
        <w:rPr>
          <w:rFonts w:ascii="Arial" w:hAnsi="Arial"/>
          <w:sz w:val="21"/>
          <w:szCs w:val="21"/>
        </w:rPr>
      </w:pPr>
      <w:r>
        <w:rPr>
          <w:rFonts w:ascii="Arial" w:hAnsi="Arial"/>
          <w:sz w:val="21"/>
          <w:szCs w:val="21"/>
        </w:rPr>
        <w:br w:type="page"/>
      </w:r>
    </w:p>
    <w:p w14:paraId="1C7B3C04">
      <w:pPr>
        <w:snapToGrid w:val="0"/>
        <w:spacing w:line="300" w:lineRule="auto"/>
        <w:jc w:val="both"/>
        <w:rPr>
          <w:rFonts w:ascii="Arial" w:hAnsi="Arial"/>
          <w:sz w:val="21"/>
          <w:szCs w:val="21"/>
        </w:rPr>
      </w:pPr>
      <w:r>
        <w:rPr>
          <w:rFonts w:ascii="Arial" w:hAnsi="Arial"/>
          <w:sz w:val="21"/>
          <w:szCs w:val="21"/>
        </w:rPr>
        <w:t>在贵公司的报告表中应该有足够的空间进行叙述性评论。我们建议报告表包含以下内容：</w:t>
      </w:r>
    </w:p>
    <w:p w14:paraId="7900FA2B">
      <w:pPr>
        <w:snapToGrid w:val="0"/>
        <w:spacing w:line="300" w:lineRule="auto"/>
        <w:jc w:val="both"/>
        <w:rPr>
          <w:rFonts w:ascii="Arial" w:hAnsi="Arial"/>
          <w:sz w:val="21"/>
          <w:szCs w:val="21"/>
        </w:rPr>
      </w:pPr>
    </w:p>
    <w:p w14:paraId="60541C2E">
      <w:pPr>
        <w:numPr>
          <w:ilvl w:val="0"/>
          <w:numId w:val="12"/>
        </w:numPr>
        <w:tabs>
          <w:tab w:val="left" w:pos="720"/>
        </w:tabs>
        <w:snapToGrid w:val="0"/>
        <w:spacing w:line="300" w:lineRule="auto"/>
        <w:ind w:left="720" w:hanging="360"/>
        <w:jc w:val="both"/>
        <w:rPr>
          <w:rFonts w:ascii="Arial" w:hAnsi="Arial"/>
          <w:sz w:val="21"/>
          <w:szCs w:val="21"/>
        </w:rPr>
      </w:pPr>
      <w:r>
        <w:rPr>
          <w:rFonts w:ascii="Arial" w:hAnsi="Arial"/>
          <w:sz w:val="21"/>
          <w:szCs w:val="21"/>
        </w:rPr>
        <w:t>对于跟踪目的的一般介绍性问题，比如日期、时间段、研究中心、评估者姓名</w:t>
      </w:r>
    </w:p>
    <w:p w14:paraId="43E508AD">
      <w:pPr>
        <w:snapToGrid w:val="0"/>
        <w:spacing w:line="300" w:lineRule="auto"/>
        <w:jc w:val="both"/>
        <w:rPr>
          <w:rFonts w:ascii="Arial" w:hAnsi="Arial"/>
          <w:sz w:val="21"/>
          <w:szCs w:val="21"/>
        </w:rPr>
      </w:pPr>
    </w:p>
    <w:p w14:paraId="3EFE2933">
      <w:pPr>
        <w:numPr>
          <w:ilvl w:val="0"/>
          <w:numId w:val="12"/>
        </w:numPr>
        <w:tabs>
          <w:tab w:val="left" w:pos="720"/>
        </w:tabs>
        <w:snapToGrid w:val="0"/>
        <w:spacing w:line="300" w:lineRule="auto"/>
        <w:ind w:left="720" w:hanging="360"/>
        <w:jc w:val="both"/>
        <w:rPr>
          <w:rFonts w:ascii="Arial" w:hAnsi="Arial"/>
          <w:sz w:val="21"/>
          <w:szCs w:val="21"/>
        </w:rPr>
      </w:pPr>
      <w:r>
        <w:rPr>
          <w:rFonts w:ascii="Arial" w:hAnsi="Arial"/>
          <w:sz w:val="21"/>
          <w:szCs w:val="21"/>
        </w:rPr>
        <w:t>评估者的特征和经验（如，左手或右手习惯，按照定义量表测量的手的尺寸、性别、年龄、每天使用过的类似器械的数量、工作环境）</w:t>
      </w:r>
    </w:p>
    <w:p w14:paraId="49EA5BDF">
      <w:pPr>
        <w:snapToGrid w:val="0"/>
        <w:spacing w:line="300" w:lineRule="auto"/>
        <w:jc w:val="both"/>
        <w:rPr>
          <w:rFonts w:ascii="Arial" w:hAnsi="Arial"/>
          <w:sz w:val="21"/>
          <w:szCs w:val="21"/>
        </w:rPr>
      </w:pPr>
    </w:p>
    <w:p w14:paraId="3BB489C8">
      <w:pPr>
        <w:numPr>
          <w:ilvl w:val="0"/>
          <w:numId w:val="12"/>
        </w:numPr>
        <w:tabs>
          <w:tab w:val="left" w:pos="720"/>
        </w:tabs>
        <w:snapToGrid w:val="0"/>
        <w:spacing w:line="300" w:lineRule="auto"/>
        <w:ind w:left="720" w:hanging="360"/>
        <w:jc w:val="both"/>
        <w:rPr>
          <w:rFonts w:ascii="Arial" w:hAnsi="Arial"/>
          <w:sz w:val="21"/>
          <w:szCs w:val="21"/>
        </w:rPr>
      </w:pPr>
      <w:r>
        <w:rPr>
          <w:rFonts w:ascii="Arial" w:hAnsi="Arial"/>
          <w:sz w:val="21"/>
          <w:szCs w:val="21"/>
        </w:rPr>
        <w:t>评估者使用的器械数量和类型</w:t>
      </w:r>
    </w:p>
    <w:p w14:paraId="16A8B09A">
      <w:pPr>
        <w:snapToGrid w:val="0"/>
        <w:spacing w:line="300" w:lineRule="auto"/>
        <w:jc w:val="both"/>
        <w:rPr>
          <w:rFonts w:ascii="Arial" w:hAnsi="Arial"/>
          <w:sz w:val="21"/>
          <w:szCs w:val="21"/>
        </w:rPr>
      </w:pPr>
    </w:p>
    <w:p w14:paraId="5CEED2CA">
      <w:pPr>
        <w:numPr>
          <w:ilvl w:val="0"/>
          <w:numId w:val="12"/>
        </w:numPr>
        <w:tabs>
          <w:tab w:val="left" w:pos="720"/>
        </w:tabs>
        <w:snapToGrid w:val="0"/>
        <w:spacing w:line="300" w:lineRule="auto"/>
        <w:ind w:left="720" w:hanging="360"/>
        <w:jc w:val="both"/>
        <w:rPr>
          <w:rFonts w:ascii="Arial" w:hAnsi="Arial"/>
          <w:sz w:val="21"/>
          <w:szCs w:val="21"/>
        </w:rPr>
      </w:pPr>
      <w:r>
        <w:rPr>
          <w:rFonts w:ascii="Arial" w:hAnsi="Arial"/>
          <w:sz w:val="21"/>
          <w:szCs w:val="21"/>
        </w:rPr>
        <w:t>用户执行器械预期功能如注射、给药环流体等的能力等级</w:t>
      </w:r>
    </w:p>
    <w:p w14:paraId="7241CBAB">
      <w:pPr>
        <w:snapToGrid w:val="0"/>
        <w:spacing w:line="300" w:lineRule="auto"/>
        <w:jc w:val="both"/>
        <w:rPr>
          <w:rFonts w:ascii="Arial" w:hAnsi="Arial"/>
          <w:sz w:val="21"/>
          <w:szCs w:val="21"/>
        </w:rPr>
      </w:pPr>
    </w:p>
    <w:p w14:paraId="16DAE926">
      <w:pPr>
        <w:numPr>
          <w:ilvl w:val="0"/>
          <w:numId w:val="12"/>
        </w:numPr>
        <w:tabs>
          <w:tab w:val="left" w:pos="720"/>
        </w:tabs>
        <w:snapToGrid w:val="0"/>
        <w:spacing w:line="300" w:lineRule="auto"/>
        <w:ind w:left="720" w:hanging="360"/>
        <w:jc w:val="both"/>
        <w:rPr>
          <w:rFonts w:ascii="Arial" w:hAnsi="Arial"/>
          <w:sz w:val="21"/>
          <w:szCs w:val="21"/>
        </w:rPr>
      </w:pPr>
      <w:r>
        <w:rPr>
          <w:rFonts w:ascii="Arial" w:hAnsi="Arial"/>
          <w:sz w:val="21"/>
          <w:szCs w:val="21"/>
        </w:rPr>
        <w:t>用户使重要使用因素可视化的能力等级，如量表、回流等</w:t>
      </w:r>
    </w:p>
    <w:p w14:paraId="5E8D645E">
      <w:pPr>
        <w:snapToGrid w:val="0"/>
        <w:spacing w:line="300" w:lineRule="auto"/>
        <w:jc w:val="both"/>
        <w:rPr>
          <w:rFonts w:ascii="Arial" w:hAnsi="Arial"/>
          <w:sz w:val="21"/>
          <w:szCs w:val="21"/>
        </w:rPr>
      </w:pPr>
    </w:p>
    <w:p w14:paraId="51E6FF78">
      <w:pPr>
        <w:numPr>
          <w:ilvl w:val="0"/>
          <w:numId w:val="12"/>
        </w:numPr>
        <w:tabs>
          <w:tab w:val="left" w:pos="720"/>
        </w:tabs>
        <w:snapToGrid w:val="0"/>
        <w:spacing w:line="300" w:lineRule="auto"/>
        <w:ind w:left="720" w:hanging="360"/>
        <w:jc w:val="both"/>
        <w:rPr>
          <w:rFonts w:ascii="Arial" w:hAnsi="Arial"/>
          <w:sz w:val="21"/>
          <w:szCs w:val="21"/>
        </w:rPr>
      </w:pPr>
      <w:r>
        <w:rPr>
          <w:rFonts w:ascii="Arial" w:hAnsi="Arial"/>
          <w:sz w:val="21"/>
          <w:szCs w:val="21"/>
        </w:rPr>
        <w:t>常规技术中任何必要的变化，如单手使用的变化</w:t>
      </w:r>
    </w:p>
    <w:p w14:paraId="76DBBE74">
      <w:pPr>
        <w:snapToGrid w:val="0"/>
        <w:spacing w:line="300" w:lineRule="auto"/>
        <w:jc w:val="both"/>
        <w:rPr>
          <w:rFonts w:ascii="Arial" w:hAnsi="Arial"/>
          <w:sz w:val="21"/>
          <w:szCs w:val="21"/>
        </w:rPr>
      </w:pPr>
    </w:p>
    <w:p w14:paraId="45D7F0A2">
      <w:pPr>
        <w:numPr>
          <w:ilvl w:val="0"/>
          <w:numId w:val="12"/>
        </w:numPr>
        <w:tabs>
          <w:tab w:val="left" w:pos="720"/>
        </w:tabs>
        <w:snapToGrid w:val="0"/>
        <w:spacing w:line="300" w:lineRule="auto"/>
        <w:ind w:left="720" w:hanging="360"/>
        <w:jc w:val="both"/>
        <w:rPr>
          <w:rFonts w:ascii="Arial" w:hAnsi="Arial"/>
          <w:sz w:val="21"/>
          <w:szCs w:val="21"/>
        </w:rPr>
      </w:pPr>
      <w:r>
        <w:rPr>
          <w:rFonts w:ascii="Arial" w:hAnsi="Arial"/>
          <w:sz w:val="21"/>
          <w:szCs w:val="21"/>
        </w:rPr>
        <w:t>将器械从包装中取出、准备和使用器械时保持无菌技术的能力</w:t>
      </w:r>
    </w:p>
    <w:p w14:paraId="6118956C">
      <w:pPr>
        <w:snapToGrid w:val="0"/>
        <w:spacing w:line="300" w:lineRule="auto"/>
        <w:jc w:val="both"/>
        <w:rPr>
          <w:rFonts w:ascii="Arial" w:hAnsi="Arial"/>
          <w:sz w:val="21"/>
          <w:szCs w:val="21"/>
        </w:rPr>
      </w:pPr>
    </w:p>
    <w:p w14:paraId="6AA467A9">
      <w:pPr>
        <w:numPr>
          <w:ilvl w:val="0"/>
          <w:numId w:val="12"/>
        </w:numPr>
        <w:tabs>
          <w:tab w:val="left" w:pos="720"/>
        </w:tabs>
        <w:snapToGrid w:val="0"/>
        <w:spacing w:line="300" w:lineRule="auto"/>
        <w:ind w:left="720" w:hanging="360"/>
        <w:jc w:val="both"/>
        <w:rPr>
          <w:rFonts w:ascii="Arial" w:hAnsi="Arial"/>
          <w:sz w:val="21"/>
          <w:szCs w:val="21"/>
        </w:rPr>
      </w:pPr>
      <w:r>
        <w:rPr>
          <w:rFonts w:ascii="Arial" w:hAnsi="Arial"/>
          <w:sz w:val="21"/>
          <w:szCs w:val="21"/>
        </w:rPr>
        <w:t>安全特性激活的容易程度和抗意外激活的能力</w:t>
      </w:r>
    </w:p>
    <w:p w14:paraId="34384718">
      <w:pPr>
        <w:snapToGrid w:val="0"/>
        <w:spacing w:line="300" w:lineRule="auto"/>
        <w:jc w:val="both"/>
        <w:rPr>
          <w:rFonts w:ascii="Arial" w:hAnsi="Arial"/>
          <w:sz w:val="21"/>
          <w:szCs w:val="21"/>
        </w:rPr>
      </w:pPr>
    </w:p>
    <w:p w14:paraId="7DF81BF2">
      <w:pPr>
        <w:numPr>
          <w:ilvl w:val="0"/>
          <w:numId w:val="12"/>
        </w:numPr>
        <w:tabs>
          <w:tab w:val="left" w:pos="720"/>
        </w:tabs>
        <w:snapToGrid w:val="0"/>
        <w:spacing w:line="300" w:lineRule="auto"/>
        <w:ind w:left="720" w:hanging="360"/>
        <w:jc w:val="both"/>
        <w:rPr>
          <w:rFonts w:ascii="Arial" w:hAnsi="Arial"/>
          <w:sz w:val="21"/>
          <w:szCs w:val="21"/>
        </w:rPr>
      </w:pPr>
      <w:r>
        <w:rPr>
          <w:rFonts w:ascii="Arial" w:hAnsi="Arial"/>
          <w:sz w:val="21"/>
          <w:szCs w:val="21"/>
        </w:rPr>
        <w:t>遇到的所有与器械或用户相关的不良反应或问题，如锐器损伤、需进行多次静脉穿刺、安全性特性未能保持激活状态、线路断开</w:t>
      </w:r>
    </w:p>
    <w:p w14:paraId="731A8015">
      <w:pPr>
        <w:snapToGrid w:val="0"/>
        <w:spacing w:line="300" w:lineRule="auto"/>
        <w:jc w:val="both"/>
        <w:rPr>
          <w:rFonts w:ascii="Arial" w:hAnsi="Arial"/>
          <w:sz w:val="21"/>
          <w:szCs w:val="21"/>
        </w:rPr>
      </w:pPr>
    </w:p>
    <w:p w14:paraId="2B7438D7">
      <w:pPr>
        <w:numPr>
          <w:ilvl w:val="0"/>
          <w:numId w:val="12"/>
        </w:numPr>
        <w:tabs>
          <w:tab w:val="left" w:pos="720"/>
        </w:tabs>
        <w:snapToGrid w:val="0"/>
        <w:spacing w:line="300" w:lineRule="auto"/>
        <w:ind w:left="720" w:hanging="360"/>
        <w:jc w:val="both"/>
        <w:rPr>
          <w:rFonts w:ascii="Arial" w:hAnsi="Arial"/>
          <w:sz w:val="21"/>
          <w:szCs w:val="21"/>
        </w:rPr>
      </w:pPr>
      <w:r>
        <w:rPr>
          <w:rFonts w:ascii="Arial" w:hAnsi="Arial"/>
          <w:sz w:val="21"/>
          <w:szCs w:val="21"/>
        </w:rPr>
        <w:t>使用安全性器械需要的感知或实际时间和对照/合法上市器械的对比以及对用户认可度的影响</w:t>
      </w:r>
    </w:p>
    <w:p w14:paraId="01D99DB3">
      <w:pPr>
        <w:snapToGrid w:val="0"/>
        <w:spacing w:line="300" w:lineRule="auto"/>
        <w:jc w:val="both"/>
        <w:rPr>
          <w:rFonts w:ascii="Arial" w:hAnsi="Arial"/>
          <w:sz w:val="21"/>
          <w:szCs w:val="21"/>
        </w:rPr>
      </w:pPr>
    </w:p>
    <w:p w14:paraId="7D5B9868">
      <w:pPr>
        <w:numPr>
          <w:ilvl w:val="0"/>
          <w:numId w:val="12"/>
        </w:numPr>
        <w:tabs>
          <w:tab w:val="left" w:pos="720"/>
        </w:tabs>
        <w:snapToGrid w:val="0"/>
        <w:spacing w:line="300" w:lineRule="auto"/>
        <w:ind w:left="720" w:hanging="360"/>
        <w:jc w:val="both"/>
        <w:rPr>
          <w:rFonts w:ascii="Arial" w:hAnsi="Arial"/>
          <w:sz w:val="21"/>
          <w:szCs w:val="21"/>
        </w:rPr>
      </w:pPr>
      <w:r>
        <w:rPr>
          <w:rFonts w:ascii="Arial" w:hAnsi="Arial"/>
          <w:sz w:val="21"/>
          <w:szCs w:val="21"/>
        </w:rPr>
        <w:t>检测安全性器械激活的能力和对实际临床使用中可能遇到的检测相关问题的评论</w:t>
      </w:r>
    </w:p>
    <w:p w14:paraId="4B7516BE">
      <w:pPr>
        <w:snapToGrid w:val="0"/>
        <w:spacing w:line="300" w:lineRule="auto"/>
        <w:jc w:val="both"/>
        <w:rPr>
          <w:rFonts w:ascii="Arial" w:hAnsi="Arial"/>
          <w:sz w:val="21"/>
          <w:szCs w:val="21"/>
        </w:rPr>
      </w:pPr>
    </w:p>
    <w:p w14:paraId="0CB4EC28">
      <w:pPr>
        <w:numPr>
          <w:ilvl w:val="0"/>
          <w:numId w:val="12"/>
        </w:numPr>
        <w:tabs>
          <w:tab w:val="left" w:pos="720"/>
        </w:tabs>
        <w:snapToGrid w:val="0"/>
        <w:spacing w:line="300" w:lineRule="auto"/>
        <w:ind w:left="720" w:hanging="360"/>
        <w:jc w:val="both"/>
        <w:rPr>
          <w:rFonts w:ascii="Arial" w:hAnsi="Arial"/>
          <w:sz w:val="21"/>
          <w:szCs w:val="21"/>
        </w:rPr>
      </w:pPr>
      <w:r>
        <w:rPr>
          <w:rFonts w:ascii="Arial" w:hAnsi="Arial"/>
          <w:sz w:val="21"/>
          <w:szCs w:val="21"/>
        </w:rPr>
        <w:t>对器械使用学习曲线程度的意见</w:t>
      </w:r>
    </w:p>
    <w:p w14:paraId="7B579C36">
      <w:pPr>
        <w:snapToGrid w:val="0"/>
        <w:spacing w:line="300" w:lineRule="auto"/>
        <w:jc w:val="both"/>
        <w:rPr>
          <w:rFonts w:ascii="Arial" w:hAnsi="Arial"/>
          <w:sz w:val="21"/>
          <w:szCs w:val="21"/>
        </w:rPr>
      </w:pPr>
    </w:p>
    <w:p w14:paraId="28A73428">
      <w:pPr>
        <w:numPr>
          <w:ilvl w:val="0"/>
          <w:numId w:val="12"/>
        </w:numPr>
        <w:tabs>
          <w:tab w:val="left" w:pos="720"/>
        </w:tabs>
        <w:snapToGrid w:val="0"/>
        <w:spacing w:line="300" w:lineRule="auto"/>
        <w:ind w:left="720" w:hanging="360"/>
        <w:jc w:val="both"/>
        <w:rPr>
          <w:rFonts w:ascii="Arial" w:hAnsi="Arial"/>
          <w:sz w:val="21"/>
          <w:szCs w:val="21"/>
        </w:rPr>
      </w:pPr>
      <w:r>
        <w:rPr>
          <w:rFonts w:ascii="Arial" w:hAnsi="Arial"/>
          <w:sz w:val="21"/>
          <w:szCs w:val="21"/>
        </w:rPr>
        <w:t>对器械相对可接受性的总体评价，包括其优点和缺点</w:t>
      </w:r>
    </w:p>
    <w:p w14:paraId="52AB2FA3">
      <w:pPr>
        <w:snapToGrid w:val="0"/>
        <w:spacing w:line="300" w:lineRule="auto"/>
        <w:jc w:val="both"/>
        <w:rPr>
          <w:rFonts w:ascii="Arial" w:hAnsi="Arial"/>
          <w:sz w:val="21"/>
          <w:szCs w:val="21"/>
        </w:rPr>
      </w:pPr>
    </w:p>
    <w:p w14:paraId="658492A3">
      <w:pPr>
        <w:numPr>
          <w:ilvl w:val="0"/>
          <w:numId w:val="12"/>
        </w:numPr>
        <w:tabs>
          <w:tab w:val="left" w:pos="720"/>
        </w:tabs>
        <w:snapToGrid w:val="0"/>
        <w:spacing w:line="300" w:lineRule="auto"/>
        <w:ind w:left="720" w:hanging="360"/>
        <w:jc w:val="both"/>
        <w:rPr>
          <w:rFonts w:ascii="Arial" w:hAnsi="Arial"/>
          <w:sz w:val="21"/>
          <w:szCs w:val="21"/>
        </w:rPr>
      </w:pPr>
      <w:r>
        <w:rPr>
          <w:rFonts w:ascii="Arial" w:hAnsi="Arial"/>
          <w:sz w:val="21"/>
          <w:szCs w:val="21"/>
        </w:rPr>
        <w:t>留出空间供填写任何其他评论或值得注意的观察结果</w:t>
      </w:r>
    </w:p>
    <w:p w14:paraId="1142D794">
      <w:pPr>
        <w:snapToGrid w:val="0"/>
        <w:spacing w:line="300" w:lineRule="auto"/>
        <w:jc w:val="both"/>
        <w:rPr>
          <w:rFonts w:ascii="Arial" w:hAnsi="Arial"/>
          <w:sz w:val="21"/>
          <w:szCs w:val="21"/>
        </w:rPr>
      </w:pPr>
    </w:p>
    <w:p w14:paraId="4B9CA97A">
      <w:pPr>
        <w:snapToGrid w:val="0"/>
        <w:spacing w:line="300" w:lineRule="auto"/>
        <w:jc w:val="both"/>
        <w:rPr>
          <w:rFonts w:ascii="Arial" w:hAnsi="Arial"/>
          <w:b/>
          <w:sz w:val="24"/>
          <w:szCs w:val="24"/>
        </w:rPr>
      </w:pPr>
      <w:r>
        <w:rPr>
          <w:rFonts w:ascii="Arial" w:hAnsi="Arial"/>
          <w:b/>
          <w:sz w:val="24"/>
          <w:szCs w:val="24"/>
        </w:rPr>
        <w:t>测试失败</w:t>
      </w:r>
    </w:p>
    <w:p w14:paraId="19E08009">
      <w:pPr>
        <w:snapToGrid w:val="0"/>
        <w:spacing w:line="300" w:lineRule="auto"/>
        <w:jc w:val="both"/>
        <w:rPr>
          <w:rFonts w:ascii="Arial" w:hAnsi="Arial"/>
          <w:sz w:val="21"/>
          <w:szCs w:val="21"/>
        </w:rPr>
      </w:pPr>
    </w:p>
    <w:p w14:paraId="2B9C81F3">
      <w:pPr>
        <w:snapToGrid w:val="0"/>
        <w:spacing w:line="300" w:lineRule="auto"/>
        <w:jc w:val="both"/>
        <w:rPr>
          <w:rFonts w:ascii="Arial" w:hAnsi="Arial"/>
          <w:sz w:val="21"/>
          <w:szCs w:val="21"/>
        </w:rPr>
      </w:pPr>
      <w:r>
        <w:rPr>
          <w:rFonts w:ascii="Arial" w:hAnsi="Arial"/>
          <w:sz w:val="21"/>
          <w:szCs w:val="21"/>
        </w:rPr>
        <w:t>我们建议贵公司报告所有数据，包括任何失败的测试。如果测试包含一次失败，FDA建议贵公司详细解释测试失败和采取确保纠正失败的措施。如果贵公司重新设计贵公司的器械，FDA建议贵公司重复模拟临床应用研究并报告其结果，包括任何失败的测试。</w:t>
      </w:r>
    </w:p>
    <w:p w14:paraId="0E5D831D">
      <w:pPr>
        <w:snapToGrid w:val="0"/>
        <w:spacing w:line="300" w:lineRule="auto"/>
        <w:jc w:val="both"/>
        <w:rPr>
          <w:rFonts w:ascii="Arial" w:hAnsi="Arial"/>
          <w:sz w:val="21"/>
          <w:szCs w:val="21"/>
        </w:rPr>
      </w:pPr>
      <w:r>
        <w:rPr>
          <w:rFonts w:ascii="Arial" w:hAnsi="Arial"/>
          <w:sz w:val="21"/>
          <w:szCs w:val="21"/>
        </w:rPr>
        <w:br w:type="page"/>
      </w:r>
    </w:p>
    <w:p w14:paraId="6C3B5410">
      <w:pPr>
        <w:snapToGrid w:val="0"/>
        <w:spacing w:line="300" w:lineRule="auto"/>
        <w:ind w:left="360"/>
        <w:jc w:val="both"/>
        <w:rPr>
          <w:rFonts w:ascii="Arial" w:hAnsi="Arial"/>
          <w:b/>
          <w:sz w:val="24"/>
          <w:szCs w:val="24"/>
        </w:rPr>
      </w:pPr>
      <w:r>
        <w:rPr>
          <w:rFonts w:ascii="Arial" w:hAnsi="Arial"/>
          <w:b/>
          <w:sz w:val="24"/>
          <w:szCs w:val="24"/>
        </w:rPr>
        <w:t>样本量确定</w:t>
      </w:r>
    </w:p>
    <w:p w14:paraId="5F507999">
      <w:pPr>
        <w:snapToGrid w:val="0"/>
        <w:spacing w:line="300" w:lineRule="auto"/>
        <w:jc w:val="both"/>
        <w:rPr>
          <w:rFonts w:ascii="Arial" w:hAnsi="Arial"/>
          <w:sz w:val="21"/>
          <w:szCs w:val="21"/>
        </w:rPr>
      </w:pPr>
    </w:p>
    <w:p w14:paraId="0B0C9D9C">
      <w:pPr>
        <w:snapToGrid w:val="0"/>
        <w:spacing w:line="300" w:lineRule="auto"/>
        <w:ind w:left="360"/>
        <w:jc w:val="both"/>
        <w:rPr>
          <w:rFonts w:ascii="Arial" w:hAnsi="Arial"/>
          <w:sz w:val="21"/>
          <w:szCs w:val="21"/>
        </w:rPr>
      </w:pPr>
      <w:r>
        <w:rPr>
          <w:rFonts w:ascii="Arial" w:hAnsi="Arial"/>
          <w:sz w:val="21"/>
          <w:szCs w:val="21"/>
        </w:rPr>
        <w:t>样本量可基于“N”台器械试运行时观察到的失败率的置信区间。失败定义为针刺损伤或可能导致损伤的安全特性的重大问题。区间的上限作为新器械“真实”失败率的最坏情况近似值。</w:t>
      </w:r>
    </w:p>
    <w:p w14:paraId="19DF2739">
      <w:pPr>
        <w:snapToGrid w:val="0"/>
        <w:spacing w:line="300" w:lineRule="auto"/>
        <w:jc w:val="both"/>
        <w:rPr>
          <w:rFonts w:ascii="Arial" w:hAnsi="Arial"/>
          <w:sz w:val="21"/>
          <w:szCs w:val="21"/>
        </w:rPr>
      </w:pPr>
    </w:p>
    <w:p w14:paraId="5B1B0FE7">
      <w:pPr>
        <w:snapToGrid w:val="0"/>
        <w:spacing w:line="300" w:lineRule="auto"/>
        <w:ind w:left="360"/>
        <w:jc w:val="both"/>
        <w:rPr>
          <w:rFonts w:ascii="Arial" w:hAnsi="Arial"/>
          <w:sz w:val="21"/>
          <w:szCs w:val="21"/>
        </w:rPr>
      </w:pPr>
      <w:r>
        <w:rPr>
          <w:rFonts w:ascii="Arial" w:hAnsi="Arial"/>
          <w:sz w:val="21"/>
          <w:szCs w:val="21"/>
        </w:rPr>
        <w:t>使用STAT EXACT TURBO®统计软件生成的以下表格，列出了95% 和 99%置信区间的上限，是基于观察到的失败器械的二进制分布，即在器械试样分别为100、200和 500时观察到0、1、2或3台失败器械。</w:t>
      </w:r>
      <w:r>
        <w:rPr>
          <w:rFonts w:ascii="Arial" w:hAnsi="Arial"/>
          <w:sz w:val="21"/>
          <w:szCs w:val="21"/>
          <w:vertAlign w:val="superscript"/>
        </w:rPr>
        <w:t>5</w:t>
      </w:r>
    </w:p>
    <w:tbl>
      <w:tblPr>
        <w:tblStyle w:val="6"/>
        <w:tblW w:w="0" w:type="auto"/>
        <w:tblInd w:w="1540" w:type="dxa"/>
        <w:tblLayout w:type="fixed"/>
        <w:tblCellMar>
          <w:top w:w="0" w:type="dxa"/>
          <w:left w:w="0" w:type="dxa"/>
          <w:bottom w:w="0" w:type="dxa"/>
          <w:right w:w="0" w:type="dxa"/>
        </w:tblCellMar>
      </w:tblPr>
      <w:tblGrid>
        <w:gridCol w:w="120"/>
        <w:gridCol w:w="940"/>
        <w:gridCol w:w="220"/>
        <w:gridCol w:w="1300"/>
        <w:gridCol w:w="1280"/>
        <w:gridCol w:w="1280"/>
        <w:gridCol w:w="80"/>
        <w:gridCol w:w="1080"/>
        <w:gridCol w:w="120"/>
      </w:tblGrid>
      <w:tr w14:paraId="4DB32B9D">
        <w:tblPrEx>
          <w:tblCellMar>
            <w:top w:w="0" w:type="dxa"/>
            <w:left w:w="0" w:type="dxa"/>
            <w:bottom w:w="0" w:type="dxa"/>
            <w:right w:w="0" w:type="dxa"/>
          </w:tblCellMar>
        </w:tblPrEx>
        <w:tc>
          <w:tcPr>
            <w:tcW w:w="120" w:type="dxa"/>
            <w:shd w:val="clear" w:color="auto" w:fill="auto"/>
            <w:vAlign w:val="bottom"/>
          </w:tcPr>
          <w:p w14:paraId="4CC174E1">
            <w:pPr>
              <w:snapToGrid w:val="0"/>
              <w:spacing w:line="280" w:lineRule="exact"/>
              <w:jc w:val="both"/>
              <w:rPr>
                <w:rFonts w:ascii="Arial" w:hAnsi="Arial"/>
                <w:sz w:val="21"/>
                <w:szCs w:val="21"/>
              </w:rPr>
            </w:pPr>
          </w:p>
        </w:tc>
        <w:tc>
          <w:tcPr>
            <w:tcW w:w="940" w:type="dxa"/>
            <w:shd w:val="clear" w:color="auto" w:fill="auto"/>
            <w:vAlign w:val="bottom"/>
          </w:tcPr>
          <w:p w14:paraId="155D16C7">
            <w:pPr>
              <w:snapToGrid w:val="0"/>
              <w:spacing w:line="280" w:lineRule="exact"/>
              <w:jc w:val="both"/>
              <w:rPr>
                <w:rFonts w:ascii="Arial" w:hAnsi="Arial"/>
                <w:sz w:val="21"/>
                <w:szCs w:val="21"/>
              </w:rPr>
            </w:pPr>
          </w:p>
        </w:tc>
        <w:tc>
          <w:tcPr>
            <w:tcW w:w="4160" w:type="dxa"/>
            <w:gridSpan w:val="5"/>
            <w:shd w:val="clear" w:color="auto" w:fill="auto"/>
            <w:vAlign w:val="bottom"/>
          </w:tcPr>
          <w:p w14:paraId="04A57A5A">
            <w:pPr>
              <w:snapToGrid w:val="0"/>
              <w:spacing w:line="280" w:lineRule="exact"/>
              <w:ind w:left="100"/>
              <w:jc w:val="center"/>
              <w:rPr>
                <w:rFonts w:ascii="Arial" w:hAnsi="Arial"/>
                <w:b/>
                <w:sz w:val="21"/>
                <w:szCs w:val="21"/>
              </w:rPr>
            </w:pPr>
            <w:r>
              <w:rPr>
                <w:rFonts w:ascii="Arial" w:hAnsi="Arial"/>
                <w:b/>
                <w:sz w:val="21"/>
                <w:szCs w:val="21"/>
              </w:rPr>
              <w:t>95%置信区间的上限</w:t>
            </w:r>
          </w:p>
        </w:tc>
        <w:tc>
          <w:tcPr>
            <w:tcW w:w="1080" w:type="dxa"/>
            <w:shd w:val="clear" w:color="auto" w:fill="auto"/>
            <w:vAlign w:val="bottom"/>
          </w:tcPr>
          <w:p w14:paraId="44CF555F">
            <w:pPr>
              <w:snapToGrid w:val="0"/>
              <w:spacing w:line="280" w:lineRule="exact"/>
              <w:jc w:val="both"/>
              <w:rPr>
                <w:rFonts w:ascii="Arial" w:hAnsi="Arial"/>
                <w:sz w:val="21"/>
                <w:szCs w:val="21"/>
              </w:rPr>
            </w:pPr>
          </w:p>
        </w:tc>
        <w:tc>
          <w:tcPr>
            <w:tcW w:w="120" w:type="dxa"/>
            <w:shd w:val="clear" w:color="auto" w:fill="auto"/>
            <w:vAlign w:val="bottom"/>
          </w:tcPr>
          <w:p w14:paraId="09B471B3">
            <w:pPr>
              <w:snapToGrid w:val="0"/>
              <w:spacing w:line="280" w:lineRule="exact"/>
              <w:jc w:val="both"/>
              <w:rPr>
                <w:rFonts w:ascii="Arial" w:hAnsi="Arial"/>
                <w:sz w:val="21"/>
                <w:szCs w:val="21"/>
              </w:rPr>
            </w:pPr>
          </w:p>
        </w:tc>
      </w:tr>
      <w:tr w14:paraId="5A82951F">
        <w:tblPrEx>
          <w:tblCellMar>
            <w:top w:w="0" w:type="dxa"/>
            <w:left w:w="0" w:type="dxa"/>
            <w:bottom w:w="0" w:type="dxa"/>
            <w:right w:w="0" w:type="dxa"/>
          </w:tblCellMar>
        </w:tblPrEx>
        <w:trPr>
          <w:trHeight w:val="360" w:hRule="atLeast"/>
        </w:trPr>
        <w:tc>
          <w:tcPr>
            <w:tcW w:w="1280" w:type="dxa"/>
            <w:gridSpan w:val="3"/>
            <w:vMerge w:val="restart"/>
            <w:tcBorders>
              <w:bottom w:val="nil"/>
              <w:right w:val="single" w:color="auto" w:sz="8" w:space="0"/>
            </w:tcBorders>
            <w:shd w:val="clear" w:color="auto" w:fill="auto"/>
            <w:vAlign w:val="bottom"/>
          </w:tcPr>
          <w:p w14:paraId="6E3CD890">
            <w:pPr>
              <w:snapToGrid w:val="0"/>
              <w:spacing w:line="280" w:lineRule="exact"/>
              <w:jc w:val="both"/>
              <w:rPr>
                <w:rFonts w:ascii="Arial" w:hAnsi="Arial"/>
                <w:sz w:val="21"/>
                <w:szCs w:val="21"/>
              </w:rPr>
            </w:pPr>
          </w:p>
        </w:tc>
        <w:tc>
          <w:tcPr>
            <w:tcW w:w="5140" w:type="dxa"/>
            <w:gridSpan w:val="6"/>
            <w:tcBorders>
              <w:top w:val="single" w:color="auto" w:sz="8" w:space="0"/>
              <w:bottom w:val="single" w:color="auto" w:sz="8" w:space="0"/>
              <w:right w:val="single" w:color="auto" w:sz="8" w:space="0"/>
            </w:tcBorders>
            <w:shd w:val="clear" w:color="auto" w:fill="CCFFFF"/>
            <w:vAlign w:val="bottom"/>
          </w:tcPr>
          <w:p w14:paraId="52BEF182">
            <w:pPr>
              <w:snapToGrid w:val="0"/>
              <w:spacing w:line="280" w:lineRule="exact"/>
              <w:jc w:val="center"/>
              <w:rPr>
                <w:rFonts w:ascii="Arial" w:hAnsi="Arial"/>
                <w:sz w:val="21"/>
                <w:szCs w:val="21"/>
              </w:rPr>
            </w:pPr>
            <w:r>
              <w:rPr>
                <w:rFonts w:ascii="Arial" w:hAnsi="Arial"/>
                <w:b/>
                <w:sz w:val="21"/>
                <w:szCs w:val="21"/>
              </w:rPr>
              <w:t>测试的器械数量</w:t>
            </w:r>
          </w:p>
        </w:tc>
      </w:tr>
      <w:tr w14:paraId="64508873">
        <w:tblPrEx>
          <w:tblCellMar>
            <w:top w:w="0" w:type="dxa"/>
            <w:left w:w="0" w:type="dxa"/>
            <w:bottom w:w="0" w:type="dxa"/>
            <w:right w:w="0" w:type="dxa"/>
          </w:tblCellMar>
        </w:tblPrEx>
        <w:tc>
          <w:tcPr>
            <w:tcW w:w="1280" w:type="dxa"/>
            <w:gridSpan w:val="3"/>
            <w:vMerge w:val="continue"/>
            <w:tcBorders>
              <w:bottom w:val="single" w:color="auto" w:sz="2" w:space="0"/>
              <w:right w:val="single" w:color="auto" w:sz="8" w:space="0"/>
            </w:tcBorders>
            <w:shd w:val="clear" w:color="auto" w:fill="auto"/>
            <w:vAlign w:val="bottom"/>
          </w:tcPr>
          <w:p w14:paraId="7CBBE786">
            <w:pPr>
              <w:snapToGrid w:val="0"/>
              <w:spacing w:line="280" w:lineRule="exact"/>
              <w:jc w:val="both"/>
              <w:rPr>
                <w:rFonts w:ascii="Arial" w:hAnsi="Arial"/>
                <w:sz w:val="21"/>
                <w:szCs w:val="21"/>
              </w:rPr>
            </w:pPr>
          </w:p>
        </w:tc>
        <w:tc>
          <w:tcPr>
            <w:tcW w:w="1300" w:type="dxa"/>
            <w:tcBorders>
              <w:left w:val="single" w:color="auto" w:sz="8" w:space="0"/>
              <w:bottom w:val="single" w:color="auto" w:sz="2" w:space="0"/>
              <w:right w:val="single" w:color="auto" w:sz="8" w:space="0"/>
            </w:tcBorders>
            <w:shd w:val="clear" w:color="auto" w:fill="auto"/>
            <w:vAlign w:val="bottom"/>
          </w:tcPr>
          <w:p w14:paraId="79BF66F8">
            <w:pPr>
              <w:snapToGrid w:val="0"/>
              <w:spacing w:line="280" w:lineRule="exact"/>
              <w:jc w:val="both"/>
              <w:rPr>
                <w:rFonts w:ascii="Arial" w:hAnsi="Arial"/>
                <w:sz w:val="21"/>
                <w:szCs w:val="21"/>
              </w:rPr>
            </w:pPr>
            <w:r>
              <w:rPr>
                <w:rFonts w:ascii="Arial" w:hAnsi="Arial"/>
                <w:b/>
                <w:sz w:val="21"/>
                <w:szCs w:val="21"/>
              </w:rPr>
              <w:t>100</w:t>
            </w:r>
          </w:p>
        </w:tc>
        <w:tc>
          <w:tcPr>
            <w:tcW w:w="1280" w:type="dxa"/>
            <w:tcBorders>
              <w:left w:val="single" w:color="auto" w:sz="8" w:space="0"/>
              <w:bottom w:val="single" w:color="auto" w:sz="2" w:space="0"/>
              <w:right w:val="single" w:color="auto" w:sz="8" w:space="0"/>
            </w:tcBorders>
            <w:shd w:val="clear" w:color="auto" w:fill="auto"/>
            <w:vAlign w:val="bottom"/>
          </w:tcPr>
          <w:p w14:paraId="0602FF4D">
            <w:pPr>
              <w:snapToGrid w:val="0"/>
              <w:spacing w:line="280" w:lineRule="exact"/>
              <w:jc w:val="both"/>
              <w:rPr>
                <w:rFonts w:ascii="Arial" w:hAnsi="Arial"/>
                <w:b/>
                <w:sz w:val="21"/>
                <w:szCs w:val="21"/>
              </w:rPr>
            </w:pPr>
            <w:r>
              <w:rPr>
                <w:rFonts w:ascii="Arial" w:hAnsi="Arial"/>
                <w:b/>
                <w:sz w:val="21"/>
                <w:szCs w:val="21"/>
              </w:rPr>
              <w:t>200</w:t>
            </w:r>
          </w:p>
        </w:tc>
        <w:tc>
          <w:tcPr>
            <w:tcW w:w="1280" w:type="dxa"/>
            <w:tcBorders>
              <w:bottom w:val="single" w:color="auto" w:sz="2" w:space="0"/>
              <w:right w:val="single" w:color="auto" w:sz="8" w:space="0"/>
            </w:tcBorders>
            <w:shd w:val="clear" w:color="auto" w:fill="auto"/>
            <w:vAlign w:val="bottom"/>
          </w:tcPr>
          <w:p w14:paraId="5B3A358E">
            <w:pPr>
              <w:snapToGrid w:val="0"/>
              <w:spacing w:line="280" w:lineRule="exact"/>
              <w:jc w:val="both"/>
              <w:rPr>
                <w:rFonts w:ascii="Arial" w:hAnsi="Arial"/>
                <w:b/>
                <w:sz w:val="21"/>
                <w:szCs w:val="21"/>
              </w:rPr>
            </w:pPr>
            <w:r>
              <w:rPr>
                <w:rFonts w:ascii="Arial" w:hAnsi="Arial"/>
                <w:b/>
                <w:sz w:val="21"/>
                <w:szCs w:val="21"/>
              </w:rPr>
              <w:t>500</w:t>
            </w:r>
          </w:p>
        </w:tc>
        <w:tc>
          <w:tcPr>
            <w:tcW w:w="1280" w:type="dxa"/>
            <w:gridSpan w:val="3"/>
            <w:tcBorders>
              <w:bottom w:val="single" w:color="auto" w:sz="2" w:space="0"/>
              <w:right w:val="single" w:color="auto" w:sz="8" w:space="0"/>
            </w:tcBorders>
            <w:shd w:val="clear" w:color="auto" w:fill="auto"/>
            <w:vAlign w:val="bottom"/>
          </w:tcPr>
          <w:p w14:paraId="763AE0DB">
            <w:pPr>
              <w:snapToGrid w:val="0"/>
              <w:spacing w:line="280" w:lineRule="exact"/>
              <w:jc w:val="both"/>
              <w:rPr>
                <w:rFonts w:ascii="Arial" w:hAnsi="Arial"/>
                <w:sz w:val="21"/>
                <w:szCs w:val="21"/>
              </w:rPr>
            </w:pPr>
            <w:r>
              <w:rPr>
                <w:rFonts w:ascii="Arial" w:hAnsi="Arial"/>
                <w:b/>
                <w:sz w:val="21"/>
                <w:szCs w:val="21"/>
              </w:rPr>
              <w:t>1000</w:t>
            </w:r>
          </w:p>
        </w:tc>
      </w:tr>
      <w:tr w14:paraId="1CEA3E31">
        <w:tblPrEx>
          <w:tblCellMar>
            <w:top w:w="0" w:type="dxa"/>
            <w:left w:w="0" w:type="dxa"/>
            <w:bottom w:w="0" w:type="dxa"/>
            <w:right w:w="0" w:type="dxa"/>
          </w:tblCellMar>
        </w:tblPrEx>
        <w:tc>
          <w:tcPr>
            <w:tcW w:w="1280" w:type="dxa"/>
            <w:gridSpan w:val="3"/>
            <w:tcBorders>
              <w:top w:val="single" w:color="auto" w:sz="2" w:space="0"/>
              <w:left w:val="single" w:color="auto" w:sz="2" w:space="0"/>
              <w:bottom w:val="single" w:color="auto" w:sz="4" w:space="0"/>
              <w:right w:val="single" w:color="auto" w:sz="2" w:space="0"/>
            </w:tcBorders>
            <w:shd w:val="clear" w:color="auto" w:fill="CCFFFF"/>
            <w:vAlign w:val="bottom"/>
          </w:tcPr>
          <w:p w14:paraId="58A25919">
            <w:pPr>
              <w:snapToGrid w:val="0"/>
              <w:spacing w:line="280" w:lineRule="exact"/>
              <w:jc w:val="center"/>
              <w:rPr>
                <w:rFonts w:ascii="Arial" w:hAnsi="Arial"/>
                <w:sz w:val="21"/>
                <w:szCs w:val="21"/>
              </w:rPr>
            </w:pPr>
            <w:r>
              <w:rPr>
                <w:rFonts w:ascii="Arial" w:hAnsi="Arial"/>
                <w:b/>
                <w:sz w:val="21"/>
                <w:szCs w:val="21"/>
              </w:rPr>
              <w:t>失败</w:t>
            </w:r>
          </w:p>
        </w:tc>
        <w:tc>
          <w:tcPr>
            <w:tcW w:w="1300" w:type="dxa"/>
            <w:tcBorders>
              <w:top w:val="single" w:color="auto" w:sz="2" w:space="0"/>
              <w:left w:val="single" w:color="auto" w:sz="2" w:space="0"/>
              <w:bottom w:val="single" w:color="auto" w:sz="4" w:space="0"/>
              <w:right w:val="single" w:color="auto" w:sz="2" w:space="0"/>
            </w:tcBorders>
            <w:shd w:val="clear" w:color="auto" w:fill="auto"/>
            <w:vAlign w:val="bottom"/>
          </w:tcPr>
          <w:p w14:paraId="504F646C">
            <w:pPr>
              <w:snapToGrid w:val="0"/>
              <w:spacing w:line="280" w:lineRule="exact"/>
              <w:jc w:val="both"/>
              <w:rPr>
                <w:rFonts w:ascii="Arial" w:hAnsi="Arial"/>
                <w:sz w:val="21"/>
                <w:szCs w:val="21"/>
              </w:rPr>
            </w:pPr>
          </w:p>
        </w:tc>
        <w:tc>
          <w:tcPr>
            <w:tcW w:w="1280" w:type="dxa"/>
            <w:tcBorders>
              <w:top w:val="single" w:color="auto" w:sz="2" w:space="0"/>
              <w:left w:val="single" w:color="auto" w:sz="2" w:space="0"/>
              <w:bottom w:val="single" w:color="auto" w:sz="4" w:space="0"/>
              <w:right w:val="single" w:color="auto" w:sz="2" w:space="0"/>
            </w:tcBorders>
            <w:shd w:val="clear" w:color="auto" w:fill="auto"/>
            <w:vAlign w:val="bottom"/>
          </w:tcPr>
          <w:p w14:paraId="4B4D1C6B">
            <w:pPr>
              <w:snapToGrid w:val="0"/>
              <w:spacing w:line="280" w:lineRule="exact"/>
              <w:jc w:val="both"/>
              <w:rPr>
                <w:rFonts w:ascii="Arial" w:hAnsi="Arial"/>
                <w:sz w:val="21"/>
                <w:szCs w:val="21"/>
              </w:rPr>
            </w:pPr>
          </w:p>
        </w:tc>
        <w:tc>
          <w:tcPr>
            <w:tcW w:w="1280" w:type="dxa"/>
            <w:tcBorders>
              <w:top w:val="single" w:color="auto" w:sz="2" w:space="0"/>
              <w:left w:val="single" w:color="auto" w:sz="2" w:space="0"/>
              <w:bottom w:val="single" w:color="auto" w:sz="4" w:space="0"/>
              <w:right w:val="single" w:color="auto" w:sz="2" w:space="0"/>
            </w:tcBorders>
            <w:shd w:val="clear" w:color="auto" w:fill="auto"/>
            <w:vAlign w:val="bottom"/>
          </w:tcPr>
          <w:p w14:paraId="018197A6">
            <w:pPr>
              <w:snapToGrid w:val="0"/>
              <w:spacing w:line="280" w:lineRule="exact"/>
              <w:jc w:val="both"/>
              <w:rPr>
                <w:rFonts w:ascii="Arial" w:hAnsi="Arial"/>
                <w:sz w:val="21"/>
                <w:szCs w:val="21"/>
              </w:rPr>
            </w:pPr>
          </w:p>
        </w:tc>
        <w:tc>
          <w:tcPr>
            <w:tcW w:w="1280" w:type="dxa"/>
            <w:gridSpan w:val="3"/>
            <w:tcBorders>
              <w:top w:val="single" w:color="auto" w:sz="2" w:space="0"/>
              <w:left w:val="single" w:color="auto" w:sz="2" w:space="0"/>
              <w:bottom w:val="single" w:color="auto" w:sz="4" w:space="0"/>
              <w:right w:val="single" w:color="auto" w:sz="2" w:space="0"/>
            </w:tcBorders>
            <w:shd w:val="clear" w:color="auto" w:fill="auto"/>
            <w:vAlign w:val="bottom"/>
          </w:tcPr>
          <w:p w14:paraId="2D3A0CFC">
            <w:pPr>
              <w:snapToGrid w:val="0"/>
              <w:spacing w:line="280" w:lineRule="exact"/>
              <w:jc w:val="both"/>
              <w:rPr>
                <w:rFonts w:ascii="Arial" w:hAnsi="Arial"/>
                <w:sz w:val="21"/>
                <w:szCs w:val="21"/>
              </w:rPr>
            </w:pPr>
          </w:p>
        </w:tc>
      </w:tr>
      <w:tr w14:paraId="4E633965">
        <w:tblPrEx>
          <w:tblCellMar>
            <w:top w:w="0" w:type="dxa"/>
            <w:left w:w="0" w:type="dxa"/>
            <w:bottom w:w="0" w:type="dxa"/>
            <w:right w:w="0" w:type="dxa"/>
          </w:tblCellMar>
        </w:tblPrEx>
        <w:tc>
          <w:tcPr>
            <w:tcW w:w="128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14:paraId="30E8186A">
            <w:pPr>
              <w:snapToGrid w:val="0"/>
              <w:spacing w:line="280" w:lineRule="exact"/>
              <w:jc w:val="both"/>
              <w:rPr>
                <w:rFonts w:ascii="Arial" w:hAnsi="Arial"/>
                <w:sz w:val="21"/>
                <w:szCs w:val="21"/>
              </w:rPr>
            </w:pPr>
            <w:r>
              <w:rPr>
                <w:rFonts w:ascii="Arial" w:hAnsi="Arial"/>
                <w:b/>
                <w:sz w:val="21"/>
                <w:szCs w:val="21"/>
              </w:rPr>
              <w:t>0</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bottom"/>
          </w:tcPr>
          <w:p w14:paraId="27E306DE">
            <w:pPr>
              <w:snapToGrid w:val="0"/>
              <w:spacing w:line="280" w:lineRule="exact"/>
              <w:jc w:val="both"/>
              <w:rPr>
                <w:rFonts w:ascii="Arial" w:hAnsi="Arial"/>
                <w:sz w:val="21"/>
                <w:szCs w:val="21"/>
              </w:rPr>
            </w:pPr>
            <w:r>
              <w:rPr>
                <w:rFonts w:ascii="Arial" w:hAnsi="Arial"/>
                <w:sz w:val="21"/>
                <w:szCs w:val="21"/>
              </w:rPr>
              <w:t>3.6%</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bottom"/>
          </w:tcPr>
          <w:p w14:paraId="495E2C82">
            <w:pPr>
              <w:snapToGrid w:val="0"/>
              <w:spacing w:line="280" w:lineRule="exact"/>
              <w:jc w:val="both"/>
              <w:rPr>
                <w:rFonts w:ascii="Arial" w:hAnsi="Arial"/>
                <w:sz w:val="21"/>
                <w:szCs w:val="21"/>
              </w:rPr>
            </w:pPr>
            <w:r>
              <w:rPr>
                <w:rFonts w:ascii="Arial" w:hAnsi="Arial"/>
                <w:sz w:val="21"/>
                <w:szCs w:val="21"/>
              </w:rPr>
              <w:t>1.8%</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bottom"/>
          </w:tcPr>
          <w:p w14:paraId="66A1E722">
            <w:pPr>
              <w:snapToGrid w:val="0"/>
              <w:spacing w:line="280" w:lineRule="exact"/>
              <w:jc w:val="both"/>
              <w:rPr>
                <w:rFonts w:ascii="Arial" w:hAnsi="Arial"/>
                <w:sz w:val="21"/>
                <w:szCs w:val="21"/>
              </w:rPr>
            </w:pPr>
            <w:r>
              <w:rPr>
                <w:rFonts w:ascii="Arial" w:hAnsi="Arial"/>
                <w:sz w:val="21"/>
                <w:szCs w:val="21"/>
              </w:rPr>
              <w:t>0.7%</w:t>
            </w:r>
          </w:p>
        </w:tc>
        <w:tc>
          <w:tcPr>
            <w:tcW w:w="128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14:paraId="015B7E7B">
            <w:pPr>
              <w:snapToGrid w:val="0"/>
              <w:spacing w:line="280" w:lineRule="exact"/>
              <w:jc w:val="both"/>
              <w:rPr>
                <w:rFonts w:ascii="Arial" w:hAnsi="Arial"/>
                <w:sz w:val="21"/>
                <w:szCs w:val="21"/>
              </w:rPr>
            </w:pPr>
            <w:r>
              <w:rPr>
                <w:rFonts w:ascii="Arial" w:hAnsi="Arial"/>
                <w:sz w:val="21"/>
                <w:szCs w:val="21"/>
              </w:rPr>
              <w:t>0.3%</w:t>
            </w:r>
          </w:p>
        </w:tc>
      </w:tr>
      <w:tr w14:paraId="635C198E">
        <w:tblPrEx>
          <w:tblCellMar>
            <w:top w:w="0" w:type="dxa"/>
            <w:left w:w="0" w:type="dxa"/>
            <w:bottom w:w="0" w:type="dxa"/>
            <w:right w:w="0" w:type="dxa"/>
          </w:tblCellMar>
        </w:tblPrEx>
        <w:tc>
          <w:tcPr>
            <w:tcW w:w="128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14:paraId="6B93A952">
            <w:pPr>
              <w:snapToGrid w:val="0"/>
              <w:spacing w:line="280" w:lineRule="exact"/>
              <w:jc w:val="both"/>
              <w:rPr>
                <w:rFonts w:ascii="Arial" w:hAnsi="Arial"/>
                <w:sz w:val="21"/>
                <w:szCs w:val="21"/>
              </w:rPr>
            </w:pPr>
            <w:r>
              <w:rPr>
                <w:rFonts w:ascii="Arial" w:hAnsi="Arial"/>
                <w:b/>
                <w:sz w:val="21"/>
                <w:szCs w:val="21"/>
              </w:rPr>
              <w:t>1</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bottom"/>
          </w:tcPr>
          <w:p w14:paraId="13F76355">
            <w:pPr>
              <w:snapToGrid w:val="0"/>
              <w:spacing w:line="280" w:lineRule="exact"/>
              <w:jc w:val="both"/>
              <w:rPr>
                <w:rFonts w:ascii="Arial" w:hAnsi="Arial"/>
                <w:sz w:val="21"/>
                <w:szCs w:val="21"/>
              </w:rPr>
            </w:pPr>
            <w:r>
              <w:rPr>
                <w:rFonts w:ascii="Arial" w:hAnsi="Arial"/>
                <w:sz w:val="21"/>
                <w:szCs w:val="21"/>
              </w:rPr>
              <w:t>5.4%</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bottom"/>
          </w:tcPr>
          <w:p w14:paraId="1FFADA9C">
            <w:pPr>
              <w:snapToGrid w:val="0"/>
              <w:spacing w:line="280" w:lineRule="exact"/>
              <w:jc w:val="both"/>
              <w:rPr>
                <w:rFonts w:ascii="Arial" w:hAnsi="Arial"/>
                <w:sz w:val="21"/>
                <w:szCs w:val="21"/>
              </w:rPr>
            </w:pPr>
            <w:r>
              <w:rPr>
                <w:rFonts w:ascii="Arial" w:hAnsi="Arial"/>
                <w:sz w:val="21"/>
                <w:szCs w:val="21"/>
              </w:rPr>
              <w:t>2.7%</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bottom"/>
          </w:tcPr>
          <w:p w14:paraId="7F6F6FEB">
            <w:pPr>
              <w:snapToGrid w:val="0"/>
              <w:spacing w:line="280" w:lineRule="exact"/>
              <w:jc w:val="both"/>
              <w:rPr>
                <w:rFonts w:ascii="Arial" w:hAnsi="Arial"/>
                <w:sz w:val="21"/>
                <w:szCs w:val="21"/>
              </w:rPr>
            </w:pPr>
            <w:r>
              <w:rPr>
                <w:rFonts w:ascii="Arial" w:hAnsi="Arial"/>
                <w:sz w:val="21"/>
                <w:szCs w:val="21"/>
              </w:rPr>
              <w:t>1.1%</w:t>
            </w:r>
          </w:p>
        </w:tc>
        <w:tc>
          <w:tcPr>
            <w:tcW w:w="128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14:paraId="3D5EAABC">
            <w:pPr>
              <w:snapToGrid w:val="0"/>
              <w:spacing w:line="280" w:lineRule="exact"/>
              <w:jc w:val="both"/>
              <w:rPr>
                <w:rFonts w:ascii="Arial" w:hAnsi="Arial"/>
                <w:sz w:val="21"/>
                <w:szCs w:val="21"/>
              </w:rPr>
            </w:pPr>
            <w:r>
              <w:rPr>
                <w:rFonts w:ascii="Arial" w:hAnsi="Arial"/>
                <w:sz w:val="21"/>
                <w:szCs w:val="21"/>
              </w:rPr>
              <w:t>0.6%</w:t>
            </w:r>
          </w:p>
        </w:tc>
      </w:tr>
      <w:tr w14:paraId="05DBE8FF">
        <w:tblPrEx>
          <w:tblCellMar>
            <w:top w:w="0" w:type="dxa"/>
            <w:left w:w="0" w:type="dxa"/>
            <w:bottom w:w="0" w:type="dxa"/>
            <w:right w:w="0" w:type="dxa"/>
          </w:tblCellMar>
        </w:tblPrEx>
        <w:tc>
          <w:tcPr>
            <w:tcW w:w="128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14:paraId="16B6DEBF">
            <w:pPr>
              <w:snapToGrid w:val="0"/>
              <w:spacing w:line="280" w:lineRule="exact"/>
              <w:jc w:val="both"/>
              <w:rPr>
                <w:rFonts w:ascii="Arial" w:hAnsi="Arial"/>
                <w:sz w:val="21"/>
                <w:szCs w:val="21"/>
              </w:rPr>
            </w:pPr>
            <w:r>
              <w:rPr>
                <w:rFonts w:ascii="Arial" w:hAnsi="Arial"/>
                <w:b/>
                <w:sz w:val="21"/>
                <w:szCs w:val="21"/>
              </w:rPr>
              <w:t>2</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bottom"/>
          </w:tcPr>
          <w:p w14:paraId="1BFB8762">
            <w:pPr>
              <w:snapToGrid w:val="0"/>
              <w:spacing w:line="280" w:lineRule="exact"/>
              <w:jc w:val="both"/>
              <w:rPr>
                <w:rFonts w:ascii="Arial" w:hAnsi="Arial"/>
                <w:sz w:val="21"/>
                <w:szCs w:val="21"/>
              </w:rPr>
            </w:pPr>
            <w:r>
              <w:rPr>
                <w:rFonts w:ascii="Arial" w:hAnsi="Arial"/>
                <w:sz w:val="21"/>
                <w:szCs w:val="21"/>
              </w:rPr>
              <w:t>6.9%</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bottom"/>
          </w:tcPr>
          <w:p w14:paraId="14895CE1">
            <w:pPr>
              <w:snapToGrid w:val="0"/>
              <w:spacing w:line="280" w:lineRule="exact"/>
              <w:jc w:val="both"/>
              <w:rPr>
                <w:rFonts w:ascii="Arial" w:hAnsi="Arial"/>
                <w:sz w:val="21"/>
                <w:szCs w:val="21"/>
              </w:rPr>
            </w:pPr>
            <w:r>
              <w:rPr>
                <w:rFonts w:ascii="Arial" w:hAnsi="Arial"/>
                <w:sz w:val="21"/>
                <w:szCs w:val="21"/>
              </w:rPr>
              <w:t>3.5%</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bottom"/>
          </w:tcPr>
          <w:p w14:paraId="63D1D739">
            <w:pPr>
              <w:snapToGrid w:val="0"/>
              <w:spacing w:line="280" w:lineRule="exact"/>
              <w:jc w:val="both"/>
              <w:rPr>
                <w:rFonts w:ascii="Arial" w:hAnsi="Arial"/>
                <w:sz w:val="21"/>
                <w:szCs w:val="21"/>
              </w:rPr>
            </w:pPr>
            <w:r>
              <w:rPr>
                <w:rFonts w:ascii="Arial" w:hAnsi="Arial"/>
                <w:sz w:val="21"/>
                <w:szCs w:val="21"/>
              </w:rPr>
              <w:t>1.4%</w:t>
            </w:r>
          </w:p>
        </w:tc>
        <w:tc>
          <w:tcPr>
            <w:tcW w:w="128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14:paraId="50CDDB9D">
            <w:pPr>
              <w:snapToGrid w:val="0"/>
              <w:spacing w:line="280" w:lineRule="exact"/>
              <w:jc w:val="both"/>
              <w:rPr>
                <w:rFonts w:ascii="Arial" w:hAnsi="Arial"/>
                <w:sz w:val="21"/>
                <w:szCs w:val="21"/>
              </w:rPr>
            </w:pPr>
            <w:r>
              <w:rPr>
                <w:rFonts w:ascii="Arial" w:hAnsi="Arial"/>
                <w:sz w:val="21"/>
                <w:szCs w:val="21"/>
              </w:rPr>
              <w:t>0.7%</w:t>
            </w:r>
          </w:p>
        </w:tc>
      </w:tr>
      <w:tr w14:paraId="2AA87281">
        <w:tblPrEx>
          <w:tblCellMar>
            <w:top w:w="0" w:type="dxa"/>
            <w:left w:w="0" w:type="dxa"/>
            <w:bottom w:w="0" w:type="dxa"/>
            <w:right w:w="0" w:type="dxa"/>
          </w:tblCellMar>
        </w:tblPrEx>
        <w:tc>
          <w:tcPr>
            <w:tcW w:w="128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14:paraId="4746DD3C">
            <w:pPr>
              <w:snapToGrid w:val="0"/>
              <w:spacing w:line="280" w:lineRule="exact"/>
              <w:jc w:val="both"/>
              <w:rPr>
                <w:rFonts w:ascii="Arial" w:hAnsi="Arial"/>
                <w:sz w:val="21"/>
                <w:szCs w:val="21"/>
              </w:rPr>
            </w:pPr>
            <w:r>
              <w:rPr>
                <w:rFonts w:ascii="Arial" w:hAnsi="Arial"/>
                <w:b/>
                <w:sz w:val="21"/>
                <w:szCs w:val="21"/>
              </w:rPr>
              <w:t>3</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bottom"/>
          </w:tcPr>
          <w:p w14:paraId="2CA82F2E">
            <w:pPr>
              <w:snapToGrid w:val="0"/>
              <w:spacing w:line="280" w:lineRule="exact"/>
              <w:jc w:val="both"/>
              <w:rPr>
                <w:rFonts w:ascii="Arial" w:hAnsi="Arial"/>
                <w:sz w:val="21"/>
                <w:szCs w:val="21"/>
              </w:rPr>
            </w:pPr>
            <w:r>
              <w:rPr>
                <w:rFonts w:ascii="Arial" w:hAnsi="Arial"/>
                <w:sz w:val="21"/>
                <w:szCs w:val="21"/>
              </w:rPr>
              <w:t>8.3%</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bottom"/>
          </w:tcPr>
          <w:p w14:paraId="3889A5FA">
            <w:pPr>
              <w:snapToGrid w:val="0"/>
              <w:spacing w:line="280" w:lineRule="exact"/>
              <w:jc w:val="both"/>
              <w:rPr>
                <w:rFonts w:ascii="Arial" w:hAnsi="Arial"/>
                <w:sz w:val="21"/>
                <w:szCs w:val="21"/>
              </w:rPr>
            </w:pPr>
            <w:r>
              <w:rPr>
                <w:rFonts w:ascii="Arial" w:hAnsi="Arial"/>
                <w:sz w:val="21"/>
                <w:szCs w:val="21"/>
              </w:rPr>
              <w:t>4.3%</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bottom"/>
          </w:tcPr>
          <w:p w14:paraId="73C6BC52">
            <w:pPr>
              <w:snapToGrid w:val="0"/>
              <w:spacing w:line="280" w:lineRule="exact"/>
              <w:jc w:val="both"/>
              <w:rPr>
                <w:rFonts w:ascii="Arial" w:hAnsi="Arial"/>
                <w:sz w:val="21"/>
                <w:szCs w:val="21"/>
              </w:rPr>
            </w:pPr>
            <w:r>
              <w:rPr>
                <w:rFonts w:ascii="Arial" w:hAnsi="Arial"/>
                <w:sz w:val="21"/>
                <w:szCs w:val="21"/>
              </w:rPr>
              <w:t>1.7%</w:t>
            </w:r>
          </w:p>
        </w:tc>
        <w:tc>
          <w:tcPr>
            <w:tcW w:w="128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14:paraId="733F57CE">
            <w:pPr>
              <w:snapToGrid w:val="0"/>
              <w:spacing w:line="280" w:lineRule="exact"/>
              <w:jc w:val="both"/>
              <w:rPr>
                <w:rFonts w:ascii="Arial" w:hAnsi="Arial"/>
                <w:sz w:val="21"/>
                <w:szCs w:val="21"/>
              </w:rPr>
            </w:pPr>
            <w:r>
              <w:rPr>
                <w:rFonts w:ascii="Arial" w:hAnsi="Arial"/>
                <w:sz w:val="21"/>
                <w:szCs w:val="21"/>
              </w:rPr>
              <w:t>0.9%</w:t>
            </w:r>
          </w:p>
        </w:tc>
      </w:tr>
    </w:tbl>
    <w:p w14:paraId="353967E8">
      <w:pPr>
        <w:snapToGrid w:val="0"/>
        <w:spacing w:line="300" w:lineRule="auto"/>
        <w:jc w:val="both"/>
        <w:rPr>
          <w:rFonts w:ascii="Arial" w:hAnsi="Arial"/>
          <w:sz w:val="21"/>
          <w:szCs w:val="21"/>
        </w:rPr>
      </w:pPr>
    </w:p>
    <w:p w14:paraId="4A213197">
      <w:pPr>
        <w:snapToGrid w:val="0"/>
        <w:spacing w:line="300" w:lineRule="auto"/>
        <w:ind w:left="2480" w:firstLine="1345" w:firstLineChars="638"/>
        <w:jc w:val="both"/>
        <w:rPr>
          <w:rFonts w:ascii="Arial" w:hAnsi="Arial"/>
          <w:b/>
          <w:sz w:val="21"/>
          <w:szCs w:val="21"/>
        </w:rPr>
      </w:pPr>
      <w:r>
        <w:rPr>
          <w:rFonts w:ascii="Arial" w:hAnsi="Arial"/>
          <w:b/>
          <w:sz w:val="21"/>
          <w:szCs w:val="21"/>
        </w:rPr>
        <w:t>99%置信区间的上限</w:t>
      </w:r>
    </w:p>
    <w:tbl>
      <w:tblPr>
        <w:tblStyle w:val="6"/>
        <w:tblW w:w="0" w:type="auto"/>
        <w:tblInd w:w="1360" w:type="dxa"/>
        <w:tblLayout w:type="fixed"/>
        <w:tblCellMar>
          <w:top w:w="0" w:type="dxa"/>
          <w:left w:w="0" w:type="dxa"/>
          <w:bottom w:w="0" w:type="dxa"/>
          <w:right w:w="0" w:type="dxa"/>
        </w:tblCellMar>
      </w:tblPr>
      <w:tblGrid>
        <w:gridCol w:w="1360"/>
        <w:gridCol w:w="1340"/>
        <w:gridCol w:w="1340"/>
        <w:gridCol w:w="1340"/>
        <w:gridCol w:w="1340"/>
      </w:tblGrid>
      <w:tr w14:paraId="6EE49F3A">
        <w:tblPrEx>
          <w:tblCellMar>
            <w:top w:w="0" w:type="dxa"/>
            <w:left w:w="0" w:type="dxa"/>
            <w:bottom w:w="0" w:type="dxa"/>
            <w:right w:w="0" w:type="dxa"/>
          </w:tblCellMar>
        </w:tblPrEx>
        <w:tc>
          <w:tcPr>
            <w:tcW w:w="1360" w:type="dxa"/>
            <w:tcBorders>
              <w:bottom w:val="single" w:color="auto" w:sz="4" w:space="0"/>
              <w:right w:val="single" w:color="auto" w:sz="8" w:space="0"/>
            </w:tcBorders>
            <w:shd w:val="clear" w:color="auto" w:fill="auto"/>
            <w:vAlign w:val="bottom"/>
          </w:tcPr>
          <w:p w14:paraId="29E5324C">
            <w:pPr>
              <w:snapToGrid w:val="0"/>
              <w:spacing w:line="280" w:lineRule="exact"/>
              <w:jc w:val="both"/>
              <w:rPr>
                <w:rFonts w:ascii="Arial" w:hAnsi="Arial"/>
                <w:sz w:val="21"/>
                <w:szCs w:val="21"/>
              </w:rPr>
            </w:pPr>
          </w:p>
        </w:tc>
        <w:tc>
          <w:tcPr>
            <w:tcW w:w="5360" w:type="dxa"/>
            <w:gridSpan w:val="4"/>
            <w:tcBorders>
              <w:top w:val="single" w:color="auto" w:sz="8" w:space="0"/>
              <w:left w:val="single" w:color="auto" w:sz="8" w:space="0"/>
              <w:bottom w:val="single" w:color="auto" w:sz="4" w:space="0"/>
              <w:right w:val="single" w:color="auto" w:sz="8" w:space="0"/>
            </w:tcBorders>
            <w:shd w:val="clear" w:color="auto" w:fill="CCFFFF"/>
            <w:vAlign w:val="bottom"/>
          </w:tcPr>
          <w:p w14:paraId="47FFE108">
            <w:pPr>
              <w:snapToGrid w:val="0"/>
              <w:spacing w:line="280" w:lineRule="exact"/>
              <w:jc w:val="center"/>
              <w:rPr>
                <w:rFonts w:ascii="Arial" w:hAnsi="Arial"/>
                <w:sz w:val="21"/>
                <w:szCs w:val="21"/>
              </w:rPr>
            </w:pPr>
            <w:r>
              <w:rPr>
                <w:rFonts w:ascii="Arial" w:hAnsi="Arial"/>
                <w:b/>
                <w:sz w:val="21"/>
                <w:szCs w:val="21"/>
              </w:rPr>
              <w:t>测试的器械数量</w:t>
            </w:r>
          </w:p>
        </w:tc>
      </w:tr>
      <w:tr w14:paraId="42F3A0D7">
        <w:tblPrEx>
          <w:tblCellMar>
            <w:top w:w="0" w:type="dxa"/>
            <w:left w:w="0" w:type="dxa"/>
            <w:bottom w:w="0" w:type="dxa"/>
            <w:right w:w="0" w:type="dxa"/>
          </w:tblCellMar>
        </w:tblPrEx>
        <w:tc>
          <w:tcPr>
            <w:tcW w:w="1360" w:type="dxa"/>
            <w:tcBorders>
              <w:top w:val="single" w:color="auto" w:sz="4" w:space="0"/>
              <w:left w:val="single" w:color="auto" w:sz="4" w:space="0"/>
              <w:bottom w:val="single" w:color="auto" w:sz="4" w:space="0"/>
              <w:right w:val="single" w:color="auto" w:sz="4" w:space="0"/>
            </w:tcBorders>
            <w:shd w:val="clear" w:color="auto" w:fill="CCFFFF"/>
            <w:vAlign w:val="bottom"/>
          </w:tcPr>
          <w:p w14:paraId="59C006D5">
            <w:pPr>
              <w:snapToGrid w:val="0"/>
              <w:spacing w:line="280" w:lineRule="exact"/>
              <w:jc w:val="center"/>
              <w:rPr>
                <w:rFonts w:ascii="Arial" w:hAnsi="Arial"/>
                <w:sz w:val="21"/>
                <w:szCs w:val="21"/>
              </w:rPr>
            </w:pPr>
            <w:r>
              <w:rPr>
                <w:rFonts w:ascii="Arial" w:hAnsi="Arial"/>
                <w:b/>
                <w:sz w:val="21"/>
                <w:szCs w:val="21"/>
              </w:rPr>
              <w:t>失败</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bottom"/>
          </w:tcPr>
          <w:p w14:paraId="4B55001E">
            <w:pPr>
              <w:snapToGrid w:val="0"/>
              <w:spacing w:line="280" w:lineRule="exact"/>
              <w:ind w:left="480"/>
              <w:jc w:val="both"/>
              <w:rPr>
                <w:rFonts w:ascii="Arial" w:hAnsi="Arial"/>
                <w:b/>
                <w:sz w:val="21"/>
                <w:szCs w:val="21"/>
              </w:rPr>
            </w:pPr>
            <w:r>
              <w:rPr>
                <w:rFonts w:ascii="Arial" w:hAnsi="Arial"/>
                <w:b/>
                <w:sz w:val="21"/>
                <w:szCs w:val="21"/>
              </w:rPr>
              <w:t>100</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bottom"/>
          </w:tcPr>
          <w:p w14:paraId="2182FE74">
            <w:pPr>
              <w:snapToGrid w:val="0"/>
              <w:spacing w:line="280" w:lineRule="exact"/>
              <w:jc w:val="both"/>
              <w:rPr>
                <w:rFonts w:ascii="Arial" w:hAnsi="Arial"/>
                <w:b/>
                <w:sz w:val="21"/>
                <w:szCs w:val="21"/>
              </w:rPr>
            </w:pPr>
            <w:r>
              <w:rPr>
                <w:rFonts w:ascii="Arial" w:hAnsi="Arial"/>
                <w:b/>
                <w:sz w:val="21"/>
                <w:szCs w:val="21"/>
              </w:rPr>
              <w:t>200</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bottom"/>
          </w:tcPr>
          <w:p w14:paraId="7FBEDA4A">
            <w:pPr>
              <w:snapToGrid w:val="0"/>
              <w:spacing w:line="280" w:lineRule="exact"/>
              <w:jc w:val="both"/>
              <w:rPr>
                <w:rFonts w:ascii="Arial" w:hAnsi="Arial"/>
                <w:b/>
                <w:sz w:val="21"/>
                <w:szCs w:val="21"/>
              </w:rPr>
            </w:pPr>
            <w:r>
              <w:rPr>
                <w:rFonts w:ascii="Arial" w:hAnsi="Arial"/>
                <w:b/>
                <w:sz w:val="21"/>
                <w:szCs w:val="21"/>
              </w:rPr>
              <w:t>500</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bottom"/>
          </w:tcPr>
          <w:p w14:paraId="47FF65F5">
            <w:pPr>
              <w:snapToGrid w:val="0"/>
              <w:spacing w:line="280" w:lineRule="exact"/>
              <w:jc w:val="both"/>
              <w:rPr>
                <w:rFonts w:ascii="Arial" w:hAnsi="Arial"/>
                <w:sz w:val="21"/>
                <w:szCs w:val="21"/>
              </w:rPr>
            </w:pPr>
            <w:r>
              <w:rPr>
                <w:rFonts w:ascii="Arial" w:hAnsi="Arial"/>
                <w:b/>
                <w:sz w:val="21"/>
                <w:szCs w:val="21"/>
              </w:rPr>
              <w:t>1000</w:t>
            </w:r>
          </w:p>
        </w:tc>
      </w:tr>
      <w:tr w14:paraId="65217FBB">
        <w:tblPrEx>
          <w:tblCellMar>
            <w:top w:w="0" w:type="dxa"/>
            <w:left w:w="0" w:type="dxa"/>
            <w:bottom w:w="0" w:type="dxa"/>
            <w:right w:w="0" w:type="dxa"/>
          </w:tblCellMar>
        </w:tblPrEx>
        <w:tc>
          <w:tcPr>
            <w:tcW w:w="1360" w:type="dxa"/>
            <w:tcBorders>
              <w:top w:val="single" w:color="auto" w:sz="4" w:space="0"/>
              <w:left w:val="single" w:color="auto" w:sz="4" w:space="0"/>
              <w:bottom w:val="single" w:color="auto" w:sz="4" w:space="0"/>
              <w:right w:val="single" w:color="auto" w:sz="4" w:space="0"/>
            </w:tcBorders>
            <w:shd w:val="clear" w:color="auto" w:fill="auto"/>
            <w:vAlign w:val="bottom"/>
          </w:tcPr>
          <w:p w14:paraId="241E4979">
            <w:pPr>
              <w:snapToGrid w:val="0"/>
              <w:spacing w:line="280" w:lineRule="exact"/>
              <w:jc w:val="both"/>
              <w:rPr>
                <w:rFonts w:ascii="Arial" w:hAnsi="Arial"/>
                <w:sz w:val="21"/>
                <w:szCs w:val="21"/>
              </w:rPr>
            </w:pPr>
            <w:r>
              <w:rPr>
                <w:rFonts w:ascii="Arial" w:hAnsi="Arial"/>
                <w:b/>
                <w:sz w:val="21"/>
                <w:szCs w:val="21"/>
              </w:rPr>
              <w:t>0</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bottom"/>
          </w:tcPr>
          <w:p w14:paraId="203F6C8B">
            <w:pPr>
              <w:snapToGrid w:val="0"/>
              <w:spacing w:line="280" w:lineRule="exact"/>
              <w:ind w:left="100"/>
              <w:jc w:val="both"/>
              <w:rPr>
                <w:rFonts w:ascii="Arial" w:hAnsi="Arial"/>
                <w:sz w:val="21"/>
                <w:szCs w:val="21"/>
              </w:rPr>
            </w:pPr>
            <w:r>
              <w:rPr>
                <w:rFonts w:ascii="Arial" w:hAnsi="Arial"/>
                <w:sz w:val="21"/>
                <w:szCs w:val="21"/>
              </w:rPr>
              <w:t>5.2%</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bottom"/>
          </w:tcPr>
          <w:p w14:paraId="0046E73D">
            <w:pPr>
              <w:snapToGrid w:val="0"/>
              <w:spacing w:line="280" w:lineRule="exact"/>
              <w:jc w:val="both"/>
              <w:rPr>
                <w:rFonts w:ascii="Arial" w:hAnsi="Arial"/>
                <w:sz w:val="21"/>
                <w:szCs w:val="21"/>
              </w:rPr>
            </w:pPr>
            <w:r>
              <w:rPr>
                <w:rFonts w:ascii="Arial" w:hAnsi="Arial"/>
                <w:sz w:val="21"/>
                <w:szCs w:val="21"/>
              </w:rPr>
              <w:t>2.6%</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bottom"/>
          </w:tcPr>
          <w:p w14:paraId="3FB74C4F">
            <w:pPr>
              <w:snapToGrid w:val="0"/>
              <w:spacing w:line="280" w:lineRule="exact"/>
              <w:jc w:val="both"/>
              <w:rPr>
                <w:rFonts w:ascii="Arial" w:hAnsi="Arial"/>
                <w:sz w:val="21"/>
                <w:szCs w:val="21"/>
              </w:rPr>
            </w:pPr>
            <w:r>
              <w:rPr>
                <w:rFonts w:ascii="Arial" w:hAnsi="Arial"/>
                <w:sz w:val="21"/>
                <w:szCs w:val="21"/>
              </w:rPr>
              <w:t>1.1%</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bottom"/>
          </w:tcPr>
          <w:p w14:paraId="06ED029C">
            <w:pPr>
              <w:snapToGrid w:val="0"/>
              <w:spacing w:line="280" w:lineRule="exact"/>
              <w:jc w:val="both"/>
              <w:rPr>
                <w:rFonts w:ascii="Arial" w:hAnsi="Arial"/>
                <w:sz w:val="21"/>
                <w:szCs w:val="21"/>
              </w:rPr>
            </w:pPr>
            <w:r>
              <w:rPr>
                <w:rFonts w:ascii="Arial" w:hAnsi="Arial"/>
                <w:sz w:val="21"/>
                <w:szCs w:val="21"/>
              </w:rPr>
              <w:t>0.5%</w:t>
            </w:r>
          </w:p>
        </w:tc>
      </w:tr>
      <w:tr w14:paraId="13CA992B">
        <w:tblPrEx>
          <w:tblCellMar>
            <w:top w:w="0" w:type="dxa"/>
            <w:left w:w="0" w:type="dxa"/>
            <w:bottom w:w="0" w:type="dxa"/>
            <w:right w:w="0" w:type="dxa"/>
          </w:tblCellMar>
        </w:tblPrEx>
        <w:tc>
          <w:tcPr>
            <w:tcW w:w="1360" w:type="dxa"/>
            <w:tcBorders>
              <w:top w:val="single" w:color="auto" w:sz="4" w:space="0"/>
              <w:left w:val="single" w:color="auto" w:sz="4" w:space="0"/>
              <w:bottom w:val="single" w:color="auto" w:sz="4" w:space="0"/>
              <w:right w:val="single" w:color="auto" w:sz="4" w:space="0"/>
            </w:tcBorders>
            <w:shd w:val="clear" w:color="auto" w:fill="auto"/>
            <w:vAlign w:val="bottom"/>
          </w:tcPr>
          <w:p w14:paraId="277E4DEE">
            <w:pPr>
              <w:snapToGrid w:val="0"/>
              <w:spacing w:line="280" w:lineRule="exact"/>
              <w:jc w:val="both"/>
              <w:rPr>
                <w:rFonts w:ascii="Arial" w:hAnsi="Arial"/>
                <w:sz w:val="21"/>
                <w:szCs w:val="21"/>
              </w:rPr>
            </w:pPr>
            <w:r>
              <w:rPr>
                <w:rFonts w:ascii="Arial" w:hAnsi="Arial"/>
                <w:b/>
                <w:sz w:val="21"/>
                <w:szCs w:val="21"/>
              </w:rPr>
              <w:t>1</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bottom"/>
          </w:tcPr>
          <w:p w14:paraId="1384E7CE">
            <w:pPr>
              <w:snapToGrid w:val="0"/>
              <w:spacing w:line="280" w:lineRule="exact"/>
              <w:ind w:left="100"/>
              <w:jc w:val="both"/>
              <w:rPr>
                <w:rFonts w:ascii="Arial" w:hAnsi="Arial"/>
                <w:sz w:val="21"/>
                <w:szCs w:val="21"/>
              </w:rPr>
            </w:pPr>
            <w:r>
              <w:rPr>
                <w:rFonts w:ascii="Arial" w:hAnsi="Arial"/>
                <w:sz w:val="21"/>
                <w:szCs w:val="21"/>
              </w:rPr>
              <w:t>7.1%</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bottom"/>
          </w:tcPr>
          <w:p w14:paraId="35E792F4">
            <w:pPr>
              <w:snapToGrid w:val="0"/>
              <w:spacing w:line="280" w:lineRule="exact"/>
              <w:jc w:val="both"/>
              <w:rPr>
                <w:rFonts w:ascii="Arial" w:hAnsi="Arial"/>
                <w:sz w:val="21"/>
                <w:szCs w:val="21"/>
              </w:rPr>
            </w:pPr>
            <w:r>
              <w:rPr>
                <w:rFonts w:ascii="Arial" w:hAnsi="Arial"/>
                <w:sz w:val="21"/>
                <w:szCs w:val="21"/>
              </w:rPr>
              <w:t>3.6%</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bottom"/>
          </w:tcPr>
          <w:p w14:paraId="31D539A4">
            <w:pPr>
              <w:snapToGrid w:val="0"/>
              <w:spacing w:line="280" w:lineRule="exact"/>
              <w:jc w:val="both"/>
              <w:rPr>
                <w:rFonts w:ascii="Arial" w:hAnsi="Arial"/>
                <w:sz w:val="21"/>
                <w:szCs w:val="21"/>
              </w:rPr>
            </w:pPr>
            <w:r>
              <w:rPr>
                <w:rFonts w:ascii="Arial" w:hAnsi="Arial"/>
                <w:sz w:val="21"/>
                <w:szCs w:val="21"/>
              </w:rPr>
              <w:t>1.5%</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bottom"/>
          </w:tcPr>
          <w:p w14:paraId="6172932A">
            <w:pPr>
              <w:snapToGrid w:val="0"/>
              <w:spacing w:line="280" w:lineRule="exact"/>
              <w:jc w:val="both"/>
              <w:rPr>
                <w:rFonts w:ascii="Arial" w:hAnsi="Arial"/>
                <w:sz w:val="21"/>
                <w:szCs w:val="21"/>
              </w:rPr>
            </w:pPr>
            <w:r>
              <w:rPr>
                <w:rFonts w:ascii="Arial" w:hAnsi="Arial"/>
                <w:sz w:val="21"/>
                <w:szCs w:val="21"/>
              </w:rPr>
              <w:t>0.7%</w:t>
            </w:r>
          </w:p>
        </w:tc>
      </w:tr>
      <w:tr w14:paraId="12E1934B">
        <w:tblPrEx>
          <w:tblCellMar>
            <w:top w:w="0" w:type="dxa"/>
            <w:left w:w="0" w:type="dxa"/>
            <w:bottom w:w="0" w:type="dxa"/>
            <w:right w:w="0" w:type="dxa"/>
          </w:tblCellMar>
        </w:tblPrEx>
        <w:tc>
          <w:tcPr>
            <w:tcW w:w="1360" w:type="dxa"/>
            <w:tcBorders>
              <w:top w:val="single" w:color="auto" w:sz="4" w:space="0"/>
              <w:left w:val="single" w:color="auto" w:sz="4" w:space="0"/>
              <w:bottom w:val="single" w:color="auto" w:sz="4" w:space="0"/>
              <w:right w:val="single" w:color="auto" w:sz="4" w:space="0"/>
            </w:tcBorders>
            <w:shd w:val="clear" w:color="auto" w:fill="auto"/>
            <w:vAlign w:val="bottom"/>
          </w:tcPr>
          <w:p w14:paraId="6AF82741">
            <w:pPr>
              <w:snapToGrid w:val="0"/>
              <w:spacing w:line="280" w:lineRule="exact"/>
              <w:jc w:val="both"/>
              <w:rPr>
                <w:rFonts w:ascii="Arial" w:hAnsi="Arial"/>
                <w:sz w:val="21"/>
                <w:szCs w:val="21"/>
              </w:rPr>
            </w:pPr>
            <w:r>
              <w:rPr>
                <w:rFonts w:ascii="Arial" w:hAnsi="Arial"/>
                <w:b/>
                <w:sz w:val="21"/>
                <w:szCs w:val="21"/>
              </w:rPr>
              <w:t>2</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bottom"/>
          </w:tcPr>
          <w:p w14:paraId="5BA9BB62">
            <w:pPr>
              <w:snapToGrid w:val="0"/>
              <w:spacing w:line="280" w:lineRule="exact"/>
              <w:ind w:left="100"/>
              <w:jc w:val="both"/>
              <w:rPr>
                <w:rFonts w:ascii="Arial" w:hAnsi="Arial"/>
                <w:sz w:val="21"/>
                <w:szCs w:val="21"/>
              </w:rPr>
            </w:pPr>
            <w:r>
              <w:rPr>
                <w:rFonts w:ascii="Arial" w:hAnsi="Arial"/>
                <w:sz w:val="21"/>
                <w:szCs w:val="21"/>
              </w:rPr>
              <w:t>8.8%</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bottom"/>
          </w:tcPr>
          <w:p w14:paraId="54999D7F">
            <w:pPr>
              <w:snapToGrid w:val="0"/>
              <w:spacing w:line="280" w:lineRule="exact"/>
              <w:jc w:val="both"/>
              <w:rPr>
                <w:rFonts w:ascii="Arial" w:hAnsi="Arial"/>
                <w:sz w:val="21"/>
                <w:szCs w:val="21"/>
              </w:rPr>
            </w:pPr>
            <w:r>
              <w:rPr>
                <w:rFonts w:ascii="Arial" w:hAnsi="Arial"/>
                <w:sz w:val="21"/>
                <w:szCs w:val="21"/>
              </w:rPr>
              <w:t>4.5%</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bottom"/>
          </w:tcPr>
          <w:p w14:paraId="14C1F8EE">
            <w:pPr>
              <w:snapToGrid w:val="0"/>
              <w:spacing w:line="280" w:lineRule="exact"/>
              <w:jc w:val="both"/>
              <w:rPr>
                <w:rFonts w:ascii="Arial" w:hAnsi="Arial"/>
                <w:sz w:val="21"/>
                <w:szCs w:val="21"/>
              </w:rPr>
            </w:pPr>
            <w:r>
              <w:rPr>
                <w:rFonts w:ascii="Arial" w:hAnsi="Arial"/>
                <w:sz w:val="21"/>
                <w:szCs w:val="21"/>
              </w:rPr>
              <w:t>1.8%</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bottom"/>
          </w:tcPr>
          <w:p w14:paraId="12D99FB7">
            <w:pPr>
              <w:snapToGrid w:val="0"/>
              <w:spacing w:line="280" w:lineRule="exact"/>
              <w:jc w:val="both"/>
              <w:rPr>
                <w:rFonts w:ascii="Arial" w:hAnsi="Arial"/>
                <w:sz w:val="21"/>
                <w:szCs w:val="21"/>
              </w:rPr>
            </w:pPr>
            <w:r>
              <w:rPr>
                <w:rFonts w:ascii="Arial" w:hAnsi="Arial"/>
                <w:sz w:val="21"/>
                <w:szCs w:val="21"/>
              </w:rPr>
              <w:t>0.9%</w:t>
            </w:r>
          </w:p>
        </w:tc>
      </w:tr>
      <w:tr w14:paraId="4CBC04ED">
        <w:tblPrEx>
          <w:tblCellMar>
            <w:top w:w="0" w:type="dxa"/>
            <w:left w:w="0" w:type="dxa"/>
            <w:bottom w:w="0" w:type="dxa"/>
            <w:right w:w="0" w:type="dxa"/>
          </w:tblCellMar>
        </w:tblPrEx>
        <w:tc>
          <w:tcPr>
            <w:tcW w:w="1360" w:type="dxa"/>
            <w:tcBorders>
              <w:top w:val="single" w:color="auto" w:sz="4" w:space="0"/>
              <w:left w:val="single" w:color="auto" w:sz="4" w:space="0"/>
              <w:bottom w:val="single" w:color="auto" w:sz="4" w:space="0"/>
              <w:right w:val="single" w:color="auto" w:sz="4" w:space="0"/>
            </w:tcBorders>
            <w:shd w:val="clear" w:color="auto" w:fill="auto"/>
            <w:vAlign w:val="bottom"/>
          </w:tcPr>
          <w:p w14:paraId="2EAF626E">
            <w:pPr>
              <w:snapToGrid w:val="0"/>
              <w:spacing w:line="280" w:lineRule="exact"/>
              <w:jc w:val="both"/>
              <w:rPr>
                <w:rFonts w:ascii="Arial" w:hAnsi="Arial"/>
                <w:sz w:val="21"/>
                <w:szCs w:val="21"/>
              </w:rPr>
            </w:pPr>
            <w:r>
              <w:rPr>
                <w:rFonts w:ascii="Arial" w:hAnsi="Arial"/>
                <w:b/>
                <w:sz w:val="21"/>
                <w:szCs w:val="21"/>
              </w:rPr>
              <w:t>3</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bottom"/>
          </w:tcPr>
          <w:p w14:paraId="3198BD5E">
            <w:pPr>
              <w:snapToGrid w:val="0"/>
              <w:spacing w:line="280" w:lineRule="exact"/>
              <w:ind w:left="100"/>
              <w:jc w:val="both"/>
              <w:rPr>
                <w:rFonts w:ascii="Arial" w:hAnsi="Arial"/>
                <w:sz w:val="21"/>
                <w:szCs w:val="21"/>
              </w:rPr>
            </w:pPr>
            <w:r>
              <w:rPr>
                <w:rFonts w:ascii="Arial" w:hAnsi="Arial"/>
                <w:sz w:val="21"/>
                <w:szCs w:val="21"/>
              </w:rPr>
              <w:t>10.3%</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bottom"/>
          </w:tcPr>
          <w:p w14:paraId="24DD5E5D">
            <w:pPr>
              <w:snapToGrid w:val="0"/>
              <w:spacing w:line="280" w:lineRule="exact"/>
              <w:jc w:val="both"/>
              <w:rPr>
                <w:rFonts w:ascii="Arial" w:hAnsi="Arial"/>
                <w:sz w:val="21"/>
                <w:szCs w:val="21"/>
              </w:rPr>
            </w:pPr>
            <w:r>
              <w:rPr>
                <w:rFonts w:ascii="Arial" w:hAnsi="Arial"/>
                <w:sz w:val="21"/>
                <w:szCs w:val="21"/>
              </w:rPr>
              <w:t>5.3%</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bottom"/>
          </w:tcPr>
          <w:p w14:paraId="6FADB760">
            <w:pPr>
              <w:snapToGrid w:val="0"/>
              <w:spacing w:line="280" w:lineRule="exact"/>
              <w:jc w:val="both"/>
              <w:rPr>
                <w:rFonts w:ascii="Arial" w:hAnsi="Arial"/>
                <w:sz w:val="21"/>
                <w:szCs w:val="21"/>
              </w:rPr>
            </w:pPr>
            <w:r>
              <w:rPr>
                <w:rFonts w:ascii="Arial" w:hAnsi="Arial"/>
                <w:sz w:val="21"/>
                <w:szCs w:val="21"/>
              </w:rPr>
              <w:t>2.2%</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bottom"/>
          </w:tcPr>
          <w:p w14:paraId="4335391B">
            <w:pPr>
              <w:snapToGrid w:val="0"/>
              <w:spacing w:line="280" w:lineRule="exact"/>
              <w:jc w:val="both"/>
              <w:rPr>
                <w:rFonts w:ascii="Arial" w:hAnsi="Arial"/>
                <w:sz w:val="21"/>
                <w:szCs w:val="21"/>
              </w:rPr>
            </w:pPr>
            <w:r>
              <w:rPr>
                <w:rFonts w:ascii="Arial" w:hAnsi="Arial"/>
                <w:sz w:val="21"/>
                <w:szCs w:val="21"/>
              </w:rPr>
              <w:t>1.1%</w:t>
            </w:r>
          </w:p>
        </w:tc>
      </w:tr>
    </w:tbl>
    <w:p w14:paraId="242A6A3C">
      <w:pPr>
        <w:snapToGrid w:val="0"/>
        <w:spacing w:line="300" w:lineRule="auto"/>
        <w:jc w:val="both"/>
        <w:rPr>
          <w:rFonts w:ascii="Arial" w:hAnsi="Arial"/>
          <w:sz w:val="21"/>
          <w:szCs w:val="21"/>
        </w:rPr>
      </w:pPr>
    </w:p>
    <w:p w14:paraId="6C13111E">
      <w:pPr>
        <w:adjustRightInd w:val="0"/>
        <w:snapToGrid w:val="0"/>
        <w:spacing w:line="300" w:lineRule="auto"/>
        <w:ind w:left="357"/>
        <w:jc w:val="both"/>
        <w:rPr>
          <w:rFonts w:ascii="Arial" w:hAnsi="Arial"/>
          <w:sz w:val="21"/>
          <w:szCs w:val="21"/>
        </w:rPr>
      </w:pPr>
      <w:r>
        <w:rPr>
          <w:rFonts w:ascii="Arial" w:hAnsi="Arial"/>
          <w:sz w:val="21"/>
          <w:szCs w:val="21"/>
        </w:rPr>
        <w:t>由于置信区间通常包含上限和下限，当仅考虑限值时，95% 和 99%的实际置信水平分别变成97.5% 和 99.5%，因为5% 和 1%的差在分布曲线的两个末端。</w:t>
      </w:r>
    </w:p>
    <w:p w14:paraId="0A83E46E">
      <w:pPr>
        <w:snapToGrid w:val="0"/>
        <w:spacing w:line="300" w:lineRule="auto"/>
        <w:jc w:val="both"/>
        <w:rPr>
          <w:rFonts w:ascii="Arial" w:hAnsi="Arial"/>
          <w:sz w:val="21"/>
          <w:szCs w:val="21"/>
        </w:rPr>
      </w:pPr>
    </w:p>
    <w:p w14:paraId="66CCFF33">
      <w:pPr>
        <w:adjustRightInd w:val="0"/>
        <w:snapToGrid w:val="0"/>
        <w:spacing w:line="300" w:lineRule="auto"/>
        <w:ind w:left="357"/>
        <w:jc w:val="both"/>
        <w:rPr>
          <w:rFonts w:ascii="Arial" w:hAnsi="Arial"/>
          <w:sz w:val="21"/>
          <w:szCs w:val="21"/>
        </w:rPr>
      </w:pPr>
      <w:r>
        <w:rPr>
          <w:rFonts w:ascii="Arial" w:hAnsi="Arial"/>
          <w:sz w:val="21"/>
          <w:szCs w:val="21"/>
        </w:rPr>
        <w:t>因此，如，如果在500台器械试运行时未观察到任何失败（即0个失败），我们认为97.5%置信真实失败率不高于0.7%，99.5%置信不高于1.1%。另一方面，如果，测试的200台器械中出现2例失败，真实失败率会高达3.5%（95%上限）或4.5%（99%上限）。</w:t>
      </w:r>
    </w:p>
    <w:p w14:paraId="1BAFCCA6">
      <w:pPr>
        <w:snapToGrid w:val="0"/>
        <w:spacing w:line="300" w:lineRule="auto"/>
        <w:jc w:val="both"/>
        <w:rPr>
          <w:rFonts w:ascii="Arial" w:hAnsi="Arial"/>
          <w:sz w:val="21"/>
          <w:szCs w:val="21"/>
        </w:rPr>
      </w:pPr>
      <w:r>
        <w:rPr>
          <w:rFonts w:ascii="Arial" w:hAnsi="Arial"/>
          <w:sz w:val="21"/>
          <w:szCs w:val="21"/>
        </w:rPr>
        <mc:AlternateContent>
          <mc:Choice Requires="wps">
            <w:drawing>
              <wp:anchor distT="0" distB="0" distL="114300" distR="114300" simplePos="0" relativeHeight="251664384" behindDoc="1" locked="0" layoutInCell="0" allowOverlap="1">
                <wp:simplePos x="0" y="0"/>
                <wp:positionH relativeFrom="column">
                  <wp:posOffset>0</wp:posOffset>
                </wp:positionH>
                <wp:positionV relativeFrom="paragraph">
                  <wp:posOffset>308610</wp:posOffset>
                </wp:positionV>
                <wp:extent cx="1828800" cy="0"/>
                <wp:effectExtent l="9525" t="12065" r="9525" b="6985"/>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24.3pt;height:0pt;width:144pt;z-index:-251652096;mso-width-relative:page;mso-height-relative:page;" filled="f" stroked="t" coordsize="21600,21600" o:allowincell="f" o:gfxdata="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izuanTAAAABgEAAA8A&#10;AAAAAAAAAQAgAAAAIgAAAGRycy9kb3ducmV2LnhtbFBLAQIUABQAAAAIAIdO4kCDtwgx4wEAAKoD&#10;AAAOAAAAAAAAAAEAIAAAACIBAABkcnMvZTJvRG9jLnhtbFBLBQYAAAAABgAGAFkBAAB3BQAAAAA=&#10;">
                <v:fill on="f" focussize="0,0"/>
                <v:stroke color="#000000" joinstyle="round"/>
                <v:imagedata o:title=""/>
                <o:lock v:ext="edit" aspectratio="f"/>
              </v:line>
            </w:pict>
          </mc:Fallback>
        </mc:AlternateContent>
      </w:r>
    </w:p>
    <w:p w14:paraId="0F44C6A4">
      <w:pPr>
        <w:snapToGrid w:val="0"/>
        <w:spacing w:line="300" w:lineRule="auto"/>
        <w:jc w:val="both"/>
        <w:rPr>
          <w:rFonts w:ascii="Arial" w:hAnsi="Arial"/>
          <w:sz w:val="21"/>
          <w:szCs w:val="21"/>
        </w:rPr>
      </w:pPr>
    </w:p>
    <w:p w14:paraId="6F6BAC6B">
      <w:pPr>
        <w:snapToGrid w:val="0"/>
        <w:spacing w:line="300" w:lineRule="auto"/>
        <w:jc w:val="both"/>
        <w:rPr>
          <w:rFonts w:ascii="Arial" w:hAnsi="Arial"/>
          <w:sz w:val="21"/>
          <w:szCs w:val="21"/>
        </w:rPr>
      </w:pPr>
      <w:r>
        <w:rPr>
          <w:rFonts w:ascii="Arial" w:hAnsi="Arial"/>
          <w:sz w:val="21"/>
          <w:szCs w:val="21"/>
          <w:vertAlign w:val="superscript"/>
        </w:rPr>
        <w:t>5</w:t>
      </w:r>
      <w:r>
        <w:rPr>
          <w:rFonts w:ascii="Arial" w:hAnsi="Arial"/>
          <w:sz w:val="21"/>
          <w:szCs w:val="21"/>
        </w:rPr>
        <w:t xml:space="preserve"> C.R.C.概率与统计表格手册，第2版，William H. Be yer，编辑于1982年。</w:t>
      </w:r>
    </w:p>
    <w:p w14:paraId="3677FD10">
      <w:pPr>
        <w:snapToGrid w:val="0"/>
        <w:spacing w:line="300" w:lineRule="auto"/>
        <w:jc w:val="both"/>
        <w:rPr>
          <w:rFonts w:ascii="Arial" w:hAnsi="Arial"/>
          <w:sz w:val="21"/>
          <w:szCs w:val="21"/>
        </w:rPr>
      </w:pPr>
      <w:r>
        <w:rPr>
          <w:rFonts w:ascii="Arial" w:hAnsi="Arial"/>
          <w:sz w:val="21"/>
          <w:szCs w:val="21"/>
        </w:rPr>
        <w:br w:type="page"/>
      </w:r>
    </w:p>
    <w:p w14:paraId="2FA97C0B">
      <w:pPr>
        <w:snapToGrid w:val="0"/>
        <w:spacing w:line="300" w:lineRule="auto"/>
        <w:ind w:left="360" w:firstLine="1"/>
        <w:jc w:val="both"/>
        <w:rPr>
          <w:rFonts w:ascii="Arial" w:hAnsi="Arial"/>
          <w:sz w:val="21"/>
          <w:szCs w:val="21"/>
        </w:rPr>
      </w:pPr>
      <w:r>
        <w:rPr>
          <w:rFonts w:ascii="Arial" w:hAnsi="Arial"/>
          <w:sz w:val="21"/>
          <w:szCs w:val="21"/>
        </w:rPr>
        <w:t>本模型显示即使未报告失败，更小的样本量增加了接受可能有更高损伤率器械的机率。然而，我们认为足以检测针刺率实际差异的样本量一般不可行。我们建议含有防锐器损伤特性器械的模拟应用测试包括含足够数量的器械，以提供器械表现方面的置信度。FDA认为对于很多含有锐器安全特性的器械，可测试500台器械，以便能够以1%的水平检测到严重缺陷的器械（参见之前的置信区间表格）。</w:t>
      </w:r>
    </w:p>
    <w:p w14:paraId="28D1E221">
      <w:pPr>
        <w:snapToGrid w:val="0"/>
        <w:spacing w:line="300" w:lineRule="auto"/>
        <w:jc w:val="both"/>
        <w:rPr>
          <w:rFonts w:ascii="Arial" w:hAnsi="Arial"/>
          <w:sz w:val="21"/>
          <w:szCs w:val="21"/>
        </w:rPr>
      </w:pPr>
    </w:p>
    <w:p w14:paraId="79EE7DDB">
      <w:pPr>
        <w:snapToGrid w:val="0"/>
        <w:spacing w:line="300" w:lineRule="auto"/>
        <w:ind w:left="360"/>
        <w:jc w:val="both"/>
        <w:rPr>
          <w:rFonts w:ascii="Arial" w:hAnsi="Arial"/>
          <w:sz w:val="21"/>
          <w:szCs w:val="21"/>
        </w:rPr>
      </w:pPr>
      <w:r>
        <w:rPr>
          <w:rFonts w:ascii="Arial" w:hAnsi="Arial"/>
          <w:sz w:val="21"/>
          <w:szCs w:val="21"/>
        </w:rPr>
        <w:t>样本量为500时，一个成功的研究应该报告保护特性零失败。基于上诉置信区间，由于预定的评估指标是0%损伤率，因此不需要测试对照器械来比较锐器损伤评估终端。</w:t>
      </w:r>
    </w:p>
    <w:p w14:paraId="7337813E">
      <w:pPr>
        <w:snapToGrid w:val="0"/>
        <w:spacing w:line="300" w:lineRule="auto"/>
        <w:jc w:val="both"/>
        <w:rPr>
          <w:rFonts w:ascii="Arial" w:hAnsi="Arial"/>
          <w:sz w:val="21"/>
          <w:szCs w:val="21"/>
        </w:rPr>
      </w:pPr>
    </w:p>
    <w:p w14:paraId="18981D88">
      <w:pPr>
        <w:snapToGrid w:val="0"/>
        <w:spacing w:line="300" w:lineRule="auto"/>
        <w:ind w:left="360"/>
        <w:jc w:val="both"/>
        <w:rPr>
          <w:rFonts w:ascii="Arial" w:hAnsi="Arial"/>
          <w:sz w:val="21"/>
          <w:szCs w:val="21"/>
        </w:rPr>
      </w:pPr>
      <w:r>
        <w:rPr>
          <w:rFonts w:ascii="Arial" w:hAnsi="Arial"/>
          <w:sz w:val="21"/>
          <w:szCs w:val="21"/>
        </w:rPr>
        <w:t>当提议的替代方法获得充分的科学依据时，FDA将考虑确定样本量的替代方法。</w:t>
      </w:r>
    </w:p>
    <w:p w14:paraId="69A21F72">
      <w:pPr>
        <w:snapToGrid w:val="0"/>
        <w:spacing w:line="300" w:lineRule="auto"/>
        <w:jc w:val="both"/>
        <w:rPr>
          <w:rFonts w:ascii="Arial" w:hAnsi="Arial"/>
          <w:sz w:val="21"/>
          <w:szCs w:val="21"/>
        </w:rPr>
      </w:pPr>
    </w:p>
    <w:p w14:paraId="32C9E3FE">
      <w:pPr>
        <w:snapToGrid w:val="0"/>
        <w:spacing w:line="300" w:lineRule="auto"/>
        <w:jc w:val="both"/>
        <w:rPr>
          <w:rFonts w:ascii="Arial" w:hAnsi="Arial"/>
          <w:sz w:val="21"/>
          <w:szCs w:val="21"/>
        </w:rPr>
      </w:pPr>
    </w:p>
    <w:p w14:paraId="1666FA3B">
      <w:pPr>
        <w:numPr>
          <w:ilvl w:val="0"/>
          <w:numId w:val="1"/>
        </w:numPr>
        <w:tabs>
          <w:tab w:val="left" w:pos="700"/>
        </w:tabs>
        <w:snapToGrid w:val="0"/>
        <w:spacing w:line="300" w:lineRule="auto"/>
        <w:ind w:left="720" w:hanging="720"/>
        <w:jc w:val="both"/>
        <w:outlineLvl w:val="0"/>
        <w:rPr>
          <w:rFonts w:ascii="Arial" w:hAnsi="Arial"/>
          <w:b/>
          <w:sz w:val="36"/>
          <w:szCs w:val="36"/>
        </w:rPr>
      </w:pPr>
      <w:bookmarkStart w:id="14" w:name="_Toc481741699"/>
      <w:r>
        <w:rPr>
          <w:rFonts w:ascii="Arial" w:hAnsi="Arial"/>
          <w:b/>
          <w:sz w:val="36"/>
          <w:szCs w:val="36"/>
        </w:rPr>
        <w:t>灭菌</w:t>
      </w:r>
      <w:bookmarkEnd w:id="14"/>
    </w:p>
    <w:p w14:paraId="1ED0EDCD">
      <w:pPr>
        <w:snapToGrid w:val="0"/>
        <w:spacing w:line="300" w:lineRule="auto"/>
        <w:jc w:val="both"/>
        <w:rPr>
          <w:rFonts w:ascii="Arial" w:hAnsi="Arial"/>
          <w:b/>
          <w:sz w:val="21"/>
          <w:szCs w:val="21"/>
        </w:rPr>
      </w:pPr>
    </w:p>
    <w:p w14:paraId="4722CB6E">
      <w:pPr>
        <w:snapToGrid w:val="0"/>
        <w:spacing w:line="300" w:lineRule="auto"/>
        <w:rPr>
          <w:rFonts w:ascii="Arial" w:hAnsi="Arial"/>
          <w:color w:val="000000"/>
          <w:sz w:val="21"/>
          <w:szCs w:val="21"/>
        </w:rPr>
      </w:pPr>
      <w:r>
        <w:rPr>
          <w:rFonts w:ascii="Arial" w:hAnsi="Arial"/>
          <w:color w:val="000000"/>
          <w:sz w:val="21"/>
          <w:szCs w:val="21"/>
        </w:rPr>
        <w:t>FDA建议贵公司依照</w:t>
      </w:r>
      <w:r>
        <w:rPr>
          <w:rFonts w:ascii="Arial" w:hAnsi="Arial"/>
          <w:b/>
          <w:color w:val="000000"/>
          <w:sz w:val="21"/>
          <w:szCs w:val="21"/>
        </w:rPr>
        <w:t>更新的</w:t>
      </w:r>
      <w:r>
        <w:rPr>
          <w:rFonts w:ascii="Arial" w:hAnsi="Arial"/>
          <w:b/>
          <w:sz w:val="21"/>
          <w:szCs w:val="21"/>
        </w:rPr>
        <w:t>510（k）无菌审查指南K90-1；行业和FDA最终指南</w:t>
      </w:r>
      <w:r>
        <w:fldChar w:fldCharType="begin"/>
      </w:r>
      <w:r>
        <w:instrText xml:space="preserve"> HYPERLINK "http://www.fda.gov/cdrh/ode/guidance/361.html" </w:instrText>
      </w:r>
      <w:r>
        <w:fldChar w:fldCharType="separate"/>
      </w:r>
      <w:r>
        <w:rPr>
          <w:rFonts w:ascii="Arial" w:hAnsi="Arial"/>
          <w:color w:val="0000FF"/>
          <w:sz w:val="21"/>
          <w:szCs w:val="21"/>
          <w:u w:val="single"/>
        </w:rPr>
        <w:t>http://www.fda.gov/cdrh/ode/guidance/361.html</w:t>
      </w:r>
      <w:r>
        <w:rPr>
          <w:rFonts w:ascii="Arial" w:hAnsi="Arial"/>
          <w:color w:val="0000FF"/>
          <w:sz w:val="21"/>
          <w:szCs w:val="21"/>
          <w:u w:val="single"/>
        </w:rPr>
        <w:fldChar w:fldCharType="end"/>
      </w:r>
      <w:r>
        <w:rPr>
          <w:rFonts w:ascii="Arial" w:hAnsi="Arial"/>
          <w:color w:val="000000"/>
          <w:sz w:val="21"/>
          <w:szCs w:val="21"/>
        </w:rPr>
        <w:t>，提供灭菌信息。使用已依照质量体系要求（QSR） 21 CFR 820.30进行灭菌周期，确认该器械无菌，且无菌保证水平（SAL）为1x10</w:t>
      </w:r>
      <w:r>
        <w:rPr>
          <w:rFonts w:ascii="Arial" w:hAnsi="Arial"/>
          <w:color w:val="000000"/>
          <w:sz w:val="21"/>
          <w:szCs w:val="21"/>
          <w:vertAlign w:val="superscript"/>
        </w:rPr>
        <w:t>-6</w:t>
      </w:r>
      <w:r>
        <w:rPr>
          <w:rFonts w:ascii="Arial" w:hAnsi="Arial"/>
          <w:color w:val="000000"/>
          <w:sz w:val="21"/>
          <w:szCs w:val="21"/>
        </w:rPr>
        <w:t>。</w:t>
      </w:r>
    </w:p>
    <w:p w14:paraId="6B29FF03">
      <w:pPr>
        <w:snapToGrid w:val="0"/>
        <w:spacing w:line="300" w:lineRule="auto"/>
        <w:jc w:val="both"/>
        <w:rPr>
          <w:rFonts w:ascii="Arial" w:hAnsi="Arial"/>
          <w:sz w:val="21"/>
          <w:szCs w:val="21"/>
        </w:rPr>
      </w:pPr>
    </w:p>
    <w:p w14:paraId="1A0432A6">
      <w:pPr>
        <w:snapToGrid w:val="0"/>
        <w:spacing w:line="300" w:lineRule="auto"/>
        <w:jc w:val="both"/>
        <w:rPr>
          <w:rFonts w:ascii="Arial" w:hAnsi="Arial"/>
          <w:sz w:val="21"/>
          <w:szCs w:val="21"/>
        </w:rPr>
      </w:pPr>
    </w:p>
    <w:p w14:paraId="78B1450E">
      <w:pPr>
        <w:numPr>
          <w:ilvl w:val="0"/>
          <w:numId w:val="1"/>
        </w:numPr>
        <w:tabs>
          <w:tab w:val="left" w:pos="700"/>
        </w:tabs>
        <w:snapToGrid w:val="0"/>
        <w:spacing w:line="300" w:lineRule="auto"/>
        <w:ind w:left="720" w:hanging="720"/>
        <w:jc w:val="both"/>
        <w:outlineLvl w:val="0"/>
        <w:rPr>
          <w:rFonts w:ascii="Arial" w:hAnsi="Arial"/>
          <w:b/>
          <w:sz w:val="36"/>
          <w:szCs w:val="36"/>
        </w:rPr>
      </w:pPr>
      <w:bookmarkStart w:id="15" w:name="_Toc481741700"/>
      <w:r>
        <w:rPr>
          <w:rFonts w:ascii="Arial" w:hAnsi="Arial"/>
          <w:b/>
          <w:sz w:val="36"/>
          <w:szCs w:val="36"/>
        </w:rPr>
        <w:t>生物相容性</w:t>
      </w:r>
      <w:bookmarkEnd w:id="15"/>
    </w:p>
    <w:p w14:paraId="212626BA">
      <w:pPr>
        <w:snapToGrid w:val="0"/>
        <w:spacing w:line="300" w:lineRule="auto"/>
        <w:jc w:val="both"/>
        <w:rPr>
          <w:rFonts w:ascii="Arial" w:hAnsi="Arial"/>
          <w:sz w:val="21"/>
          <w:szCs w:val="21"/>
        </w:rPr>
      </w:pPr>
    </w:p>
    <w:p w14:paraId="6460D432">
      <w:pPr>
        <w:snapToGrid w:val="0"/>
        <w:spacing w:line="300" w:lineRule="auto"/>
        <w:jc w:val="both"/>
        <w:rPr>
          <w:rFonts w:ascii="Arial" w:hAnsi="Arial"/>
          <w:sz w:val="21"/>
          <w:szCs w:val="21"/>
        </w:rPr>
      </w:pPr>
      <w:r>
        <w:rPr>
          <w:rFonts w:ascii="Arial" w:hAnsi="Arial"/>
          <w:sz w:val="21"/>
          <w:szCs w:val="21"/>
        </w:rPr>
        <w:t>我们建议贵公司按照指南使用</w:t>
      </w:r>
      <w:r>
        <w:rPr>
          <w:rFonts w:ascii="Arial" w:hAnsi="Arial"/>
          <w:b/>
          <w:sz w:val="21"/>
          <w:szCs w:val="21"/>
        </w:rPr>
        <w:t>国际标准ISO-10993，医疗器械的生物评估1部分：评估和测试，</w:t>
      </w:r>
      <w:r>
        <w:fldChar w:fldCharType="begin"/>
      </w:r>
      <w:r>
        <w:instrText xml:space="preserve"> HYPERLINK "http://www.fda.gov/cdrh/g951.html" </w:instrText>
      </w:r>
      <w:r>
        <w:fldChar w:fldCharType="separate"/>
      </w:r>
      <w:r>
        <w:rPr>
          <w:rFonts w:ascii="Arial" w:hAnsi="Arial"/>
          <w:color w:val="0000FF"/>
          <w:sz w:val="21"/>
          <w:szCs w:val="21"/>
          <w:u w:val="single"/>
        </w:rPr>
        <w:t>http://www.fda.gov/cdrh/g951.html</w:t>
      </w:r>
      <w:r>
        <w:rPr>
          <w:rFonts w:ascii="Arial" w:hAnsi="Arial"/>
          <w:color w:val="0000FF"/>
          <w:sz w:val="21"/>
          <w:szCs w:val="21"/>
          <w:u w:val="single"/>
        </w:rPr>
        <w:fldChar w:fldCharType="end"/>
      </w:r>
      <w:r>
        <w:rPr>
          <w:rFonts w:ascii="Arial" w:hAnsi="Arial"/>
          <w:sz w:val="21"/>
          <w:szCs w:val="21"/>
        </w:rPr>
        <w:t>中的说明对贵公司的器械进行生物相容性测试。我们建议选择适合于贵公司器械接触持续时间和接触等级的测试，并提交贵公司的通过/失败标准。我们也建议将设计历史中的结果记录为QSR（21 CFR 820.30）的一部分。如果比较器械使用了完全相同的材料和完全相同的材料加工且接触类型和持续时间相同，则可以说明比较器械而不用进行生物相容性测试。</w:t>
      </w:r>
    </w:p>
    <w:p w14:paraId="02253AE5">
      <w:pPr>
        <w:snapToGrid w:val="0"/>
        <w:spacing w:line="300" w:lineRule="auto"/>
        <w:jc w:val="both"/>
        <w:rPr>
          <w:rFonts w:ascii="Arial" w:hAnsi="Arial"/>
          <w:sz w:val="21"/>
          <w:szCs w:val="21"/>
        </w:rPr>
      </w:pPr>
      <w:r>
        <w:rPr>
          <w:rFonts w:ascii="Arial" w:hAnsi="Arial"/>
          <w:sz w:val="21"/>
          <w:szCs w:val="21"/>
        </w:rPr>
        <w:br w:type="page"/>
      </w:r>
    </w:p>
    <w:p w14:paraId="1221201B">
      <w:pPr>
        <w:numPr>
          <w:ilvl w:val="0"/>
          <w:numId w:val="1"/>
        </w:numPr>
        <w:tabs>
          <w:tab w:val="left" w:pos="700"/>
        </w:tabs>
        <w:snapToGrid w:val="0"/>
        <w:spacing w:line="300" w:lineRule="auto"/>
        <w:ind w:left="720" w:hanging="720"/>
        <w:jc w:val="both"/>
        <w:outlineLvl w:val="0"/>
        <w:rPr>
          <w:rFonts w:ascii="Arial" w:hAnsi="Arial"/>
          <w:b/>
          <w:sz w:val="36"/>
          <w:szCs w:val="36"/>
        </w:rPr>
      </w:pPr>
      <w:r>
        <w:rPr>
          <w:rFonts w:ascii="Arial" w:hAnsi="Arial"/>
          <w:b/>
          <w:sz w:val="36"/>
          <w:szCs w:val="36"/>
        </w:rPr>
        <w:tab/>
      </w:r>
      <w:bookmarkStart w:id="16" w:name="_Toc481741701"/>
      <w:r>
        <w:rPr>
          <w:rFonts w:ascii="Arial" w:hAnsi="Arial"/>
          <w:b/>
          <w:sz w:val="36"/>
          <w:szCs w:val="36"/>
        </w:rPr>
        <w:t>标签</w:t>
      </w:r>
      <w:bookmarkEnd w:id="16"/>
    </w:p>
    <w:p w14:paraId="4857A4D4">
      <w:pPr>
        <w:snapToGrid w:val="0"/>
        <w:spacing w:line="300" w:lineRule="auto"/>
        <w:jc w:val="both"/>
        <w:rPr>
          <w:rFonts w:ascii="Arial" w:hAnsi="Arial"/>
          <w:sz w:val="21"/>
          <w:szCs w:val="21"/>
        </w:rPr>
      </w:pPr>
    </w:p>
    <w:p w14:paraId="67E50EC5">
      <w:pPr>
        <w:snapToGrid w:val="0"/>
        <w:spacing w:line="300" w:lineRule="auto"/>
        <w:jc w:val="both"/>
        <w:rPr>
          <w:rFonts w:ascii="Arial" w:hAnsi="Arial"/>
          <w:sz w:val="21"/>
          <w:szCs w:val="21"/>
        </w:rPr>
      </w:pPr>
      <w:r>
        <w:rPr>
          <w:rFonts w:ascii="Arial" w:hAnsi="Arial"/>
          <w:sz w:val="21"/>
          <w:szCs w:val="21"/>
        </w:rPr>
        <w:t>标签应该提供足够的详细信息以符合21CFR 807.87（e）的要求。以下信息将有助于贵公司符合21 CFR 801的要求。</w:t>
      </w:r>
      <w:r>
        <w:rPr>
          <w:rFonts w:ascii="Arial" w:hAnsi="Arial"/>
          <w:sz w:val="21"/>
          <w:szCs w:val="21"/>
          <w:vertAlign w:val="superscript"/>
        </w:rPr>
        <w:t>6</w:t>
      </w:r>
    </w:p>
    <w:p w14:paraId="65D248A7">
      <w:pPr>
        <w:snapToGrid w:val="0"/>
        <w:spacing w:line="300" w:lineRule="auto"/>
        <w:ind w:left="360"/>
        <w:jc w:val="both"/>
        <w:rPr>
          <w:rFonts w:ascii="Arial" w:hAnsi="Arial"/>
          <w:b/>
          <w:sz w:val="21"/>
          <w:szCs w:val="21"/>
        </w:rPr>
      </w:pPr>
      <w:r>
        <w:rPr>
          <w:rFonts w:ascii="Arial" w:hAnsi="Arial"/>
          <w:b/>
          <w:sz w:val="21"/>
          <w:szCs w:val="21"/>
        </w:rPr>
        <w:t xml:space="preserve">预期用途 </w:t>
      </w:r>
    </w:p>
    <w:p w14:paraId="698A8308">
      <w:pPr>
        <w:snapToGrid w:val="0"/>
        <w:spacing w:line="300" w:lineRule="auto"/>
        <w:jc w:val="both"/>
        <w:rPr>
          <w:rFonts w:ascii="Arial" w:hAnsi="Arial"/>
          <w:sz w:val="21"/>
          <w:szCs w:val="21"/>
        </w:rPr>
      </w:pPr>
    </w:p>
    <w:p w14:paraId="40B2D70B">
      <w:pPr>
        <w:snapToGrid w:val="0"/>
        <w:spacing w:line="300" w:lineRule="auto"/>
        <w:ind w:left="360"/>
        <w:jc w:val="both"/>
        <w:rPr>
          <w:rFonts w:ascii="Arial" w:hAnsi="Arial"/>
          <w:sz w:val="21"/>
          <w:szCs w:val="21"/>
        </w:rPr>
      </w:pPr>
      <w:r>
        <w:rPr>
          <w:rFonts w:ascii="Arial" w:hAnsi="Arial"/>
          <w:sz w:val="21"/>
          <w:szCs w:val="21"/>
        </w:rPr>
        <w:t>我们建议预期用途明确说明器械的治疗、预防或诊断用途及其如何预防针刺（锐器）损伤。标签应该突出显示含有防锐器损伤特性的器械是提交者上市的系统的一部分，并与其他器械或附件一起使用。</w:t>
      </w:r>
    </w:p>
    <w:p w14:paraId="4F333551">
      <w:pPr>
        <w:snapToGrid w:val="0"/>
        <w:spacing w:line="300" w:lineRule="auto"/>
        <w:jc w:val="both"/>
        <w:rPr>
          <w:rFonts w:ascii="Arial" w:hAnsi="Arial"/>
          <w:sz w:val="21"/>
          <w:szCs w:val="21"/>
        </w:rPr>
      </w:pPr>
    </w:p>
    <w:p w14:paraId="56E3DF21">
      <w:pPr>
        <w:snapToGrid w:val="0"/>
        <w:spacing w:line="300" w:lineRule="auto"/>
        <w:ind w:left="360"/>
        <w:jc w:val="both"/>
        <w:rPr>
          <w:rFonts w:ascii="Arial" w:hAnsi="Arial"/>
          <w:b/>
          <w:sz w:val="21"/>
          <w:szCs w:val="21"/>
        </w:rPr>
      </w:pPr>
      <w:r>
        <w:rPr>
          <w:rFonts w:ascii="Arial" w:hAnsi="Arial"/>
          <w:b/>
          <w:sz w:val="21"/>
          <w:szCs w:val="21"/>
        </w:rPr>
        <w:t>使用说明书</w:t>
      </w:r>
    </w:p>
    <w:p w14:paraId="16BC9D8D">
      <w:pPr>
        <w:snapToGrid w:val="0"/>
        <w:spacing w:line="300" w:lineRule="auto"/>
        <w:jc w:val="both"/>
        <w:rPr>
          <w:rFonts w:ascii="Arial" w:hAnsi="Arial"/>
          <w:sz w:val="21"/>
          <w:szCs w:val="21"/>
        </w:rPr>
      </w:pPr>
    </w:p>
    <w:p w14:paraId="17BDC588">
      <w:pPr>
        <w:snapToGrid w:val="0"/>
        <w:spacing w:line="300" w:lineRule="auto"/>
        <w:ind w:left="360"/>
        <w:jc w:val="both"/>
        <w:rPr>
          <w:rFonts w:ascii="Arial" w:hAnsi="Arial"/>
          <w:sz w:val="21"/>
          <w:szCs w:val="21"/>
        </w:rPr>
      </w:pPr>
      <w:r>
        <w:rPr>
          <w:rFonts w:ascii="Arial" w:hAnsi="Arial"/>
          <w:sz w:val="21"/>
          <w:szCs w:val="21"/>
        </w:rPr>
        <w:t>我们建议贵公司的使用说明书包含以下内容：</w:t>
      </w:r>
    </w:p>
    <w:p w14:paraId="07342C66">
      <w:pPr>
        <w:snapToGrid w:val="0"/>
        <w:spacing w:line="300" w:lineRule="auto"/>
        <w:jc w:val="both"/>
        <w:rPr>
          <w:rFonts w:ascii="Arial" w:hAnsi="Arial"/>
          <w:sz w:val="21"/>
          <w:szCs w:val="21"/>
        </w:rPr>
      </w:pPr>
    </w:p>
    <w:p w14:paraId="6EB5DCB0">
      <w:pPr>
        <w:numPr>
          <w:ilvl w:val="0"/>
          <w:numId w:val="13"/>
        </w:numPr>
        <w:tabs>
          <w:tab w:val="left" w:pos="1080"/>
        </w:tabs>
        <w:snapToGrid w:val="0"/>
        <w:spacing w:line="300" w:lineRule="auto"/>
        <w:ind w:left="1080" w:hanging="360"/>
        <w:jc w:val="both"/>
        <w:rPr>
          <w:rFonts w:ascii="Arial" w:hAnsi="Arial"/>
          <w:sz w:val="21"/>
          <w:szCs w:val="21"/>
        </w:rPr>
      </w:pPr>
      <w:r>
        <w:rPr>
          <w:rFonts w:ascii="Arial" w:hAnsi="Arial"/>
          <w:sz w:val="21"/>
          <w:szCs w:val="21"/>
        </w:rPr>
        <w:t>使用时为安全操作要把手全程放在器械上</w:t>
      </w:r>
    </w:p>
    <w:p w14:paraId="0725E434">
      <w:pPr>
        <w:numPr>
          <w:ilvl w:val="0"/>
          <w:numId w:val="14"/>
        </w:numPr>
        <w:tabs>
          <w:tab w:val="left" w:pos="1080"/>
        </w:tabs>
        <w:snapToGrid w:val="0"/>
        <w:spacing w:line="300" w:lineRule="auto"/>
        <w:ind w:left="1080" w:hanging="360"/>
        <w:jc w:val="both"/>
        <w:rPr>
          <w:rFonts w:ascii="Arial" w:hAnsi="Arial"/>
          <w:sz w:val="21"/>
          <w:szCs w:val="21"/>
        </w:rPr>
      </w:pPr>
      <w:r>
        <w:rPr>
          <w:rFonts w:ascii="Arial" w:hAnsi="Arial"/>
          <w:sz w:val="21"/>
          <w:szCs w:val="21"/>
        </w:rPr>
        <w:t>无菌技术，特别是当含有安全特性器械的使用技术与无安全特性的常用器械的使用技术不同时。</w:t>
      </w:r>
    </w:p>
    <w:p w14:paraId="59477CFD">
      <w:pPr>
        <w:numPr>
          <w:ilvl w:val="0"/>
          <w:numId w:val="14"/>
        </w:numPr>
        <w:tabs>
          <w:tab w:val="left" w:pos="1080"/>
        </w:tabs>
        <w:snapToGrid w:val="0"/>
        <w:spacing w:line="300" w:lineRule="auto"/>
        <w:ind w:left="1080" w:hanging="360"/>
        <w:jc w:val="both"/>
        <w:rPr>
          <w:rFonts w:ascii="Arial" w:hAnsi="Arial"/>
          <w:sz w:val="21"/>
          <w:szCs w:val="21"/>
        </w:rPr>
      </w:pPr>
      <w:r>
        <w:rPr>
          <w:rFonts w:ascii="Arial" w:hAnsi="Arial"/>
          <w:sz w:val="21"/>
          <w:szCs w:val="21"/>
        </w:rPr>
        <w:t>使用后停用器械</w:t>
      </w:r>
    </w:p>
    <w:p w14:paraId="58826553">
      <w:pPr>
        <w:numPr>
          <w:ilvl w:val="0"/>
          <w:numId w:val="14"/>
        </w:numPr>
        <w:tabs>
          <w:tab w:val="left" w:pos="1080"/>
        </w:tabs>
        <w:snapToGrid w:val="0"/>
        <w:spacing w:line="300" w:lineRule="auto"/>
        <w:ind w:left="1080" w:hanging="360"/>
        <w:jc w:val="both"/>
        <w:rPr>
          <w:rFonts w:ascii="Arial" w:hAnsi="Arial"/>
          <w:sz w:val="21"/>
          <w:szCs w:val="21"/>
        </w:rPr>
      </w:pPr>
      <w:r>
        <w:rPr>
          <w:rFonts w:ascii="Arial" w:hAnsi="Arial"/>
          <w:sz w:val="21"/>
          <w:szCs w:val="21"/>
        </w:rPr>
        <w:t>预净化程序，如预润滑隔膜</w:t>
      </w:r>
    </w:p>
    <w:p w14:paraId="0EE29DA8">
      <w:pPr>
        <w:numPr>
          <w:ilvl w:val="0"/>
          <w:numId w:val="14"/>
        </w:numPr>
        <w:tabs>
          <w:tab w:val="left" w:pos="1080"/>
        </w:tabs>
        <w:snapToGrid w:val="0"/>
        <w:spacing w:line="300" w:lineRule="auto"/>
        <w:ind w:left="1080" w:hanging="360"/>
        <w:jc w:val="both"/>
        <w:rPr>
          <w:rFonts w:ascii="Arial" w:hAnsi="Arial"/>
          <w:sz w:val="21"/>
          <w:szCs w:val="21"/>
        </w:rPr>
      </w:pPr>
      <w:r>
        <w:rPr>
          <w:rFonts w:ascii="Arial" w:hAnsi="Arial"/>
          <w:sz w:val="21"/>
          <w:szCs w:val="21"/>
        </w:rPr>
        <w:t>安全运输锐器</w:t>
      </w:r>
    </w:p>
    <w:p w14:paraId="5C582C93">
      <w:pPr>
        <w:numPr>
          <w:ilvl w:val="0"/>
          <w:numId w:val="14"/>
        </w:numPr>
        <w:tabs>
          <w:tab w:val="left" w:pos="1080"/>
        </w:tabs>
        <w:snapToGrid w:val="0"/>
        <w:spacing w:line="300" w:lineRule="auto"/>
        <w:ind w:left="1080" w:hanging="360"/>
        <w:jc w:val="both"/>
        <w:rPr>
          <w:rFonts w:ascii="Arial" w:hAnsi="Arial"/>
          <w:sz w:val="21"/>
          <w:szCs w:val="21"/>
        </w:rPr>
      </w:pPr>
      <w:r>
        <w:rPr>
          <w:rFonts w:ascii="Arial" w:hAnsi="Arial"/>
          <w:sz w:val="21"/>
          <w:szCs w:val="21"/>
        </w:rPr>
        <w:t>使用后器械的处理</w:t>
      </w:r>
    </w:p>
    <w:p w14:paraId="43CE5723">
      <w:pPr>
        <w:numPr>
          <w:ilvl w:val="0"/>
          <w:numId w:val="14"/>
        </w:numPr>
        <w:tabs>
          <w:tab w:val="left" w:pos="1080"/>
        </w:tabs>
        <w:snapToGrid w:val="0"/>
        <w:spacing w:line="300" w:lineRule="auto"/>
        <w:ind w:left="1080" w:hanging="360"/>
        <w:jc w:val="both"/>
        <w:rPr>
          <w:rFonts w:ascii="Arial" w:hAnsi="Arial"/>
          <w:sz w:val="21"/>
          <w:szCs w:val="21"/>
        </w:rPr>
      </w:pPr>
      <w:r>
        <w:rPr>
          <w:rFonts w:ascii="Arial" w:hAnsi="Arial"/>
          <w:sz w:val="21"/>
          <w:szCs w:val="21"/>
        </w:rPr>
        <w:t>血液回流可视化</w:t>
      </w:r>
    </w:p>
    <w:p w14:paraId="56FBBD05">
      <w:pPr>
        <w:snapToGrid w:val="0"/>
        <w:spacing w:line="300" w:lineRule="auto"/>
        <w:jc w:val="both"/>
        <w:rPr>
          <w:rFonts w:ascii="Arial" w:hAnsi="Arial"/>
          <w:sz w:val="21"/>
          <w:szCs w:val="21"/>
        </w:rPr>
      </w:pPr>
    </w:p>
    <w:p w14:paraId="35A238DA">
      <w:pPr>
        <w:snapToGrid w:val="0"/>
        <w:spacing w:line="300" w:lineRule="auto"/>
        <w:jc w:val="both"/>
        <w:rPr>
          <w:rFonts w:ascii="Arial" w:hAnsi="Arial"/>
          <w:sz w:val="21"/>
          <w:szCs w:val="21"/>
        </w:rPr>
      </w:pPr>
    </w:p>
    <w:p w14:paraId="409A622A">
      <w:pPr>
        <w:snapToGrid w:val="0"/>
        <w:spacing w:line="300" w:lineRule="auto"/>
        <w:ind w:left="360"/>
        <w:jc w:val="both"/>
        <w:rPr>
          <w:rFonts w:ascii="Arial" w:hAnsi="Arial"/>
          <w:sz w:val="21"/>
          <w:szCs w:val="21"/>
        </w:rPr>
      </w:pPr>
      <w:r>
        <w:rPr>
          <w:rFonts w:ascii="Arial" w:hAnsi="Arial"/>
          <w:sz w:val="21"/>
          <w:szCs w:val="21"/>
        </w:rPr>
        <w:t>我们建议贵公司包含插图、图片、海报、卡片和其他可视物，可以阐明和补充使用说明书。</w:t>
      </w:r>
    </w:p>
    <w:p w14:paraId="62B0904D">
      <w:pPr>
        <w:snapToGrid w:val="0"/>
        <w:spacing w:line="300" w:lineRule="auto"/>
        <w:jc w:val="both"/>
        <w:rPr>
          <w:rFonts w:ascii="Arial" w:hAnsi="Arial"/>
          <w:sz w:val="21"/>
          <w:szCs w:val="21"/>
        </w:rPr>
      </w:pPr>
    </w:p>
    <w:p w14:paraId="23ADD277">
      <w:pPr>
        <w:snapToGrid w:val="0"/>
        <w:spacing w:line="300" w:lineRule="auto"/>
        <w:ind w:left="360"/>
        <w:jc w:val="both"/>
        <w:rPr>
          <w:rFonts w:ascii="Arial" w:hAnsi="Arial"/>
          <w:sz w:val="21"/>
          <w:szCs w:val="21"/>
        </w:rPr>
      </w:pPr>
      <w:r>
        <w:rPr>
          <w:rFonts w:ascii="Arial" w:hAnsi="Arial"/>
          <w:sz w:val="21"/>
          <w:szCs w:val="21"/>
        </w:rPr>
        <w:t>我们也建议贵公司的使用说明书包含确定激活任何主动安全特性的说明。如，如果安全特性是</w:t>
      </w:r>
      <w:r>
        <w:rPr>
          <w:rFonts w:hint="eastAsia" w:ascii="Arial" w:hAnsi="Arial"/>
          <w:sz w:val="21"/>
          <w:szCs w:val="21"/>
        </w:rPr>
        <w:t>有源</w:t>
      </w:r>
      <w:r>
        <w:rPr>
          <w:rFonts w:ascii="Arial" w:hAnsi="Arial"/>
          <w:sz w:val="21"/>
          <w:szCs w:val="21"/>
        </w:rPr>
        <w:t>系统，（如停止机制），则说明中应该指示用户注意听咔哒声以确保器械已激活</w:t>
      </w:r>
    </w:p>
    <w:p w14:paraId="7F0FC03C">
      <w:pPr>
        <w:snapToGrid w:val="0"/>
        <w:spacing w:line="300" w:lineRule="auto"/>
        <w:jc w:val="both"/>
        <w:rPr>
          <w:rFonts w:ascii="Arial" w:hAnsi="Arial"/>
          <w:sz w:val="21"/>
          <w:szCs w:val="21"/>
        </w:rPr>
      </w:pPr>
      <w:r>
        <w:rPr>
          <w:rFonts w:ascii="Arial" w:hAnsi="Arial"/>
          <w:sz w:val="21"/>
          <w:szCs w:val="21"/>
        </w:rPr>
        <mc:AlternateContent>
          <mc:Choice Requires="wps">
            <w:drawing>
              <wp:anchor distT="0" distB="0" distL="114300" distR="114300" simplePos="0" relativeHeight="251661312" behindDoc="1" locked="0" layoutInCell="0" allowOverlap="1">
                <wp:simplePos x="0" y="0"/>
                <wp:positionH relativeFrom="column">
                  <wp:posOffset>0</wp:posOffset>
                </wp:positionH>
                <wp:positionV relativeFrom="paragraph">
                  <wp:posOffset>350520</wp:posOffset>
                </wp:positionV>
                <wp:extent cx="1828800" cy="0"/>
                <wp:effectExtent l="9525" t="7620" r="9525" b="1143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27.6pt;height:0pt;width:144pt;z-index:-251655168;mso-width-relative:page;mso-height-relative:page;" filled="f" stroked="t" coordsize="21600,21600" o:allowincell="f" o:gfxdata="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icofu0wAAAAYBAAAP&#10;AAAAAAAAAAEAIAAAACIAAABkcnMvZG93bnJldi54bWxQSwECFAAUAAAACACHTuJA8Mwm5OQBAACq&#10;AwAADgAAAAAAAAABACAAAAAiAQAAZHJzL2Uyb0RvYy54bWxQSwUGAAAAAAYABgBZAQAAeAUAAAAA&#10;">
                <v:fill on="f" focussize="0,0"/>
                <v:stroke color="#000000" joinstyle="round"/>
                <v:imagedata o:title=""/>
                <o:lock v:ext="edit" aspectratio="f"/>
              </v:line>
            </w:pict>
          </mc:Fallback>
        </mc:AlternateContent>
      </w:r>
    </w:p>
    <w:p w14:paraId="210B2F9B">
      <w:pPr>
        <w:snapToGrid w:val="0"/>
        <w:spacing w:line="300" w:lineRule="auto"/>
        <w:jc w:val="both"/>
        <w:rPr>
          <w:rFonts w:ascii="Arial" w:hAnsi="Arial"/>
          <w:sz w:val="21"/>
          <w:szCs w:val="21"/>
        </w:rPr>
      </w:pPr>
    </w:p>
    <w:p w14:paraId="1D653B0C">
      <w:pPr>
        <w:snapToGrid w:val="0"/>
        <w:spacing w:line="300" w:lineRule="auto"/>
        <w:jc w:val="both"/>
        <w:rPr>
          <w:rFonts w:ascii="Arial" w:hAnsi="Arial"/>
          <w:sz w:val="21"/>
          <w:szCs w:val="21"/>
        </w:rPr>
      </w:pPr>
    </w:p>
    <w:p w14:paraId="6A4D3F9D">
      <w:pPr>
        <w:snapToGrid w:val="0"/>
        <w:spacing w:line="300" w:lineRule="auto"/>
        <w:jc w:val="both"/>
        <w:rPr>
          <w:rFonts w:ascii="Arial" w:hAnsi="Arial"/>
          <w:sz w:val="21"/>
          <w:szCs w:val="21"/>
        </w:rPr>
      </w:pPr>
      <w:r>
        <w:rPr>
          <w:rFonts w:ascii="Arial" w:hAnsi="Arial"/>
          <w:sz w:val="21"/>
          <w:szCs w:val="21"/>
          <w:vertAlign w:val="superscript"/>
        </w:rPr>
        <w:t>6</w:t>
      </w:r>
      <w:r>
        <w:rPr>
          <w:rFonts w:ascii="Arial" w:hAnsi="Arial"/>
          <w:sz w:val="21"/>
          <w:szCs w:val="21"/>
        </w:rPr>
        <w:t xml:space="preserve"> 尽管510（k）的批准不需要最终标签，但在将器械引入洲际贸易前，最终标签必须符合21 CFR  801部分的要求。此外，处方器械的最终标签必须符合21 CFR 801.109。本指南中的标签建议符合801部分的要求。</w:t>
      </w:r>
    </w:p>
    <w:p w14:paraId="1AF3FFC7">
      <w:pPr>
        <w:snapToGrid w:val="0"/>
        <w:spacing w:line="300" w:lineRule="auto"/>
        <w:jc w:val="both"/>
        <w:rPr>
          <w:rFonts w:ascii="Arial" w:hAnsi="Arial"/>
          <w:sz w:val="21"/>
          <w:szCs w:val="21"/>
        </w:rPr>
      </w:pPr>
      <w:r>
        <w:rPr>
          <w:rFonts w:ascii="Arial" w:hAnsi="Arial"/>
          <w:sz w:val="21"/>
          <w:szCs w:val="21"/>
        </w:rPr>
        <w:br w:type="page"/>
      </w:r>
    </w:p>
    <w:p w14:paraId="28371A0B">
      <w:pPr>
        <w:snapToGrid w:val="0"/>
        <w:spacing w:line="300" w:lineRule="auto"/>
        <w:jc w:val="both"/>
        <w:rPr>
          <w:rFonts w:ascii="Arial" w:hAnsi="Arial"/>
          <w:b/>
          <w:sz w:val="24"/>
          <w:szCs w:val="24"/>
        </w:rPr>
      </w:pPr>
      <w:r>
        <w:rPr>
          <w:rFonts w:ascii="Arial" w:hAnsi="Arial"/>
          <w:b/>
          <w:sz w:val="24"/>
          <w:szCs w:val="24"/>
        </w:rPr>
        <w:t>预防措施</w:t>
      </w:r>
    </w:p>
    <w:p w14:paraId="6E343BA8">
      <w:pPr>
        <w:snapToGrid w:val="0"/>
        <w:spacing w:line="300" w:lineRule="auto"/>
        <w:jc w:val="both"/>
        <w:rPr>
          <w:rFonts w:ascii="Arial" w:hAnsi="Arial"/>
          <w:sz w:val="21"/>
          <w:szCs w:val="21"/>
        </w:rPr>
      </w:pPr>
    </w:p>
    <w:p w14:paraId="53A1F9D1">
      <w:pPr>
        <w:snapToGrid w:val="0"/>
        <w:spacing w:line="300" w:lineRule="auto"/>
        <w:jc w:val="both"/>
        <w:rPr>
          <w:rFonts w:ascii="Arial" w:hAnsi="Arial"/>
          <w:sz w:val="21"/>
          <w:szCs w:val="21"/>
        </w:rPr>
      </w:pPr>
      <w:r>
        <w:rPr>
          <w:rFonts w:ascii="Arial" w:hAnsi="Arial"/>
          <w:sz w:val="21"/>
          <w:szCs w:val="21"/>
        </w:rPr>
        <w:t>我们建议标签包含与手的尺寸或灵敏度相关的任何特殊局限性。</w:t>
      </w:r>
    </w:p>
    <w:p w14:paraId="42233ABC">
      <w:pPr>
        <w:snapToGrid w:val="0"/>
        <w:spacing w:line="300" w:lineRule="auto"/>
        <w:jc w:val="both"/>
        <w:rPr>
          <w:rFonts w:ascii="Arial" w:hAnsi="Arial"/>
          <w:sz w:val="21"/>
          <w:szCs w:val="21"/>
        </w:rPr>
      </w:pPr>
    </w:p>
    <w:p w14:paraId="6C5CD058">
      <w:pPr>
        <w:snapToGrid w:val="0"/>
        <w:spacing w:line="300" w:lineRule="auto"/>
        <w:jc w:val="both"/>
        <w:rPr>
          <w:rFonts w:ascii="Arial" w:hAnsi="Arial"/>
          <w:b/>
          <w:sz w:val="24"/>
          <w:szCs w:val="24"/>
        </w:rPr>
      </w:pPr>
      <w:r>
        <w:rPr>
          <w:rFonts w:ascii="Arial" w:hAnsi="Arial"/>
          <w:b/>
          <w:sz w:val="24"/>
          <w:szCs w:val="24"/>
        </w:rPr>
        <w:t>警告</w:t>
      </w:r>
    </w:p>
    <w:p w14:paraId="7813BA61">
      <w:pPr>
        <w:snapToGrid w:val="0"/>
        <w:spacing w:line="300" w:lineRule="auto"/>
        <w:jc w:val="both"/>
        <w:rPr>
          <w:rFonts w:ascii="Arial" w:hAnsi="Arial"/>
          <w:sz w:val="21"/>
          <w:szCs w:val="21"/>
        </w:rPr>
      </w:pPr>
    </w:p>
    <w:p w14:paraId="6706E120">
      <w:pPr>
        <w:snapToGrid w:val="0"/>
        <w:spacing w:line="300" w:lineRule="auto"/>
        <w:jc w:val="both"/>
        <w:rPr>
          <w:rFonts w:ascii="Arial" w:hAnsi="Arial"/>
          <w:sz w:val="21"/>
          <w:szCs w:val="21"/>
        </w:rPr>
      </w:pPr>
      <w:r>
        <w:rPr>
          <w:rFonts w:ascii="Arial" w:hAnsi="Arial"/>
          <w:sz w:val="21"/>
          <w:szCs w:val="21"/>
        </w:rPr>
        <w:t>我们建议标签警告当断开组件时，可能出现流体泄漏。</w:t>
      </w:r>
    </w:p>
    <w:p w14:paraId="446FC372">
      <w:pPr>
        <w:snapToGrid w:val="0"/>
        <w:spacing w:line="300" w:lineRule="auto"/>
        <w:jc w:val="both"/>
        <w:rPr>
          <w:rFonts w:ascii="Arial" w:hAnsi="Arial"/>
          <w:sz w:val="21"/>
          <w:szCs w:val="21"/>
        </w:rPr>
      </w:pPr>
    </w:p>
    <w:p w14:paraId="11D2CCB7">
      <w:pPr>
        <w:snapToGrid w:val="0"/>
        <w:spacing w:line="300" w:lineRule="auto"/>
        <w:jc w:val="both"/>
        <w:rPr>
          <w:rFonts w:ascii="Arial" w:hAnsi="Arial"/>
          <w:b/>
          <w:sz w:val="24"/>
          <w:szCs w:val="24"/>
        </w:rPr>
      </w:pPr>
      <w:r>
        <w:rPr>
          <w:rFonts w:ascii="Arial" w:hAnsi="Arial"/>
          <w:b/>
          <w:sz w:val="24"/>
          <w:szCs w:val="24"/>
        </w:rPr>
        <w:t>器械说明</w:t>
      </w:r>
    </w:p>
    <w:p w14:paraId="5FD19DDA">
      <w:pPr>
        <w:snapToGrid w:val="0"/>
        <w:spacing w:line="300" w:lineRule="auto"/>
        <w:jc w:val="both"/>
        <w:rPr>
          <w:rFonts w:ascii="Arial" w:hAnsi="Arial"/>
          <w:sz w:val="21"/>
          <w:szCs w:val="21"/>
        </w:rPr>
      </w:pPr>
    </w:p>
    <w:p w14:paraId="5A2969DE">
      <w:pPr>
        <w:snapToGrid w:val="0"/>
        <w:spacing w:line="300" w:lineRule="auto"/>
        <w:jc w:val="both"/>
        <w:rPr>
          <w:rFonts w:ascii="Arial" w:hAnsi="Arial"/>
          <w:sz w:val="21"/>
          <w:szCs w:val="21"/>
        </w:rPr>
      </w:pPr>
      <w:r>
        <w:rPr>
          <w:rFonts w:ascii="Arial" w:hAnsi="Arial"/>
          <w:sz w:val="21"/>
          <w:szCs w:val="21"/>
        </w:rPr>
        <w:t>我们建议说明中包含器械是否是：</w:t>
      </w:r>
    </w:p>
    <w:p w14:paraId="767486B2">
      <w:pPr>
        <w:snapToGrid w:val="0"/>
        <w:spacing w:line="300" w:lineRule="auto"/>
        <w:jc w:val="both"/>
        <w:rPr>
          <w:rFonts w:ascii="Arial" w:hAnsi="Arial"/>
          <w:sz w:val="21"/>
          <w:szCs w:val="21"/>
        </w:rPr>
      </w:pPr>
    </w:p>
    <w:p w14:paraId="6598CE93">
      <w:pPr>
        <w:numPr>
          <w:ilvl w:val="0"/>
          <w:numId w:val="15"/>
        </w:numPr>
        <w:tabs>
          <w:tab w:val="left" w:pos="720"/>
        </w:tabs>
        <w:snapToGrid w:val="0"/>
        <w:spacing w:line="300" w:lineRule="auto"/>
        <w:ind w:left="720" w:hanging="360"/>
        <w:jc w:val="both"/>
        <w:rPr>
          <w:rFonts w:ascii="Arial" w:hAnsi="Arial"/>
          <w:sz w:val="21"/>
          <w:szCs w:val="21"/>
        </w:rPr>
      </w:pPr>
      <w:r>
        <w:rPr>
          <w:rFonts w:ascii="Arial" w:hAnsi="Arial"/>
          <w:sz w:val="21"/>
          <w:szCs w:val="21"/>
        </w:rPr>
        <w:t>仅适用于单次使用、无毒、无热源流体路径（如适用）</w:t>
      </w:r>
    </w:p>
    <w:p w14:paraId="242AB57D">
      <w:pPr>
        <w:numPr>
          <w:ilvl w:val="0"/>
          <w:numId w:val="15"/>
        </w:numPr>
        <w:tabs>
          <w:tab w:val="left" w:pos="720"/>
        </w:tabs>
        <w:snapToGrid w:val="0"/>
        <w:spacing w:line="300" w:lineRule="auto"/>
        <w:ind w:left="720" w:hanging="360"/>
        <w:jc w:val="both"/>
        <w:rPr>
          <w:rFonts w:ascii="Arial" w:hAnsi="Arial"/>
          <w:sz w:val="21"/>
          <w:szCs w:val="21"/>
        </w:rPr>
      </w:pPr>
      <w:r>
        <w:rPr>
          <w:rFonts w:ascii="Arial" w:hAnsi="Arial"/>
          <w:sz w:val="21"/>
          <w:szCs w:val="21"/>
        </w:rPr>
        <w:t>无菌，如果包装完整、未损坏且保护帽是安全的。</w:t>
      </w:r>
    </w:p>
    <w:p w14:paraId="79315562">
      <w:pPr>
        <w:snapToGrid w:val="0"/>
        <w:spacing w:line="300" w:lineRule="auto"/>
        <w:jc w:val="both"/>
        <w:rPr>
          <w:rFonts w:ascii="Arial" w:hAnsi="Arial"/>
          <w:sz w:val="21"/>
          <w:szCs w:val="21"/>
        </w:rPr>
      </w:pPr>
    </w:p>
    <w:p w14:paraId="79C26C7C">
      <w:pPr>
        <w:snapToGrid w:val="0"/>
        <w:spacing w:line="300" w:lineRule="auto"/>
        <w:jc w:val="both"/>
        <w:rPr>
          <w:rFonts w:ascii="Arial" w:hAnsi="Arial"/>
          <w:b/>
          <w:sz w:val="24"/>
          <w:szCs w:val="24"/>
        </w:rPr>
      </w:pPr>
      <w:r>
        <w:rPr>
          <w:rFonts w:ascii="Arial" w:hAnsi="Arial"/>
          <w:b/>
          <w:sz w:val="24"/>
          <w:szCs w:val="24"/>
        </w:rPr>
        <w:t>附件</w:t>
      </w:r>
    </w:p>
    <w:p w14:paraId="0FF4DB28">
      <w:pPr>
        <w:snapToGrid w:val="0"/>
        <w:spacing w:line="300" w:lineRule="auto"/>
        <w:jc w:val="both"/>
        <w:rPr>
          <w:rFonts w:ascii="Arial" w:hAnsi="Arial"/>
          <w:sz w:val="21"/>
          <w:szCs w:val="21"/>
        </w:rPr>
      </w:pPr>
    </w:p>
    <w:p w14:paraId="3A8A3852">
      <w:pPr>
        <w:snapToGrid w:val="0"/>
        <w:spacing w:line="300" w:lineRule="auto"/>
        <w:jc w:val="both"/>
        <w:rPr>
          <w:rFonts w:ascii="Arial" w:hAnsi="Arial"/>
          <w:sz w:val="21"/>
          <w:szCs w:val="21"/>
        </w:rPr>
      </w:pPr>
      <w:r>
        <w:rPr>
          <w:rFonts w:ascii="Arial" w:hAnsi="Arial"/>
          <w:sz w:val="21"/>
          <w:szCs w:val="21"/>
        </w:rPr>
        <w:t>除以上信息外，我们建议附件的标签：</w:t>
      </w:r>
    </w:p>
    <w:p w14:paraId="21A10288">
      <w:pPr>
        <w:snapToGrid w:val="0"/>
        <w:spacing w:line="300" w:lineRule="auto"/>
        <w:jc w:val="both"/>
        <w:rPr>
          <w:rFonts w:ascii="Arial" w:hAnsi="Arial"/>
          <w:sz w:val="21"/>
          <w:szCs w:val="21"/>
        </w:rPr>
      </w:pPr>
    </w:p>
    <w:p w14:paraId="22C3D691">
      <w:pPr>
        <w:numPr>
          <w:ilvl w:val="0"/>
          <w:numId w:val="16"/>
        </w:numPr>
        <w:tabs>
          <w:tab w:val="left" w:pos="720"/>
        </w:tabs>
        <w:snapToGrid w:val="0"/>
        <w:spacing w:line="300" w:lineRule="auto"/>
        <w:ind w:left="720" w:hanging="360"/>
        <w:jc w:val="both"/>
        <w:rPr>
          <w:rFonts w:ascii="Arial" w:hAnsi="Arial"/>
          <w:sz w:val="21"/>
          <w:szCs w:val="21"/>
        </w:rPr>
      </w:pPr>
      <w:r>
        <w:rPr>
          <w:rFonts w:ascii="Arial" w:hAnsi="Arial"/>
          <w:sz w:val="21"/>
          <w:szCs w:val="21"/>
        </w:rPr>
        <w:t>确定与附件匹配的具体器械（如，商品名和/或注射器型号、器械规格）</w:t>
      </w:r>
    </w:p>
    <w:p w14:paraId="0658DC25">
      <w:pPr>
        <w:numPr>
          <w:ilvl w:val="0"/>
          <w:numId w:val="16"/>
        </w:numPr>
        <w:tabs>
          <w:tab w:val="left" w:pos="720"/>
        </w:tabs>
        <w:snapToGrid w:val="0"/>
        <w:spacing w:line="300" w:lineRule="auto"/>
        <w:ind w:left="720" w:hanging="360"/>
        <w:jc w:val="both"/>
        <w:rPr>
          <w:rFonts w:ascii="Arial" w:hAnsi="Arial"/>
          <w:sz w:val="21"/>
          <w:szCs w:val="21"/>
        </w:rPr>
      </w:pPr>
      <w:r>
        <w:rPr>
          <w:rFonts w:ascii="Arial" w:hAnsi="Arial"/>
          <w:sz w:val="21"/>
          <w:szCs w:val="21"/>
        </w:rPr>
        <w:t>说明将防锐器损伤附件连接至器械</w:t>
      </w:r>
      <w:r>
        <w:rPr>
          <w:rFonts w:hint="eastAsia" w:ascii="Arial" w:hAnsi="Arial"/>
          <w:sz w:val="21"/>
          <w:szCs w:val="21"/>
        </w:rPr>
        <w:t>的方法</w:t>
      </w:r>
    </w:p>
    <w:p w14:paraId="3DB54986">
      <w:pPr>
        <w:numPr>
          <w:ilvl w:val="0"/>
          <w:numId w:val="16"/>
        </w:numPr>
        <w:tabs>
          <w:tab w:val="left" w:pos="720"/>
        </w:tabs>
        <w:snapToGrid w:val="0"/>
        <w:spacing w:line="300" w:lineRule="auto"/>
        <w:ind w:left="720" w:hanging="360"/>
        <w:jc w:val="both"/>
        <w:rPr>
          <w:rFonts w:ascii="Arial" w:hAnsi="Arial"/>
          <w:sz w:val="21"/>
          <w:szCs w:val="21"/>
        </w:rPr>
      </w:pPr>
      <w:r>
        <w:rPr>
          <w:rFonts w:ascii="Arial" w:hAnsi="Arial"/>
          <w:sz w:val="21"/>
          <w:szCs w:val="21"/>
        </w:rPr>
        <w:t>说明处理使用后的器械</w:t>
      </w:r>
      <w:r>
        <w:rPr>
          <w:rFonts w:hint="eastAsia" w:ascii="Arial" w:hAnsi="Arial"/>
          <w:sz w:val="21"/>
          <w:szCs w:val="21"/>
        </w:rPr>
        <w:t>的方法</w:t>
      </w:r>
      <w:r>
        <w:rPr>
          <w:rFonts w:ascii="Arial" w:hAnsi="Arial"/>
          <w:sz w:val="21"/>
          <w:szCs w:val="21"/>
        </w:rPr>
        <w:t>。</w:t>
      </w:r>
    </w:p>
    <w:p w14:paraId="197D1A26">
      <w:pPr>
        <w:snapToGrid w:val="0"/>
        <w:spacing w:line="300" w:lineRule="auto"/>
        <w:jc w:val="both"/>
        <w:rPr>
          <w:rFonts w:ascii="Arial" w:hAnsi="Arial"/>
          <w:sz w:val="21"/>
          <w:szCs w:val="21"/>
        </w:rPr>
      </w:pPr>
      <w:r>
        <w:rPr>
          <w:rFonts w:ascii="Arial" w:hAnsi="Arial"/>
          <w:sz w:val="21"/>
          <w:szCs w:val="21"/>
        </w:rPr>
        <w:br w:type="page"/>
      </w:r>
    </w:p>
    <w:p w14:paraId="0F71271C">
      <w:pPr>
        <w:snapToGrid w:val="0"/>
        <w:spacing w:line="300" w:lineRule="auto"/>
        <w:jc w:val="both"/>
        <w:outlineLvl w:val="0"/>
        <w:rPr>
          <w:rFonts w:ascii="Arial" w:hAnsi="Arial"/>
          <w:b/>
          <w:sz w:val="36"/>
          <w:szCs w:val="36"/>
        </w:rPr>
      </w:pPr>
      <w:bookmarkStart w:id="17" w:name="_Toc481741702"/>
      <w:r>
        <w:rPr>
          <w:rFonts w:ascii="Arial" w:hAnsi="Arial"/>
          <w:b/>
          <w:sz w:val="36"/>
          <w:szCs w:val="36"/>
        </w:rPr>
        <w:t>附录 I. 缩写</w:t>
      </w:r>
      <w:bookmarkEnd w:id="17"/>
    </w:p>
    <w:p w14:paraId="6A817277">
      <w:pPr>
        <w:snapToGrid w:val="0"/>
        <w:spacing w:line="300" w:lineRule="auto"/>
        <w:jc w:val="both"/>
        <w:rPr>
          <w:rFonts w:ascii="Arial" w:hAnsi="Arial"/>
          <w:sz w:val="21"/>
          <w:szCs w:val="21"/>
        </w:rPr>
      </w:pPr>
    </w:p>
    <w:tbl>
      <w:tblPr>
        <w:tblStyle w:val="6"/>
        <w:tblW w:w="0" w:type="auto"/>
        <w:tblInd w:w="0" w:type="dxa"/>
        <w:tblLayout w:type="fixed"/>
        <w:tblCellMar>
          <w:top w:w="0" w:type="dxa"/>
          <w:left w:w="0" w:type="dxa"/>
          <w:bottom w:w="0" w:type="dxa"/>
          <w:right w:w="0" w:type="dxa"/>
        </w:tblCellMar>
      </w:tblPr>
      <w:tblGrid>
        <w:gridCol w:w="1460"/>
        <w:gridCol w:w="7380"/>
      </w:tblGrid>
      <w:tr w14:paraId="6AEAF667">
        <w:tblPrEx>
          <w:tblCellMar>
            <w:top w:w="0" w:type="dxa"/>
            <w:left w:w="0" w:type="dxa"/>
            <w:bottom w:w="0" w:type="dxa"/>
            <w:right w:w="0" w:type="dxa"/>
          </w:tblCellMar>
        </w:tblPrEx>
        <w:tc>
          <w:tcPr>
            <w:tcW w:w="1460" w:type="dxa"/>
            <w:tcBorders>
              <w:top w:val="single" w:color="auto" w:sz="2" w:space="0"/>
              <w:left w:val="single" w:color="auto" w:sz="2" w:space="0"/>
              <w:bottom w:val="single" w:color="auto" w:sz="2" w:space="0"/>
              <w:right w:val="single" w:color="auto" w:sz="8" w:space="0"/>
            </w:tcBorders>
            <w:shd w:val="clear" w:color="auto" w:fill="auto"/>
            <w:vAlign w:val="bottom"/>
          </w:tcPr>
          <w:p w14:paraId="2557CC47">
            <w:pPr>
              <w:snapToGrid w:val="0"/>
              <w:spacing w:before="46" w:beforeLines="15" w:after="46" w:afterLines="15" w:line="280" w:lineRule="exact"/>
              <w:ind w:left="120"/>
              <w:jc w:val="both"/>
              <w:rPr>
                <w:rFonts w:ascii="Arial" w:hAnsi="Arial"/>
                <w:sz w:val="21"/>
                <w:szCs w:val="21"/>
              </w:rPr>
            </w:pPr>
            <w:r>
              <w:rPr>
                <w:rFonts w:ascii="Arial" w:hAnsi="Arial"/>
                <w:sz w:val="21"/>
                <w:szCs w:val="21"/>
              </w:rPr>
              <w:t>AAMI</w:t>
            </w:r>
          </w:p>
        </w:tc>
        <w:tc>
          <w:tcPr>
            <w:tcW w:w="7380" w:type="dxa"/>
            <w:tcBorders>
              <w:top w:val="single" w:color="auto" w:sz="2" w:space="0"/>
              <w:bottom w:val="single" w:color="auto" w:sz="2" w:space="0"/>
              <w:right w:val="single" w:color="auto" w:sz="2" w:space="0"/>
            </w:tcBorders>
            <w:shd w:val="clear" w:color="auto" w:fill="auto"/>
            <w:vAlign w:val="bottom"/>
          </w:tcPr>
          <w:p w14:paraId="46BC75E8">
            <w:pPr>
              <w:snapToGrid w:val="0"/>
              <w:spacing w:before="46" w:beforeLines="15" w:after="46" w:afterLines="15" w:line="280" w:lineRule="exact"/>
              <w:ind w:left="100"/>
              <w:jc w:val="both"/>
              <w:rPr>
                <w:rFonts w:ascii="Arial" w:hAnsi="Arial"/>
                <w:sz w:val="21"/>
                <w:szCs w:val="21"/>
              </w:rPr>
            </w:pPr>
            <w:r>
              <w:rPr>
                <w:rFonts w:ascii="Arial" w:hAnsi="Arial"/>
                <w:sz w:val="21"/>
                <w:szCs w:val="21"/>
              </w:rPr>
              <w:t>医疗器械促进协会</w:t>
            </w:r>
          </w:p>
        </w:tc>
      </w:tr>
      <w:tr w14:paraId="20AF410C">
        <w:tblPrEx>
          <w:tblCellMar>
            <w:top w:w="0" w:type="dxa"/>
            <w:left w:w="0" w:type="dxa"/>
            <w:bottom w:w="0" w:type="dxa"/>
            <w:right w:w="0" w:type="dxa"/>
          </w:tblCellMar>
        </w:tblPrEx>
        <w:tc>
          <w:tcPr>
            <w:tcW w:w="1460" w:type="dxa"/>
            <w:tcBorders>
              <w:top w:val="single" w:color="auto" w:sz="2" w:space="0"/>
              <w:left w:val="single" w:color="auto" w:sz="8" w:space="0"/>
              <w:bottom w:val="single" w:color="auto" w:sz="8" w:space="0"/>
              <w:right w:val="single" w:color="auto" w:sz="8" w:space="0"/>
            </w:tcBorders>
            <w:shd w:val="clear" w:color="auto" w:fill="auto"/>
            <w:vAlign w:val="bottom"/>
          </w:tcPr>
          <w:p w14:paraId="1AADAAA1">
            <w:pPr>
              <w:snapToGrid w:val="0"/>
              <w:spacing w:before="46" w:beforeLines="15" w:after="46" w:afterLines="15" w:line="280" w:lineRule="exact"/>
              <w:ind w:left="120"/>
              <w:jc w:val="both"/>
              <w:rPr>
                <w:rFonts w:ascii="Arial" w:hAnsi="Arial"/>
                <w:sz w:val="21"/>
                <w:szCs w:val="21"/>
              </w:rPr>
            </w:pPr>
            <w:r>
              <w:rPr>
                <w:rFonts w:ascii="Arial" w:hAnsi="Arial"/>
                <w:sz w:val="21"/>
                <w:szCs w:val="21"/>
              </w:rPr>
              <w:t>ANSI</w:t>
            </w:r>
          </w:p>
        </w:tc>
        <w:tc>
          <w:tcPr>
            <w:tcW w:w="7380" w:type="dxa"/>
            <w:tcBorders>
              <w:top w:val="single" w:color="auto" w:sz="2" w:space="0"/>
              <w:bottom w:val="single" w:color="auto" w:sz="8" w:space="0"/>
              <w:right w:val="single" w:color="auto" w:sz="8" w:space="0"/>
            </w:tcBorders>
            <w:shd w:val="clear" w:color="auto" w:fill="auto"/>
            <w:vAlign w:val="bottom"/>
          </w:tcPr>
          <w:p w14:paraId="03183998">
            <w:pPr>
              <w:snapToGrid w:val="0"/>
              <w:spacing w:before="46" w:beforeLines="15" w:after="46" w:afterLines="15" w:line="280" w:lineRule="exact"/>
              <w:ind w:left="100"/>
              <w:jc w:val="both"/>
              <w:rPr>
                <w:rFonts w:ascii="Arial" w:hAnsi="Arial"/>
                <w:sz w:val="21"/>
                <w:szCs w:val="21"/>
              </w:rPr>
            </w:pPr>
            <w:r>
              <w:rPr>
                <w:rFonts w:ascii="Arial" w:hAnsi="Arial"/>
                <w:sz w:val="21"/>
                <w:szCs w:val="21"/>
              </w:rPr>
              <w:t>美国国家标准协会</w:t>
            </w:r>
          </w:p>
        </w:tc>
      </w:tr>
      <w:tr w14:paraId="0366AEA2">
        <w:tblPrEx>
          <w:tblCellMar>
            <w:top w:w="0" w:type="dxa"/>
            <w:left w:w="0" w:type="dxa"/>
            <w:bottom w:w="0" w:type="dxa"/>
            <w:right w:w="0" w:type="dxa"/>
          </w:tblCellMar>
        </w:tblPrEx>
        <w:tc>
          <w:tcPr>
            <w:tcW w:w="1460" w:type="dxa"/>
            <w:tcBorders>
              <w:left w:val="single" w:color="auto" w:sz="8" w:space="0"/>
              <w:bottom w:val="single" w:color="auto" w:sz="8" w:space="0"/>
              <w:right w:val="single" w:color="auto" w:sz="8" w:space="0"/>
            </w:tcBorders>
            <w:shd w:val="clear" w:color="auto" w:fill="auto"/>
            <w:vAlign w:val="bottom"/>
          </w:tcPr>
          <w:p w14:paraId="70FBC57D">
            <w:pPr>
              <w:snapToGrid w:val="0"/>
              <w:spacing w:before="46" w:beforeLines="15" w:after="46" w:afterLines="15" w:line="280" w:lineRule="exact"/>
              <w:ind w:left="120"/>
              <w:jc w:val="both"/>
              <w:rPr>
                <w:rFonts w:ascii="Arial" w:hAnsi="Arial"/>
                <w:sz w:val="21"/>
                <w:szCs w:val="21"/>
              </w:rPr>
            </w:pPr>
            <w:r>
              <w:rPr>
                <w:rFonts w:ascii="Arial" w:hAnsi="Arial"/>
                <w:sz w:val="21"/>
                <w:szCs w:val="21"/>
              </w:rPr>
              <w:t>ASTM</w:t>
            </w:r>
          </w:p>
        </w:tc>
        <w:tc>
          <w:tcPr>
            <w:tcW w:w="7380" w:type="dxa"/>
            <w:tcBorders>
              <w:bottom w:val="single" w:color="auto" w:sz="8" w:space="0"/>
              <w:right w:val="single" w:color="auto" w:sz="8" w:space="0"/>
            </w:tcBorders>
            <w:shd w:val="clear" w:color="auto" w:fill="auto"/>
            <w:vAlign w:val="bottom"/>
          </w:tcPr>
          <w:p w14:paraId="0944E7AF">
            <w:pPr>
              <w:snapToGrid w:val="0"/>
              <w:spacing w:before="46" w:beforeLines="15" w:after="46" w:afterLines="15" w:line="280" w:lineRule="exact"/>
              <w:ind w:left="100"/>
              <w:jc w:val="both"/>
              <w:rPr>
                <w:rFonts w:ascii="Arial" w:hAnsi="Arial"/>
                <w:sz w:val="21"/>
                <w:szCs w:val="21"/>
              </w:rPr>
            </w:pPr>
            <w:r>
              <w:rPr>
                <w:rFonts w:ascii="Arial" w:hAnsi="Arial"/>
                <w:sz w:val="21"/>
                <w:szCs w:val="21"/>
              </w:rPr>
              <w:t>美国材料试验协会</w:t>
            </w:r>
          </w:p>
        </w:tc>
      </w:tr>
      <w:tr w14:paraId="36E6343B">
        <w:tblPrEx>
          <w:tblCellMar>
            <w:top w:w="0" w:type="dxa"/>
            <w:left w:w="0" w:type="dxa"/>
            <w:bottom w:w="0" w:type="dxa"/>
            <w:right w:w="0" w:type="dxa"/>
          </w:tblCellMar>
        </w:tblPrEx>
        <w:tc>
          <w:tcPr>
            <w:tcW w:w="1460" w:type="dxa"/>
            <w:tcBorders>
              <w:left w:val="single" w:color="auto" w:sz="8" w:space="0"/>
              <w:bottom w:val="single" w:color="auto" w:sz="8" w:space="0"/>
              <w:right w:val="single" w:color="auto" w:sz="8" w:space="0"/>
            </w:tcBorders>
            <w:shd w:val="clear" w:color="auto" w:fill="auto"/>
            <w:vAlign w:val="bottom"/>
          </w:tcPr>
          <w:p w14:paraId="23C3D502">
            <w:pPr>
              <w:snapToGrid w:val="0"/>
              <w:spacing w:before="46" w:beforeLines="15" w:after="46" w:afterLines="15" w:line="280" w:lineRule="exact"/>
              <w:ind w:left="120"/>
              <w:jc w:val="both"/>
              <w:rPr>
                <w:rFonts w:ascii="Arial" w:hAnsi="Arial"/>
                <w:sz w:val="21"/>
                <w:szCs w:val="21"/>
              </w:rPr>
            </w:pPr>
            <w:r>
              <w:rPr>
                <w:rFonts w:ascii="Arial" w:hAnsi="Arial"/>
                <w:sz w:val="21"/>
                <w:szCs w:val="21"/>
              </w:rPr>
              <w:t>CDC</w:t>
            </w:r>
          </w:p>
        </w:tc>
        <w:tc>
          <w:tcPr>
            <w:tcW w:w="7380" w:type="dxa"/>
            <w:tcBorders>
              <w:bottom w:val="single" w:color="auto" w:sz="8" w:space="0"/>
              <w:right w:val="single" w:color="auto" w:sz="8" w:space="0"/>
            </w:tcBorders>
            <w:shd w:val="clear" w:color="auto" w:fill="auto"/>
            <w:vAlign w:val="bottom"/>
          </w:tcPr>
          <w:p w14:paraId="52F79BAA">
            <w:pPr>
              <w:snapToGrid w:val="0"/>
              <w:spacing w:before="46" w:beforeLines="15" w:after="46" w:afterLines="15" w:line="280" w:lineRule="exact"/>
              <w:ind w:left="100"/>
              <w:jc w:val="both"/>
              <w:rPr>
                <w:rFonts w:ascii="Arial" w:hAnsi="Arial"/>
                <w:sz w:val="21"/>
                <w:szCs w:val="21"/>
              </w:rPr>
            </w:pPr>
            <w:r>
              <w:rPr>
                <w:rFonts w:ascii="Arial" w:hAnsi="Arial"/>
                <w:sz w:val="21"/>
                <w:szCs w:val="21"/>
              </w:rPr>
              <w:t>疾病控制与预防中心</w:t>
            </w:r>
          </w:p>
        </w:tc>
      </w:tr>
      <w:tr w14:paraId="1F6AAF81">
        <w:tblPrEx>
          <w:tblCellMar>
            <w:top w:w="0" w:type="dxa"/>
            <w:left w:w="0" w:type="dxa"/>
            <w:bottom w:w="0" w:type="dxa"/>
            <w:right w:w="0" w:type="dxa"/>
          </w:tblCellMar>
        </w:tblPrEx>
        <w:tc>
          <w:tcPr>
            <w:tcW w:w="1460" w:type="dxa"/>
            <w:tcBorders>
              <w:left w:val="single" w:color="auto" w:sz="8" w:space="0"/>
              <w:bottom w:val="single" w:color="auto" w:sz="8" w:space="0"/>
              <w:right w:val="single" w:color="auto" w:sz="8" w:space="0"/>
            </w:tcBorders>
            <w:shd w:val="clear" w:color="auto" w:fill="auto"/>
            <w:vAlign w:val="bottom"/>
          </w:tcPr>
          <w:p w14:paraId="5DA08F64">
            <w:pPr>
              <w:snapToGrid w:val="0"/>
              <w:spacing w:before="46" w:beforeLines="15" w:after="46" w:afterLines="15" w:line="280" w:lineRule="exact"/>
              <w:ind w:left="120"/>
              <w:jc w:val="both"/>
              <w:rPr>
                <w:rFonts w:ascii="Arial" w:hAnsi="Arial"/>
                <w:sz w:val="21"/>
                <w:szCs w:val="21"/>
              </w:rPr>
            </w:pPr>
            <w:r>
              <w:rPr>
                <w:rFonts w:ascii="Arial" w:hAnsi="Arial"/>
                <w:sz w:val="21"/>
                <w:szCs w:val="21"/>
              </w:rPr>
              <w:t>CDRH</w:t>
            </w:r>
          </w:p>
        </w:tc>
        <w:tc>
          <w:tcPr>
            <w:tcW w:w="7380" w:type="dxa"/>
            <w:tcBorders>
              <w:bottom w:val="single" w:color="auto" w:sz="8" w:space="0"/>
              <w:right w:val="single" w:color="auto" w:sz="8" w:space="0"/>
            </w:tcBorders>
            <w:shd w:val="clear" w:color="auto" w:fill="auto"/>
            <w:vAlign w:val="bottom"/>
          </w:tcPr>
          <w:p w14:paraId="16AE571F">
            <w:pPr>
              <w:snapToGrid w:val="0"/>
              <w:spacing w:before="46" w:beforeLines="15" w:after="46" w:afterLines="15" w:line="280" w:lineRule="exact"/>
              <w:ind w:left="100"/>
              <w:jc w:val="both"/>
              <w:rPr>
                <w:rFonts w:ascii="Arial" w:hAnsi="Arial"/>
                <w:sz w:val="21"/>
                <w:szCs w:val="21"/>
              </w:rPr>
            </w:pPr>
            <w:r>
              <w:rPr>
                <w:rFonts w:ascii="Arial" w:hAnsi="Arial"/>
                <w:sz w:val="21"/>
                <w:szCs w:val="21"/>
              </w:rPr>
              <w:t>器械</w:t>
            </w:r>
            <w:r>
              <w:rPr>
                <w:rFonts w:hint="eastAsia" w:ascii="Arial" w:hAnsi="Arial"/>
                <w:sz w:val="21"/>
                <w:szCs w:val="21"/>
              </w:rPr>
              <w:t>与</w:t>
            </w:r>
            <w:r>
              <w:rPr>
                <w:rFonts w:ascii="Arial" w:hAnsi="Arial"/>
                <w:sz w:val="21"/>
                <w:szCs w:val="21"/>
              </w:rPr>
              <w:t>放射健康中心</w:t>
            </w:r>
          </w:p>
        </w:tc>
      </w:tr>
      <w:tr w14:paraId="2C9CCA2C">
        <w:tblPrEx>
          <w:tblCellMar>
            <w:top w:w="0" w:type="dxa"/>
            <w:left w:w="0" w:type="dxa"/>
            <w:bottom w:w="0" w:type="dxa"/>
            <w:right w:w="0" w:type="dxa"/>
          </w:tblCellMar>
        </w:tblPrEx>
        <w:tc>
          <w:tcPr>
            <w:tcW w:w="1460" w:type="dxa"/>
            <w:tcBorders>
              <w:left w:val="single" w:color="auto" w:sz="8" w:space="0"/>
              <w:bottom w:val="single" w:color="auto" w:sz="4" w:space="0"/>
              <w:right w:val="single" w:color="auto" w:sz="8" w:space="0"/>
            </w:tcBorders>
            <w:shd w:val="clear" w:color="auto" w:fill="auto"/>
            <w:vAlign w:val="bottom"/>
          </w:tcPr>
          <w:p w14:paraId="42AD998C">
            <w:pPr>
              <w:snapToGrid w:val="0"/>
              <w:spacing w:before="46" w:beforeLines="15" w:after="46" w:afterLines="15" w:line="280" w:lineRule="exact"/>
              <w:ind w:left="120"/>
              <w:jc w:val="both"/>
              <w:rPr>
                <w:rFonts w:ascii="Arial" w:hAnsi="Arial"/>
                <w:sz w:val="21"/>
                <w:szCs w:val="21"/>
              </w:rPr>
            </w:pPr>
            <w:r>
              <w:rPr>
                <w:rFonts w:ascii="Arial" w:hAnsi="Arial"/>
                <w:sz w:val="21"/>
                <w:szCs w:val="21"/>
              </w:rPr>
              <w:t>CFR</w:t>
            </w:r>
          </w:p>
        </w:tc>
        <w:tc>
          <w:tcPr>
            <w:tcW w:w="7380" w:type="dxa"/>
            <w:tcBorders>
              <w:bottom w:val="single" w:color="auto" w:sz="4" w:space="0"/>
              <w:right w:val="single" w:color="auto" w:sz="8" w:space="0"/>
            </w:tcBorders>
            <w:shd w:val="clear" w:color="auto" w:fill="auto"/>
            <w:vAlign w:val="bottom"/>
          </w:tcPr>
          <w:p w14:paraId="564A4506">
            <w:pPr>
              <w:snapToGrid w:val="0"/>
              <w:spacing w:before="46" w:beforeLines="15" w:after="46" w:afterLines="15" w:line="280" w:lineRule="exact"/>
              <w:ind w:left="100"/>
              <w:jc w:val="both"/>
              <w:rPr>
                <w:rFonts w:ascii="Arial" w:hAnsi="Arial"/>
                <w:sz w:val="21"/>
                <w:szCs w:val="21"/>
              </w:rPr>
            </w:pPr>
            <w:r>
              <w:rPr>
                <w:rFonts w:ascii="Arial" w:hAnsi="Arial"/>
                <w:sz w:val="21"/>
                <w:szCs w:val="21"/>
              </w:rPr>
              <w:t>美国联邦法规</w:t>
            </w:r>
          </w:p>
        </w:tc>
      </w:tr>
      <w:tr w14:paraId="67A14977">
        <w:tblPrEx>
          <w:tblCellMar>
            <w:top w:w="0" w:type="dxa"/>
            <w:left w:w="0" w:type="dxa"/>
            <w:bottom w:w="0" w:type="dxa"/>
            <w:right w:w="0" w:type="dxa"/>
          </w:tblCellMar>
        </w:tblPrEx>
        <w:tc>
          <w:tcPr>
            <w:tcW w:w="1460" w:type="dxa"/>
            <w:tcBorders>
              <w:top w:val="single" w:color="auto" w:sz="4" w:space="0"/>
              <w:left w:val="single" w:color="auto" w:sz="4" w:space="0"/>
              <w:bottom w:val="single" w:color="auto" w:sz="4" w:space="0"/>
              <w:right w:val="single" w:color="auto" w:sz="4" w:space="0"/>
            </w:tcBorders>
            <w:shd w:val="clear" w:color="auto" w:fill="auto"/>
            <w:vAlign w:val="bottom"/>
          </w:tcPr>
          <w:p w14:paraId="58E2992B">
            <w:pPr>
              <w:snapToGrid w:val="0"/>
              <w:spacing w:before="46" w:beforeLines="15" w:after="46" w:afterLines="15" w:line="280" w:lineRule="exact"/>
              <w:ind w:left="120"/>
              <w:jc w:val="both"/>
              <w:rPr>
                <w:rFonts w:ascii="Arial" w:hAnsi="Arial"/>
                <w:sz w:val="21"/>
                <w:szCs w:val="21"/>
              </w:rPr>
            </w:pPr>
            <w:r>
              <w:rPr>
                <w:rFonts w:ascii="Arial" w:hAnsi="Arial"/>
                <w:sz w:val="21"/>
                <w:szCs w:val="21"/>
              </w:rPr>
              <w:t>DAGID</w:t>
            </w:r>
          </w:p>
        </w:tc>
        <w:tc>
          <w:tcPr>
            <w:tcW w:w="7380" w:type="dxa"/>
            <w:tcBorders>
              <w:top w:val="single" w:color="auto" w:sz="4" w:space="0"/>
              <w:left w:val="single" w:color="auto" w:sz="4" w:space="0"/>
              <w:bottom w:val="single" w:color="auto" w:sz="4" w:space="0"/>
              <w:right w:val="single" w:color="auto" w:sz="4" w:space="0"/>
            </w:tcBorders>
            <w:shd w:val="clear" w:color="auto" w:fill="auto"/>
            <w:vAlign w:val="bottom"/>
          </w:tcPr>
          <w:p w14:paraId="77C21D26">
            <w:pPr>
              <w:snapToGrid w:val="0"/>
              <w:spacing w:before="46" w:beforeLines="15" w:after="46" w:afterLines="15" w:line="280" w:lineRule="exact"/>
              <w:ind w:left="100"/>
              <w:jc w:val="both"/>
              <w:rPr>
                <w:rFonts w:ascii="Arial" w:hAnsi="Arial"/>
                <w:sz w:val="21"/>
                <w:szCs w:val="21"/>
              </w:rPr>
            </w:pPr>
            <w:r>
              <w:rPr>
                <w:rFonts w:ascii="Arial" w:hAnsi="Arial"/>
                <w:sz w:val="21"/>
                <w:szCs w:val="21"/>
              </w:rPr>
              <w:t>麻醉科，综合医院，感染控制和牙科器械</w:t>
            </w:r>
          </w:p>
        </w:tc>
      </w:tr>
      <w:tr w14:paraId="72CF9DE7">
        <w:tblPrEx>
          <w:tblCellMar>
            <w:top w:w="0" w:type="dxa"/>
            <w:left w:w="0" w:type="dxa"/>
            <w:bottom w:w="0" w:type="dxa"/>
            <w:right w:w="0" w:type="dxa"/>
          </w:tblCellMar>
        </w:tblPrEx>
        <w:tc>
          <w:tcPr>
            <w:tcW w:w="1460" w:type="dxa"/>
            <w:tcBorders>
              <w:top w:val="single" w:color="auto" w:sz="4" w:space="0"/>
              <w:left w:val="single" w:color="auto" w:sz="4" w:space="0"/>
              <w:bottom w:val="single" w:color="auto" w:sz="4" w:space="0"/>
              <w:right w:val="single" w:color="auto" w:sz="4" w:space="0"/>
            </w:tcBorders>
            <w:shd w:val="clear" w:color="auto" w:fill="auto"/>
            <w:vAlign w:val="bottom"/>
          </w:tcPr>
          <w:p w14:paraId="58D0A140">
            <w:pPr>
              <w:snapToGrid w:val="0"/>
              <w:spacing w:before="46" w:beforeLines="15" w:after="46" w:afterLines="15" w:line="280" w:lineRule="exact"/>
              <w:ind w:left="120"/>
              <w:jc w:val="both"/>
              <w:rPr>
                <w:rFonts w:ascii="Arial" w:hAnsi="Arial"/>
                <w:sz w:val="21"/>
                <w:szCs w:val="21"/>
              </w:rPr>
            </w:pPr>
            <w:r>
              <w:rPr>
                <w:rFonts w:ascii="Arial" w:hAnsi="Arial"/>
                <w:sz w:val="21"/>
                <w:szCs w:val="21"/>
              </w:rPr>
              <w:t>DEHP</w:t>
            </w:r>
          </w:p>
        </w:tc>
        <w:tc>
          <w:tcPr>
            <w:tcW w:w="7380" w:type="dxa"/>
            <w:tcBorders>
              <w:top w:val="single" w:color="auto" w:sz="4" w:space="0"/>
              <w:left w:val="single" w:color="auto" w:sz="4" w:space="0"/>
              <w:bottom w:val="single" w:color="auto" w:sz="4" w:space="0"/>
              <w:right w:val="single" w:color="auto" w:sz="4" w:space="0"/>
            </w:tcBorders>
            <w:shd w:val="clear" w:color="auto" w:fill="auto"/>
            <w:vAlign w:val="bottom"/>
          </w:tcPr>
          <w:p w14:paraId="2072F8A9">
            <w:pPr>
              <w:snapToGrid w:val="0"/>
              <w:spacing w:before="46" w:beforeLines="15" w:after="46" w:afterLines="15" w:line="280" w:lineRule="exact"/>
              <w:ind w:left="100"/>
              <w:jc w:val="both"/>
              <w:rPr>
                <w:rFonts w:ascii="Arial" w:hAnsi="Arial"/>
                <w:sz w:val="21"/>
                <w:szCs w:val="21"/>
              </w:rPr>
            </w:pPr>
            <w:r>
              <w:rPr>
                <w:rFonts w:ascii="Arial" w:hAnsi="Arial"/>
                <w:sz w:val="21"/>
                <w:szCs w:val="21"/>
              </w:rPr>
              <w:t>邻苯二甲酸二异辛酯</w:t>
            </w:r>
          </w:p>
        </w:tc>
      </w:tr>
      <w:tr w14:paraId="629C3513">
        <w:tblPrEx>
          <w:tblCellMar>
            <w:top w:w="0" w:type="dxa"/>
            <w:left w:w="0" w:type="dxa"/>
            <w:bottom w:w="0" w:type="dxa"/>
            <w:right w:w="0" w:type="dxa"/>
          </w:tblCellMar>
        </w:tblPrEx>
        <w:tc>
          <w:tcPr>
            <w:tcW w:w="1460" w:type="dxa"/>
            <w:tcBorders>
              <w:top w:val="single" w:color="auto" w:sz="4" w:space="0"/>
              <w:left w:val="single" w:color="auto" w:sz="8" w:space="0"/>
              <w:bottom w:val="single" w:color="auto" w:sz="8" w:space="0"/>
              <w:right w:val="single" w:color="auto" w:sz="8" w:space="0"/>
            </w:tcBorders>
            <w:shd w:val="clear" w:color="auto" w:fill="auto"/>
            <w:vAlign w:val="bottom"/>
          </w:tcPr>
          <w:p w14:paraId="47362C94">
            <w:pPr>
              <w:snapToGrid w:val="0"/>
              <w:spacing w:before="46" w:beforeLines="15" w:after="46" w:afterLines="15" w:line="280" w:lineRule="exact"/>
              <w:ind w:left="120"/>
              <w:jc w:val="both"/>
              <w:rPr>
                <w:rFonts w:ascii="Arial" w:hAnsi="Arial"/>
                <w:sz w:val="21"/>
                <w:szCs w:val="21"/>
              </w:rPr>
            </w:pPr>
            <w:r>
              <w:rPr>
                <w:rFonts w:ascii="Arial" w:hAnsi="Arial"/>
                <w:sz w:val="21"/>
                <w:szCs w:val="21"/>
              </w:rPr>
              <w:t>DSMICA</w:t>
            </w:r>
          </w:p>
        </w:tc>
        <w:tc>
          <w:tcPr>
            <w:tcW w:w="7380" w:type="dxa"/>
            <w:tcBorders>
              <w:top w:val="single" w:color="auto" w:sz="4" w:space="0"/>
              <w:bottom w:val="single" w:color="auto" w:sz="8" w:space="0"/>
              <w:right w:val="single" w:color="auto" w:sz="8" w:space="0"/>
            </w:tcBorders>
            <w:shd w:val="clear" w:color="auto" w:fill="auto"/>
            <w:vAlign w:val="bottom"/>
          </w:tcPr>
          <w:p w14:paraId="5162A235">
            <w:pPr>
              <w:snapToGrid w:val="0"/>
              <w:spacing w:before="46" w:beforeLines="15" w:after="46" w:afterLines="15" w:line="280" w:lineRule="exact"/>
              <w:ind w:left="100"/>
              <w:jc w:val="both"/>
              <w:rPr>
                <w:rFonts w:ascii="Arial" w:hAnsi="Arial"/>
                <w:sz w:val="21"/>
                <w:szCs w:val="21"/>
              </w:rPr>
            </w:pPr>
            <w:r>
              <w:rPr>
                <w:rFonts w:ascii="Arial" w:hAnsi="Arial"/>
                <w:sz w:val="21"/>
                <w:szCs w:val="21"/>
              </w:rPr>
              <w:t>小型制造商、国际及消费者协助分部</w:t>
            </w:r>
          </w:p>
        </w:tc>
      </w:tr>
      <w:tr w14:paraId="08E5C14C">
        <w:tblPrEx>
          <w:tblCellMar>
            <w:top w:w="0" w:type="dxa"/>
            <w:left w:w="0" w:type="dxa"/>
            <w:bottom w:w="0" w:type="dxa"/>
            <w:right w:w="0" w:type="dxa"/>
          </w:tblCellMar>
        </w:tblPrEx>
        <w:tc>
          <w:tcPr>
            <w:tcW w:w="1460" w:type="dxa"/>
            <w:tcBorders>
              <w:left w:val="single" w:color="auto" w:sz="8" w:space="0"/>
              <w:bottom w:val="single" w:color="auto" w:sz="8" w:space="0"/>
              <w:right w:val="single" w:color="auto" w:sz="8" w:space="0"/>
            </w:tcBorders>
            <w:shd w:val="clear" w:color="auto" w:fill="auto"/>
            <w:vAlign w:val="bottom"/>
          </w:tcPr>
          <w:p w14:paraId="6911AFB9">
            <w:pPr>
              <w:snapToGrid w:val="0"/>
              <w:spacing w:before="46" w:beforeLines="15" w:after="46" w:afterLines="15" w:line="280" w:lineRule="exact"/>
              <w:ind w:left="120"/>
              <w:jc w:val="both"/>
              <w:rPr>
                <w:rFonts w:ascii="Arial" w:hAnsi="Arial"/>
                <w:sz w:val="21"/>
                <w:szCs w:val="21"/>
              </w:rPr>
            </w:pPr>
            <w:r>
              <w:rPr>
                <w:rFonts w:ascii="Arial" w:hAnsi="Arial"/>
                <w:sz w:val="21"/>
                <w:szCs w:val="21"/>
              </w:rPr>
              <w:t>ECRI</w:t>
            </w:r>
          </w:p>
        </w:tc>
        <w:tc>
          <w:tcPr>
            <w:tcW w:w="7380" w:type="dxa"/>
            <w:tcBorders>
              <w:bottom w:val="single" w:color="auto" w:sz="8" w:space="0"/>
              <w:right w:val="single" w:color="auto" w:sz="8" w:space="0"/>
            </w:tcBorders>
            <w:shd w:val="clear" w:color="auto" w:fill="auto"/>
            <w:vAlign w:val="bottom"/>
          </w:tcPr>
          <w:p w14:paraId="0B397497">
            <w:pPr>
              <w:snapToGrid w:val="0"/>
              <w:spacing w:before="46" w:beforeLines="15" w:after="46" w:afterLines="15" w:line="280" w:lineRule="exact"/>
              <w:ind w:left="100"/>
              <w:jc w:val="both"/>
              <w:rPr>
                <w:rFonts w:ascii="Arial" w:hAnsi="Arial"/>
                <w:sz w:val="21"/>
                <w:szCs w:val="21"/>
              </w:rPr>
            </w:pPr>
            <w:r>
              <w:rPr>
                <w:rFonts w:ascii="Arial" w:hAnsi="Arial"/>
                <w:sz w:val="21"/>
                <w:szCs w:val="21"/>
              </w:rPr>
              <w:t>紧急医疗研究机构</w:t>
            </w:r>
          </w:p>
        </w:tc>
      </w:tr>
      <w:tr w14:paraId="247B962D">
        <w:tblPrEx>
          <w:tblCellMar>
            <w:top w:w="0" w:type="dxa"/>
            <w:left w:w="0" w:type="dxa"/>
            <w:bottom w:w="0" w:type="dxa"/>
            <w:right w:w="0" w:type="dxa"/>
          </w:tblCellMar>
        </w:tblPrEx>
        <w:tc>
          <w:tcPr>
            <w:tcW w:w="1460" w:type="dxa"/>
            <w:tcBorders>
              <w:left w:val="single" w:color="auto" w:sz="8" w:space="0"/>
              <w:bottom w:val="single" w:color="auto" w:sz="8" w:space="0"/>
              <w:right w:val="single" w:color="auto" w:sz="8" w:space="0"/>
            </w:tcBorders>
            <w:shd w:val="clear" w:color="auto" w:fill="auto"/>
            <w:vAlign w:val="bottom"/>
          </w:tcPr>
          <w:p w14:paraId="21A6FBE0">
            <w:pPr>
              <w:snapToGrid w:val="0"/>
              <w:spacing w:before="46" w:beforeLines="15" w:after="46" w:afterLines="15" w:line="280" w:lineRule="exact"/>
              <w:ind w:left="120"/>
              <w:jc w:val="both"/>
              <w:rPr>
                <w:rFonts w:ascii="Arial" w:hAnsi="Arial"/>
                <w:sz w:val="21"/>
                <w:szCs w:val="21"/>
              </w:rPr>
            </w:pPr>
            <w:r>
              <w:rPr>
                <w:rFonts w:ascii="Arial" w:hAnsi="Arial"/>
                <w:sz w:val="21"/>
                <w:szCs w:val="21"/>
              </w:rPr>
              <w:t>FDA</w:t>
            </w:r>
          </w:p>
        </w:tc>
        <w:tc>
          <w:tcPr>
            <w:tcW w:w="7380" w:type="dxa"/>
            <w:tcBorders>
              <w:bottom w:val="single" w:color="auto" w:sz="8" w:space="0"/>
              <w:right w:val="single" w:color="auto" w:sz="8" w:space="0"/>
            </w:tcBorders>
            <w:shd w:val="clear" w:color="auto" w:fill="auto"/>
            <w:vAlign w:val="bottom"/>
          </w:tcPr>
          <w:p w14:paraId="24EAF409">
            <w:pPr>
              <w:snapToGrid w:val="0"/>
              <w:spacing w:before="46" w:beforeLines="15" w:after="46" w:afterLines="15" w:line="280" w:lineRule="exact"/>
              <w:ind w:left="100"/>
              <w:jc w:val="both"/>
              <w:rPr>
                <w:rFonts w:ascii="Arial" w:hAnsi="Arial"/>
                <w:sz w:val="21"/>
                <w:szCs w:val="21"/>
              </w:rPr>
            </w:pPr>
            <w:r>
              <w:rPr>
                <w:rFonts w:ascii="Arial" w:hAnsi="Arial"/>
                <w:sz w:val="21"/>
                <w:szCs w:val="21"/>
              </w:rPr>
              <w:t>食品药品监督管理局</w:t>
            </w:r>
          </w:p>
        </w:tc>
      </w:tr>
      <w:tr w14:paraId="1967CD24">
        <w:tblPrEx>
          <w:tblCellMar>
            <w:top w:w="0" w:type="dxa"/>
            <w:left w:w="0" w:type="dxa"/>
            <w:bottom w:w="0" w:type="dxa"/>
            <w:right w:w="0" w:type="dxa"/>
          </w:tblCellMar>
        </w:tblPrEx>
        <w:tc>
          <w:tcPr>
            <w:tcW w:w="1460" w:type="dxa"/>
            <w:tcBorders>
              <w:left w:val="single" w:color="auto" w:sz="8" w:space="0"/>
              <w:bottom w:val="single" w:color="auto" w:sz="8" w:space="0"/>
              <w:right w:val="single" w:color="auto" w:sz="8" w:space="0"/>
            </w:tcBorders>
            <w:shd w:val="clear" w:color="auto" w:fill="auto"/>
            <w:vAlign w:val="bottom"/>
          </w:tcPr>
          <w:p w14:paraId="0E8414EA">
            <w:pPr>
              <w:snapToGrid w:val="0"/>
              <w:spacing w:before="46" w:beforeLines="15" w:after="46" w:afterLines="15" w:line="280" w:lineRule="exact"/>
              <w:ind w:left="120"/>
              <w:jc w:val="both"/>
              <w:rPr>
                <w:rFonts w:ascii="Arial" w:hAnsi="Arial"/>
                <w:sz w:val="21"/>
                <w:szCs w:val="21"/>
              </w:rPr>
            </w:pPr>
            <w:r>
              <w:rPr>
                <w:rFonts w:ascii="Arial" w:hAnsi="Arial"/>
                <w:sz w:val="21"/>
                <w:szCs w:val="21"/>
              </w:rPr>
              <w:t>ID</w:t>
            </w:r>
          </w:p>
        </w:tc>
        <w:tc>
          <w:tcPr>
            <w:tcW w:w="7380" w:type="dxa"/>
            <w:tcBorders>
              <w:bottom w:val="single" w:color="auto" w:sz="8" w:space="0"/>
              <w:right w:val="single" w:color="auto" w:sz="8" w:space="0"/>
            </w:tcBorders>
            <w:shd w:val="clear" w:color="auto" w:fill="auto"/>
            <w:vAlign w:val="bottom"/>
          </w:tcPr>
          <w:p w14:paraId="16A5BD1D">
            <w:pPr>
              <w:snapToGrid w:val="0"/>
              <w:spacing w:before="46" w:beforeLines="15" w:after="46" w:afterLines="15" w:line="280" w:lineRule="exact"/>
              <w:ind w:left="100"/>
              <w:jc w:val="both"/>
              <w:rPr>
                <w:rFonts w:ascii="Arial" w:hAnsi="Arial"/>
                <w:sz w:val="21"/>
                <w:szCs w:val="21"/>
              </w:rPr>
            </w:pPr>
            <w:r>
              <w:rPr>
                <w:rFonts w:ascii="Arial" w:hAnsi="Arial"/>
                <w:sz w:val="21"/>
                <w:szCs w:val="21"/>
              </w:rPr>
              <w:t>内径</w:t>
            </w:r>
          </w:p>
        </w:tc>
      </w:tr>
      <w:tr w14:paraId="40D9B3A0">
        <w:tblPrEx>
          <w:tblCellMar>
            <w:top w:w="0" w:type="dxa"/>
            <w:left w:w="0" w:type="dxa"/>
            <w:bottom w:w="0" w:type="dxa"/>
            <w:right w:w="0" w:type="dxa"/>
          </w:tblCellMar>
        </w:tblPrEx>
        <w:tc>
          <w:tcPr>
            <w:tcW w:w="1460" w:type="dxa"/>
            <w:tcBorders>
              <w:left w:val="single" w:color="auto" w:sz="8" w:space="0"/>
              <w:bottom w:val="single" w:color="auto" w:sz="8" w:space="0"/>
              <w:right w:val="single" w:color="auto" w:sz="8" w:space="0"/>
            </w:tcBorders>
            <w:shd w:val="clear" w:color="auto" w:fill="auto"/>
            <w:vAlign w:val="bottom"/>
          </w:tcPr>
          <w:p w14:paraId="1A33EA9F">
            <w:pPr>
              <w:snapToGrid w:val="0"/>
              <w:spacing w:before="46" w:beforeLines="15" w:after="46" w:afterLines="15" w:line="280" w:lineRule="exact"/>
              <w:ind w:left="120"/>
              <w:jc w:val="both"/>
              <w:rPr>
                <w:rFonts w:ascii="Arial" w:hAnsi="Arial"/>
                <w:sz w:val="21"/>
                <w:szCs w:val="21"/>
              </w:rPr>
            </w:pPr>
            <w:r>
              <w:rPr>
                <w:rFonts w:ascii="Arial" w:hAnsi="Arial"/>
                <w:sz w:val="21"/>
                <w:szCs w:val="21"/>
              </w:rPr>
              <w:t>ISO</w:t>
            </w:r>
          </w:p>
        </w:tc>
        <w:tc>
          <w:tcPr>
            <w:tcW w:w="7380" w:type="dxa"/>
            <w:tcBorders>
              <w:bottom w:val="single" w:color="auto" w:sz="8" w:space="0"/>
              <w:right w:val="single" w:color="auto" w:sz="8" w:space="0"/>
            </w:tcBorders>
            <w:shd w:val="clear" w:color="auto" w:fill="auto"/>
            <w:vAlign w:val="bottom"/>
          </w:tcPr>
          <w:p w14:paraId="6F4D948E">
            <w:pPr>
              <w:snapToGrid w:val="0"/>
              <w:spacing w:before="46" w:beforeLines="15" w:after="46" w:afterLines="15" w:line="280" w:lineRule="exact"/>
              <w:ind w:left="100"/>
              <w:jc w:val="both"/>
              <w:rPr>
                <w:rFonts w:ascii="Arial" w:hAnsi="Arial"/>
                <w:sz w:val="21"/>
                <w:szCs w:val="21"/>
              </w:rPr>
            </w:pPr>
            <w:r>
              <w:rPr>
                <w:rFonts w:ascii="Arial" w:hAnsi="Arial"/>
                <w:sz w:val="21"/>
                <w:szCs w:val="21"/>
              </w:rPr>
              <w:t>国际标准化组织</w:t>
            </w:r>
          </w:p>
        </w:tc>
      </w:tr>
      <w:tr w14:paraId="7BA4A162">
        <w:tblPrEx>
          <w:tblCellMar>
            <w:top w:w="0" w:type="dxa"/>
            <w:left w:w="0" w:type="dxa"/>
            <w:bottom w:w="0" w:type="dxa"/>
            <w:right w:w="0" w:type="dxa"/>
          </w:tblCellMar>
        </w:tblPrEx>
        <w:tc>
          <w:tcPr>
            <w:tcW w:w="1460" w:type="dxa"/>
            <w:tcBorders>
              <w:left w:val="single" w:color="auto" w:sz="8" w:space="0"/>
              <w:bottom w:val="single" w:color="auto" w:sz="8" w:space="0"/>
              <w:right w:val="single" w:color="auto" w:sz="8" w:space="0"/>
            </w:tcBorders>
            <w:shd w:val="clear" w:color="auto" w:fill="auto"/>
            <w:vAlign w:val="bottom"/>
          </w:tcPr>
          <w:p w14:paraId="402977C0">
            <w:pPr>
              <w:snapToGrid w:val="0"/>
              <w:spacing w:before="46" w:beforeLines="15" w:after="46" w:afterLines="15" w:line="280" w:lineRule="exact"/>
              <w:ind w:left="120"/>
              <w:jc w:val="both"/>
              <w:rPr>
                <w:rFonts w:ascii="Arial" w:hAnsi="Arial"/>
                <w:sz w:val="21"/>
                <w:szCs w:val="21"/>
              </w:rPr>
            </w:pPr>
            <w:r>
              <w:rPr>
                <w:rFonts w:ascii="Arial" w:hAnsi="Arial"/>
                <w:sz w:val="21"/>
                <w:szCs w:val="21"/>
              </w:rPr>
              <w:t>IV</w:t>
            </w:r>
          </w:p>
        </w:tc>
        <w:tc>
          <w:tcPr>
            <w:tcW w:w="7380" w:type="dxa"/>
            <w:tcBorders>
              <w:bottom w:val="single" w:color="auto" w:sz="8" w:space="0"/>
              <w:right w:val="single" w:color="auto" w:sz="8" w:space="0"/>
            </w:tcBorders>
            <w:shd w:val="clear" w:color="auto" w:fill="auto"/>
            <w:vAlign w:val="bottom"/>
          </w:tcPr>
          <w:p w14:paraId="360DE661">
            <w:pPr>
              <w:snapToGrid w:val="0"/>
              <w:spacing w:before="46" w:beforeLines="15" w:after="46" w:afterLines="15" w:line="280" w:lineRule="exact"/>
              <w:ind w:left="100"/>
              <w:jc w:val="both"/>
              <w:rPr>
                <w:rFonts w:ascii="Arial" w:hAnsi="Arial"/>
                <w:sz w:val="21"/>
                <w:szCs w:val="21"/>
              </w:rPr>
            </w:pPr>
            <w:r>
              <w:rPr>
                <w:rFonts w:ascii="Arial" w:hAnsi="Arial"/>
                <w:sz w:val="21"/>
                <w:szCs w:val="21"/>
              </w:rPr>
              <w:t>血管内</w:t>
            </w:r>
          </w:p>
        </w:tc>
      </w:tr>
      <w:tr w14:paraId="51507D6B">
        <w:tblPrEx>
          <w:tblCellMar>
            <w:top w:w="0" w:type="dxa"/>
            <w:left w:w="0" w:type="dxa"/>
            <w:bottom w:w="0" w:type="dxa"/>
            <w:right w:w="0" w:type="dxa"/>
          </w:tblCellMar>
        </w:tblPrEx>
        <w:tc>
          <w:tcPr>
            <w:tcW w:w="1460" w:type="dxa"/>
            <w:tcBorders>
              <w:left w:val="single" w:color="auto" w:sz="8" w:space="0"/>
              <w:bottom w:val="single" w:color="auto" w:sz="8" w:space="0"/>
              <w:right w:val="single" w:color="auto" w:sz="8" w:space="0"/>
            </w:tcBorders>
            <w:shd w:val="clear" w:color="auto" w:fill="auto"/>
            <w:vAlign w:val="bottom"/>
          </w:tcPr>
          <w:p w14:paraId="7C870612">
            <w:pPr>
              <w:snapToGrid w:val="0"/>
              <w:spacing w:before="46" w:beforeLines="15" w:after="46" w:afterLines="15" w:line="280" w:lineRule="exact"/>
              <w:ind w:left="120"/>
              <w:jc w:val="both"/>
              <w:rPr>
                <w:rFonts w:ascii="Arial" w:hAnsi="Arial"/>
                <w:sz w:val="21"/>
                <w:szCs w:val="21"/>
              </w:rPr>
            </w:pPr>
            <w:r>
              <w:rPr>
                <w:rFonts w:ascii="Arial" w:hAnsi="Arial"/>
                <w:sz w:val="21"/>
                <w:szCs w:val="21"/>
              </w:rPr>
              <w:t>OD</w:t>
            </w:r>
          </w:p>
        </w:tc>
        <w:tc>
          <w:tcPr>
            <w:tcW w:w="7380" w:type="dxa"/>
            <w:tcBorders>
              <w:bottom w:val="single" w:color="auto" w:sz="8" w:space="0"/>
              <w:right w:val="single" w:color="auto" w:sz="8" w:space="0"/>
            </w:tcBorders>
            <w:shd w:val="clear" w:color="auto" w:fill="auto"/>
            <w:vAlign w:val="bottom"/>
          </w:tcPr>
          <w:p w14:paraId="7EDAC756">
            <w:pPr>
              <w:snapToGrid w:val="0"/>
              <w:spacing w:before="46" w:beforeLines="15" w:after="46" w:afterLines="15" w:line="280" w:lineRule="exact"/>
              <w:ind w:left="100"/>
              <w:jc w:val="both"/>
              <w:rPr>
                <w:rFonts w:ascii="Arial" w:hAnsi="Arial"/>
                <w:sz w:val="21"/>
                <w:szCs w:val="21"/>
              </w:rPr>
            </w:pPr>
            <w:r>
              <w:rPr>
                <w:rFonts w:ascii="Arial" w:hAnsi="Arial"/>
                <w:sz w:val="21"/>
                <w:szCs w:val="21"/>
              </w:rPr>
              <w:t>外径</w:t>
            </w:r>
          </w:p>
        </w:tc>
      </w:tr>
      <w:tr w14:paraId="3BF22284">
        <w:tblPrEx>
          <w:tblCellMar>
            <w:top w:w="0" w:type="dxa"/>
            <w:left w:w="0" w:type="dxa"/>
            <w:bottom w:w="0" w:type="dxa"/>
            <w:right w:w="0" w:type="dxa"/>
          </w:tblCellMar>
        </w:tblPrEx>
        <w:tc>
          <w:tcPr>
            <w:tcW w:w="1460" w:type="dxa"/>
            <w:tcBorders>
              <w:left w:val="single" w:color="auto" w:sz="8" w:space="0"/>
              <w:bottom w:val="single" w:color="auto" w:sz="8" w:space="0"/>
              <w:right w:val="single" w:color="auto" w:sz="8" w:space="0"/>
            </w:tcBorders>
            <w:shd w:val="clear" w:color="auto" w:fill="auto"/>
            <w:vAlign w:val="bottom"/>
          </w:tcPr>
          <w:p w14:paraId="3653A232">
            <w:pPr>
              <w:snapToGrid w:val="0"/>
              <w:spacing w:before="46" w:beforeLines="15" w:after="46" w:afterLines="15" w:line="280" w:lineRule="exact"/>
              <w:ind w:left="120"/>
              <w:jc w:val="both"/>
              <w:rPr>
                <w:rFonts w:ascii="Arial" w:hAnsi="Arial"/>
                <w:sz w:val="21"/>
                <w:szCs w:val="21"/>
              </w:rPr>
            </w:pPr>
            <w:r>
              <w:rPr>
                <w:rFonts w:ascii="Arial" w:hAnsi="Arial"/>
                <w:sz w:val="21"/>
                <w:szCs w:val="21"/>
              </w:rPr>
              <w:t>ODE</w:t>
            </w:r>
          </w:p>
        </w:tc>
        <w:tc>
          <w:tcPr>
            <w:tcW w:w="7380" w:type="dxa"/>
            <w:tcBorders>
              <w:bottom w:val="single" w:color="auto" w:sz="8" w:space="0"/>
              <w:right w:val="single" w:color="auto" w:sz="8" w:space="0"/>
            </w:tcBorders>
            <w:shd w:val="clear" w:color="auto" w:fill="auto"/>
            <w:vAlign w:val="bottom"/>
          </w:tcPr>
          <w:p w14:paraId="6A453FFC">
            <w:pPr>
              <w:snapToGrid w:val="0"/>
              <w:spacing w:before="46" w:beforeLines="15" w:after="46" w:afterLines="15" w:line="280" w:lineRule="exact"/>
              <w:ind w:left="100"/>
              <w:jc w:val="both"/>
              <w:rPr>
                <w:rFonts w:ascii="Arial" w:hAnsi="Arial"/>
                <w:sz w:val="21"/>
                <w:szCs w:val="21"/>
              </w:rPr>
            </w:pPr>
            <w:r>
              <w:rPr>
                <w:rFonts w:ascii="Arial" w:hAnsi="Arial"/>
                <w:sz w:val="21"/>
                <w:szCs w:val="21"/>
              </w:rPr>
              <w:t>器械评估办公室</w:t>
            </w:r>
          </w:p>
        </w:tc>
      </w:tr>
    </w:tbl>
    <w:p w14:paraId="42B7B37C">
      <w:pPr>
        <w:snapToGrid w:val="0"/>
        <w:spacing w:line="300" w:lineRule="auto"/>
        <w:jc w:val="both"/>
        <w:rPr>
          <w:rFonts w:ascii="Arial" w:hAnsi="Arial"/>
          <w:sz w:val="21"/>
          <w:szCs w:val="21"/>
        </w:rPr>
      </w:pPr>
    </w:p>
    <w:p w14:paraId="36213B33">
      <w:pPr>
        <w:snapToGrid w:val="0"/>
        <w:spacing w:line="300" w:lineRule="auto"/>
        <w:jc w:val="center"/>
        <w:rPr>
          <w:rFonts w:hint="eastAsia" w:eastAsia="宋体"/>
          <w:lang w:eastAsia="zh-CN"/>
        </w:rPr>
      </w:pPr>
    </w:p>
    <w:p w14:paraId="31961E2E">
      <w:pPr>
        <w:snapToGrid w:val="0"/>
        <w:spacing w:line="300" w:lineRule="auto"/>
        <w:jc w:val="center"/>
        <w:rPr>
          <w:rFonts w:hint="eastAsia" w:eastAsia="宋体"/>
          <w:lang w:eastAsia="zh-CN"/>
        </w:rPr>
      </w:pPr>
    </w:p>
    <w:p w14:paraId="6C6971F7">
      <w:pP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0" name="图片 10" descr="2"/>
            <wp:cNvGraphicFramePr/>
            <a:graphic xmlns:a="http://schemas.openxmlformats.org/drawingml/2006/main">
              <a:graphicData uri="http://schemas.openxmlformats.org/drawingml/2006/picture">
                <pic:pic xmlns:pic="http://schemas.openxmlformats.org/drawingml/2006/picture">
                  <pic:nvPicPr>
                    <pic:cNvPr id="10" name="图片 10"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5"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sz w:val="24"/>
        <w:szCs w:val="24"/>
      </w:rPr>
      <w:id w:val="-490566517"/>
      <w:docPartObj>
        <w:docPartGallery w:val="AutoText"/>
      </w:docPartObj>
    </w:sdtPr>
    <w:sdtEndPr>
      <w:rPr>
        <w:rFonts w:ascii="Arial" w:hAnsi="Arial"/>
        <w:sz w:val="24"/>
        <w:szCs w:val="24"/>
      </w:rPr>
    </w:sdtEndPr>
    <w:sdtContent>
      <w:p w14:paraId="50789F07">
        <w:pPr>
          <w:pStyle w:val="3"/>
          <w:jc w:val="right"/>
          <w:rPr>
            <w:rFonts w:ascii="Arial" w:hAnsi="Arial"/>
            <w:sz w:val="24"/>
            <w:szCs w:val="24"/>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sz w:val="24"/>
        <w:szCs w:val="24"/>
      </w:rPr>
      <w:id w:val="1285459333"/>
      <w:docPartObj>
        <w:docPartGallery w:val="AutoText"/>
      </w:docPartObj>
    </w:sdtPr>
    <w:sdtEndPr>
      <w:rPr>
        <w:rFonts w:ascii="Arial" w:hAnsi="Arial"/>
        <w:sz w:val="24"/>
        <w:szCs w:val="24"/>
      </w:rPr>
    </w:sdtEndPr>
    <w:sdtContent>
      <w:p w14:paraId="6D778734">
        <w:pPr>
          <w:pStyle w:val="3"/>
          <w:jc w:val="right"/>
          <w:rPr>
            <w:rFonts w:ascii="Arial" w:hAnsi="Arial"/>
            <w:sz w:val="24"/>
            <w:szCs w:val="24"/>
          </w:rPr>
        </w:pPr>
        <w:r>
          <w:rPr>
            <w:rFonts w:ascii="Arial" w:hAnsi="Arial"/>
            <w:sz w:val="24"/>
            <w:szCs w:val="24"/>
          </w:rPr>
          <w:fldChar w:fldCharType="begin"/>
        </w:r>
        <w:r>
          <w:rPr>
            <w:rFonts w:ascii="Arial" w:hAnsi="Arial"/>
            <w:sz w:val="24"/>
            <w:szCs w:val="24"/>
          </w:rPr>
          <w:instrText xml:space="preserve">PAGE   \* MERGEFORMAT</w:instrText>
        </w:r>
        <w:r>
          <w:rPr>
            <w:rFonts w:ascii="Arial" w:hAnsi="Arial"/>
            <w:sz w:val="24"/>
            <w:szCs w:val="24"/>
          </w:rPr>
          <w:fldChar w:fldCharType="separate"/>
        </w:r>
        <w:r>
          <w:rPr>
            <w:rFonts w:ascii="Arial" w:hAnsi="Arial"/>
            <w:sz w:val="24"/>
            <w:szCs w:val="24"/>
            <w:lang w:val="zh-CN"/>
          </w:rPr>
          <w:t>17</w:t>
        </w:r>
        <w:r>
          <w:rPr>
            <w:rFonts w:ascii="Arial" w:hAnsi="Arial"/>
            <w:sz w:val="24"/>
            <w:szCs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CA80E">
    <w:pPr>
      <w:snapToGrid w:val="0"/>
      <w:spacing w:line="300" w:lineRule="auto"/>
      <w:jc w:val="center"/>
      <w:rPr>
        <w:rFonts w:ascii="Arial" w:hAnsi="Arial"/>
        <w:b/>
        <w:i/>
        <w:sz w:val="24"/>
      </w:rPr>
    </w:pPr>
    <w:bookmarkStart w:id="18" w:name="OLE_LINK24"/>
    <w:bookmarkStart w:id="19" w:name="OLE_LINK25"/>
    <w:r>
      <w:rPr>
        <w:rFonts w:ascii="Arial" w:hAnsi="Arial"/>
        <w:b/>
        <w:i/>
        <w:sz w:val="24"/>
      </w:rPr>
      <w:t>包含非约束性建议</w:t>
    </w:r>
    <w:bookmarkEnd w:id="18"/>
    <w:bookmarkEnd w:id="19"/>
  </w:p>
  <w:p w14:paraId="0BF68553">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02"/>
    <w:multiLevelType w:val="multilevel"/>
    <w:tmpl w:val="00000002"/>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00000005"/>
    <w:multiLevelType w:val="multilevel"/>
    <w:tmpl w:val="00000005"/>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
    <w:nsid w:val="00000006"/>
    <w:multiLevelType w:val="multilevel"/>
    <w:tmpl w:val="00000006"/>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
    <w:nsid w:val="0000000A"/>
    <w:multiLevelType w:val="multilevel"/>
    <w:tmpl w:val="0000000A"/>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
    <w:nsid w:val="0000000B"/>
    <w:multiLevelType w:val="multilevel"/>
    <w:tmpl w:val="0000000B"/>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6">
    <w:nsid w:val="0000000C"/>
    <w:multiLevelType w:val="multilevel"/>
    <w:tmpl w:val="0000000C"/>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7">
    <w:nsid w:val="0000000F"/>
    <w:multiLevelType w:val="multilevel"/>
    <w:tmpl w:val="0000000F"/>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8">
    <w:nsid w:val="00000010"/>
    <w:multiLevelType w:val="multilevel"/>
    <w:tmpl w:val="00000010"/>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9">
    <w:nsid w:val="00000012"/>
    <w:multiLevelType w:val="multilevel"/>
    <w:tmpl w:val="00000012"/>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0">
    <w:nsid w:val="00000013"/>
    <w:multiLevelType w:val="multilevel"/>
    <w:tmpl w:val="00000013"/>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1">
    <w:nsid w:val="00000014"/>
    <w:multiLevelType w:val="multilevel"/>
    <w:tmpl w:val="00000014"/>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2">
    <w:nsid w:val="00000015"/>
    <w:multiLevelType w:val="multilevel"/>
    <w:tmpl w:val="00000015"/>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3">
    <w:nsid w:val="00000016"/>
    <w:multiLevelType w:val="multilevel"/>
    <w:tmpl w:val="00000016"/>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4">
    <w:nsid w:val="00000017"/>
    <w:multiLevelType w:val="multilevel"/>
    <w:tmpl w:val="00000017"/>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5">
    <w:nsid w:val="00000018"/>
    <w:multiLevelType w:val="multilevel"/>
    <w:tmpl w:val="00000018"/>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091"/>
    <w:rsid w:val="000537E4"/>
    <w:rsid w:val="00083481"/>
    <w:rsid w:val="000A3CC5"/>
    <w:rsid w:val="000D3C99"/>
    <w:rsid w:val="001608B9"/>
    <w:rsid w:val="0017203E"/>
    <w:rsid w:val="00174000"/>
    <w:rsid w:val="001A34A5"/>
    <w:rsid w:val="00222862"/>
    <w:rsid w:val="002271F0"/>
    <w:rsid w:val="002306A8"/>
    <w:rsid w:val="0023487D"/>
    <w:rsid w:val="00240EAC"/>
    <w:rsid w:val="00242607"/>
    <w:rsid w:val="00252E49"/>
    <w:rsid w:val="00256AFA"/>
    <w:rsid w:val="00273F43"/>
    <w:rsid w:val="002753D7"/>
    <w:rsid w:val="00291A47"/>
    <w:rsid w:val="002D4FF6"/>
    <w:rsid w:val="00356910"/>
    <w:rsid w:val="00386C3B"/>
    <w:rsid w:val="003929D3"/>
    <w:rsid w:val="003E2C0A"/>
    <w:rsid w:val="003E2D3A"/>
    <w:rsid w:val="004948A1"/>
    <w:rsid w:val="004C509C"/>
    <w:rsid w:val="004D450A"/>
    <w:rsid w:val="004F6A9F"/>
    <w:rsid w:val="00515EA0"/>
    <w:rsid w:val="00565AFB"/>
    <w:rsid w:val="005C1091"/>
    <w:rsid w:val="005E383F"/>
    <w:rsid w:val="0060560E"/>
    <w:rsid w:val="006372B5"/>
    <w:rsid w:val="0064403F"/>
    <w:rsid w:val="00687875"/>
    <w:rsid w:val="006B57C5"/>
    <w:rsid w:val="006E0102"/>
    <w:rsid w:val="00722266"/>
    <w:rsid w:val="00761F96"/>
    <w:rsid w:val="007877C7"/>
    <w:rsid w:val="007A32DC"/>
    <w:rsid w:val="00807F19"/>
    <w:rsid w:val="0084266A"/>
    <w:rsid w:val="00851581"/>
    <w:rsid w:val="00890676"/>
    <w:rsid w:val="008F2B88"/>
    <w:rsid w:val="008F4A24"/>
    <w:rsid w:val="00933081"/>
    <w:rsid w:val="00946647"/>
    <w:rsid w:val="00957E75"/>
    <w:rsid w:val="00976927"/>
    <w:rsid w:val="009C0317"/>
    <w:rsid w:val="009F166D"/>
    <w:rsid w:val="009F4A88"/>
    <w:rsid w:val="00A260A3"/>
    <w:rsid w:val="00A53194"/>
    <w:rsid w:val="00A65C95"/>
    <w:rsid w:val="00A8108C"/>
    <w:rsid w:val="00AA09DD"/>
    <w:rsid w:val="00AA582B"/>
    <w:rsid w:val="00AF4273"/>
    <w:rsid w:val="00B06548"/>
    <w:rsid w:val="00B15526"/>
    <w:rsid w:val="00BB4A54"/>
    <w:rsid w:val="00C1545E"/>
    <w:rsid w:val="00C646EC"/>
    <w:rsid w:val="00C66303"/>
    <w:rsid w:val="00CA12AD"/>
    <w:rsid w:val="00D15304"/>
    <w:rsid w:val="00DF1AD3"/>
    <w:rsid w:val="00EB0C84"/>
    <w:rsid w:val="00EF0AD2"/>
    <w:rsid w:val="00EF26D0"/>
    <w:rsid w:val="00EF3887"/>
    <w:rsid w:val="00F20810"/>
    <w:rsid w:val="00F306B3"/>
    <w:rsid w:val="00F37066"/>
    <w:rsid w:val="00F56650"/>
    <w:rsid w:val="00F603B4"/>
    <w:rsid w:val="00F95AB1"/>
    <w:rsid w:val="00FA46BF"/>
    <w:rsid w:val="00FF156D"/>
    <w:rsid w:val="43347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Arial"/>
      <w:kern w:val="0"/>
      <w:sz w:val="20"/>
      <w:szCs w:val="20"/>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unhideWhenUsed/>
    <w:uiPriority w:val="39"/>
  </w:style>
  <w:style w:type="character" w:styleId="8">
    <w:name w:val="Hyperlink"/>
    <w:unhideWhenUsed/>
    <w:uiPriority w:val="99"/>
    <w:rPr>
      <w:color w:val="0000FF"/>
      <w:u w:val="single"/>
    </w:rPr>
  </w:style>
  <w:style w:type="character" w:customStyle="1" w:styleId="9">
    <w:name w:val="页眉 Char"/>
    <w:basedOn w:val="7"/>
    <w:link w:val="4"/>
    <w:uiPriority w:val="99"/>
    <w:rPr>
      <w:rFonts w:ascii="Calibri" w:hAnsi="Calibri" w:eastAsia="宋体" w:cs="Arial"/>
      <w:kern w:val="0"/>
      <w:sz w:val="18"/>
      <w:szCs w:val="18"/>
    </w:rPr>
  </w:style>
  <w:style w:type="character" w:customStyle="1" w:styleId="10">
    <w:name w:val="页脚 Char"/>
    <w:basedOn w:val="7"/>
    <w:link w:val="3"/>
    <w:uiPriority w:val="99"/>
    <w:rPr>
      <w:rFonts w:ascii="Calibri" w:hAnsi="Calibri" w:eastAsia="宋体" w:cs="Arial"/>
      <w:kern w:val="0"/>
      <w:sz w:val="18"/>
      <w:szCs w:val="18"/>
    </w:rPr>
  </w:style>
  <w:style w:type="character" w:customStyle="1" w:styleId="11">
    <w:name w:val="标题 1 Char"/>
    <w:basedOn w:val="7"/>
    <w:link w:val="2"/>
    <w:uiPriority w:val="9"/>
    <w:rPr>
      <w:rFonts w:ascii="Calibri" w:hAnsi="Calibri" w:eastAsia="宋体" w:cs="Arial"/>
      <w:b/>
      <w:bCs/>
      <w:kern w:val="44"/>
      <w:sz w:val="44"/>
      <w:szCs w:val="44"/>
    </w:rPr>
  </w:style>
  <w:style w:type="paragraph" w:customStyle="1" w:styleId="12">
    <w:name w:val="TOC Heading"/>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B0FF4A-ECB5-46D6-BF11-AFEB71597351}">
  <ds:schemaRefs/>
</ds:datastoreItem>
</file>

<file path=docProps/app.xml><?xml version="1.0" encoding="utf-8"?>
<Properties xmlns="http://schemas.openxmlformats.org/officeDocument/2006/extended-properties" xmlns:vt="http://schemas.openxmlformats.org/officeDocument/2006/docPropsVTypes">
  <Template>Normal.dotm</Template>
  <Company>ShunDaJiaYi</Company>
  <Pages>20</Pages>
  <Words>9016</Words>
  <Characters>10507</Characters>
  <Lines>92</Lines>
  <Paragraphs>25</Paragraphs>
  <TotalTime>0</TotalTime>
  <ScaleCrop>false</ScaleCrop>
  <LinksUpToDate>false</LinksUpToDate>
  <CharactersWithSpaces>10681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2017-06-08T09:47:00Z</dcterms:created>
  <dc:creator>shundajiayi</dc:creator>
  <cp:lastModifiedBy>太极箫客</cp:lastModifiedBy>
  <dcterms:modified xsi:type="dcterms:W3CDTF">2025-08-14T06:45:23Z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FAA2DED745874588B1D49C0D8AD1C733_12</vt:lpwstr>
  </property>
</Properties>
</file>