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F2F1B">
      <w:pPr>
        <w:adjustRightInd w:val="0"/>
        <w:snapToGrid w:val="0"/>
        <w:spacing w:line="360" w:lineRule="auto"/>
        <w:jc w:val="center"/>
        <w:rPr>
          <w:rFonts w:ascii="Times New Roman" w:hAnsi="Times New Roman" w:cs="Times New Roman"/>
          <w:b/>
          <w:color w:val="auto"/>
          <w:sz w:val="32"/>
          <w:szCs w:val="32"/>
        </w:rPr>
      </w:pPr>
      <w:bookmarkStart w:id="11" w:name="_GoBack"/>
      <w:bookmarkEnd w:id="11"/>
      <w:r>
        <w:rPr>
          <w:rFonts w:hint="eastAsia" w:ascii="Times New Roman" w:cs="Times New Roman"/>
          <w:b/>
          <w:color w:val="auto"/>
          <w:sz w:val="32"/>
          <w:szCs w:val="32"/>
        </w:rPr>
        <w:t>行业指南和</w:t>
      </w:r>
      <w:r>
        <w:rPr>
          <w:rFonts w:ascii="Times New Roman" w:hAnsi="Times New Roman" w:cs="Times New Roman"/>
          <w:b/>
          <w:color w:val="auto"/>
          <w:sz w:val="32"/>
          <w:szCs w:val="32"/>
        </w:rPr>
        <w:t>FDA</w:t>
      </w:r>
      <w:r>
        <w:rPr>
          <w:rFonts w:hint="eastAsia" w:ascii="Times New Roman" w:cs="Times New Roman"/>
          <w:b/>
          <w:color w:val="auto"/>
          <w:sz w:val="32"/>
          <w:szCs w:val="32"/>
        </w:rPr>
        <w:t>审查员指导：含有动物源材料医疗器械（体外诊断类器械除外）</w:t>
      </w:r>
    </w:p>
    <w:p w14:paraId="57C169E9">
      <w:pPr>
        <w:widowControl/>
        <w:adjustRightInd w:val="0"/>
        <w:snapToGrid w:val="0"/>
        <w:spacing w:beforeLines="200" w:afterLines="1000" w:line="360" w:lineRule="auto"/>
        <w:jc w:val="center"/>
        <w:rPr>
          <w:rFonts w:ascii="Times New Roman" w:hAnsi="Times New Roman" w:cs="Times New Roman"/>
          <w:b/>
          <w:color w:val="auto"/>
          <w:sz w:val="21"/>
          <w:szCs w:val="21"/>
        </w:rPr>
      </w:pPr>
      <w:r>
        <w:rPr>
          <w:rFonts w:hint="eastAsia" w:ascii="Times New Roman" w:cs="Times New Roman"/>
          <w:b/>
          <w:color w:val="auto"/>
          <w:sz w:val="21"/>
          <w:szCs w:val="21"/>
        </w:rPr>
        <w:t>文件发布日期：</w:t>
      </w:r>
      <w:r>
        <w:rPr>
          <w:rFonts w:ascii="Times New Roman" w:hAnsi="Times New Roman" w:cs="Times New Roman"/>
          <w:b/>
          <w:color w:val="auto"/>
          <w:sz w:val="21"/>
          <w:szCs w:val="21"/>
        </w:rPr>
        <w:t>1998</w:t>
      </w:r>
      <w:r>
        <w:rPr>
          <w:rFonts w:hint="eastAsia" w:ascii="Times New Roman" w:cs="Times New Roman"/>
          <w:b/>
          <w:color w:val="auto"/>
          <w:sz w:val="21"/>
          <w:szCs w:val="21"/>
        </w:rPr>
        <w:t>年</w:t>
      </w:r>
      <w:r>
        <w:rPr>
          <w:rFonts w:ascii="Times New Roman" w:hAnsi="Times New Roman" w:cs="Times New Roman"/>
          <w:b/>
          <w:color w:val="auto"/>
          <w:sz w:val="21"/>
          <w:szCs w:val="21"/>
        </w:rPr>
        <w:t>11</w:t>
      </w:r>
      <w:r>
        <w:rPr>
          <w:rFonts w:hint="eastAsia" w:ascii="Times New Roman" w:cs="Times New Roman"/>
          <w:b/>
          <w:color w:val="auto"/>
          <w:sz w:val="21"/>
          <w:szCs w:val="21"/>
        </w:rPr>
        <w:t>月</w:t>
      </w:r>
      <w:r>
        <w:rPr>
          <w:rFonts w:ascii="Times New Roman" w:hAnsi="Times New Roman" w:cs="Times New Roman"/>
          <w:b/>
          <w:color w:val="auto"/>
          <w:sz w:val="21"/>
          <w:szCs w:val="21"/>
        </w:rPr>
        <w:t>6</w:t>
      </w:r>
      <w:r>
        <w:rPr>
          <w:rFonts w:hint="eastAsia" w:ascii="Times New Roman" w:cs="Times New Roman"/>
          <w:b/>
          <w:color w:val="auto"/>
          <w:sz w:val="21"/>
          <w:szCs w:val="21"/>
        </w:rPr>
        <w:t>日</w:t>
      </w:r>
    </w:p>
    <w:p w14:paraId="1CA3ABD2">
      <w:pPr>
        <w:adjustRightInd w:val="0"/>
        <w:snapToGrid w:val="0"/>
        <w:spacing w:line="360" w:lineRule="auto"/>
        <w:jc w:val="right"/>
        <w:rPr>
          <w:rFonts w:ascii="Times New Roman" w:hAnsi="Times New Roman" w:cs="Times New Roman"/>
          <w:b/>
          <w:color w:val="auto"/>
          <w:sz w:val="21"/>
          <w:szCs w:val="21"/>
        </w:rPr>
      </w:pPr>
      <w:r>
        <w:rPr>
          <w:lang w:val="en-US"/>
        </w:rPr>
        <w:pict>
          <v:shape id="图片 1" o:spid="_x0000_s1026" o:spt="75" type="#_x0000_t75" style="position:absolute;left:0pt;margin-left:0pt;margin-top:8.6pt;height:48.2pt;width:46.35pt;z-index:251659264;mso-width-relative:page;mso-height-relative:page;" filled="f" o:preferrelative="t" stroked="f" coordsize="21600,21600">
            <v:path/>
            <v:fill on="f" focussize="0,0"/>
            <v:stroke on="f" joinstyle="miter"/>
            <v:imagedata r:id="rId9" o:title=""/>
            <o:lock v:ext="edit" aspectratio="t"/>
          </v:shape>
        </w:pict>
      </w:r>
      <w:r>
        <w:rPr>
          <w:rFonts w:hint="eastAsia" w:ascii="Times New Roman" w:cs="Times New Roman"/>
          <w:b/>
          <w:color w:val="auto"/>
          <w:sz w:val="21"/>
          <w:szCs w:val="21"/>
        </w:rPr>
        <w:t>美国卫生与人类服务部</w:t>
      </w:r>
    </w:p>
    <w:p w14:paraId="6768D947">
      <w:pPr>
        <w:adjustRightInd w:val="0"/>
        <w:snapToGrid w:val="0"/>
        <w:spacing w:line="360" w:lineRule="auto"/>
        <w:jc w:val="right"/>
        <w:rPr>
          <w:rFonts w:ascii="Times New Roman" w:hAnsi="Times New Roman" w:cs="Times New Roman"/>
          <w:b/>
          <w:color w:val="auto"/>
          <w:sz w:val="21"/>
          <w:szCs w:val="21"/>
        </w:rPr>
      </w:pPr>
      <w:r>
        <w:rPr>
          <w:rFonts w:hint="eastAsia" w:ascii="Times New Roman" w:cs="Times New Roman"/>
          <w:b/>
          <w:color w:val="auto"/>
          <w:sz w:val="21"/>
          <w:szCs w:val="21"/>
        </w:rPr>
        <w:t>食品药品管理局</w:t>
      </w:r>
    </w:p>
    <w:p w14:paraId="23F17EC9">
      <w:pPr>
        <w:tabs>
          <w:tab w:val="left" w:pos="5258"/>
        </w:tabs>
        <w:adjustRightInd w:val="0"/>
        <w:snapToGrid w:val="0"/>
        <w:spacing w:line="360" w:lineRule="auto"/>
        <w:jc w:val="right"/>
        <w:rPr>
          <w:rFonts w:ascii="Times New Roman" w:hAnsi="Times New Roman" w:cs="Times New Roman"/>
          <w:b/>
          <w:color w:val="auto"/>
          <w:sz w:val="21"/>
          <w:szCs w:val="21"/>
        </w:rPr>
      </w:pPr>
      <w:r>
        <w:rPr>
          <w:rFonts w:hint="eastAsia" w:ascii="Times New Roman" w:cs="Times New Roman"/>
          <w:b/>
          <w:color w:val="auto"/>
          <w:sz w:val="21"/>
          <w:szCs w:val="21"/>
        </w:rPr>
        <w:t>器械和放射健康中心</w:t>
      </w:r>
    </w:p>
    <w:p w14:paraId="1158C996">
      <w:pPr>
        <w:adjustRightInd w:val="0"/>
        <w:snapToGrid w:val="0"/>
        <w:spacing w:beforeLines="50" w:line="360" w:lineRule="auto"/>
        <w:jc w:val="right"/>
        <w:rPr>
          <w:rFonts w:ascii="Times New Roman" w:hAnsi="Times New Roman" w:cs="Times New Roman"/>
          <w:b/>
          <w:color w:val="auto"/>
          <w:sz w:val="21"/>
          <w:szCs w:val="21"/>
        </w:rPr>
      </w:pPr>
      <w:r>
        <w:rPr>
          <w:rFonts w:ascii="Times New Roman" w:hAnsi="Times New Roman" w:cs="Times New Roman"/>
          <w:b/>
          <w:color w:val="auto"/>
          <w:sz w:val="21"/>
          <w:szCs w:val="21"/>
        </w:rPr>
        <w:t>CDRH BSE</w:t>
      </w:r>
      <w:r>
        <w:rPr>
          <w:rFonts w:hint="eastAsia" w:ascii="Times New Roman" w:cs="Times New Roman"/>
          <w:b/>
          <w:color w:val="auto"/>
          <w:sz w:val="21"/>
          <w:szCs w:val="21"/>
        </w:rPr>
        <w:t>工作组</w:t>
      </w:r>
    </w:p>
    <w:p w14:paraId="14A74C9E">
      <w:pPr>
        <w:widowControl/>
        <w:adjustRightInd w:val="0"/>
        <w:snapToGrid w:val="0"/>
        <w:spacing w:line="360" w:lineRule="auto"/>
        <w:jc w:val="center"/>
        <w:rPr>
          <w:rFonts w:ascii="Times New Roman" w:hAnsi="Times New Roman" w:cs="Times New Roman"/>
          <w:b/>
          <w:color w:val="auto"/>
          <w:sz w:val="44"/>
          <w:szCs w:val="44"/>
        </w:rPr>
      </w:pPr>
      <w:r>
        <w:rPr>
          <w:rFonts w:ascii="Times New Roman" w:hAnsi="Times New Roman" w:cs="Times New Roman"/>
          <w:b/>
          <w:color w:val="auto"/>
          <w:sz w:val="21"/>
          <w:szCs w:val="21"/>
        </w:rPr>
        <w:br w:type="page"/>
      </w:r>
      <w:r>
        <w:rPr>
          <w:rFonts w:hint="eastAsia" w:ascii="Times New Roman" w:cs="Times New Roman"/>
          <w:b/>
          <w:color w:val="auto"/>
          <w:sz w:val="44"/>
          <w:szCs w:val="44"/>
        </w:rPr>
        <w:t>前言</w:t>
      </w:r>
    </w:p>
    <w:p w14:paraId="45BE247D">
      <w:pPr>
        <w:adjustRightInd w:val="0"/>
        <w:snapToGrid w:val="0"/>
        <w:spacing w:line="360" w:lineRule="auto"/>
        <w:jc w:val="both"/>
        <w:rPr>
          <w:rFonts w:ascii="Times New Roman" w:hAnsi="Times New Roman" w:cs="Times New Roman"/>
          <w:b/>
          <w:color w:val="auto"/>
          <w:sz w:val="32"/>
          <w:szCs w:val="32"/>
        </w:rPr>
      </w:pPr>
      <w:bookmarkStart w:id="0" w:name="bookmark4"/>
      <w:r>
        <w:rPr>
          <w:rFonts w:hint="eastAsia" w:ascii="Times New Roman" w:cs="Times New Roman"/>
          <w:b/>
          <w:color w:val="auto"/>
          <w:sz w:val="32"/>
          <w:szCs w:val="32"/>
        </w:rPr>
        <w:t>公众意见</w:t>
      </w:r>
      <w:bookmarkEnd w:id="0"/>
    </w:p>
    <w:p w14:paraId="07460080">
      <w:pPr>
        <w:adjustRightInd w:val="0"/>
        <w:snapToGrid w:val="0"/>
        <w:spacing w:beforeLines="50" w:line="360" w:lineRule="auto"/>
        <w:ind w:left="480" w:leftChars="200"/>
        <w:jc w:val="both"/>
        <w:rPr>
          <w:rFonts w:ascii="Times New Roman" w:hAnsi="Times New Roman" w:cs="Times New Roman"/>
          <w:color w:val="auto"/>
          <w:sz w:val="21"/>
          <w:szCs w:val="21"/>
        </w:rPr>
      </w:pPr>
      <w:r>
        <w:rPr>
          <w:rFonts w:hint="eastAsia" w:ascii="Times New Roman" w:cs="Times New Roman"/>
          <w:color w:val="auto"/>
          <w:sz w:val="21"/>
          <w:szCs w:val="21"/>
        </w:rPr>
        <w:t>直到</w:t>
      </w:r>
      <w:r>
        <w:rPr>
          <w:rFonts w:ascii="Times New Roman" w:hAnsi="Times New Roman" w:cs="Times New Roman"/>
          <w:color w:val="auto"/>
          <w:sz w:val="21"/>
          <w:szCs w:val="21"/>
        </w:rPr>
        <w:t>1999</w:t>
      </w:r>
      <w:r>
        <w:rPr>
          <w:rFonts w:hint="eastAsia" w:ascii="Times New Roman" w:cs="Times New Roman"/>
          <w:color w:val="auto"/>
          <w:sz w:val="21"/>
          <w:szCs w:val="21"/>
        </w:rPr>
        <w:t>年</w:t>
      </w:r>
      <w:r>
        <w:rPr>
          <w:rFonts w:ascii="Times New Roman" w:hAnsi="Times New Roman" w:cs="Times New Roman"/>
          <w:color w:val="auto"/>
          <w:sz w:val="21"/>
          <w:szCs w:val="21"/>
        </w:rPr>
        <w:t>2</w:t>
      </w:r>
      <w:r>
        <w:rPr>
          <w:rFonts w:hint="eastAsia" w:ascii="Times New Roman" w:cs="Times New Roman"/>
          <w:color w:val="auto"/>
          <w:sz w:val="21"/>
          <w:szCs w:val="21"/>
        </w:rPr>
        <w:t>月</w:t>
      </w:r>
      <w:r>
        <w:rPr>
          <w:rFonts w:ascii="Times New Roman" w:hAnsi="Times New Roman" w:cs="Times New Roman"/>
          <w:color w:val="auto"/>
          <w:sz w:val="21"/>
          <w:szCs w:val="21"/>
        </w:rPr>
        <w:t>4</w:t>
      </w:r>
      <w:r>
        <w:rPr>
          <w:rFonts w:hint="eastAsia" w:ascii="Times New Roman" w:cs="Times New Roman"/>
          <w:color w:val="auto"/>
          <w:sz w:val="21"/>
          <w:szCs w:val="21"/>
        </w:rPr>
        <w:t>日，有关本文件的意见和建议应提交给备案录编号</w:t>
      </w:r>
      <w:r>
        <w:rPr>
          <w:rFonts w:ascii="Times New Roman" w:hAnsi="Times New Roman" w:cs="Times New Roman"/>
          <w:color w:val="auto"/>
          <w:sz w:val="21"/>
          <w:szCs w:val="21"/>
        </w:rPr>
        <w:t xml:space="preserve"> 98D-0924</w:t>
      </w:r>
      <w:r>
        <w:rPr>
          <w:rFonts w:hint="eastAsia" w:ascii="Times New Roman" w:cs="Times New Roman"/>
          <w:color w:val="auto"/>
          <w:sz w:val="21"/>
          <w:szCs w:val="21"/>
        </w:rPr>
        <w:t>，备案录管理处，管理系统与政策司，食品药品管理局人力资源与管理服务处，地址：</w:t>
      </w:r>
      <w:r>
        <w:rPr>
          <w:rFonts w:ascii="Times New Roman" w:hAnsi="Times New Roman" w:cs="Times New Roman"/>
          <w:color w:val="auto"/>
          <w:sz w:val="21"/>
          <w:szCs w:val="21"/>
        </w:rPr>
        <w:t>12420 Parklawn Drive</w:t>
      </w:r>
      <w:r>
        <w:rPr>
          <w:rFonts w:hint="eastAsia" w:ascii="Times New Roman" w:cs="Times New Roman"/>
          <w:color w:val="auto"/>
          <w:sz w:val="21"/>
          <w:szCs w:val="21"/>
        </w:rPr>
        <w:t>（</w:t>
      </w:r>
      <w:r>
        <w:rPr>
          <w:rFonts w:ascii="Times New Roman" w:hAnsi="Times New Roman" w:cs="Times New Roman"/>
          <w:color w:val="auto"/>
          <w:sz w:val="21"/>
          <w:szCs w:val="21"/>
        </w:rPr>
        <w:t>HFA-305</w:t>
      </w:r>
      <w:r>
        <w:rPr>
          <w:rFonts w:hint="eastAsia" w:ascii="Times New Roman" w:cs="Times New Roman"/>
          <w:color w:val="auto"/>
          <w:sz w:val="21"/>
          <w:szCs w:val="21"/>
        </w:rPr>
        <w:t>），</w:t>
      </w:r>
      <w:r>
        <w:rPr>
          <w:rFonts w:ascii="Times New Roman" w:hAnsi="Times New Roman" w:cs="Times New Roman"/>
          <w:color w:val="auto"/>
          <w:sz w:val="21"/>
          <w:szCs w:val="21"/>
        </w:rPr>
        <w:t>1-23</w:t>
      </w:r>
      <w:r>
        <w:rPr>
          <w:rFonts w:hint="eastAsia" w:ascii="Times New Roman" w:cs="Times New Roman"/>
          <w:color w:val="auto"/>
          <w:sz w:val="21"/>
          <w:szCs w:val="21"/>
        </w:rPr>
        <w:t>室，马里兰州</w:t>
      </w:r>
      <w:r>
        <w:rPr>
          <w:rFonts w:ascii="Times New Roman" w:hAnsi="Times New Roman" w:cs="Times New Roman"/>
          <w:color w:val="auto"/>
          <w:sz w:val="21"/>
          <w:szCs w:val="21"/>
        </w:rPr>
        <w:t>Rockville</w:t>
      </w:r>
      <w:r>
        <w:rPr>
          <w:rFonts w:hint="eastAsia" w:ascii="Times New Roman" w:cs="Times New Roman"/>
          <w:color w:val="auto"/>
          <w:sz w:val="21"/>
          <w:szCs w:val="21"/>
        </w:rPr>
        <w:t>市，邮编：</w:t>
      </w:r>
      <w:r>
        <w:rPr>
          <w:rFonts w:ascii="Times New Roman" w:hAnsi="Times New Roman" w:cs="Times New Roman"/>
          <w:color w:val="auto"/>
          <w:sz w:val="21"/>
          <w:szCs w:val="21"/>
        </w:rPr>
        <w:t>20857</w:t>
      </w:r>
      <w:r>
        <w:rPr>
          <w:rFonts w:hint="eastAsia" w:ascii="Times New Roman" w:cs="Times New Roman"/>
          <w:color w:val="auto"/>
          <w:sz w:val="21"/>
          <w:szCs w:val="21"/>
        </w:rPr>
        <w:t>。在决定是否要修改现行版指南时，会考虑这些意见。</w:t>
      </w:r>
    </w:p>
    <w:p w14:paraId="2E0900E1">
      <w:pPr>
        <w:adjustRightInd w:val="0"/>
        <w:snapToGrid w:val="0"/>
        <w:spacing w:beforeLines="50" w:line="360" w:lineRule="auto"/>
        <w:ind w:left="480" w:leftChars="200"/>
        <w:jc w:val="both"/>
        <w:rPr>
          <w:rFonts w:ascii="Times New Roman" w:hAnsi="Times New Roman" w:cs="Times New Roman"/>
          <w:color w:val="auto"/>
          <w:sz w:val="21"/>
          <w:szCs w:val="21"/>
        </w:rPr>
      </w:pPr>
      <w:r>
        <w:rPr>
          <w:rFonts w:ascii="Times New Roman" w:hAnsi="Times New Roman" w:cs="Times New Roman"/>
          <w:color w:val="auto"/>
          <w:sz w:val="21"/>
          <w:szCs w:val="21"/>
        </w:rPr>
        <w:t>1999</w:t>
      </w:r>
      <w:r>
        <w:rPr>
          <w:rFonts w:hint="eastAsia" w:ascii="Times New Roman" w:cs="Times New Roman"/>
          <w:color w:val="auto"/>
          <w:sz w:val="21"/>
          <w:szCs w:val="21"/>
        </w:rPr>
        <w:t>年</w:t>
      </w:r>
      <w:r>
        <w:rPr>
          <w:rFonts w:ascii="Times New Roman" w:hAnsi="Times New Roman" w:cs="Times New Roman"/>
          <w:color w:val="auto"/>
          <w:sz w:val="21"/>
          <w:szCs w:val="21"/>
        </w:rPr>
        <w:t>2</w:t>
      </w:r>
      <w:r>
        <w:rPr>
          <w:rFonts w:hint="eastAsia" w:ascii="Times New Roman" w:cs="Times New Roman"/>
          <w:color w:val="auto"/>
          <w:sz w:val="21"/>
          <w:szCs w:val="21"/>
        </w:rPr>
        <w:t>月</w:t>
      </w:r>
      <w:r>
        <w:rPr>
          <w:rFonts w:ascii="Times New Roman" w:hAnsi="Times New Roman" w:cs="Times New Roman"/>
          <w:color w:val="auto"/>
          <w:sz w:val="21"/>
          <w:szCs w:val="21"/>
        </w:rPr>
        <w:t>4</w:t>
      </w:r>
      <w:r>
        <w:rPr>
          <w:rFonts w:hint="eastAsia" w:ascii="Times New Roman" w:cs="Times New Roman"/>
          <w:color w:val="auto"/>
          <w:sz w:val="21"/>
          <w:szCs w:val="21"/>
        </w:rPr>
        <w:t>日以后，可以随时向机构提交意见和建议：</w:t>
      </w:r>
      <w:r>
        <w:rPr>
          <w:rFonts w:ascii="Times New Roman" w:hAnsi="Times New Roman" w:cs="Times New Roman"/>
          <w:color w:val="auto"/>
          <w:sz w:val="21"/>
          <w:szCs w:val="21"/>
        </w:rPr>
        <w:t>Kiki B. Hellman</w:t>
      </w:r>
      <w:r>
        <w:rPr>
          <w:rFonts w:hint="eastAsia" w:ascii="Times New Roman" w:cs="Times New Roman"/>
          <w:color w:val="auto"/>
          <w:sz w:val="21"/>
          <w:szCs w:val="21"/>
        </w:rPr>
        <w:t>哲学博士，科学技术厅（</w:t>
      </w:r>
      <w:r>
        <w:rPr>
          <w:rFonts w:ascii="Times New Roman" w:hAnsi="Times New Roman" w:cs="Times New Roman"/>
          <w:color w:val="auto"/>
          <w:sz w:val="21"/>
          <w:szCs w:val="21"/>
        </w:rPr>
        <w:t>HFZ-113</w:t>
      </w:r>
      <w:r>
        <w:rPr>
          <w:rFonts w:hint="eastAsia" w:ascii="Times New Roman" w:cs="Times New Roman"/>
          <w:color w:val="auto"/>
          <w:sz w:val="21"/>
          <w:szCs w:val="21"/>
        </w:rPr>
        <w:t>），食品药品管理局设备和放射健康中心，</w:t>
      </w:r>
      <w:r>
        <w:rPr>
          <w:rFonts w:ascii="Times New Roman" w:hAnsi="Times New Roman" w:cs="Times New Roman"/>
          <w:color w:val="auto"/>
          <w:sz w:val="21"/>
          <w:szCs w:val="21"/>
        </w:rPr>
        <w:t>9200 Corporate Blvd.</w:t>
      </w:r>
      <w:r>
        <w:rPr>
          <w:rFonts w:hint="eastAsia" w:ascii="Times New Roman" w:cs="Times New Roman"/>
          <w:color w:val="auto"/>
          <w:sz w:val="21"/>
          <w:szCs w:val="21"/>
        </w:rPr>
        <w:t>，马里兰州</w:t>
      </w:r>
      <w:r>
        <w:rPr>
          <w:rFonts w:ascii="Times New Roman" w:hAnsi="Times New Roman" w:cs="Times New Roman"/>
          <w:color w:val="auto"/>
          <w:sz w:val="21"/>
          <w:szCs w:val="21"/>
        </w:rPr>
        <w:t>Rockville</w:t>
      </w:r>
      <w:r>
        <w:rPr>
          <w:rFonts w:hint="eastAsia" w:ascii="Times New Roman" w:cs="Times New Roman"/>
          <w:color w:val="auto"/>
          <w:sz w:val="21"/>
          <w:szCs w:val="21"/>
        </w:rPr>
        <w:t>市，邮编：</w:t>
      </w:r>
      <w:r>
        <w:rPr>
          <w:rFonts w:ascii="Times New Roman" w:hAnsi="Times New Roman" w:cs="Times New Roman"/>
          <w:color w:val="auto"/>
          <w:sz w:val="21"/>
          <w:szCs w:val="21"/>
        </w:rPr>
        <w:t>20850</w:t>
      </w:r>
      <w:r>
        <w:rPr>
          <w:rFonts w:hint="eastAsia" w:ascii="Times New Roman" w:cs="Times New Roman"/>
          <w:color w:val="auto"/>
          <w:sz w:val="21"/>
          <w:szCs w:val="21"/>
        </w:rPr>
        <w:t>。在下一次修订或更新文件之前，机构不得对此作出评论。关于使用或解释本指导的问题，请致电（</w:t>
      </w:r>
      <w:r>
        <w:rPr>
          <w:rFonts w:ascii="Times New Roman" w:hAnsi="Times New Roman" w:cs="Times New Roman"/>
          <w:color w:val="auto"/>
          <w:sz w:val="21"/>
          <w:szCs w:val="21"/>
        </w:rPr>
        <w:t>301</w:t>
      </w:r>
      <w:r>
        <w:rPr>
          <w:rFonts w:hint="eastAsia" w:ascii="Times New Roman" w:cs="Times New Roman"/>
          <w:color w:val="auto"/>
          <w:sz w:val="21"/>
          <w:szCs w:val="21"/>
        </w:rPr>
        <w:t>）</w:t>
      </w:r>
      <w:r>
        <w:rPr>
          <w:rFonts w:ascii="Times New Roman" w:hAnsi="Times New Roman" w:cs="Times New Roman"/>
          <w:color w:val="auto"/>
          <w:sz w:val="21"/>
          <w:szCs w:val="21"/>
        </w:rPr>
        <w:t>443-7158</w:t>
      </w:r>
      <w:r>
        <w:rPr>
          <w:rFonts w:hint="eastAsia" w:ascii="Times New Roman" w:cs="Times New Roman"/>
          <w:color w:val="auto"/>
          <w:sz w:val="21"/>
          <w:szCs w:val="21"/>
        </w:rPr>
        <w:t>联系</w:t>
      </w:r>
      <w:r>
        <w:rPr>
          <w:rFonts w:ascii="Times New Roman" w:hAnsi="Times New Roman" w:cs="Times New Roman"/>
          <w:color w:val="auto"/>
          <w:sz w:val="21"/>
          <w:szCs w:val="21"/>
        </w:rPr>
        <w:t>Kiki B. Hellman</w:t>
      </w:r>
      <w:r>
        <w:rPr>
          <w:rFonts w:hint="eastAsia" w:ascii="Times New Roman" w:cs="Times New Roman"/>
          <w:color w:val="auto"/>
          <w:sz w:val="21"/>
          <w:szCs w:val="21"/>
        </w:rPr>
        <w:t>哲学博士，或联系器械评估办公室（</w:t>
      </w:r>
      <w:r>
        <w:rPr>
          <w:rFonts w:ascii="Times New Roman" w:hAnsi="Times New Roman" w:cs="Times New Roman"/>
          <w:color w:val="auto"/>
          <w:sz w:val="21"/>
          <w:szCs w:val="21"/>
        </w:rPr>
        <w:t>HFZ-460</w:t>
      </w:r>
      <w:r>
        <w:rPr>
          <w:rFonts w:hint="eastAsia" w:ascii="Times New Roman" w:cs="Times New Roman"/>
          <w:color w:val="auto"/>
          <w:sz w:val="21"/>
          <w:szCs w:val="21"/>
        </w:rPr>
        <w:t>）的</w:t>
      </w:r>
      <w:r>
        <w:rPr>
          <w:rFonts w:ascii="Times New Roman" w:hAnsi="Times New Roman" w:cs="Times New Roman"/>
          <w:color w:val="auto"/>
          <w:sz w:val="21"/>
          <w:szCs w:val="21"/>
        </w:rPr>
        <w:t>Karen F. Warburton</w:t>
      </w:r>
      <w:r>
        <w:rPr>
          <w:rFonts w:hint="eastAsia" w:ascii="Times New Roman" w:cs="Times New Roman"/>
          <w:color w:val="auto"/>
          <w:sz w:val="21"/>
          <w:szCs w:val="21"/>
        </w:rPr>
        <w:t>。</w:t>
      </w:r>
    </w:p>
    <w:p w14:paraId="1725D59D">
      <w:pPr>
        <w:adjustRightInd w:val="0"/>
        <w:snapToGrid w:val="0"/>
        <w:spacing w:beforeLines="50" w:line="360" w:lineRule="auto"/>
        <w:jc w:val="both"/>
        <w:rPr>
          <w:rFonts w:ascii="Times New Roman" w:hAnsi="Times New Roman" w:cs="Times New Roman"/>
          <w:b/>
          <w:color w:val="auto"/>
          <w:sz w:val="32"/>
          <w:szCs w:val="32"/>
        </w:rPr>
      </w:pPr>
      <w:bookmarkStart w:id="1" w:name="bookmark5"/>
      <w:r>
        <w:rPr>
          <w:rFonts w:hint="eastAsia" w:ascii="Times New Roman" w:cs="Times New Roman"/>
          <w:b/>
          <w:color w:val="auto"/>
          <w:sz w:val="32"/>
          <w:szCs w:val="32"/>
        </w:rPr>
        <w:t>额外副本</w:t>
      </w:r>
      <w:bookmarkEnd w:id="1"/>
    </w:p>
    <w:p w14:paraId="108129D5">
      <w:pPr>
        <w:pStyle w:val="18"/>
        <w:snapToGrid w:val="0"/>
        <w:spacing w:afterLines="50" w:line="360" w:lineRule="auto"/>
        <w:ind w:left="480" w:leftChars="200"/>
        <w:jc w:val="both"/>
        <w:rPr>
          <w:sz w:val="21"/>
          <w:szCs w:val="21"/>
        </w:rPr>
      </w:pPr>
      <w:r>
        <w:rPr>
          <w:rFonts w:hint="eastAsia" w:hAnsi="宋体"/>
          <w:sz w:val="21"/>
          <w:szCs w:val="21"/>
        </w:rPr>
        <w:t>需要时可访问万维网</w:t>
      </w:r>
      <w:r>
        <w:rPr>
          <w:sz w:val="21"/>
          <w:szCs w:val="21"/>
        </w:rPr>
        <w:t xml:space="preserve">/CDRH </w:t>
      </w:r>
      <w:r>
        <w:rPr>
          <w:rFonts w:hint="eastAsia" w:hAnsi="宋体"/>
          <w:sz w:val="21"/>
          <w:szCs w:val="21"/>
        </w:rPr>
        <w:t>主页</w:t>
      </w:r>
      <w:r>
        <w:rPr>
          <w:sz w:val="21"/>
          <w:szCs w:val="21"/>
        </w:rPr>
        <w:t>http</w:t>
      </w:r>
      <w:r>
        <w:rPr>
          <w:rFonts w:hint="eastAsia"/>
          <w:sz w:val="21"/>
          <w:szCs w:val="21"/>
        </w:rPr>
        <w:t>：</w:t>
      </w:r>
      <w:r>
        <w:rPr>
          <w:sz w:val="21"/>
          <w:szCs w:val="21"/>
        </w:rPr>
        <w:t xml:space="preserve">//www.fda.gov/cdrh </w:t>
      </w:r>
      <w:r>
        <w:rPr>
          <w:rFonts w:hint="eastAsia" w:hAnsi="宋体"/>
          <w:sz w:val="21"/>
          <w:szCs w:val="21"/>
        </w:rPr>
        <w:t>或使用</w:t>
      </w:r>
      <w:r>
        <w:rPr>
          <w:sz w:val="21"/>
          <w:szCs w:val="21"/>
        </w:rPr>
        <w:t>CDRH</w:t>
      </w:r>
      <w:r>
        <w:rPr>
          <w:rFonts w:hint="eastAsia" w:hAnsi="宋体"/>
          <w:sz w:val="21"/>
          <w:szCs w:val="21"/>
        </w:rPr>
        <w:t>自动回传系统</w:t>
      </w:r>
      <w:r>
        <w:rPr>
          <w:sz w:val="21"/>
          <w:szCs w:val="21"/>
        </w:rPr>
        <w:t xml:space="preserve">1-800-899-0381 </w:t>
      </w:r>
      <w:r>
        <w:rPr>
          <w:rFonts w:hint="eastAsia" w:hAnsi="宋体"/>
          <w:sz w:val="21"/>
          <w:szCs w:val="21"/>
        </w:rPr>
        <w:t>或</w:t>
      </w:r>
      <w:r>
        <w:rPr>
          <w:sz w:val="21"/>
          <w:szCs w:val="21"/>
        </w:rPr>
        <w:t>301-827-0111</w:t>
      </w:r>
      <w:r>
        <w:rPr>
          <w:rFonts w:hint="eastAsia" w:hAnsi="宋体"/>
          <w:sz w:val="21"/>
          <w:szCs w:val="21"/>
        </w:rPr>
        <w:t>，当提示输入货架号时请输入</w:t>
      </w:r>
      <w:r>
        <w:rPr>
          <w:sz w:val="21"/>
          <w:szCs w:val="21"/>
        </w:rPr>
        <w:t>2206</w:t>
      </w:r>
      <w:r>
        <w:rPr>
          <w:rFonts w:hint="eastAsia" w:hAnsi="宋体"/>
          <w:sz w:val="21"/>
          <w:szCs w:val="21"/>
        </w:rPr>
        <w:t>。</w:t>
      </w:r>
    </w:p>
    <w:p w14:paraId="50A50610">
      <w:pPr>
        <w:adjustRightInd w:val="0"/>
        <w:snapToGrid w:val="0"/>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hint="eastAsia" w:ascii="Times New Roman" w:cs="Times New Roman"/>
          <w:color w:val="auto"/>
          <w:sz w:val="21"/>
          <w:szCs w:val="21"/>
        </w:rPr>
        <w:t>含动物源材料医疗器械（体外诊断器械除外），</w:t>
      </w:r>
      <w:r>
        <w:rPr>
          <w:rFonts w:ascii="Times New Roman" w:hAnsi="Times New Roman" w:cs="Times New Roman"/>
          <w:color w:val="auto"/>
          <w:sz w:val="21"/>
          <w:szCs w:val="21"/>
        </w:rPr>
        <w:t>FDA</w:t>
      </w:r>
      <w:r>
        <w:rPr>
          <w:rFonts w:hint="eastAsia" w:ascii="Times New Roman" w:cs="Times New Roman"/>
          <w:color w:val="auto"/>
          <w:sz w:val="21"/>
          <w:szCs w:val="21"/>
        </w:rPr>
        <w:t>审查员和行业指南</w:t>
      </w:r>
    </w:p>
    <w:p w14:paraId="67CC178C">
      <w:pPr>
        <w:adjustRightInd w:val="0"/>
        <w:snapToGrid w:val="0"/>
        <w:spacing w:beforeLines="50" w:line="360" w:lineRule="auto"/>
        <w:jc w:val="both"/>
        <w:rPr>
          <w:rFonts w:ascii="Times New Roman" w:hAnsi="Times New Roman" w:cs="Times New Roman"/>
          <w:color w:val="auto"/>
          <w:sz w:val="21"/>
          <w:szCs w:val="21"/>
          <w:u w:val="single"/>
        </w:rPr>
      </w:pPr>
      <w:r>
        <w:rPr>
          <w:rFonts w:hint="eastAsia" w:ascii="Times New Roman" w:cs="Times New Roman"/>
          <w:color w:val="auto"/>
          <w:sz w:val="21"/>
          <w:szCs w:val="21"/>
          <w:u w:val="single"/>
        </w:rPr>
        <w:t>前言和背景</w:t>
      </w:r>
    </w:p>
    <w:p w14:paraId="0BB87185">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牛脑海绵状病（</w:t>
      </w:r>
      <w:r>
        <w:rPr>
          <w:rFonts w:ascii="Times New Roman" w:hAnsi="Times New Roman" w:cs="Times New Roman"/>
          <w:color w:val="auto"/>
          <w:sz w:val="21"/>
          <w:szCs w:val="21"/>
        </w:rPr>
        <w:t>BSE</w:t>
      </w:r>
      <w:r>
        <w:rPr>
          <w:rFonts w:hint="eastAsia" w:ascii="Times New Roman" w:cs="Times New Roman"/>
          <w:color w:val="auto"/>
          <w:sz w:val="21"/>
          <w:szCs w:val="21"/>
        </w:rPr>
        <w:t>）是一种影响牛中枢神经系统的退行性疾病。它与其他的传播性脑海绵状病（</w:t>
      </w:r>
      <w:r>
        <w:rPr>
          <w:rFonts w:ascii="Times New Roman" w:hAnsi="Times New Roman" w:cs="Times New Roman"/>
          <w:color w:val="auto"/>
          <w:sz w:val="21"/>
          <w:szCs w:val="21"/>
        </w:rPr>
        <w:t>TSE</w:t>
      </w:r>
      <w:r>
        <w:rPr>
          <w:rFonts w:hint="eastAsia" w:ascii="Times New Roman" w:cs="Times New Roman"/>
          <w:color w:val="auto"/>
          <w:sz w:val="21"/>
          <w:szCs w:val="21"/>
        </w:rPr>
        <w:t>）相似，如羊瘙痒病和人克雅氏病（</w:t>
      </w:r>
      <w:r>
        <w:rPr>
          <w:rFonts w:ascii="Times New Roman" w:hAnsi="Times New Roman" w:cs="Times New Roman"/>
          <w:color w:val="auto"/>
          <w:sz w:val="21"/>
          <w:szCs w:val="21"/>
        </w:rPr>
        <w:t>CJD</w:t>
      </w:r>
      <w:r>
        <w:rPr>
          <w:rFonts w:hint="eastAsia" w:ascii="Times New Roman" w:cs="Times New Roman"/>
          <w:color w:val="auto"/>
          <w:sz w:val="21"/>
          <w:szCs w:val="21"/>
        </w:rPr>
        <w:t>）。</w:t>
      </w:r>
      <w:r>
        <w:rPr>
          <w:rFonts w:ascii="Times New Roman" w:hAnsi="Times New Roman" w:cs="Times New Roman"/>
          <w:color w:val="auto"/>
          <w:sz w:val="21"/>
          <w:szCs w:val="21"/>
        </w:rPr>
        <w:t>BSE</w:t>
      </w:r>
      <w:r>
        <w:rPr>
          <w:rFonts w:hint="eastAsia" w:ascii="Times New Roman" w:cs="Times New Roman"/>
          <w:color w:val="auto"/>
          <w:sz w:val="21"/>
          <w:szCs w:val="21"/>
        </w:rPr>
        <w:t>的潜伏期约会持续</w:t>
      </w:r>
      <w:r>
        <w:rPr>
          <w:rFonts w:ascii="Times New Roman" w:hAnsi="Times New Roman" w:cs="Times New Roman"/>
          <w:color w:val="auto"/>
          <w:sz w:val="21"/>
          <w:szCs w:val="21"/>
        </w:rPr>
        <w:t>2-8</w:t>
      </w:r>
      <w:r>
        <w:rPr>
          <w:rFonts w:hint="eastAsia" w:ascii="Times New Roman" w:cs="Times New Roman"/>
          <w:color w:val="auto"/>
          <w:sz w:val="21"/>
          <w:szCs w:val="21"/>
        </w:rPr>
        <w:t>年。目前尚无治疗方法，也没有能在动物活体上检测该疾病的可靠检验方法。目前诊断通过脑组织显微镜检查来确定。</w:t>
      </w:r>
      <w:r>
        <w:rPr>
          <w:rFonts w:ascii="Times New Roman" w:hAnsi="Times New Roman" w:cs="Times New Roman"/>
          <w:color w:val="auto"/>
          <w:sz w:val="21"/>
          <w:szCs w:val="21"/>
        </w:rPr>
        <w:t>BSE</w:t>
      </w:r>
      <w:r>
        <w:rPr>
          <w:rFonts w:hint="eastAsia" w:ascii="Times New Roman" w:cs="Times New Roman"/>
          <w:color w:val="auto"/>
          <w:sz w:val="21"/>
          <w:szCs w:val="21"/>
        </w:rPr>
        <w:t>病原体的本质广泛地认为是朊病毒，这是一种正常细胞蛋白的异常折叠版。这种异常蛋白随后募集更多的正常蛋白分子，并促使它们转变为异常的结构形式。这种病原体极其能耐受传统的消毒和灭菌方法。而随着诊断、治疗和病原体特性等方面新信息的出现，该指南将会进行适当地调整。</w:t>
      </w:r>
    </w:p>
    <w:p w14:paraId="05A13054">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流行病学数据显示</w:t>
      </w:r>
      <w:r>
        <w:rPr>
          <w:rFonts w:ascii="Times New Roman" w:hAnsi="Times New Roman" w:cs="Times New Roman"/>
          <w:color w:val="auto"/>
          <w:sz w:val="21"/>
          <w:szCs w:val="21"/>
        </w:rPr>
        <w:t>BSE</w:t>
      </w:r>
      <w:r>
        <w:rPr>
          <w:rFonts w:hint="eastAsia" w:ascii="Times New Roman" w:cs="Times New Roman"/>
          <w:color w:val="auto"/>
          <w:sz w:val="21"/>
          <w:szCs w:val="21"/>
        </w:rPr>
        <w:t>于</w:t>
      </w:r>
      <w:r>
        <w:rPr>
          <w:rFonts w:ascii="Times New Roman" w:hAnsi="Times New Roman" w:cs="Times New Roman"/>
          <w:color w:val="auto"/>
          <w:sz w:val="21"/>
          <w:szCs w:val="21"/>
        </w:rPr>
        <w:t>1986</w:t>
      </w:r>
      <w:r>
        <w:rPr>
          <w:rFonts w:hint="eastAsia" w:ascii="Times New Roman" w:cs="Times New Roman"/>
          <w:color w:val="auto"/>
          <w:sz w:val="21"/>
          <w:szCs w:val="21"/>
        </w:rPr>
        <w:t>年开始在英国流行，其发生是因为用受污染的肉和骨粉作为蛋白质源喂养牛。</w:t>
      </w:r>
      <w:r>
        <w:rPr>
          <w:rFonts w:ascii="Times New Roman" w:hAnsi="Times New Roman" w:cs="Times New Roman"/>
          <w:color w:val="auto"/>
          <w:sz w:val="21"/>
          <w:szCs w:val="21"/>
        </w:rPr>
        <w:t>BSE</w:t>
      </w:r>
      <w:r>
        <w:rPr>
          <w:rFonts w:hint="eastAsia" w:ascii="Times New Roman" w:cs="Times New Roman"/>
          <w:color w:val="auto"/>
          <w:sz w:val="21"/>
          <w:szCs w:val="21"/>
        </w:rPr>
        <w:t>病原体可能已经存在了很长一段时间，但是</w:t>
      </w:r>
      <w:r>
        <w:rPr>
          <w:rFonts w:ascii="Times New Roman" w:hAnsi="Times New Roman" w:cs="Times New Roman"/>
          <w:color w:val="auto"/>
          <w:sz w:val="21"/>
          <w:szCs w:val="21"/>
        </w:rPr>
        <w:t>70</w:t>
      </w:r>
      <w:r>
        <w:rPr>
          <w:rFonts w:hint="eastAsia" w:ascii="Times New Roman" w:cs="Times New Roman"/>
          <w:color w:val="auto"/>
          <w:sz w:val="21"/>
          <w:szCs w:val="21"/>
        </w:rPr>
        <w:t>年代晚期和</w:t>
      </w:r>
      <w:r>
        <w:rPr>
          <w:rFonts w:ascii="Times New Roman" w:hAnsi="Times New Roman" w:cs="Times New Roman"/>
          <w:color w:val="auto"/>
          <w:sz w:val="21"/>
          <w:szCs w:val="21"/>
        </w:rPr>
        <w:t>80</w:t>
      </w:r>
      <w:r>
        <w:rPr>
          <w:rFonts w:hint="eastAsia" w:ascii="Times New Roman" w:cs="Times New Roman"/>
          <w:color w:val="auto"/>
          <w:sz w:val="21"/>
          <w:szCs w:val="21"/>
        </w:rPr>
        <w:t>年代早期间处理过程的改变使得活跃的病原体能在动物饲料中存活。这种病原体被认为来自感染瘙痒病的羊，但不排除来自患有既往并未确定</w:t>
      </w:r>
      <w:r>
        <w:rPr>
          <w:rFonts w:ascii="Times New Roman" w:hAnsi="Times New Roman" w:cs="Times New Roman"/>
          <w:color w:val="auto"/>
          <w:sz w:val="21"/>
          <w:szCs w:val="21"/>
        </w:rPr>
        <w:t>TSE</w:t>
      </w:r>
      <w:r>
        <w:rPr>
          <w:rFonts w:hint="eastAsia" w:ascii="Times New Roman" w:cs="Times New Roman"/>
          <w:color w:val="auto"/>
          <w:sz w:val="21"/>
          <w:szCs w:val="21"/>
        </w:rPr>
        <w:t>的牛。英国变异</w:t>
      </w:r>
      <w:r>
        <w:rPr>
          <w:rFonts w:ascii="Times New Roman" w:hAnsi="Times New Roman" w:cs="Times New Roman"/>
          <w:color w:val="auto"/>
          <w:sz w:val="21"/>
          <w:szCs w:val="21"/>
        </w:rPr>
        <w:t>CJD</w:t>
      </w:r>
      <w:r>
        <w:rPr>
          <w:rFonts w:hint="eastAsia" w:ascii="Times New Roman" w:cs="Times New Roman"/>
          <w:color w:val="auto"/>
          <w:sz w:val="21"/>
          <w:szCs w:val="21"/>
        </w:rPr>
        <w:t>和</w:t>
      </w:r>
      <w:r>
        <w:rPr>
          <w:rFonts w:ascii="Times New Roman" w:hAnsi="Times New Roman" w:cs="Times New Roman"/>
          <w:color w:val="auto"/>
          <w:sz w:val="21"/>
          <w:szCs w:val="21"/>
        </w:rPr>
        <w:t>BSE</w:t>
      </w:r>
      <w:r>
        <w:rPr>
          <w:rFonts w:hint="eastAsia" w:ascii="Times New Roman" w:cs="Times New Roman"/>
          <w:color w:val="auto"/>
          <w:sz w:val="21"/>
          <w:szCs w:val="21"/>
        </w:rPr>
        <w:t>病例间似乎可能存在某种联系，尽管其中的因果关系尚未得到证明。迄今为止，美国尚无</w:t>
      </w:r>
      <w:r>
        <w:rPr>
          <w:rFonts w:ascii="Times New Roman" w:hAnsi="Times New Roman" w:cs="Times New Roman"/>
          <w:color w:val="auto"/>
          <w:sz w:val="21"/>
          <w:szCs w:val="21"/>
        </w:rPr>
        <w:t>BSE</w:t>
      </w:r>
      <w:r>
        <w:rPr>
          <w:rFonts w:hint="eastAsia" w:ascii="Times New Roman" w:cs="Times New Roman"/>
          <w:color w:val="auto"/>
          <w:sz w:val="21"/>
          <w:szCs w:val="21"/>
        </w:rPr>
        <w:t>病例出现。</w:t>
      </w:r>
    </w:p>
    <w:p w14:paraId="1440E7E7">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就生产商而言，应特别注意在牛源材料的生产和处理过程中有引入</w:t>
      </w:r>
      <w:r>
        <w:rPr>
          <w:rFonts w:ascii="Times New Roman" w:hAnsi="Times New Roman" w:cs="Times New Roman"/>
          <w:color w:val="auto"/>
          <w:sz w:val="21"/>
          <w:szCs w:val="21"/>
        </w:rPr>
        <w:t>BSE</w:t>
      </w:r>
      <w:r>
        <w:rPr>
          <w:rFonts w:hint="eastAsia" w:ascii="Times New Roman" w:cs="Times New Roman"/>
          <w:color w:val="auto"/>
          <w:sz w:val="21"/>
          <w:szCs w:val="21"/>
        </w:rPr>
        <w:t>病原体的可能性。目前，这是最容易通过确保牛源未患</w:t>
      </w:r>
      <w:r>
        <w:rPr>
          <w:rFonts w:ascii="Times New Roman" w:hAnsi="Times New Roman" w:cs="Times New Roman"/>
          <w:color w:val="auto"/>
          <w:sz w:val="21"/>
          <w:szCs w:val="21"/>
        </w:rPr>
        <w:t>BSE</w:t>
      </w:r>
      <w:r>
        <w:rPr>
          <w:rFonts w:hint="eastAsia" w:ascii="Times New Roman" w:cs="Times New Roman"/>
          <w:color w:val="auto"/>
          <w:sz w:val="21"/>
          <w:szCs w:val="21"/>
        </w:rPr>
        <w:t>做到的。在</w:t>
      </w:r>
      <w:r>
        <w:rPr>
          <w:rFonts w:ascii="Times New Roman" w:hAnsi="Times New Roman" w:cs="Times New Roman"/>
          <w:color w:val="auto"/>
          <w:sz w:val="21"/>
          <w:szCs w:val="21"/>
        </w:rPr>
        <w:t>1993</w:t>
      </w:r>
      <w:r>
        <w:rPr>
          <w:rFonts w:hint="eastAsia" w:ascii="Times New Roman" w:cs="Times New Roman"/>
          <w:color w:val="auto"/>
          <w:sz w:val="21"/>
          <w:szCs w:val="21"/>
        </w:rPr>
        <w:t>年和最近以来，</w:t>
      </w:r>
      <w:r>
        <w:rPr>
          <w:rFonts w:ascii="Times New Roman" w:hAnsi="Times New Roman" w:cs="Times New Roman"/>
          <w:color w:val="auto"/>
          <w:sz w:val="21"/>
          <w:szCs w:val="21"/>
        </w:rPr>
        <w:t>1996</w:t>
      </w:r>
      <w:r>
        <w:rPr>
          <w:rFonts w:hint="eastAsia" w:ascii="Times New Roman" w:cs="Times New Roman"/>
          <w:color w:val="auto"/>
          <w:sz w:val="21"/>
          <w:szCs w:val="21"/>
        </w:rPr>
        <w:t>年</w:t>
      </w:r>
      <w:r>
        <w:rPr>
          <w:rFonts w:ascii="Times New Roman" w:hAnsi="Times New Roman" w:cs="Times New Roman"/>
          <w:color w:val="auto"/>
          <w:sz w:val="21"/>
          <w:szCs w:val="21"/>
        </w:rPr>
        <w:t>5</w:t>
      </w:r>
      <w:r>
        <w:rPr>
          <w:rFonts w:hint="eastAsia" w:ascii="Times New Roman" w:cs="Times New Roman"/>
          <w:color w:val="auto"/>
          <w:sz w:val="21"/>
          <w:szCs w:val="21"/>
        </w:rPr>
        <w:t>月</w:t>
      </w:r>
      <w:r>
        <w:rPr>
          <w:rFonts w:ascii="Times New Roman" w:hAnsi="Times New Roman" w:cs="Times New Roman"/>
          <w:color w:val="auto"/>
          <w:sz w:val="21"/>
          <w:szCs w:val="21"/>
        </w:rPr>
        <w:t>9</w:t>
      </w:r>
      <w:r>
        <w:rPr>
          <w:rFonts w:hint="eastAsia" w:ascii="Times New Roman" w:cs="Times New Roman"/>
          <w:color w:val="auto"/>
          <w:sz w:val="21"/>
          <w:szCs w:val="21"/>
        </w:rPr>
        <w:t>日，美国食品药品管理局（</w:t>
      </w:r>
      <w:r>
        <w:rPr>
          <w:rFonts w:ascii="Times New Roman" w:hAnsi="Times New Roman" w:cs="Times New Roman"/>
          <w:color w:val="auto"/>
          <w:sz w:val="21"/>
          <w:szCs w:val="21"/>
        </w:rPr>
        <w:t>FDA</w:t>
      </w:r>
      <w:r>
        <w:rPr>
          <w:rFonts w:hint="eastAsia" w:ascii="Times New Roman" w:cs="Times New Roman"/>
          <w:color w:val="auto"/>
          <w:sz w:val="21"/>
          <w:szCs w:val="21"/>
        </w:rPr>
        <w:t>）致函生产商，要求来自生长于或源于已诊断</w:t>
      </w:r>
      <w:r>
        <w:rPr>
          <w:rFonts w:ascii="Times New Roman" w:hAnsi="Times New Roman" w:cs="Times New Roman"/>
          <w:color w:val="auto"/>
          <w:sz w:val="21"/>
          <w:szCs w:val="21"/>
        </w:rPr>
        <w:t>BSE</w:t>
      </w:r>
      <w:r>
        <w:rPr>
          <w:rFonts w:hint="eastAsia" w:ascii="Times New Roman" w:cs="Times New Roman"/>
          <w:color w:val="auto"/>
          <w:sz w:val="21"/>
          <w:szCs w:val="21"/>
        </w:rPr>
        <w:t>国家牛群的牛源材料不得用于</w:t>
      </w:r>
      <w:r>
        <w:rPr>
          <w:rFonts w:ascii="Times New Roman" w:hAnsi="Times New Roman" w:cs="Times New Roman"/>
          <w:color w:val="auto"/>
          <w:sz w:val="21"/>
          <w:szCs w:val="21"/>
        </w:rPr>
        <w:t>FDA</w:t>
      </w:r>
      <w:r>
        <w:rPr>
          <w:rFonts w:hint="eastAsia" w:ascii="Times New Roman" w:cs="Times New Roman"/>
          <w:color w:val="auto"/>
          <w:sz w:val="21"/>
          <w:szCs w:val="21"/>
        </w:rPr>
        <w:t>监管产品的生产中。（附件</w:t>
      </w:r>
      <w:r>
        <w:rPr>
          <w:rFonts w:ascii="Times New Roman" w:hAnsi="Times New Roman" w:cs="Times New Roman"/>
          <w:color w:val="auto"/>
          <w:sz w:val="21"/>
          <w:szCs w:val="21"/>
        </w:rPr>
        <w:t>1</w:t>
      </w:r>
      <w:r>
        <w:rPr>
          <w:rFonts w:hint="eastAsia" w:ascii="Times New Roman" w:cs="Times New Roman"/>
          <w:color w:val="auto"/>
          <w:sz w:val="21"/>
          <w:szCs w:val="21"/>
        </w:rPr>
        <w:t>，</w:t>
      </w:r>
      <w:r>
        <w:rPr>
          <w:rFonts w:ascii="Times New Roman" w:hAnsi="Times New Roman" w:cs="Times New Roman"/>
          <w:color w:val="auto"/>
          <w:sz w:val="21"/>
          <w:szCs w:val="21"/>
        </w:rPr>
        <w:t>2</w:t>
      </w:r>
      <w:bookmarkStart w:id="2" w:name="bookmark6"/>
      <w:r>
        <w:rPr>
          <w:rFonts w:hint="eastAsia" w:ascii="Times New Roman" w:cs="Times New Roman"/>
          <w:color w:val="auto"/>
          <w:sz w:val="21"/>
          <w:szCs w:val="21"/>
        </w:rPr>
        <w:t>和</w:t>
      </w:r>
      <w:r>
        <w:rPr>
          <w:rFonts w:ascii="Times New Roman" w:hAnsi="Times New Roman" w:cs="Times New Roman"/>
          <w:color w:val="auto"/>
          <w:sz w:val="21"/>
          <w:szCs w:val="21"/>
        </w:rPr>
        <w:t>3</w:t>
      </w:r>
      <w:r>
        <w:rPr>
          <w:rFonts w:hint="eastAsia" w:ascii="Times New Roman" w:cs="Times New Roman"/>
          <w:color w:val="auto"/>
          <w:sz w:val="21"/>
          <w:szCs w:val="21"/>
        </w:rPr>
        <w:t>）</w:t>
      </w:r>
      <w:bookmarkEnd w:id="2"/>
    </w:p>
    <w:p w14:paraId="52742E6B">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自</w:t>
      </w:r>
      <w:r>
        <w:rPr>
          <w:rFonts w:ascii="Times New Roman" w:hAnsi="Times New Roman" w:cs="Times New Roman"/>
          <w:color w:val="auto"/>
          <w:sz w:val="21"/>
          <w:szCs w:val="21"/>
        </w:rPr>
        <w:t>1989</w:t>
      </w:r>
      <w:r>
        <w:rPr>
          <w:rFonts w:hint="eastAsia" w:ascii="Times New Roman" w:cs="Times New Roman"/>
          <w:color w:val="auto"/>
          <w:sz w:val="21"/>
          <w:szCs w:val="21"/>
        </w:rPr>
        <w:t>年以来，</w:t>
      </w:r>
      <w:r>
        <w:rPr>
          <w:rFonts w:ascii="Times New Roman" w:hAnsi="Times New Roman" w:cs="Times New Roman"/>
          <w:color w:val="auto"/>
          <w:sz w:val="21"/>
          <w:szCs w:val="21"/>
        </w:rPr>
        <w:t>USDA</w:t>
      </w:r>
      <w:r>
        <w:rPr>
          <w:rFonts w:hint="eastAsia" w:ascii="Times New Roman" w:cs="Times New Roman"/>
          <w:color w:val="auto"/>
          <w:sz w:val="21"/>
          <w:szCs w:val="21"/>
        </w:rPr>
        <w:t>已限制了从英国进口活体反刍动物。目前，</w:t>
      </w:r>
      <w:r>
        <w:rPr>
          <w:rFonts w:ascii="Times New Roman" w:hAnsi="Times New Roman" w:cs="Times New Roman"/>
          <w:color w:val="auto"/>
          <w:sz w:val="21"/>
          <w:szCs w:val="21"/>
        </w:rPr>
        <w:t>USDA</w:t>
      </w:r>
      <w:r>
        <w:rPr>
          <w:rFonts w:hint="eastAsia" w:ascii="Times New Roman" w:cs="Times New Roman"/>
          <w:color w:val="auto"/>
          <w:sz w:val="21"/>
          <w:szCs w:val="21"/>
        </w:rPr>
        <w:t>已限制了从已知存在</w:t>
      </w:r>
      <w:r>
        <w:rPr>
          <w:rFonts w:ascii="Times New Roman" w:hAnsi="Times New Roman" w:cs="Times New Roman"/>
          <w:color w:val="auto"/>
          <w:sz w:val="21"/>
          <w:szCs w:val="21"/>
        </w:rPr>
        <w:t>BSE</w:t>
      </w:r>
      <w:r>
        <w:rPr>
          <w:rFonts w:hint="eastAsia" w:ascii="Times New Roman" w:cs="Times New Roman"/>
          <w:color w:val="auto"/>
          <w:sz w:val="21"/>
          <w:szCs w:val="21"/>
        </w:rPr>
        <w:t>的国家和那些有将</w:t>
      </w:r>
      <w:r>
        <w:rPr>
          <w:rFonts w:ascii="Times New Roman" w:hAnsi="Times New Roman" w:cs="Times New Roman"/>
          <w:color w:val="auto"/>
          <w:sz w:val="21"/>
          <w:szCs w:val="21"/>
        </w:rPr>
        <w:t>BSE</w:t>
      </w:r>
      <w:r>
        <w:rPr>
          <w:rFonts w:hint="eastAsia" w:ascii="Times New Roman" w:cs="Times New Roman"/>
          <w:color w:val="auto"/>
          <w:sz w:val="21"/>
          <w:szCs w:val="21"/>
        </w:rPr>
        <w:t>引入美国极大风险的国家进口活的反刍动物。</w:t>
      </w:r>
      <w:r>
        <w:rPr>
          <w:rFonts w:ascii="Times New Roman" w:hAnsi="Times New Roman" w:cs="Times New Roman"/>
          <w:color w:val="auto"/>
          <w:sz w:val="21"/>
          <w:szCs w:val="21"/>
        </w:rPr>
        <w:t>USDA</w:t>
      </w:r>
      <w:r>
        <w:rPr>
          <w:rFonts w:hint="eastAsia" w:ascii="Times New Roman" w:cs="Times New Roman"/>
          <w:color w:val="auto"/>
          <w:sz w:val="21"/>
          <w:szCs w:val="21"/>
        </w:rPr>
        <w:t>还限制了来自这些国家的其他反刍动物源产品的进口，如骨粉、肉骨粉、血粉、内脏、腺体和动物用明胶。</w:t>
      </w:r>
      <w:r>
        <w:rPr>
          <w:rFonts w:ascii="Times New Roman" w:hAnsi="Times New Roman" w:cs="Times New Roman"/>
          <w:color w:val="auto"/>
          <w:sz w:val="21"/>
          <w:szCs w:val="21"/>
        </w:rPr>
        <w:t>FDA</w:t>
      </w:r>
      <w:r>
        <w:rPr>
          <w:rFonts w:hint="eastAsia" w:ascii="Times New Roman" w:cs="Times New Roman"/>
          <w:color w:val="auto"/>
          <w:sz w:val="21"/>
          <w:szCs w:val="21"/>
        </w:rPr>
        <w:t>近来禁止将哺乳动物组织来源的蛋白质用于美国动物的反刍动物饲料（美国联邦法规，</w:t>
      </w:r>
      <w:r>
        <w:rPr>
          <w:rFonts w:ascii="Times New Roman" w:hAnsi="Times New Roman" w:cs="Times New Roman"/>
          <w:color w:val="auto"/>
          <w:sz w:val="21"/>
          <w:szCs w:val="21"/>
        </w:rPr>
        <w:t>1997</w:t>
      </w:r>
      <w:r>
        <w:rPr>
          <w:rFonts w:hint="eastAsia" w:ascii="Times New Roman" w:cs="Times New Roman"/>
          <w:color w:val="auto"/>
          <w:sz w:val="21"/>
          <w:szCs w:val="21"/>
        </w:rPr>
        <w:t>年</w:t>
      </w:r>
      <w:r>
        <w:rPr>
          <w:rFonts w:ascii="Times New Roman" w:hAnsi="Times New Roman" w:cs="Times New Roman"/>
          <w:color w:val="auto"/>
          <w:sz w:val="21"/>
          <w:szCs w:val="21"/>
        </w:rPr>
        <w:t>6</w:t>
      </w:r>
      <w:r>
        <w:rPr>
          <w:rFonts w:hint="eastAsia" w:ascii="Times New Roman" w:cs="Times New Roman"/>
          <w:color w:val="auto"/>
          <w:sz w:val="21"/>
          <w:szCs w:val="21"/>
        </w:rPr>
        <w:t>月</w:t>
      </w:r>
      <w:r>
        <w:rPr>
          <w:rFonts w:ascii="Times New Roman" w:hAnsi="Times New Roman" w:cs="Times New Roman"/>
          <w:color w:val="auto"/>
          <w:sz w:val="21"/>
          <w:szCs w:val="21"/>
        </w:rPr>
        <w:t>5</w:t>
      </w:r>
      <w:r>
        <w:rPr>
          <w:rFonts w:hint="eastAsia" w:ascii="Times New Roman" w:cs="Times New Roman"/>
          <w:color w:val="auto"/>
          <w:sz w:val="21"/>
          <w:szCs w:val="21"/>
        </w:rPr>
        <w:t>日；</w:t>
      </w:r>
      <w:r>
        <w:rPr>
          <w:rFonts w:ascii="Times New Roman" w:hAnsi="Times New Roman" w:cs="Times New Roman"/>
          <w:color w:val="auto"/>
          <w:sz w:val="21"/>
          <w:szCs w:val="21"/>
        </w:rPr>
        <w:t xml:space="preserve">21 CFR </w:t>
      </w:r>
      <w:r>
        <w:rPr>
          <w:rFonts w:hint="eastAsia" w:ascii="Times New Roman" w:cs="Times New Roman"/>
          <w:color w:val="auto"/>
          <w:sz w:val="21"/>
          <w:szCs w:val="21"/>
        </w:rPr>
        <w:t>第</w:t>
      </w:r>
      <w:r>
        <w:rPr>
          <w:rFonts w:ascii="Times New Roman" w:hAnsi="Times New Roman" w:cs="Times New Roman"/>
          <w:color w:val="auto"/>
          <w:sz w:val="21"/>
          <w:szCs w:val="21"/>
        </w:rPr>
        <w:t>589</w:t>
      </w:r>
      <w:r>
        <w:rPr>
          <w:rFonts w:hint="eastAsia" w:ascii="Times New Roman" w:cs="Times New Roman"/>
          <w:color w:val="auto"/>
          <w:sz w:val="21"/>
          <w:szCs w:val="21"/>
        </w:rPr>
        <w:t>部分</w:t>
      </w:r>
      <w:r>
        <w:rPr>
          <w:rFonts w:ascii="Times New Roman" w:hAnsi="Times New Roman" w:cs="Times New Roman"/>
          <w:color w:val="auto"/>
          <w:sz w:val="21"/>
          <w:szCs w:val="21"/>
        </w:rPr>
        <w:t>“</w:t>
      </w:r>
      <w:r>
        <w:rPr>
          <w:rFonts w:hint="eastAsia" w:ascii="Times New Roman" w:cs="Times New Roman"/>
          <w:color w:val="auto"/>
          <w:sz w:val="21"/>
          <w:szCs w:val="21"/>
        </w:rPr>
        <w:t>禁止用于动物食物或饲料的物质；禁止用于反刍动物饲料的动物蛋白质</w:t>
      </w:r>
      <w:r>
        <w:rPr>
          <w:rFonts w:ascii="Times New Roman" w:hAnsi="Times New Roman" w:cs="Times New Roman"/>
          <w:color w:val="auto"/>
          <w:sz w:val="21"/>
          <w:szCs w:val="21"/>
        </w:rPr>
        <w:t>”</w:t>
      </w:r>
      <w:r>
        <w:rPr>
          <w:rFonts w:hint="eastAsia" w:ascii="Times New Roman" w:cs="Times New Roman"/>
          <w:color w:val="auto"/>
          <w:sz w:val="21"/>
          <w:szCs w:val="21"/>
        </w:rPr>
        <w:t>）。</w:t>
      </w:r>
    </w:p>
    <w:p w14:paraId="4D70302C">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hint="eastAsia" w:ascii="Times New Roman" w:cs="Times New Roman"/>
          <w:color w:val="auto"/>
          <w:sz w:val="21"/>
          <w:szCs w:val="21"/>
        </w:rPr>
        <w:t>为监测医疗器械在生产过程中是否含有或暴露于动物源材料（如在含牛胎血清培养基中生长的人细胞），</w:t>
      </w:r>
      <w:r>
        <w:rPr>
          <w:rFonts w:ascii="Times New Roman" w:hAnsi="Times New Roman" w:cs="Times New Roman"/>
          <w:color w:val="auto"/>
          <w:sz w:val="21"/>
          <w:szCs w:val="21"/>
        </w:rPr>
        <w:t>CDRH</w:t>
      </w:r>
      <w:r>
        <w:rPr>
          <w:rFonts w:hint="eastAsia" w:ascii="Times New Roman" w:cs="Times New Roman"/>
          <w:color w:val="auto"/>
          <w:sz w:val="21"/>
          <w:szCs w:val="21"/>
        </w:rPr>
        <w:t>建立了包含有这些器械目录的</w:t>
      </w:r>
      <w:r>
        <w:rPr>
          <w:rFonts w:ascii="Times New Roman" w:hAnsi="Times New Roman" w:cs="Times New Roman"/>
          <w:color w:val="auto"/>
          <w:sz w:val="21"/>
          <w:szCs w:val="21"/>
        </w:rPr>
        <w:t>CDRH</w:t>
      </w:r>
      <w:r>
        <w:rPr>
          <w:rFonts w:hint="eastAsia" w:ascii="Times New Roman" w:cs="Times New Roman"/>
          <w:color w:val="auto"/>
          <w:sz w:val="21"/>
          <w:szCs w:val="21"/>
        </w:rPr>
        <w:t>生物材料数据库，包括材料的类型、动物种类和原产国，以及每种器械的靶器官或组织。最初提出针对</w:t>
      </w:r>
      <w:r>
        <w:rPr>
          <w:rFonts w:ascii="Times New Roman" w:hAnsi="Times New Roman" w:cs="Times New Roman"/>
          <w:color w:val="auto"/>
          <w:sz w:val="21"/>
          <w:szCs w:val="21"/>
        </w:rPr>
        <w:t>BSE</w:t>
      </w:r>
      <w:r>
        <w:rPr>
          <w:rFonts w:hint="eastAsia" w:ascii="Times New Roman" w:cs="Times New Roman"/>
          <w:color w:val="auto"/>
          <w:sz w:val="21"/>
          <w:szCs w:val="21"/>
        </w:rPr>
        <w:t>问题的回应，该数据库现在已经扩展到包括所有动物（包括人）源产品，以应对未来可能出现的其他动物材料为基础的生产问题。</w:t>
      </w:r>
    </w:p>
    <w:p w14:paraId="5CFD483B">
      <w:pPr>
        <w:adjustRightInd w:val="0"/>
        <w:snapToGrid w:val="0"/>
        <w:spacing w:beforeLines="50" w:line="360" w:lineRule="auto"/>
        <w:jc w:val="both"/>
        <w:rPr>
          <w:rFonts w:ascii="Times New Roman" w:hAnsi="Times New Roman" w:cs="Times New Roman"/>
          <w:color w:val="auto"/>
          <w:sz w:val="21"/>
          <w:szCs w:val="21"/>
          <w:u w:val="single"/>
        </w:rPr>
      </w:pPr>
      <w:r>
        <w:rPr>
          <w:rFonts w:hint="eastAsia" w:ascii="Times New Roman" w:cs="Times New Roman"/>
          <w:color w:val="auto"/>
          <w:sz w:val="21"/>
          <w:szCs w:val="21"/>
          <w:u w:val="single"/>
        </w:rPr>
        <w:t>指南目的</w:t>
      </w:r>
    </w:p>
    <w:p w14:paraId="7E5AA786">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本指南的目的为生产过程中含有或暴露于动物源性材料的医疗器械提交申请</w:t>
      </w:r>
      <w:r>
        <w:rPr>
          <w:rFonts w:ascii="Times New Roman" w:hAnsi="Times New Roman" w:cs="Times New Roman"/>
          <w:color w:val="auto"/>
          <w:sz w:val="21"/>
          <w:szCs w:val="21"/>
        </w:rPr>
        <w:t>(IDE</w:t>
      </w:r>
      <w:r>
        <w:rPr>
          <w:rFonts w:hint="eastAsia" w:ascii="Times New Roman" w:cs="Times New Roman"/>
          <w:color w:val="auto"/>
          <w:sz w:val="21"/>
          <w:szCs w:val="21"/>
        </w:rPr>
        <w:t>，</w:t>
      </w:r>
      <w:r>
        <w:rPr>
          <w:rFonts w:ascii="Times New Roman" w:hAnsi="Times New Roman" w:cs="Times New Roman"/>
          <w:color w:val="auto"/>
          <w:sz w:val="21"/>
          <w:szCs w:val="21"/>
        </w:rPr>
        <w:t xml:space="preserve"> PMA</w:t>
      </w:r>
      <w:r>
        <w:rPr>
          <w:rFonts w:hint="eastAsia" w:ascii="Times New Roman" w:cs="Times New Roman"/>
          <w:color w:val="auto"/>
          <w:sz w:val="21"/>
          <w:szCs w:val="21"/>
        </w:rPr>
        <w:t>，</w:t>
      </w:r>
      <w:r>
        <w:rPr>
          <w:rFonts w:ascii="Times New Roman" w:hAnsi="Times New Roman" w:cs="Times New Roman"/>
          <w:color w:val="auto"/>
          <w:sz w:val="21"/>
          <w:szCs w:val="21"/>
        </w:rPr>
        <w:t xml:space="preserve"> 510(k))</w:t>
      </w:r>
      <w:r>
        <w:rPr>
          <w:rFonts w:hint="eastAsia" w:ascii="Times New Roman" w:cs="Times New Roman"/>
          <w:color w:val="auto"/>
          <w:sz w:val="21"/>
          <w:szCs w:val="21"/>
        </w:rPr>
        <w:t>时应包含的信息提供建议。这将降低通过医疗器械传播</w:t>
      </w:r>
      <w:r>
        <w:rPr>
          <w:rFonts w:ascii="Times New Roman" w:hAnsi="Times New Roman" w:cs="Times New Roman"/>
          <w:color w:val="auto"/>
          <w:sz w:val="21"/>
          <w:szCs w:val="21"/>
        </w:rPr>
        <w:t>BSE</w:t>
      </w:r>
      <w:r>
        <w:rPr>
          <w:rFonts w:hint="eastAsia" w:ascii="Times New Roman" w:cs="Times New Roman"/>
          <w:color w:val="auto"/>
          <w:sz w:val="21"/>
          <w:szCs w:val="21"/>
        </w:rPr>
        <w:t>的可能性，并将提供动物源性材料的相关信息，这些信息可用于器械的风险分析。</w:t>
      </w:r>
    </w:p>
    <w:p w14:paraId="04350626">
      <w:pPr>
        <w:adjustRightInd w:val="0"/>
        <w:snapToGrid w:val="0"/>
        <w:spacing w:beforeLines="50" w:line="360" w:lineRule="auto"/>
        <w:jc w:val="both"/>
        <w:rPr>
          <w:rFonts w:ascii="Times New Roman" w:hAnsi="Times New Roman" w:cs="Times New Roman"/>
          <w:color w:val="auto"/>
          <w:sz w:val="21"/>
          <w:szCs w:val="21"/>
          <w:u w:val="single"/>
        </w:rPr>
      </w:pPr>
      <w:r>
        <w:rPr>
          <w:rFonts w:hint="eastAsia" w:ascii="Times New Roman" w:cs="Times New Roman"/>
          <w:color w:val="auto"/>
          <w:sz w:val="21"/>
          <w:szCs w:val="21"/>
          <w:u w:val="single"/>
        </w:rPr>
        <w:t>指南范围</w:t>
      </w:r>
    </w:p>
    <w:p w14:paraId="1E0A23C8">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本指南适用于所有医疗器械，体外诊断器械除除外，无论其是否在生产过程中包含或暴露于动物源材料。所有的动物物种（如：人、牛、羊、猪、禽（如鸡）、鱼等）都包括在内。</w:t>
      </w:r>
    </w:p>
    <w:p w14:paraId="3E4EAE02">
      <w:pPr>
        <w:adjustRightInd w:val="0"/>
        <w:snapToGrid w:val="0"/>
        <w:spacing w:beforeLines="50" w:line="360" w:lineRule="auto"/>
        <w:jc w:val="both"/>
        <w:outlineLvl w:val="5"/>
        <w:rPr>
          <w:rFonts w:ascii="Times New Roman" w:hAnsi="Times New Roman" w:cs="Times New Roman"/>
          <w:b/>
          <w:color w:val="auto"/>
          <w:sz w:val="21"/>
          <w:szCs w:val="21"/>
          <w:u w:val="single"/>
        </w:rPr>
      </w:pPr>
      <w:bookmarkStart w:id="3" w:name="bookmark7"/>
      <w:r>
        <w:rPr>
          <w:rFonts w:hint="eastAsia" w:ascii="Times New Roman" w:cs="Times New Roman"/>
          <w:b/>
          <w:color w:val="auto"/>
          <w:sz w:val="21"/>
          <w:szCs w:val="21"/>
          <w:u w:val="single"/>
        </w:rPr>
        <w:t>关于含牛源材料医疗器械的建议</w:t>
      </w:r>
      <w:bookmarkEnd w:id="3"/>
    </w:p>
    <w:p w14:paraId="3C09396C">
      <w:pPr>
        <w:adjustRightInd w:val="0"/>
        <w:snapToGrid w:val="0"/>
        <w:spacing w:beforeLines="50" w:line="360" w:lineRule="auto"/>
        <w:ind w:left="420" w:hanging="420" w:hangingChars="200"/>
        <w:jc w:val="both"/>
        <w:rPr>
          <w:rFonts w:ascii="Times New Roman" w:hAnsi="Times New Roman" w:cs="Times New Roman"/>
          <w:color w:val="auto"/>
          <w:sz w:val="21"/>
          <w:szCs w:val="21"/>
        </w:rPr>
      </w:pPr>
      <w:r>
        <w:rPr>
          <w:rFonts w:ascii="Times New Roman" w:hAnsi="Times New Roman" w:cs="Times New Roman"/>
          <w:color w:val="auto"/>
          <w:sz w:val="21"/>
          <w:szCs w:val="21"/>
        </w:rPr>
        <w:t>1.</w:t>
      </w:r>
      <w:r>
        <w:rPr>
          <w:rFonts w:ascii="Times New Roman" w:hAnsi="Times New Roman" w:cs="Times New Roman"/>
          <w:color w:val="auto"/>
          <w:sz w:val="21"/>
          <w:szCs w:val="21"/>
        </w:rPr>
        <w:tab/>
      </w:r>
      <w:r>
        <w:rPr>
          <w:rFonts w:hint="eastAsia" w:ascii="Times New Roman" w:cs="Times New Roman"/>
          <w:color w:val="auto"/>
          <w:sz w:val="21"/>
          <w:szCs w:val="21"/>
        </w:rPr>
        <w:t>应确定每种器械中所有牛源材料。如：用于心脏瓣膜的牛心包，用于肠缝合的牛内脏，用于牙齿植入的牛骨，以及用于泪腺堵塞的牛胶原蛋白。还包括在生产过程中暴露于牛源材料的器械（如，生长于含牛胎血清培养基中的人细胞，暴露于牛胰蛋白酶的组织培养细胞）。</w:t>
      </w:r>
    </w:p>
    <w:p w14:paraId="6D3A5E71">
      <w:pPr>
        <w:adjustRightInd w:val="0"/>
        <w:snapToGrid w:val="0"/>
        <w:spacing w:beforeLines="50" w:line="360" w:lineRule="auto"/>
        <w:ind w:left="420" w:hanging="420" w:hangingChars="200"/>
        <w:jc w:val="both"/>
        <w:rPr>
          <w:rFonts w:ascii="Times New Roman" w:hAnsi="Times New Roman" w:cs="Times New Roman"/>
          <w:color w:val="auto"/>
          <w:sz w:val="21"/>
          <w:szCs w:val="21"/>
        </w:rPr>
      </w:pPr>
      <w:r>
        <w:rPr>
          <w:rFonts w:ascii="Times New Roman" w:hAnsi="Times New Roman" w:cs="Times New Roman"/>
          <w:color w:val="auto"/>
          <w:sz w:val="21"/>
          <w:szCs w:val="21"/>
        </w:rPr>
        <w:t>2.</w:t>
      </w:r>
      <w:r>
        <w:rPr>
          <w:rFonts w:ascii="Times New Roman" w:hAnsi="Times New Roman" w:cs="Times New Roman"/>
          <w:color w:val="auto"/>
          <w:sz w:val="21"/>
          <w:szCs w:val="21"/>
        </w:rPr>
        <w:tab/>
      </w:r>
      <w:r>
        <w:rPr>
          <w:rFonts w:hint="eastAsia" w:ascii="Times New Roman" w:cs="Times New Roman"/>
          <w:color w:val="auto"/>
          <w:sz w:val="21"/>
          <w:szCs w:val="21"/>
        </w:rPr>
        <w:t>牛源材料不应来自生长于或源于有诊断为</w:t>
      </w:r>
      <w:r>
        <w:rPr>
          <w:rFonts w:ascii="Times New Roman" w:hAnsi="Times New Roman" w:cs="Times New Roman"/>
          <w:color w:val="auto"/>
          <w:sz w:val="21"/>
          <w:szCs w:val="21"/>
        </w:rPr>
        <w:t>BSE</w:t>
      </w:r>
      <w:r>
        <w:rPr>
          <w:rFonts w:hint="eastAsia" w:ascii="Times New Roman" w:cs="Times New Roman"/>
          <w:color w:val="auto"/>
          <w:sz w:val="21"/>
          <w:szCs w:val="21"/>
        </w:rPr>
        <w:t>或存在引入</w:t>
      </w:r>
      <w:r>
        <w:rPr>
          <w:rFonts w:ascii="Times New Roman" w:hAnsi="Times New Roman" w:cs="Times New Roman"/>
          <w:color w:val="auto"/>
          <w:sz w:val="21"/>
          <w:szCs w:val="21"/>
        </w:rPr>
        <w:t>BSE</w:t>
      </w:r>
      <w:r>
        <w:rPr>
          <w:rFonts w:hint="eastAsia" w:ascii="Times New Roman" w:cs="Times New Roman"/>
          <w:color w:val="auto"/>
          <w:sz w:val="21"/>
          <w:szCs w:val="21"/>
        </w:rPr>
        <w:t>重大风险国家的牛群。这个国家清单由</w:t>
      </w:r>
      <w:r>
        <w:rPr>
          <w:rFonts w:ascii="Times New Roman" w:hAnsi="Times New Roman" w:cs="Times New Roman"/>
          <w:color w:val="auto"/>
          <w:sz w:val="21"/>
          <w:szCs w:val="21"/>
        </w:rPr>
        <w:t>USDA</w:t>
      </w:r>
      <w:r>
        <w:rPr>
          <w:rFonts w:hint="eastAsia" w:ascii="Times New Roman" w:cs="Times New Roman"/>
          <w:color w:val="auto"/>
          <w:sz w:val="21"/>
          <w:szCs w:val="21"/>
        </w:rPr>
        <w:t>确定，列于</w:t>
      </w:r>
      <w:r>
        <w:rPr>
          <w:rFonts w:ascii="Times New Roman" w:hAnsi="Times New Roman" w:cs="Times New Roman"/>
          <w:color w:val="auto"/>
          <w:sz w:val="21"/>
          <w:szCs w:val="21"/>
        </w:rPr>
        <w:t>9 CFR 94.18</w:t>
      </w:r>
      <w:r>
        <w:rPr>
          <w:rFonts w:hint="eastAsia" w:ascii="Times New Roman" w:cs="Times New Roman"/>
          <w:color w:val="auto"/>
          <w:sz w:val="21"/>
          <w:szCs w:val="21"/>
        </w:rPr>
        <w:t>中。目前确定的国家包括欧洲的所有国家。</w:t>
      </w:r>
    </w:p>
    <w:p w14:paraId="021966C7">
      <w:pPr>
        <w:adjustRightInd w:val="0"/>
        <w:snapToGrid w:val="0"/>
        <w:spacing w:beforeLines="50" w:line="360" w:lineRule="auto"/>
        <w:ind w:left="960" w:leftChars="400"/>
        <w:jc w:val="both"/>
        <w:rPr>
          <w:rFonts w:ascii="Times New Roman" w:hAnsi="Times New Roman" w:cs="Times New Roman"/>
          <w:color w:val="auto"/>
          <w:sz w:val="21"/>
          <w:szCs w:val="21"/>
          <w:u w:val="single"/>
        </w:rPr>
      </w:pPr>
      <w:r>
        <w:rPr>
          <w:rFonts w:hint="eastAsia" w:ascii="Times New Roman" w:cs="Times New Roman"/>
          <w:color w:val="auto"/>
          <w:sz w:val="21"/>
          <w:szCs w:val="21"/>
          <w:u w:val="single"/>
        </w:rPr>
        <w:t>发现</w:t>
      </w:r>
      <w:r>
        <w:rPr>
          <w:rFonts w:ascii="Times New Roman" w:hAnsi="Times New Roman" w:cs="Times New Roman"/>
          <w:color w:val="auto"/>
          <w:sz w:val="21"/>
          <w:szCs w:val="21"/>
          <w:u w:val="single"/>
        </w:rPr>
        <w:t>BSE</w:t>
      </w:r>
      <w:r>
        <w:rPr>
          <w:rFonts w:hint="eastAsia" w:ascii="Times New Roman" w:cs="Times New Roman"/>
          <w:color w:val="auto"/>
          <w:sz w:val="21"/>
          <w:szCs w:val="21"/>
          <w:u w:val="single"/>
        </w:rPr>
        <w:t>的国家：</w:t>
      </w:r>
    </w:p>
    <w:p w14:paraId="198C04BC">
      <w:pPr>
        <w:adjustRightInd w:val="0"/>
        <w:snapToGrid w:val="0"/>
        <w:spacing w:line="360" w:lineRule="auto"/>
        <w:ind w:left="960" w:leftChars="400"/>
        <w:jc w:val="both"/>
        <w:rPr>
          <w:rFonts w:ascii="Times New Roman" w:hAnsi="Times New Roman" w:cs="Times New Roman"/>
          <w:color w:val="auto"/>
          <w:sz w:val="21"/>
          <w:szCs w:val="21"/>
        </w:rPr>
      </w:pPr>
      <w:r>
        <w:rPr>
          <w:rFonts w:hint="eastAsia" w:ascii="Times New Roman" w:cs="Times New Roman"/>
          <w:color w:val="auto"/>
          <w:sz w:val="21"/>
          <w:szCs w:val="21"/>
        </w:rPr>
        <w:t>英国（包括北爱尔兰和福克兰群岛）</w:t>
      </w:r>
    </w:p>
    <w:p w14:paraId="42B2F4CF">
      <w:pPr>
        <w:adjustRightInd w:val="0"/>
        <w:snapToGrid w:val="0"/>
        <w:spacing w:line="360" w:lineRule="auto"/>
        <w:ind w:left="960" w:leftChars="400"/>
        <w:jc w:val="both"/>
        <w:rPr>
          <w:rFonts w:ascii="Times New Roman" w:hAnsi="Times New Roman" w:cs="Times New Roman"/>
          <w:color w:val="auto"/>
          <w:sz w:val="21"/>
          <w:szCs w:val="21"/>
        </w:rPr>
      </w:pPr>
      <w:r>
        <w:rPr>
          <w:rFonts w:hint="eastAsia" w:ascii="Times New Roman" w:cs="Times New Roman"/>
          <w:color w:val="auto"/>
          <w:sz w:val="21"/>
          <w:szCs w:val="21"/>
        </w:rPr>
        <w:t>瑞士</w:t>
      </w:r>
    </w:p>
    <w:p w14:paraId="491E1001">
      <w:pPr>
        <w:adjustRightInd w:val="0"/>
        <w:snapToGrid w:val="0"/>
        <w:spacing w:line="360" w:lineRule="auto"/>
        <w:ind w:left="960" w:leftChars="400"/>
        <w:jc w:val="both"/>
        <w:rPr>
          <w:rFonts w:ascii="Times New Roman" w:hAnsi="Times New Roman" w:cs="Times New Roman"/>
          <w:color w:val="auto"/>
          <w:sz w:val="21"/>
          <w:szCs w:val="21"/>
        </w:rPr>
      </w:pPr>
      <w:r>
        <w:rPr>
          <w:rFonts w:hint="eastAsia" w:ascii="Times New Roman" w:cs="Times New Roman"/>
          <w:color w:val="auto"/>
          <w:sz w:val="21"/>
          <w:szCs w:val="21"/>
        </w:rPr>
        <w:t>法国</w:t>
      </w:r>
    </w:p>
    <w:p w14:paraId="52CBD3B2">
      <w:pPr>
        <w:adjustRightInd w:val="0"/>
        <w:snapToGrid w:val="0"/>
        <w:spacing w:line="324" w:lineRule="auto"/>
        <w:ind w:left="480" w:leftChars="200"/>
        <w:jc w:val="both"/>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hint="eastAsia" w:ascii="Times New Roman" w:cs="Times New Roman"/>
          <w:color w:val="auto"/>
          <w:sz w:val="21"/>
          <w:szCs w:val="21"/>
        </w:rPr>
        <w:t>爱尔兰共和国</w:t>
      </w:r>
    </w:p>
    <w:p w14:paraId="217C6445">
      <w:pPr>
        <w:adjustRightInd w:val="0"/>
        <w:snapToGrid w:val="0"/>
        <w:spacing w:line="324" w:lineRule="auto"/>
        <w:ind w:left="480" w:leftChars="200"/>
        <w:jc w:val="both"/>
        <w:rPr>
          <w:rFonts w:ascii="Times New Roman" w:hAnsi="Times New Roman" w:cs="Times New Roman"/>
          <w:color w:val="auto"/>
          <w:sz w:val="21"/>
          <w:szCs w:val="21"/>
        </w:rPr>
      </w:pPr>
      <w:r>
        <w:rPr>
          <w:rFonts w:hint="eastAsia" w:ascii="Times New Roman" w:cs="Times New Roman"/>
          <w:color w:val="auto"/>
          <w:sz w:val="21"/>
          <w:szCs w:val="21"/>
        </w:rPr>
        <w:t>阿曼</w:t>
      </w:r>
    </w:p>
    <w:p w14:paraId="63D1B6EB">
      <w:pPr>
        <w:adjustRightInd w:val="0"/>
        <w:snapToGrid w:val="0"/>
        <w:spacing w:line="324" w:lineRule="auto"/>
        <w:ind w:left="480" w:leftChars="200"/>
        <w:jc w:val="both"/>
        <w:rPr>
          <w:rFonts w:ascii="Times New Roman" w:hAnsi="Times New Roman" w:cs="Times New Roman"/>
          <w:color w:val="auto"/>
          <w:sz w:val="21"/>
          <w:szCs w:val="21"/>
        </w:rPr>
      </w:pPr>
      <w:r>
        <w:rPr>
          <w:rFonts w:hint="eastAsia" w:ascii="Times New Roman" w:cs="Times New Roman"/>
          <w:color w:val="auto"/>
          <w:sz w:val="21"/>
          <w:szCs w:val="21"/>
        </w:rPr>
        <w:t>葡萄牙</w:t>
      </w:r>
    </w:p>
    <w:p w14:paraId="6481CCC5">
      <w:pPr>
        <w:adjustRightInd w:val="0"/>
        <w:snapToGrid w:val="0"/>
        <w:spacing w:line="324" w:lineRule="auto"/>
        <w:ind w:left="480" w:leftChars="200"/>
        <w:jc w:val="both"/>
        <w:rPr>
          <w:rFonts w:ascii="Times New Roman" w:hAnsi="Times New Roman" w:cs="Times New Roman"/>
          <w:color w:val="auto"/>
          <w:sz w:val="21"/>
          <w:szCs w:val="21"/>
        </w:rPr>
      </w:pPr>
      <w:r>
        <w:rPr>
          <w:rFonts w:hint="eastAsia" w:ascii="Times New Roman" w:cs="Times New Roman"/>
          <w:color w:val="auto"/>
          <w:sz w:val="21"/>
          <w:szCs w:val="21"/>
        </w:rPr>
        <w:t>荷兰</w:t>
      </w:r>
    </w:p>
    <w:p w14:paraId="0A679046">
      <w:pPr>
        <w:adjustRightInd w:val="0"/>
        <w:snapToGrid w:val="0"/>
        <w:spacing w:line="324" w:lineRule="auto"/>
        <w:ind w:left="480" w:leftChars="200"/>
        <w:jc w:val="both"/>
        <w:rPr>
          <w:rFonts w:ascii="Times New Roman" w:hAnsi="Times New Roman" w:cs="Times New Roman"/>
          <w:color w:val="auto"/>
          <w:sz w:val="21"/>
          <w:szCs w:val="21"/>
        </w:rPr>
      </w:pPr>
      <w:r>
        <w:rPr>
          <w:rFonts w:hint="eastAsia" w:ascii="Times New Roman" w:cs="Times New Roman"/>
          <w:color w:val="auto"/>
          <w:sz w:val="21"/>
          <w:szCs w:val="21"/>
        </w:rPr>
        <w:t>比利时</w:t>
      </w:r>
    </w:p>
    <w:p w14:paraId="74EF2DE3">
      <w:pPr>
        <w:adjustRightInd w:val="0"/>
        <w:snapToGrid w:val="0"/>
        <w:spacing w:line="324" w:lineRule="auto"/>
        <w:ind w:left="480" w:leftChars="200"/>
        <w:jc w:val="both"/>
        <w:rPr>
          <w:rFonts w:ascii="Times New Roman" w:hAnsi="Times New Roman" w:cs="Times New Roman"/>
          <w:color w:val="auto"/>
          <w:sz w:val="21"/>
          <w:szCs w:val="21"/>
        </w:rPr>
      </w:pPr>
      <w:r>
        <w:rPr>
          <w:rFonts w:hint="eastAsia" w:ascii="Times New Roman" w:cs="Times New Roman"/>
          <w:color w:val="auto"/>
          <w:sz w:val="21"/>
          <w:szCs w:val="21"/>
        </w:rPr>
        <w:t>卢森堡</w:t>
      </w:r>
    </w:p>
    <w:p w14:paraId="0CFE4F39">
      <w:pPr>
        <w:adjustRightInd w:val="0"/>
        <w:snapToGrid w:val="0"/>
        <w:spacing w:line="324" w:lineRule="auto"/>
        <w:ind w:left="480" w:leftChars="200"/>
        <w:jc w:val="both"/>
        <w:rPr>
          <w:rFonts w:ascii="Times New Roman" w:hAnsi="Times New Roman" w:cs="Times New Roman"/>
          <w:color w:val="auto"/>
          <w:sz w:val="21"/>
          <w:szCs w:val="21"/>
          <w:u w:val="single"/>
        </w:rPr>
      </w:pPr>
      <w:r>
        <w:rPr>
          <w:rFonts w:hint="eastAsia" w:ascii="Times New Roman" w:cs="Times New Roman"/>
          <w:color w:val="auto"/>
          <w:sz w:val="21"/>
          <w:szCs w:val="21"/>
          <w:u w:val="single"/>
        </w:rPr>
        <w:t>在重大风险的国家：</w:t>
      </w:r>
    </w:p>
    <w:p w14:paraId="71D32CC0">
      <w:pPr>
        <w:adjustRightInd w:val="0"/>
        <w:snapToGrid w:val="0"/>
        <w:spacing w:line="324" w:lineRule="auto"/>
        <w:ind w:left="480" w:leftChars="200"/>
        <w:jc w:val="both"/>
        <w:rPr>
          <w:rFonts w:ascii="Times New Roman" w:hAnsi="Times New Roman" w:cs="Times New Roman"/>
          <w:color w:val="auto"/>
          <w:sz w:val="21"/>
          <w:szCs w:val="21"/>
        </w:rPr>
      </w:pPr>
      <w:r>
        <w:rPr>
          <w:rFonts w:hint="eastAsia" w:ascii="Times New Roman" w:cs="Times New Roman"/>
          <w:color w:val="auto"/>
          <w:sz w:val="21"/>
          <w:szCs w:val="21"/>
        </w:rPr>
        <w:t>阿尔巴尼亚</w:t>
      </w:r>
    </w:p>
    <w:p w14:paraId="445B9780">
      <w:pPr>
        <w:adjustRightInd w:val="0"/>
        <w:snapToGrid w:val="0"/>
        <w:spacing w:line="324" w:lineRule="auto"/>
        <w:ind w:left="480" w:leftChars="200"/>
        <w:jc w:val="both"/>
        <w:rPr>
          <w:rFonts w:ascii="Times New Roman" w:hAnsi="Times New Roman" w:cs="Times New Roman"/>
          <w:color w:val="auto"/>
          <w:sz w:val="21"/>
          <w:szCs w:val="21"/>
        </w:rPr>
      </w:pPr>
      <w:r>
        <w:rPr>
          <w:rFonts w:hint="eastAsia" w:ascii="Times New Roman" w:cs="Times New Roman"/>
          <w:color w:val="auto"/>
          <w:sz w:val="21"/>
          <w:szCs w:val="21"/>
        </w:rPr>
        <w:t>澳大利亚</w:t>
      </w:r>
    </w:p>
    <w:p w14:paraId="52C91327">
      <w:pPr>
        <w:adjustRightInd w:val="0"/>
        <w:snapToGrid w:val="0"/>
        <w:spacing w:line="324" w:lineRule="auto"/>
        <w:ind w:left="480" w:leftChars="200"/>
        <w:jc w:val="both"/>
        <w:rPr>
          <w:rFonts w:ascii="Times New Roman" w:hAnsi="Times New Roman" w:cs="Times New Roman"/>
          <w:color w:val="auto"/>
          <w:sz w:val="21"/>
          <w:szCs w:val="21"/>
        </w:rPr>
      </w:pPr>
      <w:r>
        <w:rPr>
          <w:rFonts w:hint="eastAsia" w:ascii="Times New Roman" w:cs="Times New Roman"/>
          <w:color w:val="auto"/>
          <w:sz w:val="21"/>
          <w:szCs w:val="21"/>
        </w:rPr>
        <w:t>波黑</w:t>
      </w:r>
    </w:p>
    <w:p w14:paraId="79F139AE">
      <w:pPr>
        <w:adjustRightInd w:val="0"/>
        <w:snapToGrid w:val="0"/>
        <w:spacing w:line="324" w:lineRule="auto"/>
        <w:ind w:left="480" w:leftChars="200"/>
        <w:jc w:val="both"/>
        <w:rPr>
          <w:rFonts w:ascii="Times New Roman" w:hAnsi="Times New Roman" w:cs="Times New Roman"/>
          <w:color w:val="auto"/>
          <w:sz w:val="21"/>
          <w:szCs w:val="21"/>
        </w:rPr>
      </w:pPr>
      <w:r>
        <w:rPr>
          <w:rFonts w:hint="eastAsia" w:ascii="Times New Roman" w:cs="Times New Roman"/>
          <w:color w:val="auto"/>
          <w:sz w:val="21"/>
          <w:szCs w:val="21"/>
        </w:rPr>
        <w:t>保加利亚</w:t>
      </w:r>
    </w:p>
    <w:p w14:paraId="22B6C6D6">
      <w:pPr>
        <w:adjustRightInd w:val="0"/>
        <w:snapToGrid w:val="0"/>
        <w:spacing w:line="324" w:lineRule="auto"/>
        <w:ind w:left="480" w:leftChars="200"/>
        <w:jc w:val="both"/>
        <w:rPr>
          <w:rFonts w:ascii="Times New Roman" w:hAnsi="Times New Roman" w:cs="Times New Roman"/>
          <w:color w:val="auto"/>
          <w:sz w:val="21"/>
          <w:szCs w:val="21"/>
        </w:rPr>
      </w:pPr>
      <w:r>
        <w:rPr>
          <w:rFonts w:hint="eastAsia" w:ascii="Times New Roman" w:cs="Times New Roman"/>
          <w:color w:val="auto"/>
          <w:sz w:val="21"/>
          <w:szCs w:val="21"/>
        </w:rPr>
        <w:t>克罗地亚</w:t>
      </w:r>
    </w:p>
    <w:p w14:paraId="0DDC5960">
      <w:pPr>
        <w:adjustRightInd w:val="0"/>
        <w:snapToGrid w:val="0"/>
        <w:spacing w:line="324" w:lineRule="auto"/>
        <w:ind w:left="480" w:leftChars="200"/>
        <w:jc w:val="both"/>
        <w:rPr>
          <w:rFonts w:ascii="Times New Roman" w:hAnsi="Times New Roman" w:cs="Times New Roman"/>
          <w:color w:val="auto"/>
          <w:sz w:val="21"/>
          <w:szCs w:val="21"/>
        </w:rPr>
      </w:pPr>
      <w:r>
        <w:rPr>
          <w:rFonts w:hint="eastAsia" w:ascii="Times New Roman" w:cs="Times New Roman"/>
          <w:color w:val="auto"/>
          <w:sz w:val="21"/>
          <w:szCs w:val="21"/>
        </w:rPr>
        <w:t>捷克共和国丹麦</w:t>
      </w:r>
    </w:p>
    <w:p w14:paraId="17BBF624">
      <w:pPr>
        <w:adjustRightInd w:val="0"/>
        <w:snapToGrid w:val="0"/>
        <w:spacing w:line="324" w:lineRule="auto"/>
        <w:ind w:left="480" w:leftChars="200"/>
        <w:jc w:val="both"/>
        <w:rPr>
          <w:rFonts w:ascii="Times New Roman" w:hAnsi="Times New Roman" w:cs="Times New Roman"/>
          <w:color w:val="auto"/>
          <w:sz w:val="21"/>
          <w:szCs w:val="21"/>
        </w:rPr>
      </w:pPr>
      <w:r>
        <w:rPr>
          <w:rFonts w:hint="eastAsia" w:ascii="Times New Roman" w:cs="Times New Roman"/>
          <w:color w:val="auto"/>
          <w:sz w:val="21"/>
          <w:szCs w:val="21"/>
        </w:rPr>
        <w:t>南斯拉夫联盟</w:t>
      </w:r>
    </w:p>
    <w:p w14:paraId="4D7EAAC7">
      <w:pPr>
        <w:adjustRightInd w:val="0"/>
        <w:snapToGrid w:val="0"/>
        <w:spacing w:line="324" w:lineRule="auto"/>
        <w:ind w:left="480" w:leftChars="200"/>
        <w:jc w:val="both"/>
        <w:rPr>
          <w:rFonts w:ascii="Times New Roman" w:hAnsi="Times New Roman" w:cs="Times New Roman"/>
          <w:color w:val="auto"/>
          <w:sz w:val="21"/>
          <w:szCs w:val="21"/>
        </w:rPr>
      </w:pPr>
      <w:r>
        <w:rPr>
          <w:rFonts w:hint="eastAsia" w:ascii="Times New Roman" w:cs="Times New Roman"/>
          <w:color w:val="auto"/>
          <w:sz w:val="21"/>
          <w:szCs w:val="21"/>
        </w:rPr>
        <w:t>芬兰</w:t>
      </w:r>
    </w:p>
    <w:p w14:paraId="6DCA9287">
      <w:pPr>
        <w:adjustRightInd w:val="0"/>
        <w:snapToGrid w:val="0"/>
        <w:spacing w:line="324" w:lineRule="auto"/>
        <w:ind w:left="480" w:leftChars="200"/>
        <w:jc w:val="both"/>
        <w:rPr>
          <w:rFonts w:ascii="Times New Roman" w:hAnsi="Times New Roman" w:cs="Times New Roman"/>
          <w:color w:val="auto"/>
          <w:sz w:val="21"/>
          <w:szCs w:val="21"/>
        </w:rPr>
      </w:pPr>
      <w:r>
        <w:rPr>
          <w:rFonts w:hint="eastAsia" w:ascii="Times New Roman" w:cs="Times New Roman"/>
          <w:color w:val="auto"/>
          <w:sz w:val="21"/>
          <w:szCs w:val="21"/>
        </w:rPr>
        <w:t>德国</w:t>
      </w:r>
    </w:p>
    <w:p w14:paraId="032A3F36">
      <w:pPr>
        <w:adjustRightInd w:val="0"/>
        <w:snapToGrid w:val="0"/>
        <w:spacing w:line="324" w:lineRule="auto"/>
        <w:ind w:left="480" w:leftChars="200"/>
        <w:jc w:val="both"/>
        <w:rPr>
          <w:rFonts w:ascii="Times New Roman" w:hAnsi="Times New Roman" w:cs="Times New Roman"/>
          <w:color w:val="auto"/>
          <w:sz w:val="21"/>
          <w:szCs w:val="21"/>
        </w:rPr>
      </w:pPr>
      <w:r>
        <w:rPr>
          <w:rFonts w:hint="eastAsia" w:ascii="Times New Roman" w:cs="Times New Roman"/>
          <w:color w:val="auto"/>
          <w:sz w:val="21"/>
          <w:szCs w:val="21"/>
        </w:rPr>
        <w:t>希腊</w:t>
      </w:r>
    </w:p>
    <w:p w14:paraId="66501AF9">
      <w:pPr>
        <w:adjustRightInd w:val="0"/>
        <w:snapToGrid w:val="0"/>
        <w:spacing w:line="324" w:lineRule="auto"/>
        <w:ind w:left="480" w:leftChars="200"/>
        <w:jc w:val="both"/>
        <w:rPr>
          <w:rFonts w:ascii="Times New Roman" w:hAnsi="Times New Roman" w:cs="Times New Roman"/>
          <w:color w:val="auto"/>
          <w:sz w:val="21"/>
          <w:szCs w:val="21"/>
        </w:rPr>
      </w:pPr>
      <w:r>
        <w:rPr>
          <w:rFonts w:hint="eastAsia" w:ascii="Times New Roman" w:cs="Times New Roman"/>
          <w:color w:val="auto"/>
          <w:sz w:val="21"/>
          <w:szCs w:val="21"/>
        </w:rPr>
        <w:t>匈牙利</w:t>
      </w:r>
    </w:p>
    <w:p w14:paraId="40CB85DF">
      <w:pPr>
        <w:adjustRightInd w:val="0"/>
        <w:snapToGrid w:val="0"/>
        <w:spacing w:line="324" w:lineRule="auto"/>
        <w:ind w:left="480" w:leftChars="200"/>
        <w:jc w:val="both"/>
        <w:outlineLvl w:val="5"/>
        <w:rPr>
          <w:rFonts w:ascii="Times New Roman" w:hAnsi="Times New Roman" w:cs="Times New Roman"/>
          <w:color w:val="auto"/>
          <w:sz w:val="21"/>
          <w:szCs w:val="21"/>
        </w:rPr>
      </w:pPr>
      <w:bookmarkStart w:id="4" w:name="bookmark8"/>
      <w:r>
        <w:rPr>
          <w:rFonts w:hint="eastAsia" w:ascii="Times New Roman" w:cs="Times New Roman"/>
          <w:color w:val="auto"/>
          <w:sz w:val="21"/>
          <w:szCs w:val="21"/>
        </w:rPr>
        <w:t>意大利</w:t>
      </w:r>
      <w:bookmarkEnd w:id="4"/>
    </w:p>
    <w:p w14:paraId="098BEA8B">
      <w:pPr>
        <w:adjustRightInd w:val="0"/>
        <w:snapToGrid w:val="0"/>
        <w:spacing w:line="324" w:lineRule="auto"/>
        <w:ind w:left="480" w:leftChars="200"/>
        <w:jc w:val="both"/>
        <w:rPr>
          <w:rFonts w:ascii="Times New Roman" w:hAnsi="Times New Roman" w:cs="Times New Roman"/>
          <w:color w:val="auto"/>
          <w:sz w:val="21"/>
          <w:szCs w:val="21"/>
        </w:rPr>
      </w:pPr>
      <w:r>
        <w:rPr>
          <w:rFonts w:hint="eastAsia" w:ascii="Times New Roman" w:cs="Times New Roman"/>
          <w:color w:val="auto"/>
          <w:sz w:val="21"/>
          <w:szCs w:val="21"/>
        </w:rPr>
        <w:t>前南斯拉夫马其顿共和国</w:t>
      </w:r>
    </w:p>
    <w:p w14:paraId="15C6252A">
      <w:pPr>
        <w:adjustRightInd w:val="0"/>
        <w:snapToGrid w:val="0"/>
        <w:spacing w:line="324" w:lineRule="auto"/>
        <w:ind w:left="480" w:leftChars="200"/>
        <w:jc w:val="both"/>
        <w:rPr>
          <w:rFonts w:ascii="Times New Roman" w:hAnsi="Times New Roman" w:cs="Times New Roman"/>
          <w:color w:val="auto"/>
          <w:sz w:val="21"/>
          <w:szCs w:val="21"/>
        </w:rPr>
      </w:pPr>
      <w:r>
        <w:rPr>
          <w:rFonts w:hint="eastAsia" w:ascii="Times New Roman" w:cs="Times New Roman"/>
          <w:color w:val="auto"/>
          <w:sz w:val="21"/>
          <w:szCs w:val="21"/>
        </w:rPr>
        <w:t>挪威</w:t>
      </w:r>
    </w:p>
    <w:p w14:paraId="4A6A77A8">
      <w:pPr>
        <w:adjustRightInd w:val="0"/>
        <w:snapToGrid w:val="0"/>
        <w:spacing w:line="324" w:lineRule="auto"/>
        <w:ind w:left="480" w:leftChars="200"/>
        <w:jc w:val="both"/>
        <w:rPr>
          <w:rFonts w:ascii="Times New Roman" w:hAnsi="Times New Roman" w:cs="Times New Roman"/>
          <w:color w:val="auto"/>
          <w:sz w:val="21"/>
          <w:szCs w:val="21"/>
        </w:rPr>
      </w:pPr>
      <w:r>
        <w:rPr>
          <w:rFonts w:hint="eastAsia" w:ascii="Times New Roman" w:cs="Times New Roman"/>
          <w:color w:val="auto"/>
          <w:sz w:val="21"/>
          <w:szCs w:val="21"/>
        </w:rPr>
        <w:t>波兰</w:t>
      </w:r>
    </w:p>
    <w:p w14:paraId="2201B75B">
      <w:pPr>
        <w:adjustRightInd w:val="0"/>
        <w:snapToGrid w:val="0"/>
        <w:spacing w:line="324" w:lineRule="auto"/>
        <w:ind w:left="480" w:leftChars="200"/>
        <w:jc w:val="both"/>
        <w:rPr>
          <w:rFonts w:ascii="Times New Roman" w:hAnsi="Times New Roman" w:cs="Times New Roman"/>
          <w:color w:val="auto"/>
          <w:sz w:val="21"/>
          <w:szCs w:val="21"/>
        </w:rPr>
      </w:pPr>
      <w:r>
        <w:rPr>
          <w:rFonts w:hint="eastAsia" w:ascii="Times New Roman" w:cs="Times New Roman"/>
          <w:color w:val="auto"/>
          <w:sz w:val="21"/>
          <w:szCs w:val="21"/>
        </w:rPr>
        <w:t>罗马尼亚</w:t>
      </w:r>
    </w:p>
    <w:p w14:paraId="5E6BEBA7">
      <w:pPr>
        <w:adjustRightInd w:val="0"/>
        <w:snapToGrid w:val="0"/>
        <w:spacing w:line="324" w:lineRule="auto"/>
        <w:ind w:left="480" w:leftChars="200"/>
        <w:jc w:val="both"/>
        <w:rPr>
          <w:rFonts w:ascii="Times New Roman" w:hAnsi="Times New Roman" w:cs="Times New Roman"/>
          <w:color w:val="auto"/>
          <w:sz w:val="21"/>
          <w:szCs w:val="21"/>
        </w:rPr>
      </w:pPr>
      <w:r>
        <w:rPr>
          <w:rFonts w:hint="eastAsia" w:ascii="Times New Roman" w:cs="Times New Roman"/>
          <w:color w:val="auto"/>
          <w:sz w:val="21"/>
          <w:szCs w:val="21"/>
        </w:rPr>
        <w:t>斯洛伐克共和国</w:t>
      </w:r>
    </w:p>
    <w:p w14:paraId="4E8068C9">
      <w:pPr>
        <w:adjustRightInd w:val="0"/>
        <w:snapToGrid w:val="0"/>
        <w:spacing w:line="324" w:lineRule="auto"/>
        <w:ind w:left="480" w:leftChars="200"/>
        <w:jc w:val="both"/>
        <w:rPr>
          <w:rFonts w:ascii="Times New Roman" w:hAnsi="Times New Roman" w:cs="Times New Roman"/>
          <w:color w:val="auto"/>
          <w:sz w:val="21"/>
          <w:szCs w:val="21"/>
        </w:rPr>
      </w:pPr>
      <w:r>
        <w:rPr>
          <w:rFonts w:hint="eastAsia" w:ascii="Times New Roman" w:cs="Times New Roman"/>
          <w:color w:val="auto"/>
          <w:sz w:val="21"/>
          <w:szCs w:val="21"/>
        </w:rPr>
        <w:t>斯洛文尼亚</w:t>
      </w:r>
    </w:p>
    <w:p w14:paraId="79770430">
      <w:pPr>
        <w:adjustRightInd w:val="0"/>
        <w:snapToGrid w:val="0"/>
        <w:spacing w:line="324" w:lineRule="auto"/>
        <w:ind w:left="480" w:leftChars="200"/>
        <w:jc w:val="both"/>
        <w:rPr>
          <w:rFonts w:ascii="Times New Roman" w:hAnsi="Times New Roman" w:cs="Times New Roman"/>
          <w:color w:val="auto"/>
          <w:sz w:val="21"/>
          <w:szCs w:val="21"/>
        </w:rPr>
      </w:pPr>
      <w:r>
        <w:rPr>
          <w:rFonts w:hint="eastAsia" w:ascii="Times New Roman" w:cs="Times New Roman"/>
          <w:color w:val="auto"/>
          <w:sz w:val="21"/>
          <w:szCs w:val="21"/>
        </w:rPr>
        <w:t>西班牙</w:t>
      </w:r>
    </w:p>
    <w:p w14:paraId="2ACD5945">
      <w:pPr>
        <w:adjustRightInd w:val="0"/>
        <w:snapToGrid w:val="0"/>
        <w:spacing w:line="324" w:lineRule="auto"/>
        <w:ind w:left="480" w:leftChars="200"/>
        <w:jc w:val="both"/>
        <w:rPr>
          <w:rFonts w:ascii="Times New Roman" w:hAnsi="Times New Roman" w:cs="Times New Roman"/>
          <w:color w:val="auto"/>
          <w:sz w:val="21"/>
          <w:szCs w:val="21"/>
        </w:rPr>
      </w:pPr>
      <w:r>
        <w:rPr>
          <w:rFonts w:hint="eastAsia" w:ascii="Times New Roman" w:cs="Times New Roman"/>
          <w:color w:val="auto"/>
          <w:sz w:val="21"/>
          <w:szCs w:val="21"/>
        </w:rPr>
        <w:t>瑞士</w:t>
      </w:r>
    </w:p>
    <w:p w14:paraId="7E902A35">
      <w:pPr>
        <w:adjustRightInd w:val="0"/>
        <w:snapToGrid w:val="0"/>
        <w:spacing w:line="324" w:lineRule="auto"/>
        <w:ind w:left="420" w:hanging="420" w:hangingChars="200"/>
        <w:jc w:val="both"/>
        <w:rPr>
          <w:rFonts w:ascii="Times New Roman" w:hAnsi="Times New Roman" w:cs="Times New Roman"/>
          <w:color w:val="auto"/>
          <w:sz w:val="21"/>
          <w:szCs w:val="21"/>
        </w:rPr>
      </w:pPr>
      <w:r>
        <w:rPr>
          <w:rFonts w:ascii="Times New Roman" w:hAnsi="Times New Roman" w:cs="Times New Roman"/>
          <w:color w:val="auto"/>
          <w:sz w:val="21"/>
          <w:szCs w:val="21"/>
        </w:rPr>
        <w:t>3.</w:t>
      </w:r>
      <w:r>
        <w:rPr>
          <w:rFonts w:ascii="Times New Roman" w:hAnsi="Times New Roman" w:cs="Times New Roman"/>
          <w:color w:val="auto"/>
          <w:sz w:val="21"/>
          <w:szCs w:val="21"/>
        </w:rPr>
        <w:tab/>
      </w:r>
      <w:r>
        <w:rPr>
          <w:rFonts w:hint="eastAsia" w:ascii="Times New Roman" w:cs="Times New Roman"/>
          <w:color w:val="auto"/>
          <w:sz w:val="21"/>
          <w:szCs w:val="21"/>
        </w:rPr>
        <w:t>生产商应为每批次牛源材料和每批次</w:t>
      </w:r>
      <w:r>
        <w:rPr>
          <w:rFonts w:ascii="Times New Roman" w:hAnsi="Times New Roman" w:cs="Times New Roman"/>
          <w:color w:val="auto"/>
          <w:sz w:val="21"/>
          <w:szCs w:val="21"/>
        </w:rPr>
        <w:t>FDA</w:t>
      </w:r>
      <w:r>
        <w:rPr>
          <w:rFonts w:hint="eastAsia" w:ascii="Times New Roman" w:cs="Times New Roman"/>
          <w:color w:val="auto"/>
          <w:sz w:val="21"/>
          <w:szCs w:val="21"/>
        </w:rPr>
        <w:t>监管产品保留溯源记录。记录应标明动物的原产国和生长地。同时还应注明牛组织来源（如骨，心脏瓣膜、韧带</w:t>
      </w:r>
      <w:r>
        <w:rPr>
          <w:rFonts w:ascii="Times New Roman" w:hAnsi="Times New Roman" w:cs="Times New Roman"/>
          <w:color w:val="auto"/>
          <w:sz w:val="21"/>
          <w:szCs w:val="21"/>
        </w:rPr>
        <w:t>/</w:t>
      </w:r>
      <w:r>
        <w:rPr>
          <w:rFonts w:hint="eastAsia" w:ascii="Times New Roman" w:cs="Times New Roman"/>
          <w:color w:val="auto"/>
          <w:sz w:val="21"/>
          <w:szCs w:val="21"/>
        </w:rPr>
        <w:t>肌腱）。</w:t>
      </w:r>
    </w:p>
    <w:p w14:paraId="1FF99F58">
      <w:pPr>
        <w:adjustRightInd w:val="0"/>
        <w:snapToGrid w:val="0"/>
        <w:spacing w:line="324" w:lineRule="auto"/>
        <w:ind w:left="420" w:hanging="420" w:hangingChars="200"/>
        <w:jc w:val="both"/>
        <w:rPr>
          <w:rFonts w:ascii="Times New Roman" w:hAnsi="Times New Roman" w:cs="Times New Roman"/>
          <w:color w:val="auto"/>
          <w:sz w:val="21"/>
          <w:szCs w:val="21"/>
        </w:rPr>
      </w:pPr>
      <w:r>
        <w:rPr>
          <w:rFonts w:ascii="Times New Roman" w:hAnsi="Times New Roman" w:cs="Times New Roman"/>
          <w:color w:val="auto"/>
          <w:sz w:val="21"/>
          <w:szCs w:val="21"/>
        </w:rPr>
        <w:t>4</w:t>
      </w:r>
      <w:r>
        <w:rPr>
          <w:rFonts w:hint="eastAsia" w:ascii="Times New Roman" w:cs="Times New Roman"/>
          <w:color w:val="auto"/>
          <w:sz w:val="21"/>
          <w:szCs w:val="21"/>
        </w:rPr>
        <w:t>．</w:t>
      </w:r>
      <w:r>
        <w:rPr>
          <w:rFonts w:ascii="Times New Roman" w:hAnsi="Times New Roman" w:cs="Times New Roman"/>
          <w:color w:val="auto"/>
          <w:sz w:val="21"/>
          <w:szCs w:val="21"/>
        </w:rPr>
        <w:tab/>
      </w:r>
      <w:r>
        <w:rPr>
          <w:rFonts w:hint="eastAsia" w:ascii="Times New Roman" w:cs="Times New Roman"/>
          <w:color w:val="auto"/>
          <w:sz w:val="21"/>
          <w:szCs w:val="21"/>
        </w:rPr>
        <w:t>如果生产商确定牛源材料只能从已知存在</w:t>
      </w:r>
      <w:r>
        <w:rPr>
          <w:rFonts w:ascii="Times New Roman" w:hAnsi="Times New Roman" w:cs="Times New Roman"/>
          <w:color w:val="auto"/>
          <w:sz w:val="21"/>
          <w:szCs w:val="21"/>
        </w:rPr>
        <w:t>BSE</w:t>
      </w:r>
      <w:r>
        <w:rPr>
          <w:rFonts w:hint="eastAsia" w:ascii="Times New Roman" w:cs="Times New Roman"/>
          <w:color w:val="auto"/>
          <w:sz w:val="21"/>
          <w:szCs w:val="21"/>
        </w:rPr>
        <w:t>的国家进口，那么该生产商应提供能说明在生产过程中</w:t>
      </w:r>
      <w:r>
        <w:rPr>
          <w:rFonts w:ascii="Times New Roman" w:hAnsi="Times New Roman" w:cs="Times New Roman"/>
          <w:color w:val="auto"/>
          <w:sz w:val="21"/>
          <w:szCs w:val="21"/>
        </w:rPr>
        <w:t>BSE</w:t>
      </w:r>
      <w:r>
        <w:rPr>
          <w:rFonts w:hint="eastAsia" w:ascii="Times New Roman" w:cs="Times New Roman"/>
          <w:color w:val="auto"/>
          <w:sz w:val="21"/>
          <w:szCs w:val="21"/>
        </w:rPr>
        <w:t>病原体已失活的证据。应提交生产过程的详细说明。失活的证据可以来自以下的一项或多项：</w:t>
      </w:r>
    </w:p>
    <w:p w14:paraId="255D4439">
      <w:pPr>
        <w:adjustRightInd w:val="0"/>
        <w:snapToGrid w:val="0"/>
        <w:spacing w:line="324" w:lineRule="auto"/>
        <w:ind w:left="900" w:leftChars="200" w:hanging="420" w:hangingChars="200"/>
        <w:jc w:val="both"/>
        <w:rPr>
          <w:rFonts w:ascii="Times New Roman" w:hAnsi="Times New Roman" w:cs="Times New Roman"/>
          <w:color w:val="auto"/>
          <w:sz w:val="21"/>
          <w:szCs w:val="21"/>
        </w:rPr>
      </w:pPr>
      <w:r>
        <w:rPr>
          <w:rFonts w:ascii="Times New Roman" w:cs="Times New Roman"/>
          <w:color w:val="auto"/>
          <w:sz w:val="21"/>
          <w:szCs w:val="21"/>
        </w:rPr>
        <w:t>a</w:t>
      </w:r>
      <w:r>
        <w:rPr>
          <w:rFonts w:ascii="Times New Roman" w:cs="Times New Roman"/>
          <w:color w:val="auto"/>
          <w:sz w:val="21"/>
          <w:szCs w:val="21"/>
        </w:rPr>
        <w:tab/>
      </w:r>
      <w:r>
        <w:rPr>
          <w:rFonts w:hint="eastAsia" w:ascii="Times New Roman" w:cs="Times New Roman"/>
          <w:color w:val="auto"/>
          <w:sz w:val="21"/>
          <w:szCs w:val="21"/>
        </w:rPr>
        <w:t>验证研究使用一个合适的模型（如，患瘙痒病的小鼠）。如果一个验证研究方案和</w:t>
      </w:r>
      <w:r>
        <w:rPr>
          <w:rFonts w:ascii="Times New Roman" w:hAnsi="Times New Roman" w:cs="Times New Roman"/>
          <w:color w:val="auto"/>
          <w:sz w:val="21"/>
          <w:szCs w:val="21"/>
        </w:rPr>
        <w:t>/</w:t>
      </w:r>
      <w:r>
        <w:rPr>
          <w:rFonts w:hint="eastAsia" w:ascii="Times New Roman" w:cs="Times New Roman"/>
          <w:color w:val="auto"/>
          <w:sz w:val="21"/>
          <w:szCs w:val="21"/>
        </w:rPr>
        <w:t>或数据已经提交，审查员应与</w:t>
      </w:r>
      <w:r>
        <w:rPr>
          <w:rFonts w:ascii="Times New Roman" w:hAnsi="Times New Roman" w:cs="Times New Roman"/>
          <w:color w:val="auto"/>
          <w:sz w:val="21"/>
          <w:szCs w:val="21"/>
        </w:rPr>
        <w:t>Division BSE Focal Point</w:t>
      </w:r>
      <w:r>
        <w:rPr>
          <w:rFonts w:hint="eastAsia" w:ascii="Times New Roman" w:cs="Times New Roman"/>
          <w:color w:val="auto"/>
          <w:sz w:val="21"/>
          <w:szCs w:val="21"/>
        </w:rPr>
        <w:t>（见下文）联系以作进一步指导。鼓励生产商在确定方案制定中咨询</w:t>
      </w:r>
      <w:r>
        <w:rPr>
          <w:rFonts w:ascii="Times New Roman" w:hAnsi="Times New Roman" w:cs="Times New Roman"/>
          <w:color w:val="auto"/>
          <w:sz w:val="21"/>
          <w:szCs w:val="21"/>
        </w:rPr>
        <w:t>FDA</w:t>
      </w:r>
      <w:r>
        <w:rPr>
          <w:rFonts w:hint="eastAsia" w:ascii="Times New Roman" w:cs="Times New Roman"/>
          <w:color w:val="auto"/>
          <w:sz w:val="21"/>
          <w:szCs w:val="21"/>
        </w:rPr>
        <w:t>。验证研究至少需持续</w:t>
      </w:r>
      <w:r>
        <w:rPr>
          <w:rFonts w:ascii="Times New Roman" w:hAnsi="Times New Roman" w:cs="Times New Roman"/>
          <w:color w:val="auto"/>
          <w:sz w:val="21"/>
          <w:szCs w:val="21"/>
        </w:rPr>
        <w:t>2</w:t>
      </w:r>
      <w:r>
        <w:rPr>
          <w:rFonts w:hint="eastAsia" w:ascii="Times New Roman" w:cs="Times New Roman"/>
          <w:color w:val="auto"/>
          <w:sz w:val="21"/>
          <w:szCs w:val="21"/>
        </w:rPr>
        <w:t>年才完成，这存在技术难度，可能需要</w:t>
      </w:r>
      <w:r>
        <w:rPr>
          <w:rFonts w:ascii="Times New Roman" w:hAnsi="Times New Roman" w:cs="Times New Roman"/>
          <w:color w:val="auto"/>
          <w:sz w:val="21"/>
          <w:szCs w:val="21"/>
        </w:rPr>
        <w:t>TSE</w:t>
      </w:r>
      <w:r>
        <w:rPr>
          <w:rFonts w:hint="eastAsia" w:ascii="Times New Roman" w:cs="Times New Roman"/>
          <w:color w:val="auto"/>
          <w:sz w:val="21"/>
          <w:szCs w:val="21"/>
        </w:rPr>
        <w:t>领域专家的审查。</w:t>
      </w:r>
      <w:r>
        <w:rPr>
          <w:rFonts w:ascii="Times New Roman" w:hAnsi="Times New Roman" w:cs="Times New Roman"/>
          <w:color w:val="auto"/>
          <w:sz w:val="21"/>
          <w:szCs w:val="21"/>
        </w:rPr>
        <w:t>TSE</w:t>
      </w:r>
      <w:r>
        <w:rPr>
          <w:rFonts w:hint="eastAsia" w:ascii="Times New Roman" w:cs="Times New Roman"/>
          <w:color w:val="auto"/>
          <w:sz w:val="21"/>
          <w:szCs w:val="21"/>
        </w:rPr>
        <w:t>咨询委员会将给予适当的顾问。</w:t>
      </w:r>
    </w:p>
    <w:p w14:paraId="5BA763E8">
      <w:pPr>
        <w:adjustRightInd w:val="0"/>
        <w:snapToGrid w:val="0"/>
        <w:spacing w:beforeLines="50" w:line="360" w:lineRule="auto"/>
        <w:ind w:left="900" w:leftChars="200" w:hanging="420" w:hangingChars="200"/>
        <w:jc w:val="both"/>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ascii="Times New Roman" w:hAnsi="Times New Roman" w:cs="Times New Roman"/>
          <w:color w:val="auto"/>
          <w:sz w:val="21"/>
          <w:szCs w:val="21"/>
        </w:rPr>
        <w:t>b</w:t>
      </w:r>
      <w:r>
        <w:rPr>
          <w:rFonts w:ascii="Times New Roman" w:hAnsi="Times New Roman" w:cs="Times New Roman"/>
          <w:color w:val="auto"/>
          <w:sz w:val="21"/>
          <w:szCs w:val="21"/>
        </w:rPr>
        <w:tab/>
      </w:r>
      <w:r>
        <w:rPr>
          <w:rFonts w:hint="eastAsia" w:ascii="Times New Roman" w:cs="Times New Roman"/>
          <w:color w:val="auto"/>
          <w:sz w:val="21"/>
          <w:szCs w:val="21"/>
        </w:rPr>
        <w:t>其他有效的科学证据</w:t>
      </w:r>
      <w:r>
        <w:rPr>
          <w:rFonts w:ascii="Times New Roman" w:hAnsi="Times New Roman" w:cs="Times New Roman"/>
          <w:color w:val="auto"/>
          <w:sz w:val="21"/>
          <w:szCs w:val="21"/>
        </w:rPr>
        <w:t>[</w:t>
      </w:r>
      <w:r>
        <w:rPr>
          <w:rFonts w:hint="eastAsia" w:ascii="Times New Roman" w:cs="Times New Roman"/>
          <w:color w:val="auto"/>
          <w:sz w:val="21"/>
          <w:szCs w:val="21"/>
        </w:rPr>
        <w:t>如，支持特定组织的特定处理方法的科学文献（如，由牛骨获得的羟磷灰石。）</w:t>
      </w:r>
      <w:r>
        <w:rPr>
          <w:rFonts w:ascii="Times New Roman" w:hAnsi="Times New Roman" w:cs="Times New Roman"/>
          <w:color w:val="auto"/>
          <w:sz w:val="21"/>
          <w:szCs w:val="21"/>
        </w:rPr>
        <w:t>]</w:t>
      </w:r>
    </w:p>
    <w:p w14:paraId="28596249">
      <w:pPr>
        <w:adjustRightInd w:val="0"/>
        <w:snapToGrid w:val="0"/>
        <w:spacing w:beforeLines="50" w:line="360" w:lineRule="auto"/>
        <w:ind w:left="420" w:hanging="420" w:hangingChars="200"/>
        <w:jc w:val="both"/>
        <w:rPr>
          <w:rFonts w:ascii="Times New Roman" w:hAnsi="Times New Roman" w:cs="Times New Roman"/>
          <w:color w:val="auto"/>
          <w:sz w:val="21"/>
          <w:szCs w:val="21"/>
        </w:rPr>
      </w:pPr>
      <w:r>
        <w:rPr>
          <w:rFonts w:ascii="Times New Roman" w:hAnsi="Times New Roman" w:cs="Times New Roman"/>
          <w:color w:val="auto"/>
          <w:sz w:val="21"/>
          <w:szCs w:val="21"/>
        </w:rPr>
        <w:t>5.</w:t>
      </w:r>
      <w:r>
        <w:rPr>
          <w:rFonts w:ascii="Times New Roman" w:hAnsi="Times New Roman" w:cs="Times New Roman"/>
          <w:color w:val="auto"/>
          <w:sz w:val="21"/>
          <w:szCs w:val="21"/>
        </w:rPr>
        <w:tab/>
      </w:r>
      <w:r>
        <w:rPr>
          <w:rFonts w:ascii="Times New Roman" w:hAnsi="Times New Roman" w:cs="Times New Roman"/>
          <w:color w:val="auto"/>
          <w:sz w:val="21"/>
          <w:szCs w:val="21"/>
        </w:rPr>
        <w:t>FDA</w:t>
      </w:r>
      <w:r>
        <w:rPr>
          <w:rFonts w:hint="eastAsia" w:ascii="Times New Roman" w:cs="Times New Roman"/>
          <w:color w:val="auto"/>
          <w:sz w:val="21"/>
          <w:szCs w:val="21"/>
        </w:rPr>
        <w:t>最近改变了对于明胶使用的态度。发布了一项关于在人用</w:t>
      </w:r>
      <w:r>
        <w:rPr>
          <w:rFonts w:ascii="Times New Roman" w:hAnsi="Times New Roman" w:cs="Times New Roman"/>
          <w:color w:val="auto"/>
          <w:sz w:val="21"/>
          <w:szCs w:val="21"/>
        </w:rPr>
        <w:t>FDA</w:t>
      </w:r>
      <w:r>
        <w:rPr>
          <w:rFonts w:hint="eastAsia" w:ascii="Times New Roman" w:cs="Times New Roman"/>
          <w:color w:val="auto"/>
          <w:sz w:val="21"/>
          <w:szCs w:val="21"/>
        </w:rPr>
        <w:t>监管产品中使用明胶的指南文件（附件</w:t>
      </w:r>
      <w:r>
        <w:rPr>
          <w:rFonts w:ascii="Times New Roman" w:hAnsi="Times New Roman" w:cs="Times New Roman"/>
          <w:color w:val="auto"/>
          <w:sz w:val="21"/>
          <w:szCs w:val="21"/>
        </w:rPr>
        <w:t>4</w:t>
      </w:r>
      <w:r>
        <w:rPr>
          <w:rFonts w:hint="eastAsia" w:ascii="Times New Roman" w:cs="Times New Roman"/>
          <w:color w:val="auto"/>
          <w:sz w:val="21"/>
          <w:szCs w:val="21"/>
        </w:rPr>
        <w:t>）。医疗器械相关阅读指南：</w:t>
      </w:r>
    </w:p>
    <w:p w14:paraId="6192A418">
      <w:pPr>
        <w:adjustRightInd w:val="0"/>
        <w:snapToGrid w:val="0"/>
        <w:spacing w:beforeLines="50" w:line="360" w:lineRule="auto"/>
        <w:ind w:left="480" w:leftChars="200"/>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hint="eastAsia" w:ascii="Times New Roman" w:cs="Times New Roman"/>
          <w:color w:val="auto"/>
          <w:sz w:val="21"/>
          <w:szCs w:val="21"/>
        </w:rPr>
        <w:t>从生长在或源于报告有</w:t>
      </w:r>
      <w:r>
        <w:rPr>
          <w:rFonts w:ascii="Times New Roman" w:hAnsi="Times New Roman" w:cs="Times New Roman"/>
          <w:color w:val="auto"/>
          <w:sz w:val="21"/>
          <w:szCs w:val="21"/>
        </w:rPr>
        <w:t>BSE</w:t>
      </w:r>
      <w:r>
        <w:rPr>
          <w:rFonts w:hint="eastAsia" w:ascii="Times New Roman" w:cs="Times New Roman"/>
          <w:color w:val="auto"/>
          <w:sz w:val="21"/>
          <w:szCs w:val="21"/>
        </w:rPr>
        <w:t>国家或未达到国际兽疫局（</w:t>
      </w:r>
      <w:r>
        <w:rPr>
          <w:rFonts w:ascii="Times New Roman" w:hAnsi="Times New Roman" w:cs="Times New Roman"/>
          <w:color w:val="auto"/>
          <w:sz w:val="21"/>
          <w:szCs w:val="21"/>
        </w:rPr>
        <w:t>OIE</w:t>
      </w:r>
      <w:r>
        <w:rPr>
          <w:rFonts w:hint="eastAsia" w:ascii="Times New Roman" w:cs="Times New Roman"/>
          <w:color w:val="auto"/>
          <w:sz w:val="21"/>
          <w:szCs w:val="21"/>
        </w:rPr>
        <w:t>）最新</w:t>
      </w:r>
      <w:r>
        <w:rPr>
          <w:rFonts w:ascii="Times New Roman" w:hAnsi="Times New Roman" w:cs="Times New Roman"/>
          <w:color w:val="auto"/>
          <w:sz w:val="21"/>
          <w:szCs w:val="21"/>
        </w:rPr>
        <w:t>BSE</w:t>
      </w:r>
      <w:r>
        <w:rPr>
          <w:rFonts w:hint="eastAsia" w:ascii="Times New Roman" w:cs="Times New Roman"/>
          <w:color w:val="auto"/>
          <w:sz w:val="21"/>
          <w:szCs w:val="21"/>
        </w:rPr>
        <w:t>相关标准国家的牛骨和皮获得的明胶，不得用于注射、眼科、或植入</w:t>
      </w:r>
      <w:r>
        <w:rPr>
          <w:rFonts w:ascii="Times New Roman" w:hAnsi="Times New Roman" w:cs="Times New Roman"/>
          <w:color w:val="auto"/>
          <w:sz w:val="21"/>
          <w:szCs w:val="21"/>
        </w:rPr>
        <w:t>FDA</w:t>
      </w:r>
      <w:r>
        <w:rPr>
          <w:rFonts w:hint="eastAsia" w:ascii="Times New Roman" w:cs="Times New Roman"/>
          <w:color w:val="auto"/>
          <w:sz w:val="21"/>
          <w:szCs w:val="21"/>
        </w:rPr>
        <w:t>监管产品，或用于其生产过程。</w:t>
      </w:r>
      <w:r>
        <w:rPr>
          <w:rFonts w:ascii="Times New Roman" w:hAnsi="Times New Roman" w:cs="Times New Roman"/>
          <w:color w:val="auto"/>
          <w:sz w:val="21"/>
          <w:szCs w:val="21"/>
        </w:rPr>
        <w:t>”</w:t>
      </w:r>
    </w:p>
    <w:p w14:paraId="4FEEA98D">
      <w:pPr>
        <w:adjustRightInd w:val="0"/>
        <w:snapToGrid w:val="0"/>
        <w:spacing w:beforeLines="50" w:line="360" w:lineRule="auto"/>
        <w:ind w:left="480" w:leftChars="200"/>
        <w:jc w:val="both"/>
        <w:rPr>
          <w:rFonts w:ascii="Times New Roman" w:hAnsi="Times New Roman" w:cs="Times New Roman"/>
          <w:color w:val="auto"/>
          <w:sz w:val="21"/>
          <w:szCs w:val="21"/>
        </w:rPr>
      </w:pPr>
      <w:r>
        <w:rPr>
          <w:rFonts w:hint="eastAsia" w:ascii="Times New Roman" w:cs="Times New Roman"/>
          <w:color w:val="auto"/>
          <w:sz w:val="21"/>
          <w:szCs w:val="21"/>
        </w:rPr>
        <w:t>指南还指出：</w:t>
      </w:r>
    </w:p>
    <w:p w14:paraId="4F113C9A">
      <w:pPr>
        <w:adjustRightInd w:val="0"/>
        <w:snapToGrid w:val="0"/>
        <w:spacing w:beforeLines="50" w:line="360" w:lineRule="auto"/>
        <w:ind w:left="480" w:leftChars="200"/>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hint="eastAsia" w:ascii="Times New Roman" w:cs="Times New Roman"/>
          <w:color w:val="auto"/>
          <w:sz w:val="21"/>
          <w:szCs w:val="21"/>
        </w:rPr>
        <w:t>如果明胶是用美国的原材料，或在没有</w:t>
      </w:r>
      <w:r>
        <w:rPr>
          <w:rFonts w:ascii="Times New Roman" w:hAnsi="Times New Roman" w:cs="Times New Roman"/>
          <w:color w:val="auto"/>
          <w:sz w:val="21"/>
          <w:szCs w:val="21"/>
        </w:rPr>
        <w:t>BSE</w:t>
      </w:r>
      <w:r>
        <w:rPr>
          <w:rFonts w:hint="eastAsia" w:ascii="Times New Roman" w:cs="Times New Roman"/>
          <w:color w:val="auto"/>
          <w:sz w:val="21"/>
          <w:szCs w:val="21"/>
        </w:rPr>
        <w:t>病例报告和达到</w:t>
      </w:r>
      <w:r>
        <w:rPr>
          <w:rFonts w:ascii="Times New Roman" w:hAnsi="Times New Roman" w:cs="Times New Roman"/>
          <w:color w:val="auto"/>
          <w:sz w:val="21"/>
          <w:szCs w:val="21"/>
        </w:rPr>
        <w:t>OIE BSE</w:t>
      </w:r>
      <w:r>
        <w:rPr>
          <w:rFonts w:hint="eastAsia" w:ascii="Times New Roman" w:cs="Times New Roman"/>
          <w:color w:val="auto"/>
          <w:sz w:val="21"/>
          <w:szCs w:val="21"/>
        </w:rPr>
        <w:t>标准的国家出生、饲养和宰杀的牛生产的，那么目前没有反对使用明胶的依据。</w:t>
      </w:r>
      <w:r>
        <w:rPr>
          <w:rFonts w:ascii="Times New Roman" w:hAnsi="Times New Roman" w:cs="Times New Roman"/>
          <w:color w:val="auto"/>
          <w:sz w:val="21"/>
          <w:szCs w:val="21"/>
        </w:rPr>
        <w:t>”</w:t>
      </w:r>
    </w:p>
    <w:p w14:paraId="6446DF5A">
      <w:pPr>
        <w:numPr>
          <w:ilvl w:val="0"/>
          <w:numId w:val="1"/>
        </w:numPr>
        <w:adjustRightInd w:val="0"/>
        <w:snapToGrid w:val="0"/>
        <w:spacing w:beforeLines="50" w:line="360" w:lineRule="auto"/>
        <w:jc w:val="both"/>
        <w:rPr>
          <w:rFonts w:ascii="Times New Roman" w:cs="Times New Roman"/>
          <w:color w:val="auto"/>
          <w:sz w:val="21"/>
          <w:szCs w:val="21"/>
        </w:rPr>
      </w:pPr>
      <w:r>
        <w:rPr>
          <w:rFonts w:hint="eastAsia" w:ascii="Times New Roman" w:cs="Times New Roman"/>
          <w:color w:val="auto"/>
          <w:sz w:val="21"/>
          <w:szCs w:val="21"/>
        </w:rPr>
        <w:t>目前未对牛奶和牛奶衍生产品进行限制。</w:t>
      </w:r>
    </w:p>
    <w:p w14:paraId="6D851B17">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b/>
          <w:color w:val="auto"/>
          <w:sz w:val="21"/>
          <w:szCs w:val="21"/>
        </w:rPr>
        <w:t>注意</w:t>
      </w:r>
      <w:r>
        <w:rPr>
          <w:rFonts w:ascii="Times New Roman" w:hAnsi="Times New Roman" w:cs="Times New Roman"/>
          <w:b/>
          <w:color w:val="auto"/>
          <w:sz w:val="21"/>
          <w:szCs w:val="21"/>
        </w:rPr>
        <w:t>-</w:t>
      </w:r>
      <w:r>
        <w:rPr>
          <w:rFonts w:hint="eastAsia" w:ascii="Times New Roman" w:cs="Times New Roman"/>
          <w:b/>
          <w:color w:val="auto"/>
          <w:sz w:val="21"/>
          <w:szCs w:val="21"/>
        </w:rPr>
        <w:t>未来需要注意的事项：</w:t>
      </w:r>
      <w:r>
        <w:rPr>
          <w:rFonts w:ascii="Times New Roman" w:hAnsi="Times New Roman" w:cs="Times New Roman"/>
          <w:color w:val="auto"/>
          <w:sz w:val="21"/>
          <w:szCs w:val="21"/>
        </w:rPr>
        <w:t>FDA</w:t>
      </w:r>
      <w:r>
        <w:rPr>
          <w:rFonts w:hint="eastAsia" w:ascii="Times New Roman" w:cs="Times New Roman"/>
          <w:color w:val="auto"/>
          <w:sz w:val="21"/>
          <w:szCs w:val="21"/>
        </w:rPr>
        <w:t>正在考虑关于</w:t>
      </w:r>
      <w:r>
        <w:rPr>
          <w:rFonts w:ascii="Times New Roman" w:hAnsi="Times New Roman" w:cs="Times New Roman"/>
          <w:color w:val="auto"/>
          <w:sz w:val="21"/>
          <w:szCs w:val="21"/>
        </w:rPr>
        <w:t>BSE</w:t>
      </w:r>
      <w:r>
        <w:rPr>
          <w:rFonts w:hint="eastAsia" w:ascii="Times New Roman" w:cs="Times New Roman"/>
          <w:color w:val="auto"/>
          <w:sz w:val="21"/>
          <w:szCs w:val="21"/>
        </w:rPr>
        <w:t>和监管产品安全性的政策其他的一些改变。未来考虑的改变包括一个国家是否符合</w:t>
      </w:r>
      <w:r>
        <w:rPr>
          <w:rFonts w:ascii="Times New Roman" w:hAnsi="Times New Roman" w:cs="Times New Roman"/>
          <w:color w:val="auto"/>
          <w:sz w:val="21"/>
          <w:szCs w:val="21"/>
        </w:rPr>
        <w:t>OIE BSE</w:t>
      </w:r>
      <w:r>
        <w:rPr>
          <w:rFonts w:hint="eastAsia" w:ascii="Times New Roman" w:cs="Times New Roman"/>
          <w:color w:val="auto"/>
          <w:sz w:val="21"/>
          <w:szCs w:val="21"/>
        </w:rPr>
        <w:t>相关标准的评估；除原产国外，就牛组织源和最终使用所致的风险对产品进行评估。例如，在中枢神经系统植入牛神经组织将带来比在生产过程中使用微量高度纯化的牛胰蛋白酶以恢复组织培养细胞（使用前进一步纯化）大得多的风险。</w:t>
      </w:r>
    </w:p>
    <w:p w14:paraId="2D7103AA">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鼠</w:t>
      </w:r>
      <w:r>
        <w:rPr>
          <w:rFonts w:ascii="Times New Roman" w:hAnsi="Times New Roman" w:cs="Times New Roman"/>
          <w:color w:val="auto"/>
          <w:sz w:val="21"/>
          <w:szCs w:val="21"/>
        </w:rPr>
        <w:t>/</w:t>
      </w:r>
      <w:r>
        <w:rPr>
          <w:rFonts w:hint="eastAsia" w:ascii="Times New Roman" w:cs="Times New Roman"/>
          <w:color w:val="auto"/>
          <w:sz w:val="21"/>
          <w:szCs w:val="21"/>
        </w:rPr>
        <w:t>瘙痒病模型试验数据显示</w:t>
      </w:r>
      <w:r>
        <w:rPr>
          <w:rFonts w:ascii="Times New Roman" w:hAnsi="Times New Roman" w:cs="Times New Roman"/>
          <w:color w:val="auto"/>
          <w:sz w:val="21"/>
          <w:szCs w:val="21"/>
        </w:rPr>
        <w:t>TSE</w:t>
      </w:r>
      <w:r>
        <w:rPr>
          <w:rFonts w:hint="eastAsia" w:ascii="Times New Roman" w:cs="Times New Roman"/>
          <w:color w:val="auto"/>
          <w:sz w:val="21"/>
          <w:szCs w:val="21"/>
        </w:rPr>
        <w:t>感染动物脑和脊髓组织有高度传染性；淋巴结和脾等组织有中度传染性；骨髓和肝脏等组织有时可能有低传染性。</w:t>
      </w:r>
      <w:r>
        <w:rPr>
          <w:rFonts w:ascii="Times New Roman" w:hAnsi="Times New Roman" w:cs="Times New Roman"/>
          <w:color w:val="auto"/>
          <w:sz w:val="21"/>
          <w:szCs w:val="21"/>
        </w:rPr>
        <w:t>TSE</w:t>
      </w:r>
      <w:r>
        <w:rPr>
          <w:rFonts w:hint="eastAsia" w:ascii="Times New Roman" w:cs="Times New Roman"/>
          <w:color w:val="auto"/>
          <w:sz w:val="21"/>
          <w:szCs w:val="21"/>
        </w:rPr>
        <w:t>病原体的试验也表明颅内接种传播途径是最有效的疾病传播途径，其次为胃肠外接种，经口途径是最低效的。</w:t>
      </w:r>
    </w:p>
    <w:p w14:paraId="45C388AB">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hint="eastAsia" w:ascii="Times New Roman" w:cs="Times New Roman"/>
          <w:color w:val="auto"/>
          <w:sz w:val="21"/>
          <w:szCs w:val="21"/>
        </w:rPr>
        <w:t>未来另一个改变可能是鼓励使用隔离圈养的牛作为材料来源。已知血统、畜牧方式和病史的动物为最安全的来源。如果在美国发现</w:t>
      </w:r>
      <w:r>
        <w:rPr>
          <w:rFonts w:ascii="Times New Roman" w:hAnsi="Times New Roman" w:cs="Times New Roman"/>
          <w:color w:val="auto"/>
          <w:sz w:val="21"/>
          <w:szCs w:val="21"/>
        </w:rPr>
        <w:t>BSE</w:t>
      </w:r>
      <w:r>
        <w:rPr>
          <w:rFonts w:hint="eastAsia" w:ascii="Times New Roman" w:cs="Times New Roman"/>
          <w:color w:val="auto"/>
          <w:sz w:val="21"/>
          <w:szCs w:val="21"/>
        </w:rPr>
        <w:t>，隔离的牛将成为尤为重要的牛材料的来源。由于</w:t>
      </w:r>
      <w:r>
        <w:rPr>
          <w:rFonts w:ascii="Times New Roman" w:hAnsi="Times New Roman" w:cs="Times New Roman"/>
          <w:color w:val="auto"/>
          <w:sz w:val="21"/>
          <w:szCs w:val="21"/>
        </w:rPr>
        <w:t>BSE</w:t>
      </w:r>
      <w:r>
        <w:rPr>
          <w:rFonts w:hint="eastAsia" w:ascii="Times New Roman" w:cs="Times New Roman"/>
          <w:color w:val="auto"/>
          <w:sz w:val="21"/>
          <w:szCs w:val="21"/>
        </w:rPr>
        <w:t>的潜伏期很长（</w:t>
      </w:r>
      <w:r>
        <w:rPr>
          <w:rFonts w:ascii="Times New Roman" w:hAnsi="Times New Roman" w:cs="Times New Roman"/>
          <w:color w:val="auto"/>
          <w:sz w:val="21"/>
          <w:szCs w:val="21"/>
        </w:rPr>
        <w:t>2-8</w:t>
      </w:r>
      <w:r>
        <w:rPr>
          <w:rFonts w:hint="eastAsia" w:ascii="Times New Roman" w:cs="Times New Roman"/>
          <w:color w:val="auto"/>
          <w:sz w:val="21"/>
          <w:szCs w:val="21"/>
        </w:rPr>
        <w:t>年），因此必须将牛隔离至少</w:t>
      </w:r>
      <w:r>
        <w:rPr>
          <w:rFonts w:ascii="Times New Roman" w:hAnsi="Times New Roman" w:cs="Times New Roman"/>
          <w:color w:val="auto"/>
          <w:sz w:val="21"/>
          <w:szCs w:val="21"/>
        </w:rPr>
        <w:t>3</w:t>
      </w:r>
      <w:r>
        <w:rPr>
          <w:rFonts w:hint="eastAsia" w:ascii="Times New Roman" w:cs="Times New Roman"/>
          <w:color w:val="auto"/>
          <w:sz w:val="21"/>
          <w:szCs w:val="21"/>
        </w:rPr>
        <w:t>年才是有意义的。</w:t>
      </w:r>
    </w:p>
    <w:p w14:paraId="618B16CA">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无论</w:t>
      </w:r>
      <w:r>
        <w:rPr>
          <w:rFonts w:ascii="Times New Roman" w:hAnsi="Times New Roman" w:cs="Times New Roman"/>
          <w:color w:val="auto"/>
          <w:sz w:val="21"/>
          <w:szCs w:val="21"/>
        </w:rPr>
        <w:t>FDA</w:t>
      </w:r>
      <w:r>
        <w:rPr>
          <w:rFonts w:hint="eastAsia" w:ascii="Times New Roman" w:cs="Times New Roman"/>
          <w:color w:val="auto"/>
          <w:sz w:val="21"/>
          <w:szCs w:val="21"/>
        </w:rPr>
        <w:t>何时改变</w:t>
      </w:r>
      <w:r>
        <w:rPr>
          <w:rFonts w:ascii="Times New Roman" w:hAnsi="Times New Roman" w:cs="Times New Roman"/>
          <w:color w:val="auto"/>
          <w:sz w:val="21"/>
          <w:szCs w:val="21"/>
        </w:rPr>
        <w:t>BSE</w:t>
      </w:r>
      <w:r>
        <w:rPr>
          <w:rFonts w:hint="eastAsia" w:ascii="Times New Roman" w:cs="Times New Roman"/>
          <w:color w:val="auto"/>
          <w:sz w:val="21"/>
          <w:szCs w:val="21"/>
        </w:rPr>
        <w:t>的政策，本指南也将会做相应的修订。</w:t>
      </w:r>
    </w:p>
    <w:p w14:paraId="5E4E8DC2">
      <w:pPr>
        <w:adjustRightInd w:val="0"/>
        <w:snapToGrid w:val="0"/>
        <w:spacing w:beforeLines="50" w:line="360" w:lineRule="auto"/>
        <w:jc w:val="both"/>
        <w:outlineLvl w:val="5"/>
        <w:rPr>
          <w:rFonts w:ascii="Times New Roman" w:hAnsi="Times New Roman" w:cs="Times New Roman"/>
          <w:b/>
          <w:color w:val="auto"/>
          <w:sz w:val="21"/>
          <w:szCs w:val="21"/>
          <w:u w:val="single"/>
        </w:rPr>
      </w:pPr>
      <w:bookmarkStart w:id="5" w:name="bookmark9"/>
      <w:r>
        <w:rPr>
          <w:rFonts w:hint="eastAsia" w:ascii="Times New Roman" w:cs="Times New Roman"/>
          <w:b/>
          <w:color w:val="auto"/>
          <w:sz w:val="21"/>
          <w:szCs w:val="21"/>
          <w:u w:val="single"/>
        </w:rPr>
        <w:t>关于含来自牛以外动物材料的医疗器械的建议</w:t>
      </w:r>
      <w:bookmarkEnd w:id="5"/>
    </w:p>
    <w:p w14:paraId="11E720A2">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一种器械中含有的来自任何动物源性的所有材料，包括人，都应确定组织类型和物种来源。一些材料的例子为：猪心瓣膜，猪胶原角膜罩，用于血管移植的猪血管，用于伤口敷料的猪胶原，以及用于粘质性液体的来自公鸡的透明质酸。还包括在生产过程中暴露于动物源性材料的器械（如用于人造皮肤的猪胰蛋白酶）。</w:t>
      </w:r>
    </w:p>
    <w:p w14:paraId="06BAB159">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1.</w:t>
      </w:r>
      <w:r>
        <w:rPr>
          <w:rFonts w:ascii="Times New Roman" w:hAnsi="Times New Roman" w:cs="Times New Roman"/>
          <w:color w:val="auto"/>
          <w:sz w:val="21"/>
          <w:szCs w:val="21"/>
        </w:rPr>
        <w:tab/>
      </w:r>
      <w:r>
        <w:rPr>
          <w:rFonts w:hint="eastAsia" w:ascii="Times New Roman" w:cs="Times New Roman"/>
          <w:color w:val="auto"/>
          <w:sz w:val="21"/>
          <w:szCs w:val="21"/>
        </w:rPr>
        <w:t>所有材料均应标明原产国</w:t>
      </w:r>
      <w:r>
        <w:rPr>
          <w:rFonts w:ascii="Times New Roman" w:hAnsi="Times New Roman" w:cs="Times New Roman"/>
          <w:color w:val="auto"/>
          <w:sz w:val="21"/>
          <w:szCs w:val="21"/>
        </w:rPr>
        <w:t>/</w:t>
      </w:r>
      <w:r>
        <w:rPr>
          <w:rFonts w:hint="eastAsia" w:ascii="Times New Roman" w:cs="Times New Roman"/>
          <w:color w:val="auto"/>
          <w:sz w:val="21"/>
          <w:szCs w:val="21"/>
        </w:rPr>
        <w:t>生长地。</w:t>
      </w:r>
    </w:p>
    <w:p w14:paraId="36A1BD5C">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2.</w:t>
      </w:r>
      <w:r>
        <w:rPr>
          <w:rFonts w:ascii="Times New Roman" w:hAnsi="Times New Roman" w:cs="Times New Roman"/>
          <w:color w:val="auto"/>
          <w:sz w:val="21"/>
          <w:szCs w:val="21"/>
        </w:rPr>
        <w:tab/>
      </w:r>
      <w:r>
        <w:rPr>
          <w:rFonts w:hint="eastAsia" w:ascii="Times New Roman" w:cs="Times New Roman"/>
          <w:color w:val="auto"/>
          <w:sz w:val="21"/>
          <w:szCs w:val="21"/>
        </w:rPr>
        <w:t>对于来自人组织的产品，补充要求参考</w:t>
      </w:r>
      <w:r>
        <w:rPr>
          <w:rFonts w:ascii="Times New Roman" w:hAnsi="Times New Roman" w:cs="Times New Roman"/>
          <w:color w:val="auto"/>
          <w:sz w:val="21"/>
          <w:szCs w:val="21"/>
        </w:rPr>
        <w:t>21 CFR 1270</w:t>
      </w:r>
      <w:r>
        <w:rPr>
          <w:rFonts w:hint="eastAsia" w:ascii="Times New Roman" w:cs="Times New Roman"/>
          <w:color w:val="auto"/>
          <w:sz w:val="21"/>
          <w:szCs w:val="21"/>
        </w:rPr>
        <w:t>，人组织移植。</w:t>
      </w:r>
    </w:p>
    <w:p w14:paraId="2DB79AF9">
      <w:pPr>
        <w:adjustRightInd w:val="0"/>
        <w:snapToGrid w:val="0"/>
        <w:spacing w:beforeLines="50" w:line="360" w:lineRule="auto"/>
        <w:jc w:val="both"/>
        <w:rPr>
          <w:rFonts w:ascii="Times New Roman" w:hAnsi="Times New Roman" w:cs="Times New Roman"/>
          <w:color w:val="auto"/>
          <w:sz w:val="21"/>
          <w:szCs w:val="21"/>
          <w:u w:val="single"/>
        </w:rPr>
      </w:pPr>
      <w:r>
        <w:rPr>
          <w:rFonts w:ascii="Times New Roman" w:hAnsi="Times New Roman" w:cs="Times New Roman"/>
          <w:color w:val="auto"/>
          <w:sz w:val="21"/>
          <w:szCs w:val="21"/>
          <w:u w:val="single"/>
        </w:rPr>
        <w:t>CDRH</w:t>
      </w:r>
      <w:r>
        <w:rPr>
          <w:rFonts w:hint="eastAsia" w:ascii="Times New Roman" w:cs="Times New Roman"/>
          <w:color w:val="auto"/>
          <w:sz w:val="21"/>
          <w:szCs w:val="21"/>
          <w:u w:val="single"/>
        </w:rPr>
        <w:t>生物材料数据库</w:t>
      </w:r>
    </w:p>
    <w:p w14:paraId="141ED00A">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审查者将评估提交的文件以确定含有或暴露于动物源材料的产品。关于这些产品的信息将被录入</w:t>
      </w:r>
      <w:r>
        <w:rPr>
          <w:rFonts w:ascii="Times New Roman" w:hAnsi="Times New Roman" w:cs="Times New Roman"/>
          <w:color w:val="auto"/>
          <w:sz w:val="21"/>
          <w:szCs w:val="21"/>
        </w:rPr>
        <w:t>CDRH</w:t>
      </w:r>
      <w:r>
        <w:rPr>
          <w:rFonts w:hint="eastAsia" w:ascii="Times New Roman" w:cs="Times New Roman"/>
          <w:color w:val="auto"/>
          <w:sz w:val="21"/>
          <w:szCs w:val="21"/>
        </w:rPr>
        <w:t>生物材料数据库中（附件</w:t>
      </w:r>
      <w:r>
        <w:rPr>
          <w:rFonts w:ascii="Times New Roman" w:hAnsi="Times New Roman" w:cs="Times New Roman"/>
          <w:color w:val="auto"/>
          <w:sz w:val="21"/>
          <w:szCs w:val="21"/>
        </w:rPr>
        <w:t>5</w:t>
      </w:r>
      <w:r>
        <w:rPr>
          <w:rFonts w:hint="eastAsia" w:ascii="Times New Roman" w:cs="Times New Roman"/>
          <w:color w:val="auto"/>
          <w:sz w:val="21"/>
          <w:szCs w:val="21"/>
        </w:rPr>
        <w:t>）。</w:t>
      </w:r>
    </w:p>
    <w:p w14:paraId="7C7CE81C">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如果该医疗器械中含有动物或人源性材料，而原始提交文件中未提供该信息，在收到</w:t>
      </w:r>
      <w:r>
        <w:rPr>
          <w:rFonts w:ascii="Times New Roman" w:hAnsi="Times New Roman" w:cs="Times New Roman"/>
          <w:color w:val="auto"/>
          <w:sz w:val="21"/>
          <w:szCs w:val="21"/>
        </w:rPr>
        <w:t>IDE</w:t>
      </w:r>
      <w:r>
        <w:rPr>
          <w:rFonts w:hint="eastAsia" w:ascii="Times New Roman" w:cs="Times New Roman"/>
          <w:color w:val="auto"/>
          <w:sz w:val="21"/>
          <w:szCs w:val="21"/>
        </w:rPr>
        <w:t>、</w:t>
      </w:r>
      <w:r>
        <w:rPr>
          <w:rFonts w:ascii="Times New Roman" w:hAnsi="Times New Roman" w:cs="Times New Roman"/>
          <w:color w:val="auto"/>
          <w:sz w:val="21"/>
          <w:szCs w:val="21"/>
        </w:rPr>
        <w:t>PMA</w:t>
      </w:r>
      <w:r>
        <w:rPr>
          <w:rFonts w:hint="eastAsia" w:ascii="Times New Roman" w:cs="Times New Roman"/>
          <w:color w:val="auto"/>
          <w:sz w:val="21"/>
          <w:szCs w:val="21"/>
        </w:rPr>
        <w:t>或</w:t>
      </w:r>
      <w:r>
        <w:rPr>
          <w:rFonts w:ascii="Times New Roman" w:hAnsi="Times New Roman" w:cs="Times New Roman"/>
          <w:color w:val="auto"/>
          <w:sz w:val="21"/>
          <w:szCs w:val="21"/>
        </w:rPr>
        <w:t>510(k)</w:t>
      </w:r>
      <w:r>
        <w:rPr>
          <w:rFonts w:hint="eastAsia" w:ascii="Times New Roman" w:cs="Times New Roman"/>
          <w:color w:val="auto"/>
          <w:sz w:val="21"/>
          <w:szCs w:val="21"/>
        </w:rPr>
        <w:t>提交文件后，发给生产商的确认函将促使他们向审核部门报告。</w:t>
      </w:r>
    </w:p>
    <w:p w14:paraId="008420CF">
      <w:pPr>
        <w:adjustRightInd w:val="0"/>
        <w:snapToGrid w:val="0"/>
        <w:spacing w:beforeLines="50" w:line="360" w:lineRule="auto"/>
        <w:jc w:val="both"/>
        <w:rPr>
          <w:rFonts w:ascii="Times New Roman" w:hAnsi="Times New Roman" w:cs="Times New Roman"/>
          <w:color w:val="auto"/>
          <w:sz w:val="21"/>
          <w:szCs w:val="21"/>
          <w:u w:val="single"/>
        </w:rPr>
      </w:pPr>
      <w:r>
        <w:rPr>
          <w:rFonts w:ascii="Times New Roman" w:hAnsi="Times New Roman" w:cs="Times New Roman"/>
          <w:color w:val="auto"/>
          <w:sz w:val="21"/>
          <w:szCs w:val="21"/>
          <w:u w:val="single"/>
        </w:rPr>
        <w:t>BSE</w:t>
      </w:r>
      <w:r>
        <w:rPr>
          <w:rFonts w:hint="eastAsia" w:ascii="Times New Roman" w:cs="Times New Roman"/>
          <w:color w:val="auto"/>
          <w:sz w:val="21"/>
          <w:szCs w:val="21"/>
          <w:u w:val="single"/>
        </w:rPr>
        <w:t>工作组：</w:t>
      </w:r>
    </w:p>
    <w:p w14:paraId="57BD526E">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主席：</w:t>
      </w:r>
      <w:r>
        <w:rPr>
          <w:rFonts w:ascii="Times New Roman" w:hAnsi="Times New Roman" w:cs="Times New Roman"/>
          <w:color w:val="auto"/>
          <w:sz w:val="21"/>
          <w:szCs w:val="21"/>
        </w:rPr>
        <w:t>Kiki Hellman (OST)</w:t>
      </w:r>
    </w:p>
    <w:p w14:paraId="2A27AB20">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ODE</w:t>
      </w:r>
      <w:r>
        <w:rPr>
          <w:rFonts w:hint="eastAsia" w:ascii="Times New Roman" w:cs="Times New Roman"/>
          <w:color w:val="auto"/>
          <w:sz w:val="21"/>
          <w:szCs w:val="21"/>
        </w:rPr>
        <w:t>部门关注点</w:t>
      </w:r>
      <w:r>
        <w:rPr>
          <w:rFonts w:hint="eastAsia" w:ascii="Times New Roman" w:hAnsi="Times New Roman" w:cs="Times New Roman"/>
          <w:color w:val="auto"/>
          <w:sz w:val="21"/>
          <w:szCs w:val="21"/>
        </w:rPr>
        <w:t>：</w:t>
      </w:r>
    </w:p>
    <w:p w14:paraId="294E9712">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DGRD</w:t>
      </w:r>
      <w:r>
        <w:rPr>
          <w:rFonts w:hint="eastAsia" w:ascii="Times New Roman" w:cs="Times New Roman"/>
          <w:color w:val="auto"/>
          <w:sz w:val="21"/>
          <w:szCs w:val="21"/>
        </w:rPr>
        <w:t>：</w:t>
      </w:r>
      <w:r>
        <w:rPr>
          <w:rFonts w:ascii="Times New Roman" w:hAnsi="Times New Roman" w:cs="Times New Roman"/>
          <w:color w:val="auto"/>
          <w:sz w:val="21"/>
          <w:szCs w:val="21"/>
        </w:rPr>
        <w:t xml:space="preserve"> David Berkowitz</w:t>
      </w:r>
    </w:p>
    <w:p w14:paraId="024D82B2">
      <w:pPr>
        <w:adjustRightInd w:val="0"/>
        <w:snapToGrid w:val="0"/>
        <w:spacing w:line="360" w:lineRule="auto"/>
        <w:jc w:val="both"/>
        <w:rPr>
          <w:rFonts w:ascii="Times New Roman" w:hAnsi="Times New Roman" w:cs="Times New Roman"/>
          <w:color w:val="auto"/>
          <w:sz w:val="21"/>
          <w:szCs w:val="21"/>
          <w:lang w:val="en-US"/>
        </w:rPr>
      </w:pPr>
      <w:r>
        <w:rPr>
          <w:rFonts w:ascii="Times New Roman" w:hAnsi="Times New Roman" w:cs="Times New Roman"/>
          <w:color w:val="auto"/>
          <w:sz w:val="21"/>
          <w:szCs w:val="21"/>
        </w:rPr>
        <w:br w:type="page"/>
      </w:r>
      <w:r>
        <w:rPr>
          <w:rFonts w:ascii="Times New Roman" w:hAnsi="Times New Roman" w:cs="Times New Roman"/>
          <w:color w:val="auto"/>
          <w:sz w:val="21"/>
          <w:szCs w:val="21"/>
          <w:lang w:val="en-US"/>
        </w:rPr>
        <w:t>DCLD</w:t>
      </w:r>
      <w:r>
        <w:rPr>
          <w:rFonts w:hint="eastAsia" w:ascii="Times New Roman" w:cs="Times New Roman"/>
          <w:color w:val="auto"/>
          <w:sz w:val="21"/>
          <w:szCs w:val="21"/>
          <w:lang w:val="en-US"/>
        </w:rPr>
        <w:t>：</w:t>
      </w:r>
      <w:r>
        <w:rPr>
          <w:rFonts w:ascii="Times New Roman" w:hAnsi="Times New Roman" w:cs="Times New Roman"/>
          <w:color w:val="auto"/>
          <w:sz w:val="21"/>
          <w:szCs w:val="21"/>
          <w:lang w:val="en-US"/>
        </w:rPr>
        <w:t xml:space="preserve"> Claudia Gaffey/Gus Gonzalez </w:t>
      </w:r>
    </w:p>
    <w:p w14:paraId="2FEEE350">
      <w:pPr>
        <w:adjustRightInd w:val="0"/>
        <w:snapToGrid w:val="0"/>
        <w:spacing w:line="360" w:lineRule="auto"/>
        <w:jc w:val="both"/>
        <w:rPr>
          <w:rFonts w:ascii="Times New Roman" w:hAnsi="Times New Roman" w:cs="Times New Roman"/>
          <w:color w:val="auto"/>
          <w:sz w:val="21"/>
          <w:szCs w:val="21"/>
          <w:lang w:val="en-US"/>
        </w:rPr>
      </w:pPr>
      <w:r>
        <w:rPr>
          <w:rFonts w:ascii="Times New Roman" w:hAnsi="Times New Roman" w:cs="Times New Roman"/>
          <w:color w:val="auto"/>
          <w:sz w:val="21"/>
          <w:szCs w:val="21"/>
          <w:lang w:val="en-US"/>
        </w:rPr>
        <w:t>DCRND</w:t>
      </w:r>
      <w:r>
        <w:rPr>
          <w:rFonts w:hint="eastAsia" w:ascii="Times New Roman" w:cs="Times New Roman"/>
          <w:color w:val="auto"/>
          <w:sz w:val="21"/>
          <w:szCs w:val="21"/>
          <w:lang w:val="en-US"/>
        </w:rPr>
        <w:t>：</w:t>
      </w:r>
      <w:r>
        <w:rPr>
          <w:rFonts w:ascii="Times New Roman" w:hAnsi="Times New Roman" w:cs="Times New Roman"/>
          <w:color w:val="auto"/>
          <w:sz w:val="21"/>
          <w:szCs w:val="21"/>
          <w:lang w:val="en-US"/>
        </w:rPr>
        <w:t>Lisa Kenncll</w:t>
      </w:r>
    </w:p>
    <w:p w14:paraId="23084C41">
      <w:pPr>
        <w:adjustRightInd w:val="0"/>
        <w:snapToGrid w:val="0"/>
        <w:spacing w:line="360" w:lineRule="auto"/>
        <w:jc w:val="both"/>
        <w:rPr>
          <w:rFonts w:ascii="Times New Roman" w:hAnsi="Times New Roman" w:cs="Times New Roman"/>
          <w:color w:val="auto"/>
          <w:sz w:val="21"/>
          <w:szCs w:val="21"/>
          <w:lang w:val="en-US"/>
        </w:rPr>
      </w:pPr>
      <w:r>
        <w:rPr>
          <w:rFonts w:ascii="Times New Roman" w:hAnsi="Times New Roman" w:cs="Times New Roman"/>
          <w:color w:val="auto"/>
          <w:sz w:val="21"/>
          <w:szCs w:val="21"/>
          <w:lang w:val="en-US"/>
        </w:rPr>
        <w:t>DOD</w:t>
      </w:r>
      <w:r>
        <w:rPr>
          <w:rFonts w:hint="eastAsia" w:ascii="Times New Roman" w:cs="Times New Roman"/>
          <w:color w:val="auto"/>
          <w:sz w:val="21"/>
          <w:szCs w:val="21"/>
          <w:lang w:val="en-US"/>
        </w:rPr>
        <w:t>：</w:t>
      </w:r>
      <w:r>
        <w:rPr>
          <w:rFonts w:ascii="Times New Roman" w:hAnsi="Times New Roman" w:cs="Times New Roman"/>
          <w:color w:val="auto"/>
          <w:sz w:val="21"/>
          <w:szCs w:val="21"/>
          <w:lang w:val="en-US"/>
        </w:rPr>
        <w:t xml:space="preserve"> Karen Warburton </w:t>
      </w:r>
    </w:p>
    <w:p w14:paraId="57BCAB73">
      <w:pPr>
        <w:adjustRightInd w:val="0"/>
        <w:snapToGrid w:val="0"/>
        <w:spacing w:line="360" w:lineRule="auto"/>
        <w:jc w:val="both"/>
        <w:rPr>
          <w:rFonts w:ascii="Times New Roman" w:hAnsi="Times New Roman" w:cs="Times New Roman"/>
          <w:color w:val="auto"/>
          <w:sz w:val="21"/>
          <w:szCs w:val="21"/>
          <w:lang w:val="en-US"/>
        </w:rPr>
      </w:pPr>
      <w:r>
        <w:rPr>
          <w:rFonts w:ascii="Times New Roman" w:hAnsi="Times New Roman" w:cs="Times New Roman"/>
          <w:color w:val="auto"/>
          <w:sz w:val="21"/>
          <w:szCs w:val="21"/>
          <w:lang w:val="en-US"/>
        </w:rPr>
        <w:t>DRAHRD</w:t>
      </w:r>
      <w:r>
        <w:rPr>
          <w:rFonts w:hint="eastAsia" w:ascii="Times New Roman" w:cs="Times New Roman"/>
          <w:color w:val="auto"/>
          <w:sz w:val="21"/>
          <w:szCs w:val="21"/>
          <w:lang w:val="en-US"/>
        </w:rPr>
        <w:t>：</w:t>
      </w:r>
      <w:r>
        <w:rPr>
          <w:rFonts w:ascii="Times New Roman" w:hAnsi="Times New Roman" w:cs="Times New Roman"/>
          <w:color w:val="auto"/>
          <w:sz w:val="21"/>
          <w:szCs w:val="21"/>
          <w:lang w:val="en-US"/>
        </w:rPr>
        <w:t>RajuKammula</w:t>
      </w:r>
    </w:p>
    <w:p w14:paraId="6B885C6D">
      <w:pPr>
        <w:adjustRightInd w:val="0"/>
        <w:snapToGrid w:val="0"/>
        <w:spacing w:line="360" w:lineRule="auto"/>
        <w:jc w:val="both"/>
        <w:rPr>
          <w:rFonts w:ascii="Times New Roman" w:hAnsi="Times New Roman" w:cs="Times New Roman"/>
          <w:color w:val="auto"/>
          <w:sz w:val="21"/>
          <w:szCs w:val="21"/>
          <w:lang w:val="en-US"/>
        </w:rPr>
      </w:pPr>
      <w:r>
        <w:rPr>
          <w:rFonts w:ascii="Times New Roman" w:hAnsi="Times New Roman" w:cs="Times New Roman"/>
          <w:color w:val="auto"/>
          <w:sz w:val="21"/>
          <w:szCs w:val="21"/>
          <w:lang w:val="en-US"/>
        </w:rPr>
        <w:t>DDIGD</w:t>
      </w:r>
      <w:r>
        <w:rPr>
          <w:rFonts w:hint="eastAsia" w:ascii="Times New Roman" w:cs="Times New Roman"/>
          <w:color w:val="auto"/>
          <w:sz w:val="21"/>
          <w:szCs w:val="21"/>
          <w:lang w:val="en-US"/>
        </w:rPr>
        <w:t>：</w:t>
      </w:r>
      <w:r>
        <w:rPr>
          <w:rFonts w:ascii="Times New Roman" w:hAnsi="Times New Roman" w:cs="Times New Roman"/>
          <w:color w:val="auto"/>
          <w:sz w:val="21"/>
          <w:szCs w:val="21"/>
          <w:lang w:val="en-US"/>
        </w:rPr>
        <w:t>PanduSoprey</w:t>
      </w:r>
    </w:p>
    <w:p w14:paraId="58598413">
      <w:pPr>
        <w:adjustRightInd w:val="0"/>
        <w:snapToGrid w:val="0"/>
        <w:spacing w:beforeLines="50" w:line="360" w:lineRule="auto"/>
        <w:jc w:val="both"/>
        <w:rPr>
          <w:rFonts w:ascii="Times New Roman" w:hAnsi="Times New Roman" w:cs="Times New Roman"/>
          <w:color w:val="auto"/>
          <w:sz w:val="21"/>
          <w:szCs w:val="21"/>
          <w:lang w:val="en-US"/>
        </w:rPr>
      </w:pPr>
      <w:r>
        <w:rPr>
          <w:rFonts w:hint="eastAsia" w:ascii="Times New Roman" w:cs="Times New Roman"/>
          <w:color w:val="auto"/>
          <w:sz w:val="21"/>
          <w:szCs w:val="21"/>
        </w:rPr>
        <w:t>数据库联系方式</w:t>
      </w:r>
      <w:r>
        <w:rPr>
          <w:rFonts w:hint="eastAsia" w:ascii="Times New Roman" w:cs="Times New Roman"/>
          <w:color w:val="auto"/>
          <w:sz w:val="21"/>
          <w:szCs w:val="21"/>
          <w:lang w:val="en-US"/>
        </w:rPr>
        <w:t>：</w:t>
      </w:r>
    </w:p>
    <w:p w14:paraId="33F40F3C">
      <w:pPr>
        <w:adjustRightInd w:val="0"/>
        <w:snapToGrid w:val="0"/>
        <w:spacing w:beforeLines="50" w:line="360" w:lineRule="auto"/>
        <w:jc w:val="both"/>
        <w:rPr>
          <w:rFonts w:ascii="Times New Roman" w:hAnsi="Times New Roman" w:cs="Times New Roman"/>
          <w:color w:val="auto"/>
          <w:sz w:val="21"/>
          <w:szCs w:val="21"/>
          <w:lang w:val="en-US"/>
        </w:rPr>
      </w:pPr>
      <w:r>
        <w:rPr>
          <w:rFonts w:ascii="Times New Roman" w:hAnsi="Times New Roman" w:cs="Times New Roman"/>
          <w:color w:val="auto"/>
          <w:sz w:val="21"/>
          <w:szCs w:val="21"/>
          <w:lang w:val="en-US"/>
        </w:rPr>
        <w:t>Stan Brown (OST)</w:t>
      </w:r>
    </w:p>
    <w:p w14:paraId="424B14E3">
      <w:pPr>
        <w:adjustRightInd w:val="0"/>
        <w:snapToGrid w:val="0"/>
        <w:spacing w:line="360" w:lineRule="auto"/>
        <w:jc w:val="both"/>
        <w:rPr>
          <w:rFonts w:ascii="Times New Roman" w:hAnsi="Times New Roman" w:cs="Times New Roman"/>
          <w:color w:val="auto"/>
          <w:sz w:val="21"/>
          <w:szCs w:val="21"/>
          <w:lang w:val="en-US"/>
        </w:rPr>
      </w:pPr>
      <w:r>
        <w:rPr>
          <w:rFonts w:ascii="Times New Roman" w:hAnsi="Times New Roman" w:cs="Times New Roman"/>
          <w:color w:val="auto"/>
          <w:sz w:val="21"/>
          <w:szCs w:val="21"/>
          <w:lang w:val="en-US"/>
        </w:rPr>
        <w:t>Ken Krell (OMS)</w:t>
      </w:r>
    </w:p>
    <w:p w14:paraId="5B8F70C0">
      <w:pPr>
        <w:adjustRightInd w:val="0"/>
        <w:snapToGrid w:val="0"/>
        <w:spacing w:beforeLines="50" w:line="360" w:lineRule="auto"/>
        <w:jc w:val="both"/>
        <w:rPr>
          <w:rFonts w:ascii="Times New Roman" w:hAnsi="Times New Roman" w:cs="Times New Roman"/>
          <w:color w:val="auto"/>
          <w:sz w:val="21"/>
          <w:szCs w:val="21"/>
          <w:lang w:val="en-US"/>
        </w:rPr>
      </w:pPr>
      <w:r>
        <w:rPr>
          <w:rFonts w:hint="eastAsia" w:ascii="Times New Roman" w:cs="Times New Roman"/>
          <w:color w:val="auto"/>
          <w:sz w:val="21"/>
          <w:szCs w:val="21"/>
        </w:rPr>
        <w:t>附件</w:t>
      </w:r>
      <w:r>
        <w:rPr>
          <w:rFonts w:hint="eastAsia" w:ascii="Times New Roman" w:hAnsi="Times New Roman" w:cs="Times New Roman"/>
          <w:color w:val="auto"/>
          <w:sz w:val="21"/>
          <w:szCs w:val="21"/>
          <w:lang w:val="en-US"/>
        </w:rPr>
        <w:t>：</w:t>
      </w:r>
    </w:p>
    <w:p w14:paraId="21CA8660">
      <w:pPr>
        <w:adjustRightInd w:val="0"/>
        <w:snapToGrid w:val="0"/>
        <w:spacing w:beforeLines="50" w:line="360" w:lineRule="auto"/>
        <w:ind w:left="420" w:hanging="420" w:hangingChars="200"/>
        <w:jc w:val="both"/>
        <w:rPr>
          <w:rFonts w:ascii="Times New Roman" w:hAnsi="Times New Roman" w:cs="Times New Roman"/>
          <w:color w:val="auto"/>
          <w:sz w:val="21"/>
          <w:szCs w:val="21"/>
          <w:lang w:val="en-US"/>
        </w:rPr>
      </w:pPr>
      <w:r>
        <w:rPr>
          <w:rFonts w:ascii="Times New Roman" w:hAnsi="Times New Roman" w:cs="Times New Roman"/>
          <w:color w:val="auto"/>
          <w:sz w:val="21"/>
          <w:szCs w:val="21"/>
          <w:lang w:val="en-US"/>
        </w:rPr>
        <w:t>1.</w:t>
      </w:r>
      <w:r>
        <w:rPr>
          <w:rFonts w:ascii="Times New Roman" w:hAnsi="Times New Roman" w:cs="Times New Roman"/>
          <w:color w:val="auto"/>
          <w:sz w:val="21"/>
          <w:szCs w:val="21"/>
          <w:lang w:val="en-US"/>
        </w:rPr>
        <w:tab/>
      </w:r>
      <w:r>
        <w:rPr>
          <w:rFonts w:ascii="Times New Roman" w:hAnsi="Times New Roman" w:cs="Times New Roman"/>
          <w:color w:val="auto"/>
          <w:sz w:val="21"/>
          <w:szCs w:val="21"/>
          <w:lang w:val="en-US"/>
        </w:rPr>
        <w:t xml:space="preserve">FR </w:t>
      </w:r>
      <w:r>
        <w:rPr>
          <w:rFonts w:hint="eastAsia" w:ascii="Times New Roman" w:cs="Times New Roman"/>
          <w:color w:val="auto"/>
          <w:sz w:val="21"/>
          <w:szCs w:val="21"/>
        </w:rPr>
        <w:t>通知</w:t>
      </w:r>
      <w:r>
        <w:rPr>
          <w:rFonts w:ascii="Times New Roman" w:hAnsi="Times New Roman" w:cs="Times New Roman"/>
          <w:color w:val="auto"/>
          <w:sz w:val="21"/>
          <w:szCs w:val="21"/>
          <w:lang w:val="en-US"/>
        </w:rPr>
        <w:t xml:space="preserve"> (1994</w:t>
      </w:r>
      <w:r>
        <w:rPr>
          <w:rFonts w:hint="eastAsia" w:ascii="Times New Roman" w:cs="Times New Roman"/>
          <w:color w:val="auto"/>
          <w:sz w:val="21"/>
          <w:szCs w:val="21"/>
        </w:rPr>
        <w:t>年</w:t>
      </w:r>
      <w:r>
        <w:rPr>
          <w:rFonts w:ascii="Times New Roman" w:hAnsi="Times New Roman" w:cs="Times New Roman"/>
          <w:color w:val="auto"/>
          <w:sz w:val="21"/>
          <w:szCs w:val="21"/>
          <w:lang w:val="en-US"/>
        </w:rPr>
        <w:t>8</w:t>
      </w:r>
      <w:r>
        <w:rPr>
          <w:rFonts w:hint="eastAsia" w:ascii="Times New Roman" w:cs="Times New Roman"/>
          <w:color w:val="auto"/>
          <w:sz w:val="21"/>
          <w:szCs w:val="21"/>
        </w:rPr>
        <w:t>月</w:t>
      </w:r>
      <w:r>
        <w:rPr>
          <w:rFonts w:ascii="Times New Roman" w:hAnsi="Times New Roman" w:cs="Times New Roman"/>
          <w:color w:val="auto"/>
          <w:sz w:val="21"/>
          <w:szCs w:val="21"/>
          <w:lang w:val="en-US"/>
        </w:rPr>
        <w:t>29</w:t>
      </w:r>
      <w:r>
        <w:rPr>
          <w:rFonts w:hint="eastAsia" w:ascii="Times New Roman" w:cs="Times New Roman"/>
          <w:color w:val="auto"/>
          <w:sz w:val="21"/>
          <w:szCs w:val="21"/>
        </w:rPr>
        <w:t>日</w:t>
      </w:r>
      <w:r>
        <w:rPr>
          <w:rFonts w:ascii="Times New Roman" w:hAnsi="Times New Roman" w:cs="Times New Roman"/>
          <w:color w:val="auto"/>
          <w:sz w:val="21"/>
          <w:szCs w:val="21"/>
          <w:lang w:val="en-US"/>
        </w:rPr>
        <w:t>)</w:t>
      </w:r>
      <w:r>
        <w:rPr>
          <w:rFonts w:hint="eastAsia" w:ascii="Times New Roman" w:cs="Times New Roman"/>
          <w:color w:val="auto"/>
          <w:sz w:val="21"/>
          <w:szCs w:val="21"/>
          <w:lang w:val="en-US"/>
        </w:rPr>
        <w:t>，</w:t>
      </w:r>
      <w:r>
        <w:rPr>
          <w:rFonts w:hint="eastAsia" w:ascii="Times New Roman" w:cs="Times New Roman"/>
          <w:color w:val="auto"/>
          <w:sz w:val="21"/>
          <w:szCs w:val="21"/>
        </w:rPr>
        <w:t>牛源材料</w:t>
      </w:r>
      <w:r>
        <w:rPr>
          <w:rFonts w:hint="eastAsia" w:ascii="Times New Roman" w:cs="Times New Roman"/>
          <w:color w:val="auto"/>
          <w:sz w:val="21"/>
          <w:szCs w:val="21"/>
          <w:lang w:val="en-US"/>
        </w:rPr>
        <w:t>；</w:t>
      </w:r>
      <w:r>
        <w:rPr>
          <w:rFonts w:hint="eastAsia" w:ascii="Times New Roman" w:cs="Times New Roman"/>
          <w:color w:val="auto"/>
          <w:sz w:val="21"/>
          <w:szCs w:val="21"/>
        </w:rPr>
        <w:t>机构致函</w:t>
      </w:r>
      <w:r>
        <w:rPr>
          <w:rFonts w:ascii="Times New Roman" w:hAnsi="Times New Roman" w:cs="Times New Roman"/>
          <w:color w:val="auto"/>
          <w:sz w:val="21"/>
          <w:szCs w:val="21"/>
          <w:lang w:val="en-US"/>
        </w:rPr>
        <w:t>FDA</w:t>
      </w:r>
      <w:r>
        <w:rPr>
          <w:rFonts w:hint="eastAsia" w:ascii="Times New Roman" w:cs="Times New Roman"/>
          <w:color w:val="auto"/>
          <w:sz w:val="21"/>
          <w:szCs w:val="21"/>
        </w:rPr>
        <w:t>监管产品的生产商</w:t>
      </w:r>
    </w:p>
    <w:p w14:paraId="7E88E4B3">
      <w:pPr>
        <w:adjustRightInd w:val="0"/>
        <w:snapToGrid w:val="0"/>
        <w:spacing w:beforeLines="50" w:line="360" w:lineRule="auto"/>
        <w:ind w:left="420" w:hanging="420" w:hangingChars="200"/>
        <w:jc w:val="both"/>
        <w:rPr>
          <w:rFonts w:ascii="Times New Roman" w:hAnsi="Times New Roman" w:cs="Times New Roman"/>
          <w:color w:val="auto"/>
          <w:sz w:val="21"/>
          <w:szCs w:val="21"/>
        </w:rPr>
      </w:pPr>
      <w:r>
        <w:rPr>
          <w:rFonts w:ascii="Times New Roman" w:hAnsi="Times New Roman" w:cs="Times New Roman"/>
          <w:color w:val="auto"/>
          <w:sz w:val="21"/>
          <w:szCs w:val="21"/>
        </w:rPr>
        <w:t>2.</w:t>
      </w:r>
      <w:r>
        <w:rPr>
          <w:rFonts w:ascii="Times New Roman" w:hAnsi="Times New Roman" w:cs="Times New Roman"/>
          <w:color w:val="auto"/>
          <w:sz w:val="21"/>
          <w:szCs w:val="21"/>
        </w:rPr>
        <w:tab/>
      </w:r>
      <w:r>
        <w:rPr>
          <w:rFonts w:ascii="Times New Roman" w:hAnsi="Times New Roman" w:cs="Times New Roman"/>
          <w:color w:val="auto"/>
          <w:sz w:val="21"/>
          <w:szCs w:val="21"/>
        </w:rPr>
        <w:t>1996</w:t>
      </w:r>
      <w:r>
        <w:rPr>
          <w:rFonts w:hint="eastAsia" w:ascii="Times New Roman" w:cs="Times New Roman"/>
          <w:color w:val="auto"/>
          <w:sz w:val="21"/>
          <w:szCs w:val="21"/>
        </w:rPr>
        <w:t>年</w:t>
      </w:r>
      <w:r>
        <w:rPr>
          <w:rFonts w:ascii="Times New Roman" w:hAnsi="Times New Roman" w:cs="Times New Roman"/>
          <w:color w:val="auto"/>
          <w:sz w:val="21"/>
          <w:szCs w:val="21"/>
        </w:rPr>
        <w:t>5</w:t>
      </w:r>
      <w:r>
        <w:rPr>
          <w:rFonts w:hint="eastAsia" w:ascii="Times New Roman" w:cs="Times New Roman"/>
          <w:color w:val="auto"/>
          <w:sz w:val="21"/>
          <w:szCs w:val="21"/>
        </w:rPr>
        <w:t>月</w:t>
      </w:r>
      <w:r>
        <w:rPr>
          <w:rFonts w:ascii="Times New Roman" w:hAnsi="Times New Roman" w:cs="Times New Roman"/>
          <w:color w:val="auto"/>
          <w:sz w:val="21"/>
          <w:szCs w:val="21"/>
        </w:rPr>
        <w:t>9</w:t>
      </w:r>
      <w:r>
        <w:rPr>
          <w:rFonts w:hint="eastAsia" w:ascii="Times New Roman" w:cs="Times New Roman"/>
          <w:color w:val="auto"/>
          <w:sz w:val="21"/>
          <w:szCs w:val="21"/>
        </w:rPr>
        <w:t>日致函</w:t>
      </w:r>
      <w:r>
        <w:rPr>
          <w:rFonts w:ascii="Times New Roman" w:hAnsi="Times New Roman" w:cs="Times New Roman"/>
          <w:color w:val="auto"/>
          <w:sz w:val="21"/>
          <w:szCs w:val="21"/>
        </w:rPr>
        <w:t>FDA</w:t>
      </w:r>
      <w:r>
        <w:rPr>
          <w:rFonts w:hint="eastAsia" w:ascii="Times New Roman" w:cs="Times New Roman"/>
          <w:color w:val="auto"/>
          <w:sz w:val="21"/>
          <w:szCs w:val="21"/>
        </w:rPr>
        <w:t>监管药物</w:t>
      </w:r>
      <w:r>
        <w:rPr>
          <w:rFonts w:ascii="Times New Roman" w:hAnsi="Times New Roman" w:cs="Times New Roman"/>
          <w:color w:val="auto"/>
          <w:sz w:val="21"/>
          <w:szCs w:val="21"/>
        </w:rPr>
        <w:t>/</w:t>
      </w:r>
      <w:r>
        <w:rPr>
          <w:rFonts w:hint="eastAsia" w:ascii="Times New Roman" w:cs="Times New Roman"/>
          <w:color w:val="auto"/>
          <w:sz w:val="21"/>
          <w:szCs w:val="21"/>
        </w:rPr>
        <w:t>生物</w:t>
      </w:r>
      <w:r>
        <w:rPr>
          <w:rFonts w:ascii="Times New Roman" w:hAnsi="Times New Roman" w:cs="Times New Roman"/>
          <w:color w:val="auto"/>
          <w:sz w:val="21"/>
          <w:szCs w:val="21"/>
        </w:rPr>
        <w:t>/</w:t>
      </w:r>
      <w:r>
        <w:rPr>
          <w:rFonts w:hint="eastAsia" w:ascii="Times New Roman" w:cs="Times New Roman"/>
          <w:color w:val="auto"/>
          <w:sz w:val="21"/>
          <w:szCs w:val="21"/>
        </w:rPr>
        <w:t>器械产品的生产商</w:t>
      </w:r>
    </w:p>
    <w:p w14:paraId="3C740E62">
      <w:pPr>
        <w:adjustRightInd w:val="0"/>
        <w:snapToGrid w:val="0"/>
        <w:spacing w:beforeLines="50" w:line="360" w:lineRule="auto"/>
        <w:ind w:left="420" w:hanging="420" w:hangingChars="200"/>
        <w:jc w:val="both"/>
        <w:rPr>
          <w:rFonts w:ascii="Times New Roman" w:hAnsi="Times New Roman" w:cs="Times New Roman"/>
          <w:color w:val="auto"/>
          <w:sz w:val="21"/>
          <w:szCs w:val="21"/>
        </w:rPr>
      </w:pPr>
      <w:r>
        <w:rPr>
          <w:rFonts w:ascii="Times New Roman" w:hAnsi="Times New Roman" w:cs="Times New Roman"/>
          <w:color w:val="auto"/>
          <w:sz w:val="21"/>
          <w:szCs w:val="21"/>
        </w:rPr>
        <w:t>3.</w:t>
      </w:r>
      <w:r>
        <w:rPr>
          <w:rFonts w:ascii="Times New Roman" w:hAnsi="Times New Roman" w:cs="Times New Roman"/>
          <w:color w:val="auto"/>
          <w:sz w:val="21"/>
          <w:szCs w:val="21"/>
        </w:rPr>
        <w:tab/>
      </w:r>
      <w:r>
        <w:rPr>
          <w:rFonts w:hint="eastAsia" w:ascii="Times New Roman" w:cs="Times New Roman"/>
          <w:color w:val="auto"/>
          <w:sz w:val="21"/>
          <w:szCs w:val="21"/>
        </w:rPr>
        <w:t>美国</w:t>
      </w:r>
      <w:r>
        <w:rPr>
          <w:rFonts w:ascii="Times New Roman" w:hAnsi="Times New Roman" w:cs="Times New Roman"/>
          <w:color w:val="auto"/>
          <w:sz w:val="21"/>
          <w:szCs w:val="21"/>
        </w:rPr>
        <w:t>BSE</w:t>
      </w:r>
      <w:r>
        <w:rPr>
          <w:rFonts w:hint="eastAsia" w:ascii="Times New Roman" w:cs="Times New Roman"/>
          <w:color w:val="auto"/>
          <w:sz w:val="21"/>
          <w:szCs w:val="21"/>
        </w:rPr>
        <w:t>相关行动的背景信息和年代表</w:t>
      </w:r>
    </w:p>
    <w:p w14:paraId="3EE084CD">
      <w:pPr>
        <w:adjustRightInd w:val="0"/>
        <w:snapToGrid w:val="0"/>
        <w:spacing w:beforeLines="50" w:line="360" w:lineRule="auto"/>
        <w:ind w:left="420" w:hanging="420" w:hangingChars="200"/>
        <w:jc w:val="both"/>
        <w:rPr>
          <w:rFonts w:ascii="Times New Roman" w:hAnsi="Times New Roman" w:cs="Times New Roman"/>
          <w:color w:val="auto"/>
          <w:sz w:val="21"/>
          <w:szCs w:val="21"/>
        </w:rPr>
      </w:pPr>
      <w:r>
        <w:rPr>
          <w:rFonts w:ascii="Times New Roman" w:hAnsi="Times New Roman" w:cs="Times New Roman"/>
          <w:color w:val="auto"/>
          <w:sz w:val="21"/>
          <w:szCs w:val="21"/>
        </w:rPr>
        <w:t>4</w:t>
      </w:r>
      <w:r>
        <w:rPr>
          <w:rFonts w:hint="eastAsia" w:ascii="Times New Roman" w:cs="Times New Roman"/>
          <w:color w:val="auto"/>
          <w:sz w:val="21"/>
          <w:szCs w:val="21"/>
        </w:rPr>
        <w:t>．</w:t>
      </w:r>
      <w:r>
        <w:rPr>
          <w:rFonts w:ascii="Times New Roman" w:hAnsi="Times New Roman" w:cs="Times New Roman"/>
          <w:color w:val="auto"/>
          <w:sz w:val="21"/>
          <w:szCs w:val="21"/>
        </w:rPr>
        <w:tab/>
      </w:r>
      <w:r>
        <w:rPr>
          <w:rFonts w:ascii="Times New Roman" w:hAnsi="Times New Roman" w:cs="Times New Roman"/>
          <w:color w:val="auto"/>
          <w:sz w:val="21"/>
          <w:szCs w:val="21"/>
        </w:rPr>
        <w:t>FDA</w:t>
      </w:r>
      <w:r>
        <w:rPr>
          <w:rFonts w:hint="eastAsia" w:ascii="Times New Roman" w:cs="Times New Roman"/>
          <w:color w:val="auto"/>
          <w:sz w:val="21"/>
          <w:szCs w:val="21"/>
        </w:rPr>
        <w:t>指南，</w:t>
      </w:r>
      <w:r>
        <w:rPr>
          <w:rFonts w:ascii="Times New Roman" w:hAnsi="Times New Roman" w:cs="Times New Roman"/>
          <w:color w:val="auto"/>
          <w:sz w:val="21"/>
          <w:szCs w:val="21"/>
        </w:rPr>
        <w:t>“</w:t>
      </w:r>
      <w:r>
        <w:rPr>
          <w:rFonts w:hint="eastAsia" w:ascii="Times New Roman" w:cs="Times New Roman"/>
          <w:color w:val="auto"/>
          <w:sz w:val="21"/>
          <w:szCs w:val="21"/>
        </w:rPr>
        <w:t>采购和加工明胶以减少牛海绵状脑病（</w:t>
      </w:r>
      <w:r>
        <w:rPr>
          <w:rFonts w:ascii="Times New Roman" w:hAnsi="Times New Roman" w:cs="Times New Roman"/>
          <w:color w:val="auto"/>
          <w:sz w:val="21"/>
          <w:szCs w:val="21"/>
        </w:rPr>
        <w:t>BSE</w:t>
      </w:r>
      <w:r>
        <w:rPr>
          <w:rFonts w:hint="eastAsia" w:ascii="Times New Roman" w:cs="Times New Roman"/>
          <w:color w:val="auto"/>
          <w:sz w:val="21"/>
          <w:szCs w:val="21"/>
        </w:rPr>
        <w:t>）在人用</w:t>
      </w:r>
      <w:r>
        <w:rPr>
          <w:rFonts w:ascii="Times New Roman" w:hAnsi="Times New Roman" w:cs="Times New Roman"/>
          <w:color w:val="auto"/>
          <w:sz w:val="21"/>
          <w:szCs w:val="21"/>
        </w:rPr>
        <w:t>FDA</w:t>
      </w:r>
      <w:r>
        <w:rPr>
          <w:rFonts w:hint="eastAsia" w:ascii="Times New Roman" w:cs="Times New Roman"/>
          <w:color w:val="auto"/>
          <w:sz w:val="21"/>
          <w:szCs w:val="21"/>
        </w:rPr>
        <w:t>监管产品中的潜在风险</w:t>
      </w:r>
      <w:r>
        <w:rPr>
          <w:rFonts w:ascii="Times New Roman" w:hAnsi="Times New Roman" w:cs="Times New Roman"/>
          <w:color w:val="auto"/>
          <w:sz w:val="21"/>
          <w:szCs w:val="21"/>
        </w:rPr>
        <w:t>”</w:t>
      </w:r>
      <w:r>
        <w:rPr>
          <w:rFonts w:hint="eastAsia" w:ascii="Times New Roman" w:cs="Times New Roman"/>
          <w:color w:val="auto"/>
          <w:sz w:val="21"/>
          <w:szCs w:val="21"/>
        </w:rPr>
        <w:t>（</w:t>
      </w:r>
      <w:r>
        <w:rPr>
          <w:rFonts w:ascii="Times New Roman" w:hAnsi="Times New Roman" w:cs="Times New Roman"/>
          <w:color w:val="auto"/>
          <w:sz w:val="21"/>
          <w:szCs w:val="21"/>
        </w:rPr>
        <w:t>1997</w:t>
      </w:r>
      <w:r>
        <w:rPr>
          <w:rFonts w:hint="eastAsia" w:ascii="Times New Roman" w:cs="Times New Roman"/>
          <w:color w:val="auto"/>
          <w:sz w:val="21"/>
          <w:szCs w:val="21"/>
        </w:rPr>
        <w:t>年</w:t>
      </w:r>
      <w:r>
        <w:rPr>
          <w:rFonts w:ascii="Times New Roman" w:hAnsi="Times New Roman" w:cs="Times New Roman"/>
          <w:color w:val="auto"/>
          <w:sz w:val="21"/>
          <w:szCs w:val="21"/>
        </w:rPr>
        <w:t>9</w:t>
      </w:r>
      <w:r>
        <w:rPr>
          <w:rFonts w:hint="eastAsia" w:ascii="Times New Roman" w:cs="Times New Roman"/>
          <w:color w:val="auto"/>
          <w:sz w:val="21"/>
          <w:szCs w:val="21"/>
        </w:rPr>
        <w:t>月）</w:t>
      </w:r>
    </w:p>
    <w:p w14:paraId="204CEC2D">
      <w:pPr>
        <w:adjustRightInd w:val="0"/>
        <w:snapToGrid w:val="0"/>
        <w:spacing w:beforeLines="50" w:line="360" w:lineRule="auto"/>
        <w:ind w:left="420" w:hanging="420" w:hangingChars="200"/>
        <w:jc w:val="both"/>
        <w:rPr>
          <w:rFonts w:ascii="Times New Roman" w:hAnsi="Times New Roman" w:cs="Times New Roman"/>
          <w:color w:val="auto"/>
          <w:sz w:val="21"/>
          <w:szCs w:val="21"/>
        </w:rPr>
      </w:pPr>
      <w:r>
        <w:rPr>
          <w:rFonts w:ascii="Times New Roman" w:hAnsi="Times New Roman" w:cs="Times New Roman"/>
          <w:color w:val="auto"/>
          <w:sz w:val="21"/>
          <w:szCs w:val="21"/>
        </w:rPr>
        <w:t>5.</w:t>
      </w:r>
      <w:r>
        <w:rPr>
          <w:rFonts w:ascii="Times New Roman" w:hAnsi="Times New Roman" w:cs="Times New Roman"/>
          <w:color w:val="auto"/>
          <w:sz w:val="21"/>
          <w:szCs w:val="21"/>
        </w:rPr>
        <w:tab/>
      </w:r>
      <w:r>
        <w:rPr>
          <w:rFonts w:hint="eastAsia" w:ascii="Times New Roman" w:cs="Times New Roman"/>
          <w:color w:val="auto"/>
          <w:sz w:val="21"/>
          <w:szCs w:val="21"/>
        </w:rPr>
        <w:t>数据库数据录入方式</w:t>
      </w:r>
    </w:p>
    <w:p w14:paraId="69A5B8E6">
      <w:pPr>
        <w:adjustRightInd w:val="0"/>
        <w:snapToGrid w:val="0"/>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hint="eastAsia" w:ascii="Times New Roman" w:cs="Times New Roman"/>
          <w:color w:val="auto"/>
          <w:sz w:val="21"/>
          <w:szCs w:val="21"/>
        </w:rPr>
        <w:t>附件</w:t>
      </w:r>
      <w:r>
        <w:rPr>
          <w:rFonts w:ascii="Times New Roman" w:hAnsi="Times New Roman" w:cs="Times New Roman"/>
          <w:color w:val="auto"/>
          <w:sz w:val="21"/>
          <w:szCs w:val="21"/>
        </w:rPr>
        <w:t>1</w:t>
      </w:r>
    </w:p>
    <w:p w14:paraId="6A043136">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hint="eastAsia" w:ascii="Times New Roman" w:cs="Times New Roman"/>
          <w:color w:val="auto"/>
          <w:sz w:val="21"/>
          <w:szCs w:val="21"/>
        </w:rPr>
        <w:t>联邦公报</w:t>
      </w:r>
      <w:r>
        <w:rPr>
          <w:rFonts w:hint="eastAsia" w:ascii="Times New Roman" w:hAnsi="Times New Roman" w:cs="Times New Roman"/>
          <w:color w:val="auto"/>
          <w:sz w:val="21"/>
          <w:szCs w:val="21"/>
        </w:rPr>
        <w:t>：</w:t>
      </w:r>
      <w:r>
        <w:rPr>
          <w:rFonts w:ascii="Times New Roman" w:hAnsi="Times New Roman" w:cs="Times New Roman"/>
          <w:color w:val="auto"/>
          <w:sz w:val="21"/>
          <w:szCs w:val="21"/>
        </w:rPr>
        <w:t>1994</w:t>
      </w:r>
      <w:r>
        <w:rPr>
          <w:rFonts w:hint="eastAsia" w:ascii="Times New Roman" w:cs="Times New Roman"/>
          <w:color w:val="auto"/>
          <w:sz w:val="21"/>
          <w:szCs w:val="21"/>
        </w:rPr>
        <w:t>年</w:t>
      </w:r>
      <w:r>
        <w:rPr>
          <w:rFonts w:ascii="Times New Roman" w:hAnsi="Times New Roman" w:cs="Times New Roman"/>
          <w:color w:val="auto"/>
          <w:sz w:val="21"/>
          <w:szCs w:val="21"/>
        </w:rPr>
        <w:t>8</w:t>
      </w:r>
      <w:r>
        <w:rPr>
          <w:rFonts w:hint="eastAsia" w:ascii="Times New Roman" w:cs="Times New Roman"/>
          <w:color w:val="auto"/>
          <w:sz w:val="21"/>
          <w:szCs w:val="21"/>
        </w:rPr>
        <w:t>月</w:t>
      </w:r>
      <w:r>
        <w:rPr>
          <w:rFonts w:ascii="Times New Roman" w:hAnsi="Times New Roman" w:cs="Times New Roman"/>
          <w:color w:val="auto"/>
          <w:sz w:val="21"/>
          <w:szCs w:val="21"/>
        </w:rPr>
        <w:t>29</w:t>
      </w:r>
      <w:r>
        <w:rPr>
          <w:rFonts w:hint="eastAsia" w:ascii="Times New Roman" w:cs="Times New Roman"/>
          <w:color w:val="auto"/>
          <w:sz w:val="21"/>
          <w:szCs w:val="21"/>
        </w:rPr>
        <w:t>日</w:t>
      </w:r>
      <w:r>
        <w:rPr>
          <w:rFonts w:ascii="Times New Roman" w:hAnsi="Times New Roman" w:cs="Times New Roman"/>
          <w:color w:val="auto"/>
          <w:sz w:val="21"/>
          <w:szCs w:val="21"/>
        </w:rPr>
        <w:t>)</w:t>
      </w:r>
    </w:p>
    <w:p w14:paraId="3DB42380">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健康和人类服务部</w:t>
      </w:r>
    </w:p>
    <w:p w14:paraId="40D4DCCD">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食品药品管理局</w:t>
      </w:r>
    </w:p>
    <w:p w14:paraId="41797F9B">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牛源材料：机构致函</w:t>
      </w:r>
      <w:r>
        <w:rPr>
          <w:rFonts w:ascii="Times New Roman" w:hAnsi="Times New Roman" w:cs="Times New Roman"/>
          <w:color w:val="auto"/>
          <w:sz w:val="21"/>
          <w:szCs w:val="21"/>
        </w:rPr>
        <w:t>FDA</w:t>
      </w:r>
      <w:r>
        <w:rPr>
          <w:rFonts w:hint="eastAsia" w:ascii="Times New Roman" w:cs="Times New Roman"/>
          <w:color w:val="auto"/>
          <w:sz w:val="21"/>
          <w:szCs w:val="21"/>
        </w:rPr>
        <w:t>监管产品的生产商</w:t>
      </w:r>
    </w:p>
    <w:p w14:paraId="7914E8BC">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机构：食品药品管理局，</w:t>
      </w:r>
      <w:r>
        <w:rPr>
          <w:rFonts w:ascii="Times New Roman" w:hAnsi="Times New Roman" w:cs="Times New Roman"/>
          <w:color w:val="auto"/>
          <w:sz w:val="21"/>
          <w:szCs w:val="21"/>
        </w:rPr>
        <w:t>HHS</w:t>
      </w:r>
      <w:r>
        <w:rPr>
          <w:rFonts w:hint="eastAsia" w:ascii="Times New Roman" w:cs="Times New Roman"/>
          <w:color w:val="auto"/>
          <w:sz w:val="21"/>
          <w:szCs w:val="21"/>
        </w:rPr>
        <w:t>。</w:t>
      </w:r>
    </w:p>
    <w:p w14:paraId="232E261E">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行动：通知。</w:t>
      </w:r>
    </w:p>
    <w:p w14:paraId="5813F5EB">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摘要美国食品药品管理局（</w:t>
      </w:r>
      <w:r>
        <w:rPr>
          <w:rFonts w:ascii="Times New Roman" w:hAnsi="Times New Roman" w:cs="Times New Roman"/>
          <w:color w:val="auto"/>
          <w:sz w:val="21"/>
          <w:szCs w:val="21"/>
        </w:rPr>
        <w:t>FDA</w:t>
      </w:r>
      <w:r>
        <w:rPr>
          <w:rFonts w:hint="eastAsia" w:ascii="Times New Roman" w:cs="Times New Roman"/>
          <w:color w:val="auto"/>
          <w:sz w:val="21"/>
          <w:szCs w:val="21"/>
        </w:rPr>
        <w:t>）正在出版最近向</w:t>
      </w:r>
      <w:r>
        <w:rPr>
          <w:rFonts w:ascii="Times New Roman" w:hAnsi="Times New Roman" w:cs="Times New Roman"/>
          <w:color w:val="auto"/>
          <w:sz w:val="21"/>
          <w:szCs w:val="21"/>
        </w:rPr>
        <w:t>FDA</w:t>
      </w:r>
      <w:r>
        <w:rPr>
          <w:rFonts w:hint="eastAsia" w:ascii="Times New Roman" w:cs="Times New Roman"/>
          <w:color w:val="auto"/>
          <w:sz w:val="21"/>
          <w:szCs w:val="21"/>
        </w:rPr>
        <w:t>监管产品生产商发出的四封信内容，要求来自某些牛的牛源材料不能用于生产用于人类或动物的</w:t>
      </w:r>
      <w:r>
        <w:rPr>
          <w:rFonts w:ascii="Times New Roman" w:hAnsi="Times New Roman" w:cs="Times New Roman"/>
          <w:color w:val="auto"/>
          <w:sz w:val="21"/>
          <w:szCs w:val="21"/>
        </w:rPr>
        <w:t>FDA</w:t>
      </w:r>
      <w:r>
        <w:rPr>
          <w:rFonts w:hint="eastAsia" w:ascii="Times New Roman" w:cs="Times New Roman"/>
          <w:color w:val="auto"/>
          <w:sz w:val="21"/>
          <w:szCs w:val="21"/>
        </w:rPr>
        <w:t>监管产品。</w:t>
      </w:r>
      <w:r>
        <w:rPr>
          <w:rFonts w:ascii="Times New Roman" w:hAnsi="Times New Roman" w:cs="Times New Roman"/>
          <w:color w:val="auto"/>
          <w:sz w:val="21"/>
          <w:szCs w:val="21"/>
        </w:rPr>
        <w:t>FDA</w:t>
      </w:r>
      <w:r>
        <w:rPr>
          <w:rFonts w:hint="eastAsia" w:ascii="Times New Roman" w:cs="Times New Roman"/>
          <w:color w:val="auto"/>
          <w:sz w:val="21"/>
          <w:szCs w:val="21"/>
        </w:rPr>
        <w:t>认为，牛海绵状脑病（</w:t>
      </w:r>
      <w:r>
        <w:rPr>
          <w:rFonts w:ascii="Times New Roman" w:hAnsi="Times New Roman" w:cs="Times New Roman"/>
          <w:color w:val="auto"/>
          <w:sz w:val="21"/>
          <w:szCs w:val="21"/>
        </w:rPr>
        <w:t>BSE</w:t>
      </w:r>
      <w:r>
        <w:rPr>
          <w:rFonts w:hint="eastAsia" w:ascii="Times New Roman" w:cs="Times New Roman"/>
          <w:color w:val="auto"/>
          <w:sz w:val="21"/>
          <w:szCs w:val="21"/>
        </w:rPr>
        <w:t>）是牛类动物的神经系统疾病，这是</w:t>
      </w:r>
      <w:r>
        <w:rPr>
          <w:rFonts w:ascii="Times New Roman" w:hAnsi="Times New Roman" w:cs="Times New Roman"/>
          <w:color w:val="auto"/>
          <w:sz w:val="21"/>
          <w:szCs w:val="21"/>
        </w:rPr>
        <w:t>FDA</w:t>
      </w:r>
      <w:r>
        <w:rPr>
          <w:rFonts w:hint="eastAsia" w:ascii="Times New Roman" w:cs="Times New Roman"/>
          <w:color w:val="auto"/>
          <w:sz w:val="21"/>
          <w:szCs w:val="21"/>
        </w:rPr>
        <w:t>监管产品生产中的一个关注问题。</w:t>
      </w:r>
      <w:r>
        <w:rPr>
          <w:rFonts w:ascii="Times New Roman" w:hAnsi="Times New Roman" w:cs="Times New Roman"/>
          <w:color w:val="auto"/>
          <w:sz w:val="21"/>
          <w:szCs w:val="21"/>
        </w:rPr>
        <w:t>FDA</w:t>
      </w:r>
      <w:r>
        <w:rPr>
          <w:rFonts w:hint="eastAsia" w:ascii="Times New Roman" w:cs="Times New Roman"/>
          <w:color w:val="auto"/>
          <w:sz w:val="21"/>
          <w:szCs w:val="21"/>
        </w:rPr>
        <w:t>认为，预防措施可降低暴露于导致牛出现</w:t>
      </w:r>
      <w:r>
        <w:rPr>
          <w:rFonts w:ascii="Times New Roman" w:hAnsi="Times New Roman" w:cs="Times New Roman"/>
          <w:color w:val="auto"/>
          <w:sz w:val="21"/>
          <w:szCs w:val="21"/>
        </w:rPr>
        <w:t>BSE</w:t>
      </w:r>
      <w:r>
        <w:rPr>
          <w:rFonts w:hint="eastAsia" w:ascii="Times New Roman" w:cs="Times New Roman"/>
          <w:color w:val="auto"/>
          <w:sz w:val="21"/>
          <w:szCs w:val="21"/>
        </w:rPr>
        <w:t>的病原体或传播该病原体的潜在风险。</w:t>
      </w:r>
      <w:r>
        <w:rPr>
          <w:rFonts w:ascii="Times New Roman" w:hAnsi="Times New Roman" w:cs="Times New Roman"/>
          <w:color w:val="auto"/>
          <w:sz w:val="21"/>
          <w:szCs w:val="21"/>
        </w:rPr>
        <w:t>FDA</w:t>
      </w:r>
      <w:r>
        <w:rPr>
          <w:rFonts w:hint="eastAsia" w:ascii="Times New Roman" w:cs="Times New Roman"/>
          <w:color w:val="auto"/>
          <w:sz w:val="21"/>
          <w:szCs w:val="21"/>
        </w:rPr>
        <w:t>在本文末尾公布了四封信件的内容，并将其直接发送给生产商。</w:t>
      </w:r>
    </w:p>
    <w:p w14:paraId="57DF07A4">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其他资料，请联系</w:t>
      </w:r>
      <w:r>
        <w:rPr>
          <w:rFonts w:hint="eastAsia" w:ascii="Times New Roman" w:hAnsi="Times New Roman" w:cs="Times New Roman"/>
          <w:color w:val="auto"/>
          <w:sz w:val="21"/>
          <w:szCs w:val="21"/>
        </w:rPr>
        <w:t>：</w:t>
      </w:r>
    </w:p>
    <w:p w14:paraId="2697A5C0">
      <w:pPr>
        <w:adjustRightInd w:val="0"/>
        <w:snapToGrid w:val="0"/>
        <w:spacing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膳食补充剂和化妆品：</w:t>
      </w:r>
      <w:r>
        <w:rPr>
          <w:rFonts w:ascii="Times New Roman" w:hAnsi="Times New Roman" w:cs="Times New Roman"/>
          <w:color w:val="auto"/>
          <w:sz w:val="21"/>
          <w:szCs w:val="21"/>
        </w:rPr>
        <w:t>Elisa L. Elliot, Center for Food Safety and Applied Nutrition (HFS-22), Food and Drug Administration, 200 C St. SW., Washington, DC 20204, 202-205-5140</w:t>
      </w:r>
      <w:r>
        <w:rPr>
          <w:rFonts w:hint="eastAsia" w:ascii="Times New Roman" w:cs="Times New Roman"/>
          <w:color w:val="auto"/>
          <w:sz w:val="21"/>
          <w:szCs w:val="21"/>
        </w:rPr>
        <w:t>。</w:t>
      </w:r>
    </w:p>
    <w:p w14:paraId="689D6FF4">
      <w:pPr>
        <w:adjustRightInd w:val="0"/>
        <w:snapToGrid w:val="0"/>
        <w:spacing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医疗器械：</w:t>
      </w:r>
      <w:r>
        <w:rPr>
          <w:rFonts w:ascii="Times New Roman" w:hAnsi="Times New Roman" w:cs="Times New Roman"/>
          <w:color w:val="auto"/>
          <w:sz w:val="21"/>
          <w:szCs w:val="21"/>
        </w:rPr>
        <w:t>Kiki B. Hellman, Center for Devices and Radiological Health (HFZ-113), Food and Drug Administration, 5600 Fishers Lane, Rockville, MD 20357, 301-443-7158</w:t>
      </w:r>
      <w:r>
        <w:rPr>
          <w:rFonts w:hint="eastAsia" w:ascii="Times New Roman" w:cs="Times New Roman"/>
          <w:color w:val="auto"/>
          <w:sz w:val="21"/>
          <w:szCs w:val="21"/>
        </w:rPr>
        <w:t>。</w:t>
      </w:r>
    </w:p>
    <w:p w14:paraId="5B1A21FD">
      <w:pPr>
        <w:adjustRightInd w:val="0"/>
        <w:snapToGrid w:val="0"/>
        <w:spacing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人用药物：</w:t>
      </w:r>
      <w:r>
        <w:rPr>
          <w:rFonts w:ascii="Times New Roman" w:hAnsi="Times New Roman" w:cs="Times New Roman"/>
          <w:color w:val="auto"/>
          <w:sz w:val="21"/>
          <w:szCs w:val="21"/>
        </w:rPr>
        <w:t>Gayle R. Dolechek, Center for Drug Evaluation and Research (HFD-335), Food and Drug Administration, 7520 Standish PI., Rockville, MD 20855, 301-594-0104</w:t>
      </w:r>
      <w:r>
        <w:rPr>
          <w:rFonts w:hint="eastAsia" w:ascii="Times New Roman" w:cs="Times New Roman"/>
          <w:color w:val="auto"/>
          <w:sz w:val="21"/>
          <w:szCs w:val="21"/>
        </w:rPr>
        <w:t>。</w:t>
      </w:r>
    </w:p>
    <w:p w14:paraId="41E33FA7">
      <w:pPr>
        <w:adjustRightInd w:val="0"/>
        <w:snapToGrid w:val="0"/>
        <w:spacing w:line="360" w:lineRule="auto"/>
        <w:jc w:val="both"/>
        <w:rPr>
          <w:rFonts w:ascii="Times New Roman" w:hAnsi="Times New Roman" w:cs="Times New Roman"/>
          <w:color w:val="auto"/>
          <w:sz w:val="21"/>
          <w:szCs w:val="21"/>
          <w:lang w:val="en-US"/>
        </w:rPr>
      </w:pPr>
      <w:r>
        <w:rPr>
          <w:rFonts w:hint="eastAsia" w:ascii="Times New Roman" w:cs="Times New Roman"/>
          <w:color w:val="auto"/>
          <w:sz w:val="21"/>
          <w:szCs w:val="21"/>
        </w:rPr>
        <w:t>生物制品</w:t>
      </w:r>
      <w:r>
        <w:rPr>
          <w:rFonts w:hint="eastAsia" w:ascii="Times New Roman" w:cs="Times New Roman"/>
          <w:color w:val="auto"/>
          <w:sz w:val="21"/>
          <w:szCs w:val="21"/>
          <w:lang w:val="en-US"/>
        </w:rPr>
        <w:t>：</w:t>
      </w:r>
      <w:r>
        <w:rPr>
          <w:rFonts w:ascii="Times New Roman" w:hAnsi="Times New Roman" w:cs="Times New Roman"/>
          <w:color w:val="auto"/>
          <w:sz w:val="21"/>
          <w:szCs w:val="21"/>
          <w:lang w:val="en-US"/>
        </w:rPr>
        <w:t>Timothy W. Beth, Center for Biologics Evaluation and Research (HFM-635), Food and Drug Administration, 1401 Rockville Pike, Rockville, MD 20852-1448, 301-594-3074</w:t>
      </w:r>
      <w:r>
        <w:rPr>
          <w:rFonts w:hint="eastAsia" w:ascii="Times New Roman" w:cs="Times New Roman"/>
          <w:color w:val="auto"/>
          <w:sz w:val="21"/>
          <w:szCs w:val="21"/>
          <w:lang w:val="en-US"/>
        </w:rPr>
        <w:t>。</w:t>
      </w:r>
    </w:p>
    <w:p w14:paraId="1BCF779E">
      <w:pPr>
        <w:adjustRightInd w:val="0"/>
        <w:snapToGrid w:val="0"/>
        <w:spacing w:line="360" w:lineRule="auto"/>
        <w:jc w:val="both"/>
        <w:rPr>
          <w:rFonts w:ascii="Times New Roman" w:hAnsi="Times New Roman" w:cs="Times New Roman"/>
          <w:color w:val="auto"/>
          <w:sz w:val="21"/>
          <w:szCs w:val="21"/>
          <w:lang w:val="en-US"/>
        </w:rPr>
      </w:pPr>
      <w:r>
        <w:rPr>
          <w:rFonts w:hint="eastAsia" w:ascii="Times New Roman" w:cs="Times New Roman"/>
          <w:color w:val="auto"/>
          <w:sz w:val="21"/>
          <w:szCs w:val="21"/>
        </w:rPr>
        <w:t>兽用药物</w:t>
      </w:r>
      <w:r>
        <w:rPr>
          <w:rFonts w:hint="eastAsia" w:ascii="Times New Roman" w:cs="Times New Roman"/>
          <w:color w:val="auto"/>
          <w:sz w:val="21"/>
          <w:szCs w:val="21"/>
          <w:lang w:val="en-US"/>
        </w:rPr>
        <w:t>：</w:t>
      </w:r>
      <w:r>
        <w:rPr>
          <w:rFonts w:ascii="Times New Roman" w:hAnsi="Times New Roman" w:cs="Times New Roman"/>
          <w:color w:val="auto"/>
          <w:sz w:val="21"/>
          <w:szCs w:val="21"/>
          <w:lang w:val="en-US"/>
        </w:rPr>
        <w:t>William C. Keller, Center for Veterinary Medicine (HFV-210), Food and Drug Administration, 7500 Standish PI., Rockville, MD 20855, 301-594-1722</w:t>
      </w:r>
      <w:r>
        <w:rPr>
          <w:rFonts w:hint="eastAsia" w:ascii="Times New Roman" w:cs="Times New Roman"/>
          <w:color w:val="auto"/>
          <w:sz w:val="21"/>
          <w:szCs w:val="21"/>
          <w:lang w:val="en-US"/>
        </w:rPr>
        <w:t>。</w:t>
      </w:r>
    </w:p>
    <w:p w14:paraId="605C34F0">
      <w:pPr>
        <w:adjustRightInd w:val="0"/>
        <w:snapToGrid w:val="0"/>
        <w:spacing w:line="360" w:lineRule="auto"/>
        <w:jc w:val="both"/>
        <w:rPr>
          <w:rFonts w:ascii="Times New Roman" w:hAnsi="Times New Roman" w:cs="Times New Roman"/>
          <w:color w:val="auto"/>
          <w:sz w:val="21"/>
          <w:szCs w:val="21"/>
          <w:lang w:val="en-US"/>
        </w:rPr>
      </w:pPr>
      <w:r>
        <w:rPr>
          <w:rFonts w:hint="eastAsia" w:ascii="Times New Roman" w:cs="Times New Roman"/>
          <w:color w:val="auto"/>
          <w:sz w:val="21"/>
          <w:szCs w:val="21"/>
        </w:rPr>
        <w:t>动物饲料</w:t>
      </w:r>
      <w:r>
        <w:rPr>
          <w:rFonts w:hint="eastAsia" w:ascii="Times New Roman" w:cs="Times New Roman"/>
          <w:color w:val="auto"/>
          <w:sz w:val="21"/>
          <w:szCs w:val="21"/>
          <w:lang w:val="en-US"/>
        </w:rPr>
        <w:t>：</w:t>
      </w:r>
      <w:r>
        <w:rPr>
          <w:rFonts w:ascii="Times New Roman" w:hAnsi="Times New Roman" w:cs="Times New Roman"/>
          <w:color w:val="auto"/>
          <w:sz w:val="21"/>
          <w:szCs w:val="21"/>
          <w:lang w:val="en-US"/>
        </w:rPr>
        <w:t>John P. Honstead, Center for Veterinary Medicine (HFV-222), Food and Drug Administration, 7500 Standish PI., Rockville, MD 20855, 301-594-1728</w:t>
      </w:r>
      <w:r>
        <w:rPr>
          <w:rFonts w:hint="eastAsia" w:ascii="Times New Roman" w:cs="Times New Roman"/>
          <w:color w:val="auto"/>
          <w:sz w:val="21"/>
          <w:szCs w:val="21"/>
        </w:rPr>
        <w:t>。</w:t>
      </w:r>
    </w:p>
    <w:p w14:paraId="0CEFD994">
      <w:pPr>
        <w:adjustRightInd w:val="0"/>
        <w:snapToGrid w:val="0"/>
        <w:spacing w:line="360" w:lineRule="auto"/>
        <w:jc w:val="both"/>
        <w:rPr>
          <w:rFonts w:ascii="Times New Roman" w:hAnsi="Times New Roman" w:cs="Times New Roman"/>
          <w:color w:val="auto"/>
          <w:sz w:val="21"/>
          <w:szCs w:val="21"/>
          <w:lang w:val="en-US"/>
        </w:rPr>
      </w:pPr>
      <w:r>
        <w:rPr>
          <w:rFonts w:hint="eastAsia" w:ascii="Times New Roman" w:cs="Times New Roman"/>
          <w:color w:val="auto"/>
          <w:sz w:val="21"/>
          <w:szCs w:val="21"/>
        </w:rPr>
        <w:t>有关</w:t>
      </w:r>
      <w:r>
        <w:rPr>
          <w:rFonts w:ascii="Times New Roman" w:hAnsi="Times New Roman" w:cs="Times New Roman"/>
          <w:color w:val="auto"/>
          <w:sz w:val="21"/>
          <w:szCs w:val="21"/>
          <w:lang w:val="en-US"/>
        </w:rPr>
        <w:t>BSE</w:t>
      </w:r>
      <w:r>
        <w:rPr>
          <w:rFonts w:hint="eastAsia" w:ascii="Times New Roman" w:cs="Times New Roman"/>
          <w:color w:val="auto"/>
          <w:sz w:val="21"/>
          <w:szCs w:val="21"/>
        </w:rPr>
        <w:t>国家的信息</w:t>
      </w:r>
      <w:r>
        <w:rPr>
          <w:rFonts w:hint="eastAsia" w:ascii="Times New Roman" w:cs="Times New Roman"/>
          <w:color w:val="auto"/>
          <w:sz w:val="21"/>
          <w:szCs w:val="21"/>
          <w:lang w:val="en-US"/>
        </w:rPr>
        <w:t>：</w:t>
      </w:r>
      <w:r>
        <w:rPr>
          <w:rFonts w:ascii="Times New Roman" w:hAnsi="Times New Roman" w:cs="Times New Roman"/>
          <w:color w:val="auto"/>
          <w:sz w:val="21"/>
          <w:szCs w:val="21"/>
          <w:lang w:val="en-US"/>
        </w:rPr>
        <w:t>Harvey Kryder, U.S. Department of Agriculture, Animal and Plant Health Inspection Service, Federal Bldg., rm. 757, 6506 Belcrest Rd., Hyattsville, MD 20782, 301- 436-7885</w:t>
      </w:r>
      <w:r>
        <w:rPr>
          <w:rFonts w:hint="eastAsia" w:ascii="Times New Roman" w:cs="Times New Roman"/>
          <w:color w:val="auto"/>
          <w:sz w:val="21"/>
          <w:szCs w:val="21"/>
          <w:lang w:val="en-US"/>
        </w:rPr>
        <w:t>。</w:t>
      </w:r>
    </w:p>
    <w:p w14:paraId="6C2E0523">
      <w:pPr>
        <w:adjustRightInd w:val="0"/>
        <w:snapToGrid w:val="0"/>
        <w:spacing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补充资料：</w:t>
      </w:r>
      <w:r>
        <w:rPr>
          <w:rFonts w:ascii="Times New Roman" w:hAnsi="Times New Roman" w:cs="Times New Roman"/>
          <w:color w:val="auto"/>
          <w:sz w:val="21"/>
          <w:szCs w:val="21"/>
        </w:rPr>
        <w:t>FDA</w:t>
      </w:r>
      <w:r>
        <w:rPr>
          <w:rFonts w:hint="eastAsia" w:ascii="Times New Roman" w:cs="Times New Roman"/>
          <w:color w:val="auto"/>
          <w:sz w:val="21"/>
          <w:szCs w:val="21"/>
        </w:rPr>
        <w:t>最近发出了四封信件，要求牛群生长或源自美国农业部（</w:t>
      </w:r>
      <w:r>
        <w:rPr>
          <w:rFonts w:ascii="Times New Roman" w:hAnsi="Times New Roman" w:cs="Times New Roman"/>
          <w:color w:val="auto"/>
          <w:sz w:val="21"/>
          <w:szCs w:val="21"/>
        </w:rPr>
        <w:t>USUA</w:t>
      </w:r>
      <w:r>
        <w:rPr>
          <w:rFonts w:hint="eastAsia" w:ascii="Times New Roman" w:cs="Times New Roman"/>
          <w:color w:val="auto"/>
          <w:sz w:val="21"/>
          <w:szCs w:val="21"/>
        </w:rPr>
        <w:t>）及动植物卫生检验局（</w:t>
      </w:r>
      <w:r>
        <w:rPr>
          <w:rFonts w:ascii="Times New Roman" w:hAnsi="Times New Roman" w:cs="Times New Roman"/>
          <w:color w:val="auto"/>
          <w:sz w:val="21"/>
          <w:szCs w:val="21"/>
        </w:rPr>
        <w:t>APHIS</w:t>
      </w:r>
      <w:r>
        <w:rPr>
          <w:rFonts w:hint="eastAsia" w:ascii="Times New Roman" w:cs="Times New Roman"/>
          <w:color w:val="auto"/>
          <w:sz w:val="21"/>
          <w:szCs w:val="21"/>
        </w:rPr>
        <w:t>）指定为存在</w:t>
      </w:r>
      <w:r>
        <w:rPr>
          <w:rFonts w:ascii="Times New Roman" w:hAnsi="Times New Roman" w:cs="Times New Roman"/>
          <w:color w:val="auto"/>
          <w:sz w:val="21"/>
          <w:szCs w:val="21"/>
        </w:rPr>
        <w:t>BSE</w:t>
      </w:r>
      <w:r>
        <w:rPr>
          <w:rFonts w:hint="eastAsia" w:ascii="Times New Roman" w:cs="Times New Roman"/>
          <w:color w:val="auto"/>
          <w:sz w:val="21"/>
          <w:szCs w:val="21"/>
        </w:rPr>
        <w:t>国家的牛源材料，不得用于生产人用或动物用</w:t>
      </w:r>
      <w:r>
        <w:rPr>
          <w:rFonts w:ascii="Times New Roman" w:hAnsi="Times New Roman" w:cs="Times New Roman"/>
          <w:color w:val="auto"/>
          <w:sz w:val="21"/>
          <w:szCs w:val="21"/>
        </w:rPr>
        <w:t>FDA</w:t>
      </w:r>
      <w:r>
        <w:rPr>
          <w:rFonts w:hint="eastAsia" w:ascii="Times New Roman" w:cs="Times New Roman"/>
          <w:color w:val="auto"/>
          <w:sz w:val="21"/>
          <w:szCs w:val="21"/>
        </w:rPr>
        <w:t>监管产品。</w:t>
      </w:r>
    </w:p>
    <w:p w14:paraId="7E3CA44A">
      <w:pPr>
        <w:adjustRightInd w:val="0"/>
        <w:snapToGrid w:val="0"/>
        <w:spacing w:line="360" w:lineRule="auto"/>
        <w:jc w:val="both"/>
        <w:rPr>
          <w:rFonts w:ascii="Times New Roman" w:hAnsi="Times New Roman" w:cs="Times New Roman"/>
          <w:color w:val="auto"/>
          <w:sz w:val="21"/>
          <w:szCs w:val="21"/>
        </w:rPr>
        <w:sectPr>
          <w:headerReference r:id="rId3" w:type="default"/>
          <w:type w:val="continuous"/>
          <w:pgSz w:w="11909" w:h="16834"/>
          <w:pgMar w:top="1440" w:right="1797" w:bottom="1440" w:left="1797" w:header="567" w:footer="567" w:gutter="0"/>
          <w:cols w:space="720" w:num="1"/>
          <w:docGrid w:linePitch="360" w:charSpace="0"/>
        </w:sectPr>
      </w:pPr>
    </w:p>
    <w:p w14:paraId="4097E098">
      <w:pPr>
        <w:adjustRightInd w:val="0"/>
        <w:snapToGrid w:val="0"/>
        <w:spacing w:line="360"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一封日期为</w:t>
      </w:r>
      <w:r>
        <w:rPr>
          <w:rFonts w:ascii="Times New Roman" w:hAnsi="Times New Roman" w:cs="Times New Roman"/>
          <w:color w:val="auto"/>
          <w:sz w:val="21"/>
          <w:szCs w:val="21"/>
        </w:rPr>
        <w:t>1992</w:t>
      </w:r>
      <w:r>
        <w:rPr>
          <w:rFonts w:hint="eastAsia" w:ascii="Times New Roman" w:cs="Times New Roman"/>
          <w:color w:val="auto"/>
          <w:sz w:val="21"/>
          <w:szCs w:val="21"/>
        </w:rPr>
        <w:t>年</w:t>
      </w:r>
      <w:r>
        <w:rPr>
          <w:rFonts w:ascii="Times New Roman" w:hAnsi="Times New Roman" w:cs="Times New Roman"/>
          <w:color w:val="auto"/>
          <w:sz w:val="21"/>
          <w:szCs w:val="21"/>
        </w:rPr>
        <w:t>11</w:t>
      </w:r>
      <w:r>
        <w:rPr>
          <w:rFonts w:hint="eastAsia" w:ascii="Times New Roman" w:cs="Times New Roman"/>
          <w:color w:val="auto"/>
          <w:sz w:val="21"/>
          <w:szCs w:val="21"/>
        </w:rPr>
        <w:t>月</w:t>
      </w:r>
      <w:r>
        <w:rPr>
          <w:rFonts w:ascii="Times New Roman" w:hAnsi="Times New Roman" w:cs="Times New Roman"/>
          <w:color w:val="auto"/>
          <w:sz w:val="21"/>
          <w:szCs w:val="21"/>
        </w:rPr>
        <w:t>9</w:t>
      </w:r>
      <w:r>
        <w:rPr>
          <w:rFonts w:hint="eastAsia" w:ascii="Times New Roman" w:cs="Times New Roman"/>
          <w:color w:val="auto"/>
          <w:sz w:val="21"/>
          <w:szCs w:val="21"/>
        </w:rPr>
        <w:t>日的信函，被寄送给膳食补充剂生产商。一封日期为</w:t>
      </w:r>
      <w:r>
        <w:rPr>
          <w:rFonts w:ascii="Times New Roman" w:hAnsi="Times New Roman" w:cs="Times New Roman"/>
          <w:color w:val="auto"/>
          <w:sz w:val="21"/>
          <w:szCs w:val="21"/>
        </w:rPr>
        <w:t>1993</w:t>
      </w:r>
      <w:r>
        <w:rPr>
          <w:rFonts w:hint="eastAsia" w:ascii="Times New Roman" w:cs="Times New Roman"/>
          <w:color w:val="auto"/>
          <w:sz w:val="21"/>
          <w:szCs w:val="21"/>
        </w:rPr>
        <w:t>年</w:t>
      </w:r>
      <w:r>
        <w:rPr>
          <w:rFonts w:ascii="Times New Roman" w:hAnsi="Times New Roman" w:cs="Times New Roman"/>
          <w:color w:val="auto"/>
          <w:sz w:val="21"/>
          <w:szCs w:val="21"/>
        </w:rPr>
        <w:t>12</w:t>
      </w:r>
      <w:r>
        <w:rPr>
          <w:rFonts w:hint="eastAsia" w:ascii="Times New Roman" w:cs="Times New Roman"/>
          <w:color w:val="auto"/>
          <w:sz w:val="21"/>
          <w:szCs w:val="21"/>
        </w:rPr>
        <w:t>月</w:t>
      </w:r>
      <w:r>
        <w:rPr>
          <w:rFonts w:ascii="Times New Roman" w:hAnsi="Times New Roman" w:cs="Times New Roman"/>
          <w:color w:val="auto"/>
          <w:sz w:val="21"/>
          <w:szCs w:val="21"/>
        </w:rPr>
        <w:t>17</w:t>
      </w:r>
      <w:r>
        <w:rPr>
          <w:rFonts w:hint="eastAsia" w:ascii="Times New Roman" w:cs="Times New Roman"/>
          <w:color w:val="auto"/>
          <w:sz w:val="21"/>
          <w:szCs w:val="21"/>
        </w:rPr>
        <w:t>日的信函，被寄送给人用药品、生物制剂和医疗器械的生产商。（对于</w:t>
      </w:r>
      <w:r>
        <w:rPr>
          <w:rFonts w:ascii="Times New Roman" w:hAnsi="Times New Roman" w:cs="Times New Roman"/>
          <w:color w:val="auto"/>
          <w:sz w:val="21"/>
          <w:szCs w:val="21"/>
        </w:rPr>
        <w:t>12</w:t>
      </w:r>
      <w:r>
        <w:rPr>
          <w:rFonts w:hint="eastAsia" w:ascii="Times New Roman" w:cs="Times New Roman"/>
          <w:color w:val="auto"/>
          <w:sz w:val="21"/>
          <w:szCs w:val="21"/>
        </w:rPr>
        <w:t>月</w:t>
      </w:r>
      <w:r>
        <w:rPr>
          <w:rFonts w:ascii="Times New Roman" w:hAnsi="Times New Roman" w:cs="Times New Roman"/>
          <w:color w:val="auto"/>
          <w:sz w:val="21"/>
          <w:szCs w:val="21"/>
        </w:rPr>
        <w:t>17</w:t>
      </w:r>
      <w:r>
        <w:rPr>
          <w:rFonts w:hint="eastAsia" w:ascii="Times New Roman" w:cs="Times New Roman"/>
          <w:color w:val="auto"/>
          <w:sz w:val="21"/>
          <w:szCs w:val="21"/>
        </w:rPr>
        <w:t>日的信函，该机构随后声明在当时</w:t>
      </w:r>
      <w:r>
        <w:rPr>
          <w:rFonts w:ascii="Times New Roman" w:hAnsi="Times New Roman" w:cs="Times New Roman"/>
          <w:color w:val="auto"/>
          <w:sz w:val="21"/>
          <w:szCs w:val="21"/>
        </w:rPr>
        <w:t>FDA</w:t>
      </w:r>
      <w:r>
        <w:rPr>
          <w:rFonts w:hint="eastAsia" w:ascii="Times New Roman" w:cs="Times New Roman"/>
          <w:color w:val="auto"/>
          <w:sz w:val="21"/>
          <w:szCs w:val="21"/>
        </w:rPr>
        <w:t>不反对在生产药用明胶过程中使用来自</w:t>
      </w:r>
      <w:r>
        <w:rPr>
          <w:rFonts w:ascii="Times New Roman" w:hAnsi="Times New Roman" w:cs="Times New Roman"/>
          <w:color w:val="auto"/>
          <w:sz w:val="21"/>
          <w:szCs w:val="21"/>
        </w:rPr>
        <w:t>BSE</w:t>
      </w:r>
      <w:r>
        <w:rPr>
          <w:rFonts w:hint="eastAsia" w:ascii="Times New Roman" w:cs="Times New Roman"/>
          <w:color w:val="auto"/>
          <w:sz w:val="21"/>
          <w:szCs w:val="21"/>
        </w:rPr>
        <w:t>国家的牛源材料。）一封日期为</w:t>
      </w:r>
      <w:r>
        <w:rPr>
          <w:rFonts w:ascii="Times New Roman" w:hAnsi="Times New Roman" w:cs="Times New Roman"/>
          <w:color w:val="auto"/>
          <w:sz w:val="21"/>
          <w:szCs w:val="21"/>
        </w:rPr>
        <w:t>1994</w:t>
      </w:r>
      <w:r>
        <w:rPr>
          <w:rFonts w:hint="eastAsia" w:ascii="Times New Roman" w:cs="Times New Roman"/>
          <w:color w:val="auto"/>
          <w:sz w:val="21"/>
          <w:szCs w:val="21"/>
        </w:rPr>
        <w:t>年</w:t>
      </w:r>
      <w:r>
        <w:rPr>
          <w:rFonts w:ascii="Times New Roman" w:hAnsi="Times New Roman" w:cs="Times New Roman"/>
          <w:color w:val="auto"/>
          <w:sz w:val="21"/>
          <w:szCs w:val="21"/>
        </w:rPr>
        <w:t>8</w:t>
      </w:r>
      <w:r>
        <w:rPr>
          <w:rFonts w:hint="eastAsia" w:ascii="Times New Roman" w:cs="Times New Roman"/>
          <w:color w:val="auto"/>
          <w:sz w:val="21"/>
          <w:szCs w:val="21"/>
        </w:rPr>
        <w:t>月</w:t>
      </w:r>
      <w:r>
        <w:rPr>
          <w:rFonts w:ascii="Times New Roman" w:hAnsi="Times New Roman" w:cs="Times New Roman"/>
          <w:color w:val="auto"/>
          <w:sz w:val="21"/>
          <w:szCs w:val="21"/>
        </w:rPr>
        <w:t>17</w:t>
      </w:r>
      <w:r>
        <w:rPr>
          <w:rFonts w:hint="eastAsia" w:ascii="Times New Roman" w:cs="Times New Roman"/>
          <w:color w:val="auto"/>
          <w:sz w:val="21"/>
          <w:szCs w:val="21"/>
        </w:rPr>
        <w:t>日的信函，被寄送给动物用</w:t>
      </w:r>
      <w:r>
        <w:rPr>
          <w:rFonts w:ascii="Times New Roman" w:hAnsi="Times New Roman" w:cs="Times New Roman"/>
          <w:color w:val="auto"/>
          <w:sz w:val="21"/>
          <w:szCs w:val="21"/>
        </w:rPr>
        <w:t>FDA</w:t>
      </w:r>
      <w:r>
        <w:rPr>
          <w:rFonts w:hint="eastAsia" w:ascii="Times New Roman" w:cs="Times New Roman"/>
          <w:color w:val="auto"/>
          <w:sz w:val="21"/>
          <w:szCs w:val="21"/>
        </w:rPr>
        <w:t>监管产品的生产商。一封日期为</w:t>
      </w:r>
      <w:r>
        <w:rPr>
          <w:rFonts w:ascii="Times New Roman" w:hAnsi="Times New Roman" w:cs="Times New Roman"/>
          <w:color w:val="auto"/>
          <w:sz w:val="21"/>
          <w:szCs w:val="21"/>
        </w:rPr>
        <w:t>1994</w:t>
      </w:r>
      <w:r>
        <w:rPr>
          <w:rFonts w:hint="eastAsia" w:ascii="Times New Roman" w:cs="Times New Roman"/>
          <w:color w:val="auto"/>
          <w:sz w:val="21"/>
          <w:szCs w:val="21"/>
        </w:rPr>
        <w:t>年</w:t>
      </w:r>
      <w:r>
        <w:rPr>
          <w:rFonts w:ascii="Times New Roman" w:hAnsi="Times New Roman" w:cs="Times New Roman"/>
          <w:color w:val="auto"/>
          <w:sz w:val="21"/>
          <w:szCs w:val="21"/>
        </w:rPr>
        <w:t>8</w:t>
      </w:r>
      <w:r>
        <w:rPr>
          <w:rFonts w:hint="eastAsia" w:ascii="Times New Roman" w:cs="Times New Roman"/>
          <w:color w:val="auto"/>
          <w:sz w:val="21"/>
          <w:szCs w:val="21"/>
        </w:rPr>
        <w:t>月</w:t>
      </w:r>
      <w:r>
        <w:rPr>
          <w:rFonts w:ascii="Times New Roman" w:hAnsi="Times New Roman" w:cs="Times New Roman"/>
          <w:color w:val="auto"/>
          <w:sz w:val="21"/>
          <w:szCs w:val="21"/>
        </w:rPr>
        <w:t>17</w:t>
      </w:r>
      <w:r>
        <w:rPr>
          <w:rFonts w:hint="eastAsia" w:ascii="Times New Roman" w:cs="Times New Roman"/>
          <w:color w:val="auto"/>
          <w:sz w:val="21"/>
          <w:szCs w:val="21"/>
        </w:rPr>
        <w:t>日的信函，被寄送给膳食补充剂和化妆品生产商和进口商。</w:t>
      </w:r>
    </w:p>
    <w:p w14:paraId="1F5B1C08">
      <w:pPr>
        <w:adjustRightInd w:val="0"/>
        <w:snapToGrid w:val="0"/>
        <w:spacing w:line="36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BSE</w:t>
      </w:r>
      <w:r>
        <w:rPr>
          <w:rFonts w:hint="eastAsia" w:ascii="Times New Roman" w:cs="Times New Roman"/>
          <w:color w:val="auto"/>
          <w:sz w:val="21"/>
          <w:szCs w:val="21"/>
        </w:rPr>
        <w:t>是一种牛神经系统疾病。</w:t>
      </w:r>
      <w:r>
        <w:rPr>
          <w:rFonts w:ascii="Times New Roman" w:hAnsi="Times New Roman" w:cs="Times New Roman"/>
          <w:color w:val="auto"/>
          <w:sz w:val="21"/>
          <w:szCs w:val="21"/>
        </w:rPr>
        <w:t>USDA</w:t>
      </w:r>
      <w:r>
        <w:rPr>
          <w:rFonts w:hint="eastAsia" w:ascii="Times New Roman" w:cs="Times New Roman"/>
          <w:color w:val="auto"/>
          <w:sz w:val="21"/>
          <w:szCs w:val="21"/>
        </w:rPr>
        <w:t>已经规定禁止和限制进口来自存在</w:t>
      </w:r>
      <w:r>
        <w:rPr>
          <w:rFonts w:ascii="Times New Roman" w:hAnsi="Times New Roman" w:cs="Times New Roman"/>
          <w:color w:val="auto"/>
          <w:sz w:val="21"/>
          <w:szCs w:val="21"/>
        </w:rPr>
        <w:t>BSE</w:t>
      </w:r>
      <w:r>
        <w:rPr>
          <w:rFonts w:hint="eastAsia" w:ascii="Times New Roman" w:cs="Times New Roman"/>
          <w:color w:val="auto"/>
          <w:sz w:val="21"/>
          <w:szCs w:val="21"/>
        </w:rPr>
        <w:t>国家的反刍动物的特定动物产品和动物副产品。这些国家由</w:t>
      </w:r>
      <w:r>
        <w:rPr>
          <w:rFonts w:ascii="Times New Roman" w:hAnsi="Times New Roman" w:cs="Times New Roman"/>
          <w:color w:val="auto"/>
          <w:sz w:val="21"/>
          <w:szCs w:val="21"/>
        </w:rPr>
        <w:t>USDA</w:t>
      </w:r>
      <w:r>
        <w:rPr>
          <w:rFonts w:hint="eastAsia" w:ascii="Times New Roman" w:cs="Times New Roman"/>
          <w:color w:val="auto"/>
          <w:sz w:val="21"/>
          <w:szCs w:val="21"/>
        </w:rPr>
        <w:t>指定，列于</w:t>
      </w:r>
      <w:r>
        <w:rPr>
          <w:rFonts w:ascii="Times New Roman" w:hAnsi="Times New Roman" w:cs="Times New Roman"/>
          <w:color w:val="auto"/>
          <w:sz w:val="21"/>
          <w:szCs w:val="21"/>
        </w:rPr>
        <w:t>9 CFR 94.18</w:t>
      </w:r>
      <w:r>
        <w:rPr>
          <w:rFonts w:hint="eastAsia" w:ascii="Times New Roman" w:cs="Times New Roman"/>
          <w:color w:val="auto"/>
          <w:sz w:val="21"/>
          <w:szCs w:val="21"/>
        </w:rPr>
        <w:t>。</w:t>
      </w:r>
    </w:p>
    <w:p w14:paraId="0C767979">
      <w:pPr>
        <w:adjustRightInd w:val="0"/>
        <w:snapToGrid w:val="0"/>
        <w:spacing w:line="36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BSE</w:t>
      </w:r>
      <w:r>
        <w:rPr>
          <w:rFonts w:hint="eastAsia" w:ascii="Times New Roman" w:cs="Times New Roman"/>
          <w:color w:val="auto"/>
          <w:sz w:val="21"/>
          <w:szCs w:val="21"/>
        </w:rPr>
        <w:t>病原体极度耐受传统的处理和灭菌方法。该种疾病在</w:t>
      </w:r>
      <w:r>
        <w:rPr>
          <w:rFonts w:ascii="Times New Roman" w:hAnsi="Times New Roman" w:cs="Times New Roman"/>
          <w:color w:val="auto"/>
          <w:sz w:val="21"/>
          <w:szCs w:val="21"/>
        </w:rPr>
        <w:t>1986</w:t>
      </w:r>
      <w:r>
        <w:rPr>
          <w:rFonts w:hint="eastAsia" w:ascii="Times New Roman" w:cs="Times New Roman"/>
          <w:color w:val="auto"/>
          <w:sz w:val="21"/>
          <w:szCs w:val="21"/>
        </w:rPr>
        <w:t>年确定。自此，英国有超过</w:t>
      </w:r>
      <w:r>
        <w:rPr>
          <w:rFonts w:ascii="Times New Roman" w:hAnsi="Times New Roman" w:cs="Times New Roman"/>
          <w:color w:val="auto"/>
          <w:sz w:val="21"/>
          <w:szCs w:val="21"/>
        </w:rPr>
        <w:t>100</w:t>
      </w:r>
      <w:r>
        <w:rPr>
          <w:rFonts w:hint="eastAsia" w:ascii="Times New Roman" w:cs="Times New Roman"/>
          <w:color w:val="auto"/>
          <w:sz w:val="21"/>
          <w:szCs w:val="21"/>
        </w:rPr>
        <w:t>，</w:t>
      </w:r>
      <w:r>
        <w:rPr>
          <w:rFonts w:ascii="Times New Roman" w:hAnsi="Times New Roman" w:cs="Times New Roman"/>
          <w:color w:val="auto"/>
          <w:sz w:val="21"/>
          <w:szCs w:val="21"/>
        </w:rPr>
        <w:t>000</w:t>
      </w:r>
      <w:r>
        <w:rPr>
          <w:rFonts w:hint="eastAsia" w:ascii="Times New Roman" w:cs="Times New Roman"/>
          <w:color w:val="auto"/>
          <w:sz w:val="21"/>
          <w:szCs w:val="21"/>
        </w:rPr>
        <w:t>头牛因</w:t>
      </w:r>
      <w:r>
        <w:rPr>
          <w:rFonts w:ascii="Times New Roman" w:hAnsi="Times New Roman" w:cs="Times New Roman"/>
          <w:color w:val="auto"/>
          <w:sz w:val="21"/>
          <w:szCs w:val="21"/>
        </w:rPr>
        <w:t>BSE</w:t>
      </w:r>
      <w:r>
        <w:rPr>
          <w:rFonts w:hint="eastAsia" w:ascii="Times New Roman" w:cs="Times New Roman"/>
          <w:color w:val="auto"/>
          <w:sz w:val="21"/>
          <w:szCs w:val="21"/>
        </w:rPr>
        <w:t>感染而死亡或被销毁。目前，美国不存在</w:t>
      </w:r>
      <w:r>
        <w:rPr>
          <w:rFonts w:ascii="Times New Roman" w:hAnsi="Times New Roman" w:cs="Times New Roman"/>
          <w:color w:val="auto"/>
          <w:sz w:val="21"/>
          <w:szCs w:val="21"/>
        </w:rPr>
        <w:t>BSE</w:t>
      </w:r>
      <w:r>
        <w:rPr>
          <w:rFonts w:hint="eastAsia" w:ascii="Times New Roman" w:cs="Times New Roman"/>
          <w:color w:val="auto"/>
          <w:sz w:val="21"/>
          <w:szCs w:val="21"/>
        </w:rPr>
        <w:t>。不认为该种疾病能通过直接传播传染。</w:t>
      </w:r>
    </w:p>
    <w:p w14:paraId="4BD8A362">
      <w:pPr>
        <w:adjustRightInd w:val="0"/>
        <w:snapToGrid w:val="0"/>
        <w:spacing w:line="36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BSE</w:t>
      </w:r>
      <w:r>
        <w:rPr>
          <w:rFonts w:hint="eastAsia" w:ascii="Times New Roman" w:cs="Times New Roman"/>
          <w:color w:val="auto"/>
          <w:sz w:val="21"/>
          <w:szCs w:val="21"/>
        </w:rPr>
        <w:t>为一种分类为传播性脑海绵状病（</w:t>
      </w:r>
      <w:r>
        <w:rPr>
          <w:rFonts w:ascii="Times New Roman" w:hAnsi="Times New Roman" w:cs="Times New Roman"/>
          <w:color w:val="auto"/>
          <w:sz w:val="21"/>
          <w:szCs w:val="21"/>
        </w:rPr>
        <w:t>TSE</w:t>
      </w:r>
      <w:r>
        <w:rPr>
          <w:rFonts w:hint="eastAsia" w:ascii="Times New Roman" w:cs="Times New Roman"/>
          <w:color w:val="auto"/>
          <w:sz w:val="21"/>
          <w:szCs w:val="21"/>
        </w:rPr>
        <w:t>）的神经系统疾病，与其他</w:t>
      </w:r>
      <w:r>
        <w:rPr>
          <w:rFonts w:ascii="Times New Roman" w:hAnsi="Times New Roman" w:cs="Times New Roman"/>
          <w:color w:val="auto"/>
          <w:sz w:val="21"/>
          <w:szCs w:val="21"/>
        </w:rPr>
        <w:t>TSE</w:t>
      </w:r>
      <w:r>
        <w:rPr>
          <w:rFonts w:hint="eastAsia" w:ascii="Times New Roman" w:cs="Times New Roman"/>
          <w:color w:val="auto"/>
          <w:sz w:val="21"/>
          <w:szCs w:val="21"/>
        </w:rPr>
        <w:t>相似，如羊瘙痒病和人克雅病（</w:t>
      </w:r>
      <w:r>
        <w:rPr>
          <w:rFonts w:ascii="Times New Roman" w:hAnsi="Times New Roman" w:cs="Times New Roman"/>
          <w:color w:val="auto"/>
          <w:sz w:val="21"/>
          <w:szCs w:val="21"/>
        </w:rPr>
        <w:t>CJD</w:t>
      </w:r>
      <w:r>
        <w:rPr>
          <w:rFonts w:hint="eastAsia" w:ascii="Times New Roman" w:cs="Times New Roman"/>
          <w:color w:val="auto"/>
          <w:sz w:val="21"/>
          <w:szCs w:val="21"/>
        </w:rPr>
        <w:t>）。它在已有</w:t>
      </w:r>
      <w:r>
        <w:rPr>
          <w:rFonts w:ascii="Times New Roman" w:hAnsi="Times New Roman" w:cs="Times New Roman"/>
          <w:color w:val="auto"/>
          <w:sz w:val="21"/>
          <w:szCs w:val="21"/>
        </w:rPr>
        <w:t>BSE</w:t>
      </w:r>
      <w:r>
        <w:rPr>
          <w:rFonts w:hint="eastAsia" w:ascii="Times New Roman" w:cs="Times New Roman"/>
          <w:color w:val="auto"/>
          <w:sz w:val="21"/>
          <w:szCs w:val="21"/>
        </w:rPr>
        <w:t>存在的国家持续蔓延似乎是通过使用含有来自</w:t>
      </w:r>
      <w:r>
        <w:rPr>
          <w:rFonts w:ascii="Times New Roman" w:hAnsi="Times New Roman" w:cs="Times New Roman"/>
          <w:color w:val="auto"/>
          <w:sz w:val="21"/>
          <w:szCs w:val="21"/>
        </w:rPr>
        <w:t>BSE</w:t>
      </w:r>
      <w:r>
        <w:rPr>
          <w:rFonts w:hint="eastAsia" w:ascii="Times New Roman" w:cs="Times New Roman"/>
          <w:color w:val="auto"/>
          <w:sz w:val="21"/>
          <w:szCs w:val="21"/>
        </w:rPr>
        <w:t>感染的反刍动物的蛋白质和其他产品的饲料而传播。在英国，已知羊瘙痒病与牛</w:t>
      </w:r>
      <w:r>
        <w:rPr>
          <w:rFonts w:ascii="Times New Roman" w:hAnsi="Times New Roman" w:cs="Times New Roman"/>
          <w:color w:val="auto"/>
          <w:sz w:val="21"/>
          <w:szCs w:val="21"/>
        </w:rPr>
        <w:t>BSE</w:t>
      </w:r>
      <w:r>
        <w:rPr>
          <w:rFonts w:hint="eastAsia" w:ascii="Times New Roman" w:cs="Times New Roman"/>
          <w:color w:val="auto"/>
          <w:sz w:val="21"/>
          <w:szCs w:val="21"/>
        </w:rPr>
        <w:t>的发生流行病学上是相关的。已知羊瘙痒病在英国、爱尔兰、法国和德国存在了超过</w:t>
      </w:r>
      <w:r>
        <w:rPr>
          <w:rFonts w:ascii="Times New Roman" w:hAnsi="Times New Roman" w:cs="Times New Roman"/>
          <w:color w:val="auto"/>
          <w:sz w:val="21"/>
          <w:szCs w:val="21"/>
        </w:rPr>
        <w:t>200</w:t>
      </w:r>
      <w:r>
        <w:rPr>
          <w:rFonts w:hint="eastAsia" w:ascii="Times New Roman" w:cs="Times New Roman"/>
          <w:color w:val="auto"/>
          <w:sz w:val="21"/>
          <w:szCs w:val="21"/>
        </w:rPr>
        <w:t>年，且在美国和加拿大发现约有</w:t>
      </w:r>
      <w:r>
        <w:rPr>
          <w:rFonts w:ascii="Times New Roman" w:hAnsi="Times New Roman" w:cs="Times New Roman"/>
          <w:color w:val="auto"/>
          <w:sz w:val="21"/>
          <w:szCs w:val="21"/>
        </w:rPr>
        <w:t>50</w:t>
      </w:r>
      <w:r>
        <w:rPr>
          <w:rFonts w:hint="eastAsia" w:ascii="Times New Roman" w:cs="Times New Roman"/>
          <w:color w:val="auto"/>
          <w:sz w:val="21"/>
          <w:szCs w:val="21"/>
        </w:rPr>
        <w:t>年了。因为</w:t>
      </w:r>
      <w:r>
        <w:rPr>
          <w:rFonts w:ascii="Times New Roman" w:hAnsi="Times New Roman" w:cs="Times New Roman"/>
          <w:color w:val="auto"/>
          <w:sz w:val="21"/>
          <w:szCs w:val="21"/>
        </w:rPr>
        <w:t>FDA</w:t>
      </w:r>
      <w:r>
        <w:rPr>
          <w:rFonts w:hint="eastAsia" w:ascii="Times New Roman" w:cs="Times New Roman"/>
          <w:color w:val="auto"/>
          <w:sz w:val="21"/>
          <w:szCs w:val="21"/>
        </w:rPr>
        <w:t>不能绝对地排除瘙痒病与</w:t>
      </w:r>
      <w:r>
        <w:rPr>
          <w:rFonts w:ascii="Times New Roman" w:hAnsi="Times New Roman" w:cs="Times New Roman"/>
          <w:color w:val="auto"/>
          <w:sz w:val="21"/>
          <w:szCs w:val="21"/>
        </w:rPr>
        <w:t>BSE</w:t>
      </w:r>
      <w:r>
        <w:rPr>
          <w:rFonts w:hint="eastAsia" w:ascii="Times New Roman" w:cs="Times New Roman"/>
          <w:color w:val="auto"/>
          <w:sz w:val="21"/>
          <w:szCs w:val="21"/>
        </w:rPr>
        <w:t>之间的直接联系，</w:t>
      </w:r>
      <w:r>
        <w:rPr>
          <w:rFonts w:ascii="Times New Roman" w:hAnsi="Times New Roman" w:cs="Times New Roman"/>
          <w:color w:val="auto"/>
          <w:sz w:val="21"/>
          <w:szCs w:val="21"/>
        </w:rPr>
        <w:t>FDA</w:t>
      </w:r>
      <w:r>
        <w:rPr>
          <w:rFonts w:hint="eastAsia" w:ascii="Times New Roman" w:cs="Times New Roman"/>
          <w:color w:val="auto"/>
          <w:sz w:val="21"/>
          <w:szCs w:val="21"/>
        </w:rPr>
        <w:t>在关于该问题的联邦公报的另一处提出禁止在反刍动物饲料中使用成年绵阳和山羊的特定内脏。</w:t>
      </w:r>
    </w:p>
    <w:p w14:paraId="6403E7F1">
      <w:pPr>
        <w:adjustRightInd w:val="0"/>
        <w:snapToGrid w:val="0"/>
        <w:spacing w:line="36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CJD</w:t>
      </w:r>
      <w:r>
        <w:rPr>
          <w:rFonts w:hint="eastAsia" w:ascii="Times New Roman" w:cs="Times New Roman"/>
          <w:color w:val="auto"/>
          <w:sz w:val="21"/>
          <w:szCs w:val="21"/>
        </w:rPr>
        <w:t>是一种罕见的人神经系统疾病，与牛</w:t>
      </w:r>
      <w:r>
        <w:rPr>
          <w:rFonts w:ascii="Times New Roman" w:hAnsi="Times New Roman" w:cs="Times New Roman"/>
          <w:color w:val="auto"/>
          <w:sz w:val="21"/>
          <w:szCs w:val="21"/>
        </w:rPr>
        <w:t>BSE</w:t>
      </w:r>
      <w:r>
        <w:rPr>
          <w:rFonts w:hint="eastAsia" w:ascii="Times New Roman" w:cs="Times New Roman"/>
          <w:color w:val="auto"/>
          <w:sz w:val="21"/>
          <w:szCs w:val="21"/>
        </w:rPr>
        <w:t>相似。</w:t>
      </w:r>
      <w:r>
        <w:rPr>
          <w:rFonts w:ascii="Times New Roman" w:hAnsi="Times New Roman" w:cs="Times New Roman"/>
          <w:color w:val="auto"/>
          <w:sz w:val="21"/>
          <w:szCs w:val="21"/>
        </w:rPr>
        <w:t>CJD</w:t>
      </w:r>
      <w:r>
        <w:rPr>
          <w:rFonts w:hint="eastAsia" w:ascii="Times New Roman" w:cs="Times New Roman"/>
          <w:color w:val="auto"/>
          <w:sz w:val="21"/>
          <w:szCs w:val="21"/>
        </w:rPr>
        <w:t>的病因不明，除了在少数特定基因变异病例，和因注射</w:t>
      </w:r>
      <w:r>
        <w:rPr>
          <w:rFonts w:ascii="Times New Roman" w:hAnsi="Times New Roman" w:cs="Times New Roman"/>
          <w:color w:val="auto"/>
          <w:sz w:val="21"/>
          <w:szCs w:val="21"/>
        </w:rPr>
        <w:t>CJD</w:t>
      </w:r>
      <w:r>
        <w:rPr>
          <w:rFonts w:hint="eastAsia" w:ascii="Times New Roman" w:cs="Times New Roman"/>
          <w:color w:val="auto"/>
          <w:sz w:val="21"/>
          <w:szCs w:val="21"/>
        </w:rPr>
        <w:t>污染的生长激素、硬脑膜移植和角膜移植所致的医源性</w:t>
      </w:r>
      <w:r>
        <w:rPr>
          <w:rFonts w:ascii="Times New Roman" w:hAnsi="Times New Roman" w:cs="Times New Roman"/>
          <w:color w:val="auto"/>
          <w:sz w:val="21"/>
          <w:szCs w:val="21"/>
        </w:rPr>
        <w:t>CJD</w:t>
      </w:r>
      <w:r>
        <w:rPr>
          <w:rFonts w:hint="eastAsia" w:ascii="Times New Roman" w:cs="Times New Roman"/>
          <w:color w:val="auto"/>
          <w:sz w:val="21"/>
          <w:szCs w:val="21"/>
        </w:rPr>
        <w:t>。尽管没有直接的证据支持</w:t>
      </w:r>
      <w:r>
        <w:rPr>
          <w:rFonts w:ascii="Times New Roman" w:hAnsi="Times New Roman" w:cs="Times New Roman"/>
          <w:color w:val="auto"/>
          <w:sz w:val="21"/>
          <w:szCs w:val="21"/>
        </w:rPr>
        <w:t>BSE</w:t>
      </w:r>
      <w:r>
        <w:rPr>
          <w:rFonts w:hint="eastAsia" w:ascii="Times New Roman" w:cs="Times New Roman"/>
          <w:color w:val="auto"/>
          <w:sz w:val="21"/>
          <w:szCs w:val="21"/>
        </w:rPr>
        <w:t>和人疾病间的关联，</w:t>
      </w:r>
      <w:r>
        <w:rPr>
          <w:rFonts w:ascii="Times New Roman" w:hAnsi="Times New Roman" w:cs="Times New Roman"/>
          <w:color w:val="auto"/>
          <w:sz w:val="21"/>
          <w:szCs w:val="21"/>
        </w:rPr>
        <w:t>FDA</w:t>
      </w:r>
      <w:r>
        <w:rPr>
          <w:rFonts w:hint="eastAsia" w:ascii="Times New Roman" w:cs="Times New Roman"/>
          <w:color w:val="auto"/>
          <w:sz w:val="21"/>
          <w:szCs w:val="21"/>
        </w:rPr>
        <w:t>相信应谨慎减少任何可能致人暴露于</w:t>
      </w:r>
      <w:r>
        <w:rPr>
          <w:rFonts w:ascii="Times New Roman" w:hAnsi="Times New Roman" w:cs="Times New Roman"/>
          <w:color w:val="auto"/>
          <w:sz w:val="21"/>
          <w:szCs w:val="21"/>
        </w:rPr>
        <w:t>BSE</w:t>
      </w:r>
      <w:r>
        <w:rPr>
          <w:rFonts w:hint="eastAsia" w:ascii="Times New Roman" w:cs="Times New Roman"/>
          <w:color w:val="auto"/>
          <w:sz w:val="21"/>
          <w:szCs w:val="21"/>
        </w:rPr>
        <w:t>病原体的风险。</w:t>
      </w:r>
    </w:p>
    <w:p w14:paraId="69042C5E">
      <w:pPr>
        <w:adjustRightInd w:val="0"/>
        <w:snapToGrid w:val="0"/>
        <w:spacing w:line="360"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发布这四封信函的目的在于，要求来自生长于或源于</w:t>
      </w:r>
      <w:r>
        <w:rPr>
          <w:rFonts w:ascii="Times New Roman" w:hAnsi="Times New Roman" w:cs="Times New Roman"/>
          <w:color w:val="auto"/>
          <w:sz w:val="21"/>
          <w:szCs w:val="21"/>
        </w:rPr>
        <w:t>USDA</w:t>
      </w:r>
      <w:r>
        <w:rPr>
          <w:rFonts w:hint="eastAsia" w:ascii="Times New Roman" w:cs="Times New Roman"/>
          <w:color w:val="auto"/>
          <w:sz w:val="21"/>
          <w:szCs w:val="21"/>
        </w:rPr>
        <w:t>指定</w:t>
      </w:r>
      <w:r>
        <w:rPr>
          <w:rFonts w:ascii="Times New Roman" w:hAnsi="Times New Roman" w:cs="Times New Roman"/>
          <w:color w:val="auto"/>
          <w:sz w:val="21"/>
          <w:szCs w:val="21"/>
        </w:rPr>
        <w:t>BSE</w:t>
      </w:r>
      <w:r>
        <w:rPr>
          <w:rFonts w:hint="eastAsia" w:ascii="Times New Roman" w:cs="Times New Roman"/>
          <w:color w:val="auto"/>
          <w:sz w:val="21"/>
          <w:szCs w:val="21"/>
        </w:rPr>
        <w:t>国家的牛源材料不得用于人用或动物用</w:t>
      </w:r>
      <w:r>
        <w:rPr>
          <w:rFonts w:ascii="Times New Roman" w:hAnsi="Times New Roman" w:cs="Times New Roman"/>
          <w:color w:val="auto"/>
          <w:sz w:val="21"/>
          <w:szCs w:val="21"/>
        </w:rPr>
        <w:t>FDA</w:t>
      </w:r>
      <w:r>
        <w:rPr>
          <w:rFonts w:hint="eastAsia" w:ascii="Times New Roman" w:cs="Times New Roman"/>
          <w:color w:val="auto"/>
          <w:sz w:val="21"/>
          <w:szCs w:val="21"/>
        </w:rPr>
        <w:t>监管产品的生产。肉（即，骨骼肌）并不包括在这些信函中。有关肉和其他</w:t>
      </w:r>
      <w:r>
        <w:rPr>
          <w:rFonts w:ascii="Times New Roman" w:hAnsi="Times New Roman" w:cs="Times New Roman"/>
          <w:color w:val="auto"/>
          <w:sz w:val="21"/>
          <w:szCs w:val="21"/>
        </w:rPr>
        <w:t>USDA</w:t>
      </w:r>
      <w:r>
        <w:rPr>
          <w:rFonts w:hint="eastAsia" w:ascii="Times New Roman" w:cs="Times New Roman"/>
          <w:color w:val="auto"/>
          <w:sz w:val="21"/>
          <w:szCs w:val="21"/>
        </w:rPr>
        <w:t>监管产品的进口问题，参阅美国联邦法规第</w:t>
      </w:r>
      <w:r>
        <w:rPr>
          <w:rFonts w:ascii="Times New Roman" w:hAnsi="Times New Roman" w:cs="Times New Roman"/>
          <w:color w:val="auto"/>
          <w:sz w:val="21"/>
          <w:szCs w:val="21"/>
        </w:rPr>
        <w:t>9</w:t>
      </w:r>
      <w:r>
        <w:rPr>
          <w:rFonts w:hint="eastAsia" w:ascii="Times New Roman" w:cs="Times New Roman"/>
          <w:color w:val="auto"/>
          <w:sz w:val="21"/>
          <w:szCs w:val="21"/>
        </w:rPr>
        <w:t>篇。</w:t>
      </w:r>
    </w:p>
    <w:p w14:paraId="02D68D5C">
      <w:pPr>
        <w:adjustRightInd w:val="0"/>
        <w:snapToGrid w:val="0"/>
        <w:spacing w:line="36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1992</w:t>
      </w:r>
      <w:r>
        <w:rPr>
          <w:rFonts w:hint="eastAsia" w:ascii="Times New Roman" w:cs="Times New Roman"/>
          <w:color w:val="auto"/>
          <w:sz w:val="21"/>
          <w:szCs w:val="21"/>
        </w:rPr>
        <w:t>年</w:t>
      </w:r>
      <w:r>
        <w:rPr>
          <w:rFonts w:ascii="Times New Roman" w:hAnsi="Times New Roman" w:cs="Times New Roman"/>
          <w:color w:val="auto"/>
          <w:sz w:val="21"/>
          <w:szCs w:val="21"/>
        </w:rPr>
        <w:t>11</w:t>
      </w:r>
      <w:r>
        <w:rPr>
          <w:rFonts w:hint="eastAsia" w:ascii="Times New Roman" w:cs="Times New Roman"/>
          <w:color w:val="auto"/>
          <w:sz w:val="21"/>
          <w:szCs w:val="21"/>
        </w:rPr>
        <w:t>月</w:t>
      </w:r>
      <w:r>
        <w:rPr>
          <w:rFonts w:ascii="Times New Roman" w:hAnsi="Times New Roman" w:cs="Times New Roman"/>
          <w:color w:val="auto"/>
          <w:sz w:val="21"/>
          <w:szCs w:val="21"/>
        </w:rPr>
        <w:t>9</w:t>
      </w:r>
      <w:r>
        <w:rPr>
          <w:rFonts w:hint="eastAsia" w:ascii="Times New Roman" w:cs="Times New Roman"/>
          <w:color w:val="auto"/>
          <w:sz w:val="21"/>
          <w:szCs w:val="21"/>
        </w:rPr>
        <w:t>日致给膳食补充剂生产商的信函正文如下：</w:t>
      </w:r>
    </w:p>
    <w:p w14:paraId="38A94A81">
      <w:pPr>
        <w:adjustRightInd w:val="0"/>
        <w:snapToGrid w:val="0"/>
        <w:spacing w:line="36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1992</w:t>
      </w:r>
      <w:r>
        <w:rPr>
          <w:rFonts w:hint="eastAsia" w:ascii="Times New Roman" w:cs="Times New Roman"/>
          <w:color w:val="auto"/>
          <w:sz w:val="21"/>
          <w:szCs w:val="21"/>
        </w:rPr>
        <w:t>年</w:t>
      </w:r>
      <w:r>
        <w:rPr>
          <w:rFonts w:ascii="Times New Roman" w:hAnsi="Times New Roman" w:cs="Times New Roman"/>
          <w:color w:val="auto"/>
          <w:sz w:val="21"/>
          <w:szCs w:val="21"/>
        </w:rPr>
        <w:t>11</w:t>
      </w:r>
      <w:r>
        <w:rPr>
          <w:rFonts w:hint="eastAsia" w:ascii="Times New Roman" w:cs="Times New Roman"/>
          <w:color w:val="auto"/>
          <w:sz w:val="21"/>
          <w:szCs w:val="21"/>
        </w:rPr>
        <w:t>月</w:t>
      </w:r>
      <w:r>
        <w:rPr>
          <w:rFonts w:ascii="Times New Roman" w:hAnsi="Times New Roman" w:cs="Times New Roman"/>
          <w:color w:val="auto"/>
          <w:sz w:val="21"/>
          <w:szCs w:val="21"/>
        </w:rPr>
        <w:t>9</w:t>
      </w:r>
      <w:r>
        <w:rPr>
          <w:rFonts w:hint="eastAsia" w:ascii="Times New Roman" w:cs="Times New Roman"/>
          <w:color w:val="auto"/>
          <w:sz w:val="21"/>
          <w:szCs w:val="21"/>
        </w:rPr>
        <w:t>日</w:t>
      </w:r>
    </w:p>
    <w:p w14:paraId="148F30DE">
      <w:pPr>
        <w:adjustRightInd w:val="0"/>
        <w:snapToGrid w:val="0"/>
        <w:spacing w:line="360"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亲爱的膳食补充剂产商：</w:t>
      </w:r>
    </w:p>
    <w:p w14:paraId="24E36BF6">
      <w:pPr>
        <w:adjustRightInd w:val="0"/>
        <w:snapToGrid w:val="0"/>
        <w:spacing w:line="360"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在近来的一系列会议中，膳食补充剂行业的代表们建议，如果</w:t>
      </w:r>
      <w:r>
        <w:rPr>
          <w:rFonts w:ascii="Times New Roman" w:hAnsi="Times New Roman" w:cs="Times New Roman"/>
          <w:color w:val="auto"/>
          <w:sz w:val="21"/>
          <w:szCs w:val="21"/>
        </w:rPr>
        <w:t>FDA</w:t>
      </w:r>
      <w:r>
        <w:rPr>
          <w:rFonts w:hint="eastAsia" w:ascii="Times New Roman" w:cs="Times New Roman"/>
          <w:color w:val="auto"/>
          <w:sz w:val="21"/>
          <w:szCs w:val="21"/>
        </w:rPr>
        <w:t>关注膳食补充剂产品，应直接与该行业交流其关注的问题。我们同意这是一个合理和合适的建议。因此，我希望能给</w:t>
      </w:r>
      <w:r>
        <w:rPr>
          <w:rFonts w:ascii="Times New Roman" w:hAnsi="Times New Roman" w:cs="Times New Roman"/>
          <w:color w:val="auto"/>
          <w:sz w:val="21"/>
          <w:szCs w:val="21"/>
        </w:rPr>
        <w:t>FDA</w:t>
      </w:r>
      <w:r>
        <w:rPr>
          <w:rFonts w:hint="eastAsia" w:ascii="Times New Roman" w:cs="Times New Roman"/>
          <w:color w:val="auto"/>
          <w:sz w:val="21"/>
          <w:szCs w:val="21"/>
        </w:rPr>
        <w:t>获得您的关注增加一些重要性。我想与您分享</w:t>
      </w:r>
      <w:r>
        <w:rPr>
          <w:rFonts w:ascii="Times New Roman" w:hAnsi="Times New Roman" w:cs="Times New Roman"/>
          <w:color w:val="auto"/>
          <w:sz w:val="21"/>
          <w:szCs w:val="21"/>
        </w:rPr>
        <w:t>FDA</w:t>
      </w:r>
      <w:r>
        <w:rPr>
          <w:rFonts w:hint="eastAsia" w:ascii="Times New Roman" w:cs="Times New Roman"/>
          <w:color w:val="auto"/>
          <w:sz w:val="21"/>
          <w:szCs w:val="21"/>
        </w:rPr>
        <w:t>对某些营养补充剂市场的关注。我们已经意识到一些补充剂中含有来自多种动物物种的脑、神经组织或腺体物质，包括牛（公牛，牛）和绵羊（羊）等品种。我们担心其中某些这种材料可能来自正在经历牛海绵状脑病（</w:t>
      </w:r>
      <w:r>
        <w:rPr>
          <w:rFonts w:ascii="Times New Roman" w:hAnsi="Times New Roman" w:cs="Times New Roman"/>
          <w:color w:val="auto"/>
          <w:sz w:val="21"/>
          <w:szCs w:val="21"/>
        </w:rPr>
        <w:t>BSE</w:t>
      </w:r>
      <w:r>
        <w:rPr>
          <w:rFonts w:hint="eastAsia" w:ascii="Times New Roman" w:cs="Times New Roman"/>
          <w:color w:val="auto"/>
          <w:sz w:val="21"/>
          <w:szCs w:val="21"/>
        </w:rPr>
        <w:t>）国家的牛组织或感染了瘙痒病的羊组织。</w:t>
      </w:r>
    </w:p>
    <w:p w14:paraId="2041071D">
      <w:pPr>
        <w:adjustRightInd w:val="0"/>
        <w:snapToGrid w:val="0"/>
        <w:spacing w:line="36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hint="eastAsia" w:ascii="Times New Roman" w:cs="Times New Roman"/>
          <w:color w:val="auto"/>
          <w:sz w:val="21"/>
          <w:szCs w:val="21"/>
        </w:rPr>
        <w:t>您可能知道，</w:t>
      </w:r>
      <w:r>
        <w:rPr>
          <w:rFonts w:ascii="Times New Roman" w:hAnsi="Times New Roman" w:cs="Times New Roman"/>
          <w:color w:val="auto"/>
          <w:sz w:val="21"/>
          <w:szCs w:val="21"/>
        </w:rPr>
        <w:t>BSE</w:t>
      </w:r>
      <w:r>
        <w:rPr>
          <w:rFonts w:hint="eastAsia" w:ascii="Times New Roman" w:cs="Times New Roman"/>
          <w:color w:val="auto"/>
          <w:sz w:val="21"/>
          <w:szCs w:val="21"/>
        </w:rPr>
        <w:t>为一种牛感染性神经系统疾病，在世界的某些地区流行（</w:t>
      </w:r>
      <w:r>
        <w:rPr>
          <w:rFonts w:ascii="Times New Roman" w:hAnsi="Times New Roman" w:cs="Times New Roman"/>
          <w:color w:val="auto"/>
          <w:sz w:val="21"/>
          <w:szCs w:val="21"/>
        </w:rPr>
        <w:t>“BSE</w:t>
      </w:r>
      <w:r>
        <w:rPr>
          <w:rFonts w:hint="eastAsia" w:ascii="Times New Roman" w:cs="Times New Roman"/>
          <w:color w:val="auto"/>
          <w:sz w:val="21"/>
          <w:szCs w:val="21"/>
        </w:rPr>
        <w:t>国家</w:t>
      </w:r>
      <w:r>
        <w:rPr>
          <w:rFonts w:ascii="Times New Roman" w:hAnsi="Times New Roman" w:cs="Times New Roman"/>
          <w:color w:val="auto"/>
          <w:sz w:val="21"/>
          <w:szCs w:val="21"/>
        </w:rPr>
        <w:t>”</w:t>
      </w:r>
      <w:r>
        <w:rPr>
          <w:rFonts w:hint="eastAsia" w:ascii="Times New Roman" w:cs="Times New Roman"/>
          <w:color w:val="auto"/>
          <w:sz w:val="21"/>
          <w:szCs w:val="21"/>
        </w:rPr>
        <w:t>）。瘙痒病是羊的一种海绵状脑病，是一种在世界多个地区流行的疾病，包括美国。目前认为英国动物间</w:t>
      </w:r>
      <w:r>
        <w:rPr>
          <w:rFonts w:ascii="Times New Roman" w:hAnsi="Times New Roman" w:cs="Times New Roman"/>
          <w:color w:val="auto"/>
          <w:sz w:val="21"/>
          <w:szCs w:val="21"/>
        </w:rPr>
        <w:t>BSE</w:t>
      </w:r>
      <w:r>
        <w:rPr>
          <w:rFonts w:hint="eastAsia" w:ascii="Times New Roman" w:cs="Times New Roman"/>
          <w:color w:val="auto"/>
          <w:sz w:val="21"/>
          <w:szCs w:val="21"/>
        </w:rPr>
        <w:t>的快速传播是由不恰当地处理、以瘙痒病病原体污染的物质喂养牛所致的。因此，这表明</w:t>
      </w:r>
      <w:r>
        <w:rPr>
          <w:rFonts w:ascii="Times New Roman" w:hAnsi="Times New Roman" w:cs="Times New Roman"/>
          <w:color w:val="auto"/>
          <w:sz w:val="21"/>
          <w:szCs w:val="21"/>
        </w:rPr>
        <w:t>BSE</w:t>
      </w:r>
      <w:r>
        <w:rPr>
          <w:rFonts w:hint="eastAsia" w:ascii="Times New Roman" w:cs="Times New Roman"/>
          <w:color w:val="auto"/>
          <w:sz w:val="21"/>
          <w:szCs w:val="21"/>
        </w:rPr>
        <w:t>是一种瘙痒病在牛的临床表现。并进一步表明牛经口</w:t>
      </w:r>
      <w:r>
        <w:rPr>
          <w:rFonts w:ascii="Times New Roman" w:hAnsi="Times New Roman" w:cs="Times New Roman"/>
          <w:color w:val="auto"/>
          <w:sz w:val="21"/>
          <w:szCs w:val="21"/>
        </w:rPr>
        <w:t>-</w:t>
      </w:r>
      <w:r>
        <w:rPr>
          <w:rFonts w:hint="eastAsia" w:ascii="Times New Roman" w:cs="Times New Roman"/>
          <w:color w:val="auto"/>
          <w:sz w:val="21"/>
          <w:szCs w:val="21"/>
        </w:rPr>
        <w:t>胃途径感染。瘙痒病和</w:t>
      </w:r>
      <w:r>
        <w:rPr>
          <w:rFonts w:ascii="Times New Roman" w:hAnsi="Times New Roman" w:cs="Times New Roman"/>
          <w:color w:val="auto"/>
          <w:sz w:val="21"/>
          <w:szCs w:val="21"/>
        </w:rPr>
        <w:t>BSE</w:t>
      </w:r>
      <w:r>
        <w:rPr>
          <w:rFonts w:hint="eastAsia" w:ascii="Times New Roman" w:cs="Times New Roman"/>
          <w:color w:val="auto"/>
          <w:sz w:val="21"/>
          <w:szCs w:val="21"/>
        </w:rPr>
        <w:t>均被归类为传播性海绵状脑病。病原体仍未知，但怀疑是一种有多种名称如</w:t>
      </w:r>
      <w:r>
        <w:rPr>
          <w:rFonts w:ascii="Times New Roman" w:hAnsi="Times New Roman" w:cs="Times New Roman"/>
          <w:color w:val="auto"/>
          <w:sz w:val="21"/>
          <w:szCs w:val="21"/>
        </w:rPr>
        <w:t>“</w:t>
      </w:r>
      <w:r>
        <w:rPr>
          <w:rFonts w:hint="eastAsia" w:ascii="Times New Roman" w:cs="Times New Roman"/>
          <w:color w:val="auto"/>
          <w:sz w:val="21"/>
          <w:szCs w:val="21"/>
        </w:rPr>
        <w:t>朊病毒</w:t>
      </w:r>
      <w:r>
        <w:rPr>
          <w:rFonts w:ascii="Times New Roman" w:hAnsi="Times New Roman" w:cs="Times New Roman"/>
          <w:color w:val="auto"/>
          <w:sz w:val="21"/>
          <w:szCs w:val="21"/>
        </w:rPr>
        <w:t>”</w:t>
      </w:r>
      <w:r>
        <w:rPr>
          <w:rFonts w:hint="eastAsia" w:ascii="Times New Roman" w:cs="Times New Roman"/>
          <w:color w:val="auto"/>
          <w:sz w:val="21"/>
          <w:szCs w:val="21"/>
        </w:rPr>
        <w:t>、</w:t>
      </w:r>
      <w:r>
        <w:rPr>
          <w:rFonts w:ascii="Times New Roman" w:hAnsi="Times New Roman" w:cs="Times New Roman"/>
          <w:color w:val="auto"/>
          <w:sz w:val="21"/>
          <w:szCs w:val="21"/>
        </w:rPr>
        <w:t>“</w:t>
      </w:r>
      <w:r>
        <w:rPr>
          <w:rFonts w:hint="eastAsia" w:ascii="Times New Roman" w:cs="Times New Roman"/>
          <w:color w:val="auto"/>
          <w:sz w:val="21"/>
          <w:szCs w:val="21"/>
        </w:rPr>
        <w:t>非传统病毒</w:t>
      </w:r>
      <w:r>
        <w:rPr>
          <w:rFonts w:ascii="Times New Roman" w:hAnsi="Times New Roman" w:cs="Times New Roman"/>
          <w:color w:val="auto"/>
          <w:sz w:val="21"/>
          <w:szCs w:val="21"/>
        </w:rPr>
        <w:t>”</w:t>
      </w:r>
      <w:r>
        <w:rPr>
          <w:rFonts w:hint="eastAsia" w:ascii="Times New Roman" w:cs="Times New Roman"/>
          <w:color w:val="auto"/>
          <w:sz w:val="21"/>
          <w:szCs w:val="21"/>
        </w:rPr>
        <w:t>或</w:t>
      </w:r>
      <w:r>
        <w:rPr>
          <w:rFonts w:ascii="Times New Roman" w:hAnsi="Times New Roman" w:cs="Times New Roman"/>
          <w:color w:val="auto"/>
          <w:sz w:val="21"/>
          <w:szCs w:val="21"/>
        </w:rPr>
        <w:t>“</w:t>
      </w:r>
      <w:r>
        <w:rPr>
          <w:rFonts w:hint="eastAsia" w:ascii="Times New Roman" w:cs="Times New Roman"/>
          <w:color w:val="auto"/>
          <w:sz w:val="21"/>
          <w:szCs w:val="21"/>
        </w:rPr>
        <w:t>慢病毒</w:t>
      </w:r>
      <w:r>
        <w:rPr>
          <w:rFonts w:ascii="Times New Roman" w:hAnsi="Times New Roman" w:cs="Times New Roman"/>
          <w:color w:val="auto"/>
          <w:sz w:val="21"/>
          <w:szCs w:val="21"/>
        </w:rPr>
        <w:t>”</w:t>
      </w:r>
      <w:r>
        <w:rPr>
          <w:rFonts w:hint="eastAsia" w:ascii="Times New Roman" w:cs="Times New Roman"/>
          <w:color w:val="auto"/>
          <w:sz w:val="21"/>
          <w:szCs w:val="21"/>
        </w:rPr>
        <w:t>的病原体。这些病原体可在物种间交叉感染，并感染灵长类动物，并已反复在实验研究中得到证实。</w:t>
      </w:r>
    </w:p>
    <w:p w14:paraId="1DB230DF">
      <w:pPr>
        <w:adjustRightInd w:val="0"/>
        <w:snapToGrid w:val="0"/>
        <w:spacing w:line="360"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尽管病例很罕见，脑海绵状病可使人致病，最显著的是克雅氏病（</w:t>
      </w:r>
      <w:r>
        <w:rPr>
          <w:rFonts w:ascii="Times New Roman" w:hAnsi="Times New Roman" w:cs="Times New Roman"/>
          <w:color w:val="auto"/>
          <w:sz w:val="21"/>
          <w:szCs w:val="21"/>
        </w:rPr>
        <w:t>CJD</w:t>
      </w:r>
      <w:r>
        <w:rPr>
          <w:rFonts w:hint="eastAsia" w:ascii="Times New Roman" w:cs="Times New Roman"/>
          <w:color w:val="auto"/>
          <w:sz w:val="21"/>
          <w:szCs w:val="21"/>
        </w:rPr>
        <w:t>）。</w:t>
      </w:r>
      <w:r>
        <w:rPr>
          <w:rFonts w:ascii="Times New Roman" w:hAnsi="Times New Roman" w:cs="Times New Roman"/>
          <w:color w:val="auto"/>
          <w:sz w:val="21"/>
          <w:szCs w:val="21"/>
        </w:rPr>
        <w:t>CJD</w:t>
      </w:r>
      <w:r>
        <w:rPr>
          <w:rFonts w:hint="eastAsia" w:ascii="Times New Roman" w:cs="Times New Roman"/>
          <w:color w:val="auto"/>
          <w:sz w:val="21"/>
          <w:szCs w:val="21"/>
        </w:rPr>
        <w:t>是一种罕见的疾病，其发病率约为</w:t>
      </w:r>
      <w:r>
        <w:rPr>
          <w:rFonts w:ascii="Times New Roman" w:hAnsi="Times New Roman" w:cs="Times New Roman"/>
          <w:color w:val="auto"/>
          <w:sz w:val="21"/>
          <w:szCs w:val="21"/>
        </w:rPr>
        <w:t>1/1,000,000</w:t>
      </w:r>
      <w:r>
        <w:rPr>
          <w:rFonts w:hint="eastAsia" w:ascii="Times New Roman" w:cs="Times New Roman"/>
          <w:color w:val="auto"/>
          <w:sz w:val="21"/>
          <w:szCs w:val="21"/>
        </w:rPr>
        <w:t>。</w:t>
      </w:r>
      <w:r>
        <w:rPr>
          <w:rFonts w:ascii="Times New Roman" w:hAnsi="Times New Roman" w:cs="Times New Roman"/>
          <w:color w:val="auto"/>
          <w:sz w:val="21"/>
          <w:szCs w:val="21"/>
        </w:rPr>
        <w:t>100%</w:t>
      </w:r>
      <w:r>
        <w:rPr>
          <w:rFonts w:hint="eastAsia" w:ascii="Times New Roman" w:cs="Times New Roman"/>
          <w:color w:val="auto"/>
          <w:sz w:val="21"/>
          <w:szCs w:val="21"/>
        </w:rPr>
        <w:t>致死。文献报道其通过口</w:t>
      </w:r>
      <w:r>
        <w:rPr>
          <w:rFonts w:ascii="Times New Roman" w:hAnsi="Times New Roman" w:cs="Times New Roman"/>
          <w:color w:val="auto"/>
          <w:sz w:val="21"/>
          <w:szCs w:val="21"/>
        </w:rPr>
        <w:t>-</w:t>
      </w:r>
      <w:r>
        <w:rPr>
          <w:rFonts w:hint="eastAsia" w:ascii="Times New Roman" w:cs="Times New Roman"/>
          <w:color w:val="auto"/>
          <w:sz w:val="21"/>
          <w:szCs w:val="21"/>
        </w:rPr>
        <w:t>胃途径（如，污染的神经外科手术器械，角膜和硬脑膜移植物，人生长激素注射剂）实现人</w:t>
      </w:r>
      <w:r>
        <w:rPr>
          <w:rFonts w:ascii="Times New Roman" w:hAnsi="Times New Roman" w:cs="Times New Roman"/>
          <w:color w:val="auto"/>
          <w:sz w:val="21"/>
          <w:szCs w:val="21"/>
        </w:rPr>
        <w:t>-</w:t>
      </w:r>
      <w:r>
        <w:rPr>
          <w:rFonts w:hint="eastAsia" w:ascii="Times New Roman" w:cs="Times New Roman"/>
          <w:color w:val="auto"/>
          <w:sz w:val="21"/>
          <w:szCs w:val="21"/>
        </w:rPr>
        <w:t>人传播。而由动物向人传播脑海绵状病病原体可能是由人近视来自不同动物的脑，如松鼠、山羊、羊和猪，以及近视羊眼球，这在过去均有出现过。</w:t>
      </w:r>
      <w:r>
        <w:rPr>
          <w:rFonts w:ascii="Times New Roman" w:hAnsi="Times New Roman" w:cs="Times New Roman"/>
          <w:color w:val="auto"/>
          <w:sz w:val="21"/>
          <w:szCs w:val="21"/>
        </w:rPr>
        <w:br w:type="textWrapping"/>
      </w:r>
      <w:r>
        <w:rPr>
          <w:rFonts w:hint="eastAsia" w:ascii="Times New Roman" w:cs="Times New Roman"/>
          <w:color w:val="auto"/>
          <w:sz w:val="21"/>
          <w:szCs w:val="21"/>
        </w:rPr>
        <w:t>尽管缺乏这种饮食传播的证据，但是一直存在这样的怀疑。疾病的罕见发病率，再加上据信的长发病时间（中位时间</w:t>
      </w:r>
      <w:r>
        <w:rPr>
          <w:rFonts w:ascii="Times New Roman" w:hAnsi="Times New Roman" w:cs="Times New Roman"/>
          <w:color w:val="auto"/>
          <w:sz w:val="21"/>
          <w:szCs w:val="21"/>
        </w:rPr>
        <w:t>-13</w:t>
      </w:r>
      <w:r>
        <w:rPr>
          <w:rFonts w:hint="eastAsia" w:ascii="Times New Roman" w:cs="Times New Roman"/>
          <w:color w:val="auto"/>
          <w:sz w:val="21"/>
          <w:szCs w:val="21"/>
        </w:rPr>
        <w:t>年），使得更精确的流行病学研究变得极度困难。此外，有些人可能有一定的遗传性或其他易感性。</w:t>
      </w:r>
    </w:p>
    <w:p w14:paraId="77046E5B">
      <w:pPr>
        <w:adjustRightInd w:val="0"/>
        <w:snapToGrid w:val="0"/>
        <w:spacing w:line="360"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近来</w:t>
      </w:r>
      <w:r>
        <w:rPr>
          <w:rFonts w:ascii="Times New Roman" w:hAnsi="Times New Roman" w:cs="Times New Roman"/>
          <w:color w:val="auto"/>
          <w:sz w:val="21"/>
          <w:szCs w:val="21"/>
        </w:rPr>
        <w:t>FDA</w:t>
      </w:r>
      <w:r>
        <w:rPr>
          <w:rFonts w:hint="eastAsia" w:ascii="Times New Roman" w:cs="Times New Roman"/>
          <w:color w:val="auto"/>
          <w:sz w:val="21"/>
          <w:szCs w:val="21"/>
        </w:rPr>
        <w:t>已经开始将调查消费者诉求包含在确诊</w:t>
      </w:r>
      <w:r>
        <w:rPr>
          <w:rFonts w:ascii="Times New Roman" w:hAnsi="Times New Roman" w:cs="Times New Roman"/>
          <w:color w:val="auto"/>
          <w:sz w:val="21"/>
          <w:szCs w:val="21"/>
        </w:rPr>
        <w:t>CJD</w:t>
      </w:r>
      <w:r>
        <w:rPr>
          <w:rFonts w:hint="eastAsia" w:ascii="Times New Roman" w:cs="Times New Roman"/>
          <w:color w:val="auto"/>
          <w:sz w:val="21"/>
          <w:szCs w:val="21"/>
        </w:rPr>
        <w:t>病例中。对于</w:t>
      </w:r>
      <w:r>
        <w:rPr>
          <w:rFonts w:ascii="Times New Roman" w:hAnsi="Times New Roman" w:cs="Times New Roman"/>
          <w:color w:val="auto"/>
          <w:sz w:val="21"/>
          <w:szCs w:val="21"/>
        </w:rPr>
        <w:t>FDA</w:t>
      </w:r>
      <w:r>
        <w:rPr>
          <w:rFonts w:hint="eastAsia" w:ascii="Times New Roman" w:cs="Times New Roman"/>
          <w:color w:val="auto"/>
          <w:sz w:val="21"/>
          <w:szCs w:val="21"/>
        </w:rPr>
        <w:t>来说，随访所有消费者诉求（包括死亡或严重伤残）是标准程序。在这一调查过程中，</w:t>
      </w:r>
      <w:r>
        <w:rPr>
          <w:rFonts w:ascii="Times New Roman" w:hAnsi="Times New Roman" w:cs="Times New Roman"/>
          <w:color w:val="auto"/>
          <w:sz w:val="21"/>
          <w:szCs w:val="21"/>
        </w:rPr>
        <w:t>FDA</w:t>
      </w:r>
      <w:r>
        <w:rPr>
          <w:rFonts w:hint="eastAsia" w:ascii="Times New Roman" w:cs="Times New Roman"/>
          <w:color w:val="auto"/>
          <w:sz w:val="21"/>
          <w:szCs w:val="21"/>
        </w:rPr>
        <w:t>发现女性有食用含牛组织的膳食补充品史。尽管目前没有任何基础能得出这种营养品能导致这种病的结论，</w:t>
      </w:r>
      <w:r>
        <w:rPr>
          <w:rFonts w:ascii="Times New Roman" w:hAnsi="Times New Roman" w:cs="Times New Roman"/>
          <w:color w:val="auto"/>
          <w:sz w:val="21"/>
          <w:szCs w:val="21"/>
        </w:rPr>
        <w:t>FDA</w:t>
      </w:r>
      <w:r>
        <w:rPr>
          <w:rFonts w:hint="eastAsia" w:ascii="Times New Roman" w:cs="Times New Roman"/>
          <w:color w:val="auto"/>
          <w:sz w:val="21"/>
          <w:szCs w:val="21"/>
        </w:rPr>
        <w:t>和</w:t>
      </w:r>
      <w:r>
        <w:rPr>
          <w:rFonts w:ascii="Times New Roman" w:hAnsi="Times New Roman" w:cs="Times New Roman"/>
          <w:color w:val="auto"/>
          <w:sz w:val="21"/>
          <w:szCs w:val="21"/>
        </w:rPr>
        <w:t>NIH</w:t>
      </w:r>
      <w:r>
        <w:rPr>
          <w:rFonts w:hint="eastAsia" w:ascii="Times New Roman" w:cs="Times New Roman"/>
          <w:color w:val="auto"/>
          <w:sz w:val="21"/>
          <w:szCs w:val="21"/>
        </w:rPr>
        <w:t>还是决定谨慎的做法是进一步调查此事。因此，这两个机构已经开始进行合作研究以确定含有牛和羊脑、神经组织或腺体成分的营养补充剂是否可能与人脑海绵状病有联系。</w:t>
      </w:r>
    </w:p>
    <w:p w14:paraId="4A7A5D9C">
      <w:pPr>
        <w:adjustRightInd w:val="0"/>
        <w:snapToGrid w:val="0"/>
        <w:spacing w:line="360"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在</w:t>
      </w:r>
      <w:r>
        <w:rPr>
          <w:rFonts w:ascii="Times New Roman" w:hAnsi="Times New Roman" w:cs="Times New Roman"/>
          <w:color w:val="auto"/>
          <w:sz w:val="21"/>
          <w:szCs w:val="21"/>
        </w:rPr>
        <w:t>1991</w:t>
      </w:r>
      <w:r>
        <w:rPr>
          <w:rFonts w:hint="eastAsia" w:ascii="Times New Roman" w:cs="Times New Roman"/>
          <w:color w:val="auto"/>
          <w:sz w:val="21"/>
          <w:szCs w:val="21"/>
        </w:rPr>
        <w:t>年，美国农业部颁布了一项规定（</w:t>
      </w:r>
      <w:r>
        <w:rPr>
          <w:rFonts w:ascii="Times New Roman" w:hAnsi="Times New Roman" w:cs="Times New Roman"/>
          <w:color w:val="auto"/>
          <w:sz w:val="21"/>
          <w:szCs w:val="21"/>
        </w:rPr>
        <w:t>9 CFR 95.4</w:t>
      </w:r>
      <w:r>
        <w:rPr>
          <w:rFonts w:hint="eastAsia" w:ascii="Times New Roman" w:cs="Times New Roman"/>
          <w:color w:val="auto"/>
          <w:sz w:val="21"/>
          <w:szCs w:val="21"/>
        </w:rPr>
        <w:t>），这一规定禁止从有</w:t>
      </w:r>
      <w:r>
        <w:rPr>
          <w:rFonts w:ascii="Times New Roman" w:hAnsi="Times New Roman" w:cs="Times New Roman"/>
          <w:color w:val="auto"/>
          <w:sz w:val="21"/>
          <w:szCs w:val="21"/>
        </w:rPr>
        <w:t>BSE</w:t>
      </w:r>
      <w:r>
        <w:rPr>
          <w:rFonts w:hint="eastAsia" w:ascii="Times New Roman" w:cs="Times New Roman"/>
          <w:color w:val="auto"/>
          <w:sz w:val="21"/>
          <w:szCs w:val="21"/>
        </w:rPr>
        <w:t>存在的国家进口反刍动物的多种组织和器官。对于瘙痒病的类似禁令已经实施了多年。这些规定的原则是</w:t>
      </w:r>
      <w:r>
        <w:rPr>
          <w:rFonts w:ascii="Times New Roman" w:hAnsi="Times New Roman" w:cs="Times New Roman"/>
          <w:color w:val="auto"/>
          <w:sz w:val="21"/>
          <w:szCs w:val="21"/>
        </w:rPr>
        <w:t>BSE-</w:t>
      </w:r>
      <w:r>
        <w:rPr>
          <w:rFonts w:hint="eastAsia" w:ascii="Times New Roman" w:cs="Times New Roman"/>
          <w:color w:val="auto"/>
          <w:sz w:val="21"/>
          <w:szCs w:val="21"/>
        </w:rPr>
        <w:t>或瘙痒病</w:t>
      </w:r>
      <w:r>
        <w:rPr>
          <w:rFonts w:ascii="Times New Roman" w:hAnsi="Times New Roman" w:cs="Times New Roman"/>
          <w:color w:val="auto"/>
          <w:sz w:val="21"/>
          <w:szCs w:val="21"/>
        </w:rPr>
        <w:t>-</w:t>
      </w:r>
      <w:r>
        <w:rPr>
          <w:rFonts w:hint="eastAsia" w:ascii="Times New Roman" w:cs="Times New Roman"/>
          <w:color w:val="auto"/>
          <w:sz w:val="21"/>
          <w:szCs w:val="21"/>
        </w:rPr>
        <w:t>污染的材料可能会使美国的羊或牛致病。然而，</w:t>
      </w:r>
      <w:r>
        <w:rPr>
          <w:rFonts w:ascii="Times New Roman" w:hAnsi="Times New Roman" w:cs="Times New Roman"/>
          <w:color w:val="auto"/>
          <w:sz w:val="21"/>
          <w:szCs w:val="21"/>
        </w:rPr>
        <w:t>FDA</w:t>
      </w:r>
      <w:r>
        <w:rPr>
          <w:rFonts w:hint="eastAsia" w:ascii="Times New Roman" w:cs="Times New Roman"/>
          <w:color w:val="auto"/>
          <w:sz w:val="21"/>
          <w:szCs w:val="21"/>
        </w:rPr>
        <w:t>认为，</w:t>
      </w:r>
      <w:r>
        <w:rPr>
          <w:rFonts w:ascii="Times New Roman" w:hAnsi="Times New Roman" w:cs="Times New Roman"/>
          <w:color w:val="auto"/>
          <w:sz w:val="21"/>
          <w:szCs w:val="21"/>
        </w:rPr>
        <w:t>USDA</w:t>
      </w:r>
      <w:r>
        <w:rPr>
          <w:rFonts w:hint="eastAsia" w:ascii="Times New Roman" w:cs="Times New Roman"/>
          <w:color w:val="auto"/>
          <w:sz w:val="21"/>
          <w:szCs w:val="21"/>
        </w:rPr>
        <w:t>的这些规定中所体现的原则，是为组织、器官、腺体和从这些物品加工提取以用于人类食品确定了一个合适的标准，包括其添加剂形式。</w:t>
      </w:r>
    </w:p>
    <w:p w14:paraId="66ABB02B">
      <w:pPr>
        <w:adjustRightInd w:val="0"/>
        <w:snapToGrid w:val="0"/>
        <w:spacing w:line="36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FDA</w:t>
      </w:r>
      <w:r>
        <w:rPr>
          <w:rFonts w:hint="eastAsia" w:ascii="Times New Roman" w:cs="Times New Roman"/>
          <w:color w:val="auto"/>
          <w:sz w:val="21"/>
          <w:szCs w:val="21"/>
        </w:rPr>
        <w:t>要求您调查您的提取自牛或羊的神经和腺体组织的原料是否来自已知有</w:t>
      </w:r>
      <w:r>
        <w:rPr>
          <w:rFonts w:ascii="Times New Roman" w:hAnsi="Times New Roman" w:cs="Times New Roman"/>
          <w:color w:val="auto"/>
          <w:sz w:val="21"/>
          <w:szCs w:val="21"/>
        </w:rPr>
        <w:t>BSE</w:t>
      </w:r>
      <w:r>
        <w:rPr>
          <w:rFonts w:hint="eastAsia" w:ascii="Times New Roman" w:cs="Times New Roman"/>
          <w:color w:val="auto"/>
          <w:sz w:val="21"/>
          <w:szCs w:val="21"/>
        </w:rPr>
        <w:t>或可能出现瘙痒病的国家。我们建议您的产品重复使用您已经确定无</w:t>
      </w:r>
      <w:r>
        <w:rPr>
          <w:rFonts w:ascii="Times New Roman" w:hAnsi="Times New Roman" w:cs="Times New Roman"/>
          <w:color w:val="auto"/>
          <w:sz w:val="21"/>
          <w:szCs w:val="21"/>
        </w:rPr>
        <w:t>BSE</w:t>
      </w:r>
      <w:r>
        <w:rPr>
          <w:rFonts w:hint="eastAsia" w:ascii="Times New Roman" w:cs="Times New Roman"/>
          <w:color w:val="auto"/>
          <w:sz w:val="21"/>
          <w:szCs w:val="21"/>
        </w:rPr>
        <w:t>或瘙痒病存在的神经或腺体组织。我们建议在接下来的两个月内，您能收集相关信息并确定在您的产品中使用的牛或羊材料的来源。如果您在您的产品中使用了牛源材料，</w:t>
      </w:r>
    </w:p>
    <w:p w14:paraId="6349FD31">
      <w:pPr>
        <w:adjustRightInd w:val="0"/>
        <w:snapToGrid w:val="0"/>
        <w:spacing w:line="36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hint="eastAsia" w:ascii="Times New Roman" w:cs="Times New Roman"/>
          <w:color w:val="auto"/>
          <w:sz w:val="21"/>
          <w:szCs w:val="21"/>
        </w:rPr>
        <w:t>我们建议您做一个计划以确认（有高可信度）没有从</w:t>
      </w:r>
      <w:r>
        <w:rPr>
          <w:rFonts w:ascii="Times New Roman" w:hAnsi="Times New Roman" w:cs="Times New Roman"/>
          <w:color w:val="auto"/>
          <w:sz w:val="21"/>
          <w:szCs w:val="21"/>
        </w:rPr>
        <w:t>BSE</w:t>
      </w:r>
      <w:r>
        <w:rPr>
          <w:rFonts w:hint="eastAsia" w:ascii="Times New Roman" w:cs="Times New Roman"/>
          <w:color w:val="auto"/>
          <w:sz w:val="21"/>
          <w:szCs w:val="21"/>
        </w:rPr>
        <w:t>国家提供的牛源材料的可能，无论是直接或间接。如果您在您的产品中使用了羊源性材料，我们建议您也做一个相似的计划以确认这些组织是来自未患瘙痒病的动物。我们充分认识到</w:t>
      </w:r>
      <w:r>
        <w:rPr>
          <w:rFonts w:ascii="Times New Roman" w:hAnsi="Times New Roman" w:cs="Times New Roman"/>
          <w:color w:val="auto"/>
          <w:sz w:val="21"/>
          <w:szCs w:val="21"/>
        </w:rPr>
        <w:t>BSE</w:t>
      </w:r>
      <w:r>
        <w:rPr>
          <w:rFonts w:hint="eastAsia" w:ascii="Times New Roman" w:cs="Times New Roman"/>
          <w:color w:val="auto"/>
          <w:sz w:val="21"/>
          <w:szCs w:val="21"/>
        </w:rPr>
        <w:t>或瘙痒病与人患病之间无确证的联系存在，但是鉴于人脑海绵状病的毁灭性后果，如</w:t>
      </w:r>
      <w:r>
        <w:rPr>
          <w:rFonts w:ascii="Times New Roman" w:hAnsi="Times New Roman" w:cs="Times New Roman"/>
          <w:color w:val="auto"/>
          <w:sz w:val="21"/>
          <w:szCs w:val="21"/>
        </w:rPr>
        <w:t>CJD</w:t>
      </w:r>
      <w:r>
        <w:rPr>
          <w:rFonts w:hint="eastAsia" w:ascii="Times New Roman" w:cs="Times New Roman"/>
          <w:color w:val="auto"/>
          <w:sz w:val="21"/>
          <w:szCs w:val="21"/>
        </w:rPr>
        <w:t>，我们相信我们的要求在目前是谨慎的一步。</w:t>
      </w:r>
      <w:r>
        <w:rPr>
          <w:rFonts w:ascii="Times New Roman" w:hAnsi="Times New Roman" w:cs="Times New Roman"/>
          <w:color w:val="auto"/>
          <w:sz w:val="21"/>
          <w:szCs w:val="21"/>
        </w:rPr>
        <w:t>.</w:t>
      </w:r>
    </w:p>
    <w:p w14:paraId="3BD3F063">
      <w:pPr>
        <w:adjustRightInd w:val="0"/>
        <w:snapToGrid w:val="0"/>
        <w:spacing w:line="360" w:lineRule="auto"/>
        <w:ind w:firstLine="420" w:firstLineChars="200"/>
        <w:jc w:val="both"/>
        <w:rPr>
          <w:rFonts w:ascii="Times New Roman" w:cs="Times New Roman"/>
          <w:color w:val="auto"/>
          <w:sz w:val="21"/>
          <w:szCs w:val="21"/>
        </w:rPr>
      </w:pPr>
      <w:r>
        <w:rPr>
          <w:rFonts w:ascii="Times New Roman" w:hAnsi="Times New Roman" w:cs="Times New Roman"/>
          <w:color w:val="auto"/>
          <w:sz w:val="21"/>
          <w:szCs w:val="21"/>
        </w:rPr>
        <w:t>FDA</w:t>
      </w:r>
      <w:r>
        <w:rPr>
          <w:rFonts w:hint="eastAsia" w:ascii="Times New Roman" w:cs="Times New Roman"/>
          <w:color w:val="auto"/>
          <w:sz w:val="21"/>
          <w:szCs w:val="21"/>
        </w:rPr>
        <w:t>要求一旦您确定了计划，请与我们交流您的计划。我们知道确保来自出口国家的您所需要材料的安全性，您所需采取的措施是很艰难的，但是我们相信您一定会赞同我们这是可取的。</w:t>
      </w:r>
    </w:p>
    <w:p w14:paraId="39C9D681">
      <w:pPr>
        <w:adjustRightInd w:val="0"/>
        <w:snapToGrid w:val="0"/>
        <w:spacing w:line="360"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如果您需要任何额外的信息或指导，请联系食品安全和应用营养中心副主任</w:t>
      </w:r>
      <w:r>
        <w:rPr>
          <w:rFonts w:ascii="Times New Roman" w:hAnsi="Times New Roman" w:cs="Times New Roman"/>
          <w:color w:val="auto"/>
          <w:sz w:val="21"/>
          <w:szCs w:val="21"/>
        </w:rPr>
        <w:t xml:space="preserve">Douglas L. Archer </w:t>
      </w:r>
      <w:r>
        <w:rPr>
          <w:rFonts w:hint="eastAsia" w:ascii="Times New Roman" w:cs="Times New Roman"/>
          <w:color w:val="auto"/>
          <w:sz w:val="21"/>
          <w:szCs w:val="21"/>
        </w:rPr>
        <w:t>博士，电话为</w:t>
      </w:r>
      <w:r>
        <w:rPr>
          <w:rFonts w:ascii="Times New Roman" w:hAnsi="Times New Roman" w:cs="Times New Roman"/>
          <w:color w:val="auto"/>
          <w:sz w:val="21"/>
          <w:szCs w:val="21"/>
        </w:rPr>
        <w:t>202-205-4057</w:t>
      </w:r>
      <w:r>
        <w:rPr>
          <w:rFonts w:hint="eastAsia" w:ascii="Times New Roman" w:cs="Times New Roman"/>
          <w:color w:val="auto"/>
          <w:sz w:val="21"/>
          <w:szCs w:val="21"/>
        </w:rPr>
        <w:t>。我们感谢您的合作和对此事的关注。</w:t>
      </w:r>
    </w:p>
    <w:p w14:paraId="473EB61D">
      <w:pPr>
        <w:adjustRightInd w:val="0"/>
        <w:snapToGrid w:val="0"/>
        <w:spacing w:line="360"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真诚地，</w:t>
      </w:r>
    </w:p>
    <w:p w14:paraId="004994D4">
      <w:pPr>
        <w:adjustRightInd w:val="0"/>
        <w:snapToGrid w:val="0"/>
        <w:spacing w:line="36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Fred R. Shank, Ph.D.</w:t>
      </w:r>
    </w:p>
    <w:p w14:paraId="2A1D2224">
      <w:pPr>
        <w:adjustRightInd w:val="0"/>
        <w:snapToGrid w:val="0"/>
        <w:spacing w:line="360"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负责人</w:t>
      </w:r>
    </w:p>
    <w:p w14:paraId="6AB340F9">
      <w:pPr>
        <w:adjustRightInd w:val="0"/>
        <w:snapToGrid w:val="0"/>
        <w:spacing w:line="360"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食品安全和应用营养中心</w:t>
      </w:r>
    </w:p>
    <w:p w14:paraId="1D7521C7">
      <w:pPr>
        <w:adjustRightInd w:val="0"/>
        <w:snapToGrid w:val="0"/>
        <w:spacing w:line="36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1993</w:t>
      </w:r>
      <w:r>
        <w:rPr>
          <w:rFonts w:hint="eastAsia" w:ascii="Times New Roman" w:cs="Times New Roman"/>
          <w:color w:val="auto"/>
          <w:sz w:val="21"/>
          <w:szCs w:val="21"/>
        </w:rPr>
        <w:t>年</w:t>
      </w:r>
      <w:r>
        <w:rPr>
          <w:rFonts w:ascii="Times New Roman" w:hAnsi="Times New Roman" w:cs="Times New Roman"/>
          <w:color w:val="auto"/>
          <w:sz w:val="21"/>
          <w:szCs w:val="21"/>
        </w:rPr>
        <w:t>12</w:t>
      </w:r>
      <w:r>
        <w:rPr>
          <w:rFonts w:hint="eastAsia" w:ascii="Times New Roman" w:cs="Times New Roman"/>
          <w:color w:val="auto"/>
          <w:sz w:val="21"/>
          <w:szCs w:val="21"/>
        </w:rPr>
        <w:t>月</w:t>
      </w:r>
      <w:r>
        <w:rPr>
          <w:rFonts w:ascii="Times New Roman" w:hAnsi="Times New Roman" w:cs="Times New Roman"/>
          <w:color w:val="auto"/>
          <w:sz w:val="21"/>
          <w:szCs w:val="21"/>
        </w:rPr>
        <w:t>17</w:t>
      </w:r>
      <w:r>
        <w:rPr>
          <w:rFonts w:hint="eastAsia" w:ascii="Times New Roman" w:cs="Times New Roman"/>
          <w:color w:val="auto"/>
          <w:sz w:val="21"/>
          <w:szCs w:val="21"/>
        </w:rPr>
        <w:t>日致药品、生物制品、医疗器械和生物器械产品生产商的信件正文如下：</w:t>
      </w:r>
    </w:p>
    <w:p w14:paraId="0AF6C600">
      <w:pPr>
        <w:adjustRightInd w:val="0"/>
        <w:snapToGrid w:val="0"/>
        <w:spacing w:line="36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1993</w:t>
      </w:r>
      <w:r>
        <w:rPr>
          <w:rFonts w:hint="eastAsia" w:ascii="Times New Roman" w:cs="Times New Roman"/>
          <w:color w:val="auto"/>
          <w:sz w:val="21"/>
          <w:szCs w:val="21"/>
        </w:rPr>
        <w:t>年</w:t>
      </w:r>
      <w:r>
        <w:rPr>
          <w:rFonts w:ascii="Times New Roman" w:hAnsi="Times New Roman" w:cs="Times New Roman"/>
          <w:color w:val="auto"/>
          <w:sz w:val="21"/>
          <w:szCs w:val="21"/>
        </w:rPr>
        <w:t>12</w:t>
      </w:r>
      <w:r>
        <w:rPr>
          <w:rFonts w:hint="eastAsia" w:ascii="Times New Roman" w:cs="Times New Roman"/>
          <w:color w:val="auto"/>
          <w:sz w:val="21"/>
          <w:szCs w:val="21"/>
        </w:rPr>
        <w:t>月</w:t>
      </w:r>
      <w:r>
        <w:rPr>
          <w:rFonts w:ascii="Times New Roman" w:hAnsi="Times New Roman" w:cs="Times New Roman"/>
          <w:color w:val="auto"/>
          <w:sz w:val="21"/>
          <w:szCs w:val="21"/>
        </w:rPr>
        <w:t>17</w:t>
      </w:r>
      <w:r>
        <w:rPr>
          <w:rFonts w:hint="eastAsia" w:ascii="Times New Roman" w:cs="Times New Roman"/>
          <w:color w:val="auto"/>
          <w:sz w:val="21"/>
          <w:szCs w:val="21"/>
        </w:rPr>
        <w:t>日</w:t>
      </w:r>
    </w:p>
    <w:p w14:paraId="3E86BD38">
      <w:pPr>
        <w:adjustRightInd w:val="0"/>
        <w:snapToGrid w:val="0"/>
        <w:spacing w:line="360"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致：</w:t>
      </w:r>
      <w:r>
        <w:rPr>
          <w:rFonts w:ascii="Times New Roman" w:hAnsi="Times New Roman" w:cs="Times New Roman"/>
          <w:color w:val="auto"/>
          <w:sz w:val="21"/>
          <w:szCs w:val="21"/>
        </w:rPr>
        <w:t>FDA</w:t>
      </w:r>
      <w:r>
        <w:rPr>
          <w:rFonts w:hint="eastAsia" w:ascii="Times New Roman" w:cs="Times New Roman"/>
          <w:color w:val="auto"/>
          <w:sz w:val="21"/>
          <w:szCs w:val="21"/>
        </w:rPr>
        <w:t>监管产品生产商</w:t>
      </w:r>
    </w:p>
    <w:p w14:paraId="45E52921">
      <w:pPr>
        <w:adjustRightInd w:val="0"/>
        <w:snapToGrid w:val="0"/>
        <w:spacing w:line="360"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美国食品药品管理局（</w:t>
      </w:r>
      <w:r>
        <w:rPr>
          <w:rFonts w:ascii="Times New Roman" w:hAnsi="Times New Roman" w:cs="Times New Roman"/>
          <w:color w:val="auto"/>
          <w:sz w:val="21"/>
          <w:szCs w:val="21"/>
        </w:rPr>
        <w:t>FDA</w:t>
      </w:r>
      <w:r>
        <w:rPr>
          <w:rFonts w:hint="eastAsia" w:ascii="Times New Roman" w:cs="Times New Roman"/>
          <w:color w:val="auto"/>
          <w:sz w:val="21"/>
          <w:szCs w:val="21"/>
        </w:rPr>
        <w:t>，机构）发布这封信函是要求不得在人用</w:t>
      </w:r>
      <w:r>
        <w:rPr>
          <w:rFonts w:ascii="Times New Roman" w:hAnsi="Times New Roman" w:cs="Times New Roman"/>
          <w:color w:val="auto"/>
          <w:sz w:val="21"/>
          <w:szCs w:val="21"/>
        </w:rPr>
        <w:t>FDA</w:t>
      </w:r>
      <w:r>
        <w:rPr>
          <w:rFonts w:hint="eastAsia" w:ascii="Times New Roman" w:cs="Times New Roman"/>
          <w:color w:val="auto"/>
          <w:sz w:val="21"/>
          <w:szCs w:val="21"/>
        </w:rPr>
        <w:t>监管产品的生产中使用生长于或来源于诊断有牛脑海绵状病（</w:t>
      </w:r>
      <w:r>
        <w:rPr>
          <w:rFonts w:ascii="Times New Roman" w:hAnsi="Times New Roman" w:cs="Times New Roman"/>
          <w:color w:val="auto"/>
          <w:sz w:val="21"/>
          <w:szCs w:val="21"/>
        </w:rPr>
        <w:t>BSE</w:t>
      </w:r>
      <w:r>
        <w:rPr>
          <w:rFonts w:hint="eastAsia" w:ascii="Times New Roman" w:cs="Times New Roman"/>
          <w:color w:val="auto"/>
          <w:sz w:val="21"/>
          <w:szCs w:val="21"/>
        </w:rPr>
        <w:t>）国家的牛的牛源材料。</w:t>
      </w:r>
      <w:r>
        <w:rPr>
          <w:rFonts w:ascii="Times New Roman" w:hAnsi="Times New Roman" w:cs="Times New Roman"/>
          <w:color w:val="auto"/>
          <w:sz w:val="21"/>
          <w:szCs w:val="21"/>
        </w:rPr>
        <w:br w:type="textWrapping"/>
      </w:r>
      <w:r>
        <w:rPr>
          <w:rFonts w:hint="eastAsia" w:ascii="Times New Roman" w:cs="Times New Roman"/>
          <w:color w:val="auto"/>
          <w:sz w:val="21"/>
          <w:szCs w:val="21"/>
        </w:rPr>
        <w:t>我们建议您遵从我们目前关于使用这些牛源材料的建议。</w:t>
      </w:r>
    </w:p>
    <w:p w14:paraId="7E4A1BCA">
      <w:pPr>
        <w:adjustRightInd w:val="0"/>
        <w:snapToGrid w:val="0"/>
        <w:spacing w:line="36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FDA</w:t>
      </w:r>
      <w:r>
        <w:rPr>
          <w:rFonts w:hint="eastAsia" w:ascii="Times New Roman" w:cs="Times New Roman"/>
          <w:color w:val="auto"/>
          <w:sz w:val="21"/>
          <w:szCs w:val="21"/>
        </w:rPr>
        <w:t>将提供以下信息以解释为什么该机构认为一种动物疾病（如</w:t>
      </w:r>
      <w:r>
        <w:rPr>
          <w:rFonts w:ascii="Times New Roman" w:hAnsi="Times New Roman" w:cs="Times New Roman"/>
          <w:color w:val="auto"/>
          <w:sz w:val="21"/>
          <w:szCs w:val="21"/>
        </w:rPr>
        <w:t>BSE</w:t>
      </w:r>
      <w:r>
        <w:rPr>
          <w:rFonts w:hint="eastAsia" w:ascii="Times New Roman" w:cs="Times New Roman"/>
          <w:color w:val="auto"/>
          <w:sz w:val="21"/>
          <w:szCs w:val="21"/>
        </w:rPr>
        <w:t>）能成为人用</w:t>
      </w:r>
      <w:r>
        <w:rPr>
          <w:rFonts w:ascii="Times New Roman" w:hAnsi="Times New Roman" w:cs="Times New Roman"/>
          <w:color w:val="auto"/>
          <w:sz w:val="21"/>
          <w:szCs w:val="21"/>
        </w:rPr>
        <w:t>FDA</w:t>
      </w:r>
      <w:r>
        <w:rPr>
          <w:rFonts w:hint="eastAsia" w:ascii="Times New Roman" w:cs="Times New Roman"/>
          <w:color w:val="auto"/>
          <w:sz w:val="21"/>
          <w:szCs w:val="21"/>
        </w:rPr>
        <w:t>监管产品生产的潜在关注点。据报道，英国有超过</w:t>
      </w:r>
      <w:r>
        <w:rPr>
          <w:rFonts w:ascii="Times New Roman" w:hAnsi="Times New Roman" w:cs="Times New Roman"/>
          <w:color w:val="auto"/>
          <w:sz w:val="21"/>
          <w:szCs w:val="21"/>
        </w:rPr>
        <w:t>109,000</w:t>
      </w:r>
      <w:r>
        <w:rPr>
          <w:rFonts w:hint="eastAsia" w:ascii="Times New Roman" w:cs="Times New Roman"/>
          <w:color w:val="auto"/>
          <w:sz w:val="21"/>
          <w:szCs w:val="21"/>
        </w:rPr>
        <w:t>头牛出现</w:t>
      </w:r>
      <w:r>
        <w:rPr>
          <w:rFonts w:ascii="Times New Roman" w:hAnsi="Times New Roman" w:cs="Times New Roman"/>
          <w:color w:val="auto"/>
          <w:sz w:val="21"/>
          <w:szCs w:val="21"/>
        </w:rPr>
        <w:t>BSE</w:t>
      </w:r>
      <w:r>
        <w:rPr>
          <w:rFonts w:hint="eastAsia" w:ascii="Times New Roman" w:cs="Times New Roman"/>
          <w:color w:val="auto"/>
          <w:sz w:val="21"/>
          <w:szCs w:val="21"/>
        </w:rPr>
        <w:t>（农业、渔业和食品部门（</w:t>
      </w:r>
      <w:r>
        <w:rPr>
          <w:rFonts w:ascii="Times New Roman" w:hAnsi="Times New Roman" w:cs="Times New Roman"/>
          <w:color w:val="auto"/>
          <w:sz w:val="21"/>
          <w:szCs w:val="21"/>
        </w:rPr>
        <w:t>MAFF</w:t>
      </w:r>
      <w:r>
        <w:rPr>
          <w:rFonts w:hint="eastAsia" w:ascii="Times New Roman" w:cs="Times New Roman"/>
          <w:color w:val="auto"/>
          <w:sz w:val="21"/>
          <w:szCs w:val="21"/>
        </w:rPr>
        <w:t>）</w:t>
      </w:r>
      <w:r>
        <w:rPr>
          <w:rFonts w:ascii="Times New Roman" w:hAnsi="Times New Roman" w:cs="Times New Roman"/>
          <w:color w:val="auto"/>
          <w:sz w:val="21"/>
          <w:szCs w:val="21"/>
        </w:rPr>
        <w:t>1993</w:t>
      </w:r>
      <w:r>
        <w:rPr>
          <w:rFonts w:hint="eastAsia" w:ascii="Times New Roman" w:cs="Times New Roman"/>
          <w:color w:val="auto"/>
          <w:sz w:val="21"/>
          <w:szCs w:val="21"/>
        </w:rPr>
        <w:t>年秋季报告），但还远小于欧洲其他国家。这种神经系统疾病时一种传播性海绵状脑病（</w:t>
      </w:r>
      <w:r>
        <w:rPr>
          <w:rFonts w:ascii="Times New Roman" w:hAnsi="Times New Roman" w:cs="Times New Roman"/>
          <w:color w:val="auto"/>
          <w:sz w:val="21"/>
          <w:szCs w:val="21"/>
        </w:rPr>
        <w:t>TSE</w:t>
      </w:r>
      <w:r>
        <w:rPr>
          <w:rFonts w:hint="eastAsia" w:ascii="Times New Roman" w:cs="Times New Roman"/>
          <w:color w:val="auto"/>
          <w:sz w:val="21"/>
          <w:szCs w:val="21"/>
        </w:rPr>
        <w:t>），与其他</w:t>
      </w:r>
      <w:r>
        <w:rPr>
          <w:rFonts w:ascii="Times New Roman" w:hAnsi="Times New Roman" w:cs="Times New Roman"/>
          <w:color w:val="auto"/>
          <w:sz w:val="21"/>
          <w:szCs w:val="21"/>
        </w:rPr>
        <w:t>TSE</w:t>
      </w:r>
      <w:r>
        <w:rPr>
          <w:rFonts w:hint="eastAsia" w:ascii="Times New Roman" w:cs="Times New Roman"/>
          <w:color w:val="auto"/>
          <w:sz w:val="21"/>
          <w:szCs w:val="21"/>
        </w:rPr>
        <w:t>相似，如羊瘙痒病和人克雅病（</w:t>
      </w:r>
      <w:r>
        <w:rPr>
          <w:rFonts w:ascii="Times New Roman" w:hAnsi="Times New Roman" w:cs="Times New Roman"/>
          <w:color w:val="auto"/>
          <w:sz w:val="21"/>
          <w:szCs w:val="21"/>
        </w:rPr>
        <w:t>CJD</w:t>
      </w:r>
      <w:r>
        <w:rPr>
          <w:rFonts w:hint="eastAsia" w:ascii="Times New Roman" w:cs="Times New Roman"/>
          <w:color w:val="auto"/>
          <w:sz w:val="21"/>
          <w:szCs w:val="21"/>
        </w:rPr>
        <w:t>）。海绵状脑病均为致命的，目前尚无快速诊断活体动物（或人）感染的检测方法。有来自垂体源性人生长激素（生长激素）和硬脑膜的医源性</w:t>
      </w:r>
      <w:r>
        <w:rPr>
          <w:rFonts w:ascii="Times New Roman" w:hAnsi="Times New Roman" w:cs="Times New Roman"/>
          <w:color w:val="auto"/>
          <w:sz w:val="21"/>
          <w:szCs w:val="21"/>
        </w:rPr>
        <w:t>CJD</w:t>
      </w:r>
      <w:r>
        <w:rPr>
          <w:rFonts w:hint="eastAsia" w:ascii="Times New Roman" w:cs="Times New Roman"/>
          <w:color w:val="auto"/>
          <w:sz w:val="21"/>
          <w:szCs w:val="21"/>
        </w:rPr>
        <w:t>传播的病例报道。</w:t>
      </w:r>
    </w:p>
    <w:p w14:paraId="18C700A8">
      <w:pPr>
        <w:adjustRightInd w:val="0"/>
        <w:snapToGrid w:val="0"/>
        <w:spacing w:line="360"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关于</w:t>
      </w:r>
      <w:r>
        <w:rPr>
          <w:rFonts w:ascii="Times New Roman" w:hAnsi="Times New Roman" w:cs="Times New Roman"/>
          <w:color w:val="auto"/>
          <w:sz w:val="21"/>
          <w:szCs w:val="21"/>
        </w:rPr>
        <w:t>BSE</w:t>
      </w:r>
      <w:r>
        <w:rPr>
          <w:rFonts w:hint="eastAsia" w:ascii="Times New Roman" w:cs="Times New Roman"/>
          <w:color w:val="auto"/>
          <w:sz w:val="21"/>
          <w:szCs w:val="21"/>
        </w:rPr>
        <w:t>病原体和其他海绵状脑病病原体确切特性、宿主范围、致病机制和发展快速死前诊断检测方法的研究项目正在进行。目前已知的科学信息表明这些病原体极度耐受普通的消毒和灭菌程序。已知存在</w:t>
      </w:r>
      <w:r>
        <w:rPr>
          <w:rFonts w:ascii="Times New Roman" w:hAnsi="Times New Roman" w:cs="Times New Roman"/>
          <w:color w:val="auto"/>
          <w:sz w:val="21"/>
          <w:szCs w:val="21"/>
        </w:rPr>
        <w:t>BSE</w:t>
      </w:r>
      <w:r>
        <w:rPr>
          <w:rFonts w:hint="eastAsia" w:ascii="Times New Roman" w:cs="Times New Roman"/>
          <w:color w:val="auto"/>
          <w:sz w:val="21"/>
          <w:szCs w:val="21"/>
        </w:rPr>
        <w:t>的国家（</w:t>
      </w:r>
      <w:r>
        <w:rPr>
          <w:rFonts w:ascii="Times New Roman" w:hAnsi="Times New Roman" w:cs="Times New Roman"/>
          <w:color w:val="auto"/>
          <w:sz w:val="21"/>
          <w:szCs w:val="21"/>
        </w:rPr>
        <w:t>BSE</w:t>
      </w:r>
      <w:r>
        <w:rPr>
          <w:rFonts w:hint="eastAsia" w:ascii="Times New Roman" w:cs="Times New Roman"/>
          <w:color w:val="auto"/>
          <w:sz w:val="21"/>
          <w:szCs w:val="21"/>
        </w:rPr>
        <w:t>国家）名单由美国农业部（</w:t>
      </w:r>
      <w:r>
        <w:rPr>
          <w:rFonts w:ascii="Times New Roman" w:hAnsi="Times New Roman" w:cs="Times New Roman"/>
          <w:color w:val="auto"/>
          <w:sz w:val="21"/>
          <w:szCs w:val="21"/>
        </w:rPr>
        <w:t>USDA</w:t>
      </w:r>
      <w:r>
        <w:rPr>
          <w:rFonts w:hint="eastAsia" w:ascii="Times New Roman" w:cs="Times New Roman"/>
          <w:color w:val="auto"/>
          <w:sz w:val="21"/>
          <w:szCs w:val="21"/>
        </w:rPr>
        <w:t>）确定。这些国家列于</w:t>
      </w:r>
      <w:r>
        <w:rPr>
          <w:rFonts w:ascii="Times New Roman" w:hAnsi="Times New Roman" w:cs="Times New Roman"/>
          <w:color w:val="auto"/>
          <w:sz w:val="21"/>
          <w:szCs w:val="21"/>
        </w:rPr>
        <w:t>1991</w:t>
      </w:r>
      <w:r>
        <w:rPr>
          <w:rFonts w:hint="eastAsia" w:ascii="Times New Roman" w:cs="Times New Roman"/>
          <w:color w:val="auto"/>
          <w:sz w:val="21"/>
          <w:szCs w:val="21"/>
        </w:rPr>
        <w:t>年</w:t>
      </w:r>
      <w:r>
        <w:rPr>
          <w:rFonts w:ascii="Times New Roman" w:hAnsi="Times New Roman" w:cs="Times New Roman"/>
          <w:color w:val="auto"/>
          <w:sz w:val="21"/>
          <w:szCs w:val="21"/>
        </w:rPr>
        <w:t>12</w:t>
      </w:r>
      <w:r>
        <w:rPr>
          <w:rFonts w:hint="eastAsia" w:ascii="Times New Roman" w:cs="Times New Roman"/>
          <w:color w:val="auto"/>
          <w:sz w:val="21"/>
          <w:szCs w:val="21"/>
        </w:rPr>
        <w:t>月</w:t>
      </w:r>
      <w:r>
        <w:rPr>
          <w:rFonts w:ascii="Times New Roman" w:hAnsi="Times New Roman" w:cs="Times New Roman"/>
          <w:color w:val="auto"/>
          <w:sz w:val="21"/>
          <w:szCs w:val="21"/>
        </w:rPr>
        <w:t>6</w:t>
      </w:r>
      <w:r>
        <w:rPr>
          <w:rFonts w:hint="eastAsia" w:ascii="Times New Roman" w:cs="Times New Roman"/>
          <w:color w:val="auto"/>
          <w:sz w:val="21"/>
          <w:szCs w:val="21"/>
        </w:rPr>
        <w:t>日版的联邦法规中（</w:t>
      </w:r>
      <w:r>
        <w:rPr>
          <w:rFonts w:ascii="Times New Roman" w:hAnsi="Times New Roman" w:cs="Times New Roman"/>
          <w:color w:val="auto"/>
          <w:sz w:val="21"/>
          <w:szCs w:val="21"/>
        </w:rPr>
        <w:t>56 FR 63865</w:t>
      </w:r>
      <w:r>
        <w:rPr>
          <w:rFonts w:hint="eastAsia" w:ascii="Times New Roman" w:cs="Times New Roman"/>
          <w:color w:val="auto"/>
          <w:sz w:val="21"/>
          <w:szCs w:val="21"/>
        </w:rPr>
        <w:t>至</w:t>
      </w:r>
      <w:r>
        <w:rPr>
          <w:rFonts w:ascii="Times New Roman" w:hAnsi="Times New Roman" w:cs="Times New Roman"/>
          <w:color w:val="auto"/>
          <w:sz w:val="21"/>
          <w:szCs w:val="21"/>
        </w:rPr>
        <w:t>63870</w:t>
      </w:r>
      <w:r>
        <w:rPr>
          <w:rFonts w:hint="eastAsia" w:ascii="Times New Roman" w:cs="Times New Roman"/>
          <w:color w:val="auto"/>
          <w:sz w:val="21"/>
          <w:szCs w:val="21"/>
        </w:rPr>
        <w:t>），包括法国、英国（包括福克兰群岛）、北爱尔兰、爱尔兰共和国、阿曼和瑞士。</w:t>
      </w:r>
    </w:p>
    <w:p w14:paraId="4658240F">
      <w:pPr>
        <w:adjustRightInd w:val="0"/>
        <w:snapToGrid w:val="0"/>
        <w:spacing w:line="36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lang w:val="en-US"/>
        </w:rPr>
        <w:t>\l\Brown P, Preece MA, Will RG. ''Friendly fire in medicine</w:t>
      </w:r>
      <w:r>
        <w:rPr>
          <w:rFonts w:hint="eastAsia" w:ascii="Times New Roman" w:hAnsi="Times New Roman" w:cs="Times New Roman"/>
          <w:color w:val="auto"/>
          <w:sz w:val="21"/>
          <w:szCs w:val="21"/>
          <w:lang w:val="en-US"/>
        </w:rPr>
        <w:t>：</w:t>
      </w:r>
      <w:r>
        <w:rPr>
          <w:rFonts w:ascii="Times New Roman" w:hAnsi="Times New Roman" w:cs="Times New Roman"/>
          <w:color w:val="auto"/>
          <w:sz w:val="21"/>
          <w:szCs w:val="21"/>
          <w:lang w:val="en-US"/>
        </w:rPr>
        <w:t xml:space="preserve"> hormones, homografts, and Creutzfeldt-Jakob disease'. </w:t>
      </w:r>
      <w:r>
        <w:rPr>
          <w:rFonts w:ascii="Times New Roman" w:hAnsi="Times New Roman" w:cs="Times New Roman"/>
          <w:color w:val="auto"/>
          <w:sz w:val="21"/>
          <w:szCs w:val="21"/>
        </w:rPr>
        <w:t>Lancet 1992</w:t>
      </w:r>
      <w:r>
        <w:rPr>
          <w:rFonts w:hint="eastAsia" w:ascii="Times New Roman" w:hAnsi="Times New Roman" w:cs="Times New Roman"/>
          <w:color w:val="auto"/>
          <w:sz w:val="21"/>
          <w:szCs w:val="21"/>
        </w:rPr>
        <w:t>：</w:t>
      </w:r>
      <w:r>
        <w:rPr>
          <w:rFonts w:ascii="Times New Roman" w:hAnsi="Times New Roman" w:cs="Times New Roman"/>
          <w:color w:val="auto"/>
          <w:sz w:val="21"/>
          <w:szCs w:val="21"/>
        </w:rPr>
        <w:t>340</w:t>
      </w:r>
      <w:r>
        <w:rPr>
          <w:rFonts w:hint="eastAsia" w:ascii="Times New Roman" w:hAnsi="Times New Roman" w:cs="Times New Roman"/>
          <w:color w:val="auto"/>
          <w:sz w:val="21"/>
          <w:szCs w:val="21"/>
        </w:rPr>
        <w:t>：</w:t>
      </w:r>
      <w:r>
        <w:rPr>
          <w:rFonts w:ascii="Times New Roman" w:hAnsi="Times New Roman" w:cs="Times New Roman"/>
          <w:color w:val="auto"/>
          <w:sz w:val="21"/>
          <w:szCs w:val="21"/>
        </w:rPr>
        <w:t>24-27.</w:t>
      </w:r>
    </w:p>
    <w:p w14:paraId="48360E91">
      <w:pPr>
        <w:adjustRightInd w:val="0"/>
        <w:snapToGrid w:val="0"/>
        <w:spacing w:line="36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hint="eastAsia" w:ascii="Times New Roman" w:cs="Times New Roman"/>
          <w:color w:val="auto"/>
          <w:sz w:val="21"/>
          <w:szCs w:val="21"/>
        </w:rPr>
        <w:t>尽管至今仍无</w:t>
      </w:r>
      <w:r>
        <w:rPr>
          <w:rFonts w:ascii="Times New Roman" w:hAnsi="Times New Roman" w:cs="Times New Roman"/>
          <w:color w:val="auto"/>
          <w:sz w:val="21"/>
          <w:szCs w:val="21"/>
        </w:rPr>
        <w:t>BSE</w:t>
      </w:r>
      <w:r>
        <w:rPr>
          <w:rFonts w:hint="eastAsia" w:ascii="Times New Roman" w:cs="Times New Roman"/>
          <w:color w:val="auto"/>
          <w:sz w:val="21"/>
          <w:szCs w:val="21"/>
        </w:rPr>
        <w:t>病原体如何向人传播的报道，</w:t>
      </w:r>
      <w:r>
        <w:rPr>
          <w:rFonts w:ascii="Times New Roman" w:hAnsi="Times New Roman" w:cs="Times New Roman"/>
          <w:color w:val="auto"/>
          <w:sz w:val="21"/>
          <w:szCs w:val="21"/>
        </w:rPr>
        <w:t>FDA</w:t>
      </w:r>
      <w:r>
        <w:rPr>
          <w:rFonts w:hint="eastAsia" w:ascii="Times New Roman" w:cs="Times New Roman"/>
          <w:color w:val="auto"/>
          <w:sz w:val="21"/>
          <w:szCs w:val="21"/>
        </w:rPr>
        <w:t>认为以下建议在目前来说是可以降低任何可能通过</w:t>
      </w:r>
      <w:r>
        <w:rPr>
          <w:rFonts w:ascii="Times New Roman" w:hAnsi="Times New Roman" w:cs="Times New Roman"/>
          <w:color w:val="auto"/>
          <w:sz w:val="21"/>
          <w:szCs w:val="21"/>
        </w:rPr>
        <w:t>FDR</w:t>
      </w:r>
      <w:r>
        <w:rPr>
          <w:rFonts w:hint="eastAsia" w:ascii="Times New Roman" w:cs="Times New Roman"/>
          <w:color w:val="auto"/>
          <w:sz w:val="21"/>
          <w:szCs w:val="21"/>
        </w:rPr>
        <w:t>监管产品向人传播或暴露于</w:t>
      </w:r>
      <w:r>
        <w:rPr>
          <w:rFonts w:ascii="Times New Roman" w:hAnsi="Times New Roman" w:cs="Times New Roman"/>
          <w:color w:val="auto"/>
          <w:sz w:val="21"/>
          <w:szCs w:val="21"/>
        </w:rPr>
        <w:t>BSE</w:t>
      </w:r>
      <w:r>
        <w:rPr>
          <w:rFonts w:hint="eastAsia" w:ascii="Times New Roman" w:cs="Times New Roman"/>
          <w:color w:val="auto"/>
          <w:sz w:val="21"/>
          <w:szCs w:val="21"/>
        </w:rPr>
        <w:t>病原体的潜在风险的谨慎一步。</w:t>
      </w:r>
    </w:p>
    <w:p w14:paraId="44250BEF">
      <w:pPr>
        <w:adjustRightInd w:val="0"/>
        <w:snapToGrid w:val="0"/>
        <w:spacing w:line="360"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该机构指出人用监管产品以及用生产中使用来自</w:t>
      </w:r>
      <w:r>
        <w:rPr>
          <w:rFonts w:ascii="Times New Roman" w:hAnsi="Times New Roman" w:cs="Times New Roman"/>
          <w:color w:val="auto"/>
          <w:sz w:val="21"/>
          <w:szCs w:val="21"/>
        </w:rPr>
        <w:t>BSE</w:t>
      </w:r>
      <w:r>
        <w:rPr>
          <w:rFonts w:hint="eastAsia" w:ascii="Times New Roman" w:cs="Times New Roman"/>
          <w:color w:val="auto"/>
          <w:sz w:val="21"/>
          <w:szCs w:val="21"/>
        </w:rPr>
        <w:t>国家牛源材料的产品，需参照联邦食品、药品和化妆品法案（法案）</w:t>
      </w:r>
      <w:r>
        <w:rPr>
          <w:rFonts w:ascii="Times New Roman" w:hAnsi="Times New Roman" w:cs="Times New Roman"/>
          <w:color w:val="auto"/>
          <w:sz w:val="21"/>
          <w:szCs w:val="21"/>
        </w:rPr>
        <w:t>501</w:t>
      </w:r>
      <w:r>
        <w:rPr>
          <w:rFonts w:hint="eastAsia" w:ascii="Times New Roman" w:cs="Times New Roman"/>
          <w:color w:val="auto"/>
          <w:sz w:val="21"/>
          <w:szCs w:val="21"/>
        </w:rPr>
        <w:t>（</w:t>
      </w:r>
      <w:r>
        <w:rPr>
          <w:rFonts w:ascii="Times New Roman" w:hAnsi="Times New Roman" w:cs="Times New Roman"/>
          <w:color w:val="auto"/>
          <w:sz w:val="21"/>
          <w:szCs w:val="21"/>
        </w:rPr>
        <w:t>a</w:t>
      </w:r>
      <w:r>
        <w:rPr>
          <w:rFonts w:hint="eastAsia" w:ascii="Times New Roman" w:cs="Times New Roman"/>
          <w:color w:val="auto"/>
          <w:sz w:val="21"/>
          <w:szCs w:val="21"/>
        </w:rPr>
        <w:t>）（</w:t>
      </w:r>
      <w:r>
        <w:rPr>
          <w:rFonts w:ascii="Times New Roman" w:hAnsi="Times New Roman" w:cs="Times New Roman"/>
          <w:color w:val="auto"/>
          <w:sz w:val="21"/>
          <w:szCs w:val="21"/>
        </w:rPr>
        <w:t>2</w:t>
      </w:r>
      <w:r>
        <w:rPr>
          <w:rFonts w:hint="eastAsia" w:ascii="Times New Roman" w:cs="Times New Roman"/>
          <w:color w:val="auto"/>
          <w:sz w:val="21"/>
          <w:szCs w:val="21"/>
        </w:rPr>
        <w:t>）（</w:t>
      </w:r>
      <w:r>
        <w:rPr>
          <w:rFonts w:ascii="Times New Roman" w:hAnsi="Times New Roman" w:cs="Times New Roman"/>
          <w:color w:val="auto"/>
          <w:sz w:val="21"/>
          <w:szCs w:val="21"/>
        </w:rPr>
        <w:t>B</w:t>
      </w:r>
      <w:r>
        <w:rPr>
          <w:rFonts w:hint="eastAsia" w:ascii="Times New Roman" w:cs="Times New Roman"/>
          <w:color w:val="auto"/>
          <w:sz w:val="21"/>
          <w:szCs w:val="21"/>
        </w:rPr>
        <w:t>）部分；或该法案的</w:t>
      </w:r>
      <w:r>
        <w:rPr>
          <w:rFonts w:ascii="Times New Roman" w:hAnsi="Times New Roman" w:cs="Times New Roman"/>
          <w:color w:val="auto"/>
          <w:sz w:val="21"/>
          <w:szCs w:val="21"/>
        </w:rPr>
        <w:t>501</w:t>
      </w:r>
      <w:r>
        <w:rPr>
          <w:rFonts w:hint="eastAsia" w:ascii="Times New Roman" w:cs="Times New Roman"/>
          <w:color w:val="auto"/>
          <w:sz w:val="21"/>
          <w:szCs w:val="21"/>
        </w:rPr>
        <w:t>（</w:t>
      </w:r>
      <w:r>
        <w:rPr>
          <w:rFonts w:ascii="Times New Roman" w:hAnsi="Times New Roman" w:cs="Times New Roman"/>
          <w:color w:val="auto"/>
          <w:sz w:val="21"/>
          <w:szCs w:val="21"/>
        </w:rPr>
        <w:t>h</w:t>
      </w:r>
      <w:r>
        <w:rPr>
          <w:rFonts w:hint="eastAsia" w:ascii="Times New Roman" w:cs="Times New Roman"/>
          <w:color w:val="auto"/>
          <w:sz w:val="21"/>
          <w:szCs w:val="21"/>
        </w:rPr>
        <w:t>）部分，关于医疗器械和生物器械产品。该机构正在考虑制定规则来限制使用来自</w:t>
      </w:r>
      <w:r>
        <w:rPr>
          <w:rFonts w:ascii="Times New Roman" w:hAnsi="Times New Roman" w:cs="Times New Roman"/>
          <w:color w:val="auto"/>
          <w:sz w:val="21"/>
          <w:szCs w:val="21"/>
        </w:rPr>
        <w:t>BSE</w:t>
      </w:r>
      <w:r>
        <w:rPr>
          <w:rFonts w:hint="eastAsia" w:ascii="Times New Roman" w:cs="Times New Roman"/>
          <w:color w:val="auto"/>
          <w:sz w:val="21"/>
          <w:szCs w:val="21"/>
        </w:rPr>
        <w:t>国家的牛源材料。目前，</w:t>
      </w:r>
      <w:r>
        <w:rPr>
          <w:rFonts w:ascii="Times New Roman" w:hAnsi="Times New Roman" w:cs="Times New Roman"/>
          <w:color w:val="auto"/>
          <w:sz w:val="21"/>
          <w:szCs w:val="21"/>
        </w:rPr>
        <w:t>FDA</w:t>
      </w:r>
      <w:r>
        <w:rPr>
          <w:rFonts w:hint="eastAsia" w:ascii="Times New Roman" w:cs="Times New Roman"/>
          <w:color w:val="auto"/>
          <w:sz w:val="21"/>
          <w:szCs w:val="21"/>
        </w:rPr>
        <w:t>建议不得在</w:t>
      </w:r>
      <w:r>
        <w:rPr>
          <w:rFonts w:ascii="Times New Roman" w:hAnsi="Times New Roman" w:cs="Times New Roman"/>
          <w:color w:val="auto"/>
          <w:sz w:val="21"/>
          <w:szCs w:val="21"/>
        </w:rPr>
        <w:t>FDA</w:t>
      </w:r>
      <w:r>
        <w:rPr>
          <w:rFonts w:hint="eastAsia" w:ascii="Times New Roman" w:cs="Times New Roman"/>
          <w:color w:val="auto"/>
          <w:sz w:val="21"/>
          <w:szCs w:val="21"/>
        </w:rPr>
        <w:t>监管产品的生产中使用来自</w:t>
      </w:r>
      <w:r>
        <w:rPr>
          <w:rFonts w:ascii="Times New Roman" w:hAnsi="Times New Roman" w:cs="Times New Roman"/>
          <w:color w:val="auto"/>
          <w:sz w:val="21"/>
          <w:szCs w:val="21"/>
        </w:rPr>
        <w:t>BSE</w:t>
      </w:r>
      <w:r>
        <w:rPr>
          <w:rFonts w:hint="eastAsia" w:ascii="Times New Roman" w:cs="Times New Roman"/>
          <w:color w:val="auto"/>
          <w:sz w:val="21"/>
          <w:szCs w:val="21"/>
        </w:rPr>
        <w:t>国家的牛源材料。</w:t>
      </w:r>
    </w:p>
    <w:p w14:paraId="5EDA5495">
      <w:pPr>
        <w:adjustRightInd w:val="0"/>
        <w:snapToGrid w:val="0"/>
        <w:spacing w:line="360"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该机构提供以下建议，以防止使用生长于或源自</w:t>
      </w:r>
      <w:r>
        <w:rPr>
          <w:rFonts w:ascii="Times New Roman" w:hAnsi="Times New Roman" w:cs="Times New Roman"/>
          <w:color w:val="auto"/>
          <w:sz w:val="21"/>
          <w:szCs w:val="21"/>
        </w:rPr>
        <w:t>BSE</w:t>
      </w:r>
      <w:r>
        <w:rPr>
          <w:rFonts w:hint="eastAsia" w:ascii="Times New Roman" w:cs="Times New Roman"/>
          <w:color w:val="auto"/>
          <w:sz w:val="21"/>
          <w:szCs w:val="21"/>
        </w:rPr>
        <w:t>国家的牛的牛源材料。</w:t>
      </w:r>
      <w:r>
        <w:rPr>
          <w:rFonts w:ascii="Times New Roman" w:hAnsi="Times New Roman" w:cs="Times New Roman"/>
          <w:color w:val="auto"/>
          <w:sz w:val="21"/>
          <w:szCs w:val="21"/>
        </w:rPr>
        <w:t>FDA</w:t>
      </w:r>
      <w:r>
        <w:rPr>
          <w:rFonts w:hint="eastAsia" w:ascii="Times New Roman" w:cs="Times New Roman"/>
          <w:color w:val="auto"/>
          <w:sz w:val="21"/>
          <w:szCs w:val="21"/>
        </w:rPr>
        <w:t>建议生产商：</w:t>
      </w:r>
    </w:p>
    <w:p w14:paraId="2C835FC0">
      <w:pPr>
        <w:adjustRightInd w:val="0"/>
        <w:snapToGrid w:val="0"/>
        <w:spacing w:line="36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a.</w:t>
      </w:r>
      <w:r>
        <w:rPr>
          <w:rFonts w:hint="eastAsia" w:ascii="Times New Roman" w:cs="Times New Roman"/>
          <w:color w:val="auto"/>
          <w:sz w:val="21"/>
          <w:szCs w:val="21"/>
        </w:rPr>
        <w:t>确定监管产品所用的牛源材料和确定生产材料所用动物生活的所有国家。这一信息可能要由牛产品供应商提供监管产品的生产商。供应商还应向生产商提供合适的屠宰监管检验认证，如活体动物国家所要求的。</w:t>
      </w:r>
    </w:p>
    <w:p w14:paraId="5A519E93">
      <w:pPr>
        <w:adjustRightInd w:val="0"/>
        <w:snapToGrid w:val="0"/>
        <w:spacing w:line="36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b.</w:t>
      </w:r>
      <w:r>
        <w:rPr>
          <w:rFonts w:hint="eastAsia" w:ascii="Times New Roman" w:cs="Times New Roman"/>
          <w:color w:val="auto"/>
          <w:sz w:val="21"/>
          <w:szCs w:val="21"/>
        </w:rPr>
        <w:t>对每批次牛源材料和使用这些材料的每批次</w:t>
      </w:r>
      <w:r>
        <w:rPr>
          <w:rFonts w:ascii="Times New Roman" w:hAnsi="Times New Roman" w:cs="Times New Roman"/>
          <w:color w:val="auto"/>
          <w:sz w:val="21"/>
          <w:szCs w:val="21"/>
        </w:rPr>
        <w:t>FDA</w:t>
      </w:r>
      <w:r>
        <w:rPr>
          <w:rFonts w:hint="eastAsia" w:ascii="Times New Roman" w:cs="Times New Roman"/>
          <w:color w:val="auto"/>
          <w:sz w:val="21"/>
          <w:szCs w:val="21"/>
        </w:rPr>
        <w:t>监管产品保留溯源记录。这些记录应成为批记录的一部分，用于</w:t>
      </w:r>
      <w:r>
        <w:rPr>
          <w:rFonts w:ascii="Times New Roman" w:hAnsi="Times New Roman" w:cs="Times New Roman"/>
          <w:color w:val="auto"/>
          <w:sz w:val="21"/>
          <w:szCs w:val="21"/>
        </w:rPr>
        <w:t>FDA</w:t>
      </w:r>
      <w:r>
        <w:rPr>
          <w:rFonts w:hint="eastAsia" w:ascii="Times New Roman" w:cs="Times New Roman"/>
          <w:color w:val="auto"/>
          <w:sz w:val="21"/>
          <w:szCs w:val="21"/>
        </w:rPr>
        <w:t>审查。</w:t>
      </w:r>
    </w:p>
    <w:p w14:paraId="4CDE472B">
      <w:pPr>
        <w:adjustRightInd w:val="0"/>
        <w:snapToGrid w:val="0"/>
        <w:spacing w:line="36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c.</w:t>
      </w:r>
      <w:r>
        <w:rPr>
          <w:rFonts w:hint="eastAsia" w:ascii="Times New Roman" w:cs="Times New Roman"/>
          <w:color w:val="auto"/>
          <w:sz w:val="21"/>
          <w:szCs w:val="21"/>
        </w:rPr>
        <w:t>记录监管产品生产中所用任何牛源材料来源的活体动物的原产国。对于任何新的或正在授权、待批准程序中或已获批准的产品，尚未正式批准或批准的产品，用于人体给药的试验用产品，均应保存相关记录。这些记录应与批生产记录一起成为溯源记录的一部分，且这些信息应在</w:t>
      </w:r>
      <w:r>
        <w:rPr>
          <w:rFonts w:ascii="Times New Roman" w:hAnsi="Times New Roman" w:cs="Times New Roman"/>
          <w:color w:val="auto"/>
          <w:sz w:val="21"/>
          <w:szCs w:val="21"/>
        </w:rPr>
        <w:t>FDA</w:t>
      </w:r>
      <w:r>
        <w:rPr>
          <w:rFonts w:hint="eastAsia" w:ascii="Times New Roman" w:cs="Times New Roman"/>
          <w:color w:val="auto"/>
          <w:sz w:val="21"/>
          <w:szCs w:val="21"/>
        </w:rPr>
        <w:t>检查期间进行审查。</w:t>
      </w:r>
    </w:p>
    <w:p w14:paraId="473BD2B3">
      <w:pPr>
        <w:adjustRightInd w:val="0"/>
        <w:snapToGrid w:val="0"/>
        <w:spacing w:line="36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d.</w:t>
      </w:r>
      <w:r>
        <w:rPr>
          <w:rFonts w:hint="eastAsia" w:ascii="Times New Roman" w:cs="Times New Roman"/>
          <w:color w:val="auto"/>
          <w:sz w:val="21"/>
          <w:szCs w:val="21"/>
        </w:rPr>
        <w:t>对在国外生产或由国外生产商用牛源材料生产的</w:t>
      </w:r>
      <w:r>
        <w:rPr>
          <w:rFonts w:ascii="Times New Roman" w:hAnsi="Times New Roman" w:cs="Times New Roman"/>
          <w:color w:val="auto"/>
          <w:sz w:val="21"/>
          <w:szCs w:val="21"/>
        </w:rPr>
        <w:t>FDA</w:t>
      </w:r>
      <w:r>
        <w:rPr>
          <w:rFonts w:hint="eastAsia" w:ascii="Times New Roman" w:cs="Times New Roman"/>
          <w:color w:val="auto"/>
          <w:sz w:val="21"/>
          <w:szCs w:val="21"/>
        </w:rPr>
        <w:t>监管产品保留上述确认记录的副本。负责销售这些产品的美国公司应负责这些记录。待许可产品的生产商应在生产地保留记录。</w:t>
      </w:r>
    </w:p>
    <w:p w14:paraId="77C345F1">
      <w:pPr>
        <w:adjustRightInd w:val="0"/>
        <w:snapToGrid w:val="0"/>
        <w:spacing w:line="360"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该机构推荐获得所有目前已批准、许可或已授权的产品，以及申请中或可批准产品和试验用产品的上述确认信息。</w:t>
      </w:r>
    </w:p>
    <w:p w14:paraId="1368C22F">
      <w:pPr>
        <w:adjustRightInd w:val="0"/>
        <w:snapToGrid w:val="0"/>
        <w:spacing w:line="360"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一些</w:t>
      </w:r>
      <w:r>
        <w:rPr>
          <w:rFonts w:ascii="Times New Roman" w:hAnsi="Times New Roman" w:cs="Times New Roman"/>
          <w:color w:val="auto"/>
          <w:sz w:val="21"/>
          <w:szCs w:val="21"/>
        </w:rPr>
        <w:t>FDA</w:t>
      </w:r>
      <w:r>
        <w:rPr>
          <w:rFonts w:hint="eastAsia" w:ascii="Times New Roman" w:cs="Times New Roman"/>
          <w:color w:val="auto"/>
          <w:sz w:val="21"/>
          <w:szCs w:val="21"/>
        </w:rPr>
        <w:t>监管产品的生产商可能已经向</w:t>
      </w:r>
      <w:r>
        <w:rPr>
          <w:rFonts w:ascii="Times New Roman" w:hAnsi="Times New Roman" w:cs="Times New Roman"/>
          <w:color w:val="auto"/>
          <w:sz w:val="21"/>
          <w:szCs w:val="21"/>
        </w:rPr>
        <w:t>USDA</w:t>
      </w:r>
      <w:r>
        <w:rPr>
          <w:rFonts w:hint="eastAsia" w:ascii="Times New Roman" w:cs="Times New Roman"/>
          <w:color w:val="auto"/>
          <w:sz w:val="21"/>
          <w:szCs w:val="21"/>
        </w:rPr>
        <w:t>提供了这些信息，以获得在美国进口某些动物产品的许可。在某些情况下，这些申请和许可的副本可能含有一些</w:t>
      </w:r>
      <w:r>
        <w:rPr>
          <w:rFonts w:ascii="Times New Roman" w:hAnsi="Times New Roman" w:cs="Times New Roman"/>
          <w:color w:val="auto"/>
          <w:sz w:val="21"/>
          <w:szCs w:val="21"/>
        </w:rPr>
        <w:t>FDA</w:t>
      </w:r>
      <w:r>
        <w:rPr>
          <w:rFonts w:hint="eastAsia" w:ascii="Times New Roman" w:cs="Times New Roman"/>
          <w:color w:val="auto"/>
          <w:sz w:val="21"/>
          <w:szCs w:val="21"/>
        </w:rPr>
        <w:t>要求的信息。</w:t>
      </w:r>
      <w:r>
        <w:rPr>
          <w:rFonts w:ascii="Times New Roman" w:hAnsi="Times New Roman" w:cs="Times New Roman"/>
          <w:color w:val="auto"/>
          <w:sz w:val="21"/>
          <w:szCs w:val="21"/>
        </w:rPr>
        <w:t>FDA</w:t>
      </w:r>
      <w:r>
        <w:rPr>
          <w:rFonts w:hint="eastAsia" w:ascii="Times New Roman" w:cs="Times New Roman"/>
          <w:color w:val="auto"/>
          <w:sz w:val="21"/>
          <w:szCs w:val="21"/>
        </w:rPr>
        <w:t>建议将目前在美国生产或销售的所有牛源产品的这些信息应记录成文，并保留。这些信息应可供</w:t>
      </w:r>
      <w:r>
        <w:rPr>
          <w:rFonts w:ascii="Times New Roman" w:hAnsi="Times New Roman" w:cs="Times New Roman"/>
          <w:color w:val="auto"/>
          <w:sz w:val="21"/>
          <w:szCs w:val="21"/>
        </w:rPr>
        <w:t>FDA</w:t>
      </w:r>
      <w:r>
        <w:rPr>
          <w:rFonts w:hint="eastAsia" w:ascii="Times New Roman" w:cs="Times New Roman"/>
          <w:color w:val="auto"/>
          <w:sz w:val="21"/>
          <w:szCs w:val="21"/>
        </w:rPr>
        <w:t>审查。</w:t>
      </w:r>
    </w:p>
    <w:p w14:paraId="775AD304">
      <w:pPr>
        <w:adjustRightInd w:val="0"/>
        <w:snapToGrid w:val="0"/>
        <w:spacing w:line="360"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如果您有任何关于上述条目的问题，您联系如下相应的中心：</w:t>
      </w:r>
    </w:p>
    <w:p w14:paraId="1DF82AD7">
      <w:pPr>
        <w:adjustRightInd w:val="0"/>
        <w:snapToGrid w:val="0"/>
        <w:spacing w:line="360"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设备和放射卫生中心：</w:t>
      </w:r>
      <w:r>
        <w:rPr>
          <w:rFonts w:ascii="Times New Roman" w:hAnsi="Times New Roman" w:cs="Times New Roman"/>
          <w:color w:val="auto"/>
          <w:sz w:val="21"/>
          <w:szCs w:val="21"/>
        </w:rPr>
        <w:t xml:space="preserve">301-594-4692 </w:t>
      </w:r>
      <w:r>
        <w:rPr>
          <w:rFonts w:hint="eastAsia" w:ascii="Times New Roman" w:cs="Times New Roman"/>
          <w:color w:val="auto"/>
          <w:sz w:val="21"/>
          <w:szCs w:val="21"/>
        </w:rPr>
        <w:t>分机</w:t>
      </w:r>
    </w:p>
    <w:p w14:paraId="5F7FA065">
      <w:pPr>
        <w:adjustRightInd w:val="0"/>
        <w:snapToGrid w:val="0"/>
        <w:spacing w:line="36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158</w:t>
      </w:r>
    </w:p>
    <w:p w14:paraId="1CF161BB">
      <w:pPr>
        <w:adjustRightInd w:val="0"/>
        <w:snapToGrid w:val="0"/>
        <w:spacing w:line="30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hint="eastAsia" w:ascii="Times New Roman" w:cs="Times New Roman"/>
          <w:color w:val="auto"/>
          <w:sz w:val="21"/>
          <w:szCs w:val="21"/>
        </w:rPr>
        <w:t>药物评估和研究中心：</w:t>
      </w:r>
      <w:r>
        <w:rPr>
          <w:rFonts w:ascii="Times New Roman" w:hAnsi="Times New Roman" w:cs="Times New Roman"/>
          <w:color w:val="auto"/>
          <w:sz w:val="21"/>
          <w:szCs w:val="21"/>
        </w:rPr>
        <w:t>301-594-0054</w:t>
      </w:r>
    </w:p>
    <w:p w14:paraId="7324E17A">
      <w:pPr>
        <w:adjustRightInd w:val="0"/>
        <w:snapToGrid w:val="0"/>
        <w:spacing w:line="300"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生物制品评价与研究中心</w:t>
      </w:r>
      <w:r>
        <w:rPr>
          <w:rFonts w:ascii="Times New Roman" w:hAnsi="Times New Roman" w:cs="Times New Roman"/>
          <w:color w:val="auto"/>
          <w:sz w:val="21"/>
          <w:szCs w:val="21"/>
        </w:rPr>
        <w:t>—</w:t>
      </w:r>
      <w:r>
        <w:rPr>
          <w:rFonts w:hint="eastAsia" w:ascii="Times New Roman" w:cs="Times New Roman"/>
          <w:color w:val="auto"/>
          <w:sz w:val="21"/>
          <w:szCs w:val="21"/>
        </w:rPr>
        <w:t>联系负责您产品法规的</w:t>
      </w:r>
      <w:r>
        <w:rPr>
          <w:rFonts w:ascii="Times New Roman" w:hAnsi="Times New Roman" w:cs="Times New Roman"/>
          <w:color w:val="auto"/>
          <w:sz w:val="21"/>
          <w:szCs w:val="21"/>
        </w:rPr>
        <w:t>CBER</w:t>
      </w:r>
      <w:r>
        <w:rPr>
          <w:rFonts w:hint="eastAsia" w:ascii="Times New Roman" w:cs="Times New Roman"/>
          <w:color w:val="auto"/>
          <w:sz w:val="21"/>
          <w:szCs w:val="21"/>
        </w:rPr>
        <w:t>办公室的适合部门，这些办公室为：</w:t>
      </w:r>
    </w:p>
    <w:p w14:paraId="1101AD50">
      <w:pPr>
        <w:adjustRightInd w:val="0"/>
        <w:snapToGrid w:val="0"/>
        <w:spacing w:line="300"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疫苗研究和审查办公室</w:t>
      </w:r>
      <w:r>
        <w:rPr>
          <w:rFonts w:ascii="Times New Roman" w:hAnsi="Times New Roman" w:cs="Times New Roman"/>
          <w:color w:val="auto"/>
          <w:sz w:val="21"/>
          <w:szCs w:val="21"/>
        </w:rPr>
        <w:t xml:space="preserve">301-594-2090  </w:t>
      </w:r>
    </w:p>
    <w:p w14:paraId="6ED1B9AA">
      <w:pPr>
        <w:adjustRightInd w:val="0"/>
        <w:snapToGrid w:val="0"/>
        <w:spacing w:line="300"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治疗研究和审查办公室</w:t>
      </w:r>
      <w:r>
        <w:rPr>
          <w:rFonts w:ascii="Times New Roman" w:hAnsi="Times New Roman" w:cs="Times New Roman"/>
          <w:color w:val="auto"/>
          <w:sz w:val="21"/>
          <w:szCs w:val="21"/>
        </w:rPr>
        <w:t xml:space="preserve">301-594-5109  </w:t>
      </w:r>
    </w:p>
    <w:p w14:paraId="68C19EA1">
      <w:pPr>
        <w:adjustRightInd w:val="0"/>
        <w:snapToGrid w:val="0"/>
        <w:spacing w:line="300"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血液研究和审查办公室</w:t>
      </w:r>
      <w:r>
        <w:rPr>
          <w:rFonts w:ascii="Times New Roman" w:hAnsi="Times New Roman" w:cs="Times New Roman"/>
          <w:color w:val="auto"/>
          <w:sz w:val="21"/>
          <w:szCs w:val="21"/>
        </w:rPr>
        <w:t xml:space="preserve">301-594-2012  </w:t>
      </w:r>
    </w:p>
    <w:p w14:paraId="46E97810">
      <w:pPr>
        <w:adjustRightInd w:val="0"/>
        <w:snapToGrid w:val="0"/>
        <w:spacing w:line="300"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关于目前相关信息和</w:t>
      </w:r>
      <w:r>
        <w:rPr>
          <w:rFonts w:ascii="Times New Roman" w:hAnsi="Times New Roman" w:cs="Times New Roman"/>
          <w:color w:val="auto"/>
          <w:sz w:val="21"/>
          <w:szCs w:val="21"/>
        </w:rPr>
        <w:t>BSE</w:t>
      </w:r>
      <w:r>
        <w:rPr>
          <w:rFonts w:hint="eastAsia" w:ascii="Times New Roman" w:cs="Times New Roman"/>
          <w:color w:val="auto"/>
          <w:sz w:val="21"/>
          <w:szCs w:val="21"/>
        </w:rPr>
        <w:t>清单国家中的国家，监管产品的生产商可参考</w:t>
      </w:r>
      <w:r>
        <w:rPr>
          <w:rFonts w:ascii="Times New Roman" w:hAnsi="Times New Roman" w:cs="Times New Roman"/>
          <w:color w:val="auto"/>
          <w:sz w:val="21"/>
          <w:szCs w:val="21"/>
        </w:rPr>
        <w:t>USDA</w:t>
      </w:r>
      <w:r>
        <w:rPr>
          <w:rFonts w:hint="eastAsia" w:ascii="Times New Roman" w:cs="Times New Roman"/>
          <w:color w:val="auto"/>
          <w:sz w:val="21"/>
          <w:szCs w:val="21"/>
        </w:rPr>
        <w:t>。关于牛脑海绵状病（</w:t>
      </w:r>
      <w:r>
        <w:rPr>
          <w:rFonts w:ascii="Times New Roman" w:hAnsi="Times New Roman" w:cs="Times New Roman"/>
          <w:color w:val="auto"/>
          <w:sz w:val="21"/>
          <w:szCs w:val="21"/>
        </w:rPr>
        <w:t>BSE</w:t>
      </w:r>
      <w:r>
        <w:rPr>
          <w:rFonts w:hint="eastAsia" w:ascii="Times New Roman" w:cs="Times New Roman"/>
          <w:color w:val="auto"/>
          <w:sz w:val="21"/>
          <w:szCs w:val="21"/>
        </w:rPr>
        <w:t>）和受感染动物的其他信息和规定，可从开放的兽医文件和美国农业部获得（参阅</w:t>
      </w:r>
      <w:r>
        <w:rPr>
          <w:rFonts w:ascii="Times New Roman" w:hAnsi="Times New Roman" w:cs="Times New Roman"/>
          <w:color w:val="auto"/>
          <w:sz w:val="21"/>
          <w:szCs w:val="21"/>
        </w:rPr>
        <w:t>9 CFR 94.18</w:t>
      </w:r>
      <w:r>
        <w:rPr>
          <w:rFonts w:hint="eastAsia" w:ascii="Times New Roman" w:cs="Times New Roman"/>
          <w:color w:val="auto"/>
          <w:sz w:val="21"/>
          <w:szCs w:val="21"/>
        </w:rPr>
        <w:t>）。</w:t>
      </w:r>
    </w:p>
    <w:p w14:paraId="232F3FBB">
      <w:pPr>
        <w:adjustRightInd w:val="0"/>
        <w:snapToGrid w:val="0"/>
        <w:spacing w:line="300"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您诚挚的，</w:t>
      </w:r>
    </w:p>
    <w:p w14:paraId="51C385AD">
      <w:pPr>
        <w:adjustRightInd w:val="0"/>
        <w:snapToGrid w:val="0"/>
        <w:spacing w:line="30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Jane E. Henney, M.D.</w:t>
      </w:r>
    </w:p>
    <w:p w14:paraId="38ED2D1C">
      <w:pPr>
        <w:adjustRightInd w:val="0"/>
        <w:snapToGrid w:val="0"/>
        <w:spacing w:line="300"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运作副局长</w:t>
      </w:r>
    </w:p>
    <w:p w14:paraId="78AA1D10">
      <w:pPr>
        <w:adjustRightInd w:val="0"/>
        <w:snapToGrid w:val="0"/>
        <w:spacing w:line="30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1994</w:t>
      </w:r>
      <w:r>
        <w:rPr>
          <w:rFonts w:hint="eastAsia" w:ascii="Times New Roman" w:cs="Times New Roman"/>
          <w:color w:val="auto"/>
          <w:sz w:val="21"/>
          <w:szCs w:val="21"/>
        </w:rPr>
        <w:t>年</w:t>
      </w:r>
      <w:r>
        <w:rPr>
          <w:rFonts w:ascii="Times New Roman" w:hAnsi="Times New Roman" w:cs="Times New Roman"/>
          <w:color w:val="auto"/>
          <w:sz w:val="21"/>
          <w:szCs w:val="21"/>
        </w:rPr>
        <w:t>8</w:t>
      </w:r>
      <w:r>
        <w:rPr>
          <w:rFonts w:hint="eastAsia" w:ascii="Times New Roman" w:cs="Times New Roman"/>
          <w:color w:val="auto"/>
          <w:sz w:val="21"/>
          <w:szCs w:val="21"/>
        </w:rPr>
        <w:t>月</w:t>
      </w:r>
      <w:r>
        <w:rPr>
          <w:rFonts w:ascii="Times New Roman" w:hAnsi="Times New Roman" w:cs="Times New Roman"/>
          <w:color w:val="auto"/>
          <w:sz w:val="21"/>
          <w:szCs w:val="21"/>
        </w:rPr>
        <w:t>17</w:t>
      </w:r>
      <w:r>
        <w:rPr>
          <w:rFonts w:hint="eastAsia" w:ascii="Times New Roman" w:cs="Times New Roman"/>
          <w:color w:val="auto"/>
          <w:sz w:val="21"/>
          <w:szCs w:val="21"/>
        </w:rPr>
        <w:t>日致给动物用</w:t>
      </w:r>
      <w:r>
        <w:rPr>
          <w:rFonts w:ascii="Times New Roman" w:hAnsi="Times New Roman" w:cs="Times New Roman"/>
          <w:color w:val="auto"/>
          <w:sz w:val="21"/>
          <w:szCs w:val="21"/>
        </w:rPr>
        <w:t>FDA</w:t>
      </w:r>
      <w:r>
        <w:rPr>
          <w:rFonts w:hint="eastAsia" w:ascii="Times New Roman" w:cs="Times New Roman"/>
          <w:color w:val="auto"/>
          <w:sz w:val="21"/>
          <w:szCs w:val="21"/>
        </w:rPr>
        <w:t>监管产品生产商的信函正文如下：</w:t>
      </w:r>
    </w:p>
    <w:p w14:paraId="4A76228A">
      <w:pPr>
        <w:adjustRightInd w:val="0"/>
        <w:snapToGrid w:val="0"/>
        <w:spacing w:line="30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1994</w:t>
      </w:r>
      <w:r>
        <w:rPr>
          <w:rFonts w:hint="eastAsia" w:ascii="Times New Roman" w:cs="Times New Roman"/>
          <w:color w:val="auto"/>
          <w:sz w:val="21"/>
          <w:szCs w:val="21"/>
        </w:rPr>
        <w:t>年</w:t>
      </w:r>
      <w:r>
        <w:rPr>
          <w:rFonts w:ascii="Times New Roman" w:hAnsi="Times New Roman" w:cs="Times New Roman"/>
          <w:color w:val="auto"/>
          <w:sz w:val="21"/>
          <w:szCs w:val="21"/>
        </w:rPr>
        <w:t>8</w:t>
      </w:r>
      <w:r>
        <w:rPr>
          <w:rFonts w:hint="eastAsia" w:ascii="Times New Roman" w:cs="Times New Roman"/>
          <w:color w:val="auto"/>
          <w:sz w:val="21"/>
          <w:szCs w:val="21"/>
        </w:rPr>
        <w:t>月</w:t>
      </w:r>
      <w:r>
        <w:rPr>
          <w:rFonts w:ascii="Times New Roman" w:hAnsi="Times New Roman" w:cs="Times New Roman"/>
          <w:color w:val="auto"/>
          <w:sz w:val="21"/>
          <w:szCs w:val="21"/>
        </w:rPr>
        <w:t>17</w:t>
      </w:r>
      <w:r>
        <w:rPr>
          <w:rFonts w:hint="eastAsia" w:ascii="Times New Roman" w:cs="Times New Roman"/>
          <w:color w:val="auto"/>
          <w:sz w:val="21"/>
          <w:szCs w:val="21"/>
        </w:rPr>
        <w:t>日</w:t>
      </w:r>
    </w:p>
    <w:p w14:paraId="79857841">
      <w:pPr>
        <w:adjustRightInd w:val="0"/>
        <w:snapToGrid w:val="0"/>
        <w:spacing w:line="300"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致：动物用</w:t>
      </w:r>
      <w:r>
        <w:rPr>
          <w:rFonts w:ascii="Times New Roman" w:hAnsi="Times New Roman" w:cs="Times New Roman"/>
          <w:color w:val="auto"/>
          <w:sz w:val="21"/>
          <w:szCs w:val="21"/>
        </w:rPr>
        <w:t>FDA</w:t>
      </w:r>
      <w:r>
        <w:rPr>
          <w:rFonts w:hint="eastAsia" w:ascii="Times New Roman" w:cs="Times New Roman"/>
          <w:color w:val="auto"/>
          <w:sz w:val="21"/>
          <w:szCs w:val="21"/>
        </w:rPr>
        <w:t>监管产品的生产商食品药品管理局发布这封信函，要求来自生长或源自美国农业部（</w:t>
      </w:r>
      <w:r>
        <w:rPr>
          <w:rFonts w:ascii="Times New Roman" w:hAnsi="Times New Roman" w:cs="Times New Roman"/>
          <w:color w:val="auto"/>
          <w:sz w:val="21"/>
          <w:szCs w:val="21"/>
        </w:rPr>
        <w:t>USDA</w:t>
      </w:r>
      <w:r>
        <w:rPr>
          <w:rFonts w:hint="eastAsia" w:ascii="Times New Roman" w:cs="Times New Roman"/>
          <w:color w:val="auto"/>
          <w:sz w:val="21"/>
          <w:szCs w:val="21"/>
        </w:rPr>
        <w:t>）、动植物卫生检验处指定的牛脑海绵状病（</w:t>
      </w:r>
      <w:r>
        <w:rPr>
          <w:rFonts w:ascii="Times New Roman" w:hAnsi="Times New Roman" w:cs="Times New Roman"/>
          <w:color w:val="auto"/>
          <w:sz w:val="21"/>
          <w:szCs w:val="21"/>
        </w:rPr>
        <w:t>BSE</w:t>
      </w:r>
      <w:r>
        <w:rPr>
          <w:rFonts w:hint="eastAsia" w:ascii="Times New Roman" w:cs="Times New Roman"/>
          <w:color w:val="auto"/>
          <w:sz w:val="21"/>
          <w:szCs w:val="21"/>
        </w:rPr>
        <w:t>）国家的牛源材料，不得用于生产动物用</w:t>
      </w:r>
      <w:r>
        <w:rPr>
          <w:rFonts w:ascii="Times New Roman" w:hAnsi="Times New Roman" w:cs="Times New Roman"/>
          <w:color w:val="auto"/>
          <w:sz w:val="21"/>
          <w:szCs w:val="21"/>
        </w:rPr>
        <w:t>FDA</w:t>
      </w:r>
      <w:r>
        <w:rPr>
          <w:rFonts w:hint="eastAsia" w:ascii="Times New Roman" w:cs="Times New Roman"/>
          <w:color w:val="auto"/>
          <w:sz w:val="21"/>
          <w:szCs w:val="21"/>
        </w:rPr>
        <w:t>监管产品（药品和食品）。</w:t>
      </w:r>
      <w:r>
        <w:rPr>
          <w:rFonts w:ascii="Times New Roman" w:hAnsi="Times New Roman" w:cs="Times New Roman"/>
          <w:color w:val="auto"/>
          <w:sz w:val="21"/>
          <w:szCs w:val="21"/>
        </w:rPr>
        <w:t>FDA</w:t>
      </w:r>
      <w:r>
        <w:rPr>
          <w:rFonts w:hint="eastAsia" w:ascii="Times New Roman" w:cs="Times New Roman"/>
          <w:color w:val="auto"/>
          <w:sz w:val="21"/>
          <w:szCs w:val="21"/>
        </w:rPr>
        <w:t>相信这一行动对于防止美国的牛发生</w:t>
      </w:r>
      <w:r>
        <w:rPr>
          <w:rFonts w:ascii="Times New Roman" w:hAnsi="Times New Roman" w:cs="Times New Roman"/>
          <w:color w:val="auto"/>
          <w:sz w:val="21"/>
          <w:szCs w:val="21"/>
        </w:rPr>
        <w:t>BSE</w:t>
      </w:r>
      <w:r>
        <w:rPr>
          <w:rFonts w:hint="eastAsia" w:ascii="Times New Roman" w:cs="Times New Roman"/>
          <w:color w:val="auto"/>
          <w:sz w:val="21"/>
          <w:szCs w:val="21"/>
        </w:rPr>
        <w:t>是有必要的。这封信中不包括肉类（即骨骼肌）。有关肉和其他</w:t>
      </w:r>
      <w:r>
        <w:rPr>
          <w:rFonts w:ascii="Times New Roman" w:hAnsi="Times New Roman" w:cs="Times New Roman"/>
          <w:color w:val="auto"/>
          <w:sz w:val="21"/>
          <w:szCs w:val="21"/>
        </w:rPr>
        <w:t>USDA</w:t>
      </w:r>
      <w:r>
        <w:rPr>
          <w:rFonts w:hint="eastAsia" w:ascii="Times New Roman" w:cs="Times New Roman"/>
          <w:color w:val="auto"/>
          <w:sz w:val="21"/>
          <w:szCs w:val="21"/>
        </w:rPr>
        <w:t>监管产品的进口问题，参阅美国联邦法规第</w:t>
      </w:r>
      <w:r>
        <w:rPr>
          <w:rFonts w:ascii="Times New Roman" w:hAnsi="Times New Roman" w:cs="Times New Roman"/>
          <w:color w:val="auto"/>
          <w:sz w:val="21"/>
          <w:szCs w:val="21"/>
        </w:rPr>
        <w:t>9</w:t>
      </w:r>
      <w:r>
        <w:rPr>
          <w:rFonts w:hint="eastAsia" w:ascii="Times New Roman" w:cs="Times New Roman"/>
          <w:color w:val="auto"/>
          <w:sz w:val="21"/>
          <w:szCs w:val="21"/>
        </w:rPr>
        <w:t>篇。</w:t>
      </w:r>
    </w:p>
    <w:p w14:paraId="751152CA">
      <w:pPr>
        <w:adjustRightInd w:val="0"/>
        <w:snapToGrid w:val="0"/>
        <w:spacing w:line="30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FDA</w:t>
      </w:r>
      <w:r>
        <w:rPr>
          <w:rFonts w:hint="eastAsia" w:ascii="Times New Roman" w:cs="Times New Roman"/>
          <w:color w:val="auto"/>
          <w:sz w:val="21"/>
          <w:szCs w:val="21"/>
        </w:rPr>
        <w:t>提供以下信息以解释为什么该机构认为</w:t>
      </w:r>
      <w:r>
        <w:rPr>
          <w:rFonts w:ascii="Times New Roman" w:hAnsi="Times New Roman" w:cs="Times New Roman"/>
          <w:color w:val="auto"/>
          <w:sz w:val="21"/>
          <w:szCs w:val="21"/>
        </w:rPr>
        <w:t>BSE</w:t>
      </w:r>
      <w:r>
        <w:rPr>
          <w:rFonts w:hint="eastAsia" w:ascii="Times New Roman" w:cs="Times New Roman"/>
          <w:color w:val="auto"/>
          <w:sz w:val="21"/>
          <w:szCs w:val="21"/>
        </w:rPr>
        <w:t>能成为动物用</w:t>
      </w:r>
      <w:r>
        <w:rPr>
          <w:rFonts w:ascii="Times New Roman" w:hAnsi="Times New Roman" w:cs="Times New Roman"/>
          <w:color w:val="auto"/>
          <w:sz w:val="21"/>
          <w:szCs w:val="21"/>
        </w:rPr>
        <w:t>FDA</w:t>
      </w:r>
      <w:r>
        <w:rPr>
          <w:rFonts w:hint="eastAsia" w:ascii="Times New Roman" w:cs="Times New Roman"/>
          <w:color w:val="auto"/>
          <w:sz w:val="21"/>
          <w:szCs w:val="21"/>
        </w:rPr>
        <w:t>监管产品生产的潜在关注点。在英国，有超过</w:t>
      </w:r>
      <w:r>
        <w:rPr>
          <w:rFonts w:ascii="Times New Roman" w:hAnsi="Times New Roman" w:cs="Times New Roman"/>
          <w:color w:val="auto"/>
          <w:sz w:val="21"/>
          <w:szCs w:val="21"/>
        </w:rPr>
        <w:t>100,000</w:t>
      </w:r>
      <w:r>
        <w:rPr>
          <w:rFonts w:hint="eastAsia" w:ascii="Times New Roman" w:cs="Times New Roman"/>
          <w:color w:val="auto"/>
          <w:sz w:val="21"/>
          <w:szCs w:val="21"/>
        </w:rPr>
        <w:t>头牛确定有</w:t>
      </w:r>
      <w:r>
        <w:rPr>
          <w:rFonts w:ascii="Times New Roman" w:hAnsi="Times New Roman" w:cs="Times New Roman"/>
          <w:color w:val="auto"/>
          <w:sz w:val="21"/>
          <w:szCs w:val="21"/>
        </w:rPr>
        <w:t>BSE</w:t>
      </w:r>
      <w:r>
        <w:rPr>
          <w:rFonts w:hint="eastAsia" w:ascii="Times New Roman" w:cs="Times New Roman"/>
          <w:color w:val="auto"/>
          <w:sz w:val="21"/>
          <w:szCs w:val="21"/>
        </w:rPr>
        <w:t>，但还远低于欧洲其他国家。美国尚无</w:t>
      </w:r>
      <w:r>
        <w:rPr>
          <w:rFonts w:ascii="Times New Roman" w:hAnsi="Times New Roman" w:cs="Times New Roman"/>
          <w:color w:val="auto"/>
          <w:sz w:val="21"/>
          <w:szCs w:val="21"/>
        </w:rPr>
        <w:t>BSE</w:t>
      </w:r>
      <w:r>
        <w:rPr>
          <w:rFonts w:hint="eastAsia" w:ascii="Times New Roman" w:cs="Times New Roman"/>
          <w:color w:val="auto"/>
          <w:sz w:val="21"/>
          <w:szCs w:val="21"/>
        </w:rPr>
        <w:t>诊断。这种神经系统疾病时一种传播性海绵状脑病（</w:t>
      </w:r>
      <w:r>
        <w:rPr>
          <w:rFonts w:ascii="Times New Roman" w:hAnsi="Times New Roman" w:cs="Times New Roman"/>
          <w:color w:val="auto"/>
          <w:sz w:val="21"/>
          <w:szCs w:val="21"/>
        </w:rPr>
        <w:t>TSE</w:t>
      </w:r>
      <w:r>
        <w:rPr>
          <w:rFonts w:hint="eastAsia" w:ascii="Times New Roman" w:cs="Times New Roman"/>
          <w:color w:val="auto"/>
          <w:sz w:val="21"/>
          <w:szCs w:val="21"/>
        </w:rPr>
        <w:t>），与其他</w:t>
      </w:r>
      <w:r>
        <w:rPr>
          <w:rFonts w:ascii="Times New Roman" w:hAnsi="Times New Roman" w:cs="Times New Roman"/>
          <w:color w:val="auto"/>
          <w:sz w:val="21"/>
          <w:szCs w:val="21"/>
        </w:rPr>
        <w:t>TSE</w:t>
      </w:r>
      <w:r>
        <w:rPr>
          <w:rFonts w:hint="eastAsia" w:ascii="Times New Roman" w:cs="Times New Roman"/>
          <w:color w:val="auto"/>
          <w:sz w:val="21"/>
          <w:szCs w:val="21"/>
        </w:rPr>
        <w:t>相似，如羊瘙痒病和人克雅病（</w:t>
      </w:r>
      <w:r>
        <w:rPr>
          <w:rFonts w:ascii="Times New Roman" w:hAnsi="Times New Roman" w:cs="Times New Roman"/>
          <w:color w:val="auto"/>
          <w:sz w:val="21"/>
          <w:szCs w:val="21"/>
        </w:rPr>
        <w:t>CJD</w:t>
      </w:r>
      <w:r>
        <w:rPr>
          <w:rFonts w:hint="eastAsia" w:ascii="Times New Roman" w:cs="Times New Roman"/>
          <w:color w:val="auto"/>
          <w:sz w:val="21"/>
          <w:szCs w:val="21"/>
        </w:rPr>
        <w:t>）。海绵状脑病均为致命的，目前尚无快速诊断活体动物感染的检测方法。关于</w:t>
      </w:r>
      <w:r>
        <w:rPr>
          <w:rFonts w:ascii="Times New Roman" w:hAnsi="Times New Roman" w:cs="Times New Roman"/>
          <w:color w:val="auto"/>
          <w:sz w:val="21"/>
          <w:szCs w:val="21"/>
        </w:rPr>
        <w:t>BSE</w:t>
      </w:r>
      <w:r>
        <w:rPr>
          <w:rFonts w:hint="eastAsia" w:ascii="Times New Roman" w:cs="Times New Roman"/>
          <w:color w:val="auto"/>
          <w:sz w:val="21"/>
          <w:szCs w:val="21"/>
        </w:rPr>
        <w:t>病原体和其他海绵状脑病病原体确切特性、宿主范围、致病机制和发展快速死前诊断检测方法的研究项目正在进行。目前已知的科学信息表明这些病原体极度耐受普通的消毒和灭菌程序。已知有</w:t>
      </w:r>
      <w:r>
        <w:rPr>
          <w:rFonts w:ascii="Times New Roman" w:hAnsi="Times New Roman" w:cs="Times New Roman"/>
          <w:color w:val="auto"/>
          <w:sz w:val="21"/>
          <w:szCs w:val="21"/>
        </w:rPr>
        <w:t>BSE</w:t>
      </w:r>
      <w:r>
        <w:rPr>
          <w:rFonts w:hint="eastAsia" w:ascii="Times New Roman" w:cs="Times New Roman"/>
          <w:color w:val="auto"/>
          <w:sz w:val="21"/>
          <w:szCs w:val="21"/>
        </w:rPr>
        <w:t>存在的国家列表由</w:t>
      </w:r>
      <w:r>
        <w:rPr>
          <w:rFonts w:ascii="Times New Roman" w:hAnsi="Times New Roman" w:cs="Times New Roman"/>
          <w:color w:val="auto"/>
          <w:sz w:val="21"/>
          <w:szCs w:val="21"/>
        </w:rPr>
        <w:t>USDA</w:t>
      </w:r>
      <w:r>
        <w:rPr>
          <w:rFonts w:hint="eastAsia" w:ascii="Times New Roman" w:cs="Times New Roman"/>
          <w:color w:val="auto"/>
          <w:sz w:val="21"/>
          <w:szCs w:val="21"/>
        </w:rPr>
        <w:t>维持，编纂于美国联邦法规第</w:t>
      </w:r>
      <w:r>
        <w:rPr>
          <w:rFonts w:ascii="Times New Roman" w:hAnsi="Times New Roman" w:cs="Times New Roman"/>
          <w:color w:val="auto"/>
          <w:sz w:val="21"/>
          <w:szCs w:val="21"/>
        </w:rPr>
        <w:t>9</w:t>
      </w:r>
      <w:r>
        <w:rPr>
          <w:rFonts w:hint="eastAsia" w:ascii="Times New Roman" w:cs="Times New Roman"/>
          <w:color w:val="auto"/>
          <w:sz w:val="21"/>
          <w:szCs w:val="21"/>
        </w:rPr>
        <w:t>篇第</w:t>
      </w:r>
      <w:r>
        <w:rPr>
          <w:rFonts w:ascii="Times New Roman" w:hAnsi="Times New Roman" w:cs="Times New Roman"/>
          <w:color w:val="auto"/>
          <w:sz w:val="21"/>
          <w:szCs w:val="21"/>
        </w:rPr>
        <w:t>94.18</w:t>
      </w:r>
      <w:r>
        <w:rPr>
          <w:rFonts w:hint="eastAsia" w:ascii="Times New Roman" w:cs="Times New Roman"/>
          <w:color w:val="auto"/>
          <w:sz w:val="21"/>
          <w:szCs w:val="21"/>
        </w:rPr>
        <w:t>部分。</w:t>
      </w:r>
    </w:p>
    <w:p w14:paraId="69EC3AD5">
      <w:pPr>
        <w:adjustRightInd w:val="0"/>
        <w:snapToGrid w:val="0"/>
        <w:spacing w:line="300"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该机构指出规定的用于动物和生产过程中使用了来自</w:t>
      </w:r>
      <w:r>
        <w:rPr>
          <w:rFonts w:ascii="Times New Roman" w:hAnsi="Times New Roman" w:cs="Times New Roman"/>
          <w:color w:val="auto"/>
          <w:sz w:val="21"/>
          <w:szCs w:val="21"/>
        </w:rPr>
        <w:t>BSE</w:t>
      </w:r>
      <w:r>
        <w:rPr>
          <w:rFonts w:hint="eastAsia" w:ascii="Times New Roman" w:cs="Times New Roman"/>
          <w:color w:val="auto"/>
          <w:sz w:val="21"/>
          <w:szCs w:val="21"/>
        </w:rPr>
        <w:t>国家的牛源材料的产品，需参照联邦食品、药品和化妆品法案（法案）</w:t>
      </w:r>
      <w:r>
        <w:rPr>
          <w:rFonts w:ascii="Times New Roman" w:hAnsi="Times New Roman" w:cs="Times New Roman"/>
          <w:color w:val="auto"/>
          <w:sz w:val="21"/>
          <w:szCs w:val="21"/>
        </w:rPr>
        <w:t>501</w:t>
      </w:r>
      <w:r>
        <w:rPr>
          <w:rFonts w:hint="eastAsia" w:ascii="Times New Roman" w:cs="Times New Roman"/>
          <w:color w:val="auto"/>
          <w:sz w:val="21"/>
          <w:szCs w:val="21"/>
        </w:rPr>
        <w:t>（</w:t>
      </w:r>
      <w:r>
        <w:rPr>
          <w:rFonts w:ascii="Times New Roman" w:hAnsi="Times New Roman" w:cs="Times New Roman"/>
          <w:color w:val="auto"/>
          <w:sz w:val="21"/>
          <w:szCs w:val="21"/>
        </w:rPr>
        <w:t>a</w:t>
      </w:r>
      <w:r>
        <w:rPr>
          <w:rFonts w:hint="eastAsia" w:ascii="Times New Roman" w:cs="Times New Roman"/>
          <w:color w:val="auto"/>
          <w:sz w:val="21"/>
          <w:szCs w:val="21"/>
        </w:rPr>
        <w:t>）（</w:t>
      </w:r>
      <w:r>
        <w:rPr>
          <w:rFonts w:ascii="Times New Roman" w:hAnsi="Times New Roman" w:cs="Times New Roman"/>
          <w:color w:val="auto"/>
          <w:sz w:val="21"/>
          <w:szCs w:val="21"/>
        </w:rPr>
        <w:t>2</w:t>
      </w:r>
      <w:r>
        <w:rPr>
          <w:rFonts w:hint="eastAsia" w:ascii="Times New Roman" w:cs="Times New Roman"/>
          <w:color w:val="auto"/>
          <w:sz w:val="21"/>
          <w:szCs w:val="21"/>
        </w:rPr>
        <w:t>）（</w:t>
      </w:r>
      <w:r>
        <w:rPr>
          <w:rFonts w:ascii="Times New Roman" w:hAnsi="Times New Roman" w:cs="Times New Roman"/>
          <w:color w:val="auto"/>
          <w:sz w:val="21"/>
          <w:szCs w:val="21"/>
        </w:rPr>
        <w:t>B</w:t>
      </w:r>
      <w:r>
        <w:rPr>
          <w:rFonts w:hint="eastAsia" w:ascii="Times New Roman" w:cs="Times New Roman"/>
          <w:color w:val="auto"/>
          <w:sz w:val="21"/>
          <w:szCs w:val="21"/>
        </w:rPr>
        <w:t>）部分。</w:t>
      </w:r>
    </w:p>
    <w:p w14:paraId="55DB7BD5">
      <w:pPr>
        <w:adjustRightInd w:val="0"/>
        <w:snapToGrid w:val="0"/>
        <w:spacing w:line="300"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该机构正在考虑制定规则来限制使用来自</w:t>
      </w:r>
      <w:r>
        <w:rPr>
          <w:rFonts w:ascii="Times New Roman" w:hAnsi="Times New Roman" w:cs="Times New Roman"/>
          <w:color w:val="auto"/>
          <w:sz w:val="21"/>
          <w:szCs w:val="21"/>
        </w:rPr>
        <w:t>BSE</w:t>
      </w:r>
      <w:r>
        <w:rPr>
          <w:rFonts w:hint="eastAsia" w:ascii="Times New Roman" w:cs="Times New Roman"/>
          <w:color w:val="auto"/>
          <w:sz w:val="21"/>
          <w:szCs w:val="21"/>
        </w:rPr>
        <w:t>国家的牛源材料。目前，</w:t>
      </w:r>
      <w:r>
        <w:rPr>
          <w:rFonts w:ascii="Times New Roman" w:hAnsi="Times New Roman" w:cs="Times New Roman"/>
          <w:color w:val="auto"/>
          <w:sz w:val="21"/>
          <w:szCs w:val="21"/>
        </w:rPr>
        <w:t>FDA</w:t>
      </w:r>
      <w:r>
        <w:rPr>
          <w:rFonts w:hint="eastAsia" w:ascii="Times New Roman" w:cs="Times New Roman"/>
          <w:color w:val="auto"/>
          <w:sz w:val="21"/>
          <w:szCs w:val="21"/>
        </w:rPr>
        <w:t>建议不得在动物用</w:t>
      </w:r>
      <w:r>
        <w:rPr>
          <w:rFonts w:ascii="Times New Roman" w:hAnsi="Times New Roman" w:cs="Times New Roman"/>
          <w:color w:val="auto"/>
          <w:sz w:val="21"/>
          <w:szCs w:val="21"/>
        </w:rPr>
        <w:t>FDA</w:t>
      </w:r>
      <w:r>
        <w:rPr>
          <w:rFonts w:hint="eastAsia" w:ascii="Times New Roman" w:cs="Times New Roman"/>
          <w:color w:val="auto"/>
          <w:sz w:val="21"/>
          <w:szCs w:val="21"/>
        </w:rPr>
        <w:t>监管产品的生产中使用来自</w:t>
      </w:r>
      <w:r>
        <w:rPr>
          <w:rFonts w:ascii="Times New Roman" w:hAnsi="Times New Roman" w:cs="Times New Roman"/>
          <w:color w:val="auto"/>
          <w:sz w:val="21"/>
          <w:szCs w:val="21"/>
        </w:rPr>
        <w:t>BSE</w:t>
      </w:r>
      <w:r>
        <w:rPr>
          <w:rFonts w:hint="eastAsia" w:ascii="Times New Roman" w:cs="Times New Roman"/>
          <w:color w:val="auto"/>
          <w:sz w:val="21"/>
          <w:szCs w:val="21"/>
        </w:rPr>
        <w:t>国家的牛源材料。</w:t>
      </w:r>
    </w:p>
    <w:p w14:paraId="539DC9B6">
      <w:pPr>
        <w:adjustRightInd w:val="0"/>
        <w:snapToGrid w:val="0"/>
        <w:spacing w:line="30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FDA</w:t>
      </w:r>
      <w:r>
        <w:rPr>
          <w:rFonts w:hint="eastAsia" w:ascii="Times New Roman" w:cs="Times New Roman"/>
          <w:color w:val="auto"/>
          <w:sz w:val="21"/>
          <w:szCs w:val="21"/>
        </w:rPr>
        <w:t>认为，以下建议在目前来说是可以降低任何可能通过</w:t>
      </w:r>
      <w:r>
        <w:rPr>
          <w:rFonts w:ascii="Times New Roman" w:hAnsi="Times New Roman" w:cs="Times New Roman"/>
          <w:color w:val="auto"/>
          <w:sz w:val="21"/>
          <w:szCs w:val="21"/>
        </w:rPr>
        <w:t>FDA</w:t>
      </w:r>
      <w:r>
        <w:rPr>
          <w:rFonts w:hint="eastAsia" w:ascii="Times New Roman" w:cs="Times New Roman"/>
          <w:color w:val="auto"/>
          <w:sz w:val="21"/>
          <w:szCs w:val="21"/>
        </w:rPr>
        <w:t>监管产品向动物传播或暴露于</w:t>
      </w:r>
      <w:r>
        <w:rPr>
          <w:rFonts w:ascii="Times New Roman" w:hAnsi="Times New Roman" w:cs="Times New Roman"/>
          <w:color w:val="auto"/>
          <w:sz w:val="21"/>
          <w:szCs w:val="21"/>
        </w:rPr>
        <w:t>BSE</w:t>
      </w:r>
      <w:r>
        <w:rPr>
          <w:rFonts w:hint="eastAsia" w:ascii="Times New Roman" w:cs="Times New Roman"/>
          <w:color w:val="auto"/>
          <w:sz w:val="21"/>
          <w:szCs w:val="21"/>
        </w:rPr>
        <w:t>病原体潜在风险的谨慎一步。</w:t>
      </w:r>
    </w:p>
    <w:p w14:paraId="371A76FD">
      <w:pPr>
        <w:adjustRightInd w:val="0"/>
        <w:snapToGrid w:val="0"/>
        <w:spacing w:line="300"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我们建议生产商：</w:t>
      </w:r>
    </w:p>
    <w:p w14:paraId="3BF09217">
      <w:pPr>
        <w:adjustRightInd w:val="0"/>
        <w:snapToGrid w:val="0"/>
        <w:spacing w:line="30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a.</w:t>
      </w:r>
      <w:r>
        <w:rPr>
          <w:rFonts w:hint="eastAsia" w:ascii="Times New Roman" w:cs="Times New Roman"/>
          <w:color w:val="auto"/>
          <w:sz w:val="21"/>
          <w:szCs w:val="21"/>
        </w:rPr>
        <w:t>确定动物用监管产品所用的牛源材料和确定生产材料所用牛生活的所有国家。这一信息可能要由牛源材料供应商提供监管产品的生产商。供应商还应向生产商提供合适的屠宰监管检验认证，如果</w:t>
      </w:r>
      <w:r>
        <w:rPr>
          <w:rFonts w:ascii="Times New Roman" w:hAnsi="Times New Roman" w:cs="Times New Roman"/>
          <w:color w:val="auto"/>
          <w:sz w:val="21"/>
          <w:szCs w:val="21"/>
        </w:rPr>
        <w:t>USDA</w:t>
      </w:r>
      <w:r>
        <w:rPr>
          <w:rFonts w:hint="eastAsia" w:ascii="Times New Roman" w:cs="Times New Roman"/>
          <w:color w:val="auto"/>
          <w:sz w:val="21"/>
          <w:szCs w:val="21"/>
        </w:rPr>
        <w:t>已经对证实为原产国的</w:t>
      </w:r>
      <w:r>
        <w:rPr>
          <w:rFonts w:ascii="Times New Roman" w:hAnsi="Times New Roman" w:cs="Times New Roman"/>
          <w:color w:val="auto"/>
          <w:sz w:val="21"/>
          <w:szCs w:val="21"/>
        </w:rPr>
        <w:t>BSE</w:t>
      </w:r>
      <w:r>
        <w:rPr>
          <w:rFonts w:hint="eastAsia" w:ascii="Times New Roman" w:cs="Times New Roman"/>
          <w:color w:val="auto"/>
          <w:sz w:val="21"/>
          <w:szCs w:val="21"/>
        </w:rPr>
        <w:t>国家进口有要求。</w:t>
      </w:r>
    </w:p>
    <w:p w14:paraId="2F7F4449">
      <w:pPr>
        <w:adjustRightInd w:val="0"/>
        <w:snapToGrid w:val="0"/>
        <w:spacing w:line="36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ascii="Times New Roman" w:hAnsi="Times New Roman" w:cs="Times New Roman"/>
          <w:color w:val="auto"/>
          <w:sz w:val="21"/>
          <w:szCs w:val="21"/>
        </w:rPr>
        <w:t>b.</w:t>
      </w:r>
      <w:r>
        <w:rPr>
          <w:rFonts w:hint="eastAsia" w:ascii="Times New Roman" w:cs="Times New Roman"/>
          <w:color w:val="auto"/>
          <w:sz w:val="21"/>
          <w:szCs w:val="21"/>
        </w:rPr>
        <w:t>对每批次牛源材料和使用这些材料的每批次动物用</w:t>
      </w:r>
      <w:r>
        <w:rPr>
          <w:rFonts w:ascii="Times New Roman" w:hAnsi="Times New Roman" w:cs="Times New Roman"/>
          <w:color w:val="auto"/>
          <w:sz w:val="21"/>
          <w:szCs w:val="21"/>
        </w:rPr>
        <w:t>FDA</w:t>
      </w:r>
      <w:r>
        <w:rPr>
          <w:rFonts w:hint="eastAsia" w:ascii="Times New Roman" w:cs="Times New Roman"/>
          <w:color w:val="auto"/>
          <w:sz w:val="21"/>
          <w:szCs w:val="21"/>
        </w:rPr>
        <w:t>监管产品保留溯源记录。这些记录应成为批记录的一部分，用于</w:t>
      </w:r>
      <w:r>
        <w:rPr>
          <w:rFonts w:ascii="Times New Roman" w:hAnsi="Times New Roman" w:cs="Times New Roman"/>
          <w:color w:val="auto"/>
          <w:sz w:val="21"/>
          <w:szCs w:val="21"/>
        </w:rPr>
        <w:t>FDA</w:t>
      </w:r>
      <w:r>
        <w:rPr>
          <w:rFonts w:hint="eastAsia" w:ascii="Times New Roman" w:cs="Times New Roman"/>
          <w:color w:val="auto"/>
          <w:sz w:val="21"/>
          <w:szCs w:val="21"/>
        </w:rPr>
        <w:t>审查。</w:t>
      </w:r>
    </w:p>
    <w:p w14:paraId="5EFF01DE">
      <w:pPr>
        <w:adjustRightInd w:val="0"/>
        <w:snapToGrid w:val="0"/>
        <w:spacing w:line="36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c.</w:t>
      </w:r>
      <w:r>
        <w:rPr>
          <w:rFonts w:hint="eastAsia" w:ascii="Times New Roman" w:cs="Times New Roman"/>
          <w:color w:val="auto"/>
          <w:sz w:val="21"/>
          <w:szCs w:val="21"/>
        </w:rPr>
        <w:t>记录在生产任一新的或申请中的动物用</w:t>
      </w:r>
      <w:r>
        <w:rPr>
          <w:rFonts w:ascii="Times New Roman" w:hAnsi="Times New Roman" w:cs="Times New Roman"/>
          <w:color w:val="auto"/>
          <w:sz w:val="21"/>
          <w:szCs w:val="21"/>
        </w:rPr>
        <w:t>FDA</w:t>
      </w:r>
      <w:r>
        <w:rPr>
          <w:rFonts w:hint="eastAsia" w:ascii="Times New Roman" w:cs="Times New Roman"/>
          <w:color w:val="auto"/>
          <w:sz w:val="21"/>
          <w:szCs w:val="21"/>
        </w:rPr>
        <w:t>监管产品的生产中所用任何牛源材料来源的活体动物原产国。这些记录应与批生产记录一起成为溯源记录的一部分，且这些信息可供</w:t>
      </w:r>
      <w:r>
        <w:rPr>
          <w:rFonts w:ascii="Times New Roman" w:hAnsi="Times New Roman" w:cs="Times New Roman"/>
          <w:color w:val="auto"/>
          <w:sz w:val="21"/>
          <w:szCs w:val="21"/>
        </w:rPr>
        <w:t>FDA</w:t>
      </w:r>
      <w:r>
        <w:rPr>
          <w:rFonts w:hint="eastAsia" w:ascii="Times New Roman" w:cs="Times New Roman"/>
          <w:color w:val="auto"/>
          <w:sz w:val="21"/>
          <w:szCs w:val="21"/>
        </w:rPr>
        <w:t>检查。</w:t>
      </w:r>
    </w:p>
    <w:p w14:paraId="6B768E4C">
      <w:pPr>
        <w:adjustRightInd w:val="0"/>
        <w:snapToGrid w:val="0"/>
        <w:spacing w:line="36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d.</w:t>
      </w:r>
      <w:r>
        <w:rPr>
          <w:rFonts w:hint="eastAsia" w:ascii="Times New Roman" w:cs="Times New Roman"/>
          <w:color w:val="auto"/>
          <w:sz w:val="21"/>
          <w:szCs w:val="21"/>
        </w:rPr>
        <w:t>对在国外生产或由国外生产商用牛源材料生产的动物用</w:t>
      </w:r>
      <w:r>
        <w:rPr>
          <w:rFonts w:ascii="Times New Roman" w:hAnsi="Times New Roman" w:cs="Times New Roman"/>
          <w:color w:val="auto"/>
          <w:sz w:val="21"/>
          <w:szCs w:val="21"/>
        </w:rPr>
        <w:t>FDA</w:t>
      </w:r>
      <w:r>
        <w:rPr>
          <w:rFonts w:hint="eastAsia" w:ascii="Times New Roman" w:cs="Times New Roman"/>
          <w:color w:val="auto"/>
          <w:sz w:val="21"/>
          <w:szCs w:val="21"/>
        </w:rPr>
        <w:t>监管产品保留上述确认适当记录的副本。负责销售这些产品的美国公司应负责这些记录。已注册产品的生产商应在生产地保留记录。</w:t>
      </w:r>
    </w:p>
    <w:p w14:paraId="15D56BFD">
      <w:pPr>
        <w:adjustRightInd w:val="0"/>
        <w:snapToGrid w:val="0"/>
        <w:spacing w:line="360"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该机构推荐为所有动物用</w:t>
      </w:r>
      <w:r>
        <w:rPr>
          <w:rFonts w:ascii="Times New Roman" w:hAnsi="Times New Roman" w:cs="Times New Roman"/>
          <w:color w:val="auto"/>
          <w:sz w:val="21"/>
          <w:szCs w:val="21"/>
        </w:rPr>
        <w:t>FDA</w:t>
      </w:r>
      <w:r>
        <w:rPr>
          <w:rFonts w:hint="eastAsia" w:ascii="Times New Roman" w:cs="Times New Roman"/>
          <w:color w:val="auto"/>
          <w:sz w:val="21"/>
          <w:szCs w:val="21"/>
        </w:rPr>
        <w:t>监管产品获得和保留上述确定的信息。</w:t>
      </w:r>
    </w:p>
    <w:p w14:paraId="51E6C22B">
      <w:pPr>
        <w:adjustRightInd w:val="0"/>
        <w:snapToGrid w:val="0"/>
        <w:spacing w:line="360"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一些动物用</w:t>
      </w:r>
      <w:r>
        <w:rPr>
          <w:rFonts w:ascii="Times New Roman" w:hAnsi="Times New Roman" w:cs="Times New Roman"/>
          <w:color w:val="auto"/>
          <w:sz w:val="21"/>
          <w:szCs w:val="21"/>
        </w:rPr>
        <w:t>FDA</w:t>
      </w:r>
      <w:r>
        <w:rPr>
          <w:rFonts w:hint="eastAsia" w:ascii="Times New Roman" w:cs="Times New Roman"/>
          <w:color w:val="auto"/>
          <w:sz w:val="21"/>
          <w:szCs w:val="21"/>
        </w:rPr>
        <w:t>监管产品的生产商可能已经向</w:t>
      </w:r>
      <w:r>
        <w:rPr>
          <w:rFonts w:ascii="Times New Roman" w:hAnsi="Times New Roman" w:cs="Times New Roman"/>
          <w:color w:val="auto"/>
          <w:sz w:val="21"/>
          <w:szCs w:val="21"/>
        </w:rPr>
        <w:t>USDA</w:t>
      </w:r>
      <w:r>
        <w:rPr>
          <w:rFonts w:hint="eastAsia" w:ascii="Times New Roman" w:cs="Times New Roman"/>
          <w:color w:val="auto"/>
          <w:sz w:val="21"/>
          <w:szCs w:val="21"/>
        </w:rPr>
        <w:t>提供了这些信息，以获得在美国进口某些动物产品的许可。在某些情况下，这些申请和许可的副本可能含有一些要求的信息。我们建议将目前在美国生产或销售的在动物用</w:t>
      </w:r>
      <w:r>
        <w:rPr>
          <w:rFonts w:ascii="Times New Roman" w:hAnsi="Times New Roman" w:cs="Times New Roman"/>
          <w:color w:val="auto"/>
          <w:sz w:val="21"/>
          <w:szCs w:val="21"/>
        </w:rPr>
        <w:t>FDA</w:t>
      </w:r>
      <w:r>
        <w:rPr>
          <w:rFonts w:hint="eastAsia" w:ascii="Times New Roman" w:cs="Times New Roman"/>
          <w:color w:val="auto"/>
          <w:sz w:val="21"/>
          <w:szCs w:val="21"/>
        </w:rPr>
        <w:t>监管产品中使用的所有牛源性产品的这些信息应记录成文，并保留。这些信息应可供</w:t>
      </w:r>
      <w:r>
        <w:rPr>
          <w:rFonts w:ascii="Times New Roman" w:hAnsi="Times New Roman" w:cs="Times New Roman"/>
          <w:color w:val="auto"/>
          <w:sz w:val="21"/>
          <w:szCs w:val="21"/>
        </w:rPr>
        <w:t>FDA</w:t>
      </w:r>
      <w:r>
        <w:rPr>
          <w:rFonts w:hint="eastAsia" w:ascii="Times New Roman" w:cs="Times New Roman"/>
          <w:color w:val="auto"/>
          <w:sz w:val="21"/>
          <w:szCs w:val="21"/>
        </w:rPr>
        <w:t>审查。</w:t>
      </w:r>
    </w:p>
    <w:p w14:paraId="13EADA89">
      <w:pPr>
        <w:adjustRightInd w:val="0"/>
        <w:snapToGrid w:val="0"/>
        <w:spacing w:line="360"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如果您有任何关于上述条目的问题，您联系兽医中心：</w:t>
      </w:r>
    </w:p>
    <w:p w14:paraId="66A0E9E0">
      <w:pPr>
        <w:adjustRightInd w:val="0"/>
        <w:snapToGrid w:val="0"/>
        <w:spacing w:line="360" w:lineRule="auto"/>
        <w:ind w:firstLine="420" w:firstLineChars="200"/>
        <w:jc w:val="both"/>
        <w:rPr>
          <w:rFonts w:ascii="Times New Roman" w:hAnsi="Times New Roman" w:cs="Times New Roman"/>
          <w:color w:val="auto"/>
          <w:sz w:val="21"/>
          <w:szCs w:val="21"/>
          <w:lang w:val="en-US"/>
        </w:rPr>
      </w:pPr>
      <w:r>
        <w:rPr>
          <w:rFonts w:hint="eastAsia" w:ascii="Times New Roman" w:cs="Times New Roman"/>
          <w:color w:val="auto"/>
          <w:sz w:val="21"/>
          <w:szCs w:val="21"/>
        </w:rPr>
        <w:t>兽用药物</w:t>
      </w:r>
      <w:r>
        <w:rPr>
          <w:rFonts w:hint="eastAsia" w:ascii="Times New Roman" w:cs="Times New Roman"/>
          <w:color w:val="auto"/>
          <w:sz w:val="21"/>
          <w:szCs w:val="21"/>
          <w:lang w:val="en-US"/>
        </w:rPr>
        <w:t>：</w:t>
      </w:r>
      <w:r>
        <w:rPr>
          <w:rFonts w:ascii="Times New Roman" w:hAnsi="Times New Roman" w:cs="Times New Roman"/>
          <w:color w:val="auto"/>
          <w:sz w:val="21"/>
          <w:szCs w:val="21"/>
          <w:lang w:val="en-US"/>
        </w:rPr>
        <w:t xml:space="preserve"> Dr. William Keller, Director, Division of Surveillance, HFV-210, 7500 Standish Place, Rockville, Maryland 20855, 301-594-1722</w:t>
      </w:r>
    </w:p>
    <w:p w14:paraId="7AD133A1">
      <w:pPr>
        <w:adjustRightInd w:val="0"/>
        <w:snapToGrid w:val="0"/>
        <w:spacing w:line="360" w:lineRule="auto"/>
        <w:ind w:firstLine="420" w:firstLineChars="200"/>
        <w:jc w:val="both"/>
        <w:rPr>
          <w:rFonts w:ascii="Times New Roman" w:hAnsi="Times New Roman" w:cs="Times New Roman"/>
          <w:color w:val="auto"/>
          <w:sz w:val="21"/>
          <w:szCs w:val="21"/>
          <w:lang w:val="en-US"/>
        </w:rPr>
      </w:pPr>
      <w:r>
        <w:rPr>
          <w:rFonts w:hint="eastAsia" w:ascii="Times New Roman" w:cs="Times New Roman"/>
          <w:color w:val="auto"/>
          <w:sz w:val="21"/>
          <w:szCs w:val="21"/>
        </w:rPr>
        <w:t>动物饲料</w:t>
      </w:r>
      <w:r>
        <w:rPr>
          <w:rFonts w:hint="eastAsia" w:ascii="Times New Roman" w:cs="Times New Roman"/>
          <w:color w:val="auto"/>
          <w:sz w:val="21"/>
          <w:szCs w:val="21"/>
          <w:lang w:val="en-US"/>
        </w:rPr>
        <w:t>：</w:t>
      </w:r>
      <w:r>
        <w:rPr>
          <w:rFonts w:ascii="Times New Roman" w:hAnsi="Times New Roman" w:cs="Times New Roman"/>
          <w:color w:val="auto"/>
          <w:sz w:val="21"/>
          <w:szCs w:val="21"/>
          <w:lang w:val="en-US"/>
        </w:rPr>
        <w:t xml:space="preserve"> Dr. John Honstead, Division of Animal Feeds, HFV-222, 7500 Standish Place, Rockville, Maryland 20855, 301-S94- 1728</w:t>
      </w:r>
    </w:p>
    <w:p w14:paraId="0D59F474">
      <w:pPr>
        <w:adjustRightInd w:val="0"/>
        <w:snapToGrid w:val="0"/>
        <w:spacing w:line="360"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关于目前相关信息和本土动物患有</w:t>
      </w:r>
      <w:r>
        <w:rPr>
          <w:rFonts w:ascii="Times New Roman" w:hAnsi="Times New Roman" w:cs="Times New Roman"/>
          <w:color w:val="auto"/>
          <w:sz w:val="21"/>
          <w:szCs w:val="21"/>
        </w:rPr>
        <w:t>BSE</w:t>
      </w:r>
      <w:r>
        <w:rPr>
          <w:rFonts w:hint="eastAsia" w:ascii="Times New Roman" w:cs="Times New Roman"/>
          <w:color w:val="auto"/>
          <w:sz w:val="21"/>
          <w:szCs w:val="21"/>
        </w:rPr>
        <w:t>国家清单中的国家，监管产品的生产商可参考</w:t>
      </w:r>
      <w:r>
        <w:rPr>
          <w:rFonts w:ascii="Times New Roman" w:hAnsi="Times New Roman" w:cs="Times New Roman"/>
          <w:color w:val="auto"/>
          <w:sz w:val="21"/>
          <w:szCs w:val="21"/>
        </w:rPr>
        <w:t>USDA</w:t>
      </w:r>
      <w:r>
        <w:rPr>
          <w:rFonts w:hint="eastAsia" w:ascii="Times New Roman" w:cs="Times New Roman"/>
          <w:color w:val="auto"/>
          <w:sz w:val="21"/>
          <w:szCs w:val="21"/>
        </w:rPr>
        <w:t>。关于牛脑海绵状病（</w:t>
      </w:r>
      <w:r>
        <w:rPr>
          <w:rFonts w:ascii="Times New Roman" w:hAnsi="Times New Roman" w:cs="Times New Roman"/>
          <w:color w:val="auto"/>
          <w:sz w:val="21"/>
          <w:szCs w:val="21"/>
        </w:rPr>
        <w:t>BSE</w:t>
      </w:r>
      <w:r>
        <w:rPr>
          <w:rFonts w:hint="eastAsia" w:ascii="Times New Roman" w:cs="Times New Roman"/>
          <w:color w:val="auto"/>
          <w:sz w:val="21"/>
          <w:szCs w:val="21"/>
        </w:rPr>
        <w:t>）和感染动物的其他信息和规定，可从</w:t>
      </w:r>
      <w:r>
        <w:rPr>
          <w:rFonts w:ascii="Times New Roman" w:hAnsi="Times New Roman" w:cs="Times New Roman"/>
          <w:color w:val="auto"/>
          <w:sz w:val="21"/>
          <w:szCs w:val="21"/>
        </w:rPr>
        <w:t>USDA</w:t>
      </w:r>
      <w:r>
        <w:rPr>
          <w:rFonts w:hint="eastAsia" w:ascii="Times New Roman" w:cs="Times New Roman"/>
          <w:color w:val="auto"/>
          <w:sz w:val="21"/>
          <w:szCs w:val="21"/>
        </w:rPr>
        <w:t>、动植物卫生检验处获得</w:t>
      </w:r>
      <w:r>
        <w:rPr>
          <w:rFonts w:ascii="Times New Roman" w:hAnsi="Times New Roman" w:cs="Times New Roman"/>
          <w:color w:val="auto"/>
          <w:sz w:val="21"/>
          <w:szCs w:val="21"/>
        </w:rPr>
        <w:t>(301-436-7830)</w:t>
      </w:r>
      <w:r>
        <w:rPr>
          <w:rFonts w:hint="eastAsia" w:ascii="Times New Roman" w:cs="Times New Roman"/>
          <w:color w:val="auto"/>
          <w:sz w:val="21"/>
          <w:szCs w:val="21"/>
        </w:rPr>
        <w:t>。</w:t>
      </w:r>
    </w:p>
    <w:p w14:paraId="7B04789A">
      <w:pPr>
        <w:adjustRightInd w:val="0"/>
        <w:snapToGrid w:val="0"/>
        <w:spacing w:line="360"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您诚挚的，</w:t>
      </w:r>
    </w:p>
    <w:p w14:paraId="410714B4">
      <w:pPr>
        <w:adjustRightInd w:val="0"/>
        <w:snapToGrid w:val="0"/>
        <w:spacing w:line="36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Linda A. Suydam</w:t>
      </w:r>
    </w:p>
    <w:p w14:paraId="5957CFE9">
      <w:pPr>
        <w:adjustRightInd w:val="0"/>
        <w:snapToGrid w:val="0"/>
        <w:spacing w:line="360"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临时运作副局长</w:t>
      </w:r>
    </w:p>
    <w:p w14:paraId="18E600A6">
      <w:pPr>
        <w:adjustRightInd w:val="0"/>
        <w:snapToGrid w:val="0"/>
        <w:spacing w:line="36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1994</w:t>
      </w:r>
      <w:r>
        <w:rPr>
          <w:rFonts w:hint="eastAsia" w:ascii="Times New Roman" w:cs="Times New Roman"/>
          <w:color w:val="auto"/>
          <w:sz w:val="21"/>
          <w:szCs w:val="21"/>
        </w:rPr>
        <w:t>年</w:t>
      </w:r>
      <w:r>
        <w:rPr>
          <w:rFonts w:ascii="Times New Roman" w:hAnsi="Times New Roman" w:cs="Times New Roman"/>
          <w:color w:val="auto"/>
          <w:sz w:val="21"/>
          <w:szCs w:val="21"/>
        </w:rPr>
        <w:t>8</w:t>
      </w:r>
      <w:r>
        <w:rPr>
          <w:rFonts w:hint="eastAsia" w:ascii="Times New Roman" w:cs="Times New Roman"/>
          <w:color w:val="auto"/>
          <w:sz w:val="21"/>
          <w:szCs w:val="21"/>
        </w:rPr>
        <w:t>月</w:t>
      </w:r>
      <w:r>
        <w:rPr>
          <w:rFonts w:ascii="Times New Roman" w:hAnsi="Times New Roman" w:cs="Times New Roman"/>
          <w:color w:val="auto"/>
          <w:sz w:val="21"/>
          <w:szCs w:val="21"/>
        </w:rPr>
        <w:t>17</w:t>
      </w:r>
      <w:r>
        <w:rPr>
          <w:rFonts w:hint="eastAsia" w:ascii="Times New Roman" w:cs="Times New Roman"/>
          <w:color w:val="auto"/>
          <w:sz w:val="21"/>
          <w:szCs w:val="21"/>
        </w:rPr>
        <w:t>日致膳食补充剂和化妆品生产商和进口商的信函正文如下：</w:t>
      </w:r>
    </w:p>
    <w:p w14:paraId="6FBF2CD0">
      <w:pPr>
        <w:adjustRightInd w:val="0"/>
        <w:snapToGrid w:val="0"/>
        <w:spacing w:line="36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1994</w:t>
      </w:r>
      <w:r>
        <w:rPr>
          <w:rFonts w:hint="eastAsia" w:ascii="Times New Roman" w:cs="Times New Roman"/>
          <w:color w:val="auto"/>
          <w:sz w:val="21"/>
          <w:szCs w:val="21"/>
        </w:rPr>
        <w:t>年</w:t>
      </w:r>
      <w:r>
        <w:rPr>
          <w:rFonts w:ascii="Times New Roman" w:hAnsi="Times New Roman" w:cs="Times New Roman"/>
          <w:color w:val="auto"/>
          <w:sz w:val="21"/>
          <w:szCs w:val="21"/>
        </w:rPr>
        <w:t>8</w:t>
      </w:r>
      <w:r>
        <w:rPr>
          <w:rFonts w:hint="eastAsia" w:ascii="Times New Roman" w:cs="Times New Roman"/>
          <w:color w:val="auto"/>
          <w:sz w:val="21"/>
          <w:szCs w:val="21"/>
        </w:rPr>
        <w:t>月</w:t>
      </w:r>
      <w:r>
        <w:rPr>
          <w:rFonts w:ascii="Times New Roman" w:hAnsi="Times New Roman" w:cs="Times New Roman"/>
          <w:color w:val="auto"/>
          <w:sz w:val="21"/>
          <w:szCs w:val="21"/>
        </w:rPr>
        <w:t>17</w:t>
      </w:r>
      <w:r>
        <w:rPr>
          <w:rFonts w:hint="eastAsia" w:ascii="Times New Roman" w:cs="Times New Roman"/>
          <w:color w:val="auto"/>
          <w:sz w:val="21"/>
          <w:szCs w:val="21"/>
        </w:rPr>
        <w:t>日</w:t>
      </w:r>
    </w:p>
    <w:p w14:paraId="5ED8373E">
      <w:pPr>
        <w:adjustRightInd w:val="0"/>
        <w:snapToGrid w:val="0"/>
        <w:spacing w:line="360"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致膳食补充剂生产商和进口商：</w:t>
      </w:r>
    </w:p>
    <w:p w14:paraId="569A1725">
      <w:pPr>
        <w:adjustRightInd w:val="0"/>
        <w:snapToGrid w:val="0"/>
        <w:spacing w:line="360"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致化妆品生产商和进口商：</w:t>
      </w:r>
    </w:p>
    <w:p w14:paraId="2A109EF9">
      <w:pPr>
        <w:adjustRightInd w:val="0"/>
        <w:snapToGrid w:val="0"/>
        <w:spacing w:line="360"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美国食品药品管理局（</w:t>
      </w:r>
      <w:r>
        <w:rPr>
          <w:rFonts w:ascii="Times New Roman" w:hAnsi="Times New Roman" w:cs="Times New Roman"/>
          <w:color w:val="auto"/>
          <w:sz w:val="21"/>
          <w:szCs w:val="21"/>
        </w:rPr>
        <w:t>FDA</w:t>
      </w:r>
      <w:r>
        <w:rPr>
          <w:rFonts w:hint="eastAsia" w:ascii="Times New Roman" w:cs="Times New Roman"/>
          <w:color w:val="auto"/>
          <w:sz w:val="21"/>
          <w:szCs w:val="21"/>
        </w:rPr>
        <w:t>）建议生产或进口含某些牛组织（参阅附录</w:t>
      </w:r>
      <w:r>
        <w:rPr>
          <w:rFonts w:ascii="Times New Roman" w:hAnsi="Times New Roman" w:cs="Times New Roman"/>
          <w:color w:val="auto"/>
          <w:sz w:val="21"/>
          <w:szCs w:val="21"/>
        </w:rPr>
        <w:t>A</w:t>
      </w:r>
      <w:r>
        <w:rPr>
          <w:rFonts w:hint="eastAsia" w:ascii="Times New Roman" w:cs="Times New Roman"/>
          <w:color w:val="auto"/>
          <w:sz w:val="21"/>
          <w:szCs w:val="21"/>
        </w:rPr>
        <w:t>）膳食补充剂和化妆品的公司需确认这些组织不是来自在有牛脑海绵状病（</w:t>
      </w:r>
      <w:r>
        <w:rPr>
          <w:rFonts w:ascii="Times New Roman" w:hAnsi="Times New Roman" w:cs="Times New Roman"/>
          <w:color w:val="auto"/>
          <w:sz w:val="21"/>
          <w:szCs w:val="21"/>
        </w:rPr>
        <w:t>BSE</w:t>
      </w:r>
      <w:r>
        <w:rPr>
          <w:rFonts w:hint="eastAsia" w:ascii="Times New Roman" w:cs="Times New Roman"/>
          <w:color w:val="auto"/>
          <w:sz w:val="21"/>
          <w:szCs w:val="21"/>
        </w:rPr>
        <w:t>）存在的国家（</w:t>
      </w:r>
      <w:r>
        <w:rPr>
          <w:rFonts w:ascii="Times New Roman" w:hAnsi="Times New Roman" w:cs="Times New Roman"/>
          <w:color w:val="auto"/>
          <w:sz w:val="21"/>
          <w:szCs w:val="21"/>
        </w:rPr>
        <w:t>BSE</w:t>
      </w:r>
      <w:r>
        <w:rPr>
          <w:rFonts w:hint="eastAsia" w:ascii="Times New Roman" w:cs="Times New Roman"/>
          <w:color w:val="auto"/>
          <w:sz w:val="21"/>
          <w:szCs w:val="21"/>
        </w:rPr>
        <w:t>国家）出生、饲养或宰杀的牛。</w:t>
      </w:r>
      <w:r>
        <w:rPr>
          <w:rFonts w:ascii="Times New Roman" w:hAnsi="Times New Roman" w:cs="Times New Roman"/>
          <w:color w:val="auto"/>
          <w:sz w:val="21"/>
          <w:szCs w:val="21"/>
        </w:rPr>
        <w:br w:type="textWrapping"/>
      </w:r>
      <w:r>
        <w:rPr>
          <w:rFonts w:hint="eastAsia" w:ascii="Times New Roman" w:cs="Times New Roman"/>
          <w:color w:val="auto"/>
          <w:sz w:val="21"/>
          <w:szCs w:val="21"/>
        </w:rPr>
        <w:t>这些组织的提取物和源自这些组织的成分也值得关注。建议采取的行动为预防性措施，以减少人暴露于或传播致牛</w:t>
      </w:r>
      <w:r>
        <w:rPr>
          <w:rFonts w:ascii="Times New Roman" w:hAnsi="Times New Roman" w:cs="Times New Roman"/>
          <w:color w:val="auto"/>
          <w:sz w:val="21"/>
          <w:szCs w:val="21"/>
        </w:rPr>
        <w:t>BSE</w:t>
      </w:r>
      <w:r>
        <w:rPr>
          <w:rFonts w:hint="eastAsia" w:ascii="Times New Roman" w:cs="Times New Roman"/>
          <w:color w:val="auto"/>
          <w:sz w:val="21"/>
          <w:szCs w:val="21"/>
        </w:rPr>
        <w:t>的病原体的潜在风险。</w:t>
      </w:r>
    </w:p>
    <w:p w14:paraId="741B6CB8">
      <w:pPr>
        <w:adjustRightInd w:val="0"/>
        <w:snapToGrid w:val="0"/>
        <w:spacing w:line="36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hint="eastAsia" w:ascii="Times New Roman" w:cs="Times New Roman"/>
          <w:color w:val="auto"/>
          <w:sz w:val="21"/>
          <w:szCs w:val="21"/>
        </w:rPr>
        <w:t>目前，</w:t>
      </w:r>
      <w:r>
        <w:rPr>
          <w:rFonts w:ascii="Times New Roman" w:hAnsi="Times New Roman" w:cs="Times New Roman"/>
          <w:color w:val="auto"/>
          <w:sz w:val="21"/>
          <w:szCs w:val="21"/>
        </w:rPr>
        <w:t>FDA</w:t>
      </w:r>
      <w:r>
        <w:rPr>
          <w:rFonts w:hint="eastAsia" w:ascii="Times New Roman" w:cs="Times New Roman"/>
          <w:color w:val="auto"/>
          <w:sz w:val="21"/>
          <w:szCs w:val="21"/>
        </w:rPr>
        <w:t>并没有在这封信函中将建议扩充至乳制品或明胶，因现有的证据并没有提示可通过这些食品传播。此外，这封信函中也未包括肉类（即骨骼肌）。有关肉和其他美国农业部（</w:t>
      </w:r>
      <w:r>
        <w:rPr>
          <w:rFonts w:ascii="Times New Roman" w:hAnsi="Times New Roman" w:cs="Times New Roman"/>
          <w:color w:val="auto"/>
          <w:sz w:val="21"/>
          <w:szCs w:val="21"/>
        </w:rPr>
        <w:t>USDA</w:t>
      </w:r>
      <w:r>
        <w:rPr>
          <w:rFonts w:hint="eastAsia" w:ascii="Times New Roman" w:cs="Times New Roman"/>
          <w:color w:val="auto"/>
          <w:sz w:val="21"/>
          <w:szCs w:val="21"/>
        </w:rPr>
        <w:t>）监管产品的进口问题，参阅美国联邦法规第</w:t>
      </w:r>
      <w:r>
        <w:rPr>
          <w:rFonts w:ascii="Times New Roman" w:hAnsi="Times New Roman" w:cs="Times New Roman"/>
          <w:color w:val="auto"/>
          <w:sz w:val="21"/>
          <w:szCs w:val="21"/>
        </w:rPr>
        <w:t>9</w:t>
      </w:r>
      <w:r>
        <w:rPr>
          <w:rFonts w:hint="eastAsia" w:ascii="Times New Roman" w:cs="Times New Roman"/>
          <w:color w:val="auto"/>
          <w:sz w:val="21"/>
          <w:szCs w:val="21"/>
        </w:rPr>
        <w:t>篇。</w:t>
      </w:r>
    </w:p>
    <w:p w14:paraId="7DA0EF60">
      <w:pPr>
        <w:adjustRightInd w:val="0"/>
        <w:snapToGrid w:val="0"/>
        <w:spacing w:line="36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FDA</w:t>
      </w:r>
      <w:r>
        <w:rPr>
          <w:rFonts w:hint="eastAsia" w:ascii="Times New Roman" w:cs="Times New Roman"/>
          <w:color w:val="auto"/>
          <w:sz w:val="21"/>
          <w:szCs w:val="21"/>
        </w:rPr>
        <w:t>提供以下信息以解释为什么该机构认为</w:t>
      </w:r>
      <w:r>
        <w:rPr>
          <w:rFonts w:ascii="Times New Roman" w:hAnsi="Times New Roman" w:cs="Times New Roman"/>
          <w:color w:val="auto"/>
          <w:sz w:val="21"/>
          <w:szCs w:val="21"/>
        </w:rPr>
        <w:t>BSE</w:t>
      </w:r>
      <w:r>
        <w:rPr>
          <w:rFonts w:hint="eastAsia" w:ascii="Times New Roman" w:cs="Times New Roman"/>
          <w:color w:val="auto"/>
          <w:sz w:val="21"/>
          <w:szCs w:val="21"/>
        </w:rPr>
        <w:t>能成为某些膳食补充剂和化妆品产品生产的潜在关注点。在英国，有超过</w:t>
      </w:r>
      <w:r>
        <w:rPr>
          <w:rFonts w:ascii="Times New Roman" w:hAnsi="Times New Roman" w:cs="Times New Roman"/>
          <w:color w:val="auto"/>
          <w:sz w:val="21"/>
          <w:szCs w:val="21"/>
        </w:rPr>
        <w:t>100,000</w:t>
      </w:r>
      <w:r>
        <w:rPr>
          <w:rFonts w:hint="eastAsia" w:ascii="Times New Roman" w:cs="Times New Roman"/>
          <w:color w:val="auto"/>
          <w:sz w:val="21"/>
          <w:szCs w:val="21"/>
        </w:rPr>
        <w:t>头牛确定有</w:t>
      </w:r>
      <w:r>
        <w:rPr>
          <w:rFonts w:ascii="Times New Roman" w:hAnsi="Times New Roman" w:cs="Times New Roman"/>
          <w:color w:val="auto"/>
          <w:sz w:val="21"/>
          <w:szCs w:val="21"/>
        </w:rPr>
        <w:t>BSE</w:t>
      </w:r>
      <w:r>
        <w:rPr>
          <w:rFonts w:hint="eastAsia" w:ascii="Times New Roman" w:cs="Times New Roman"/>
          <w:color w:val="auto"/>
          <w:sz w:val="21"/>
          <w:szCs w:val="21"/>
        </w:rPr>
        <w:t>，远低于其他几个国家。美国尚无</w:t>
      </w:r>
      <w:r>
        <w:rPr>
          <w:rFonts w:ascii="Times New Roman" w:hAnsi="Times New Roman" w:cs="Times New Roman"/>
          <w:color w:val="auto"/>
          <w:sz w:val="21"/>
          <w:szCs w:val="21"/>
        </w:rPr>
        <w:t>BSE</w:t>
      </w:r>
      <w:r>
        <w:rPr>
          <w:rFonts w:hint="eastAsia" w:ascii="Times New Roman" w:cs="Times New Roman"/>
          <w:color w:val="auto"/>
          <w:sz w:val="21"/>
          <w:szCs w:val="21"/>
        </w:rPr>
        <w:t>诊断。这种神经系统疾病时一种传播性海绵状脑病（</w:t>
      </w:r>
      <w:r>
        <w:rPr>
          <w:rFonts w:ascii="Times New Roman" w:hAnsi="Times New Roman" w:cs="Times New Roman"/>
          <w:color w:val="auto"/>
          <w:sz w:val="21"/>
          <w:szCs w:val="21"/>
        </w:rPr>
        <w:t>TSE</w:t>
      </w:r>
      <w:r>
        <w:rPr>
          <w:rFonts w:hint="eastAsia" w:ascii="Times New Roman" w:cs="Times New Roman"/>
          <w:color w:val="auto"/>
          <w:sz w:val="21"/>
          <w:szCs w:val="21"/>
        </w:rPr>
        <w:t>），与其他</w:t>
      </w:r>
      <w:r>
        <w:rPr>
          <w:rFonts w:ascii="Times New Roman" w:hAnsi="Times New Roman" w:cs="Times New Roman"/>
          <w:color w:val="auto"/>
          <w:sz w:val="21"/>
          <w:szCs w:val="21"/>
        </w:rPr>
        <w:t>TSE</w:t>
      </w:r>
      <w:r>
        <w:rPr>
          <w:rFonts w:hint="eastAsia" w:ascii="Times New Roman" w:cs="Times New Roman"/>
          <w:color w:val="auto"/>
          <w:sz w:val="21"/>
          <w:szCs w:val="21"/>
        </w:rPr>
        <w:t>相似，如羊瘙痒病和人克雅病（</w:t>
      </w:r>
      <w:r>
        <w:rPr>
          <w:rFonts w:ascii="Times New Roman" w:hAnsi="Times New Roman" w:cs="Times New Roman"/>
          <w:color w:val="auto"/>
          <w:sz w:val="21"/>
          <w:szCs w:val="21"/>
        </w:rPr>
        <w:t>CJD</w:t>
      </w:r>
      <w:r>
        <w:rPr>
          <w:rFonts w:hint="eastAsia" w:ascii="Times New Roman" w:cs="Times New Roman"/>
          <w:color w:val="auto"/>
          <w:sz w:val="21"/>
          <w:szCs w:val="21"/>
        </w:rPr>
        <w:t>）。海绵状脑病均为致命的，目前尚无快速诊断活体动物或人感染的检测方法。目前已知的科学信息表明这些病原体极度耐受普通的消毒和灭菌程序。关于</w:t>
      </w:r>
      <w:r>
        <w:rPr>
          <w:rFonts w:ascii="Times New Roman" w:hAnsi="Times New Roman" w:cs="Times New Roman"/>
          <w:color w:val="auto"/>
          <w:sz w:val="21"/>
          <w:szCs w:val="21"/>
        </w:rPr>
        <w:t>BSE</w:t>
      </w:r>
      <w:r>
        <w:rPr>
          <w:rFonts w:hint="eastAsia" w:ascii="Times New Roman" w:cs="Times New Roman"/>
          <w:color w:val="auto"/>
          <w:sz w:val="21"/>
          <w:szCs w:val="21"/>
        </w:rPr>
        <w:t>病原体和其他海绵状脑病病原体确切特性、宿主范围、致病机制和发展快速死前诊断检测方法的研究项目正在进行。</w:t>
      </w:r>
    </w:p>
    <w:p w14:paraId="7B543ADA">
      <w:pPr>
        <w:adjustRightInd w:val="0"/>
        <w:snapToGrid w:val="0"/>
        <w:spacing w:line="360"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自</w:t>
      </w:r>
      <w:r>
        <w:rPr>
          <w:rFonts w:ascii="Times New Roman" w:hAnsi="Times New Roman" w:cs="Times New Roman"/>
          <w:color w:val="auto"/>
          <w:sz w:val="21"/>
          <w:szCs w:val="21"/>
        </w:rPr>
        <w:t>1991</w:t>
      </w:r>
      <w:r>
        <w:rPr>
          <w:rFonts w:hint="eastAsia" w:ascii="Times New Roman" w:cs="Times New Roman"/>
          <w:color w:val="auto"/>
          <w:sz w:val="21"/>
          <w:szCs w:val="21"/>
        </w:rPr>
        <w:t>年，</w:t>
      </w:r>
      <w:r>
        <w:rPr>
          <w:rFonts w:ascii="Times New Roman" w:hAnsi="Times New Roman" w:cs="Times New Roman"/>
          <w:color w:val="auto"/>
          <w:sz w:val="21"/>
          <w:szCs w:val="21"/>
        </w:rPr>
        <w:t>USDA</w:t>
      </w:r>
      <w:r>
        <w:rPr>
          <w:rFonts w:hint="eastAsia" w:ascii="Times New Roman" w:cs="Times New Roman"/>
          <w:color w:val="auto"/>
          <w:sz w:val="21"/>
          <w:szCs w:val="21"/>
        </w:rPr>
        <w:t>已经禁止从有</w:t>
      </w:r>
      <w:r>
        <w:rPr>
          <w:rFonts w:ascii="Times New Roman" w:hAnsi="Times New Roman" w:cs="Times New Roman"/>
          <w:color w:val="auto"/>
          <w:sz w:val="21"/>
          <w:szCs w:val="21"/>
        </w:rPr>
        <w:t>BSE</w:t>
      </w:r>
      <w:r>
        <w:rPr>
          <w:rFonts w:hint="eastAsia" w:ascii="Times New Roman" w:cs="Times New Roman"/>
          <w:color w:val="auto"/>
          <w:sz w:val="21"/>
          <w:szCs w:val="21"/>
        </w:rPr>
        <w:t>存在的国家（</w:t>
      </w:r>
      <w:r>
        <w:rPr>
          <w:rFonts w:ascii="Times New Roman" w:hAnsi="Times New Roman" w:cs="Times New Roman"/>
          <w:color w:val="auto"/>
          <w:sz w:val="21"/>
          <w:szCs w:val="21"/>
        </w:rPr>
        <w:t>BSE</w:t>
      </w:r>
      <w:r>
        <w:rPr>
          <w:rFonts w:hint="eastAsia" w:ascii="Times New Roman" w:cs="Times New Roman"/>
          <w:color w:val="auto"/>
          <w:sz w:val="21"/>
          <w:szCs w:val="21"/>
        </w:rPr>
        <w:t>国家，参阅</w:t>
      </w:r>
      <w:r>
        <w:rPr>
          <w:rFonts w:ascii="Times New Roman" w:hAnsi="Times New Roman" w:cs="Times New Roman"/>
          <w:color w:val="auto"/>
          <w:sz w:val="21"/>
          <w:szCs w:val="21"/>
        </w:rPr>
        <w:t>9 CFR 94.18</w:t>
      </w:r>
      <w:r>
        <w:rPr>
          <w:rFonts w:hint="eastAsia" w:ascii="Times New Roman" w:cs="Times New Roman"/>
          <w:color w:val="auto"/>
          <w:sz w:val="21"/>
          <w:szCs w:val="21"/>
        </w:rPr>
        <w:t>）进口某些反刍动物的组织和器官至美国。</w:t>
      </w:r>
      <w:r>
        <w:rPr>
          <w:rFonts w:ascii="Times New Roman" w:hAnsi="Times New Roman" w:cs="Times New Roman"/>
          <w:color w:val="auto"/>
          <w:sz w:val="21"/>
          <w:szCs w:val="21"/>
        </w:rPr>
        <w:t>USDA</w:t>
      </w:r>
      <w:r>
        <w:rPr>
          <w:rFonts w:hint="eastAsia" w:ascii="Times New Roman" w:cs="Times New Roman"/>
          <w:color w:val="auto"/>
          <w:sz w:val="21"/>
          <w:szCs w:val="21"/>
        </w:rPr>
        <w:t>的规定是为了保护美国的牲畜免于感染</w:t>
      </w:r>
      <w:r>
        <w:rPr>
          <w:rFonts w:ascii="Times New Roman" w:hAnsi="Times New Roman" w:cs="Times New Roman"/>
          <w:color w:val="auto"/>
          <w:sz w:val="21"/>
          <w:szCs w:val="21"/>
        </w:rPr>
        <w:t>TSE</w:t>
      </w:r>
      <w:r>
        <w:rPr>
          <w:rFonts w:hint="eastAsia" w:ascii="Times New Roman" w:cs="Times New Roman"/>
          <w:color w:val="auto"/>
          <w:sz w:val="21"/>
          <w:szCs w:val="21"/>
        </w:rPr>
        <w:t>，以及阻断已知或强烈怀疑的传播途径。关于更新的</w:t>
      </w:r>
      <w:r>
        <w:rPr>
          <w:rFonts w:ascii="Times New Roman" w:hAnsi="Times New Roman" w:cs="Times New Roman"/>
          <w:color w:val="auto"/>
          <w:sz w:val="21"/>
          <w:szCs w:val="21"/>
        </w:rPr>
        <w:t>BSE</w:t>
      </w:r>
      <w:r>
        <w:rPr>
          <w:rFonts w:hint="eastAsia" w:ascii="Times New Roman" w:cs="Times New Roman"/>
          <w:color w:val="auto"/>
          <w:sz w:val="21"/>
          <w:szCs w:val="21"/>
        </w:rPr>
        <w:t>国家清单，请电话联系</w:t>
      </w:r>
      <w:r>
        <w:rPr>
          <w:rFonts w:ascii="Times New Roman" w:hAnsi="Times New Roman" w:cs="Times New Roman"/>
          <w:color w:val="auto"/>
          <w:sz w:val="21"/>
          <w:szCs w:val="21"/>
        </w:rPr>
        <w:t>USDA</w:t>
      </w:r>
      <w:r>
        <w:rPr>
          <w:rFonts w:hint="eastAsia" w:ascii="Times New Roman" w:cs="Times New Roman"/>
          <w:color w:val="auto"/>
          <w:sz w:val="21"/>
          <w:szCs w:val="21"/>
        </w:rPr>
        <w:t>，动植物卫生检验处</w:t>
      </w:r>
      <w:r>
        <w:rPr>
          <w:rFonts w:ascii="Times New Roman" w:hAnsi="Times New Roman" w:cs="Times New Roman"/>
          <w:color w:val="auto"/>
          <w:sz w:val="21"/>
          <w:szCs w:val="21"/>
        </w:rPr>
        <w:t xml:space="preserve"> (APHIS)</w:t>
      </w:r>
      <w:r>
        <w:rPr>
          <w:rFonts w:hint="eastAsia" w:ascii="Times New Roman" w:cs="Times New Roman"/>
          <w:color w:val="auto"/>
          <w:sz w:val="21"/>
          <w:szCs w:val="21"/>
        </w:rPr>
        <w:t>：</w:t>
      </w:r>
      <w:r>
        <w:rPr>
          <w:rFonts w:ascii="Times New Roman" w:hAnsi="Times New Roman" w:cs="Times New Roman"/>
          <w:color w:val="auto"/>
          <w:sz w:val="21"/>
          <w:szCs w:val="21"/>
        </w:rPr>
        <w:t xml:space="preserve"> (301) 436- 7830</w:t>
      </w:r>
      <w:r>
        <w:rPr>
          <w:rFonts w:hint="eastAsia" w:ascii="Times New Roman" w:cs="Times New Roman"/>
          <w:color w:val="auto"/>
          <w:sz w:val="21"/>
          <w:szCs w:val="21"/>
        </w:rPr>
        <w:t>。</w:t>
      </w:r>
    </w:p>
    <w:p w14:paraId="79E49E8F">
      <w:pPr>
        <w:adjustRightInd w:val="0"/>
        <w:snapToGrid w:val="0"/>
        <w:spacing w:line="36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USDA</w:t>
      </w:r>
      <w:r>
        <w:rPr>
          <w:rFonts w:hint="eastAsia" w:ascii="Times New Roman" w:cs="Times New Roman"/>
          <w:color w:val="auto"/>
          <w:sz w:val="21"/>
          <w:szCs w:val="21"/>
        </w:rPr>
        <w:t>规定允许在某些条件下从来自</w:t>
      </w:r>
      <w:r>
        <w:rPr>
          <w:rFonts w:ascii="Times New Roman" w:hAnsi="Times New Roman" w:cs="Times New Roman"/>
          <w:color w:val="auto"/>
          <w:sz w:val="21"/>
          <w:szCs w:val="21"/>
        </w:rPr>
        <w:t>BSE</w:t>
      </w:r>
      <w:r>
        <w:rPr>
          <w:rFonts w:hint="eastAsia" w:ascii="Times New Roman" w:cs="Times New Roman"/>
          <w:color w:val="auto"/>
          <w:sz w:val="21"/>
          <w:szCs w:val="21"/>
        </w:rPr>
        <w:t>国家的反刍动物来源的一些化妆品成分（即，胶原蛋白，胶原蛋白产品，羊膜液或提取物，胎盘也或提取物，血清白蛋白和初乳）；参阅</w:t>
      </w:r>
      <w:r>
        <w:rPr>
          <w:rFonts w:ascii="Times New Roman" w:hAnsi="Times New Roman" w:cs="Times New Roman"/>
          <w:color w:val="auto"/>
          <w:sz w:val="21"/>
          <w:szCs w:val="21"/>
        </w:rPr>
        <w:t>9 CFR 95.4</w:t>
      </w:r>
      <w:r>
        <w:rPr>
          <w:rFonts w:hint="eastAsia" w:ascii="Times New Roman" w:cs="Times New Roman"/>
          <w:color w:val="auto"/>
          <w:sz w:val="21"/>
          <w:szCs w:val="21"/>
        </w:rPr>
        <w:t>。</w:t>
      </w:r>
    </w:p>
    <w:p w14:paraId="7ECAEACE">
      <w:pPr>
        <w:adjustRightInd w:val="0"/>
        <w:snapToGrid w:val="0"/>
        <w:spacing w:line="36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USDA</w:t>
      </w:r>
      <w:r>
        <w:rPr>
          <w:rFonts w:hint="eastAsia" w:ascii="Times New Roman" w:cs="Times New Roman"/>
          <w:color w:val="auto"/>
          <w:sz w:val="21"/>
          <w:szCs w:val="21"/>
        </w:rPr>
        <w:t>法规不适用于进口：</w:t>
      </w:r>
    </w:p>
    <w:p w14:paraId="5971BCCB">
      <w:pPr>
        <w:adjustRightInd w:val="0"/>
        <w:snapToGrid w:val="0"/>
        <w:spacing w:line="36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cs="Times New Roman"/>
          <w:color w:val="auto"/>
          <w:sz w:val="21"/>
          <w:szCs w:val="21"/>
        </w:rPr>
        <w:t>已包装或待售的化妆品；</w:t>
      </w:r>
    </w:p>
    <w:p w14:paraId="262F657F">
      <w:pPr>
        <w:adjustRightInd w:val="0"/>
        <w:snapToGrid w:val="0"/>
        <w:spacing w:line="36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cs="Times New Roman"/>
          <w:color w:val="auto"/>
          <w:sz w:val="21"/>
          <w:szCs w:val="21"/>
        </w:rPr>
        <w:t>拟用于人类消费或成品膳食补充产品或作为一种成分用于膳食补充的牛源材料；或</w:t>
      </w:r>
    </w:p>
    <w:p w14:paraId="6F8123A8">
      <w:pPr>
        <w:adjustRightInd w:val="0"/>
        <w:snapToGrid w:val="0"/>
        <w:spacing w:line="36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cs="Times New Roman"/>
          <w:color w:val="auto"/>
          <w:sz w:val="21"/>
          <w:szCs w:val="21"/>
        </w:rPr>
        <w:t>人类食品</w:t>
      </w:r>
      <w:r>
        <w:rPr>
          <w:rFonts w:ascii="Times New Roman" w:hAnsi="Times New Roman" w:cs="Times New Roman"/>
          <w:color w:val="auto"/>
          <w:sz w:val="21"/>
          <w:szCs w:val="21"/>
        </w:rPr>
        <w:t xml:space="preserve"> (</w:t>
      </w:r>
      <w:r>
        <w:rPr>
          <w:rFonts w:hint="eastAsia" w:ascii="Times New Roman" w:cs="Times New Roman"/>
          <w:color w:val="auto"/>
          <w:sz w:val="21"/>
          <w:szCs w:val="21"/>
        </w:rPr>
        <w:t>肉类除外，例，骨骼肌</w:t>
      </w:r>
      <w:r>
        <w:rPr>
          <w:rFonts w:ascii="Times New Roman" w:hAnsi="Times New Roman" w:cs="Times New Roman"/>
          <w:color w:val="auto"/>
          <w:sz w:val="21"/>
          <w:szCs w:val="21"/>
        </w:rPr>
        <w:t>)</w:t>
      </w:r>
      <w:r>
        <w:rPr>
          <w:rFonts w:hint="eastAsia" w:ascii="Times New Roman" w:cs="Times New Roman"/>
          <w:color w:val="auto"/>
          <w:sz w:val="21"/>
          <w:szCs w:val="21"/>
        </w:rPr>
        <w:t>。</w:t>
      </w:r>
    </w:p>
    <w:p w14:paraId="2EF3A363">
      <w:pPr>
        <w:adjustRightInd w:val="0"/>
        <w:snapToGrid w:val="0"/>
        <w:spacing w:line="360"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尽管目前尚无文件报道</w:t>
      </w:r>
      <w:r>
        <w:rPr>
          <w:rFonts w:ascii="Times New Roman" w:hAnsi="Times New Roman" w:cs="Times New Roman"/>
          <w:color w:val="auto"/>
          <w:sz w:val="21"/>
          <w:szCs w:val="21"/>
        </w:rPr>
        <w:t>BSE</w:t>
      </w:r>
      <w:r>
        <w:rPr>
          <w:rFonts w:hint="eastAsia" w:ascii="Times New Roman" w:cs="Times New Roman"/>
          <w:color w:val="auto"/>
          <w:sz w:val="21"/>
          <w:szCs w:val="21"/>
        </w:rPr>
        <w:t>或瘙痒病病原体向人传播，</w:t>
      </w:r>
      <w:r>
        <w:rPr>
          <w:rFonts w:ascii="Times New Roman" w:hAnsi="Times New Roman" w:cs="Times New Roman"/>
          <w:color w:val="auto"/>
          <w:sz w:val="21"/>
          <w:szCs w:val="21"/>
        </w:rPr>
        <w:t>FDA</w:t>
      </w:r>
      <w:r>
        <w:rPr>
          <w:rFonts w:hint="eastAsia" w:ascii="Times New Roman" w:cs="Times New Roman"/>
          <w:color w:val="auto"/>
          <w:sz w:val="21"/>
          <w:szCs w:val="21"/>
        </w:rPr>
        <w:t>在</w:t>
      </w:r>
      <w:r>
        <w:rPr>
          <w:rFonts w:ascii="Times New Roman" w:hAnsi="Times New Roman" w:cs="Times New Roman"/>
          <w:color w:val="auto"/>
          <w:sz w:val="21"/>
          <w:szCs w:val="21"/>
        </w:rPr>
        <w:t>1992</w:t>
      </w:r>
      <w:r>
        <w:rPr>
          <w:rFonts w:hint="eastAsia" w:ascii="Times New Roman" w:cs="Times New Roman"/>
          <w:color w:val="auto"/>
          <w:sz w:val="21"/>
          <w:szCs w:val="21"/>
        </w:rPr>
        <w:t>年</w:t>
      </w:r>
      <w:r>
        <w:rPr>
          <w:rFonts w:ascii="Times New Roman" w:hAnsi="Times New Roman" w:cs="Times New Roman"/>
          <w:color w:val="auto"/>
          <w:sz w:val="21"/>
          <w:szCs w:val="21"/>
        </w:rPr>
        <w:t>11</w:t>
      </w:r>
      <w:r>
        <w:rPr>
          <w:rFonts w:hint="eastAsia" w:ascii="Times New Roman" w:cs="Times New Roman"/>
          <w:color w:val="auto"/>
          <w:sz w:val="21"/>
          <w:szCs w:val="21"/>
        </w:rPr>
        <w:t>月致信膳食补充剂生产商，提醒他们关注动物</w:t>
      </w:r>
      <w:r>
        <w:rPr>
          <w:rFonts w:ascii="Times New Roman" w:hAnsi="Times New Roman" w:cs="Times New Roman"/>
          <w:color w:val="auto"/>
          <w:sz w:val="21"/>
          <w:szCs w:val="21"/>
        </w:rPr>
        <w:t>TSE</w:t>
      </w:r>
      <w:r>
        <w:rPr>
          <w:rFonts w:hint="eastAsia" w:ascii="Times New Roman" w:cs="Times New Roman"/>
          <w:color w:val="auto"/>
          <w:sz w:val="21"/>
          <w:szCs w:val="21"/>
        </w:rPr>
        <w:t>和人</w:t>
      </w:r>
      <w:r>
        <w:rPr>
          <w:rFonts w:ascii="Times New Roman" w:hAnsi="Times New Roman" w:cs="Times New Roman"/>
          <w:color w:val="auto"/>
          <w:sz w:val="21"/>
          <w:szCs w:val="21"/>
        </w:rPr>
        <w:t>CJD</w:t>
      </w:r>
      <w:r>
        <w:rPr>
          <w:rFonts w:hint="eastAsia" w:ascii="Times New Roman" w:cs="Times New Roman"/>
          <w:color w:val="auto"/>
          <w:sz w:val="21"/>
          <w:szCs w:val="21"/>
        </w:rPr>
        <w:t>。该信建议生产商能自愿调查在他们的产品中使用的任何牛或羊源性材料（一般为神经或腺体组织或组织提取物）的地理来源。该机构还建议每个生产商都制定一个计划以</w:t>
      </w:r>
      <w:r>
        <w:rPr>
          <w:rFonts w:ascii="Times New Roman" w:hAnsi="Times New Roman" w:cs="Times New Roman"/>
          <w:color w:val="auto"/>
          <w:sz w:val="21"/>
          <w:szCs w:val="21"/>
        </w:rPr>
        <w:t>“</w:t>
      </w:r>
      <w:r>
        <w:rPr>
          <w:rFonts w:hint="eastAsia" w:ascii="Times New Roman" w:cs="Times New Roman"/>
          <w:color w:val="auto"/>
          <w:sz w:val="21"/>
          <w:szCs w:val="21"/>
        </w:rPr>
        <w:t>高可信度</w:t>
      </w:r>
      <w:r>
        <w:rPr>
          <w:rFonts w:ascii="Times New Roman" w:hAnsi="Times New Roman" w:cs="Times New Roman"/>
          <w:color w:val="auto"/>
          <w:sz w:val="21"/>
          <w:szCs w:val="21"/>
        </w:rPr>
        <w:t>”</w:t>
      </w:r>
      <w:r>
        <w:rPr>
          <w:rFonts w:hint="eastAsia" w:ascii="Times New Roman" w:cs="Times New Roman"/>
          <w:color w:val="auto"/>
          <w:sz w:val="21"/>
          <w:szCs w:val="21"/>
        </w:rPr>
        <w:t>地确保这些材料不是来自</w:t>
      </w:r>
      <w:r>
        <w:rPr>
          <w:rFonts w:ascii="Times New Roman" w:hAnsi="Times New Roman" w:cs="Times New Roman"/>
          <w:color w:val="auto"/>
          <w:sz w:val="21"/>
          <w:szCs w:val="21"/>
        </w:rPr>
        <w:t>BSE</w:t>
      </w:r>
      <w:r>
        <w:rPr>
          <w:rFonts w:hint="eastAsia" w:ascii="Times New Roman" w:cs="Times New Roman"/>
          <w:color w:val="auto"/>
          <w:sz w:val="21"/>
          <w:szCs w:val="21"/>
        </w:rPr>
        <w:t>国家（由</w:t>
      </w:r>
      <w:r>
        <w:rPr>
          <w:rFonts w:ascii="Times New Roman" w:hAnsi="Times New Roman" w:cs="Times New Roman"/>
          <w:color w:val="auto"/>
          <w:sz w:val="21"/>
          <w:szCs w:val="21"/>
        </w:rPr>
        <w:t>USDA</w:t>
      </w:r>
      <w:r>
        <w:rPr>
          <w:rFonts w:hint="eastAsia" w:ascii="Times New Roman" w:cs="Times New Roman"/>
          <w:color w:val="auto"/>
          <w:sz w:val="21"/>
          <w:szCs w:val="21"/>
        </w:rPr>
        <w:t>的</w:t>
      </w:r>
      <w:r>
        <w:rPr>
          <w:rFonts w:ascii="Times New Roman" w:hAnsi="Times New Roman" w:cs="Times New Roman"/>
          <w:color w:val="auto"/>
          <w:sz w:val="21"/>
          <w:szCs w:val="21"/>
        </w:rPr>
        <w:t>APHIS</w:t>
      </w:r>
      <w:r>
        <w:rPr>
          <w:rFonts w:hint="eastAsia" w:ascii="Times New Roman" w:cs="Times New Roman"/>
          <w:color w:val="auto"/>
          <w:sz w:val="21"/>
          <w:szCs w:val="21"/>
        </w:rPr>
        <w:t>确定）或来自感染了瘙痒病的羊群，无论是国外或是国内。</w:t>
      </w:r>
    </w:p>
    <w:p w14:paraId="22923905">
      <w:pPr>
        <w:adjustRightInd w:val="0"/>
        <w:snapToGrid w:val="0"/>
        <w:spacing w:line="360" w:lineRule="auto"/>
        <w:ind w:firstLine="420" w:firstLineChars="200"/>
        <w:jc w:val="both"/>
        <w:rPr>
          <w:rFonts w:ascii="Times New Roman" w:hAnsi="Times New Roman" w:cs="Times New Roman"/>
          <w:b/>
          <w:color w:val="auto"/>
          <w:sz w:val="21"/>
          <w:szCs w:val="21"/>
        </w:rPr>
      </w:pPr>
      <w:r>
        <w:rPr>
          <w:rFonts w:ascii="Times New Roman" w:hAnsi="Times New Roman" w:cs="Times New Roman"/>
          <w:color w:val="auto"/>
          <w:sz w:val="21"/>
          <w:szCs w:val="21"/>
        </w:rPr>
        <w:t>FDA</w:t>
      </w:r>
      <w:r>
        <w:rPr>
          <w:rFonts w:hint="eastAsia" w:ascii="Times New Roman" w:cs="Times New Roman"/>
          <w:color w:val="auto"/>
          <w:sz w:val="21"/>
          <w:szCs w:val="21"/>
        </w:rPr>
        <w:t>现在认为采取进一步的保护措施是合理的，正在重申和将建议扩展至膳食补充剂及其成分的生产商和进口商，建议他们制定计划能以高可信度确保未使用来自</w:t>
      </w:r>
      <w:r>
        <w:rPr>
          <w:rFonts w:ascii="Times New Roman" w:hAnsi="Times New Roman" w:cs="Times New Roman"/>
          <w:color w:val="auto"/>
          <w:sz w:val="21"/>
          <w:szCs w:val="21"/>
        </w:rPr>
        <w:t>BSE</w:t>
      </w:r>
      <w:r>
        <w:rPr>
          <w:rFonts w:hint="eastAsia" w:ascii="Times New Roman" w:cs="Times New Roman"/>
          <w:color w:val="auto"/>
          <w:sz w:val="21"/>
          <w:szCs w:val="21"/>
        </w:rPr>
        <w:t>国家的特定牛源材料（参阅附录</w:t>
      </w:r>
      <w:r>
        <w:rPr>
          <w:rFonts w:ascii="Times New Roman" w:hAnsi="Times New Roman" w:cs="Times New Roman"/>
          <w:color w:val="auto"/>
          <w:sz w:val="21"/>
          <w:szCs w:val="21"/>
        </w:rPr>
        <w:t>A</w:t>
      </w:r>
      <w:r>
        <w:rPr>
          <w:rFonts w:hint="eastAsia" w:ascii="Times New Roman" w:cs="Times New Roman"/>
          <w:color w:val="auto"/>
          <w:sz w:val="21"/>
          <w:szCs w:val="21"/>
        </w:rPr>
        <w:t>）。该机构还建议护肤品及其成分生产商和进口商制定同样类型的计划。目前</w:t>
      </w:r>
      <w:r>
        <w:rPr>
          <w:rFonts w:ascii="Times New Roman" w:hAnsi="Times New Roman" w:cs="Times New Roman"/>
          <w:color w:val="auto"/>
          <w:sz w:val="21"/>
          <w:szCs w:val="21"/>
        </w:rPr>
        <w:t>FDA</w:t>
      </w:r>
      <w:r>
        <w:rPr>
          <w:rFonts w:hint="eastAsia" w:ascii="Times New Roman" w:cs="Times New Roman"/>
          <w:color w:val="auto"/>
          <w:sz w:val="21"/>
          <w:szCs w:val="21"/>
        </w:rPr>
        <w:t>不建议限制在膳食补充剂和化妆品及其成分的生产中使用羊源性材料，因目前的流行病学证据显示确定瘙痒病与人</w:t>
      </w:r>
      <w:r>
        <w:rPr>
          <w:rFonts w:ascii="Times New Roman" w:hAnsi="Times New Roman" w:cs="Times New Roman"/>
          <w:color w:val="auto"/>
          <w:sz w:val="21"/>
          <w:szCs w:val="21"/>
        </w:rPr>
        <w:t>TSE</w:t>
      </w:r>
      <w:r>
        <w:rPr>
          <w:rFonts w:hint="eastAsia" w:ascii="Times New Roman" w:cs="Times New Roman"/>
          <w:color w:val="auto"/>
          <w:sz w:val="21"/>
          <w:szCs w:val="21"/>
        </w:rPr>
        <w:t>无关。</w:t>
      </w:r>
    </w:p>
    <w:p w14:paraId="7CD42556">
      <w:pPr>
        <w:adjustRightInd w:val="0"/>
        <w:snapToGrid w:val="0"/>
        <w:spacing w:line="312"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ascii="Times New Roman" w:hAnsi="Times New Roman" w:cs="Times New Roman"/>
          <w:color w:val="auto"/>
          <w:sz w:val="21"/>
          <w:szCs w:val="21"/>
        </w:rPr>
        <w:t>FDA</w:t>
      </w:r>
      <w:r>
        <w:rPr>
          <w:rFonts w:hint="eastAsia" w:ascii="Times New Roman" w:cs="Times New Roman"/>
          <w:color w:val="auto"/>
          <w:sz w:val="21"/>
          <w:szCs w:val="21"/>
        </w:rPr>
        <w:t>相信将其建议扩充至化妆品和化妆品成分是谨慎的一步，因所列组织的提取物，如由脑组织分离出的鞘磷脂和牛胎盘提取物，用于化妆品中。此外，</w:t>
      </w:r>
      <w:r>
        <w:rPr>
          <w:rFonts w:ascii="Times New Roman" w:hAnsi="Times New Roman" w:cs="Times New Roman"/>
          <w:color w:val="auto"/>
          <w:sz w:val="21"/>
          <w:szCs w:val="21"/>
        </w:rPr>
        <w:t>FDA</w:t>
      </w:r>
      <w:r>
        <w:rPr>
          <w:rFonts w:hint="eastAsia" w:ascii="Times New Roman" w:cs="Times New Roman"/>
          <w:color w:val="auto"/>
          <w:sz w:val="21"/>
          <w:szCs w:val="21"/>
        </w:rPr>
        <w:t>未意识到数据表明化妆品生产过程中使用的处理技术能灭活</w:t>
      </w:r>
      <w:r>
        <w:rPr>
          <w:rFonts w:ascii="Times New Roman" w:hAnsi="Times New Roman" w:cs="Times New Roman"/>
          <w:color w:val="auto"/>
          <w:sz w:val="21"/>
          <w:szCs w:val="21"/>
        </w:rPr>
        <w:t>TSE</w:t>
      </w:r>
      <w:r>
        <w:rPr>
          <w:rFonts w:hint="eastAsia" w:ascii="Times New Roman" w:cs="Times New Roman"/>
          <w:color w:val="auto"/>
          <w:sz w:val="21"/>
          <w:szCs w:val="21"/>
        </w:rPr>
        <w:t>病原体。另外，对于含</w:t>
      </w:r>
      <w:r>
        <w:rPr>
          <w:rFonts w:ascii="Times New Roman" w:hAnsi="Times New Roman" w:cs="Times New Roman"/>
          <w:color w:val="auto"/>
          <w:sz w:val="21"/>
          <w:szCs w:val="21"/>
        </w:rPr>
        <w:t>TSE</w:t>
      </w:r>
      <w:r>
        <w:rPr>
          <w:rFonts w:hint="eastAsia" w:ascii="Times New Roman" w:cs="Times New Roman"/>
          <w:color w:val="auto"/>
          <w:sz w:val="21"/>
          <w:szCs w:val="21"/>
        </w:rPr>
        <w:t>病原体的局部应用化妆品有通过完整、破损或磨损皮肤传播至人的潜在风险知之甚少。</w:t>
      </w:r>
    </w:p>
    <w:p w14:paraId="378AD138">
      <w:pPr>
        <w:adjustRightInd w:val="0"/>
        <w:snapToGrid w:val="0"/>
        <w:spacing w:line="312"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为协助生产商和进口商的产品在本建议范围内制定他们的计划，提供以下指导：</w:t>
      </w:r>
    </w:p>
    <w:p w14:paraId="7C488182">
      <w:pPr>
        <w:adjustRightInd w:val="0"/>
        <w:snapToGrid w:val="0"/>
        <w:spacing w:line="312"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a.</w:t>
      </w:r>
      <w:r>
        <w:rPr>
          <w:rFonts w:hint="eastAsia" w:ascii="Times New Roman" w:cs="Times New Roman"/>
          <w:color w:val="auto"/>
          <w:sz w:val="21"/>
          <w:szCs w:val="21"/>
        </w:rPr>
        <w:t>为确保产品中使用的牛源材料（列于附录</w:t>
      </w:r>
      <w:r>
        <w:rPr>
          <w:rFonts w:ascii="Times New Roman" w:hAnsi="Times New Roman" w:cs="Times New Roman"/>
          <w:color w:val="auto"/>
          <w:sz w:val="21"/>
          <w:szCs w:val="21"/>
        </w:rPr>
        <w:t>A</w:t>
      </w:r>
      <w:r>
        <w:rPr>
          <w:rFonts w:hint="eastAsia" w:ascii="Times New Roman" w:cs="Times New Roman"/>
          <w:color w:val="auto"/>
          <w:sz w:val="21"/>
          <w:szCs w:val="21"/>
        </w:rPr>
        <w:t>）是来自非</w:t>
      </w:r>
      <w:r>
        <w:rPr>
          <w:rFonts w:ascii="Times New Roman" w:hAnsi="Times New Roman" w:cs="Times New Roman"/>
          <w:color w:val="auto"/>
          <w:sz w:val="21"/>
          <w:szCs w:val="21"/>
        </w:rPr>
        <w:t>BSE</w:t>
      </w:r>
      <w:r>
        <w:rPr>
          <w:rFonts w:hint="eastAsia" w:ascii="Times New Roman" w:cs="Times New Roman"/>
          <w:color w:val="auto"/>
          <w:sz w:val="21"/>
          <w:szCs w:val="21"/>
        </w:rPr>
        <w:t>国家，需确定动物出生、饲养或宰杀的所有国家。牛源材料供应者需提供必要的记录。</w:t>
      </w:r>
    </w:p>
    <w:p w14:paraId="0B75DDD9">
      <w:pPr>
        <w:adjustRightInd w:val="0"/>
        <w:snapToGrid w:val="0"/>
        <w:spacing w:line="312"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b.</w:t>
      </w:r>
      <w:r>
        <w:rPr>
          <w:rFonts w:hint="eastAsia" w:ascii="Times New Roman" w:cs="Times New Roman"/>
          <w:color w:val="auto"/>
          <w:sz w:val="21"/>
          <w:szCs w:val="21"/>
        </w:rPr>
        <w:t>对每批牛源材料均需保留溯源记录，并保留含该材料产品的记录。</w:t>
      </w:r>
    </w:p>
    <w:p w14:paraId="6ABBBA7A">
      <w:pPr>
        <w:adjustRightInd w:val="0"/>
        <w:snapToGrid w:val="0"/>
        <w:spacing w:line="312"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c.</w:t>
      </w:r>
      <w:r>
        <w:rPr>
          <w:rFonts w:hint="eastAsia" w:ascii="Times New Roman" w:cs="Times New Roman"/>
          <w:color w:val="auto"/>
          <w:sz w:val="21"/>
          <w:szCs w:val="21"/>
        </w:rPr>
        <w:t>在国外或由国外生产商生产的含牛源材料产品需保留记录。</w:t>
      </w:r>
    </w:p>
    <w:p w14:paraId="2C7D9C5F">
      <w:pPr>
        <w:adjustRightInd w:val="0"/>
        <w:snapToGrid w:val="0"/>
        <w:spacing w:line="312"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该机构建议，膳食补充剂和化妆品及在这些产品生产中使用成分的生产商和进口商在接下来的</w:t>
      </w:r>
      <w:r>
        <w:rPr>
          <w:rFonts w:ascii="Times New Roman" w:hAnsi="Times New Roman" w:cs="Times New Roman"/>
          <w:color w:val="auto"/>
          <w:sz w:val="21"/>
          <w:szCs w:val="21"/>
        </w:rPr>
        <w:t>2</w:t>
      </w:r>
      <w:r>
        <w:rPr>
          <w:rFonts w:hint="eastAsia" w:ascii="Times New Roman" w:cs="Times New Roman"/>
          <w:color w:val="auto"/>
          <w:sz w:val="21"/>
          <w:szCs w:val="21"/>
        </w:rPr>
        <w:t>个月内制定他们的计划，并书面通知机构他们的计划已经制定好。指定联系人为</w:t>
      </w:r>
      <w:r>
        <w:rPr>
          <w:rFonts w:ascii="Times New Roman" w:hAnsi="Times New Roman" w:cs="Times New Roman"/>
          <w:color w:val="auto"/>
          <w:sz w:val="21"/>
          <w:szCs w:val="21"/>
        </w:rPr>
        <w:t>FDA</w:t>
      </w:r>
      <w:r>
        <w:rPr>
          <w:rFonts w:hint="eastAsia" w:ascii="Times New Roman" w:cs="Times New Roman"/>
          <w:color w:val="auto"/>
          <w:sz w:val="21"/>
          <w:szCs w:val="21"/>
        </w:rPr>
        <w:t>食品安全和应用营养中心、</w:t>
      </w:r>
      <w:r>
        <w:rPr>
          <w:rFonts w:ascii="Times New Roman" w:hAnsi="Times New Roman" w:cs="Times New Roman"/>
          <w:color w:val="auto"/>
          <w:sz w:val="21"/>
          <w:szCs w:val="21"/>
        </w:rPr>
        <w:t>HFS-22</w:t>
      </w:r>
      <w:r>
        <w:rPr>
          <w:rFonts w:hint="eastAsia" w:ascii="Times New Roman" w:cs="Times New Roman"/>
          <w:color w:val="auto"/>
          <w:sz w:val="21"/>
          <w:szCs w:val="21"/>
        </w:rPr>
        <w:t>的执行操作员、科学政策分析师</w:t>
      </w:r>
      <w:r>
        <w:rPr>
          <w:rFonts w:ascii="Times New Roman" w:hAnsi="Times New Roman" w:cs="Times New Roman"/>
          <w:color w:val="auto"/>
          <w:sz w:val="21"/>
          <w:szCs w:val="21"/>
        </w:rPr>
        <w:t xml:space="preserve">Elisa Elliot </w:t>
      </w:r>
      <w:r>
        <w:rPr>
          <w:rFonts w:hint="eastAsia" w:ascii="Times New Roman" w:cs="Times New Roman"/>
          <w:color w:val="auto"/>
          <w:sz w:val="21"/>
          <w:szCs w:val="21"/>
        </w:rPr>
        <w:t>博士，地址为华盛顿西南部</w:t>
      </w:r>
      <w:r>
        <w:rPr>
          <w:rFonts w:ascii="Times New Roman" w:hAnsi="Times New Roman" w:cs="Times New Roman"/>
          <w:color w:val="auto"/>
          <w:sz w:val="21"/>
          <w:szCs w:val="21"/>
        </w:rPr>
        <w:t>200C</w:t>
      </w:r>
      <w:r>
        <w:rPr>
          <w:rFonts w:hint="eastAsia" w:ascii="Times New Roman" w:cs="Times New Roman"/>
          <w:color w:val="auto"/>
          <w:sz w:val="21"/>
          <w:szCs w:val="21"/>
        </w:rPr>
        <w:t>街道</w:t>
      </w:r>
      <w:r>
        <w:rPr>
          <w:rFonts w:ascii="Times New Roman" w:hAnsi="Times New Roman" w:cs="Times New Roman"/>
          <w:color w:val="auto"/>
          <w:sz w:val="21"/>
          <w:szCs w:val="21"/>
        </w:rPr>
        <w:t>20204</w:t>
      </w:r>
      <w:r>
        <w:rPr>
          <w:rFonts w:hint="eastAsia" w:ascii="Times New Roman" w:cs="Times New Roman"/>
          <w:color w:val="auto"/>
          <w:sz w:val="21"/>
          <w:szCs w:val="21"/>
        </w:rPr>
        <w:t>或传真</w:t>
      </w:r>
      <w:r>
        <w:rPr>
          <w:rFonts w:ascii="Times New Roman" w:hAnsi="Times New Roman" w:cs="Times New Roman"/>
          <w:color w:val="auto"/>
          <w:sz w:val="21"/>
          <w:szCs w:val="21"/>
        </w:rPr>
        <w:t>(202) 205-5025</w:t>
      </w:r>
      <w:r>
        <w:rPr>
          <w:rFonts w:hint="eastAsia" w:ascii="Times New Roman" w:cs="Times New Roman"/>
          <w:color w:val="auto"/>
          <w:sz w:val="21"/>
          <w:szCs w:val="21"/>
        </w:rPr>
        <w:t>。</w:t>
      </w:r>
      <w:r>
        <w:rPr>
          <w:rFonts w:ascii="Times New Roman" w:hAnsi="Times New Roman" w:cs="Times New Roman"/>
          <w:color w:val="auto"/>
          <w:sz w:val="21"/>
          <w:szCs w:val="21"/>
        </w:rPr>
        <w:t>FDA</w:t>
      </w:r>
      <w:r>
        <w:rPr>
          <w:rFonts w:hint="eastAsia" w:ascii="Times New Roman" w:cs="Times New Roman"/>
          <w:color w:val="auto"/>
          <w:sz w:val="21"/>
          <w:szCs w:val="21"/>
        </w:rPr>
        <w:t>建议计划在制定后尽可能快的实施，并能审查期间由机构审查。</w:t>
      </w:r>
    </w:p>
    <w:p w14:paraId="0F689627">
      <w:pPr>
        <w:adjustRightInd w:val="0"/>
        <w:snapToGrid w:val="0"/>
        <w:spacing w:line="312"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该机构正在继续核查关于</w:t>
      </w:r>
      <w:r>
        <w:rPr>
          <w:rFonts w:ascii="Times New Roman" w:hAnsi="Times New Roman" w:cs="Times New Roman"/>
          <w:color w:val="auto"/>
          <w:sz w:val="21"/>
          <w:szCs w:val="21"/>
        </w:rPr>
        <w:t>TSE</w:t>
      </w:r>
      <w:r>
        <w:rPr>
          <w:rFonts w:hint="eastAsia" w:ascii="Times New Roman" w:cs="Times New Roman"/>
          <w:color w:val="auto"/>
          <w:sz w:val="21"/>
          <w:szCs w:val="21"/>
        </w:rPr>
        <w:t>的可得到的信息，并将提供必要的额外指导。如果您需要更多的信息，请通过电话</w:t>
      </w:r>
      <w:r>
        <w:rPr>
          <w:rFonts w:ascii="Times New Roman" w:hAnsi="Times New Roman" w:cs="Times New Roman"/>
          <w:color w:val="auto"/>
          <w:sz w:val="21"/>
          <w:szCs w:val="21"/>
        </w:rPr>
        <w:t>(202) 205-5140</w:t>
      </w:r>
      <w:r>
        <w:rPr>
          <w:rFonts w:hint="eastAsia" w:ascii="Times New Roman" w:cs="Times New Roman"/>
          <w:color w:val="auto"/>
          <w:sz w:val="21"/>
          <w:szCs w:val="21"/>
        </w:rPr>
        <w:t>联系</w:t>
      </w:r>
      <w:r>
        <w:rPr>
          <w:rFonts w:ascii="Times New Roman" w:hAnsi="Times New Roman" w:cs="Times New Roman"/>
          <w:color w:val="auto"/>
          <w:sz w:val="21"/>
          <w:szCs w:val="21"/>
        </w:rPr>
        <w:t xml:space="preserve">Elliot </w:t>
      </w:r>
      <w:r>
        <w:rPr>
          <w:rFonts w:hint="eastAsia" w:ascii="Times New Roman" w:cs="Times New Roman"/>
          <w:color w:val="auto"/>
          <w:sz w:val="21"/>
          <w:szCs w:val="21"/>
        </w:rPr>
        <w:t>博士。</w:t>
      </w:r>
    </w:p>
    <w:p w14:paraId="30107CBF">
      <w:pPr>
        <w:adjustRightInd w:val="0"/>
        <w:snapToGrid w:val="0"/>
        <w:spacing w:line="312"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感谢您的关注与合作。</w:t>
      </w:r>
    </w:p>
    <w:p w14:paraId="35A80ADC">
      <w:pPr>
        <w:adjustRightInd w:val="0"/>
        <w:snapToGrid w:val="0"/>
        <w:spacing w:line="312"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真诚地，</w:t>
      </w:r>
    </w:p>
    <w:p w14:paraId="1D9AEFE1">
      <w:pPr>
        <w:adjustRightInd w:val="0"/>
        <w:snapToGrid w:val="0"/>
        <w:spacing w:line="312"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Linda A. Suydam</w:t>
      </w:r>
    </w:p>
    <w:p w14:paraId="76FE3357">
      <w:pPr>
        <w:adjustRightInd w:val="0"/>
        <w:snapToGrid w:val="0"/>
        <w:spacing w:line="312"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临时运作副局长</w:t>
      </w:r>
    </w:p>
    <w:p w14:paraId="2459B6D3">
      <w:pPr>
        <w:adjustRightInd w:val="0"/>
        <w:snapToGrid w:val="0"/>
        <w:spacing w:line="312"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附件</w:t>
      </w:r>
    </w:p>
    <w:p w14:paraId="30800985">
      <w:pPr>
        <w:adjustRightInd w:val="0"/>
        <w:snapToGrid w:val="0"/>
        <w:spacing w:line="312"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附件</w:t>
      </w:r>
      <w:r>
        <w:rPr>
          <w:rFonts w:ascii="Times New Roman" w:hAnsi="Times New Roman" w:cs="Times New Roman"/>
          <w:color w:val="auto"/>
          <w:sz w:val="21"/>
          <w:szCs w:val="21"/>
        </w:rPr>
        <w:t>A</w:t>
      </w:r>
    </w:p>
    <w:p w14:paraId="32BF5E14">
      <w:pPr>
        <w:adjustRightInd w:val="0"/>
        <w:snapToGrid w:val="0"/>
        <w:spacing w:line="312"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疑似感染组织清单</w:t>
      </w:r>
    </w:p>
    <w:p w14:paraId="5E4E024D">
      <w:pPr>
        <w:adjustRightInd w:val="0"/>
        <w:snapToGrid w:val="0"/>
        <w:spacing w:line="312"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I</w:t>
      </w:r>
      <w:r>
        <w:rPr>
          <w:rFonts w:hint="eastAsia" w:ascii="Times New Roman" w:cs="Times New Roman"/>
          <w:color w:val="auto"/>
          <w:sz w:val="21"/>
          <w:szCs w:val="21"/>
        </w:rPr>
        <w:t>类</w:t>
      </w:r>
      <w:r>
        <w:rPr>
          <w:rFonts w:ascii="Times New Roman" w:hAnsi="Times New Roman" w:cs="Times New Roman"/>
          <w:color w:val="auto"/>
          <w:sz w:val="21"/>
          <w:szCs w:val="21"/>
        </w:rPr>
        <w:t xml:space="preserve"> (</w:t>
      </w:r>
      <w:r>
        <w:rPr>
          <w:rFonts w:hint="eastAsia" w:ascii="Times New Roman" w:cs="Times New Roman"/>
          <w:color w:val="auto"/>
          <w:sz w:val="21"/>
          <w:szCs w:val="21"/>
        </w:rPr>
        <w:t>高感染</w:t>
      </w:r>
      <w:r>
        <w:rPr>
          <w:rFonts w:ascii="Times New Roman" w:hAnsi="Times New Roman" w:cs="Times New Roman"/>
          <w:color w:val="auto"/>
          <w:sz w:val="21"/>
          <w:szCs w:val="21"/>
        </w:rPr>
        <w:t xml:space="preserve">) </w:t>
      </w:r>
    </w:p>
    <w:p w14:paraId="3D3939D2">
      <w:pPr>
        <w:adjustRightInd w:val="0"/>
        <w:snapToGrid w:val="0"/>
        <w:spacing w:line="312"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&lt;项目符号&gt;</w:t>
      </w:r>
      <w:r>
        <w:rPr>
          <w:rFonts w:hint="eastAsia" w:ascii="Times New Roman" w:cs="Times New Roman"/>
          <w:color w:val="auto"/>
          <w:sz w:val="21"/>
          <w:szCs w:val="21"/>
        </w:rPr>
        <w:t>脑</w:t>
      </w:r>
    </w:p>
    <w:p w14:paraId="42F2C8D4">
      <w:pPr>
        <w:adjustRightInd w:val="0"/>
        <w:snapToGrid w:val="0"/>
        <w:spacing w:line="312"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&lt;项目符号&gt;</w:t>
      </w:r>
      <w:r>
        <w:rPr>
          <w:rFonts w:hint="eastAsia" w:ascii="Times New Roman" w:cs="Times New Roman"/>
          <w:color w:val="auto"/>
          <w:sz w:val="21"/>
          <w:szCs w:val="21"/>
        </w:rPr>
        <w:t>脊髓</w:t>
      </w:r>
      <w:r>
        <w:rPr>
          <w:rFonts w:ascii="Times New Roman" w:hAnsi="Times New Roman" w:cs="Times New Roman"/>
          <w:color w:val="auto"/>
          <w:sz w:val="21"/>
          <w:szCs w:val="21"/>
        </w:rPr>
        <w:t>II</w:t>
      </w:r>
      <w:r>
        <w:rPr>
          <w:rFonts w:hint="eastAsia" w:ascii="Times New Roman" w:cs="Times New Roman"/>
          <w:color w:val="auto"/>
          <w:sz w:val="21"/>
          <w:szCs w:val="21"/>
        </w:rPr>
        <w:t>类</w:t>
      </w:r>
      <w:r>
        <w:rPr>
          <w:rFonts w:ascii="Times New Roman" w:hAnsi="Times New Roman" w:cs="Times New Roman"/>
          <w:color w:val="auto"/>
          <w:sz w:val="21"/>
          <w:szCs w:val="21"/>
        </w:rPr>
        <w:t xml:space="preserve"> (</w:t>
      </w:r>
      <w:r>
        <w:rPr>
          <w:rFonts w:hint="eastAsia" w:ascii="Times New Roman" w:cs="Times New Roman"/>
          <w:color w:val="auto"/>
          <w:sz w:val="21"/>
          <w:szCs w:val="21"/>
        </w:rPr>
        <w:t>中度感染</w:t>
      </w:r>
      <w:r>
        <w:rPr>
          <w:rFonts w:ascii="Times New Roman" w:hAnsi="Times New Roman" w:cs="Times New Roman"/>
          <w:color w:val="auto"/>
          <w:sz w:val="21"/>
          <w:szCs w:val="21"/>
        </w:rPr>
        <w:t xml:space="preserve">) </w:t>
      </w:r>
    </w:p>
    <w:p w14:paraId="1B6EFACE">
      <w:pPr>
        <w:adjustRightInd w:val="0"/>
        <w:snapToGrid w:val="0"/>
        <w:spacing w:line="312"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&lt;项目符号&gt;</w:t>
      </w:r>
      <w:r>
        <w:rPr>
          <w:rFonts w:hint="eastAsia" w:ascii="Times New Roman" w:cs="Times New Roman"/>
          <w:color w:val="auto"/>
          <w:sz w:val="21"/>
          <w:szCs w:val="21"/>
        </w:rPr>
        <w:t>回肠</w:t>
      </w:r>
    </w:p>
    <w:p w14:paraId="36E76473">
      <w:pPr>
        <w:adjustRightInd w:val="0"/>
        <w:snapToGrid w:val="0"/>
        <w:spacing w:line="312"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&lt;项目符号&gt;</w:t>
      </w:r>
      <w:r>
        <w:rPr>
          <w:rFonts w:hint="eastAsia" w:ascii="Times New Roman" w:cs="Times New Roman"/>
          <w:color w:val="auto"/>
          <w:sz w:val="21"/>
          <w:szCs w:val="21"/>
        </w:rPr>
        <w:t>淋巴结</w:t>
      </w:r>
    </w:p>
    <w:p w14:paraId="2E42FE99">
      <w:pPr>
        <w:adjustRightInd w:val="0"/>
        <w:snapToGrid w:val="0"/>
        <w:spacing w:line="312"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&lt;项目符号&gt;</w:t>
      </w:r>
      <w:r>
        <w:rPr>
          <w:rFonts w:hint="eastAsia" w:ascii="Times New Roman" w:cs="Times New Roman"/>
          <w:color w:val="auto"/>
          <w:sz w:val="21"/>
          <w:szCs w:val="21"/>
        </w:rPr>
        <w:t>近段结肠</w:t>
      </w:r>
    </w:p>
    <w:p w14:paraId="6C3E1D49">
      <w:pPr>
        <w:adjustRightInd w:val="0"/>
        <w:snapToGrid w:val="0"/>
        <w:spacing w:line="312"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&lt;项目符号&gt;</w:t>
      </w:r>
      <w:r>
        <w:rPr>
          <w:rFonts w:hint="eastAsia" w:ascii="Times New Roman" w:cs="Times New Roman"/>
          <w:color w:val="auto"/>
          <w:sz w:val="21"/>
          <w:szCs w:val="21"/>
        </w:rPr>
        <w:t>脾脏</w:t>
      </w:r>
    </w:p>
    <w:p w14:paraId="641A7632">
      <w:pPr>
        <w:adjustRightInd w:val="0"/>
        <w:snapToGrid w:val="0"/>
        <w:spacing w:line="312"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&lt;项目符号&gt;</w:t>
      </w:r>
      <w:r>
        <w:rPr>
          <w:rFonts w:hint="eastAsia" w:ascii="Times New Roman" w:cs="Times New Roman"/>
          <w:color w:val="auto"/>
          <w:sz w:val="21"/>
          <w:szCs w:val="21"/>
        </w:rPr>
        <w:t>扁桃体</w:t>
      </w:r>
    </w:p>
    <w:p w14:paraId="38A1E5CB">
      <w:pPr>
        <w:adjustRightInd w:val="0"/>
        <w:snapToGrid w:val="0"/>
        <w:spacing w:line="312"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&lt;项目符号&gt;</w:t>
      </w:r>
      <w:r>
        <w:rPr>
          <w:rFonts w:hint="eastAsia" w:ascii="Times New Roman" w:cs="Times New Roman"/>
          <w:color w:val="auto"/>
          <w:sz w:val="21"/>
          <w:szCs w:val="21"/>
        </w:rPr>
        <w:t>硬膜</w:t>
      </w:r>
    </w:p>
    <w:p w14:paraId="0E6E6DBE">
      <w:pPr>
        <w:adjustRightInd w:val="0"/>
        <w:snapToGrid w:val="0"/>
        <w:spacing w:line="312"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&lt;项目符号&gt;</w:t>
      </w:r>
      <w:r>
        <w:rPr>
          <w:rFonts w:hint="eastAsia" w:ascii="Times New Roman" w:cs="Times New Roman"/>
          <w:color w:val="auto"/>
          <w:sz w:val="21"/>
          <w:szCs w:val="21"/>
        </w:rPr>
        <w:t>松果体</w:t>
      </w:r>
    </w:p>
    <w:p w14:paraId="7C91117A">
      <w:pPr>
        <w:adjustRightInd w:val="0"/>
        <w:snapToGrid w:val="0"/>
        <w:spacing w:line="312"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&lt;项目符号&gt;</w:t>
      </w:r>
      <w:r>
        <w:rPr>
          <w:rFonts w:hint="eastAsia" w:ascii="Times New Roman" w:cs="Times New Roman"/>
          <w:color w:val="auto"/>
          <w:sz w:val="21"/>
          <w:szCs w:val="21"/>
        </w:rPr>
        <w:t>胎盘</w:t>
      </w:r>
    </w:p>
    <w:p w14:paraId="17B857F2">
      <w:pPr>
        <w:adjustRightInd w:val="0"/>
        <w:snapToGrid w:val="0"/>
        <w:spacing w:line="312"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&lt;项目符号&gt;</w:t>
      </w:r>
      <w:r>
        <w:rPr>
          <w:rFonts w:hint="eastAsia" w:ascii="Times New Roman" w:cs="Times New Roman"/>
          <w:color w:val="auto"/>
          <w:sz w:val="21"/>
          <w:szCs w:val="21"/>
        </w:rPr>
        <w:t>脑脊液</w:t>
      </w:r>
    </w:p>
    <w:p w14:paraId="69CC4B1C">
      <w:pPr>
        <w:adjustRightInd w:val="0"/>
        <w:snapToGrid w:val="0"/>
        <w:spacing w:line="312"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&lt;项目符号&gt;</w:t>
      </w:r>
      <w:r>
        <w:rPr>
          <w:rFonts w:hint="eastAsia" w:ascii="Times New Roman" w:cs="Times New Roman"/>
          <w:color w:val="auto"/>
          <w:sz w:val="21"/>
          <w:szCs w:val="21"/>
        </w:rPr>
        <w:t>脑下垂体</w:t>
      </w:r>
    </w:p>
    <w:p w14:paraId="4E973E53">
      <w:pPr>
        <w:adjustRightInd w:val="0"/>
        <w:snapToGrid w:val="0"/>
        <w:spacing w:line="312"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&lt;项目符号&gt;</w:t>
      </w:r>
      <w:r>
        <w:rPr>
          <w:rFonts w:hint="eastAsia" w:ascii="Times New Roman" w:cs="Times New Roman"/>
          <w:color w:val="auto"/>
          <w:sz w:val="21"/>
          <w:szCs w:val="21"/>
        </w:rPr>
        <w:t>肾上腺</w:t>
      </w:r>
    </w:p>
    <w:p w14:paraId="52023303">
      <w:pPr>
        <w:adjustRightInd w:val="0"/>
        <w:snapToGrid w:val="0"/>
        <w:spacing w:line="36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ascii="Times New Roman" w:hAnsi="Times New Roman" w:cs="Times New Roman"/>
          <w:color w:val="auto"/>
          <w:sz w:val="21"/>
          <w:szCs w:val="21"/>
        </w:rPr>
        <w:t>III</w:t>
      </w:r>
      <w:r>
        <w:rPr>
          <w:rFonts w:hint="eastAsia" w:ascii="Times New Roman" w:cs="Times New Roman"/>
          <w:color w:val="auto"/>
          <w:sz w:val="21"/>
          <w:szCs w:val="21"/>
        </w:rPr>
        <w:t>类</w:t>
      </w:r>
      <w:r>
        <w:rPr>
          <w:rFonts w:ascii="Times New Roman" w:hAnsi="Times New Roman" w:cs="Times New Roman"/>
          <w:color w:val="auto"/>
          <w:sz w:val="21"/>
          <w:szCs w:val="21"/>
        </w:rPr>
        <w:t xml:space="preserve"> (</w:t>
      </w:r>
      <w:r>
        <w:rPr>
          <w:rFonts w:hint="eastAsia" w:ascii="Times New Roman" w:cs="Times New Roman"/>
          <w:color w:val="auto"/>
          <w:sz w:val="21"/>
          <w:szCs w:val="21"/>
        </w:rPr>
        <w:t>低感染</w:t>
      </w:r>
      <w:r>
        <w:rPr>
          <w:rFonts w:ascii="Times New Roman" w:hAnsi="Times New Roman" w:cs="Times New Roman"/>
          <w:color w:val="auto"/>
          <w:sz w:val="21"/>
          <w:szCs w:val="21"/>
        </w:rPr>
        <w:t>)</w:t>
      </w:r>
    </w:p>
    <w:p w14:paraId="1001BE5E">
      <w:pPr>
        <w:adjustRightInd w:val="0"/>
        <w:snapToGrid w:val="0"/>
        <w:spacing w:line="36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&lt;项目符号&gt;</w:t>
      </w:r>
      <w:r>
        <w:rPr>
          <w:rFonts w:hint="eastAsia" w:ascii="Times New Roman" w:cs="Times New Roman"/>
          <w:color w:val="auto"/>
          <w:sz w:val="21"/>
          <w:szCs w:val="21"/>
        </w:rPr>
        <w:t>远端结肠</w:t>
      </w:r>
    </w:p>
    <w:p w14:paraId="5FDD31AA">
      <w:pPr>
        <w:adjustRightInd w:val="0"/>
        <w:snapToGrid w:val="0"/>
        <w:spacing w:line="36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&lt;项目符号&gt;</w:t>
      </w:r>
      <w:r>
        <w:rPr>
          <w:rFonts w:hint="eastAsia" w:ascii="Times New Roman" w:cs="Times New Roman"/>
          <w:color w:val="auto"/>
          <w:sz w:val="21"/>
          <w:szCs w:val="21"/>
        </w:rPr>
        <w:t>鼻粘膜</w:t>
      </w:r>
    </w:p>
    <w:p w14:paraId="186461A1">
      <w:pPr>
        <w:adjustRightInd w:val="0"/>
        <w:snapToGrid w:val="0"/>
        <w:spacing w:line="36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&lt;项目符号&gt;</w:t>
      </w:r>
      <w:r>
        <w:rPr>
          <w:rFonts w:hint="eastAsia" w:ascii="Times New Roman" w:cs="Times New Roman"/>
          <w:color w:val="auto"/>
          <w:sz w:val="21"/>
          <w:szCs w:val="21"/>
        </w:rPr>
        <w:t>坐骨神经</w:t>
      </w:r>
    </w:p>
    <w:p w14:paraId="1B5377AB">
      <w:pPr>
        <w:adjustRightInd w:val="0"/>
        <w:snapToGrid w:val="0"/>
        <w:spacing w:line="36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&lt;项目符号&gt;</w:t>
      </w:r>
      <w:r>
        <w:rPr>
          <w:rFonts w:hint="eastAsia" w:ascii="Times New Roman" w:cs="Times New Roman"/>
          <w:color w:val="auto"/>
          <w:sz w:val="21"/>
          <w:szCs w:val="21"/>
        </w:rPr>
        <w:t>骨髓</w:t>
      </w:r>
    </w:p>
    <w:p w14:paraId="261E3B4F">
      <w:pPr>
        <w:adjustRightInd w:val="0"/>
        <w:snapToGrid w:val="0"/>
        <w:spacing w:line="36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&lt;项目符号&gt;</w:t>
      </w:r>
      <w:r>
        <w:rPr>
          <w:rFonts w:hint="eastAsia" w:ascii="Times New Roman" w:cs="Times New Roman"/>
          <w:color w:val="auto"/>
          <w:sz w:val="21"/>
          <w:szCs w:val="21"/>
        </w:rPr>
        <w:t>肝脏</w:t>
      </w:r>
    </w:p>
    <w:p w14:paraId="518A9DCC">
      <w:pPr>
        <w:adjustRightInd w:val="0"/>
        <w:snapToGrid w:val="0"/>
        <w:spacing w:line="36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&lt;项目符号&gt;</w:t>
      </w:r>
      <w:r>
        <w:rPr>
          <w:rFonts w:hint="eastAsia" w:ascii="Times New Roman" w:cs="Times New Roman"/>
          <w:color w:val="auto"/>
          <w:sz w:val="21"/>
          <w:szCs w:val="21"/>
        </w:rPr>
        <w:t>肺</w:t>
      </w:r>
    </w:p>
    <w:p w14:paraId="48D2E4CB">
      <w:pPr>
        <w:adjustRightInd w:val="0"/>
        <w:snapToGrid w:val="0"/>
        <w:spacing w:line="36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&lt;项目符号&gt;</w:t>
      </w:r>
      <w:r>
        <w:rPr>
          <w:rFonts w:hint="eastAsia" w:ascii="Times New Roman" w:cs="Times New Roman"/>
          <w:color w:val="auto"/>
          <w:sz w:val="21"/>
          <w:szCs w:val="21"/>
        </w:rPr>
        <w:t>胰脏</w:t>
      </w:r>
    </w:p>
    <w:p w14:paraId="3F493666">
      <w:pPr>
        <w:adjustRightInd w:val="0"/>
        <w:snapToGrid w:val="0"/>
        <w:spacing w:line="36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&lt;项目符号&gt;</w:t>
      </w:r>
      <w:r>
        <w:rPr>
          <w:rFonts w:hint="eastAsia" w:ascii="Times New Roman" w:cs="Times New Roman"/>
          <w:color w:val="auto"/>
          <w:sz w:val="21"/>
          <w:szCs w:val="21"/>
        </w:rPr>
        <w:t>胸腺</w:t>
      </w:r>
    </w:p>
    <w:p w14:paraId="0B508A3F">
      <w:pPr>
        <w:adjustRightInd w:val="0"/>
        <w:snapToGrid w:val="0"/>
        <w:spacing w:line="36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hint="eastAsia" w:ascii="Times New Roman" w:cs="Times New Roman"/>
          <w:color w:val="auto"/>
          <w:sz w:val="21"/>
          <w:szCs w:val="21"/>
        </w:rPr>
        <w:t>世卫组织与动物和人类海绵状脑病有关的公共卫生问题磋商报告</w:t>
      </w:r>
      <w:r>
        <w:rPr>
          <w:rFonts w:ascii="Times New Roman" w:hAnsi="Times New Roman" w:cs="Times New Roman"/>
          <w:color w:val="auto"/>
          <w:sz w:val="21"/>
          <w:szCs w:val="21"/>
        </w:rPr>
        <w:t>”</w:t>
      </w:r>
      <w:r>
        <w:rPr>
          <w:rFonts w:hint="eastAsia" w:ascii="Times New Roman" w:cs="Times New Roman"/>
          <w:color w:val="auto"/>
          <w:sz w:val="21"/>
          <w:szCs w:val="21"/>
        </w:rPr>
        <w:t>，世界卫生组织，国际流行病学办公室，瑞士日内瓦，</w:t>
      </w:r>
      <w:r>
        <w:rPr>
          <w:rFonts w:ascii="Times New Roman" w:hAnsi="Times New Roman" w:cs="Times New Roman"/>
          <w:color w:val="auto"/>
          <w:sz w:val="21"/>
          <w:szCs w:val="21"/>
        </w:rPr>
        <w:t>1991</w:t>
      </w:r>
      <w:r>
        <w:rPr>
          <w:rFonts w:hint="eastAsia" w:ascii="Times New Roman" w:cs="Times New Roman"/>
          <w:color w:val="auto"/>
          <w:sz w:val="21"/>
          <w:szCs w:val="21"/>
        </w:rPr>
        <w:t>年</w:t>
      </w:r>
      <w:r>
        <w:rPr>
          <w:rFonts w:ascii="Times New Roman" w:hAnsi="Times New Roman" w:cs="Times New Roman"/>
          <w:color w:val="auto"/>
          <w:sz w:val="21"/>
          <w:szCs w:val="21"/>
        </w:rPr>
        <w:t>11</w:t>
      </w:r>
      <w:r>
        <w:rPr>
          <w:rFonts w:hint="eastAsia" w:ascii="Times New Roman" w:cs="Times New Roman"/>
          <w:color w:val="auto"/>
          <w:sz w:val="21"/>
          <w:szCs w:val="21"/>
        </w:rPr>
        <w:t>月</w:t>
      </w:r>
      <w:r>
        <w:rPr>
          <w:rFonts w:ascii="Times New Roman" w:hAnsi="Times New Roman" w:cs="Times New Roman"/>
          <w:color w:val="auto"/>
          <w:sz w:val="21"/>
          <w:szCs w:val="21"/>
        </w:rPr>
        <w:t>12</w:t>
      </w:r>
      <w:r>
        <w:rPr>
          <w:rFonts w:hint="eastAsia" w:ascii="Times New Roman" w:cs="Times New Roman"/>
          <w:color w:val="auto"/>
          <w:sz w:val="21"/>
          <w:szCs w:val="21"/>
        </w:rPr>
        <w:t>日至</w:t>
      </w:r>
      <w:r>
        <w:rPr>
          <w:rFonts w:ascii="Times New Roman" w:hAnsi="Times New Roman" w:cs="Times New Roman"/>
          <w:color w:val="auto"/>
          <w:sz w:val="21"/>
          <w:szCs w:val="21"/>
        </w:rPr>
        <w:t>14</w:t>
      </w:r>
      <w:r>
        <w:rPr>
          <w:rFonts w:hint="eastAsia" w:ascii="Times New Roman" w:cs="Times New Roman"/>
          <w:color w:val="auto"/>
          <w:sz w:val="21"/>
          <w:szCs w:val="21"/>
        </w:rPr>
        <w:t>日。</w:t>
      </w:r>
    </w:p>
    <w:p w14:paraId="58314855">
      <w:pPr>
        <w:adjustRightInd w:val="0"/>
        <w:snapToGrid w:val="0"/>
        <w:spacing w:line="360"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日期：</w:t>
      </w:r>
      <w:r>
        <w:rPr>
          <w:rFonts w:ascii="Times New Roman" w:hAnsi="Times New Roman" w:cs="Times New Roman"/>
          <w:color w:val="auto"/>
          <w:sz w:val="21"/>
          <w:szCs w:val="21"/>
        </w:rPr>
        <w:t>19994</w:t>
      </w:r>
      <w:r>
        <w:rPr>
          <w:rFonts w:hint="eastAsia" w:ascii="Times New Roman" w:cs="Times New Roman"/>
          <w:color w:val="auto"/>
          <w:sz w:val="21"/>
          <w:szCs w:val="21"/>
        </w:rPr>
        <w:t>年</w:t>
      </w:r>
      <w:r>
        <w:rPr>
          <w:rFonts w:ascii="Times New Roman" w:hAnsi="Times New Roman" w:cs="Times New Roman"/>
          <w:color w:val="auto"/>
          <w:sz w:val="21"/>
          <w:szCs w:val="21"/>
        </w:rPr>
        <w:t>8</w:t>
      </w:r>
      <w:r>
        <w:rPr>
          <w:rFonts w:hint="eastAsia" w:ascii="Times New Roman" w:cs="Times New Roman"/>
          <w:color w:val="auto"/>
          <w:sz w:val="21"/>
          <w:szCs w:val="21"/>
        </w:rPr>
        <w:t>月</w:t>
      </w:r>
      <w:r>
        <w:rPr>
          <w:rFonts w:ascii="Times New Roman" w:hAnsi="Times New Roman" w:cs="Times New Roman"/>
          <w:color w:val="auto"/>
          <w:sz w:val="21"/>
          <w:szCs w:val="21"/>
        </w:rPr>
        <w:t>19</w:t>
      </w:r>
      <w:r>
        <w:rPr>
          <w:rFonts w:hint="eastAsia" w:ascii="Times New Roman" w:cs="Times New Roman"/>
          <w:color w:val="auto"/>
          <w:sz w:val="21"/>
          <w:szCs w:val="21"/>
        </w:rPr>
        <w:t>日</w:t>
      </w:r>
    </w:p>
    <w:p w14:paraId="25A5DFAC">
      <w:pPr>
        <w:adjustRightInd w:val="0"/>
        <w:snapToGrid w:val="0"/>
        <w:spacing w:line="36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Linda A. Suydam,</w:t>
      </w:r>
    </w:p>
    <w:p w14:paraId="3F7B1B43">
      <w:pPr>
        <w:adjustRightInd w:val="0"/>
        <w:snapToGrid w:val="0"/>
        <w:spacing w:line="360"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临时运作副局长</w:t>
      </w:r>
    </w:p>
    <w:p w14:paraId="6AF61765">
      <w:pPr>
        <w:adjustRightInd w:val="0"/>
        <w:snapToGrid w:val="0"/>
        <w:spacing w:line="360" w:lineRule="auto"/>
        <w:ind w:firstLine="420" w:firstLineChars="200"/>
        <w:jc w:val="both"/>
        <w:rPr>
          <w:rFonts w:ascii="Times New Roman" w:hAnsi="Times New Roman" w:cs="Times New Roman"/>
          <w:color w:val="auto"/>
          <w:sz w:val="21"/>
          <w:szCs w:val="21"/>
          <w:lang w:val="en-US"/>
        </w:rPr>
      </w:pPr>
      <w:r>
        <w:rPr>
          <w:rFonts w:ascii="Times New Roman" w:hAnsi="Times New Roman" w:cs="Times New Roman"/>
          <w:color w:val="auto"/>
          <w:sz w:val="21"/>
          <w:szCs w:val="21"/>
          <w:lang w:val="en-US"/>
        </w:rPr>
        <w:t>[FR Doc. 94-21279 Filed 8-26-94</w:t>
      </w:r>
      <w:r>
        <w:rPr>
          <w:rFonts w:hint="eastAsia" w:ascii="Times New Roman" w:cs="Times New Roman"/>
          <w:color w:val="auto"/>
          <w:sz w:val="21"/>
          <w:szCs w:val="21"/>
          <w:lang w:val="en-US"/>
        </w:rPr>
        <w:t>；</w:t>
      </w:r>
      <w:r>
        <w:rPr>
          <w:rFonts w:ascii="Times New Roman" w:hAnsi="Times New Roman" w:cs="Times New Roman"/>
          <w:color w:val="auto"/>
          <w:sz w:val="21"/>
          <w:szCs w:val="21"/>
          <w:lang w:val="en-US"/>
        </w:rPr>
        <w:t xml:space="preserve"> 8</w:t>
      </w:r>
      <w:r>
        <w:rPr>
          <w:rFonts w:hint="eastAsia" w:ascii="Times New Roman" w:hAnsi="Times New Roman" w:cs="Times New Roman"/>
          <w:color w:val="auto"/>
          <w:sz w:val="21"/>
          <w:szCs w:val="21"/>
          <w:lang w:val="en-US"/>
        </w:rPr>
        <w:t>：</w:t>
      </w:r>
      <w:r>
        <w:rPr>
          <w:rFonts w:ascii="Times New Roman" w:hAnsi="Times New Roman" w:cs="Times New Roman"/>
          <w:color w:val="auto"/>
          <w:sz w:val="21"/>
          <w:szCs w:val="21"/>
          <w:lang w:val="en-US"/>
        </w:rPr>
        <w:t>45 am]</w:t>
      </w:r>
    </w:p>
    <w:p w14:paraId="5C779D37">
      <w:pPr>
        <w:adjustRightInd w:val="0"/>
        <w:snapToGrid w:val="0"/>
        <w:spacing w:line="360" w:lineRule="auto"/>
        <w:ind w:firstLine="420" w:firstLineChars="200"/>
        <w:jc w:val="both"/>
        <w:rPr>
          <w:rFonts w:ascii="Times New Roman" w:hAnsi="Times New Roman" w:cs="Times New Roman"/>
          <w:color w:val="auto"/>
          <w:sz w:val="21"/>
          <w:szCs w:val="21"/>
        </w:rPr>
      </w:pPr>
      <w:r>
        <w:rPr>
          <w:rFonts w:hint="eastAsia" w:ascii="Times New Roman" w:cs="Times New Roman"/>
          <w:color w:val="auto"/>
          <w:sz w:val="21"/>
          <w:szCs w:val="21"/>
        </w:rPr>
        <w:t>账单代码</w:t>
      </w:r>
      <w:r>
        <w:rPr>
          <w:rFonts w:ascii="Times New Roman" w:hAnsi="Times New Roman" w:cs="Times New Roman"/>
          <w:color w:val="auto"/>
          <w:sz w:val="21"/>
          <w:szCs w:val="21"/>
        </w:rPr>
        <w:t xml:space="preserve"> 4160-01-F</w:t>
      </w:r>
    </w:p>
    <w:p w14:paraId="26BC8E70">
      <w:pPr>
        <w:adjustRightInd w:val="0"/>
        <w:snapToGrid w:val="0"/>
        <w:spacing w:line="360" w:lineRule="auto"/>
        <w:jc w:val="both"/>
        <w:rPr>
          <w:rFonts w:ascii="Times New Roman" w:hAnsi="Times New Roman" w:cs="Times New Roman"/>
          <w:color w:val="auto"/>
          <w:sz w:val="21"/>
          <w:szCs w:val="21"/>
        </w:rPr>
        <w:sectPr>
          <w:headerReference r:id="rId4" w:type="default"/>
          <w:pgSz w:w="11909" w:h="16834"/>
          <w:pgMar w:top="1440" w:right="1797" w:bottom="1440" w:left="1797" w:header="567" w:footer="567" w:gutter="0"/>
          <w:pgNumType w:start="2"/>
          <w:cols w:space="720" w:num="1"/>
          <w:docGrid w:linePitch="360" w:charSpace="0"/>
        </w:sectPr>
      </w:pPr>
    </w:p>
    <w:p w14:paraId="7CB0B5F9">
      <w:pPr>
        <w:adjustRightInd w:val="0"/>
        <w:snapToGrid w:val="0"/>
        <w:spacing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附件</w:t>
      </w:r>
      <w:r>
        <w:rPr>
          <w:rFonts w:ascii="Times New Roman" w:hAnsi="Times New Roman" w:cs="Times New Roman"/>
          <w:color w:val="auto"/>
          <w:sz w:val="21"/>
          <w:szCs w:val="21"/>
        </w:rPr>
        <w:t>2</w:t>
      </w:r>
    </w:p>
    <w:p w14:paraId="47EEF71F">
      <w:pPr>
        <w:adjustRightInd w:val="0"/>
        <w:snapToGrid w:val="0"/>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lang w:val="en-US"/>
        </w:rPr>
        <w:pict>
          <v:shape id="_x0000_i1025" o:spt="75" type="#_x0000_t75" style="height:53.6pt;width:408.55pt;" filled="f" o:preferrelative="t" stroked="f" coordsize="21600,21600">
            <v:path/>
            <v:fill on="f" focussize="0,0"/>
            <v:stroke on="f" joinstyle="miter"/>
            <v:imagedata r:id="rId10" o:title=""/>
            <o:lock v:ext="edit" aspectratio="t"/>
            <w10:wrap type="none"/>
            <w10:anchorlock/>
          </v:shape>
        </w:pict>
      </w:r>
    </w:p>
    <w:p w14:paraId="38835FE6">
      <w:pPr>
        <w:adjustRightInd w:val="0"/>
        <w:snapToGrid w:val="0"/>
        <w:spacing w:line="36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1996</w:t>
      </w:r>
      <w:r>
        <w:rPr>
          <w:rFonts w:hint="eastAsia" w:ascii="Times New Roman" w:cs="Times New Roman"/>
          <w:color w:val="auto"/>
          <w:sz w:val="21"/>
          <w:szCs w:val="21"/>
        </w:rPr>
        <w:t>年</w:t>
      </w:r>
      <w:r>
        <w:rPr>
          <w:rFonts w:ascii="Times New Roman" w:hAnsi="Times New Roman" w:cs="Times New Roman"/>
          <w:color w:val="auto"/>
          <w:sz w:val="21"/>
          <w:szCs w:val="21"/>
        </w:rPr>
        <w:t>5</w:t>
      </w:r>
      <w:r>
        <w:rPr>
          <w:rFonts w:hint="eastAsia" w:ascii="Times New Roman" w:cs="Times New Roman"/>
          <w:color w:val="auto"/>
          <w:sz w:val="21"/>
          <w:szCs w:val="21"/>
        </w:rPr>
        <w:t>月</w:t>
      </w:r>
      <w:r>
        <w:rPr>
          <w:rFonts w:ascii="Times New Roman" w:hAnsi="Times New Roman" w:cs="Times New Roman"/>
          <w:color w:val="auto"/>
          <w:sz w:val="21"/>
          <w:szCs w:val="21"/>
        </w:rPr>
        <w:t>9</w:t>
      </w:r>
      <w:r>
        <w:rPr>
          <w:rFonts w:hint="eastAsia" w:ascii="Times New Roman" w:cs="Times New Roman"/>
          <w:color w:val="auto"/>
          <w:sz w:val="21"/>
          <w:szCs w:val="21"/>
        </w:rPr>
        <w:t>日</w:t>
      </w:r>
    </w:p>
    <w:p w14:paraId="2F5D10EE">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致</w:t>
      </w:r>
      <w:r>
        <w:rPr>
          <w:rFonts w:ascii="Times New Roman" w:hAnsi="Times New Roman" w:cs="Times New Roman"/>
          <w:color w:val="auto"/>
          <w:sz w:val="21"/>
          <w:szCs w:val="21"/>
        </w:rPr>
        <w:t>FDA</w:t>
      </w:r>
      <w:r>
        <w:rPr>
          <w:rFonts w:hint="eastAsia" w:ascii="Times New Roman" w:cs="Times New Roman"/>
          <w:color w:val="auto"/>
          <w:sz w:val="21"/>
          <w:szCs w:val="21"/>
        </w:rPr>
        <w:t>规定的药品</w:t>
      </w:r>
      <w:r>
        <w:rPr>
          <w:rFonts w:ascii="Times New Roman" w:hAnsi="Times New Roman" w:cs="Times New Roman"/>
          <w:color w:val="auto"/>
          <w:sz w:val="21"/>
          <w:szCs w:val="21"/>
        </w:rPr>
        <w:t>/</w:t>
      </w:r>
      <w:r>
        <w:rPr>
          <w:rFonts w:hint="eastAsia" w:ascii="Times New Roman" w:cs="Times New Roman"/>
          <w:color w:val="auto"/>
          <w:sz w:val="21"/>
          <w:szCs w:val="21"/>
        </w:rPr>
        <w:t>生物</w:t>
      </w:r>
      <w:r>
        <w:rPr>
          <w:rFonts w:ascii="Times New Roman" w:hAnsi="Times New Roman" w:cs="Times New Roman"/>
          <w:color w:val="auto"/>
          <w:sz w:val="21"/>
          <w:szCs w:val="21"/>
        </w:rPr>
        <w:t>/</w:t>
      </w:r>
      <w:r>
        <w:rPr>
          <w:rFonts w:hint="eastAsia" w:ascii="Times New Roman" w:cs="Times New Roman"/>
          <w:color w:val="auto"/>
          <w:sz w:val="21"/>
          <w:szCs w:val="21"/>
        </w:rPr>
        <w:t>器械产品生产商：</w:t>
      </w:r>
    </w:p>
    <w:p w14:paraId="3621E385">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如媒体广泛报道的，英国政府于</w:t>
      </w:r>
      <w:r>
        <w:rPr>
          <w:rFonts w:ascii="Times New Roman" w:hAnsi="Times New Roman" w:cs="Times New Roman"/>
          <w:color w:val="auto"/>
          <w:sz w:val="21"/>
          <w:szCs w:val="21"/>
        </w:rPr>
        <w:t>1996</w:t>
      </w:r>
      <w:r>
        <w:rPr>
          <w:rFonts w:hint="eastAsia" w:ascii="Times New Roman" w:cs="Times New Roman"/>
          <w:color w:val="auto"/>
          <w:sz w:val="21"/>
          <w:szCs w:val="21"/>
        </w:rPr>
        <w:t>年</w:t>
      </w:r>
      <w:r>
        <w:rPr>
          <w:rFonts w:ascii="Times New Roman" w:hAnsi="Times New Roman" w:cs="Times New Roman"/>
          <w:color w:val="auto"/>
          <w:sz w:val="21"/>
          <w:szCs w:val="21"/>
        </w:rPr>
        <w:t>3</w:t>
      </w:r>
      <w:r>
        <w:rPr>
          <w:rFonts w:hint="eastAsia" w:ascii="Times New Roman" w:cs="Times New Roman"/>
          <w:color w:val="auto"/>
          <w:sz w:val="21"/>
          <w:szCs w:val="21"/>
        </w:rPr>
        <w:t>月</w:t>
      </w:r>
      <w:r>
        <w:rPr>
          <w:rFonts w:ascii="Times New Roman" w:hAnsi="Times New Roman" w:cs="Times New Roman"/>
          <w:color w:val="auto"/>
          <w:sz w:val="21"/>
          <w:szCs w:val="21"/>
        </w:rPr>
        <w:t>20</w:t>
      </w:r>
      <w:r>
        <w:rPr>
          <w:rFonts w:hint="eastAsia" w:ascii="Times New Roman" w:cs="Times New Roman"/>
          <w:color w:val="auto"/>
          <w:sz w:val="21"/>
          <w:szCs w:val="21"/>
        </w:rPr>
        <w:t>日宣布，新收集的关于牛脑海绵状病（</w:t>
      </w:r>
      <w:r>
        <w:rPr>
          <w:rFonts w:ascii="Times New Roman" w:hAnsi="Times New Roman" w:cs="Times New Roman"/>
          <w:color w:val="auto"/>
          <w:sz w:val="21"/>
          <w:szCs w:val="21"/>
        </w:rPr>
        <w:t>BSE</w:t>
      </w:r>
      <w:r>
        <w:rPr>
          <w:rFonts w:hint="eastAsia" w:ascii="Times New Roman" w:cs="Times New Roman"/>
          <w:color w:val="auto"/>
          <w:sz w:val="21"/>
          <w:szCs w:val="21"/>
        </w:rPr>
        <w:t>）的信息提示</w:t>
      </w:r>
      <w:r>
        <w:rPr>
          <w:rFonts w:ascii="Times New Roman" w:hAnsi="Times New Roman" w:cs="Times New Roman"/>
          <w:color w:val="auto"/>
          <w:sz w:val="21"/>
          <w:szCs w:val="21"/>
        </w:rPr>
        <w:t>BSE</w:t>
      </w:r>
      <w:r>
        <w:rPr>
          <w:rFonts w:hint="eastAsia" w:ascii="Times New Roman" w:cs="Times New Roman"/>
          <w:color w:val="auto"/>
          <w:sz w:val="21"/>
          <w:szCs w:val="21"/>
        </w:rPr>
        <w:t>与</w:t>
      </w:r>
      <w:r>
        <w:rPr>
          <w:rFonts w:ascii="Times New Roman" w:hAnsi="Times New Roman" w:cs="Times New Roman"/>
          <w:color w:val="auto"/>
          <w:sz w:val="21"/>
          <w:szCs w:val="21"/>
        </w:rPr>
        <w:t>10</w:t>
      </w:r>
      <w:r>
        <w:rPr>
          <w:rFonts w:hint="eastAsia" w:ascii="Times New Roman" w:cs="Times New Roman"/>
          <w:color w:val="auto"/>
          <w:sz w:val="21"/>
          <w:szCs w:val="21"/>
        </w:rPr>
        <w:t>例新确定的克雅病（</w:t>
      </w:r>
      <w:r>
        <w:rPr>
          <w:rFonts w:ascii="Times New Roman" w:hAnsi="Times New Roman" w:cs="Times New Roman"/>
          <w:color w:val="auto"/>
          <w:sz w:val="21"/>
          <w:szCs w:val="21"/>
        </w:rPr>
        <w:t>CJD</w:t>
      </w:r>
      <w:r>
        <w:rPr>
          <w:rFonts w:hint="eastAsia" w:ascii="Times New Roman" w:cs="Times New Roman"/>
          <w:color w:val="auto"/>
          <w:sz w:val="21"/>
          <w:szCs w:val="21"/>
        </w:rPr>
        <w:t>）病例之间可能存在联系，一种相似的人致死性传播性海绵状脑病（</w:t>
      </w:r>
      <w:r>
        <w:rPr>
          <w:rFonts w:ascii="Times New Roman" w:hAnsi="Times New Roman" w:cs="Times New Roman"/>
          <w:color w:val="auto"/>
          <w:sz w:val="21"/>
          <w:szCs w:val="21"/>
        </w:rPr>
        <w:t>TSE</w:t>
      </w:r>
      <w:r>
        <w:rPr>
          <w:rFonts w:hint="eastAsia" w:ascii="Times New Roman" w:cs="Times New Roman"/>
          <w:color w:val="auto"/>
          <w:sz w:val="21"/>
          <w:szCs w:val="21"/>
        </w:rPr>
        <w:t>）。为满足我们在保护公共卫生方面的兴趣，美国食品药品管理局（</w:t>
      </w:r>
      <w:r>
        <w:rPr>
          <w:rFonts w:ascii="Times New Roman" w:hAnsi="Times New Roman" w:cs="Times New Roman"/>
          <w:color w:val="auto"/>
          <w:sz w:val="21"/>
          <w:szCs w:val="21"/>
        </w:rPr>
        <w:t>FDA</w:t>
      </w:r>
      <w:r>
        <w:rPr>
          <w:rFonts w:hint="eastAsia" w:ascii="Times New Roman" w:cs="Times New Roman"/>
          <w:color w:val="auto"/>
          <w:sz w:val="21"/>
          <w:szCs w:val="21"/>
        </w:rPr>
        <w:t>）相信重申我们以前表示的对于这一问题的关注是很谨慎的。</w:t>
      </w:r>
    </w:p>
    <w:p w14:paraId="23E36737">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我们强烈建议您采取任何必要的措施以确保您自己和公众，在生产人用</w:t>
      </w:r>
      <w:r>
        <w:rPr>
          <w:rFonts w:ascii="Times New Roman" w:hAnsi="Times New Roman" w:cs="Times New Roman"/>
          <w:color w:val="auto"/>
          <w:sz w:val="21"/>
          <w:szCs w:val="21"/>
        </w:rPr>
        <w:t>FDA</w:t>
      </w:r>
      <w:r>
        <w:rPr>
          <w:rFonts w:hint="eastAsia" w:ascii="Times New Roman" w:cs="Times New Roman"/>
          <w:color w:val="auto"/>
          <w:sz w:val="21"/>
          <w:szCs w:val="21"/>
        </w:rPr>
        <w:t>监管产品时，您未使用在已知有</w:t>
      </w:r>
      <w:r>
        <w:rPr>
          <w:rFonts w:ascii="Times New Roman" w:hAnsi="Times New Roman" w:cs="Times New Roman"/>
          <w:color w:val="auto"/>
          <w:sz w:val="21"/>
          <w:szCs w:val="21"/>
        </w:rPr>
        <w:t>BSE</w:t>
      </w:r>
      <w:r>
        <w:rPr>
          <w:rFonts w:hint="eastAsia" w:ascii="Times New Roman" w:cs="Times New Roman"/>
          <w:color w:val="auto"/>
          <w:sz w:val="21"/>
          <w:szCs w:val="21"/>
        </w:rPr>
        <w:t>存在国家未使用来自出生、饲养或宰杀的牛的材料。</w:t>
      </w:r>
      <w:r>
        <w:rPr>
          <w:rFonts w:ascii="Times New Roman" w:hAnsi="Times New Roman" w:cs="Times New Roman"/>
          <w:color w:val="auto"/>
          <w:sz w:val="21"/>
          <w:szCs w:val="21"/>
        </w:rPr>
        <w:t>FDA</w:t>
      </w:r>
      <w:r>
        <w:rPr>
          <w:rFonts w:hint="eastAsia" w:ascii="Times New Roman" w:cs="Times New Roman"/>
          <w:color w:val="auto"/>
          <w:sz w:val="21"/>
          <w:szCs w:val="21"/>
        </w:rPr>
        <w:t>认为生产商必须采取直接和具体的措施以减低人暴露于或传播牛</w:t>
      </w:r>
      <w:r>
        <w:rPr>
          <w:rFonts w:ascii="Times New Roman" w:hAnsi="Times New Roman" w:cs="Times New Roman"/>
          <w:color w:val="auto"/>
          <w:sz w:val="21"/>
          <w:szCs w:val="21"/>
        </w:rPr>
        <w:t>BSE</w:t>
      </w:r>
      <w:r>
        <w:rPr>
          <w:rFonts w:hint="eastAsia" w:ascii="Times New Roman" w:cs="Times New Roman"/>
          <w:color w:val="auto"/>
          <w:sz w:val="21"/>
          <w:szCs w:val="21"/>
        </w:rPr>
        <w:t>病原体的潜在风险。</w:t>
      </w:r>
    </w:p>
    <w:p w14:paraId="67F75529">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BSE</w:t>
      </w:r>
      <w:r>
        <w:rPr>
          <w:rFonts w:hint="eastAsia" w:ascii="Times New Roman" w:cs="Times New Roman"/>
          <w:color w:val="auto"/>
          <w:sz w:val="21"/>
          <w:szCs w:val="21"/>
        </w:rPr>
        <w:t>是一种牛传染性神经系统疾病，在世界某些地区流行。美国尚无</w:t>
      </w:r>
      <w:r>
        <w:rPr>
          <w:rFonts w:ascii="Times New Roman" w:hAnsi="Times New Roman" w:cs="Times New Roman"/>
          <w:color w:val="auto"/>
          <w:sz w:val="21"/>
          <w:szCs w:val="21"/>
        </w:rPr>
        <w:t>BSE</w:t>
      </w:r>
      <w:r>
        <w:rPr>
          <w:rFonts w:hint="eastAsia" w:ascii="Times New Roman" w:cs="Times New Roman"/>
          <w:color w:val="auto"/>
          <w:sz w:val="21"/>
          <w:szCs w:val="21"/>
        </w:rPr>
        <w:t>诊断。目前认为</w:t>
      </w:r>
      <w:r>
        <w:rPr>
          <w:rFonts w:ascii="Times New Roman" w:hAnsi="Times New Roman" w:cs="Times New Roman"/>
          <w:color w:val="auto"/>
          <w:sz w:val="21"/>
          <w:szCs w:val="21"/>
        </w:rPr>
        <w:t>BSE</w:t>
      </w:r>
      <w:r>
        <w:rPr>
          <w:rFonts w:hint="eastAsia" w:ascii="Times New Roman" w:cs="Times New Roman"/>
          <w:color w:val="auto"/>
          <w:sz w:val="21"/>
          <w:szCs w:val="21"/>
        </w:rPr>
        <w:t>在某些国家的快速蔓延，尤其是在英国，是以某些感染的牛和羊组织喂养牛所致的。尽管至今尚未确定</w:t>
      </w:r>
      <w:r>
        <w:rPr>
          <w:rFonts w:ascii="Times New Roman" w:hAnsi="Times New Roman" w:cs="Times New Roman"/>
          <w:color w:val="auto"/>
          <w:sz w:val="21"/>
          <w:szCs w:val="21"/>
        </w:rPr>
        <w:t>BSE</w:t>
      </w:r>
      <w:r>
        <w:rPr>
          <w:rFonts w:hint="eastAsia" w:ascii="Times New Roman" w:cs="Times New Roman"/>
          <w:color w:val="auto"/>
          <w:sz w:val="21"/>
          <w:szCs w:val="21"/>
        </w:rPr>
        <w:t>病原体能传播至人，但是已经证实能在物种间传播（如，小鼠可通过暴露于感染的牛组织而感染该病）。</w:t>
      </w:r>
      <w:r>
        <w:rPr>
          <w:rFonts w:ascii="Times New Roman" w:hAnsi="Times New Roman" w:cs="Times New Roman"/>
          <w:color w:val="auto"/>
          <w:sz w:val="21"/>
          <w:szCs w:val="21"/>
        </w:rPr>
        <w:br w:type="textWrapping"/>
      </w:r>
      <w:r>
        <w:rPr>
          <w:rFonts w:hint="eastAsia" w:ascii="Times New Roman" w:cs="Times New Roman"/>
          <w:color w:val="auto"/>
          <w:sz w:val="21"/>
          <w:szCs w:val="21"/>
        </w:rPr>
        <w:t>关于使用含</w:t>
      </w:r>
      <w:r>
        <w:rPr>
          <w:rFonts w:ascii="Times New Roman" w:hAnsi="Times New Roman" w:cs="Times New Roman"/>
          <w:color w:val="auto"/>
          <w:sz w:val="21"/>
          <w:szCs w:val="21"/>
        </w:rPr>
        <w:t>BSE</w:t>
      </w:r>
      <w:r>
        <w:rPr>
          <w:rFonts w:hint="eastAsia" w:ascii="Times New Roman" w:cs="Times New Roman"/>
          <w:color w:val="auto"/>
          <w:sz w:val="21"/>
          <w:szCs w:val="21"/>
        </w:rPr>
        <w:t>病原体动物组织的潜在危害，英国近来的事态发展引起了严重的问题。</w:t>
      </w:r>
    </w:p>
    <w:p w14:paraId="22AAE7A0">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已知有</w:t>
      </w:r>
      <w:r>
        <w:rPr>
          <w:rFonts w:ascii="Times New Roman" w:hAnsi="Times New Roman" w:cs="Times New Roman"/>
          <w:color w:val="auto"/>
          <w:sz w:val="21"/>
          <w:szCs w:val="21"/>
        </w:rPr>
        <w:t>BSE</w:t>
      </w:r>
      <w:r>
        <w:rPr>
          <w:rFonts w:hint="eastAsia" w:ascii="Times New Roman" w:cs="Times New Roman"/>
          <w:color w:val="auto"/>
          <w:sz w:val="21"/>
          <w:szCs w:val="21"/>
        </w:rPr>
        <w:t>存在的国家列表由美国农业部（</w:t>
      </w:r>
      <w:r>
        <w:rPr>
          <w:rFonts w:ascii="Times New Roman" w:hAnsi="Times New Roman" w:cs="Times New Roman"/>
          <w:color w:val="auto"/>
          <w:sz w:val="21"/>
          <w:szCs w:val="21"/>
        </w:rPr>
        <w:t>USDA</w:t>
      </w:r>
      <w:r>
        <w:rPr>
          <w:rFonts w:hint="eastAsia" w:ascii="Times New Roman" w:cs="Times New Roman"/>
          <w:color w:val="auto"/>
          <w:sz w:val="21"/>
          <w:szCs w:val="21"/>
        </w:rPr>
        <w:t>）维持，编纂于美国联邦法规第</w:t>
      </w:r>
      <w:r>
        <w:rPr>
          <w:rFonts w:ascii="Times New Roman" w:hAnsi="Times New Roman" w:cs="Times New Roman"/>
          <w:color w:val="auto"/>
          <w:sz w:val="21"/>
          <w:szCs w:val="21"/>
        </w:rPr>
        <w:t>9</w:t>
      </w:r>
      <w:r>
        <w:rPr>
          <w:rFonts w:hint="eastAsia" w:ascii="Times New Roman" w:cs="Times New Roman"/>
          <w:color w:val="auto"/>
          <w:sz w:val="21"/>
          <w:szCs w:val="21"/>
        </w:rPr>
        <w:t>篇第</w:t>
      </w:r>
      <w:r>
        <w:rPr>
          <w:rFonts w:ascii="Times New Roman" w:hAnsi="Times New Roman" w:cs="Times New Roman"/>
          <w:color w:val="auto"/>
          <w:sz w:val="21"/>
          <w:szCs w:val="21"/>
        </w:rPr>
        <w:t>94.18</w:t>
      </w:r>
      <w:r>
        <w:rPr>
          <w:rFonts w:hint="eastAsia" w:ascii="Times New Roman" w:cs="Times New Roman"/>
          <w:color w:val="auto"/>
          <w:sz w:val="21"/>
          <w:szCs w:val="21"/>
        </w:rPr>
        <w:t>部分。这些国家的当前清单</w:t>
      </w:r>
      <w:r>
        <w:rPr>
          <w:rFonts w:hint="eastAsia" w:ascii="Times New Roman" w:hAnsi="Times New Roman" w:cs="Times New Roman"/>
          <w:color w:val="auto"/>
          <w:sz w:val="21"/>
          <w:szCs w:val="21"/>
        </w:rPr>
        <w:t>：</w:t>
      </w:r>
    </w:p>
    <w:p w14:paraId="53CC3D86">
      <w:pPr>
        <w:adjustRightInd w:val="0"/>
        <w:snapToGrid w:val="0"/>
        <w:spacing w:beforeLines="50" w:line="360" w:lineRule="auto"/>
        <w:jc w:val="center"/>
        <w:rPr>
          <w:rFonts w:ascii="Times New Roman" w:hAnsi="Times New Roman" w:cs="Times New Roman"/>
          <w:color w:val="auto"/>
          <w:sz w:val="21"/>
          <w:szCs w:val="21"/>
        </w:rPr>
      </w:pPr>
      <w:r>
        <w:rPr>
          <w:rFonts w:hint="eastAsia" w:ascii="Times New Roman" w:cs="Times New Roman"/>
          <w:color w:val="auto"/>
          <w:sz w:val="21"/>
          <w:szCs w:val="21"/>
        </w:rPr>
        <w:t>存在</w:t>
      </w:r>
      <w:r>
        <w:rPr>
          <w:rFonts w:ascii="Times New Roman" w:hAnsi="Times New Roman" w:cs="Times New Roman"/>
          <w:color w:val="auto"/>
          <w:sz w:val="21"/>
          <w:szCs w:val="21"/>
        </w:rPr>
        <w:t>BSE</w:t>
      </w:r>
      <w:r>
        <w:rPr>
          <w:rFonts w:hint="eastAsia" w:ascii="Times New Roman" w:cs="Times New Roman"/>
          <w:color w:val="auto"/>
          <w:sz w:val="21"/>
          <w:szCs w:val="21"/>
        </w:rPr>
        <w:t>国家的</w:t>
      </w:r>
      <w:r>
        <w:rPr>
          <w:rFonts w:ascii="Times New Roman" w:hAnsi="Times New Roman" w:cs="Times New Roman"/>
          <w:color w:val="auto"/>
          <w:sz w:val="21"/>
          <w:szCs w:val="21"/>
        </w:rPr>
        <w:t>USDA</w:t>
      </w:r>
      <w:r>
        <w:rPr>
          <w:rFonts w:hint="eastAsia" w:ascii="Times New Roman" w:cs="Times New Roman"/>
          <w:color w:val="auto"/>
          <w:sz w:val="21"/>
          <w:szCs w:val="21"/>
        </w:rPr>
        <w:t>清单</w:t>
      </w:r>
    </w:p>
    <w:p w14:paraId="36A47FF4">
      <w:pPr>
        <w:adjustRightInd w:val="0"/>
        <w:snapToGrid w:val="0"/>
        <w:spacing w:line="36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w:t>
      </w:r>
      <w:r>
        <w:rPr>
          <w:rFonts w:hint="eastAsia" w:ascii="Times New Roman" w:cs="Times New Roman"/>
          <w:color w:val="auto"/>
          <w:sz w:val="21"/>
          <w:szCs w:val="21"/>
        </w:rPr>
        <w:t>本期：</w:t>
      </w:r>
      <w:r>
        <w:rPr>
          <w:rFonts w:ascii="Times New Roman" w:hAnsi="Times New Roman" w:cs="Times New Roman"/>
          <w:color w:val="auto"/>
          <w:sz w:val="21"/>
          <w:szCs w:val="21"/>
        </w:rPr>
        <w:t>1996</w:t>
      </w:r>
      <w:r>
        <w:rPr>
          <w:rFonts w:hint="eastAsia" w:ascii="Times New Roman" w:cs="Times New Roman"/>
          <w:color w:val="auto"/>
          <w:sz w:val="21"/>
          <w:szCs w:val="21"/>
        </w:rPr>
        <w:t>年</w:t>
      </w:r>
      <w:r>
        <w:rPr>
          <w:rFonts w:ascii="Times New Roman" w:hAnsi="Times New Roman" w:cs="Times New Roman"/>
          <w:color w:val="auto"/>
          <w:sz w:val="21"/>
          <w:szCs w:val="21"/>
        </w:rPr>
        <w:t>5</w:t>
      </w:r>
      <w:r>
        <w:rPr>
          <w:rFonts w:hint="eastAsia" w:ascii="Times New Roman" w:cs="Times New Roman"/>
          <w:color w:val="auto"/>
          <w:sz w:val="21"/>
          <w:szCs w:val="21"/>
        </w:rPr>
        <w:t>月</w:t>
      </w:r>
      <w:r>
        <w:rPr>
          <w:rFonts w:ascii="Times New Roman" w:hAnsi="Times New Roman" w:cs="Times New Roman"/>
          <w:color w:val="auto"/>
          <w:sz w:val="21"/>
          <w:szCs w:val="21"/>
        </w:rPr>
        <w:t>)</w:t>
      </w:r>
    </w:p>
    <w:p w14:paraId="2DD8408D">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英国（包括北爱尔兰和福克兰群岛）</w:t>
      </w:r>
    </w:p>
    <w:p w14:paraId="7364A158">
      <w:pPr>
        <w:adjustRightInd w:val="0"/>
        <w:snapToGrid w:val="0"/>
        <w:spacing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瑞士</w:t>
      </w:r>
    </w:p>
    <w:p w14:paraId="2F9A33ED">
      <w:pPr>
        <w:adjustRightInd w:val="0"/>
        <w:snapToGrid w:val="0"/>
        <w:spacing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法国</w:t>
      </w:r>
    </w:p>
    <w:p w14:paraId="328D2E79">
      <w:pPr>
        <w:adjustRightInd w:val="0"/>
        <w:snapToGrid w:val="0"/>
        <w:spacing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爱尔兰共和国</w:t>
      </w:r>
    </w:p>
    <w:p w14:paraId="5AC17669">
      <w:pPr>
        <w:adjustRightInd w:val="0"/>
        <w:snapToGrid w:val="0"/>
        <w:spacing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阿曼</w:t>
      </w:r>
    </w:p>
    <w:p w14:paraId="781555A7">
      <w:pPr>
        <w:adjustRightInd w:val="0"/>
        <w:snapToGrid w:val="0"/>
        <w:spacing w:line="360" w:lineRule="auto"/>
        <w:jc w:val="both"/>
        <w:rPr>
          <w:rFonts w:ascii="Times New Roman" w:cs="Times New Roman"/>
          <w:color w:val="auto"/>
          <w:sz w:val="21"/>
          <w:szCs w:val="21"/>
        </w:rPr>
      </w:pPr>
      <w:r>
        <w:rPr>
          <w:rFonts w:hint="eastAsia" w:ascii="Times New Roman" w:cs="Times New Roman"/>
          <w:color w:val="auto"/>
          <w:sz w:val="21"/>
          <w:szCs w:val="21"/>
        </w:rPr>
        <w:t>葡萄牙</w:t>
      </w:r>
    </w:p>
    <w:p w14:paraId="2DE837F1">
      <w:pPr>
        <w:adjustRightInd w:val="0"/>
        <w:snapToGrid w:val="0"/>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hint="eastAsia" w:ascii="Times New Roman" w:cs="Times New Roman"/>
          <w:color w:val="auto"/>
          <w:sz w:val="21"/>
          <w:szCs w:val="21"/>
        </w:rPr>
        <w:t>第</w:t>
      </w:r>
      <w:r>
        <w:rPr>
          <w:rFonts w:ascii="Times New Roman" w:hAnsi="Times New Roman" w:cs="Times New Roman"/>
          <w:color w:val="auto"/>
          <w:sz w:val="21"/>
          <w:szCs w:val="21"/>
        </w:rPr>
        <w:t>2</w:t>
      </w:r>
      <w:r>
        <w:rPr>
          <w:rFonts w:hint="eastAsia" w:ascii="Times New Roman" w:cs="Times New Roman"/>
          <w:color w:val="auto"/>
          <w:sz w:val="21"/>
          <w:szCs w:val="21"/>
        </w:rPr>
        <w:t>页</w:t>
      </w:r>
      <w:r>
        <w:rPr>
          <w:rFonts w:ascii="Times New Roman" w:hAnsi="Times New Roman" w:cs="Times New Roman"/>
          <w:color w:val="auto"/>
          <w:sz w:val="21"/>
          <w:szCs w:val="21"/>
        </w:rPr>
        <w:t>- BSE</w:t>
      </w:r>
    </w:p>
    <w:p w14:paraId="2A0CE903">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正在进行一系列研究项目，包括</w:t>
      </w:r>
      <w:r>
        <w:rPr>
          <w:rFonts w:ascii="Times New Roman" w:hAnsi="Times New Roman" w:cs="Times New Roman"/>
          <w:color w:val="auto"/>
          <w:sz w:val="21"/>
          <w:szCs w:val="21"/>
        </w:rPr>
        <w:t>BSE</w:t>
      </w:r>
      <w:r>
        <w:rPr>
          <w:rFonts w:hint="eastAsia" w:ascii="Times New Roman" w:cs="Times New Roman"/>
          <w:color w:val="auto"/>
          <w:sz w:val="21"/>
          <w:szCs w:val="21"/>
        </w:rPr>
        <w:t>病原体和</w:t>
      </w:r>
      <w:r>
        <w:rPr>
          <w:rFonts w:ascii="Times New Roman" w:hAnsi="Times New Roman" w:cs="Times New Roman"/>
          <w:color w:val="auto"/>
          <w:sz w:val="21"/>
          <w:szCs w:val="21"/>
        </w:rPr>
        <w:t>TSE</w:t>
      </w:r>
      <w:r>
        <w:rPr>
          <w:rFonts w:hint="eastAsia" w:ascii="Times New Roman" w:cs="Times New Roman"/>
          <w:color w:val="auto"/>
          <w:sz w:val="21"/>
          <w:szCs w:val="21"/>
        </w:rPr>
        <w:t>病原体的确切性质。目前已知的科学信息表明这些病原体极度耐受普通的消毒和灭菌程序。</w:t>
      </w:r>
    </w:p>
    <w:p w14:paraId="757C4440">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在未来的某日，我们将与您联系，关于如何最佳地保证您的产品不含有潜在的</w:t>
      </w:r>
      <w:r>
        <w:rPr>
          <w:rFonts w:ascii="Times New Roman" w:hAnsi="Times New Roman" w:cs="Times New Roman"/>
          <w:color w:val="auto"/>
          <w:sz w:val="21"/>
          <w:szCs w:val="21"/>
        </w:rPr>
        <w:t>BSE</w:t>
      </w:r>
      <w:r>
        <w:rPr>
          <w:rFonts w:hint="eastAsia" w:ascii="Times New Roman" w:cs="Times New Roman"/>
          <w:color w:val="auto"/>
          <w:sz w:val="21"/>
          <w:szCs w:val="21"/>
        </w:rPr>
        <w:t>感染材料的指南。</w:t>
      </w:r>
    </w:p>
    <w:p w14:paraId="66F5C128">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如果您需要更多信息，请按以下联系</w:t>
      </w:r>
      <w:r>
        <w:rPr>
          <w:rFonts w:hint="eastAsia" w:ascii="Times New Roman" w:hAnsi="Times New Roman" w:cs="Times New Roman"/>
          <w:color w:val="auto"/>
          <w:sz w:val="21"/>
          <w:szCs w:val="21"/>
        </w:rPr>
        <w:t>：</w:t>
      </w:r>
    </w:p>
    <w:p w14:paraId="32A5DBD3">
      <w:pPr>
        <w:adjustRightInd w:val="0"/>
        <w:snapToGrid w:val="0"/>
        <w:spacing w:beforeLines="50" w:line="360" w:lineRule="auto"/>
        <w:ind w:left="480" w:leftChars="200"/>
        <w:jc w:val="both"/>
        <w:rPr>
          <w:rFonts w:ascii="Times New Roman" w:hAnsi="Times New Roman" w:cs="Times New Roman"/>
          <w:color w:val="auto"/>
          <w:sz w:val="21"/>
          <w:szCs w:val="21"/>
        </w:rPr>
      </w:pPr>
      <w:r>
        <w:rPr>
          <w:rFonts w:ascii="Times New Roman" w:hAnsi="Times New Roman" w:cs="Times New Roman"/>
          <w:color w:val="auto"/>
          <w:sz w:val="21"/>
          <w:szCs w:val="21"/>
        </w:rPr>
        <w:t>Yuan Yuan Chiu, Ph.D., 301 443-3510 (</w:t>
      </w:r>
      <w:r>
        <w:rPr>
          <w:rFonts w:hint="eastAsia" w:ascii="Times New Roman" w:cs="Times New Roman"/>
          <w:color w:val="auto"/>
          <w:sz w:val="21"/>
          <w:szCs w:val="21"/>
        </w:rPr>
        <w:t>药物产品</w:t>
      </w:r>
      <w:r>
        <w:rPr>
          <w:rFonts w:ascii="Times New Roman" w:hAnsi="Times New Roman" w:cs="Times New Roman"/>
          <w:color w:val="auto"/>
          <w:sz w:val="21"/>
          <w:szCs w:val="21"/>
        </w:rPr>
        <w:t>)</w:t>
      </w:r>
    </w:p>
    <w:p w14:paraId="6424F654">
      <w:pPr>
        <w:adjustRightInd w:val="0"/>
        <w:snapToGrid w:val="0"/>
        <w:spacing w:line="360" w:lineRule="auto"/>
        <w:ind w:left="480" w:leftChars="200"/>
        <w:jc w:val="both"/>
        <w:rPr>
          <w:rFonts w:ascii="Times New Roman" w:hAnsi="Times New Roman" w:cs="Times New Roman"/>
          <w:color w:val="auto"/>
          <w:sz w:val="21"/>
          <w:szCs w:val="21"/>
        </w:rPr>
      </w:pPr>
      <w:r>
        <w:rPr>
          <w:rFonts w:ascii="Times New Roman" w:hAnsi="Times New Roman" w:cs="Times New Roman"/>
          <w:color w:val="auto"/>
          <w:sz w:val="21"/>
          <w:szCs w:val="21"/>
        </w:rPr>
        <w:t>Kiki Hellman, Ph.D., 301 443-7158  (</w:t>
      </w:r>
      <w:r>
        <w:rPr>
          <w:rFonts w:hint="eastAsia" w:ascii="Times New Roman" w:cs="Times New Roman"/>
          <w:color w:val="auto"/>
          <w:sz w:val="21"/>
          <w:szCs w:val="21"/>
        </w:rPr>
        <w:t>医疗器械</w:t>
      </w:r>
      <w:r>
        <w:rPr>
          <w:rFonts w:ascii="Times New Roman" w:hAnsi="Times New Roman" w:cs="Times New Roman"/>
          <w:color w:val="auto"/>
          <w:sz w:val="21"/>
          <w:szCs w:val="21"/>
        </w:rPr>
        <w:t>)</w:t>
      </w:r>
    </w:p>
    <w:p w14:paraId="31A7C143">
      <w:pPr>
        <w:adjustRightInd w:val="0"/>
        <w:snapToGrid w:val="0"/>
        <w:spacing w:line="360" w:lineRule="auto"/>
        <w:ind w:left="480" w:leftChars="200"/>
        <w:jc w:val="both"/>
        <w:rPr>
          <w:rFonts w:ascii="Times New Roman" w:hAnsi="Times New Roman" w:cs="Times New Roman"/>
          <w:color w:val="auto"/>
          <w:sz w:val="21"/>
          <w:szCs w:val="21"/>
        </w:rPr>
      </w:pPr>
      <w:r>
        <w:rPr>
          <w:rFonts w:ascii="Times New Roman" w:hAnsi="Times New Roman" w:cs="Times New Roman"/>
          <w:color w:val="auto"/>
          <w:sz w:val="21"/>
          <w:szCs w:val="21"/>
        </w:rPr>
        <w:t>Paul Richman, Ph.D., 301 827-3070  (</w:t>
      </w:r>
      <w:r>
        <w:rPr>
          <w:rFonts w:hint="eastAsia" w:ascii="Times New Roman" w:cs="Times New Roman"/>
          <w:color w:val="auto"/>
          <w:sz w:val="21"/>
          <w:szCs w:val="21"/>
        </w:rPr>
        <w:t>生物制品</w:t>
      </w:r>
      <w:r>
        <w:rPr>
          <w:rFonts w:ascii="Times New Roman" w:hAnsi="Times New Roman" w:cs="Times New Roman"/>
          <w:color w:val="auto"/>
          <w:sz w:val="21"/>
          <w:szCs w:val="21"/>
        </w:rPr>
        <w:t>)</w:t>
      </w:r>
      <w:r>
        <w:rPr>
          <w:rFonts w:hint="eastAsia" w:ascii="Times New Roman" w:cs="Times New Roman"/>
          <w:color w:val="auto"/>
          <w:sz w:val="21"/>
          <w:szCs w:val="21"/>
        </w:rPr>
        <w:t>。</w:t>
      </w:r>
    </w:p>
    <w:p w14:paraId="225762E1">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衷心感谢您对此物质的关注和协作。</w:t>
      </w:r>
    </w:p>
    <w:p w14:paraId="2FAAC104">
      <w:pPr>
        <w:adjustRightInd w:val="0"/>
        <w:snapToGrid w:val="0"/>
        <w:spacing w:beforeLines="50" w:line="360" w:lineRule="auto"/>
        <w:ind w:left="4704" w:leftChars="1960"/>
        <w:jc w:val="both"/>
        <w:rPr>
          <w:rFonts w:ascii="Times New Roman" w:hAnsi="Times New Roman" w:cs="Times New Roman"/>
          <w:color w:val="auto"/>
          <w:sz w:val="21"/>
          <w:szCs w:val="21"/>
        </w:rPr>
      </w:pPr>
      <w:r>
        <w:rPr>
          <w:rFonts w:hint="eastAsia" w:ascii="Times New Roman" w:cs="Times New Roman"/>
          <w:color w:val="auto"/>
          <w:sz w:val="21"/>
          <w:szCs w:val="21"/>
        </w:rPr>
        <w:t>您诚挚的，</w:t>
      </w:r>
    </w:p>
    <w:p w14:paraId="0D734E71">
      <w:pPr>
        <w:adjustRightInd w:val="0"/>
        <w:snapToGrid w:val="0"/>
        <w:spacing w:beforeLines="50" w:line="360" w:lineRule="auto"/>
        <w:ind w:left="4704" w:leftChars="1960"/>
        <w:jc w:val="both"/>
        <w:rPr>
          <w:rFonts w:ascii="Times New Roman" w:hAnsi="Times New Roman" w:cs="Times New Roman"/>
          <w:color w:val="auto"/>
          <w:sz w:val="21"/>
          <w:szCs w:val="21"/>
        </w:rPr>
      </w:pPr>
      <w:r>
        <w:rPr>
          <w:rFonts w:ascii="Times New Roman" w:hAnsi="Times New Roman" w:cs="Times New Roman"/>
          <w:color w:val="auto"/>
          <w:sz w:val="21"/>
          <w:szCs w:val="21"/>
          <w:lang w:val="en-US"/>
        </w:rPr>
        <w:pict>
          <v:shape id="_x0000_i1026" o:spt="75" type="#_x0000_t75" style="height:16.75pt;width:118.9pt;" filled="f" o:preferrelative="t" stroked="f" coordsize="21600,21600">
            <v:path/>
            <v:fill on="f" focussize="0,0"/>
            <v:stroke on="f" joinstyle="miter"/>
            <v:imagedata r:id="rId11" o:title=""/>
            <o:lock v:ext="edit" aspectratio="t"/>
            <w10:wrap type="none"/>
            <w10:anchorlock/>
          </v:shape>
        </w:pict>
      </w:r>
    </w:p>
    <w:p w14:paraId="48835246">
      <w:pPr>
        <w:adjustRightInd w:val="0"/>
        <w:snapToGrid w:val="0"/>
        <w:spacing w:line="360" w:lineRule="auto"/>
        <w:ind w:left="4704" w:leftChars="1960"/>
        <w:jc w:val="both"/>
        <w:rPr>
          <w:rFonts w:ascii="Times New Roman" w:hAnsi="Times New Roman" w:cs="Times New Roman"/>
          <w:color w:val="auto"/>
          <w:sz w:val="21"/>
          <w:szCs w:val="21"/>
          <w:lang w:val="de-DE"/>
        </w:rPr>
      </w:pPr>
      <w:r>
        <w:rPr>
          <w:rFonts w:ascii="Times New Roman" w:hAnsi="Times New Roman" w:cs="Times New Roman"/>
          <w:color w:val="auto"/>
          <w:sz w:val="21"/>
          <w:szCs w:val="21"/>
          <w:lang w:val="de-DE"/>
        </w:rPr>
        <w:t>Michael A. Friedman, M.D.</w:t>
      </w:r>
    </w:p>
    <w:p w14:paraId="717E6DB5">
      <w:pPr>
        <w:adjustRightInd w:val="0"/>
        <w:snapToGrid w:val="0"/>
        <w:spacing w:line="360" w:lineRule="auto"/>
        <w:ind w:left="4704" w:leftChars="1960"/>
        <w:jc w:val="both"/>
        <w:rPr>
          <w:rFonts w:ascii="Times New Roman" w:hAnsi="Times New Roman" w:cs="Times New Roman"/>
          <w:color w:val="auto"/>
          <w:sz w:val="21"/>
          <w:szCs w:val="21"/>
        </w:rPr>
      </w:pPr>
      <w:r>
        <w:rPr>
          <w:rFonts w:hint="eastAsia" w:ascii="Times New Roman" w:cs="Times New Roman"/>
          <w:color w:val="auto"/>
          <w:sz w:val="21"/>
          <w:szCs w:val="21"/>
        </w:rPr>
        <w:t>运作副局长</w:t>
      </w:r>
    </w:p>
    <w:p w14:paraId="58BA74D5">
      <w:pPr>
        <w:adjustRightInd w:val="0"/>
        <w:snapToGrid w:val="0"/>
        <w:spacing w:line="360" w:lineRule="auto"/>
        <w:jc w:val="both"/>
        <w:outlineLvl w:val="4"/>
        <w:rPr>
          <w:rFonts w:ascii="Times New Roman" w:hAnsi="Times New Roman" w:cs="Times New Roman"/>
          <w:color w:val="auto"/>
          <w:sz w:val="21"/>
          <w:szCs w:val="21"/>
        </w:rPr>
      </w:pPr>
      <w:r>
        <w:rPr>
          <w:rFonts w:ascii="Times New Roman" w:hAnsi="Times New Roman" w:cs="Times New Roman"/>
          <w:color w:val="auto"/>
          <w:sz w:val="21"/>
          <w:szCs w:val="21"/>
        </w:rPr>
        <w:br w:type="page"/>
      </w:r>
      <w:bookmarkStart w:id="6" w:name="bookmark11"/>
      <w:r>
        <w:rPr>
          <w:rFonts w:hint="eastAsia" w:ascii="Times New Roman" w:cs="Times New Roman"/>
          <w:color w:val="auto"/>
          <w:sz w:val="21"/>
          <w:szCs w:val="21"/>
        </w:rPr>
        <w:t>附件</w:t>
      </w:r>
      <w:r>
        <w:rPr>
          <w:rFonts w:ascii="Times New Roman" w:hAnsi="Times New Roman" w:cs="Times New Roman"/>
          <w:color w:val="auto"/>
          <w:sz w:val="21"/>
          <w:szCs w:val="21"/>
        </w:rPr>
        <w:t>3</w:t>
      </w:r>
    </w:p>
    <w:p w14:paraId="784FC195">
      <w:pPr>
        <w:adjustRightInd w:val="0"/>
        <w:snapToGrid w:val="0"/>
        <w:spacing w:line="360" w:lineRule="auto"/>
        <w:jc w:val="center"/>
        <w:outlineLvl w:val="4"/>
        <w:rPr>
          <w:rFonts w:ascii="Times New Roman" w:hAnsi="Times New Roman" w:cs="Times New Roman"/>
          <w:color w:val="auto"/>
          <w:sz w:val="21"/>
          <w:szCs w:val="21"/>
        </w:rPr>
      </w:pPr>
      <w:r>
        <w:rPr>
          <w:rFonts w:hint="eastAsia" w:ascii="Times New Roman" w:cs="Times New Roman"/>
          <w:color w:val="auto"/>
          <w:sz w:val="21"/>
          <w:szCs w:val="21"/>
        </w:rPr>
        <w:t>背景资料和纪年表</w:t>
      </w:r>
    </w:p>
    <w:p w14:paraId="3E686580">
      <w:pPr>
        <w:adjustRightInd w:val="0"/>
        <w:snapToGrid w:val="0"/>
        <w:spacing w:line="360" w:lineRule="auto"/>
        <w:jc w:val="center"/>
        <w:outlineLvl w:val="4"/>
        <w:rPr>
          <w:rFonts w:ascii="Times New Roman" w:hAnsi="Times New Roman" w:cs="Times New Roman"/>
          <w:color w:val="auto"/>
          <w:sz w:val="21"/>
          <w:szCs w:val="21"/>
        </w:rPr>
      </w:pPr>
      <w:r>
        <w:rPr>
          <w:rFonts w:hint="eastAsia" w:ascii="Times New Roman" w:cs="Times New Roman"/>
          <w:color w:val="auto"/>
          <w:sz w:val="21"/>
          <w:szCs w:val="21"/>
        </w:rPr>
        <w:t>美国</w:t>
      </w:r>
      <w:r>
        <w:rPr>
          <w:rFonts w:ascii="Times New Roman" w:hAnsi="Times New Roman" w:cs="Times New Roman"/>
          <w:color w:val="auto"/>
          <w:sz w:val="21"/>
          <w:szCs w:val="21"/>
        </w:rPr>
        <w:t>BSE</w:t>
      </w:r>
      <w:r>
        <w:rPr>
          <w:rFonts w:hint="eastAsia" w:ascii="Times New Roman" w:cs="Times New Roman"/>
          <w:color w:val="auto"/>
          <w:sz w:val="21"/>
          <w:szCs w:val="21"/>
        </w:rPr>
        <w:t>相关活动</w:t>
      </w:r>
      <w:bookmarkEnd w:id="6"/>
    </w:p>
    <w:p w14:paraId="44D8168B">
      <w:pPr>
        <w:adjustRightInd w:val="0"/>
        <w:snapToGrid w:val="0"/>
        <w:spacing w:beforeLines="50" w:line="360" w:lineRule="auto"/>
        <w:ind w:left="420" w:hanging="420" w:hangingChars="200"/>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Times New Roman" w:cs="Times New Roman"/>
          <w:color w:val="auto"/>
          <w:sz w:val="21"/>
          <w:szCs w:val="21"/>
        </w:rPr>
        <w:t>1986</w:t>
      </w:r>
      <w:r>
        <w:rPr>
          <w:rFonts w:hint="eastAsia" w:ascii="Times New Roman" w:cs="Times New Roman"/>
          <w:color w:val="auto"/>
          <w:sz w:val="21"/>
          <w:szCs w:val="21"/>
        </w:rPr>
        <w:t>年</w:t>
      </w:r>
      <w:r>
        <w:rPr>
          <w:rFonts w:ascii="Times New Roman" w:hAnsi="Times New Roman" w:cs="Times New Roman"/>
          <w:color w:val="auto"/>
          <w:sz w:val="21"/>
          <w:szCs w:val="21"/>
        </w:rPr>
        <w:t>11</w:t>
      </w:r>
      <w:r>
        <w:rPr>
          <w:rFonts w:hint="eastAsia" w:ascii="Times New Roman" w:cs="Times New Roman"/>
          <w:color w:val="auto"/>
          <w:sz w:val="21"/>
          <w:szCs w:val="21"/>
        </w:rPr>
        <w:t>月，位于英国惠桥的英国</w:t>
      </w:r>
      <w:r>
        <w:rPr>
          <w:rFonts w:ascii="Times New Roman" w:hAnsi="Times New Roman" w:cs="Times New Roman"/>
          <w:color w:val="auto"/>
          <w:sz w:val="21"/>
          <w:szCs w:val="21"/>
        </w:rPr>
        <w:t>MAFF</w:t>
      </w:r>
      <w:r>
        <w:rPr>
          <w:rFonts w:hint="eastAsia" w:ascii="Times New Roman" w:cs="Times New Roman"/>
          <w:color w:val="auto"/>
          <w:sz w:val="21"/>
          <w:szCs w:val="21"/>
        </w:rPr>
        <w:t>中央兽医实验室研究人员首次认定</w:t>
      </w:r>
      <w:r>
        <w:rPr>
          <w:rFonts w:ascii="Times New Roman" w:hAnsi="Times New Roman" w:cs="Times New Roman"/>
          <w:color w:val="auto"/>
          <w:sz w:val="21"/>
          <w:szCs w:val="21"/>
        </w:rPr>
        <w:t>BSE</w:t>
      </w:r>
      <w:r>
        <w:rPr>
          <w:rFonts w:hint="eastAsia" w:ascii="Times New Roman" w:cs="Times New Roman"/>
          <w:color w:val="auto"/>
          <w:sz w:val="21"/>
          <w:szCs w:val="21"/>
        </w:rPr>
        <w:t>为新的牛病</w:t>
      </w:r>
    </w:p>
    <w:p w14:paraId="4F6F2ABE">
      <w:pPr>
        <w:adjustRightInd w:val="0"/>
        <w:snapToGrid w:val="0"/>
        <w:spacing w:beforeLines="50" w:line="360" w:lineRule="auto"/>
        <w:ind w:left="420" w:hanging="420" w:hangingChars="200"/>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Times New Roman" w:cs="Times New Roman"/>
          <w:color w:val="auto"/>
          <w:sz w:val="21"/>
          <w:szCs w:val="21"/>
        </w:rPr>
        <w:t>1990</w:t>
      </w:r>
      <w:r>
        <w:rPr>
          <w:rFonts w:hint="eastAsia" w:ascii="Times New Roman" w:cs="Times New Roman"/>
          <w:color w:val="auto"/>
          <w:sz w:val="21"/>
          <w:szCs w:val="21"/>
        </w:rPr>
        <w:t>年</w:t>
      </w:r>
      <w:r>
        <w:rPr>
          <w:rFonts w:ascii="Times New Roman" w:hAnsi="Times New Roman" w:cs="Times New Roman"/>
          <w:color w:val="auto"/>
          <w:sz w:val="21"/>
          <w:szCs w:val="21"/>
        </w:rPr>
        <w:t>12</w:t>
      </w:r>
      <w:r>
        <w:rPr>
          <w:rFonts w:hint="eastAsia" w:ascii="Times New Roman" w:cs="Times New Roman"/>
          <w:color w:val="auto"/>
          <w:sz w:val="21"/>
          <w:szCs w:val="21"/>
        </w:rPr>
        <w:t>月</w:t>
      </w:r>
      <w:r>
        <w:rPr>
          <w:rFonts w:ascii="Times New Roman" w:hAnsi="Times New Roman" w:cs="Times New Roman"/>
          <w:color w:val="auto"/>
          <w:sz w:val="21"/>
          <w:szCs w:val="21"/>
        </w:rPr>
        <w:t>12</w:t>
      </w:r>
      <w:r>
        <w:rPr>
          <w:rFonts w:hint="eastAsia" w:ascii="Times New Roman" w:cs="Times New Roman"/>
          <w:color w:val="auto"/>
          <w:sz w:val="21"/>
          <w:szCs w:val="21"/>
        </w:rPr>
        <w:t>日</w:t>
      </w:r>
      <w:r>
        <w:rPr>
          <w:rFonts w:ascii="Times New Roman" w:hAnsi="Times New Roman" w:cs="Times New Roman"/>
          <w:color w:val="auto"/>
          <w:sz w:val="21"/>
          <w:szCs w:val="21"/>
        </w:rPr>
        <w:t xml:space="preserve"> - FDA BSE</w:t>
      </w:r>
      <w:r>
        <w:rPr>
          <w:rFonts w:hint="eastAsia" w:ascii="Times New Roman" w:cs="Times New Roman"/>
          <w:color w:val="auto"/>
          <w:sz w:val="21"/>
          <w:szCs w:val="21"/>
        </w:rPr>
        <w:t>工作组第一次会议；初步讨论产品库存并致函给受监管行业关于牛源产品的指南</w:t>
      </w:r>
    </w:p>
    <w:p w14:paraId="58059F38">
      <w:pPr>
        <w:adjustRightInd w:val="0"/>
        <w:snapToGrid w:val="0"/>
        <w:spacing w:beforeLines="50" w:line="360" w:lineRule="auto"/>
        <w:ind w:left="420" w:hanging="420" w:hangingChars="200"/>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Times New Roman" w:cs="Times New Roman"/>
          <w:color w:val="auto"/>
          <w:sz w:val="21"/>
          <w:szCs w:val="21"/>
        </w:rPr>
        <w:t>1991</w:t>
      </w:r>
      <w:r>
        <w:rPr>
          <w:rFonts w:hint="eastAsia" w:ascii="Times New Roman" w:cs="Times New Roman"/>
          <w:color w:val="auto"/>
          <w:sz w:val="21"/>
          <w:szCs w:val="21"/>
        </w:rPr>
        <w:t>年</w:t>
      </w:r>
      <w:r>
        <w:rPr>
          <w:rFonts w:ascii="Times New Roman" w:hAnsi="Times New Roman" w:cs="Times New Roman"/>
          <w:color w:val="auto"/>
          <w:sz w:val="21"/>
          <w:szCs w:val="21"/>
        </w:rPr>
        <w:t>5</w:t>
      </w:r>
      <w:r>
        <w:rPr>
          <w:rFonts w:hint="eastAsia" w:ascii="Times New Roman" w:cs="Times New Roman"/>
          <w:color w:val="auto"/>
          <w:sz w:val="21"/>
          <w:szCs w:val="21"/>
        </w:rPr>
        <w:t>月</w:t>
      </w:r>
      <w:r>
        <w:rPr>
          <w:rFonts w:ascii="Times New Roman" w:hAnsi="Times New Roman" w:cs="Times New Roman"/>
          <w:color w:val="auto"/>
          <w:sz w:val="21"/>
          <w:szCs w:val="21"/>
        </w:rPr>
        <w:t>3</w:t>
      </w:r>
      <w:r>
        <w:rPr>
          <w:rFonts w:hint="eastAsia" w:ascii="Times New Roman" w:cs="Times New Roman"/>
          <w:color w:val="auto"/>
          <w:sz w:val="21"/>
          <w:szCs w:val="21"/>
        </w:rPr>
        <w:t>日</w:t>
      </w:r>
      <w:r>
        <w:rPr>
          <w:rFonts w:ascii="Times New Roman" w:hAnsi="Times New Roman" w:cs="Times New Roman"/>
          <w:color w:val="auto"/>
          <w:sz w:val="21"/>
          <w:szCs w:val="21"/>
        </w:rPr>
        <w:t xml:space="preserve"> - FDA/CBER</w:t>
      </w:r>
      <w:r>
        <w:rPr>
          <w:rFonts w:hint="eastAsia" w:ascii="Times New Roman" w:cs="Times New Roman"/>
          <w:color w:val="auto"/>
          <w:sz w:val="21"/>
          <w:szCs w:val="21"/>
        </w:rPr>
        <w:t>致函生物制品的生产商，要求提供牛源或羊源产品的信息</w:t>
      </w:r>
    </w:p>
    <w:p w14:paraId="44045460">
      <w:pPr>
        <w:adjustRightInd w:val="0"/>
        <w:snapToGrid w:val="0"/>
        <w:spacing w:beforeLines="50" w:line="360" w:lineRule="auto"/>
        <w:ind w:left="420" w:hanging="420" w:hangingChars="200"/>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Times New Roman" w:cs="Times New Roman"/>
          <w:color w:val="auto"/>
          <w:sz w:val="21"/>
          <w:szCs w:val="21"/>
        </w:rPr>
        <w:t>1992</w:t>
      </w:r>
      <w:r>
        <w:rPr>
          <w:rFonts w:hint="eastAsia" w:ascii="Times New Roman" w:cs="Times New Roman"/>
          <w:color w:val="auto"/>
          <w:sz w:val="21"/>
          <w:szCs w:val="21"/>
        </w:rPr>
        <w:t>年</w:t>
      </w:r>
      <w:r>
        <w:rPr>
          <w:rFonts w:ascii="Times New Roman" w:hAnsi="Times New Roman" w:cs="Times New Roman"/>
          <w:color w:val="auto"/>
          <w:sz w:val="21"/>
          <w:szCs w:val="21"/>
        </w:rPr>
        <w:t>8</w:t>
      </w:r>
      <w:r>
        <w:rPr>
          <w:rFonts w:hint="eastAsia" w:ascii="Times New Roman" w:cs="Times New Roman"/>
          <w:color w:val="auto"/>
          <w:sz w:val="21"/>
          <w:szCs w:val="21"/>
        </w:rPr>
        <w:t>月</w:t>
      </w:r>
      <w:r>
        <w:rPr>
          <w:rFonts w:ascii="Times New Roman" w:hAnsi="Times New Roman" w:cs="Times New Roman"/>
          <w:color w:val="auto"/>
          <w:sz w:val="21"/>
          <w:szCs w:val="21"/>
        </w:rPr>
        <w:t>13</w:t>
      </w:r>
      <w:r>
        <w:rPr>
          <w:rFonts w:hint="eastAsia" w:ascii="Times New Roman" w:cs="Times New Roman"/>
          <w:color w:val="auto"/>
          <w:sz w:val="21"/>
          <w:szCs w:val="21"/>
        </w:rPr>
        <w:t>日</w:t>
      </w:r>
      <w:r>
        <w:rPr>
          <w:rFonts w:ascii="Times New Roman" w:hAnsi="Times New Roman" w:cs="Times New Roman"/>
          <w:color w:val="auto"/>
          <w:sz w:val="21"/>
          <w:szCs w:val="21"/>
        </w:rPr>
        <w:t xml:space="preserve"> - FDA BSE</w:t>
      </w:r>
      <w:r>
        <w:rPr>
          <w:rFonts w:hint="eastAsia" w:ascii="Times New Roman" w:cs="Times New Roman"/>
          <w:color w:val="auto"/>
          <w:sz w:val="21"/>
          <w:szCs w:val="21"/>
        </w:rPr>
        <w:t>工作组在</w:t>
      </w:r>
      <w:r>
        <w:rPr>
          <w:rFonts w:ascii="Times New Roman" w:hAnsi="Times New Roman" w:cs="Times New Roman"/>
          <w:color w:val="auto"/>
          <w:sz w:val="21"/>
          <w:szCs w:val="21"/>
        </w:rPr>
        <w:t>FDA</w:t>
      </w:r>
      <w:r>
        <w:rPr>
          <w:rFonts w:hint="eastAsia" w:ascii="Times New Roman" w:cs="Times New Roman"/>
          <w:color w:val="auto"/>
          <w:sz w:val="21"/>
          <w:szCs w:val="21"/>
        </w:rPr>
        <w:t>专员办事处成立，以便在</w:t>
      </w:r>
      <w:r>
        <w:rPr>
          <w:rFonts w:ascii="Times New Roman" w:hAnsi="Times New Roman" w:cs="Times New Roman"/>
          <w:color w:val="auto"/>
          <w:sz w:val="21"/>
          <w:szCs w:val="21"/>
        </w:rPr>
        <w:t>FDA</w:t>
      </w:r>
      <w:r>
        <w:rPr>
          <w:rFonts w:hint="eastAsia" w:ascii="Times New Roman" w:cs="Times New Roman"/>
          <w:color w:val="auto"/>
          <w:sz w:val="21"/>
          <w:szCs w:val="21"/>
        </w:rPr>
        <w:t>中心对新出现</w:t>
      </w:r>
      <w:r>
        <w:rPr>
          <w:rFonts w:ascii="Times New Roman" w:hAnsi="Times New Roman" w:cs="Times New Roman"/>
          <w:color w:val="auto"/>
          <w:sz w:val="21"/>
          <w:szCs w:val="21"/>
        </w:rPr>
        <w:t>BSE</w:t>
      </w:r>
      <w:r>
        <w:rPr>
          <w:rFonts w:hint="eastAsia" w:ascii="Times New Roman" w:cs="Times New Roman"/>
          <w:color w:val="auto"/>
          <w:sz w:val="21"/>
          <w:szCs w:val="21"/>
        </w:rPr>
        <w:t>相关问题方面提供协调</w:t>
      </w:r>
    </w:p>
    <w:p w14:paraId="3796F969">
      <w:pPr>
        <w:adjustRightInd w:val="0"/>
        <w:snapToGrid w:val="0"/>
        <w:spacing w:beforeLines="50" w:line="360" w:lineRule="auto"/>
        <w:ind w:left="420" w:hanging="420" w:hangingChars="200"/>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Times New Roman" w:cs="Times New Roman"/>
          <w:color w:val="auto"/>
          <w:sz w:val="21"/>
          <w:szCs w:val="21"/>
        </w:rPr>
        <w:t>1992</w:t>
      </w:r>
      <w:r>
        <w:rPr>
          <w:rFonts w:hint="eastAsia" w:ascii="Times New Roman" w:cs="Times New Roman"/>
          <w:color w:val="auto"/>
          <w:sz w:val="21"/>
          <w:szCs w:val="21"/>
        </w:rPr>
        <w:t>年</w:t>
      </w:r>
      <w:r>
        <w:rPr>
          <w:rFonts w:ascii="Times New Roman" w:hAnsi="Times New Roman" w:cs="Times New Roman"/>
          <w:color w:val="auto"/>
          <w:sz w:val="21"/>
          <w:szCs w:val="21"/>
        </w:rPr>
        <w:t>9</w:t>
      </w:r>
      <w:r>
        <w:rPr>
          <w:rFonts w:hint="eastAsia" w:ascii="Times New Roman" w:cs="Times New Roman"/>
          <w:color w:val="auto"/>
          <w:sz w:val="21"/>
          <w:szCs w:val="21"/>
        </w:rPr>
        <w:t>月</w:t>
      </w:r>
      <w:r>
        <w:rPr>
          <w:rFonts w:ascii="Times New Roman" w:hAnsi="Times New Roman" w:cs="Times New Roman"/>
          <w:color w:val="auto"/>
          <w:sz w:val="21"/>
          <w:szCs w:val="21"/>
        </w:rPr>
        <w:t>1</w:t>
      </w:r>
      <w:r>
        <w:rPr>
          <w:rFonts w:hint="eastAsia" w:ascii="Times New Roman" w:cs="Times New Roman"/>
          <w:color w:val="auto"/>
          <w:sz w:val="21"/>
          <w:szCs w:val="21"/>
        </w:rPr>
        <w:t>日</w:t>
      </w:r>
      <w:r>
        <w:rPr>
          <w:rFonts w:ascii="Times New Roman" w:hAnsi="Times New Roman" w:cs="Times New Roman"/>
          <w:color w:val="auto"/>
          <w:sz w:val="21"/>
          <w:szCs w:val="21"/>
        </w:rPr>
        <w:t xml:space="preserve"> - FDA</w:t>
      </w:r>
      <w:r>
        <w:rPr>
          <w:rFonts w:hint="eastAsia" w:ascii="Times New Roman" w:cs="Times New Roman"/>
          <w:color w:val="auto"/>
          <w:sz w:val="21"/>
          <w:szCs w:val="21"/>
        </w:rPr>
        <w:t>进口公告提醒生产单位，从</w:t>
      </w:r>
      <w:r>
        <w:rPr>
          <w:rFonts w:ascii="Times New Roman" w:hAnsi="Times New Roman" w:cs="Times New Roman"/>
          <w:color w:val="auto"/>
          <w:sz w:val="21"/>
          <w:szCs w:val="21"/>
        </w:rPr>
        <w:t>BSE</w:t>
      </w:r>
      <w:r>
        <w:rPr>
          <w:rFonts w:hint="eastAsia" w:ascii="Times New Roman" w:cs="Times New Roman"/>
          <w:color w:val="auto"/>
          <w:sz w:val="21"/>
          <w:szCs w:val="21"/>
        </w:rPr>
        <w:t>国家进口动物副产品和含动物副产品成分的监管产品。</w:t>
      </w:r>
    </w:p>
    <w:p w14:paraId="0E564139">
      <w:pPr>
        <w:adjustRightInd w:val="0"/>
        <w:snapToGrid w:val="0"/>
        <w:spacing w:beforeLines="50" w:line="360" w:lineRule="auto"/>
        <w:ind w:left="420" w:hanging="420" w:hangingChars="200"/>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Times New Roman" w:cs="Times New Roman"/>
          <w:color w:val="auto"/>
          <w:sz w:val="21"/>
          <w:szCs w:val="21"/>
        </w:rPr>
        <w:t>1992</w:t>
      </w:r>
      <w:r>
        <w:rPr>
          <w:rFonts w:hint="eastAsia" w:ascii="Times New Roman" w:cs="Times New Roman"/>
          <w:color w:val="auto"/>
          <w:sz w:val="21"/>
          <w:szCs w:val="21"/>
        </w:rPr>
        <w:t>年</w:t>
      </w:r>
      <w:r>
        <w:rPr>
          <w:rFonts w:ascii="Times New Roman" w:hAnsi="Times New Roman" w:cs="Times New Roman"/>
          <w:color w:val="auto"/>
          <w:sz w:val="21"/>
          <w:szCs w:val="21"/>
        </w:rPr>
        <w:t>11</w:t>
      </w:r>
      <w:r>
        <w:rPr>
          <w:rFonts w:hint="eastAsia" w:ascii="Times New Roman" w:cs="Times New Roman"/>
          <w:color w:val="auto"/>
          <w:sz w:val="21"/>
          <w:szCs w:val="21"/>
        </w:rPr>
        <w:t>月</w:t>
      </w:r>
      <w:r>
        <w:rPr>
          <w:rFonts w:ascii="Times New Roman" w:hAnsi="Times New Roman" w:cs="Times New Roman"/>
          <w:color w:val="auto"/>
          <w:sz w:val="21"/>
          <w:szCs w:val="21"/>
        </w:rPr>
        <w:t>9</w:t>
      </w:r>
      <w:r>
        <w:rPr>
          <w:rFonts w:hint="eastAsia" w:ascii="Times New Roman" w:cs="Times New Roman"/>
          <w:color w:val="auto"/>
          <w:sz w:val="21"/>
          <w:szCs w:val="21"/>
        </w:rPr>
        <w:t>日</w:t>
      </w:r>
      <w:r>
        <w:rPr>
          <w:rFonts w:ascii="Times New Roman" w:hAnsi="Times New Roman" w:cs="Times New Roman"/>
          <w:color w:val="auto"/>
          <w:sz w:val="21"/>
          <w:szCs w:val="21"/>
        </w:rPr>
        <w:t xml:space="preserve"> - FDA/CFSAN</w:t>
      </w:r>
      <w:r>
        <w:rPr>
          <w:rFonts w:hint="eastAsia" w:ascii="Times New Roman" w:cs="Times New Roman"/>
          <w:color w:val="auto"/>
          <w:sz w:val="21"/>
          <w:szCs w:val="21"/>
        </w:rPr>
        <w:t>致函膳食补充剂生产商，要求确保牛源和羊源材料不是来自报告有</w:t>
      </w:r>
      <w:r>
        <w:rPr>
          <w:rFonts w:ascii="Times New Roman" w:hAnsi="Times New Roman" w:cs="Times New Roman"/>
          <w:color w:val="auto"/>
          <w:sz w:val="21"/>
          <w:szCs w:val="21"/>
        </w:rPr>
        <w:t>BSE</w:t>
      </w:r>
      <w:r>
        <w:rPr>
          <w:rFonts w:hint="eastAsia" w:ascii="Times New Roman" w:cs="Times New Roman"/>
          <w:color w:val="auto"/>
          <w:sz w:val="21"/>
          <w:szCs w:val="21"/>
        </w:rPr>
        <w:t>的国家</w:t>
      </w:r>
    </w:p>
    <w:p w14:paraId="5CE35C68">
      <w:pPr>
        <w:adjustRightInd w:val="0"/>
        <w:snapToGrid w:val="0"/>
        <w:spacing w:beforeLines="50" w:line="360" w:lineRule="auto"/>
        <w:ind w:left="420" w:hanging="420" w:hangingChars="200"/>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Times New Roman" w:cs="Times New Roman"/>
          <w:color w:val="auto"/>
          <w:sz w:val="21"/>
          <w:szCs w:val="21"/>
        </w:rPr>
        <w:t>1993</w:t>
      </w:r>
      <w:r>
        <w:rPr>
          <w:rFonts w:hint="eastAsia" w:ascii="Times New Roman" w:cs="Times New Roman"/>
          <w:color w:val="auto"/>
          <w:sz w:val="21"/>
          <w:szCs w:val="21"/>
        </w:rPr>
        <w:t>年</w:t>
      </w:r>
      <w:r>
        <w:rPr>
          <w:rFonts w:ascii="Times New Roman" w:hAnsi="Times New Roman" w:cs="Times New Roman"/>
          <w:color w:val="auto"/>
          <w:sz w:val="21"/>
          <w:szCs w:val="21"/>
        </w:rPr>
        <w:t>12</w:t>
      </w:r>
      <w:r>
        <w:rPr>
          <w:rFonts w:hint="eastAsia" w:ascii="Times New Roman" w:cs="Times New Roman"/>
          <w:color w:val="auto"/>
          <w:sz w:val="21"/>
          <w:szCs w:val="21"/>
        </w:rPr>
        <w:t>月</w:t>
      </w:r>
      <w:r>
        <w:rPr>
          <w:rFonts w:ascii="Times New Roman" w:hAnsi="Times New Roman" w:cs="Times New Roman"/>
          <w:color w:val="auto"/>
          <w:sz w:val="21"/>
          <w:szCs w:val="21"/>
        </w:rPr>
        <w:t>17</w:t>
      </w:r>
      <w:r>
        <w:rPr>
          <w:rFonts w:hint="eastAsia" w:ascii="Times New Roman" w:cs="Times New Roman"/>
          <w:color w:val="auto"/>
          <w:sz w:val="21"/>
          <w:szCs w:val="21"/>
        </w:rPr>
        <w:t>日</w:t>
      </w:r>
      <w:r>
        <w:rPr>
          <w:rFonts w:ascii="Times New Roman" w:hAnsi="Times New Roman" w:cs="Times New Roman"/>
          <w:color w:val="auto"/>
          <w:sz w:val="21"/>
          <w:szCs w:val="21"/>
        </w:rPr>
        <w:t xml:space="preserve"> - FDA</w:t>
      </w:r>
      <w:r>
        <w:rPr>
          <w:rFonts w:hint="eastAsia" w:ascii="Times New Roman" w:cs="Times New Roman"/>
          <w:color w:val="auto"/>
          <w:sz w:val="21"/>
          <w:szCs w:val="21"/>
        </w:rPr>
        <w:t>致函</w:t>
      </w:r>
      <w:r>
        <w:rPr>
          <w:rFonts w:ascii="Times New Roman" w:hAnsi="Times New Roman" w:cs="Times New Roman"/>
          <w:color w:val="auto"/>
          <w:sz w:val="21"/>
          <w:szCs w:val="21"/>
        </w:rPr>
        <w:t>FDA</w:t>
      </w:r>
      <w:r>
        <w:rPr>
          <w:rFonts w:hint="eastAsia" w:ascii="Times New Roman" w:cs="Times New Roman"/>
          <w:color w:val="auto"/>
          <w:sz w:val="21"/>
          <w:szCs w:val="21"/>
        </w:rPr>
        <w:t>监管产品（人用药物、生物制剂和医疗器械）的生产商，要求在已确定为</w:t>
      </w:r>
      <w:r>
        <w:rPr>
          <w:rFonts w:ascii="Times New Roman" w:hAnsi="Times New Roman" w:cs="Times New Roman"/>
          <w:color w:val="auto"/>
          <w:sz w:val="21"/>
          <w:szCs w:val="21"/>
        </w:rPr>
        <w:t>BSE</w:t>
      </w:r>
      <w:r>
        <w:rPr>
          <w:rFonts w:hint="eastAsia" w:ascii="Times New Roman" w:cs="Times New Roman"/>
          <w:color w:val="auto"/>
          <w:sz w:val="21"/>
          <w:szCs w:val="21"/>
        </w:rPr>
        <w:t>国家生长或来源该国的牛源材料不可用于生产人用</w:t>
      </w:r>
      <w:r>
        <w:rPr>
          <w:rFonts w:ascii="Times New Roman" w:hAnsi="Times New Roman" w:cs="Times New Roman"/>
          <w:color w:val="auto"/>
          <w:sz w:val="21"/>
          <w:szCs w:val="21"/>
        </w:rPr>
        <w:t>FDA</w:t>
      </w:r>
      <w:r>
        <w:rPr>
          <w:rFonts w:hint="eastAsia" w:ascii="Times New Roman" w:cs="Times New Roman"/>
          <w:color w:val="auto"/>
          <w:sz w:val="21"/>
          <w:szCs w:val="21"/>
        </w:rPr>
        <w:t>监管产品</w:t>
      </w:r>
    </w:p>
    <w:p w14:paraId="69CB1C1D">
      <w:pPr>
        <w:adjustRightInd w:val="0"/>
        <w:snapToGrid w:val="0"/>
        <w:spacing w:beforeLines="50" w:line="360" w:lineRule="auto"/>
        <w:ind w:left="420" w:hanging="420" w:hangingChars="200"/>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Times New Roman" w:cs="Times New Roman"/>
          <w:color w:val="auto"/>
          <w:sz w:val="21"/>
          <w:szCs w:val="21"/>
        </w:rPr>
        <w:t>1994</w:t>
      </w:r>
      <w:r>
        <w:rPr>
          <w:rFonts w:hint="eastAsia" w:ascii="Times New Roman" w:cs="Times New Roman"/>
          <w:color w:val="auto"/>
          <w:sz w:val="21"/>
          <w:szCs w:val="21"/>
        </w:rPr>
        <w:t>年</w:t>
      </w:r>
      <w:r>
        <w:rPr>
          <w:rFonts w:ascii="Times New Roman" w:hAnsi="Times New Roman" w:cs="Times New Roman"/>
          <w:color w:val="auto"/>
          <w:sz w:val="21"/>
          <w:szCs w:val="21"/>
        </w:rPr>
        <w:t>7</w:t>
      </w:r>
      <w:r>
        <w:rPr>
          <w:rFonts w:hint="eastAsia" w:ascii="Times New Roman" w:cs="Times New Roman"/>
          <w:color w:val="auto"/>
          <w:sz w:val="21"/>
          <w:szCs w:val="21"/>
        </w:rPr>
        <w:t>月</w:t>
      </w:r>
      <w:r>
        <w:rPr>
          <w:rFonts w:ascii="Times New Roman" w:hAnsi="Times New Roman" w:cs="Times New Roman"/>
          <w:color w:val="auto"/>
          <w:sz w:val="21"/>
          <w:szCs w:val="21"/>
        </w:rPr>
        <w:t>1</w:t>
      </w:r>
      <w:r>
        <w:rPr>
          <w:rFonts w:hint="eastAsia" w:ascii="Times New Roman" w:cs="Times New Roman"/>
          <w:color w:val="auto"/>
          <w:sz w:val="21"/>
          <w:szCs w:val="21"/>
        </w:rPr>
        <w:t>日</w:t>
      </w:r>
      <w:r>
        <w:rPr>
          <w:rFonts w:ascii="Times New Roman" w:hAnsi="Times New Roman" w:cs="Times New Roman"/>
          <w:color w:val="auto"/>
          <w:sz w:val="21"/>
          <w:szCs w:val="21"/>
        </w:rPr>
        <w:t xml:space="preserve"> - </w:t>
      </w:r>
      <w:r>
        <w:rPr>
          <w:rFonts w:hint="eastAsia" w:ascii="Times New Roman" w:cs="Times New Roman"/>
          <w:color w:val="auto"/>
          <w:sz w:val="21"/>
          <w:szCs w:val="21"/>
        </w:rPr>
        <w:t>在审查了药用明胶的加工和生产程序后，</w:t>
      </w:r>
      <w:r>
        <w:rPr>
          <w:rFonts w:ascii="Times New Roman" w:hAnsi="Times New Roman" w:cs="Times New Roman"/>
          <w:color w:val="auto"/>
          <w:sz w:val="21"/>
          <w:szCs w:val="21"/>
        </w:rPr>
        <w:t>FDA</w:t>
      </w:r>
      <w:r>
        <w:rPr>
          <w:rFonts w:hint="eastAsia" w:ascii="Times New Roman" w:cs="Times New Roman"/>
          <w:color w:val="auto"/>
          <w:sz w:val="21"/>
          <w:szCs w:val="21"/>
        </w:rPr>
        <w:t>致函给明胶工业法律顾问，表示不反对使用来自</w:t>
      </w:r>
      <w:r>
        <w:rPr>
          <w:rFonts w:ascii="Times New Roman" w:hAnsi="Times New Roman" w:cs="Times New Roman"/>
          <w:color w:val="auto"/>
          <w:sz w:val="21"/>
          <w:szCs w:val="21"/>
        </w:rPr>
        <w:t>BSE</w:t>
      </w:r>
      <w:r>
        <w:rPr>
          <w:rFonts w:hint="eastAsia" w:ascii="Times New Roman" w:cs="Times New Roman"/>
          <w:color w:val="auto"/>
          <w:sz w:val="21"/>
          <w:szCs w:val="21"/>
        </w:rPr>
        <w:t>国家的牛源材料来生产药用级明胶；但是，需谨慎考虑的是，如果可行的话应从非</w:t>
      </w:r>
      <w:r>
        <w:rPr>
          <w:rFonts w:ascii="Times New Roman" w:hAnsi="Times New Roman" w:cs="Times New Roman"/>
          <w:color w:val="auto"/>
          <w:sz w:val="21"/>
          <w:szCs w:val="21"/>
        </w:rPr>
        <w:t>BSE</w:t>
      </w:r>
      <w:r>
        <w:rPr>
          <w:rFonts w:hint="eastAsia" w:ascii="Times New Roman" w:cs="Times New Roman"/>
          <w:color w:val="auto"/>
          <w:sz w:val="21"/>
          <w:szCs w:val="21"/>
        </w:rPr>
        <w:t>国家获得这些材料，并保留牛材料来源的记录</w:t>
      </w:r>
    </w:p>
    <w:p w14:paraId="67E0D086">
      <w:pPr>
        <w:adjustRightInd w:val="0"/>
        <w:snapToGrid w:val="0"/>
        <w:spacing w:beforeLines="50" w:line="360" w:lineRule="auto"/>
        <w:ind w:left="420" w:hanging="420" w:hangingChars="200"/>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Times New Roman" w:cs="Times New Roman"/>
          <w:color w:val="auto"/>
          <w:sz w:val="21"/>
          <w:szCs w:val="21"/>
        </w:rPr>
        <w:t>1994</w:t>
      </w:r>
      <w:r>
        <w:rPr>
          <w:rFonts w:hint="eastAsia" w:ascii="Times New Roman" w:cs="Times New Roman"/>
          <w:color w:val="auto"/>
          <w:sz w:val="21"/>
          <w:szCs w:val="21"/>
        </w:rPr>
        <w:t>年</w:t>
      </w:r>
      <w:r>
        <w:rPr>
          <w:rFonts w:ascii="Times New Roman" w:hAnsi="Times New Roman" w:cs="Times New Roman"/>
          <w:color w:val="auto"/>
          <w:sz w:val="21"/>
          <w:szCs w:val="21"/>
        </w:rPr>
        <w:t>8</w:t>
      </w:r>
      <w:r>
        <w:rPr>
          <w:rFonts w:hint="eastAsia" w:ascii="Times New Roman" w:cs="Times New Roman"/>
          <w:color w:val="auto"/>
          <w:sz w:val="21"/>
          <w:szCs w:val="21"/>
        </w:rPr>
        <w:t>月</w:t>
      </w:r>
      <w:r>
        <w:rPr>
          <w:rFonts w:ascii="Times New Roman" w:hAnsi="Times New Roman" w:cs="Times New Roman"/>
          <w:color w:val="auto"/>
          <w:sz w:val="21"/>
          <w:szCs w:val="21"/>
        </w:rPr>
        <w:t>17</w:t>
      </w:r>
      <w:r>
        <w:rPr>
          <w:rFonts w:hint="eastAsia" w:ascii="Times New Roman" w:cs="Times New Roman"/>
          <w:color w:val="auto"/>
          <w:sz w:val="21"/>
          <w:szCs w:val="21"/>
        </w:rPr>
        <w:t>日</w:t>
      </w:r>
      <w:r>
        <w:rPr>
          <w:rFonts w:ascii="Times New Roman" w:hAnsi="Times New Roman" w:cs="Times New Roman"/>
          <w:color w:val="auto"/>
          <w:sz w:val="21"/>
          <w:szCs w:val="21"/>
        </w:rPr>
        <w:t xml:space="preserve"> - FDA</w:t>
      </w:r>
      <w:r>
        <w:rPr>
          <w:rFonts w:hint="eastAsia" w:ascii="Times New Roman" w:cs="Times New Roman"/>
          <w:color w:val="auto"/>
          <w:sz w:val="21"/>
          <w:szCs w:val="21"/>
        </w:rPr>
        <w:t>致函动物用</w:t>
      </w:r>
      <w:r>
        <w:rPr>
          <w:rFonts w:ascii="Times New Roman" w:hAnsi="Times New Roman" w:cs="Times New Roman"/>
          <w:color w:val="auto"/>
          <w:sz w:val="21"/>
          <w:szCs w:val="21"/>
        </w:rPr>
        <w:t>FDA</w:t>
      </w:r>
      <w:r>
        <w:rPr>
          <w:rFonts w:hint="eastAsia" w:ascii="Times New Roman" w:cs="Times New Roman"/>
          <w:color w:val="auto"/>
          <w:sz w:val="21"/>
          <w:szCs w:val="21"/>
        </w:rPr>
        <w:t>监管产品的生产商；</w:t>
      </w:r>
      <w:r>
        <w:rPr>
          <w:rFonts w:ascii="Times New Roman" w:hAnsi="Times New Roman" w:cs="Times New Roman"/>
          <w:color w:val="auto"/>
          <w:sz w:val="21"/>
          <w:szCs w:val="21"/>
        </w:rPr>
        <w:t>FDA</w:t>
      </w:r>
      <w:r>
        <w:rPr>
          <w:rFonts w:hint="eastAsia" w:ascii="Times New Roman" w:cs="Times New Roman"/>
          <w:color w:val="auto"/>
          <w:sz w:val="21"/>
          <w:szCs w:val="21"/>
        </w:rPr>
        <w:t>致函给提供的膳食补充剂和化妆品的生产商和进口商，建议生产或进口含有特定牛组织的膳食补充剂和化妆品公司应确保这些组织不会来自出生、饲养或屠宰等环节在</w:t>
      </w:r>
      <w:r>
        <w:rPr>
          <w:rFonts w:ascii="Times New Roman" w:hAnsi="Times New Roman" w:cs="Times New Roman"/>
          <w:color w:val="auto"/>
          <w:sz w:val="21"/>
          <w:szCs w:val="21"/>
        </w:rPr>
        <w:t>BSE</w:t>
      </w:r>
      <w:r>
        <w:rPr>
          <w:rFonts w:hint="eastAsia" w:ascii="Times New Roman" w:cs="Times New Roman"/>
          <w:color w:val="auto"/>
          <w:sz w:val="21"/>
          <w:szCs w:val="21"/>
        </w:rPr>
        <w:t>国家的牛。这些组织的提取物和源自这些组织的成分也值得关注。</w:t>
      </w:r>
      <w:r>
        <w:rPr>
          <w:rFonts w:ascii="Times New Roman" w:hAnsi="Times New Roman" w:cs="Times New Roman"/>
          <w:color w:val="auto"/>
          <w:sz w:val="21"/>
          <w:szCs w:val="21"/>
        </w:rPr>
        <w:t>FDA</w:t>
      </w:r>
      <w:r>
        <w:rPr>
          <w:rFonts w:hint="eastAsia" w:ascii="Times New Roman" w:cs="Times New Roman"/>
          <w:color w:val="auto"/>
          <w:sz w:val="21"/>
          <w:szCs w:val="21"/>
        </w:rPr>
        <w:t>没有将建议扩大到乳制品或明胶，因为现有的证据并不表明会通过这些食品传播</w:t>
      </w:r>
    </w:p>
    <w:p w14:paraId="3D074FF2">
      <w:pPr>
        <w:adjustRightInd w:val="0"/>
        <w:snapToGrid w:val="0"/>
        <w:spacing w:beforeLines="50" w:line="360" w:lineRule="auto"/>
        <w:ind w:left="420" w:hanging="420" w:hangingChars="200"/>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Times New Roman" w:cs="Times New Roman"/>
          <w:color w:val="auto"/>
          <w:sz w:val="21"/>
          <w:szCs w:val="21"/>
        </w:rPr>
        <w:t>1994</w:t>
      </w:r>
      <w:r>
        <w:rPr>
          <w:rFonts w:hint="eastAsia" w:ascii="Times New Roman" w:cs="Times New Roman"/>
          <w:color w:val="auto"/>
          <w:sz w:val="21"/>
          <w:szCs w:val="21"/>
        </w:rPr>
        <w:t>年</w:t>
      </w:r>
      <w:r>
        <w:rPr>
          <w:rFonts w:ascii="Times New Roman" w:hAnsi="Times New Roman" w:cs="Times New Roman"/>
          <w:color w:val="auto"/>
          <w:sz w:val="21"/>
          <w:szCs w:val="21"/>
        </w:rPr>
        <w:t>8</w:t>
      </w:r>
      <w:r>
        <w:rPr>
          <w:rFonts w:hint="eastAsia" w:ascii="Times New Roman" w:cs="Times New Roman"/>
          <w:color w:val="auto"/>
          <w:sz w:val="21"/>
          <w:szCs w:val="21"/>
        </w:rPr>
        <w:t>月</w:t>
      </w:r>
      <w:r>
        <w:rPr>
          <w:rFonts w:ascii="Times New Roman" w:hAnsi="Times New Roman" w:cs="Times New Roman"/>
          <w:color w:val="auto"/>
          <w:sz w:val="21"/>
          <w:szCs w:val="21"/>
        </w:rPr>
        <w:t>29</w:t>
      </w:r>
      <w:r>
        <w:rPr>
          <w:rFonts w:hint="eastAsia" w:ascii="Times New Roman" w:cs="Times New Roman"/>
          <w:color w:val="auto"/>
          <w:sz w:val="21"/>
          <w:szCs w:val="21"/>
        </w:rPr>
        <w:t>日</w:t>
      </w:r>
      <w:r>
        <w:rPr>
          <w:rFonts w:ascii="Times New Roman" w:hAnsi="Times New Roman" w:cs="Times New Roman"/>
          <w:color w:val="auto"/>
          <w:sz w:val="21"/>
          <w:szCs w:val="21"/>
        </w:rPr>
        <w:t xml:space="preserve"> - FR</w:t>
      </w:r>
      <w:r>
        <w:rPr>
          <w:rFonts w:hint="eastAsia" w:ascii="Times New Roman" w:cs="Times New Roman"/>
          <w:color w:val="auto"/>
          <w:sz w:val="21"/>
          <w:szCs w:val="21"/>
        </w:rPr>
        <w:t>通知：</w:t>
      </w:r>
      <w:r>
        <w:rPr>
          <w:rFonts w:ascii="Times New Roman" w:hAnsi="Times New Roman" w:cs="Times New Roman"/>
          <w:color w:val="auto"/>
          <w:sz w:val="21"/>
          <w:szCs w:val="21"/>
        </w:rPr>
        <w:t>FDA</w:t>
      </w:r>
      <w:r>
        <w:rPr>
          <w:rFonts w:hint="eastAsia" w:ascii="Times New Roman" w:cs="Times New Roman"/>
          <w:color w:val="auto"/>
          <w:sz w:val="21"/>
          <w:szCs w:val="21"/>
        </w:rPr>
        <w:t>建议禁止在反刍动物饲料中使用成年绵羊和山羊的内脏，并致函（</w:t>
      </w:r>
      <w:r>
        <w:rPr>
          <w:rFonts w:ascii="Times New Roman" w:hAnsi="Times New Roman" w:cs="Times New Roman"/>
          <w:color w:val="auto"/>
          <w:sz w:val="21"/>
          <w:szCs w:val="21"/>
        </w:rPr>
        <w:t>4</w:t>
      </w:r>
      <w:r>
        <w:rPr>
          <w:rFonts w:hint="eastAsia" w:ascii="Times New Roman" w:cs="Times New Roman"/>
          <w:color w:val="auto"/>
          <w:sz w:val="21"/>
          <w:szCs w:val="21"/>
        </w:rPr>
        <w:t>）生产商，要求生长或来源于从美国农业部指定的国家及</w:t>
      </w:r>
      <w:r>
        <w:rPr>
          <w:rFonts w:ascii="Times New Roman" w:hAnsi="Times New Roman" w:cs="Times New Roman"/>
          <w:color w:val="auto"/>
          <w:sz w:val="21"/>
          <w:szCs w:val="21"/>
        </w:rPr>
        <w:t>APHIS</w:t>
      </w:r>
      <w:r>
        <w:rPr>
          <w:rFonts w:hint="eastAsia" w:ascii="Times New Roman" w:cs="Times New Roman"/>
          <w:color w:val="auto"/>
          <w:sz w:val="21"/>
          <w:szCs w:val="21"/>
        </w:rPr>
        <w:t>指定</w:t>
      </w:r>
      <w:r>
        <w:rPr>
          <w:rFonts w:ascii="Times New Roman" w:hAnsi="Times New Roman" w:cs="Times New Roman"/>
          <w:color w:val="auto"/>
          <w:sz w:val="21"/>
          <w:szCs w:val="21"/>
        </w:rPr>
        <w:t>BSE</w:t>
      </w:r>
      <w:r>
        <w:rPr>
          <w:rFonts w:hint="eastAsia" w:ascii="Times New Roman" w:cs="Times New Roman"/>
          <w:color w:val="auto"/>
          <w:sz w:val="21"/>
          <w:szCs w:val="21"/>
        </w:rPr>
        <w:t>国家牛群的牛源材料不可用于人用或动物用</w:t>
      </w:r>
      <w:r>
        <w:rPr>
          <w:rFonts w:ascii="Times New Roman" w:hAnsi="Times New Roman" w:cs="Times New Roman"/>
          <w:color w:val="auto"/>
          <w:sz w:val="21"/>
          <w:szCs w:val="21"/>
        </w:rPr>
        <w:t>FDA</w:t>
      </w:r>
      <w:r>
        <w:rPr>
          <w:rFonts w:hint="eastAsia" w:ascii="Times New Roman" w:cs="Times New Roman"/>
          <w:color w:val="auto"/>
          <w:sz w:val="21"/>
          <w:szCs w:val="21"/>
        </w:rPr>
        <w:t>管制产品</w:t>
      </w:r>
    </w:p>
    <w:p w14:paraId="2AAF3414">
      <w:pPr>
        <w:adjustRightInd w:val="0"/>
        <w:snapToGrid w:val="0"/>
        <w:spacing w:beforeLines="50" w:line="360" w:lineRule="auto"/>
        <w:ind w:left="420" w:hanging="420" w:hangingChars="200"/>
        <w:jc w:val="both"/>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Times New Roman" w:cs="Times New Roman"/>
          <w:color w:val="auto"/>
          <w:sz w:val="21"/>
          <w:szCs w:val="21"/>
        </w:rPr>
        <w:t>1995</w:t>
      </w:r>
      <w:r>
        <w:rPr>
          <w:rFonts w:hint="eastAsia" w:ascii="Times New Roman" w:cs="Times New Roman"/>
          <w:color w:val="auto"/>
          <w:sz w:val="21"/>
          <w:szCs w:val="21"/>
        </w:rPr>
        <w:t>年</w:t>
      </w:r>
      <w:r>
        <w:rPr>
          <w:rFonts w:ascii="Times New Roman" w:hAnsi="Times New Roman" w:cs="Times New Roman"/>
          <w:color w:val="auto"/>
          <w:sz w:val="21"/>
          <w:szCs w:val="21"/>
        </w:rPr>
        <w:t>10</w:t>
      </w:r>
      <w:r>
        <w:rPr>
          <w:rFonts w:hint="eastAsia" w:ascii="Times New Roman" w:cs="Times New Roman"/>
          <w:color w:val="auto"/>
          <w:sz w:val="21"/>
          <w:szCs w:val="21"/>
        </w:rPr>
        <w:t>月</w:t>
      </w:r>
      <w:r>
        <w:rPr>
          <w:rFonts w:ascii="Times New Roman" w:hAnsi="Times New Roman" w:cs="Times New Roman"/>
          <w:color w:val="auto"/>
          <w:sz w:val="21"/>
          <w:szCs w:val="21"/>
        </w:rPr>
        <w:t>19</w:t>
      </w:r>
      <w:r>
        <w:rPr>
          <w:rFonts w:hint="eastAsia" w:ascii="Times New Roman" w:cs="Times New Roman"/>
          <w:color w:val="auto"/>
          <w:sz w:val="21"/>
          <w:szCs w:val="21"/>
        </w:rPr>
        <w:t>日</w:t>
      </w:r>
      <w:r>
        <w:rPr>
          <w:rFonts w:ascii="Times New Roman" w:hAnsi="Times New Roman" w:cs="Times New Roman"/>
          <w:color w:val="auto"/>
          <w:sz w:val="21"/>
          <w:szCs w:val="21"/>
        </w:rPr>
        <w:t xml:space="preserve"> - FDA</w:t>
      </w:r>
      <w:r>
        <w:rPr>
          <w:rFonts w:hint="eastAsia" w:ascii="Times New Roman" w:cs="Times New Roman"/>
          <w:color w:val="auto"/>
          <w:sz w:val="21"/>
          <w:szCs w:val="21"/>
        </w:rPr>
        <w:t>进口警报</w:t>
      </w:r>
      <w:r>
        <w:rPr>
          <w:rFonts w:ascii="Times New Roman" w:hAnsi="Times New Roman" w:cs="Times New Roman"/>
          <w:color w:val="auto"/>
          <w:sz w:val="21"/>
          <w:szCs w:val="21"/>
        </w:rPr>
        <w:t xml:space="preserve"> - </w:t>
      </w:r>
      <w:r>
        <w:rPr>
          <w:rFonts w:hint="eastAsia" w:ascii="Times New Roman" w:cs="Times New Roman"/>
          <w:color w:val="auto"/>
          <w:sz w:val="21"/>
          <w:szCs w:val="21"/>
        </w:rPr>
        <w:t>未经过检查，扣留来自英国、法国、爱尔兰、阿曼、瑞士和葡萄牙等国高风险牛组织和组织源成分的散装货运</w:t>
      </w:r>
    </w:p>
    <w:p w14:paraId="178CF953">
      <w:pPr>
        <w:adjustRightInd w:val="0"/>
        <w:snapToGrid w:val="0"/>
        <w:spacing w:beforeLines="50" w:line="360" w:lineRule="auto"/>
        <w:ind w:left="420" w:hanging="420" w:hangingChars="200"/>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Times New Roman" w:cs="Times New Roman"/>
          <w:color w:val="auto"/>
          <w:sz w:val="21"/>
          <w:szCs w:val="21"/>
        </w:rPr>
        <w:t>1996</w:t>
      </w:r>
      <w:r>
        <w:rPr>
          <w:rFonts w:hint="eastAsia" w:ascii="Times New Roman" w:cs="Times New Roman"/>
          <w:color w:val="auto"/>
          <w:sz w:val="21"/>
          <w:szCs w:val="21"/>
        </w:rPr>
        <w:t>年</w:t>
      </w:r>
      <w:r>
        <w:rPr>
          <w:rFonts w:ascii="Times New Roman" w:hAnsi="Times New Roman" w:cs="Times New Roman"/>
          <w:color w:val="auto"/>
          <w:sz w:val="21"/>
          <w:szCs w:val="21"/>
        </w:rPr>
        <w:t>3</w:t>
      </w:r>
      <w:r>
        <w:rPr>
          <w:rFonts w:hint="eastAsia" w:ascii="Times New Roman" w:cs="Times New Roman"/>
          <w:color w:val="auto"/>
          <w:sz w:val="21"/>
          <w:szCs w:val="21"/>
        </w:rPr>
        <w:t>月</w:t>
      </w:r>
      <w:r>
        <w:rPr>
          <w:rFonts w:ascii="Times New Roman" w:hAnsi="Times New Roman" w:cs="Times New Roman"/>
          <w:color w:val="auto"/>
          <w:sz w:val="21"/>
          <w:szCs w:val="21"/>
        </w:rPr>
        <w:t>20</w:t>
      </w:r>
      <w:r>
        <w:rPr>
          <w:rFonts w:hint="eastAsia" w:ascii="Times New Roman" w:cs="Times New Roman"/>
          <w:color w:val="auto"/>
          <w:sz w:val="21"/>
          <w:szCs w:val="21"/>
        </w:rPr>
        <w:t>日</w:t>
      </w:r>
      <w:r>
        <w:rPr>
          <w:rFonts w:ascii="Times New Roman" w:hAnsi="Times New Roman" w:cs="Times New Roman"/>
          <w:color w:val="auto"/>
          <w:sz w:val="21"/>
          <w:szCs w:val="21"/>
        </w:rPr>
        <w:t xml:space="preserve"> - </w:t>
      </w:r>
      <w:r>
        <w:rPr>
          <w:rFonts w:hint="eastAsia" w:ascii="Times New Roman" w:cs="Times New Roman"/>
          <w:color w:val="auto"/>
          <w:sz w:val="21"/>
          <w:szCs w:val="21"/>
        </w:rPr>
        <w:t>英国政府宣布英国出现</w:t>
      </w:r>
      <w:r>
        <w:rPr>
          <w:rFonts w:ascii="Times New Roman" w:hAnsi="Times New Roman" w:cs="Times New Roman"/>
          <w:color w:val="auto"/>
          <w:sz w:val="21"/>
          <w:szCs w:val="21"/>
        </w:rPr>
        <w:t>10</w:t>
      </w:r>
      <w:r>
        <w:rPr>
          <w:rFonts w:hint="eastAsia" w:ascii="Times New Roman" w:cs="Times New Roman"/>
          <w:color w:val="auto"/>
          <w:sz w:val="21"/>
          <w:szCs w:val="21"/>
        </w:rPr>
        <w:t>例之前未被确认形式的克雅氏病（</w:t>
      </w:r>
      <w:r>
        <w:rPr>
          <w:rFonts w:ascii="Times New Roman" w:hAnsi="Times New Roman" w:cs="Times New Roman"/>
          <w:color w:val="auto"/>
          <w:sz w:val="21"/>
          <w:szCs w:val="21"/>
        </w:rPr>
        <w:t>CJD</w:t>
      </w:r>
      <w:r>
        <w:rPr>
          <w:rFonts w:hint="eastAsia" w:ascii="Times New Roman" w:cs="Times New Roman"/>
          <w:color w:val="auto"/>
          <w:sz w:val="21"/>
          <w:szCs w:val="21"/>
        </w:rPr>
        <w:t>）与</w:t>
      </w:r>
      <w:r>
        <w:rPr>
          <w:rFonts w:ascii="Times New Roman" w:hAnsi="Times New Roman" w:cs="Times New Roman"/>
          <w:color w:val="auto"/>
          <w:sz w:val="21"/>
          <w:szCs w:val="21"/>
        </w:rPr>
        <w:t>BSE</w:t>
      </w:r>
      <w:r>
        <w:rPr>
          <w:rFonts w:hint="eastAsia" w:ascii="Times New Roman" w:cs="Times New Roman"/>
          <w:color w:val="auto"/>
          <w:sz w:val="21"/>
          <w:szCs w:val="21"/>
        </w:rPr>
        <w:t>可能有关系。</w:t>
      </w:r>
      <w:r>
        <w:rPr>
          <w:rFonts w:ascii="Times New Roman" w:hAnsi="Times New Roman" w:cs="Times New Roman"/>
          <w:color w:val="auto"/>
          <w:sz w:val="21"/>
          <w:szCs w:val="21"/>
        </w:rPr>
        <w:t>SEAC</w:t>
      </w:r>
      <w:r>
        <w:rPr>
          <w:rFonts w:hint="eastAsia" w:ascii="Times New Roman" w:cs="Times New Roman"/>
          <w:color w:val="auto"/>
          <w:sz w:val="21"/>
          <w:szCs w:val="21"/>
        </w:rPr>
        <w:t>假定变异</w:t>
      </w:r>
      <w:r>
        <w:rPr>
          <w:rFonts w:ascii="Times New Roman" w:hAnsi="Times New Roman" w:cs="Times New Roman"/>
          <w:color w:val="auto"/>
          <w:sz w:val="21"/>
          <w:szCs w:val="21"/>
        </w:rPr>
        <w:t>CJD</w:t>
      </w:r>
      <w:r>
        <w:rPr>
          <w:rFonts w:hint="eastAsia" w:ascii="Times New Roman" w:cs="Times New Roman"/>
          <w:color w:val="auto"/>
          <w:sz w:val="21"/>
          <w:szCs w:val="21"/>
        </w:rPr>
        <w:t>（</w:t>
      </w:r>
      <w:r>
        <w:rPr>
          <w:rFonts w:ascii="Times New Roman" w:hAnsi="Times New Roman" w:cs="Times New Roman"/>
          <w:color w:val="auto"/>
          <w:sz w:val="21"/>
          <w:szCs w:val="21"/>
        </w:rPr>
        <w:t>vCJD</w:t>
      </w:r>
      <w:r>
        <w:rPr>
          <w:rFonts w:hint="eastAsia" w:ascii="Times New Roman" w:cs="Times New Roman"/>
          <w:color w:val="auto"/>
          <w:sz w:val="21"/>
          <w:szCs w:val="21"/>
        </w:rPr>
        <w:t>）病例和接触</w:t>
      </w:r>
      <w:r>
        <w:rPr>
          <w:rFonts w:ascii="Times New Roman" w:hAnsi="Times New Roman" w:cs="Times New Roman"/>
          <w:color w:val="auto"/>
          <w:sz w:val="21"/>
          <w:szCs w:val="21"/>
        </w:rPr>
        <w:t>BSE</w:t>
      </w:r>
      <w:r>
        <w:rPr>
          <w:rFonts w:hint="eastAsia" w:ascii="Times New Roman" w:cs="Times New Roman"/>
          <w:color w:val="auto"/>
          <w:sz w:val="21"/>
          <w:szCs w:val="21"/>
        </w:rPr>
        <w:t>感染牛肉之间的联系，最有可能在</w:t>
      </w:r>
      <w:r>
        <w:rPr>
          <w:rFonts w:ascii="Times New Roman" w:hAnsi="Times New Roman" w:cs="Times New Roman"/>
          <w:color w:val="auto"/>
          <w:sz w:val="21"/>
          <w:szCs w:val="21"/>
        </w:rPr>
        <w:t>1989</w:t>
      </w:r>
      <w:r>
        <w:rPr>
          <w:rFonts w:hint="eastAsia" w:ascii="Times New Roman" w:cs="Times New Roman"/>
          <w:color w:val="auto"/>
          <w:sz w:val="21"/>
          <w:szCs w:val="21"/>
        </w:rPr>
        <w:t>年之前</w:t>
      </w:r>
    </w:p>
    <w:p w14:paraId="1D51228C">
      <w:pPr>
        <w:adjustRightInd w:val="0"/>
        <w:snapToGrid w:val="0"/>
        <w:spacing w:beforeLines="50" w:line="360" w:lineRule="auto"/>
        <w:ind w:left="420" w:hanging="420" w:hangingChars="200"/>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Times New Roman" w:cs="Times New Roman"/>
          <w:color w:val="auto"/>
          <w:sz w:val="21"/>
          <w:szCs w:val="21"/>
        </w:rPr>
        <w:t>1996</w:t>
      </w:r>
      <w:r>
        <w:rPr>
          <w:rFonts w:hint="eastAsia" w:ascii="Times New Roman" w:cs="Times New Roman"/>
          <w:color w:val="auto"/>
          <w:sz w:val="21"/>
          <w:szCs w:val="21"/>
        </w:rPr>
        <w:t>年</w:t>
      </w:r>
      <w:r>
        <w:rPr>
          <w:rFonts w:ascii="Times New Roman" w:hAnsi="Times New Roman" w:cs="Times New Roman"/>
          <w:color w:val="auto"/>
          <w:sz w:val="21"/>
          <w:szCs w:val="21"/>
        </w:rPr>
        <w:t>3</w:t>
      </w:r>
      <w:r>
        <w:rPr>
          <w:rFonts w:hint="eastAsia" w:ascii="Times New Roman" w:cs="Times New Roman"/>
          <w:color w:val="auto"/>
          <w:sz w:val="21"/>
          <w:szCs w:val="21"/>
        </w:rPr>
        <w:t>月</w:t>
      </w:r>
      <w:r>
        <w:rPr>
          <w:rFonts w:ascii="Times New Roman" w:hAnsi="Times New Roman" w:cs="Times New Roman"/>
          <w:color w:val="auto"/>
          <w:sz w:val="21"/>
          <w:szCs w:val="21"/>
        </w:rPr>
        <w:t>29</w:t>
      </w:r>
      <w:r>
        <w:rPr>
          <w:rFonts w:hint="eastAsia" w:ascii="Times New Roman" w:cs="Times New Roman"/>
          <w:color w:val="auto"/>
          <w:sz w:val="21"/>
          <w:szCs w:val="21"/>
        </w:rPr>
        <w:t>日</w:t>
      </w:r>
      <w:r>
        <w:rPr>
          <w:rFonts w:ascii="Times New Roman" w:hAnsi="Times New Roman" w:cs="Times New Roman"/>
          <w:color w:val="auto"/>
          <w:sz w:val="21"/>
          <w:szCs w:val="21"/>
        </w:rPr>
        <w:t xml:space="preserve"> - </w:t>
      </w:r>
      <w:r>
        <w:rPr>
          <w:rFonts w:hint="eastAsia" w:ascii="Times New Roman" w:cs="Times New Roman"/>
          <w:color w:val="auto"/>
          <w:sz w:val="21"/>
          <w:szCs w:val="21"/>
        </w:rPr>
        <w:t>美国农业部和</w:t>
      </w:r>
      <w:r>
        <w:rPr>
          <w:rFonts w:ascii="Times New Roman" w:hAnsi="Times New Roman" w:cs="Times New Roman"/>
          <w:color w:val="auto"/>
          <w:sz w:val="21"/>
          <w:szCs w:val="21"/>
        </w:rPr>
        <w:t>PHS</w:t>
      </w:r>
      <w:r>
        <w:rPr>
          <w:rFonts w:hint="eastAsia" w:ascii="Times New Roman" w:cs="Times New Roman"/>
          <w:color w:val="auto"/>
          <w:sz w:val="21"/>
          <w:szCs w:val="21"/>
        </w:rPr>
        <w:t>通迅稿支持志愿行业致力于使美国免于</w:t>
      </w:r>
      <w:r>
        <w:rPr>
          <w:rFonts w:ascii="Times New Roman" w:hAnsi="Times New Roman" w:cs="Times New Roman"/>
          <w:color w:val="auto"/>
          <w:sz w:val="21"/>
          <w:szCs w:val="21"/>
        </w:rPr>
        <w:t>BSE</w:t>
      </w:r>
      <w:r>
        <w:rPr>
          <w:rFonts w:hint="eastAsia" w:ascii="Times New Roman" w:cs="Times New Roman"/>
          <w:color w:val="auto"/>
          <w:sz w:val="21"/>
          <w:szCs w:val="21"/>
        </w:rPr>
        <w:t>；</w:t>
      </w:r>
      <w:r>
        <w:rPr>
          <w:rFonts w:ascii="Times New Roman" w:hAnsi="Times New Roman" w:cs="Times New Roman"/>
          <w:color w:val="auto"/>
          <w:sz w:val="21"/>
          <w:szCs w:val="21"/>
        </w:rPr>
        <w:t>FDA / CVM</w:t>
      </w:r>
      <w:r>
        <w:rPr>
          <w:rFonts w:hint="eastAsia" w:ascii="Times New Roman" w:cs="Times New Roman"/>
          <w:color w:val="auto"/>
          <w:sz w:val="21"/>
          <w:szCs w:val="21"/>
        </w:rPr>
        <w:t>将加快推行禁止在反刍动物饲料中加入反刍蛋白质的规定</w:t>
      </w:r>
    </w:p>
    <w:p w14:paraId="4174584C">
      <w:pPr>
        <w:adjustRightInd w:val="0"/>
        <w:snapToGrid w:val="0"/>
        <w:spacing w:beforeLines="50" w:line="360" w:lineRule="auto"/>
        <w:ind w:left="420" w:hanging="420" w:hangingChars="200"/>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Times New Roman" w:cs="Times New Roman"/>
          <w:color w:val="auto"/>
          <w:sz w:val="21"/>
          <w:szCs w:val="21"/>
        </w:rPr>
        <w:t>1996</w:t>
      </w:r>
      <w:r>
        <w:rPr>
          <w:rFonts w:hint="eastAsia" w:ascii="Times New Roman" w:cs="Times New Roman"/>
          <w:color w:val="auto"/>
          <w:sz w:val="21"/>
          <w:szCs w:val="21"/>
        </w:rPr>
        <w:t>年</w:t>
      </w:r>
      <w:r>
        <w:rPr>
          <w:rFonts w:ascii="Times New Roman" w:hAnsi="Times New Roman" w:cs="Times New Roman"/>
          <w:color w:val="auto"/>
          <w:sz w:val="21"/>
          <w:szCs w:val="21"/>
        </w:rPr>
        <w:t>3</w:t>
      </w:r>
      <w:r>
        <w:rPr>
          <w:rFonts w:hint="eastAsia" w:ascii="Times New Roman" w:cs="Times New Roman"/>
          <w:color w:val="auto"/>
          <w:sz w:val="21"/>
          <w:szCs w:val="21"/>
        </w:rPr>
        <w:t>月</w:t>
      </w:r>
      <w:r>
        <w:rPr>
          <w:rFonts w:ascii="Times New Roman" w:hAnsi="Times New Roman" w:cs="Times New Roman"/>
          <w:color w:val="auto"/>
          <w:sz w:val="21"/>
          <w:szCs w:val="21"/>
        </w:rPr>
        <w:t>29</w:t>
      </w:r>
      <w:r>
        <w:rPr>
          <w:rFonts w:hint="eastAsia" w:ascii="Times New Roman" w:cs="Times New Roman"/>
          <w:color w:val="auto"/>
          <w:sz w:val="21"/>
          <w:szCs w:val="21"/>
        </w:rPr>
        <w:t>日</w:t>
      </w:r>
      <w:r>
        <w:rPr>
          <w:rFonts w:ascii="Times New Roman" w:hAnsi="Times New Roman" w:cs="Times New Roman"/>
          <w:color w:val="auto"/>
          <w:sz w:val="21"/>
          <w:szCs w:val="21"/>
        </w:rPr>
        <w:t xml:space="preserve"> - FDA</w:t>
      </w:r>
      <w:r>
        <w:rPr>
          <w:rFonts w:hint="eastAsia" w:ascii="Times New Roman" w:cs="Times New Roman"/>
          <w:color w:val="auto"/>
          <w:sz w:val="21"/>
          <w:szCs w:val="21"/>
        </w:rPr>
        <w:t>重新组织</w:t>
      </w:r>
      <w:r>
        <w:rPr>
          <w:rFonts w:ascii="Times New Roman" w:hAnsi="Times New Roman" w:cs="Times New Roman"/>
          <w:color w:val="auto"/>
          <w:sz w:val="21"/>
          <w:szCs w:val="21"/>
        </w:rPr>
        <w:t>FDA BSE</w:t>
      </w:r>
      <w:r>
        <w:rPr>
          <w:rFonts w:hint="eastAsia" w:ascii="Times New Roman" w:cs="Times New Roman"/>
          <w:color w:val="auto"/>
          <w:sz w:val="21"/>
          <w:szCs w:val="21"/>
        </w:rPr>
        <w:t>工作组会议</w:t>
      </w:r>
    </w:p>
    <w:p w14:paraId="002EE7B2">
      <w:pPr>
        <w:adjustRightInd w:val="0"/>
        <w:snapToGrid w:val="0"/>
        <w:spacing w:beforeLines="50" w:line="360" w:lineRule="auto"/>
        <w:ind w:left="420" w:hanging="420" w:hangingChars="200"/>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Times New Roman" w:cs="Times New Roman"/>
          <w:color w:val="auto"/>
          <w:sz w:val="21"/>
          <w:szCs w:val="21"/>
        </w:rPr>
        <w:t>1996</w:t>
      </w:r>
      <w:r>
        <w:rPr>
          <w:rFonts w:hint="eastAsia" w:ascii="Times New Roman" w:cs="Times New Roman"/>
          <w:color w:val="auto"/>
          <w:sz w:val="21"/>
          <w:szCs w:val="21"/>
        </w:rPr>
        <w:t>年</w:t>
      </w:r>
      <w:r>
        <w:rPr>
          <w:rFonts w:ascii="Times New Roman" w:hAnsi="Times New Roman" w:cs="Times New Roman"/>
          <w:color w:val="auto"/>
          <w:sz w:val="21"/>
          <w:szCs w:val="21"/>
        </w:rPr>
        <w:t>5</w:t>
      </w:r>
      <w:r>
        <w:rPr>
          <w:rFonts w:hint="eastAsia" w:ascii="Times New Roman" w:cs="Times New Roman"/>
          <w:color w:val="auto"/>
          <w:sz w:val="21"/>
          <w:szCs w:val="21"/>
        </w:rPr>
        <w:t>月</w:t>
      </w:r>
      <w:r>
        <w:rPr>
          <w:rFonts w:ascii="Times New Roman" w:hAnsi="Times New Roman" w:cs="Times New Roman"/>
          <w:color w:val="auto"/>
          <w:sz w:val="21"/>
          <w:szCs w:val="21"/>
        </w:rPr>
        <w:t>9</w:t>
      </w:r>
      <w:r>
        <w:rPr>
          <w:rFonts w:hint="eastAsia" w:ascii="Times New Roman" w:cs="Times New Roman"/>
          <w:color w:val="auto"/>
          <w:sz w:val="21"/>
          <w:szCs w:val="21"/>
        </w:rPr>
        <w:t>日</w:t>
      </w:r>
      <w:r>
        <w:rPr>
          <w:rFonts w:ascii="Times New Roman" w:hAnsi="Times New Roman" w:cs="Times New Roman"/>
          <w:color w:val="auto"/>
          <w:sz w:val="21"/>
          <w:szCs w:val="21"/>
        </w:rPr>
        <w:t xml:space="preserve"> - FDA</w:t>
      </w:r>
      <w:r>
        <w:rPr>
          <w:rFonts w:hint="eastAsia" w:ascii="Times New Roman" w:cs="Times New Roman"/>
          <w:color w:val="auto"/>
          <w:sz w:val="21"/>
          <w:szCs w:val="21"/>
        </w:rPr>
        <w:t>致函（</w:t>
      </w:r>
      <w:r>
        <w:rPr>
          <w:rFonts w:ascii="Times New Roman" w:hAnsi="Times New Roman" w:cs="Times New Roman"/>
          <w:color w:val="auto"/>
          <w:sz w:val="21"/>
          <w:szCs w:val="21"/>
        </w:rPr>
        <w:t>4</w:t>
      </w:r>
      <w:r>
        <w:rPr>
          <w:rFonts w:hint="eastAsia" w:ascii="Times New Roman" w:cs="Times New Roman"/>
          <w:color w:val="auto"/>
          <w:sz w:val="21"/>
          <w:szCs w:val="21"/>
        </w:rPr>
        <w:t>）</w:t>
      </w:r>
      <w:r>
        <w:rPr>
          <w:rFonts w:ascii="Times New Roman" w:hAnsi="Times New Roman" w:cs="Times New Roman"/>
          <w:color w:val="auto"/>
          <w:sz w:val="21"/>
          <w:szCs w:val="21"/>
        </w:rPr>
        <w:t>FDA</w:t>
      </w:r>
      <w:r>
        <w:rPr>
          <w:rFonts w:hint="eastAsia" w:ascii="Times New Roman" w:cs="Times New Roman"/>
          <w:color w:val="auto"/>
          <w:sz w:val="21"/>
          <w:szCs w:val="21"/>
        </w:rPr>
        <w:t>监管产品生产商，提醒他们来自英国的新信息，并重申以前的建议</w:t>
      </w:r>
    </w:p>
    <w:p w14:paraId="5DFACAFF">
      <w:pPr>
        <w:adjustRightInd w:val="0"/>
        <w:snapToGrid w:val="0"/>
        <w:spacing w:beforeLines="50" w:line="360" w:lineRule="auto"/>
        <w:ind w:left="420" w:hanging="420" w:hangingChars="200"/>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Times New Roman" w:cs="Times New Roman"/>
          <w:color w:val="auto"/>
          <w:sz w:val="21"/>
          <w:szCs w:val="21"/>
        </w:rPr>
        <w:t>1996</w:t>
      </w:r>
      <w:r>
        <w:rPr>
          <w:rFonts w:hint="eastAsia" w:ascii="Times New Roman" w:cs="Times New Roman"/>
          <w:color w:val="auto"/>
          <w:sz w:val="21"/>
          <w:szCs w:val="21"/>
        </w:rPr>
        <w:t>年</w:t>
      </w:r>
      <w:r>
        <w:rPr>
          <w:rFonts w:ascii="Times New Roman" w:hAnsi="Times New Roman" w:cs="Times New Roman"/>
          <w:color w:val="auto"/>
          <w:sz w:val="21"/>
          <w:szCs w:val="21"/>
        </w:rPr>
        <w:t>5</w:t>
      </w:r>
      <w:r>
        <w:rPr>
          <w:rFonts w:hint="eastAsia" w:ascii="Times New Roman" w:cs="Times New Roman"/>
          <w:color w:val="auto"/>
          <w:sz w:val="21"/>
          <w:szCs w:val="21"/>
        </w:rPr>
        <w:t>月</w:t>
      </w:r>
      <w:r>
        <w:rPr>
          <w:rFonts w:ascii="Times New Roman" w:hAnsi="Times New Roman" w:cs="Times New Roman"/>
          <w:color w:val="auto"/>
          <w:sz w:val="21"/>
          <w:szCs w:val="21"/>
        </w:rPr>
        <w:t>10</w:t>
      </w:r>
      <w:r>
        <w:rPr>
          <w:rFonts w:hint="eastAsia" w:ascii="Times New Roman" w:cs="Times New Roman"/>
          <w:color w:val="auto"/>
          <w:sz w:val="21"/>
          <w:szCs w:val="21"/>
        </w:rPr>
        <w:t>日</w:t>
      </w:r>
      <w:r>
        <w:rPr>
          <w:rFonts w:ascii="Times New Roman" w:hAnsi="Times New Roman" w:cs="Times New Roman"/>
          <w:color w:val="auto"/>
          <w:sz w:val="21"/>
          <w:szCs w:val="21"/>
        </w:rPr>
        <w:t xml:space="preserve"> - HHS</w:t>
      </w:r>
      <w:r>
        <w:rPr>
          <w:rFonts w:hint="eastAsia" w:ascii="Times New Roman" w:cs="Times New Roman"/>
          <w:color w:val="auto"/>
          <w:sz w:val="21"/>
          <w:szCs w:val="21"/>
        </w:rPr>
        <w:t>情况报道</w:t>
      </w:r>
      <w:r>
        <w:rPr>
          <w:rFonts w:ascii="Times New Roman" w:hAnsi="Times New Roman" w:cs="Times New Roman"/>
          <w:color w:val="auto"/>
          <w:sz w:val="21"/>
          <w:szCs w:val="21"/>
        </w:rPr>
        <w:t xml:space="preserve"> - </w:t>
      </w:r>
      <w:r>
        <w:rPr>
          <w:rFonts w:hint="eastAsia" w:ascii="Times New Roman" w:cs="Times New Roman"/>
          <w:color w:val="auto"/>
          <w:sz w:val="21"/>
          <w:szCs w:val="21"/>
        </w:rPr>
        <w:t>在美国牛群中预防</w:t>
      </w:r>
      <w:r>
        <w:rPr>
          <w:rFonts w:ascii="Times New Roman" w:hAnsi="Times New Roman" w:cs="Times New Roman"/>
          <w:color w:val="auto"/>
          <w:sz w:val="21"/>
          <w:szCs w:val="21"/>
        </w:rPr>
        <w:t>BSE</w:t>
      </w:r>
      <w:r>
        <w:rPr>
          <w:rFonts w:hint="eastAsia" w:ascii="Times New Roman" w:cs="Times New Roman"/>
          <w:color w:val="auto"/>
          <w:sz w:val="21"/>
          <w:szCs w:val="21"/>
        </w:rPr>
        <w:t>的行动，并尽可能减少人类暴露于</w:t>
      </w:r>
      <w:r>
        <w:rPr>
          <w:rFonts w:ascii="Times New Roman" w:hAnsi="Times New Roman" w:cs="Times New Roman"/>
          <w:color w:val="auto"/>
          <w:sz w:val="21"/>
          <w:szCs w:val="21"/>
        </w:rPr>
        <w:t>BSE</w:t>
      </w:r>
      <w:r>
        <w:rPr>
          <w:rFonts w:hint="eastAsia" w:ascii="Times New Roman" w:cs="Times New Roman"/>
          <w:color w:val="auto"/>
          <w:sz w:val="21"/>
          <w:szCs w:val="21"/>
        </w:rPr>
        <w:t>的潜在风险</w:t>
      </w:r>
    </w:p>
    <w:p w14:paraId="461B6971">
      <w:pPr>
        <w:adjustRightInd w:val="0"/>
        <w:snapToGrid w:val="0"/>
        <w:spacing w:beforeLines="50" w:line="360" w:lineRule="auto"/>
        <w:ind w:left="420" w:hanging="420" w:hangingChars="200"/>
        <w:jc w:val="both"/>
        <w:rPr>
          <w:rFonts w:asci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Times New Roman" w:cs="Times New Roman"/>
          <w:color w:val="auto"/>
          <w:sz w:val="21"/>
          <w:szCs w:val="21"/>
        </w:rPr>
        <w:t>1996</w:t>
      </w:r>
      <w:r>
        <w:rPr>
          <w:rFonts w:hint="eastAsia" w:ascii="Times New Roman" w:cs="Times New Roman"/>
          <w:color w:val="auto"/>
          <w:sz w:val="21"/>
          <w:szCs w:val="21"/>
        </w:rPr>
        <w:t>年</w:t>
      </w:r>
      <w:r>
        <w:rPr>
          <w:rFonts w:ascii="Times New Roman" w:hAnsi="Times New Roman" w:cs="Times New Roman"/>
          <w:color w:val="auto"/>
          <w:sz w:val="21"/>
          <w:szCs w:val="21"/>
        </w:rPr>
        <w:t>5</w:t>
      </w:r>
      <w:r>
        <w:rPr>
          <w:rFonts w:hint="eastAsia" w:ascii="Times New Roman" w:cs="Times New Roman"/>
          <w:color w:val="auto"/>
          <w:sz w:val="21"/>
          <w:szCs w:val="21"/>
        </w:rPr>
        <w:t>月</w:t>
      </w:r>
      <w:r>
        <w:rPr>
          <w:rFonts w:ascii="Times New Roman" w:hAnsi="Times New Roman" w:cs="Times New Roman"/>
          <w:color w:val="auto"/>
          <w:sz w:val="21"/>
          <w:szCs w:val="21"/>
        </w:rPr>
        <w:t>14</w:t>
      </w:r>
      <w:r>
        <w:rPr>
          <w:rFonts w:hint="eastAsia" w:ascii="Times New Roman" w:cs="Times New Roman"/>
          <w:color w:val="auto"/>
          <w:sz w:val="21"/>
          <w:szCs w:val="21"/>
        </w:rPr>
        <w:t>日</w:t>
      </w:r>
      <w:r>
        <w:rPr>
          <w:rFonts w:ascii="Times New Roman" w:hAnsi="Times New Roman" w:cs="Times New Roman"/>
          <w:color w:val="auto"/>
          <w:sz w:val="21"/>
          <w:szCs w:val="21"/>
        </w:rPr>
        <w:t xml:space="preserve"> - FDA</w:t>
      </w:r>
      <w:r>
        <w:rPr>
          <w:rFonts w:hint="eastAsia" w:ascii="Times New Roman" w:cs="Times New Roman"/>
          <w:color w:val="auto"/>
          <w:sz w:val="21"/>
          <w:szCs w:val="21"/>
        </w:rPr>
        <w:t>建议规章制定的事先通知，征求在反刍动物饲料中使用反刍动物蛋白质的意见</w:t>
      </w:r>
    </w:p>
    <w:p w14:paraId="3F756A80">
      <w:pPr>
        <w:adjustRightInd w:val="0"/>
        <w:snapToGrid w:val="0"/>
        <w:spacing w:beforeLines="50" w:line="360" w:lineRule="auto"/>
        <w:ind w:left="420" w:hanging="420" w:hangingChars="200"/>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Times New Roman" w:cs="Times New Roman"/>
          <w:color w:val="auto"/>
          <w:sz w:val="21"/>
          <w:szCs w:val="21"/>
        </w:rPr>
        <w:t>1996</w:t>
      </w:r>
      <w:r>
        <w:rPr>
          <w:rFonts w:hint="eastAsia" w:ascii="Times New Roman" w:cs="Times New Roman"/>
          <w:color w:val="auto"/>
          <w:sz w:val="21"/>
          <w:szCs w:val="21"/>
        </w:rPr>
        <w:t>年</w:t>
      </w:r>
      <w:r>
        <w:rPr>
          <w:rFonts w:ascii="Times New Roman" w:hAnsi="Times New Roman" w:cs="Times New Roman"/>
          <w:color w:val="auto"/>
          <w:sz w:val="21"/>
          <w:szCs w:val="21"/>
        </w:rPr>
        <w:t>5</w:t>
      </w:r>
      <w:r>
        <w:rPr>
          <w:rFonts w:hint="eastAsia" w:ascii="Times New Roman" w:cs="Times New Roman"/>
          <w:color w:val="auto"/>
          <w:sz w:val="21"/>
          <w:szCs w:val="21"/>
        </w:rPr>
        <w:t>月</w:t>
      </w:r>
      <w:r>
        <w:rPr>
          <w:rFonts w:ascii="Times New Roman" w:hAnsi="Times New Roman" w:cs="Times New Roman"/>
          <w:color w:val="auto"/>
          <w:sz w:val="21"/>
          <w:szCs w:val="21"/>
        </w:rPr>
        <w:t>21</w:t>
      </w:r>
      <w:r>
        <w:rPr>
          <w:rFonts w:hint="eastAsia" w:ascii="Times New Roman" w:cs="Times New Roman"/>
          <w:color w:val="auto"/>
          <w:sz w:val="21"/>
          <w:szCs w:val="21"/>
        </w:rPr>
        <w:t>日</w:t>
      </w:r>
      <w:r>
        <w:rPr>
          <w:rFonts w:ascii="Times New Roman" w:hAnsi="Times New Roman" w:cs="Times New Roman"/>
          <w:color w:val="auto"/>
          <w:sz w:val="21"/>
          <w:szCs w:val="21"/>
        </w:rPr>
        <w:t xml:space="preserve"> - FDA</w:t>
      </w:r>
      <w:r>
        <w:rPr>
          <w:rFonts w:hint="eastAsia" w:ascii="Times New Roman" w:cs="Times New Roman"/>
          <w:color w:val="auto"/>
          <w:sz w:val="21"/>
          <w:szCs w:val="21"/>
        </w:rPr>
        <w:t>致函明胶行业法律顾问，重申早先的声明，</w:t>
      </w:r>
      <w:r>
        <w:rPr>
          <w:rFonts w:ascii="Times New Roman" w:hAnsi="Times New Roman" w:cs="Times New Roman"/>
          <w:color w:val="auto"/>
          <w:sz w:val="21"/>
          <w:szCs w:val="21"/>
        </w:rPr>
        <w:t>FDA</w:t>
      </w:r>
      <w:r>
        <w:rPr>
          <w:rFonts w:hint="eastAsia" w:ascii="Times New Roman" w:cs="Times New Roman"/>
          <w:color w:val="auto"/>
          <w:sz w:val="21"/>
          <w:szCs w:val="21"/>
        </w:rPr>
        <w:t>不反对</w:t>
      </w:r>
      <w:r>
        <w:rPr>
          <w:rFonts w:ascii="Times New Roman" w:hAnsi="Times New Roman" w:cs="Times New Roman"/>
          <w:color w:val="auto"/>
          <w:sz w:val="21"/>
          <w:szCs w:val="21"/>
        </w:rPr>
        <w:t>FDA</w:t>
      </w:r>
      <w:r>
        <w:rPr>
          <w:rFonts w:hint="eastAsia" w:ascii="Times New Roman" w:cs="Times New Roman"/>
          <w:color w:val="auto"/>
          <w:sz w:val="21"/>
          <w:szCs w:val="21"/>
        </w:rPr>
        <w:t>监管产品中含有由</w:t>
      </w:r>
      <w:r>
        <w:rPr>
          <w:rFonts w:ascii="Times New Roman" w:hAnsi="Times New Roman" w:cs="Times New Roman"/>
          <w:color w:val="auto"/>
          <w:sz w:val="21"/>
          <w:szCs w:val="21"/>
        </w:rPr>
        <w:t>BSE</w:t>
      </w:r>
      <w:r>
        <w:rPr>
          <w:rFonts w:hint="eastAsia" w:ascii="Times New Roman" w:cs="Times New Roman"/>
          <w:color w:val="auto"/>
          <w:sz w:val="21"/>
          <w:szCs w:val="21"/>
        </w:rPr>
        <w:t>国家牛制成的药用级明胶，并且</w:t>
      </w:r>
      <w:r>
        <w:rPr>
          <w:rFonts w:ascii="Times New Roman" w:hAnsi="Times New Roman" w:cs="Times New Roman"/>
          <w:color w:val="auto"/>
          <w:sz w:val="21"/>
          <w:szCs w:val="21"/>
        </w:rPr>
        <w:t>FDA</w:t>
      </w:r>
      <w:r>
        <w:rPr>
          <w:rFonts w:hint="eastAsia" w:ascii="Times New Roman" w:cs="Times New Roman"/>
          <w:color w:val="auto"/>
          <w:sz w:val="21"/>
          <w:szCs w:val="21"/>
        </w:rPr>
        <w:t>不会将此针对</w:t>
      </w:r>
      <w:r>
        <w:rPr>
          <w:rFonts w:ascii="Times New Roman" w:hAnsi="Times New Roman" w:cs="Times New Roman"/>
          <w:color w:val="auto"/>
          <w:sz w:val="21"/>
          <w:szCs w:val="21"/>
        </w:rPr>
        <w:t>BSE</w:t>
      </w:r>
      <w:r>
        <w:rPr>
          <w:rFonts w:hint="eastAsia" w:ascii="Times New Roman" w:cs="Times New Roman"/>
          <w:color w:val="auto"/>
          <w:sz w:val="21"/>
          <w:szCs w:val="21"/>
        </w:rPr>
        <w:t>国家材料所提出建议延伸至乳制品和明胶</w:t>
      </w:r>
    </w:p>
    <w:p w14:paraId="1AC4CD23">
      <w:pPr>
        <w:adjustRightInd w:val="0"/>
        <w:snapToGrid w:val="0"/>
        <w:spacing w:beforeLines="50" w:line="360" w:lineRule="auto"/>
        <w:ind w:left="420" w:hanging="420" w:hangingChars="200"/>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Times New Roman" w:cs="Times New Roman"/>
          <w:color w:val="auto"/>
          <w:sz w:val="21"/>
          <w:szCs w:val="21"/>
        </w:rPr>
        <w:t>1996</w:t>
      </w:r>
      <w:r>
        <w:rPr>
          <w:rFonts w:hint="eastAsia" w:ascii="Times New Roman" w:cs="Times New Roman"/>
          <w:color w:val="auto"/>
          <w:sz w:val="21"/>
          <w:szCs w:val="21"/>
        </w:rPr>
        <w:t>年</w:t>
      </w:r>
      <w:r>
        <w:rPr>
          <w:rFonts w:ascii="Times New Roman" w:hAnsi="Times New Roman" w:cs="Times New Roman"/>
          <w:color w:val="auto"/>
          <w:sz w:val="21"/>
          <w:szCs w:val="21"/>
        </w:rPr>
        <w:t>6</w:t>
      </w:r>
      <w:r>
        <w:rPr>
          <w:rFonts w:hint="eastAsia" w:ascii="Times New Roman" w:cs="Times New Roman"/>
          <w:color w:val="auto"/>
          <w:sz w:val="21"/>
          <w:szCs w:val="21"/>
        </w:rPr>
        <w:t>月</w:t>
      </w:r>
      <w:r>
        <w:rPr>
          <w:rFonts w:ascii="Times New Roman" w:hAnsi="Times New Roman" w:cs="Times New Roman"/>
          <w:color w:val="auto"/>
          <w:sz w:val="21"/>
          <w:szCs w:val="21"/>
        </w:rPr>
        <w:t>9</w:t>
      </w:r>
      <w:r>
        <w:rPr>
          <w:rFonts w:hint="eastAsia" w:ascii="Times New Roman" w:cs="Times New Roman"/>
          <w:color w:val="auto"/>
          <w:sz w:val="21"/>
          <w:szCs w:val="21"/>
        </w:rPr>
        <w:t>日</w:t>
      </w:r>
      <w:r>
        <w:rPr>
          <w:rFonts w:ascii="Times New Roman" w:hAnsi="Times New Roman" w:cs="Times New Roman"/>
          <w:color w:val="auto"/>
          <w:sz w:val="21"/>
          <w:szCs w:val="21"/>
        </w:rPr>
        <w:t xml:space="preserve"> - FDA</w:t>
      </w:r>
      <w:r>
        <w:rPr>
          <w:rFonts w:hint="eastAsia" w:ascii="Times New Roman" w:cs="Times New Roman"/>
          <w:color w:val="auto"/>
          <w:sz w:val="21"/>
          <w:szCs w:val="21"/>
        </w:rPr>
        <w:t>再次特许</w:t>
      </w:r>
      <w:r>
        <w:rPr>
          <w:rFonts w:ascii="Times New Roman" w:hAnsi="Times New Roman" w:cs="Times New Roman"/>
          <w:color w:val="auto"/>
          <w:sz w:val="21"/>
          <w:szCs w:val="21"/>
        </w:rPr>
        <w:t>CJD</w:t>
      </w:r>
      <w:r>
        <w:rPr>
          <w:rFonts w:hint="eastAsia" w:ascii="Times New Roman" w:cs="Times New Roman"/>
          <w:color w:val="auto"/>
          <w:sz w:val="21"/>
          <w:szCs w:val="21"/>
        </w:rPr>
        <w:t>咨询委员会作为</w:t>
      </w:r>
      <w:r>
        <w:rPr>
          <w:rFonts w:ascii="Times New Roman" w:hAnsi="Times New Roman" w:cs="Times New Roman"/>
          <w:color w:val="auto"/>
          <w:sz w:val="21"/>
          <w:szCs w:val="21"/>
        </w:rPr>
        <w:t>TSE</w:t>
      </w:r>
      <w:r>
        <w:rPr>
          <w:rFonts w:hint="eastAsia" w:ascii="Times New Roman" w:cs="Times New Roman"/>
          <w:color w:val="auto"/>
          <w:sz w:val="21"/>
          <w:szCs w:val="21"/>
        </w:rPr>
        <w:t>咨询委员会</w:t>
      </w:r>
    </w:p>
    <w:p w14:paraId="18E6432E">
      <w:pPr>
        <w:adjustRightInd w:val="0"/>
        <w:snapToGrid w:val="0"/>
        <w:spacing w:beforeLines="50" w:line="360" w:lineRule="auto"/>
        <w:ind w:left="420" w:hanging="420" w:hangingChars="200"/>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Times New Roman" w:cs="Times New Roman"/>
          <w:color w:val="auto"/>
          <w:sz w:val="21"/>
          <w:szCs w:val="21"/>
        </w:rPr>
        <w:t>1997</w:t>
      </w:r>
      <w:r>
        <w:rPr>
          <w:rFonts w:hint="eastAsia" w:ascii="Times New Roman" w:cs="Times New Roman"/>
          <w:color w:val="auto"/>
          <w:sz w:val="21"/>
          <w:szCs w:val="21"/>
        </w:rPr>
        <w:t>年</w:t>
      </w:r>
      <w:r>
        <w:rPr>
          <w:rFonts w:ascii="Times New Roman" w:hAnsi="Times New Roman" w:cs="Times New Roman"/>
          <w:color w:val="auto"/>
          <w:sz w:val="21"/>
          <w:szCs w:val="21"/>
        </w:rPr>
        <w:t>1</w:t>
      </w:r>
      <w:r>
        <w:rPr>
          <w:rFonts w:hint="eastAsia" w:ascii="Times New Roman" w:cs="Times New Roman"/>
          <w:color w:val="auto"/>
          <w:sz w:val="21"/>
          <w:szCs w:val="21"/>
        </w:rPr>
        <w:t>月</w:t>
      </w:r>
      <w:r>
        <w:rPr>
          <w:rFonts w:ascii="Times New Roman" w:hAnsi="Times New Roman" w:cs="Times New Roman"/>
          <w:color w:val="auto"/>
          <w:sz w:val="21"/>
          <w:szCs w:val="21"/>
        </w:rPr>
        <w:t>3</w:t>
      </w:r>
      <w:r>
        <w:rPr>
          <w:rFonts w:hint="eastAsia" w:ascii="Times New Roman" w:cs="Times New Roman"/>
          <w:color w:val="auto"/>
          <w:sz w:val="21"/>
          <w:szCs w:val="21"/>
        </w:rPr>
        <w:t>日</w:t>
      </w:r>
      <w:r>
        <w:rPr>
          <w:rFonts w:ascii="Times New Roman" w:hAnsi="Times New Roman" w:cs="Times New Roman"/>
          <w:color w:val="auto"/>
          <w:sz w:val="21"/>
          <w:szCs w:val="21"/>
        </w:rPr>
        <w:t xml:space="preserve"> - FDA / CVM</w:t>
      </w:r>
      <w:r>
        <w:rPr>
          <w:rFonts w:hint="eastAsia" w:ascii="Times New Roman" w:cs="Times New Roman"/>
          <w:color w:val="auto"/>
          <w:sz w:val="21"/>
          <w:szCs w:val="21"/>
        </w:rPr>
        <w:t>发布关于</w:t>
      </w:r>
      <w:r>
        <w:rPr>
          <w:rFonts w:ascii="Times New Roman" w:hAnsi="Times New Roman" w:cs="Times New Roman"/>
          <w:color w:val="auto"/>
          <w:sz w:val="21"/>
          <w:szCs w:val="21"/>
        </w:rPr>
        <w:t>“</w:t>
      </w:r>
      <w:r>
        <w:rPr>
          <w:rFonts w:hint="eastAsia" w:ascii="Times New Roman" w:cs="Times New Roman"/>
          <w:color w:val="auto"/>
          <w:sz w:val="21"/>
          <w:szCs w:val="21"/>
        </w:rPr>
        <w:t>饲料禁令</w:t>
      </w:r>
      <w:r>
        <w:rPr>
          <w:rFonts w:ascii="Times New Roman" w:hAnsi="Times New Roman" w:cs="Times New Roman"/>
          <w:color w:val="auto"/>
          <w:sz w:val="21"/>
          <w:szCs w:val="21"/>
        </w:rPr>
        <w:t>”</w:t>
      </w:r>
      <w:r>
        <w:rPr>
          <w:rFonts w:hint="eastAsia" w:ascii="Times New Roman" w:cs="Times New Roman"/>
          <w:color w:val="auto"/>
          <w:sz w:val="21"/>
          <w:szCs w:val="21"/>
        </w:rPr>
        <w:t>的建议规定</w:t>
      </w:r>
    </w:p>
    <w:p w14:paraId="5F49B7C0">
      <w:pPr>
        <w:adjustRightInd w:val="0"/>
        <w:snapToGrid w:val="0"/>
        <w:spacing w:beforeLines="50" w:line="360" w:lineRule="auto"/>
        <w:ind w:left="420" w:hanging="420" w:hangingChars="200"/>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Times New Roman" w:cs="Times New Roman"/>
          <w:color w:val="auto"/>
          <w:sz w:val="21"/>
          <w:szCs w:val="21"/>
        </w:rPr>
        <w:t>1997</w:t>
      </w:r>
      <w:r>
        <w:rPr>
          <w:rFonts w:hint="eastAsia" w:ascii="Times New Roman" w:cs="Times New Roman"/>
          <w:color w:val="auto"/>
          <w:sz w:val="21"/>
          <w:szCs w:val="21"/>
        </w:rPr>
        <w:t>年</w:t>
      </w:r>
      <w:r>
        <w:rPr>
          <w:rFonts w:ascii="Times New Roman" w:hAnsi="Times New Roman" w:cs="Times New Roman"/>
          <w:color w:val="auto"/>
          <w:sz w:val="21"/>
          <w:szCs w:val="21"/>
        </w:rPr>
        <w:t>1</w:t>
      </w:r>
      <w:r>
        <w:rPr>
          <w:rFonts w:hint="eastAsia" w:ascii="Times New Roman" w:cs="Times New Roman"/>
          <w:color w:val="auto"/>
          <w:sz w:val="21"/>
          <w:szCs w:val="21"/>
        </w:rPr>
        <w:t>月</w:t>
      </w:r>
      <w:r>
        <w:rPr>
          <w:rFonts w:ascii="Times New Roman" w:hAnsi="Times New Roman" w:cs="Times New Roman"/>
          <w:color w:val="auto"/>
          <w:sz w:val="21"/>
          <w:szCs w:val="21"/>
        </w:rPr>
        <w:t>29</w:t>
      </w:r>
      <w:r>
        <w:rPr>
          <w:rFonts w:hint="eastAsia" w:ascii="Times New Roman" w:cs="Times New Roman"/>
          <w:color w:val="auto"/>
          <w:sz w:val="21"/>
          <w:szCs w:val="21"/>
        </w:rPr>
        <w:t>日</w:t>
      </w:r>
      <w:r>
        <w:rPr>
          <w:rFonts w:ascii="Times New Roman" w:hAnsi="Times New Roman" w:cs="Times New Roman"/>
          <w:color w:val="auto"/>
          <w:sz w:val="21"/>
          <w:szCs w:val="21"/>
        </w:rPr>
        <w:t xml:space="preserve"> - FDA</w:t>
      </w:r>
      <w:r>
        <w:rPr>
          <w:rFonts w:hint="eastAsia" w:ascii="Times New Roman" w:cs="Times New Roman"/>
          <w:color w:val="auto"/>
          <w:sz w:val="21"/>
          <w:szCs w:val="21"/>
        </w:rPr>
        <w:t>向美国众议院政府改革与监督委员会更新建议的</w:t>
      </w:r>
      <w:r>
        <w:rPr>
          <w:rFonts w:ascii="Times New Roman" w:hAnsi="Times New Roman" w:cs="Times New Roman"/>
          <w:color w:val="auto"/>
          <w:sz w:val="21"/>
          <w:szCs w:val="21"/>
        </w:rPr>
        <w:t>“</w:t>
      </w:r>
      <w:r>
        <w:rPr>
          <w:rFonts w:hint="eastAsia" w:ascii="Times New Roman" w:cs="Times New Roman"/>
          <w:color w:val="auto"/>
          <w:sz w:val="21"/>
          <w:szCs w:val="21"/>
        </w:rPr>
        <w:t>饲料禁令</w:t>
      </w:r>
      <w:r>
        <w:rPr>
          <w:rFonts w:ascii="Times New Roman" w:hAnsi="Times New Roman" w:cs="Times New Roman"/>
          <w:color w:val="auto"/>
          <w:sz w:val="21"/>
          <w:szCs w:val="21"/>
        </w:rPr>
        <w:t>”</w:t>
      </w:r>
      <w:r>
        <w:rPr>
          <w:rFonts w:hint="eastAsia" w:ascii="Times New Roman" w:cs="Times New Roman"/>
          <w:color w:val="auto"/>
          <w:sz w:val="21"/>
          <w:szCs w:val="21"/>
        </w:rPr>
        <w:t>规定</w:t>
      </w:r>
    </w:p>
    <w:p w14:paraId="3B71735F">
      <w:pPr>
        <w:adjustRightInd w:val="0"/>
        <w:snapToGrid w:val="0"/>
        <w:spacing w:beforeLines="50" w:line="360" w:lineRule="auto"/>
        <w:ind w:left="420" w:hanging="420" w:hangingChars="200"/>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Times New Roman" w:cs="Times New Roman"/>
          <w:color w:val="auto"/>
          <w:sz w:val="21"/>
          <w:szCs w:val="21"/>
        </w:rPr>
        <w:t>1997</w:t>
      </w:r>
      <w:r>
        <w:rPr>
          <w:rFonts w:hint="eastAsia" w:ascii="Times New Roman" w:cs="Times New Roman"/>
          <w:color w:val="auto"/>
          <w:sz w:val="21"/>
          <w:szCs w:val="21"/>
        </w:rPr>
        <w:t>年</w:t>
      </w:r>
      <w:r>
        <w:rPr>
          <w:rFonts w:ascii="Times New Roman" w:hAnsi="Times New Roman" w:cs="Times New Roman"/>
          <w:color w:val="auto"/>
          <w:sz w:val="21"/>
          <w:szCs w:val="21"/>
        </w:rPr>
        <w:t>4</w:t>
      </w:r>
      <w:r>
        <w:rPr>
          <w:rFonts w:hint="eastAsia" w:ascii="Times New Roman" w:cs="Times New Roman"/>
          <w:color w:val="auto"/>
          <w:sz w:val="21"/>
          <w:szCs w:val="21"/>
        </w:rPr>
        <w:t>月</w:t>
      </w:r>
      <w:r>
        <w:rPr>
          <w:rFonts w:ascii="Times New Roman" w:hAnsi="Times New Roman" w:cs="Times New Roman"/>
          <w:color w:val="auto"/>
          <w:sz w:val="21"/>
          <w:szCs w:val="21"/>
        </w:rPr>
        <w:t>23</w:t>
      </w:r>
      <w:r>
        <w:rPr>
          <w:rFonts w:hint="eastAsia" w:ascii="Times New Roman" w:cs="Times New Roman"/>
          <w:color w:val="auto"/>
          <w:sz w:val="21"/>
          <w:szCs w:val="21"/>
        </w:rPr>
        <w:t>日至</w:t>
      </w:r>
      <w:r>
        <w:rPr>
          <w:rFonts w:ascii="Times New Roman" w:hAnsi="Times New Roman" w:cs="Times New Roman"/>
          <w:color w:val="auto"/>
          <w:sz w:val="21"/>
          <w:szCs w:val="21"/>
        </w:rPr>
        <w:t>24</w:t>
      </w:r>
      <w:r>
        <w:rPr>
          <w:rFonts w:hint="eastAsia" w:ascii="Times New Roman" w:cs="Times New Roman"/>
          <w:color w:val="auto"/>
          <w:sz w:val="21"/>
          <w:szCs w:val="21"/>
        </w:rPr>
        <w:t>日</w:t>
      </w:r>
      <w:r>
        <w:rPr>
          <w:rFonts w:ascii="Times New Roman" w:hAnsi="Times New Roman" w:cs="Times New Roman"/>
          <w:color w:val="auto"/>
          <w:sz w:val="21"/>
          <w:szCs w:val="21"/>
        </w:rPr>
        <w:t xml:space="preserve"> - TSE</w:t>
      </w:r>
      <w:r>
        <w:rPr>
          <w:rFonts w:hint="eastAsia" w:ascii="Times New Roman" w:cs="Times New Roman"/>
          <w:color w:val="auto"/>
          <w:sz w:val="21"/>
          <w:szCs w:val="21"/>
        </w:rPr>
        <w:t>咨询委员会第一次会议，关于</w:t>
      </w:r>
      <w:r>
        <w:rPr>
          <w:rFonts w:ascii="Times New Roman" w:hAnsi="Times New Roman" w:cs="Times New Roman"/>
          <w:color w:val="auto"/>
          <w:sz w:val="21"/>
          <w:szCs w:val="21"/>
        </w:rPr>
        <w:t>BSE</w:t>
      </w:r>
      <w:r>
        <w:rPr>
          <w:rFonts w:hint="eastAsia" w:ascii="Times New Roman" w:cs="Times New Roman"/>
          <w:color w:val="auto"/>
          <w:sz w:val="21"/>
          <w:szCs w:val="21"/>
        </w:rPr>
        <w:t>风险，评估在</w:t>
      </w:r>
      <w:r>
        <w:rPr>
          <w:rFonts w:ascii="Times New Roman" w:hAnsi="Times New Roman" w:cs="Times New Roman"/>
          <w:color w:val="auto"/>
          <w:sz w:val="21"/>
          <w:szCs w:val="21"/>
        </w:rPr>
        <w:t>FDA</w:t>
      </w:r>
      <w:r>
        <w:rPr>
          <w:rFonts w:hint="eastAsia" w:ascii="Times New Roman" w:cs="Times New Roman"/>
          <w:color w:val="auto"/>
          <w:sz w:val="21"/>
          <w:szCs w:val="21"/>
        </w:rPr>
        <w:t>监管产品中使用进口和国产的明胶及明胶副产品的安全性</w:t>
      </w:r>
    </w:p>
    <w:p w14:paraId="2D406B42">
      <w:pPr>
        <w:adjustRightInd w:val="0"/>
        <w:snapToGrid w:val="0"/>
        <w:spacing w:beforeLines="50" w:line="360" w:lineRule="auto"/>
        <w:ind w:left="420" w:hanging="420" w:hangingChars="200"/>
        <w:jc w:val="both"/>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Times New Roman" w:cs="Times New Roman"/>
          <w:color w:val="auto"/>
          <w:sz w:val="21"/>
          <w:szCs w:val="21"/>
        </w:rPr>
        <w:t>1997</w:t>
      </w:r>
      <w:r>
        <w:rPr>
          <w:rFonts w:hint="eastAsia" w:ascii="Times New Roman" w:cs="Times New Roman"/>
          <w:color w:val="auto"/>
          <w:sz w:val="21"/>
          <w:szCs w:val="21"/>
        </w:rPr>
        <w:t>年</w:t>
      </w:r>
      <w:r>
        <w:rPr>
          <w:rFonts w:ascii="Times New Roman" w:hAnsi="Times New Roman" w:cs="Times New Roman"/>
          <w:color w:val="auto"/>
          <w:sz w:val="21"/>
          <w:szCs w:val="21"/>
        </w:rPr>
        <w:t>4</w:t>
      </w:r>
      <w:r>
        <w:rPr>
          <w:rFonts w:hint="eastAsia" w:ascii="Times New Roman" w:cs="Times New Roman"/>
          <w:color w:val="auto"/>
          <w:sz w:val="21"/>
          <w:szCs w:val="21"/>
        </w:rPr>
        <w:t>月</w:t>
      </w:r>
      <w:r>
        <w:rPr>
          <w:rFonts w:ascii="Times New Roman" w:hAnsi="Times New Roman" w:cs="Times New Roman"/>
          <w:color w:val="auto"/>
          <w:sz w:val="21"/>
          <w:szCs w:val="21"/>
        </w:rPr>
        <w:t>15</w:t>
      </w:r>
      <w:r>
        <w:rPr>
          <w:rFonts w:hint="eastAsia" w:ascii="Times New Roman" w:cs="Times New Roman"/>
          <w:color w:val="auto"/>
          <w:sz w:val="21"/>
          <w:szCs w:val="21"/>
        </w:rPr>
        <w:t>日</w:t>
      </w:r>
      <w:r>
        <w:rPr>
          <w:rFonts w:ascii="Times New Roman" w:hAnsi="Times New Roman" w:cs="Times New Roman"/>
          <w:color w:val="auto"/>
          <w:sz w:val="21"/>
          <w:szCs w:val="21"/>
        </w:rPr>
        <w:t xml:space="preserve"> - FDA / CVM</w:t>
      </w:r>
      <w:r>
        <w:rPr>
          <w:rFonts w:hint="eastAsia" w:ascii="Times New Roman" w:cs="Times New Roman"/>
          <w:color w:val="auto"/>
          <w:sz w:val="21"/>
          <w:szCs w:val="21"/>
        </w:rPr>
        <w:t>发布了关于哺乳动物至反刍动物饲料禁令的草案规则</w:t>
      </w:r>
    </w:p>
    <w:p w14:paraId="63A5BF87">
      <w:pPr>
        <w:adjustRightInd w:val="0"/>
        <w:snapToGrid w:val="0"/>
        <w:spacing w:beforeLines="50" w:line="360" w:lineRule="auto"/>
        <w:ind w:left="420" w:hanging="420" w:hangingChars="200"/>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Times New Roman" w:cs="Times New Roman"/>
          <w:color w:val="auto"/>
          <w:sz w:val="21"/>
          <w:szCs w:val="21"/>
        </w:rPr>
        <w:t>1997</w:t>
      </w:r>
      <w:r>
        <w:rPr>
          <w:rFonts w:hint="eastAsia" w:ascii="Times New Roman" w:cs="Times New Roman"/>
          <w:color w:val="auto"/>
          <w:sz w:val="21"/>
          <w:szCs w:val="21"/>
        </w:rPr>
        <w:t>年</w:t>
      </w:r>
      <w:r>
        <w:rPr>
          <w:rFonts w:ascii="Times New Roman" w:hAnsi="Times New Roman" w:cs="Times New Roman"/>
          <w:color w:val="auto"/>
          <w:sz w:val="21"/>
          <w:szCs w:val="21"/>
        </w:rPr>
        <w:t>6</w:t>
      </w:r>
      <w:r>
        <w:rPr>
          <w:rFonts w:hint="eastAsia" w:ascii="Times New Roman" w:cs="Times New Roman"/>
          <w:color w:val="auto"/>
          <w:sz w:val="21"/>
          <w:szCs w:val="21"/>
        </w:rPr>
        <w:t>月</w:t>
      </w:r>
      <w:r>
        <w:rPr>
          <w:rFonts w:ascii="Times New Roman" w:hAnsi="Times New Roman" w:cs="Times New Roman"/>
          <w:color w:val="auto"/>
          <w:sz w:val="21"/>
          <w:szCs w:val="21"/>
        </w:rPr>
        <w:t>5</w:t>
      </w:r>
      <w:r>
        <w:rPr>
          <w:rFonts w:hint="eastAsia" w:ascii="Times New Roman" w:cs="Times New Roman"/>
          <w:color w:val="auto"/>
          <w:sz w:val="21"/>
          <w:szCs w:val="21"/>
        </w:rPr>
        <w:t>日</w:t>
      </w:r>
      <w:r>
        <w:rPr>
          <w:rFonts w:ascii="Times New Roman" w:hAnsi="Times New Roman" w:cs="Times New Roman"/>
          <w:color w:val="auto"/>
          <w:sz w:val="21"/>
          <w:szCs w:val="21"/>
        </w:rPr>
        <w:t xml:space="preserve"> - FDA / CVM</w:t>
      </w:r>
      <w:r>
        <w:rPr>
          <w:rFonts w:hint="eastAsia" w:ascii="Times New Roman" w:cs="Times New Roman"/>
          <w:color w:val="auto"/>
          <w:sz w:val="21"/>
          <w:szCs w:val="21"/>
        </w:rPr>
        <w:t>发布最终规则</w:t>
      </w:r>
      <w:r>
        <w:rPr>
          <w:rFonts w:ascii="Times New Roman" w:hAnsi="Times New Roman" w:cs="Times New Roman"/>
          <w:color w:val="auto"/>
          <w:sz w:val="21"/>
          <w:szCs w:val="21"/>
        </w:rPr>
        <w:t xml:space="preserve"> - “</w:t>
      </w:r>
      <w:r>
        <w:rPr>
          <w:rFonts w:hint="eastAsia" w:ascii="Times New Roman" w:cs="Times New Roman"/>
          <w:color w:val="auto"/>
          <w:sz w:val="21"/>
          <w:szCs w:val="21"/>
        </w:rPr>
        <w:t>禁止在动物食品或饲料中使用的物质：反刍动物饲料中禁止添加的动物蛋白</w:t>
      </w:r>
      <w:r>
        <w:rPr>
          <w:rFonts w:ascii="Times New Roman" w:hAnsi="Times New Roman" w:cs="Times New Roman"/>
          <w:color w:val="auto"/>
          <w:sz w:val="21"/>
          <w:szCs w:val="21"/>
        </w:rPr>
        <w:t>”</w:t>
      </w:r>
    </w:p>
    <w:p w14:paraId="22420618">
      <w:pPr>
        <w:adjustRightInd w:val="0"/>
        <w:snapToGrid w:val="0"/>
        <w:spacing w:beforeLines="50" w:line="360" w:lineRule="auto"/>
        <w:ind w:left="420" w:hanging="420" w:hangingChars="200"/>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Times New Roman" w:cs="Times New Roman"/>
          <w:color w:val="auto"/>
          <w:sz w:val="21"/>
          <w:szCs w:val="21"/>
        </w:rPr>
        <w:t>1997</w:t>
      </w:r>
      <w:r>
        <w:rPr>
          <w:rFonts w:hint="eastAsia" w:ascii="Times New Roman" w:cs="Times New Roman"/>
          <w:color w:val="auto"/>
          <w:sz w:val="21"/>
          <w:szCs w:val="21"/>
        </w:rPr>
        <w:t>年</w:t>
      </w:r>
      <w:r>
        <w:rPr>
          <w:rFonts w:ascii="Times New Roman" w:hAnsi="Times New Roman" w:cs="Times New Roman"/>
          <w:color w:val="auto"/>
          <w:sz w:val="21"/>
          <w:szCs w:val="21"/>
        </w:rPr>
        <w:t>10</w:t>
      </w:r>
      <w:r>
        <w:rPr>
          <w:rFonts w:hint="eastAsia" w:ascii="Times New Roman" w:cs="Times New Roman"/>
          <w:color w:val="auto"/>
          <w:sz w:val="21"/>
          <w:szCs w:val="21"/>
        </w:rPr>
        <w:t>月</w:t>
      </w:r>
      <w:r>
        <w:rPr>
          <w:rFonts w:ascii="Times New Roman" w:hAnsi="Times New Roman" w:cs="Times New Roman"/>
          <w:color w:val="auto"/>
          <w:sz w:val="21"/>
          <w:szCs w:val="21"/>
        </w:rPr>
        <w:t>6</w:t>
      </w:r>
      <w:r>
        <w:rPr>
          <w:rFonts w:hint="eastAsia" w:ascii="Times New Roman" w:cs="Times New Roman"/>
          <w:color w:val="auto"/>
          <w:sz w:val="21"/>
          <w:szCs w:val="21"/>
        </w:rPr>
        <w:t>日至</w:t>
      </w:r>
      <w:r>
        <w:rPr>
          <w:rFonts w:ascii="Times New Roman" w:hAnsi="Times New Roman" w:cs="Times New Roman"/>
          <w:color w:val="auto"/>
          <w:sz w:val="21"/>
          <w:szCs w:val="21"/>
        </w:rPr>
        <w:t>7</w:t>
      </w:r>
      <w:r>
        <w:rPr>
          <w:rFonts w:hint="eastAsia" w:ascii="Times New Roman" w:cs="Times New Roman"/>
          <w:color w:val="auto"/>
          <w:sz w:val="21"/>
          <w:szCs w:val="21"/>
        </w:rPr>
        <w:t>日</w:t>
      </w:r>
      <w:r>
        <w:rPr>
          <w:rFonts w:ascii="Times New Roman" w:hAnsi="Times New Roman" w:cs="Times New Roman"/>
          <w:color w:val="auto"/>
          <w:sz w:val="21"/>
          <w:szCs w:val="21"/>
        </w:rPr>
        <w:t xml:space="preserve"> - TSB</w:t>
      </w:r>
      <w:r>
        <w:rPr>
          <w:rFonts w:hint="eastAsia" w:ascii="Times New Roman" w:cs="Times New Roman"/>
          <w:color w:val="auto"/>
          <w:sz w:val="21"/>
          <w:szCs w:val="21"/>
        </w:rPr>
        <w:t>咨询委员会第二次会议：</w:t>
      </w:r>
      <w:r>
        <w:rPr>
          <w:rFonts w:ascii="Times New Roman" w:hAnsi="Times New Roman" w:cs="Times New Roman"/>
          <w:color w:val="auto"/>
          <w:sz w:val="21"/>
          <w:szCs w:val="21"/>
        </w:rPr>
        <w:t>1</w:t>
      </w:r>
      <w:r>
        <w:rPr>
          <w:rFonts w:hint="eastAsia" w:ascii="Times New Roman" w:cs="Times New Roman"/>
          <w:color w:val="auto"/>
          <w:sz w:val="21"/>
          <w:szCs w:val="21"/>
        </w:rPr>
        <w:t>）考虑到其所谓的临床益处以及替代产品的适用性，评估加工后人类硬膜作为外科用植入物对</w:t>
      </w:r>
      <w:r>
        <w:rPr>
          <w:rFonts w:ascii="Times New Roman" w:hAnsi="Times New Roman" w:cs="Times New Roman"/>
          <w:color w:val="auto"/>
          <w:sz w:val="21"/>
          <w:szCs w:val="21"/>
        </w:rPr>
        <w:t>CJD</w:t>
      </w:r>
      <w:r>
        <w:rPr>
          <w:rFonts w:hint="eastAsia" w:ascii="Times New Roman" w:cs="Times New Roman"/>
          <w:color w:val="auto"/>
          <w:sz w:val="21"/>
          <w:szCs w:val="21"/>
        </w:rPr>
        <w:t>传播风险的安全性；和</w:t>
      </w:r>
      <w:r>
        <w:rPr>
          <w:rFonts w:ascii="Times New Roman" w:hAnsi="Times New Roman" w:cs="Times New Roman"/>
          <w:color w:val="auto"/>
          <w:sz w:val="21"/>
          <w:szCs w:val="21"/>
        </w:rPr>
        <w:t>2</w:t>
      </w:r>
      <w:r>
        <w:rPr>
          <w:rFonts w:hint="eastAsia" w:ascii="Times New Roman" w:cs="Times New Roman"/>
          <w:color w:val="auto"/>
          <w:sz w:val="21"/>
          <w:szCs w:val="21"/>
        </w:rPr>
        <w:t>）考虑</w:t>
      </w:r>
      <w:r>
        <w:rPr>
          <w:rFonts w:ascii="Times New Roman" w:hAnsi="Times New Roman" w:cs="Times New Roman"/>
          <w:color w:val="auto"/>
          <w:sz w:val="21"/>
          <w:szCs w:val="21"/>
        </w:rPr>
        <w:t>FDA</w:t>
      </w:r>
      <w:r>
        <w:rPr>
          <w:rFonts w:hint="eastAsia" w:ascii="Times New Roman" w:cs="Times New Roman"/>
          <w:color w:val="auto"/>
          <w:sz w:val="21"/>
          <w:szCs w:val="21"/>
        </w:rPr>
        <w:t>对</w:t>
      </w:r>
      <w:r>
        <w:rPr>
          <w:rFonts w:ascii="Times New Roman" w:hAnsi="Times New Roman" w:cs="Times New Roman"/>
          <w:color w:val="auto"/>
          <w:sz w:val="21"/>
          <w:szCs w:val="21"/>
        </w:rPr>
        <w:t>TSE</w:t>
      </w:r>
      <w:r>
        <w:rPr>
          <w:rFonts w:hint="eastAsia" w:ascii="Times New Roman" w:cs="Times New Roman"/>
          <w:color w:val="auto"/>
          <w:sz w:val="21"/>
          <w:szCs w:val="21"/>
        </w:rPr>
        <w:t>牵连的</w:t>
      </w:r>
      <w:r>
        <w:rPr>
          <w:rFonts w:ascii="Times New Roman" w:hAnsi="Times New Roman" w:cs="Times New Roman"/>
          <w:color w:val="auto"/>
          <w:sz w:val="21"/>
          <w:szCs w:val="21"/>
        </w:rPr>
        <w:t>“</w:t>
      </w:r>
      <w:r>
        <w:rPr>
          <w:rFonts w:hint="eastAsia" w:ascii="Times New Roman" w:cs="Times New Roman"/>
          <w:color w:val="auto"/>
          <w:sz w:val="21"/>
          <w:szCs w:val="21"/>
        </w:rPr>
        <w:t>次生</w:t>
      </w:r>
      <w:r>
        <w:rPr>
          <w:rFonts w:ascii="Times New Roman" w:hAnsi="Times New Roman" w:cs="Times New Roman"/>
          <w:color w:val="auto"/>
          <w:sz w:val="21"/>
          <w:szCs w:val="21"/>
        </w:rPr>
        <w:t>”</w:t>
      </w:r>
      <w:r>
        <w:rPr>
          <w:rFonts w:hint="eastAsia" w:ascii="Times New Roman" w:cs="Times New Roman"/>
          <w:color w:val="auto"/>
          <w:sz w:val="21"/>
          <w:szCs w:val="21"/>
        </w:rPr>
        <w:t>产品采取的适当行动</w:t>
      </w:r>
      <w:r>
        <w:rPr>
          <w:rFonts w:ascii="Times New Roman" w:hAnsi="Times New Roman" w:cs="Times New Roman"/>
          <w:color w:val="auto"/>
          <w:sz w:val="21"/>
          <w:szCs w:val="21"/>
        </w:rPr>
        <w:t xml:space="preserve"> - </w:t>
      </w:r>
      <w:r>
        <w:rPr>
          <w:rFonts w:hint="eastAsia" w:ascii="Times New Roman" w:cs="Times New Roman"/>
          <w:color w:val="auto"/>
          <w:sz w:val="21"/>
          <w:szCs w:val="21"/>
        </w:rPr>
        <w:t>这些产品指的是，在撤回之前，受</w:t>
      </w:r>
      <w:r>
        <w:rPr>
          <w:rFonts w:ascii="Times New Roman" w:hAnsi="Times New Roman" w:cs="Times New Roman"/>
          <w:color w:val="auto"/>
          <w:sz w:val="21"/>
          <w:szCs w:val="21"/>
        </w:rPr>
        <w:t>TSE</w:t>
      </w:r>
      <w:r>
        <w:rPr>
          <w:rFonts w:hint="eastAsia" w:ascii="Times New Roman" w:cs="Times New Roman"/>
          <w:color w:val="auto"/>
          <w:sz w:val="21"/>
          <w:szCs w:val="21"/>
        </w:rPr>
        <w:t>牵连的血浆衍生物在生产过程中用作赋形剂或试剂</w:t>
      </w:r>
    </w:p>
    <w:p w14:paraId="4AE5B741">
      <w:pPr>
        <w:adjustRightInd w:val="0"/>
        <w:snapToGrid w:val="0"/>
        <w:spacing w:beforeLines="50" w:line="360" w:lineRule="auto"/>
        <w:ind w:left="420" w:hanging="420" w:hangingChars="200"/>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Times New Roman" w:cs="Times New Roman"/>
          <w:color w:val="auto"/>
          <w:sz w:val="21"/>
          <w:szCs w:val="21"/>
        </w:rPr>
        <w:t>1997</w:t>
      </w:r>
      <w:r>
        <w:rPr>
          <w:rFonts w:hint="eastAsia" w:ascii="Times New Roman" w:cs="Times New Roman"/>
          <w:color w:val="auto"/>
          <w:sz w:val="21"/>
          <w:szCs w:val="21"/>
        </w:rPr>
        <w:t>年</w:t>
      </w:r>
      <w:r>
        <w:rPr>
          <w:rFonts w:ascii="Times New Roman" w:hAnsi="Times New Roman" w:cs="Times New Roman"/>
          <w:color w:val="auto"/>
          <w:sz w:val="21"/>
          <w:szCs w:val="21"/>
        </w:rPr>
        <w:t>10</w:t>
      </w:r>
      <w:r>
        <w:rPr>
          <w:rFonts w:hint="eastAsia" w:ascii="Times New Roman" w:cs="Times New Roman"/>
          <w:color w:val="auto"/>
          <w:sz w:val="21"/>
          <w:szCs w:val="21"/>
        </w:rPr>
        <w:t>月</w:t>
      </w:r>
      <w:r>
        <w:rPr>
          <w:rFonts w:ascii="Times New Roman" w:hAnsi="Times New Roman" w:cs="Times New Roman"/>
          <w:color w:val="auto"/>
          <w:sz w:val="21"/>
          <w:szCs w:val="21"/>
        </w:rPr>
        <w:t>7</w:t>
      </w:r>
      <w:r>
        <w:rPr>
          <w:rFonts w:hint="eastAsia" w:ascii="Times New Roman" w:cs="Times New Roman"/>
          <w:color w:val="auto"/>
          <w:sz w:val="21"/>
          <w:szCs w:val="21"/>
        </w:rPr>
        <w:t>日</w:t>
      </w:r>
      <w:r>
        <w:rPr>
          <w:rFonts w:ascii="Times New Roman" w:hAnsi="Times New Roman" w:cs="Times New Roman"/>
          <w:color w:val="auto"/>
          <w:sz w:val="21"/>
          <w:szCs w:val="21"/>
        </w:rPr>
        <w:t xml:space="preserve"> - FDA</w:t>
      </w:r>
      <w:r>
        <w:rPr>
          <w:rFonts w:hint="eastAsia" w:ascii="Times New Roman" w:cs="Times New Roman"/>
          <w:color w:val="auto"/>
          <w:sz w:val="21"/>
          <w:szCs w:val="21"/>
        </w:rPr>
        <w:t>发布</w:t>
      </w:r>
      <w:r>
        <w:rPr>
          <w:rFonts w:ascii="Times New Roman" w:hAnsi="Times New Roman" w:cs="Times New Roman"/>
          <w:color w:val="auto"/>
          <w:sz w:val="21"/>
          <w:szCs w:val="21"/>
        </w:rPr>
        <w:t>“</w:t>
      </w:r>
      <w:r>
        <w:rPr>
          <w:rFonts w:hint="eastAsia" w:ascii="Times New Roman" w:cs="Times New Roman"/>
          <w:color w:val="auto"/>
          <w:sz w:val="21"/>
          <w:szCs w:val="21"/>
        </w:rPr>
        <w:t>行业指南</w:t>
      </w:r>
      <w:r>
        <w:rPr>
          <w:rFonts w:ascii="Times New Roman" w:hAnsi="Times New Roman" w:cs="Times New Roman"/>
          <w:color w:val="auto"/>
          <w:sz w:val="21"/>
          <w:szCs w:val="21"/>
        </w:rPr>
        <w:t>”</w:t>
      </w:r>
      <w:r>
        <w:rPr>
          <w:rFonts w:hint="eastAsia" w:ascii="Times New Roman" w:cs="Times New Roman"/>
          <w:color w:val="auto"/>
          <w:sz w:val="21"/>
          <w:szCs w:val="21"/>
        </w:rPr>
        <w:t>。</w:t>
      </w:r>
      <w:r>
        <w:rPr>
          <w:rFonts w:ascii="Times New Roman" w:hAnsi="Times New Roman" w:cs="Times New Roman"/>
          <w:color w:val="auto"/>
          <w:sz w:val="21"/>
          <w:szCs w:val="21"/>
        </w:rPr>
        <w:t>“</w:t>
      </w:r>
      <w:r>
        <w:rPr>
          <w:rFonts w:hint="eastAsia" w:ascii="Times New Roman" w:cs="Times New Roman"/>
          <w:color w:val="auto"/>
          <w:sz w:val="21"/>
          <w:szCs w:val="21"/>
        </w:rPr>
        <w:t>明胶的采购和加工，以降低</w:t>
      </w:r>
      <w:r>
        <w:rPr>
          <w:rFonts w:ascii="Times New Roman" w:hAnsi="Times New Roman" w:cs="Times New Roman"/>
          <w:color w:val="auto"/>
          <w:sz w:val="21"/>
          <w:szCs w:val="21"/>
        </w:rPr>
        <w:t>FDA</w:t>
      </w:r>
      <w:r>
        <w:rPr>
          <w:rFonts w:hint="eastAsia" w:ascii="Times New Roman" w:cs="Times New Roman"/>
          <w:color w:val="auto"/>
          <w:sz w:val="21"/>
          <w:szCs w:val="21"/>
        </w:rPr>
        <w:t>监管产品中的</w:t>
      </w:r>
      <w:r>
        <w:rPr>
          <w:rFonts w:ascii="Times New Roman" w:hAnsi="Times New Roman" w:cs="Times New Roman"/>
          <w:color w:val="auto"/>
          <w:sz w:val="21"/>
          <w:szCs w:val="21"/>
        </w:rPr>
        <w:t>BSE</w:t>
      </w:r>
      <w:r>
        <w:rPr>
          <w:rFonts w:hint="eastAsia" w:ascii="Times New Roman" w:cs="Times New Roman"/>
          <w:color w:val="auto"/>
          <w:sz w:val="21"/>
          <w:szCs w:val="21"/>
        </w:rPr>
        <w:t>潜在风险</w:t>
      </w:r>
      <w:r>
        <w:rPr>
          <w:rFonts w:ascii="Times New Roman" w:hAnsi="Times New Roman" w:cs="Times New Roman"/>
          <w:color w:val="auto"/>
          <w:sz w:val="21"/>
          <w:szCs w:val="21"/>
        </w:rPr>
        <w:t>”</w:t>
      </w:r>
    </w:p>
    <w:p w14:paraId="6E59B58C">
      <w:pPr>
        <w:adjustRightInd w:val="0"/>
        <w:snapToGrid w:val="0"/>
        <w:spacing w:beforeLines="50" w:line="360" w:lineRule="auto"/>
        <w:ind w:left="420" w:hanging="420" w:hangingChars="200"/>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Times New Roman" w:cs="Times New Roman"/>
          <w:color w:val="auto"/>
          <w:sz w:val="21"/>
          <w:szCs w:val="21"/>
        </w:rPr>
        <w:t>1998</w:t>
      </w:r>
      <w:r>
        <w:rPr>
          <w:rFonts w:hint="eastAsia" w:ascii="Times New Roman" w:cs="Times New Roman"/>
          <w:color w:val="auto"/>
          <w:sz w:val="21"/>
          <w:szCs w:val="21"/>
        </w:rPr>
        <w:t>年</w:t>
      </w:r>
      <w:r>
        <w:rPr>
          <w:rFonts w:ascii="Times New Roman" w:hAnsi="Times New Roman" w:cs="Times New Roman"/>
          <w:color w:val="auto"/>
          <w:sz w:val="21"/>
          <w:szCs w:val="21"/>
        </w:rPr>
        <w:t>4</w:t>
      </w:r>
      <w:r>
        <w:rPr>
          <w:rFonts w:hint="eastAsia" w:ascii="Times New Roman" w:cs="Times New Roman"/>
          <w:color w:val="auto"/>
          <w:sz w:val="21"/>
          <w:szCs w:val="21"/>
        </w:rPr>
        <w:t>月</w:t>
      </w:r>
      <w:r>
        <w:rPr>
          <w:rFonts w:ascii="Times New Roman" w:hAnsi="Times New Roman" w:cs="Times New Roman"/>
          <w:color w:val="auto"/>
          <w:sz w:val="21"/>
          <w:szCs w:val="21"/>
        </w:rPr>
        <w:t>15</w:t>
      </w:r>
      <w:r>
        <w:rPr>
          <w:rFonts w:hint="eastAsia" w:ascii="Times New Roman" w:cs="Times New Roman"/>
          <w:color w:val="auto"/>
          <w:sz w:val="21"/>
          <w:szCs w:val="21"/>
        </w:rPr>
        <w:t>日至</w:t>
      </w:r>
      <w:r>
        <w:rPr>
          <w:rFonts w:ascii="Times New Roman" w:hAnsi="Times New Roman" w:cs="Times New Roman"/>
          <w:color w:val="auto"/>
          <w:sz w:val="21"/>
          <w:szCs w:val="21"/>
        </w:rPr>
        <w:t>16</w:t>
      </w:r>
      <w:r>
        <w:rPr>
          <w:rFonts w:hint="eastAsia" w:ascii="Times New Roman" w:cs="Times New Roman"/>
          <w:color w:val="auto"/>
          <w:sz w:val="21"/>
          <w:szCs w:val="21"/>
        </w:rPr>
        <w:t>日</w:t>
      </w:r>
      <w:r>
        <w:rPr>
          <w:rFonts w:ascii="Times New Roman" w:hAnsi="Times New Roman" w:cs="Times New Roman"/>
          <w:color w:val="auto"/>
          <w:sz w:val="21"/>
          <w:szCs w:val="21"/>
        </w:rPr>
        <w:t xml:space="preserve"> - TSE</w:t>
      </w:r>
      <w:r>
        <w:rPr>
          <w:rFonts w:hint="eastAsia" w:ascii="Times New Roman" w:cs="Times New Roman"/>
          <w:color w:val="auto"/>
          <w:sz w:val="21"/>
          <w:szCs w:val="21"/>
        </w:rPr>
        <w:t>咨询委员会第三次会议：</w:t>
      </w:r>
      <w:r>
        <w:rPr>
          <w:rFonts w:ascii="Times New Roman" w:hAnsi="Times New Roman" w:cs="Times New Roman"/>
          <w:color w:val="auto"/>
          <w:sz w:val="21"/>
          <w:szCs w:val="21"/>
        </w:rPr>
        <w:t>1</w:t>
      </w:r>
      <w:r>
        <w:rPr>
          <w:rFonts w:hint="eastAsia" w:ascii="Times New Roman" w:cs="Times New Roman"/>
          <w:color w:val="auto"/>
          <w:sz w:val="21"/>
          <w:szCs w:val="21"/>
        </w:rPr>
        <w:t>）评估进口和国产牛油和牛油衍生物在</w:t>
      </w:r>
      <w:r>
        <w:rPr>
          <w:rFonts w:ascii="Times New Roman" w:hAnsi="Times New Roman" w:cs="Times New Roman"/>
          <w:color w:val="auto"/>
          <w:sz w:val="21"/>
          <w:szCs w:val="21"/>
        </w:rPr>
        <w:t>TSE</w:t>
      </w:r>
      <w:r>
        <w:rPr>
          <w:rFonts w:hint="eastAsia" w:ascii="Times New Roman" w:cs="Times New Roman"/>
          <w:color w:val="auto"/>
          <w:sz w:val="21"/>
          <w:szCs w:val="21"/>
        </w:rPr>
        <w:t>（特别是</w:t>
      </w:r>
      <w:r>
        <w:rPr>
          <w:rFonts w:ascii="Times New Roman" w:hAnsi="Times New Roman" w:cs="Times New Roman"/>
          <w:color w:val="auto"/>
          <w:sz w:val="21"/>
          <w:szCs w:val="21"/>
        </w:rPr>
        <w:t>BSE</w:t>
      </w:r>
      <w:r>
        <w:rPr>
          <w:rFonts w:hint="eastAsia" w:ascii="Times New Roman" w:cs="Times New Roman"/>
          <w:color w:val="auto"/>
          <w:sz w:val="21"/>
          <w:szCs w:val="21"/>
        </w:rPr>
        <w:t>）风险方面的安全性；</w:t>
      </w:r>
      <w:r>
        <w:rPr>
          <w:rFonts w:ascii="Times New Roman" w:hAnsi="Times New Roman" w:cs="Times New Roman"/>
          <w:color w:val="auto"/>
          <w:sz w:val="21"/>
          <w:szCs w:val="21"/>
        </w:rPr>
        <w:t>2</w:t>
      </w:r>
      <w:r>
        <w:rPr>
          <w:rFonts w:hint="eastAsia" w:ascii="Times New Roman" w:cs="Times New Roman"/>
          <w:color w:val="auto"/>
          <w:sz w:val="21"/>
          <w:szCs w:val="21"/>
        </w:rPr>
        <w:t>）评估来自</w:t>
      </w:r>
      <w:r>
        <w:rPr>
          <w:rFonts w:ascii="Times New Roman" w:hAnsi="Times New Roman" w:cs="Times New Roman"/>
          <w:color w:val="auto"/>
          <w:sz w:val="21"/>
          <w:szCs w:val="21"/>
        </w:rPr>
        <w:t>BSE</w:t>
      </w:r>
      <w:r>
        <w:rPr>
          <w:rFonts w:hint="eastAsia" w:ascii="Times New Roman" w:cs="Times New Roman"/>
          <w:color w:val="auto"/>
          <w:sz w:val="21"/>
          <w:szCs w:val="21"/>
        </w:rPr>
        <w:t>国家或</w:t>
      </w:r>
      <w:r>
        <w:rPr>
          <w:rFonts w:ascii="Times New Roman" w:hAnsi="Times New Roman" w:cs="Times New Roman"/>
          <w:color w:val="auto"/>
          <w:sz w:val="21"/>
          <w:szCs w:val="21"/>
        </w:rPr>
        <w:t>BSE</w:t>
      </w:r>
      <w:r>
        <w:rPr>
          <w:rFonts w:hint="eastAsia" w:ascii="Times New Roman" w:cs="Times New Roman"/>
          <w:color w:val="auto"/>
          <w:sz w:val="21"/>
          <w:szCs w:val="21"/>
        </w:rPr>
        <w:t>状态未知国家的健康牛是否是生产用于人用经口或局部用明胶时所用骨骼的安全来源，如以前所建议那样，如果牛来自</w:t>
      </w:r>
      <w:r>
        <w:rPr>
          <w:rFonts w:ascii="Times New Roman" w:hAnsi="Times New Roman" w:cs="Times New Roman"/>
          <w:color w:val="auto"/>
          <w:sz w:val="21"/>
          <w:szCs w:val="21"/>
        </w:rPr>
        <w:t>BSE-</w:t>
      </w:r>
      <w:r>
        <w:rPr>
          <w:rFonts w:hint="eastAsia" w:ascii="Times New Roman" w:cs="Times New Roman"/>
          <w:color w:val="auto"/>
          <w:sz w:val="21"/>
          <w:szCs w:val="21"/>
        </w:rPr>
        <w:t>牛群且头、脊椎和脊髓等被除去，并评估此类牛是否是生产相同目的明胶的安全来源，如之前所建议的那样，如果牛来自无</w:t>
      </w:r>
      <w:r>
        <w:rPr>
          <w:rFonts w:ascii="Times New Roman" w:hAnsi="Times New Roman" w:cs="Times New Roman"/>
          <w:color w:val="auto"/>
          <w:sz w:val="21"/>
          <w:szCs w:val="21"/>
        </w:rPr>
        <w:t>BSE</w:t>
      </w:r>
      <w:r>
        <w:rPr>
          <w:rFonts w:hint="eastAsia" w:ascii="Times New Roman" w:cs="Times New Roman"/>
          <w:color w:val="auto"/>
          <w:sz w:val="21"/>
          <w:szCs w:val="21"/>
        </w:rPr>
        <w:t>的牛群，并且避免</w:t>
      </w:r>
      <w:r>
        <w:rPr>
          <w:rFonts w:ascii="Times New Roman" w:hAnsi="Times New Roman" w:cs="Times New Roman"/>
          <w:color w:val="auto"/>
          <w:sz w:val="21"/>
          <w:szCs w:val="21"/>
        </w:rPr>
        <w:t>CNS</w:t>
      </w:r>
      <w:r>
        <w:rPr>
          <w:rFonts w:hint="eastAsia" w:ascii="Times New Roman" w:cs="Times New Roman"/>
          <w:color w:val="auto"/>
          <w:sz w:val="21"/>
          <w:szCs w:val="21"/>
        </w:rPr>
        <w:t>组织和眼睛污染皮革；和</w:t>
      </w:r>
      <w:r>
        <w:rPr>
          <w:rFonts w:ascii="Times New Roman" w:hAnsi="Times New Roman" w:cs="Times New Roman"/>
          <w:color w:val="auto"/>
          <w:sz w:val="21"/>
          <w:szCs w:val="21"/>
        </w:rPr>
        <w:t>3</w:t>
      </w:r>
      <w:r>
        <w:rPr>
          <w:rFonts w:hint="eastAsia" w:ascii="Times New Roman" w:cs="Times New Roman"/>
          <w:color w:val="auto"/>
          <w:sz w:val="21"/>
          <w:szCs w:val="21"/>
        </w:rPr>
        <w:t>）提供关于</w:t>
      </w:r>
      <w:r>
        <w:rPr>
          <w:rFonts w:ascii="Times New Roman" w:hAnsi="Times New Roman" w:cs="Times New Roman"/>
          <w:color w:val="auto"/>
          <w:sz w:val="21"/>
          <w:szCs w:val="21"/>
        </w:rPr>
        <w:t>FDA</w:t>
      </w:r>
      <w:r>
        <w:rPr>
          <w:rFonts w:hint="eastAsia" w:ascii="Times New Roman" w:cs="Times New Roman"/>
          <w:color w:val="auto"/>
          <w:sz w:val="21"/>
          <w:szCs w:val="21"/>
        </w:rPr>
        <w:t>针对人类硬膜问题提出行动方案的评论，包括</w:t>
      </w:r>
      <w:r>
        <w:rPr>
          <w:rFonts w:ascii="Times New Roman" w:hAnsi="Times New Roman" w:cs="Times New Roman"/>
          <w:color w:val="auto"/>
          <w:sz w:val="21"/>
          <w:szCs w:val="21"/>
        </w:rPr>
        <w:t>FDA</w:t>
      </w:r>
      <w:r>
        <w:rPr>
          <w:rFonts w:hint="eastAsia" w:ascii="Times New Roman" w:cs="Times New Roman"/>
          <w:color w:val="auto"/>
          <w:sz w:val="21"/>
          <w:szCs w:val="21"/>
        </w:rPr>
        <w:t>关于联邦公报上公布致给硬脑膜生产商信函的考虑。</w:t>
      </w:r>
    </w:p>
    <w:p w14:paraId="1D65DAEB">
      <w:pPr>
        <w:adjustRightInd w:val="0"/>
        <w:snapToGrid w:val="0"/>
        <w:spacing w:beforeLines="50" w:line="360" w:lineRule="auto"/>
        <w:ind w:left="420" w:hanging="420" w:hangingChars="200"/>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Times New Roman" w:cs="Times New Roman"/>
          <w:color w:val="auto"/>
          <w:sz w:val="21"/>
          <w:szCs w:val="21"/>
        </w:rPr>
        <w:t>1998</w:t>
      </w:r>
      <w:r>
        <w:rPr>
          <w:rFonts w:hint="eastAsia" w:ascii="Times New Roman" w:cs="Times New Roman"/>
          <w:color w:val="auto"/>
          <w:sz w:val="21"/>
          <w:szCs w:val="21"/>
        </w:rPr>
        <w:t>年</w:t>
      </w:r>
      <w:r>
        <w:rPr>
          <w:rFonts w:ascii="Times New Roman" w:hAnsi="Times New Roman" w:cs="Times New Roman"/>
          <w:color w:val="auto"/>
          <w:sz w:val="21"/>
          <w:szCs w:val="21"/>
        </w:rPr>
        <w:t>6</w:t>
      </w:r>
      <w:r>
        <w:rPr>
          <w:rFonts w:hint="eastAsia" w:ascii="Times New Roman" w:cs="Times New Roman"/>
          <w:color w:val="auto"/>
          <w:sz w:val="21"/>
          <w:szCs w:val="21"/>
        </w:rPr>
        <w:t>月</w:t>
      </w:r>
      <w:r>
        <w:rPr>
          <w:rFonts w:ascii="Times New Roman" w:hAnsi="Times New Roman" w:cs="Times New Roman"/>
          <w:color w:val="auto"/>
          <w:sz w:val="21"/>
          <w:szCs w:val="21"/>
        </w:rPr>
        <w:t>8</w:t>
      </w:r>
      <w:r>
        <w:rPr>
          <w:rFonts w:hint="eastAsia" w:ascii="Times New Roman" w:cs="Times New Roman"/>
          <w:color w:val="auto"/>
          <w:sz w:val="21"/>
          <w:szCs w:val="21"/>
        </w:rPr>
        <w:t>日至</w:t>
      </w:r>
      <w:r>
        <w:rPr>
          <w:rFonts w:ascii="Times New Roman" w:hAnsi="Times New Roman" w:cs="Times New Roman"/>
          <w:color w:val="auto"/>
          <w:sz w:val="21"/>
          <w:szCs w:val="21"/>
        </w:rPr>
        <w:t>9</w:t>
      </w:r>
      <w:r>
        <w:rPr>
          <w:rFonts w:hint="eastAsia" w:ascii="Times New Roman" w:cs="Times New Roman"/>
          <w:color w:val="auto"/>
          <w:sz w:val="21"/>
          <w:szCs w:val="21"/>
        </w:rPr>
        <w:t>日</w:t>
      </w:r>
      <w:r>
        <w:rPr>
          <w:rFonts w:ascii="Times New Roman" w:hAnsi="Times New Roman" w:cs="Times New Roman"/>
          <w:color w:val="auto"/>
          <w:sz w:val="21"/>
          <w:szCs w:val="21"/>
        </w:rPr>
        <w:t xml:space="preserve"> - FDA</w:t>
      </w:r>
      <w:r>
        <w:rPr>
          <w:rFonts w:hint="eastAsia" w:ascii="Times New Roman" w:cs="Times New Roman"/>
          <w:color w:val="auto"/>
          <w:sz w:val="21"/>
          <w:szCs w:val="21"/>
        </w:rPr>
        <w:t>与马里兰大学合作的食品安全和应用营养联合研究所（</w:t>
      </w:r>
      <w:r>
        <w:rPr>
          <w:rFonts w:ascii="Times New Roman" w:hAnsi="Times New Roman" w:cs="Times New Roman"/>
          <w:color w:val="auto"/>
          <w:sz w:val="21"/>
          <w:szCs w:val="21"/>
        </w:rPr>
        <w:t>JIFSAN</w:t>
      </w:r>
      <w:r>
        <w:rPr>
          <w:rFonts w:hint="eastAsia" w:ascii="Times New Roman" w:cs="Times New Roman"/>
          <w:color w:val="auto"/>
          <w:sz w:val="21"/>
          <w:szCs w:val="21"/>
        </w:rPr>
        <w:t>）举办了</w:t>
      </w:r>
      <w:r>
        <w:rPr>
          <w:rFonts w:ascii="Times New Roman" w:hAnsi="Times New Roman" w:cs="Times New Roman"/>
          <w:color w:val="auto"/>
          <w:sz w:val="21"/>
          <w:szCs w:val="21"/>
        </w:rPr>
        <w:t>“</w:t>
      </w:r>
      <w:r>
        <w:rPr>
          <w:rFonts w:hint="eastAsia" w:ascii="Times New Roman" w:cs="Times New Roman"/>
          <w:color w:val="auto"/>
          <w:sz w:val="21"/>
          <w:szCs w:val="21"/>
        </w:rPr>
        <w:t>源材料、加工和产品最终使用中</w:t>
      </w:r>
      <w:r>
        <w:rPr>
          <w:rFonts w:ascii="Times New Roman" w:hAnsi="Times New Roman" w:cs="Times New Roman"/>
          <w:color w:val="auto"/>
          <w:sz w:val="21"/>
          <w:szCs w:val="21"/>
        </w:rPr>
        <w:t>TSE</w:t>
      </w:r>
      <w:r>
        <w:rPr>
          <w:rFonts w:hint="eastAsia" w:ascii="Times New Roman" w:cs="Times New Roman"/>
          <w:color w:val="auto"/>
          <w:sz w:val="21"/>
          <w:szCs w:val="21"/>
        </w:rPr>
        <w:t>风险的研讨会</w:t>
      </w:r>
      <w:r>
        <w:rPr>
          <w:rFonts w:ascii="Times New Roman" w:hAnsi="Times New Roman" w:cs="Times New Roman"/>
          <w:color w:val="auto"/>
          <w:sz w:val="21"/>
          <w:szCs w:val="21"/>
        </w:rPr>
        <w:t>”</w:t>
      </w:r>
      <w:r>
        <w:rPr>
          <w:rFonts w:hint="eastAsia" w:ascii="Times New Roman" w:cs="Times New Roman"/>
          <w:color w:val="auto"/>
          <w:sz w:val="21"/>
          <w:szCs w:val="21"/>
        </w:rPr>
        <w:t>。研讨会成果包括材料采购、材料加工和产品最终使用的关键要素草案，是制定与这些主题相关实用指导原则框架的第一步。</w:t>
      </w:r>
    </w:p>
    <w:p w14:paraId="20433C6C">
      <w:pPr>
        <w:adjustRightInd w:val="0"/>
        <w:snapToGrid w:val="0"/>
        <w:spacing w:line="360" w:lineRule="auto"/>
        <w:jc w:val="both"/>
        <w:outlineLvl w:val="0"/>
        <w:rPr>
          <w:rFonts w:ascii="Times New Roman" w:hAnsi="Times New Roman" w:cs="Times New Roman"/>
          <w:b/>
          <w:color w:val="auto"/>
          <w:sz w:val="21"/>
          <w:szCs w:val="21"/>
        </w:rPr>
      </w:pPr>
      <w:r>
        <w:rPr>
          <w:rFonts w:ascii="Times New Roman" w:hAnsi="Times New Roman" w:cs="Times New Roman"/>
          <w:color w:val="auto"/>
          <w:sz w:val="21"/>
          <w:szCs w:val="21"/>
        </w:rPr>
        <w:br w:type="page"/>
      </w:r>
      <w:bookmarkStart w:id="7" w:name="bookmark13"/>
      <w:r>
        <w:rPr>
          <w:rFonts w:hint="eastAsia" w:ascii="Times New Roman" w:cs="Times New Roman"/>
          <w:b/>
          <w:color w:val="auto"/>
          <w:sz w:val="21"/>
          <w:szCs w:val="21"/>
        </w:rPr>
        <w:t>附件</w:t>
      </w:r>
      <w:r>
        <w:rPr>
          <w:rFonts w:ascii="Times New Roman" w:hAnsi="Times New Roman" w:cs="Times New Roman"/>
          <w:b/>
          <w:color w:val="auto"/>
          <w:sz w:val="21"/>
          <w:szCs w:val="21"/>
        </w:rPr>
        <w:t>4</w:t>
      </w:r>
    </w:p>
    <w:p w14:paraId="53968FF9">
      <w:pPr>
        <w:adjustRightInd w:val="0"/>
        <w:snapToGrid w:val="0"/>
        <w:spacing w:line="360" w:lineRule="auto"/>
        <w:jc w:val="center"/>
        <w:outlineLvl w:val="0"/>
        <w:rPr>
          <w:rFonts w:ascii="Times New Roman" w:hAnsi="Times New Roman" w:cs="Times New Roman"/>
          <w:b/>
          <w:color w:val="auto"/>
          <w:sz w:val="18"/>
          <w:szCs w:val="18"/>
          <w:shd w:val="clear" w:color="auto" w:fill="0C0C0C"/>
        </w:rPr>
      </w:pPr>
      <w:r>
        <w:rPr>
          <w:rFonts w:hint="eastAsia" w:ascii="Times New Roman" w:cs="Times New Roman"/>
          <w:b/>
          <w:color w:val="auto"/>
          <w:sz w:val="18"/>
          <w:szCs w:val="18"/>
          <w:shd w:val="clear" w:color="auto" w:fill="0C0C0C"/>
        </w:rPr>
        <w:t>美国食品药品管理局</w:t>
      </w:r>
    </w:p>
    <w:p w14:paraId="29865412">
      <w:pPr>
        <w:adjustRightInd w:val="0"/>
        <w:snapToGrid w:val="0"/>
        <w:spacing w:beforeLines="50" w:line="360" w:lineRule="auto"/>
        <w:jc w:val="center"/>
        <w:outlineLvl w:val="0"/>
        <w:rPr>
          <w:rFonts w:ascii="Times New Roman" w:hAnsi="Times New Roman" w:cs="Times New Roman"/>
          <w:b/>
          <w:color w:val="auto"/>
          <w:sz w:val="36"/>
          <w:szCs w:val="36"/>
        </w:rPr>
      </w:pPr>
      <w:r>
        <w:rPr>
          <w:rFonts w:hint="eastAsia" w:ascii="Times New Roman" w:cs="Times New Roman"/>
          <w:b/>
          <w:color w:val="auto"/>
          <w:sz w:val="36"/>
          <w:szCs w:val="36"/>
        </w:rPr>
        <w:t>行业指</w:t>
      </w:r>
      <w:bookmarkEnd w:id="7"/>
      <w:r>
        <w:rPr>
          <w:rFonts w:hint="eastAsia" w:ascii="Times New Roman" w:cs="Times New Roman"/>
          <w:b/>
          <w:color w:val="auto"/>
          <w:sz w:val="36"/>
          <w:szCs w:val="36"/>
        </w:rPr>
        <w:t>南</w:t>
      </w:r>
    </w:p>
    <w:p w14:paraId="3F4C4BDE">
      <w:pPr>
        <w:adjustRightInd w:val="0"/>
        <w:snapToGrid w:val="0"/>
        <w:spacing w:beforeLines="50" w:line="360" w:lineRule="auto"/>
        <w:jc w:val="center"/>
        <w:rPr>
          <w:rFonts w:ascii="Times New Roman" w:hAnsi="Times New Roman" w:cs="Times New Roman"/>
          <w:color w:val="auto"/>
          <w:sz w:val="28"/>
          <w:szCs w:val="28"/>
        </w:rPr>
      </w:pPr>
      <w:bookmarkStart w:id="8" w:name="bookmark14"/>
      <w:r>
        <w:rPr>
          <w:rFonts w:hint="eastAsia" w:ascii="Times New Roman" w:cs="Times New Roman"/>
          <w:color w:val="auto"/>
          <w:sz w:val="28"/>
          <w:szCs w:val="28"/>
        </w:rPr>
        <w:t>在明胶的采购和加工中降低</w:t>
      </w:r>
      <w:r>
        <w:rPr>
          <w:rFonts w:ascii="Times New Roman" w:hAnsi="Times New Roman" w:cs="Times New Roman"/>
          <w:color w:val="auto"/>
          <w:sz w:val="28"/>
          <w:szCs w:val="28"/>
        </w:rPr>
        <w:t>FDA</w:t>
      </w:r>
      <w:r>
        <w:rPr>
          <w:rFonts w:hint="eastAsia" w:ascii="Times New Roman" w:cs="Times New Roman"/>
          <w:color w:val="auto"/>
          <w:sz w:val="28"/>
          <w:szCs w:val="28"/>
        </w:rPr>
        <w:t>监管产品中的牛海绵状脑病（</w:t>
      </w:r>
      <w:r>
        <w:rPr>
          <w:rFonts w:ascii="Times New Roman" w:hAnsi="Times New Roman" w:cs="Times New Roman"/>
          <w:color w:val="auto"/>
          <w:sz w:val="28"/>
          <w:szCs w:val="28"/>
        </w:rPr>
        <w:t>BSE</w:t>
      </w:r>
      <w:r>
        <w:rPr>
          <w:rFonts w:hint="eastAsia" w:ascii="Times New Roman" w:cs="Times New Roman"/>
          <w:color w:val="auto"/>
          <w:sz w:val="28"/>
          <w:szCs w:val="28"/>
        </w:rPr>
        <w:t>）潜在风险</w:t>
      </w:r>
      <w:bookmarkEnd w:id="8"/>
    </w:p>
    <w:p w14:paraId="623F345A">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关于本文件的意见和建议应在</w:t>
      </w:r>
      <w:r>
        <w:rPr>
          <w:rFonts w:ascii="Times New Roman" w:hAnsi="Times New Roman" w:cs="Times New Roman"/>
          <w:color w:val="auto"/>
          <w:sz w:val="21"/>
          <w:szCs w:val="21"/>
        </w:rPr>
        <w:t>1997</w:t>
      </w:r>
      <w:r>
        <w:rPr>
          <w:rFonts w:hint="eastAsia" w:ascii="Times New Roman" w:cs="Times New Roman"/>
          <w:color w:val="auto"/>
          <w:sz w:val="21"/>
          <w:szCs w:val="21"/>
        </w:rPr>
        <w:t>年</w:t>
      </w:r>
      <w:r>
        <w:rPr>
          <w:rFonts w:ascii="Times New Roman" w:hAnsi="Times New Roman" w:cs="Times New Roman"/>
          <w:color w:val="auto"/>
          <w:sz w:val="21"/>
          <w:szCs w:val="21"/>
        </w:rPr>
        <w:t>12</w:t>
      </w:r>
      <w:r>
        <w:rPr>
          <w:rFonts w:hint="eastAsia" w:ascii="Times New Roman" w:cs="Times New Roman"/>
          <w:color w:val="auto"/>
          <w:sz w:val="21"/>
          <w:szCs w:val="21"/>
        </w:rPr>
        <w:t>月</w:t>
      </w:r>
      <w:r>
        <w:rPr>
          <w:rFonts w:ascii="Times New Roman" w:hAnsi="Times New Roman" w:cs="Times New Roman"/>
          <w:color w:val="auto"/>
          <w:sz w:val="21"/>
          <w:szCs w:val="21"/>
        </w:rPr>
        <w:t>22</w:t>
      </w:r>
      <w:r>
        <w:rPr>
          <w:rFonts w:hint="eastAsia" w:ascii="Times New Roman" w:cs="Times New Roman"/>
          <w:color w:val="auto"/>
          <w:sz w:val="21"/>
          <w:szCs w:val="21"/>
        </w:rPr>
        <w:t>日提交给备忘录编号</w:t>
      </w:r>
      <w:r>
        <w:rPr>
          <w:rFonts w:ascii="Times New Roman" w:hAnsi="Times New Roman" w:cs="Times New Roman"/>
          <w:color w:val="auto"/>
          <w:sz w:val="21"/>
          <w:szCs w:val="21"/>
        </w:rPr>
        <w:t>97D-0411</w:t>
      </w:r>
      <w:r>
        <w:rPr>
          <w:rFonts w:hint="eastAsia" w:ascii="Times New Roman" w:cs="Times New Roman"/>
          <w:color w:val="auto"/>
          <w:sz w:val="21"/>
          <w:szCs w:val="21"/>
        </w:rPr>
        <w:t>，备案录管理处（</w:t>
      </w:r>
      <w:r>
        <w:rPr>
          <w:rFonts w:ascii="Times New Roman" w:hAnsi="Times New Roman" w:cs="Times New Roman"/>
          <w:color w:val="auto"/>
          <w:sz w:val="21"/>
          <w:szCs w:val="21"/>
        </w:rPr>
        <w:t>HFA-305</w:t>
      </w:r>
      <w:r>
        <w:rPr>
          <w:rFonts w:hint="eastAsia" w:ascii="Times New Roman" w:cs="Times New Roman"/>
          <w:color w:val="auto"/>
          <w:sz w:val="21"/>
          <w:szCs w:val="21"/>
        </w:rPr>
        <w:t>），美国食品药品管理局，地址：</w:t>
      </w:r>
      <w:r>
        <w:rPr>
          <w:rFonts w:ascii="Times New Roman" w:hAnsi="Times New Roman" w:cs="Times New Roman"/>
          <w:color w:val="auto"/>
          <w:sz w:val="21"/>
          <w:szCs w:val="21"/>
        </w:rPr>
        <w:t xml:space="preserve"> 12420 Parklawn Dr., Rm. 1-23, Rockville, MD 20857</w:t>
      </w:r>
      <w:r>
        <w:rPr>
          <w:rFonts w:hint="eastAsia" w:ascii="Times New Roman" w:cs="Times New Roman"/>
          <w:color w:val="auto"/>
          <w:sz w:val="21"/>
          <w:szCs w:val="21"/>
        </w:rPr>
        <w:t>。</w:t>
      </w:r>
    </w:p>
    <w:p w14:paraId="07EFDA76">
      <w:pPr>
        <w:adjustRightInd w:val="0"/>
        <w:snapToGrid w:val="0"/>
        <w:spacing w:beforeLines="50" w:line="360" w:lineRule="auto"/>
        <w:jc w:val="right"/>
        <w:rPr>
          <w:rFonts w:ascii="Times New Roman" w:hAnsi="Times New Roman" w:cs="Times New Roman"/>
          <w:b/>
          <w:color w:val="auto"/>
          <w:sz w:val="21"/>
          <w:szCs w:val="21"/>
        </w:rPr>
      </w:pPr>
      <w:r>
        <w:rPr>
          <w:rFonts w:hint="eastAsia" w:ascii="Times New Roman" w:cs="Times New Roman"/>
          <w:b/>
          <w:color w:val="auto"/>
          <w:sz w:val="21"/>
          <w:szCs w:val="21"/>
        </w:rPr>
        <w:t>美国卫生与人类服务部</w:t>
      </w:r>
    </w:p>
    <w:p w14:paraId="247E5483">
      <w:pPr>
        <w:adjustRightInd w:val="0"/>
        <w:snapToGrid w:val="0"/>
        <w:spacing w:beforeLines="50" w:line="360" w:lineRule="auto"/>
        <w:jc w:val="right"/>
        <w:rPr>
          <w:rFonts w:ascii="Times New Roman" w:hAnsi="Times New Roman" w:cs="Times New Roman"/>
          <w:b/>
          <w:color w:val="auto"/>
          <w:sz w:val="21"/>
          <w:szCs w:val="21"/>
        </w:rPr>
      </w:pPr>
      <w:r>
        <w:rPr>
          <w:rFonts w:hint="eastAsia" w:ascii="Times New Roman" w:cs="Times New Roman"/>
          <w:b/>
          <w:color w:val="auto"/>
          <w:sz w:val="21"/>
          <w:szCs w:val="21"/>
        </w:rPr>
        <w:t>食品药品管理局</w:t>
      </w:r>
    </w:p>
    <w:p w14:paraId="75B40ED1">
      <w:pPr>
        <w:adjustRightInd w:val="0"/>
        <w:snapToGrid w:val="0"/>
        <w:spacing w:beforeLines="50" w:line="360" w:lineRule="auto"/>
        <w:jc w:val="right"/>
        <w:rPr>
          <w:rFonts w:ascii="Times New Roman" w:hAnsi="Times New Roman" w:cs="Times New Roman"/>
          <w:color w:val="auto"/>
          <w:sz w:val="21"/>
          <w:szCs w:val="21"/>
        </w:rPr>
      </w:pPr>
      <w:r>
        <w:rPr>
          <w:rFonts w:ascii="Times New Roman" w:hAnsi="Times New Roman" w:cs="Times New Roman"/>
          <w:color w:val="auto"/>
          <w:sz w:val="21"/>
          <w:szCs w:val="21"/>
        </w:rPr>
        <w:t>1997</w:t>
      </w:r>
      <w:r>
        <w:rPr>
          <w:rFonts w:hint="eastAsia" w:ascii="Times New Roman" w:cs="Times New Roman"/>
          <w:color w:val="auto"/>
          <w:sz w:val="21"/>
          <w:szCs w:val="21"/>
        </w:rPr>
        <w:t>年</w:t>
      </w:r>
      <w:r>
        <w:rPr>
          <w:rFonts w:ascii="Times New Roman" w:hAnsi="Times New Roman" w:cs="Times New Roman"/>
          <w:color w:val="auto"/>
          <w:sz w:val="21"/>
          <w:szCs w:val="21"/>
        </w:rPr>
        <w:t>9</w:t>
      </w:r>
      <w:r>
        <w:rPr>
          <w:rFonts w:hint="eastAsia" w:ascii="Times New Roman" w:cs="Times New Roman"/>
          <w:color w:val="auto"/>
          <w:sz w:val="21"/>
          <w:szCs w:val="21"/>
        </w:rPr>
        <w:t>月</w:t>
      </w:r>
    </w:p>
    <w:p w14:paraId="4E923B6E">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u w:val="single"/>
        </w:rPr>
        <w:t>前言</w:t>
      </w:r>
      <w:r>
        <w:rPr>
          <w:rFonts w:ascii="Times New Roman" w:hAnsi="Times New Roman" w:cs="Times New Roman"/>
          <w:color w:val="auto"/>
          <w:sz w:val="21"/>
          <w:szCs w:val="21"/>
        </w:rPr>
        <w:t xml:space="preserve"> - FDA</w:t>
      </w:r>
      <w:r>
        <w:rPr>
          <w:rFonts w:hint="eastAsia" w:ascii="Times New Roman" w:cs="Times New Roman"/>
          <w:color w:val="auto"/>
          <w:sz w:val="21"/>
          <w:szCs w:val="21"/>
        </w:rPr>
        <w:t>已采用良好指南规范（</w:t>
      </w:r>
      <w:r>
        <w:rPr>
          <w:rFonts w:ascii="Times New Roman" w:hAnsi="Times New Roman" w:cs="Times New Roman"/>
          <w:color w:val="auto"/>
          <w:sz w:val="21"/>
          <w:szCs w:val="21"/>
        </w:rPr>
        <w:t>GGP</w:t>
      </w:r>
      <w:r>
        <w:rPr>
          <w:rFonts w:hint="eastAsia" w:ascii="Times New Roman" w:cs="Times New Roman"/>
          <w:color w:val="auto"/>
          <w:sz w:val="21"/>
          <w:szCs w:val="21"/>
        </w:rPr>
        <w:t>），其中规定了机构制定、发布和使用指南文件的政策和程序（</w:t>
      </w:r>
      <w:r>
        <w:rPr>
          <w:rFonts w:ascii="Times New Roman" w:hAnsi="Times New Roman" w:cs="Times New Roman"/>
          <w:color w:val="auto"/>
          <w:sz w:val="21"/>
          <w:szCs w:val="21"/>
        </w:rPr>
        <w:t>62 FR 8961</w:t>
      </w:r>
      <w:r>
        <w:rPr>
          <w:rFonts w:hint="eastAsia" w:ascii="Times New Roman" w:cs="Times New Roman"/>
          <w:color w:val="auto"/>
          <w:sz w:val="21"/>
          <w:szCs w:val="21"/>
        </w:rPr>
        <w:t>，</w:t>
      </w:r>
      <w:r>
        <w:rPr>
          <w:rFonts w:ascii="Times New Roman" w:hAnsi="Times New Roman" w:cs="Times New Roman"/>
          <w:color w:val="auto"/>
          <w:sz w:val="21"/>
          <w:szCs w:val="21"/>
        </w:rPr>
        <w:t>1997</w:t>
      </w:r>
      <w:r>
        <w:rPr>
          <w:rFonts w:hint="eastAsia" w:ascii="Times New Roman" w:cs="Times New Roman"/>
          <w:color w:val="auto"/>
          <w:sz w:val="21"/>
          <w:szCs w:val="21"/>
        </w:rPr>
        <w:t>年</w:t>
      </w:r>
      <w:r>
        <w:rPr>
          <w:rFonts w:ascii="Times New Roman" w:hAnsi="Times New Roman" w:cs="Times New Roman"/>
          <w:color w:val="auto"/>
          <w:sz w:val="21"/>
          <w:szCs w:val="21"/>
        </w:rPr>
        <w:t>2</w:t>
      </w:r>
      <w:r>
        <w:rPr>
          <w:rFonts w:hint="eastAsia" w:ascii="Times New Roman" w:cs="Times New Roman"/>
          <w:color w:val="auto"/>
          <w:sz w:val="21"/>
          <w:szCs w:val="21"/>
        </w:rPr>
        <w:t>月</w:t>
      </w:r>
      <w:r>
        <w:rPr>
          <w:rFonts w:ascii="Times New Roman" w:hAnsi="Times New Roman" w:cs="Times New Roman"/>
          <w:color w:val="auto"/>
          <w:sz w:val="21"/>
          <w:szCs w:val="21"/>
        </w:rPr>
        <w:t>27</w:t>
      </w:r>
      <w:r>
        <w:rPr>
          <w:rFonts w:hint="eastAsia" w:ascii="Times New Roman" w:cs="Times New Roman"/>
          <w:color w:val="auto"/>
          <w:sz w:val="21"/>
          <w:szCs w:val="21"/>
        </w:rPr>
        <w:t>日）。本指南作为与</w:t>
      </w:r>
      <w:r>
        <w:rPr>
          <w:rFonts w:ascii="Times New Roman" w:hAnsi="Times New Roman" w:cs="Times New Roman"/>
          <w:color w:val="auto"/>
          <w:sz w:val="21"/>
          <w:szCs w:val="21"/>
        </w:rPr>
        <w:t>GGP</w:t>
      </w:r>
      <w:r>
        <w:rPr>
          <w:rFonts w:hint="eastAsia" w:ascii="Times New Roman" w:cs="Times New Roman"/>
          <w:color w:val="auto"/>
          <w:sz w:val="21"/>
          <w:szCs w:val="21"/>
        </w:rPr>
        <w:t>保持一致的</w:t>
      </w:r>
      <w:r>
        <w:rPr>
          <w:rFonts w:ascii="Times New Roman" w:hAnsi="Times New Roman" w:cs="Times New Roman"/>
          <w:color w:val="auto"/>
          <w:sz w:val="21"/>
          <w:szCs w:val="21"/>
        </w:rPr>
        <w:t>1</w:t>
      </w:r>
      <w:r>
        <w:rPr>
          <w:rFonts w:hint="eastAsia" w:ascii="Times New Roman" w:cs="Times New Roman"/>
          <w:color w:val="auto"/>
          <w:sz w:val="21"/>
          <w:szCs w:val="21"/>
        </w:rPr>
        <w:t>级指南。机构正在征求公众意见，但由于使用明胶涉及到公共卫生问题，因此立即执行这一指导。本指南文件代表了该机构目前考虑减少在人用</w:t>
      </w:r>
      <w:r>
        <w:rPr>
          <w:rFonts w:ascii="Times New Roman" w:hAnsi="Times New Roman" w:cs="Times New Roman"/>
          <w:color w:val="auto"/>
          <w:sz w:val="21"/>
          <w:szCs w:val="21"/>
        </w:rPr>
        <w:t>FDA</w:t>
      </w:r>
      <w:r>
        <w:rPr>
          <w:rFonts w:hint="eastAsia" w:ascii="Times New Roman" w:cs="Times New Roman"/>
          <w:color w:val="auto"/>
          <w:sz w:val="21"/>
          <w:szCs w:val="21"/>
        </w:rPr>
        <w:t>监管产品中使用明胶相关</w:t>
      </w:r>
      <w:r>
        <w:rPr>
          <w:rFonts w:ascii="Times New Roman" w:hAnsi="Times New Roman" w:cs="Times New Roman"/>
          <w:color w:val="auto"/>
          <w:sz w:val="21"/>
          <w:szCs w:val="21"/>
        </w:rPr>
        <w:t>BSE</w:t>
      </w:r>
      <w:r>
        <w:rPr>
          <w:rFonts w:hint="eastAsia" w:ascii="Times New Roman" w:cs="Times New Roman"/>
          <w:color w:val="auto"/>
          <w:sz w:val="21"/>
          <w:szCs w:val="21"/>
        </w:rPr>
        <w:t>传播潜在风险的思路。它不会创造或授予任何人任何权利，也不会对</w:t>
      </w:r>
      <w:r>
        <w:rPr>
          <w:rFonts w:ascii="Times New Roman" w:hAnsi="Times New Roman" w:cs="Times New Roman"/>
          <w:color w:val="auto"/>
          <w:sz w:val="21"/>
          <w:szCs w:val="21"/>
        </w:rPr>
        <w:t>FDA</w:t>
      </w:r>
      <w:r>
        <w:rPr>
          <w:rFonts w:hint="eastAsia" w:ascii="Times New Roman" w:cs="Times New Roman"/>
          <w:color w:val="auto"/>
          <w:sz w:val="21"/>
          <w:szCs w:val="21"/>
        </w:rPr>
        <w:t>或公众进行约束。如果该方法已满足适用的法令、法规或两者的要求，则可以使用另一种方法。</w:t>
      </w:r>
    </w:p>
    <w:p w14:paraId="37B58BE6">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u w:val="single"/>
        </w:rPr>
        <w:t>目的</w:t>
      </w:r>
      <w:r>
        <w:rPr>
          <w:rFonts w:ascii="Times New Roman" w:hAnsi="Times New Roman" w:cs="Times New Roman"/>
          <w:color w:val="auto"/>
          <w:sz w:val="21"/>
          <w:szCs w:val="21"/>
        </w:rPr>
        <w:t xml:space="preserve">- </w:t>
      </w:r>
      <w:r>
        <w:rPr>
          <w:rFonts w:hint="eastAsia" w:ascii="Times New Roman" w:cs="Times New Roman"/>
          <w:color w:val="auto"/>
          <w:sz w:val="21"/>
          <w:szCs w:val="21"/>
        </w:rPr>
        <w:t>本指导文件针对明胶安全性，因为它涉及</w:t>
      </w:r>
      <w:r>
        <w:rPr>
          <w:rFonts w:ascii="Times New Roman" w:hAnsi="Times New Roman" w:cs="Times New Roman"/>
          <w:color w:val="auto"/>
          <w:sz w:val="21"/>
          <w:szCs w:val="21"/>
        </w:rPr>
        <w:t>BSE</w:t>
      </w:r>
      <w:r>
        <w:rPr>
          <w:rFonts w:hint="eastAsia" w:ascii="Times New Roman" w:cs="Times New Roman"/>
          <w:color w:val="auto"/>
          <w:sz w:val="21"/>
          <w:szCs w:val="21"/>
        </w:rPr>
        <w:t>在人用</w:t>
      </w:r>
      <w:r>
        <w:rPr>
          <w:rFonts w:ascii="Times New Roman" w:hAnsi="Times New Roman" w:cs="Times New Roman"/>
          <w:color w:val="auto"/>
          <w:sz w:val="21"/>
          <w:szCs w:val="21"/>
        </w:rPr>
        <w:t>FDA</w:t>
      </w:r>
      <w:r>
        <w:rPr>
          <w:rFonts w:hint="eastAsia" w:ascii="Times New Roman" w:cs="Times New Roman"/>
          <w:color w:val="auto"/>
          <w:sz w:val="21"/>
          <w:szCs w:val="21"/>
        </w:rPr>
        <w:t>监管产品中构成潜在风险。旨在为行业提供关于</w:t>
      </w:r>
      <w:r>
        <w:rPr>
          <w:rFonts w:ascii="Times New Roman" w:hAnsi="Times New Roman" w:cs="Times New Roman"/>
          <w:color w:val="auto"/>
          <w:sz w:val="21"/>
          <w:szCs w:val="21"/>
        </w:rPr>
        <w:t>FDA</w:t>
      </w:r>
      <w:r>
        <w:rPr>
          <w:rFonts w:hint="eastAsia" w:ascii="Times New Roman" w:cs="Times New Roman"/>
          <w:color w:val="auto"/>
          <w:sz w:val="21"/>
          <w:szCs w:val="21"/>
        </w:rPr>
        <w:t>监管产品中明胶采购和加工的指导。</w:t>
      </w:r>
      <w:r>
        <w:rPr>
          <w:rFonts w:ascii="Times New Roman" w:hAnsi="Times New Roman" w:cs="Times New Roman"/>
          <w:color w:val="auto"/>
          <w:sz w:val="21"/>
          <w:szCs w:val="21"/>
        </w:rPr>
        <w:br w:type="textWrapping"/>
      </w:r>
      <w:r>
        <w:rPr>
          <w:rFonts w:hint="eastAsia" w:ascii="Times New Roman" w:cs="Times New Roman"/>
          <w:color w:val="auto"/>
          <w:sz w:val="21"/>
          <w:szCs w:val="21"/>
        </w:rPr>
        <w:t>在制定这一提出的指南时，</w:t>
      </w:r>
      <w:r>
        <w:rPr>
          <w:rFonts w:ascii="Times New Roman" w:hAnsi="Times New Roman" w:cs="Times New Roman"/>
          <w:color w:val="auto"/>
          <w:sz w:val="21"/>
          <w:szCs w:val="21"/>
        </w:rPr>
        <w:t>FDA</w:t>
      </w:r>
      <w:r>
        <w:rPr>
          <w:rFonts w:hint="eastAsia" w:ascii="Times New Roman" w:cs="Times New Roman"/>
          <w:color w:val="auto"/>
          <w:sz w:val="21"/>
          <w:szCs w:val="21"/>
        </w:rPr>
        <w:t>在</w:t>
      </w:r>
      <w:r>
        <w:rPr>
          <w:rFonts w:ascii="Times New Roman" w:hAnsi="Times New Roman" w:cs="Times New Roman"/>
          <w:color w:val="auto"/>
          <w:sz w:val="21"/>
          <w:szCs w:val="21"/>
        </w:rPr>
        <w:t>1997</w:t>
      </w:r>
      <w:r>
        <w:rPr>
          <w:rFonts w:hint="eastAsia" w:ascii="Times New Roman" w:cs="Times New Roman"/>
          <w:color w:val="auto"/>
          <w:sz w:val="21"/>
          <w:szCs w:val="21"/>
        </w:rPr>
        <w:t>年</w:t>
      </w:r>
      <w:r>
        <w:rPr>
          <w:rFonts w:ascii="Times New Roman" w:hAnsi="Times New Roman" w:cs="Times New Roman"/>
          <w:color w:val="auto"/>
          <w:sz w:val="21"/>
          <w:szCs w:val="21"/>
        </w:rPr>
        <w:t>4</w:t>
      </w:r>
      <w:r>
        <w:rPr>
          <w:rFonts w:hint="eastAsia" w:ascii="Times New Roman" w:cs="Times New Roman"/>
          <w:color w:val="auto"/>
          <w:sz w:val="21"/>
          <w:szCs w:val="21"/>
        </w:rPr>
        <w:t>月</w:t>
      </w:r>
      <w:r>
        <w:rPr>
          <w:rFonts w:ascii="Times New Roman" w:hAnsi="Times New Roman" w:cs="Times New Roman"/>
          <w:color w:val="auto"/>
          <w:sz w:val="21"/>
          <w:szCs w:val="21"/>
        </w:rPr>
        <w:t>23</w:t>
      </w:r>
      <w:r>
        <w:rPr>
          <w:rFonts w:hint="eastAsia" w:ascii="Times New Roman" w:cs="Times New Roman"/>
          <w:color w:val="auto"/>
          <w:sz w:val="21"/>
          <w:szCs w:val="21"/>
        </w:rPr>
        <w:t>日至</w:t>
      </w:r>
      <w:r>
        <w:rPr>
          <w:rFonts w:ascii="Times New Roman" w:hAnsi="Times New Roman" w:cs="Times New Roman"/>
          <w:color w:val="auto"/>
          <w:sz w:val="21"/>
          <w:szCs w:val="21"/>
        </w:rPr>
        <w:t>24</w:t>
      </w:r>
      <w:r>
        <w:rPr>
          <w:rFonts w:hint="eastAsia" w:ascii="Times New Roman" w:cs="Times New Roman"/>
          <w:color w:val="auto"/>
          <w:sz w:val="21"/>
          <w:szCs w:val="21"/>
        </w:rPr>
        <w:t>日的一次会议上审议了各种信息，包括传染性海绵状脑病（</w:t>
      </w:r>
      <w:r>
        <w:rPr>
          <w:rFonts w:ascii="Times New Roman" w:hAnsi="Times New Roman" w:cs="Times New Roman"/>
          <w:color w:val="auto"/>
          <w:sz w:val="21"/>
          <w:szCs w:val="21"/>
        </w:rPr>
        <w:t>TSE</w:t>
      </w:r>
      <w:r>
        <w:rPr>
          <w:rFonts w:hint="eastAsia" w:ascii="Times New Roman" w:cs="Times New Roman"/>
          <w:color w:val="auto"/>
          <w:sz w:val="21"/>
          <w:szCs w:val="21"/>
        </w:rPr>
        <w:t>）咨询委员会的结论。委员会审查了用于生产明胶的材料的采购和加工数据，及明胶加工对海绵状物质传染性的影响的实验研究数据。</w:t>
      </w:r>
    </w:p>
    <w:p w14:paraId="5BE76567">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u w:val="single"/>
        </w:rPr>
        <w:t>背景</w:t>
      </w:r>
      <w:r>
        <w:rPr>
          <w:rFonts w:ascii="Times New Roman" w:hAnsi="Times New Roman" w:cs="Times New Roman"/>
          <w:color w:val="auto"/>
          <w:sz w:val="21"/>
          <w:szCs w:val="21"/>
        </w:rPr>
        <w:t xml:space="preserve"> - </w:t>
      </w:r>
      <w:r>
        <w:rPr>
          <w:rFonts w:hint="eastAsia" w:ascii="Times New Roman" w:cs="Times New Roman"/>
          <w:color w:val="auto"/>
          <w:sz w:val="21"/>
          <w:szCs w:val="21"/>
        </w:rPr>
        <w:t>在过去的几年中，</w:t>
      </w:r>
      <w:r>
        <w:rPr>
          <w:rFonts w:ascii="Times New Roman" w:hAnsi="Times New Roman" w:cs="Times New Roman"/>
          <w:color w:val="auto"/>
          <w:sz w:val="21"/>
          <w:szCs w:val="21"/>
        </w:rPr>
        <w:t>FDA</w:t>
      </w:r>
      <w:r>
        <w:rPr>
          <w:rFonts w:hint="eastAsia" w:ascii="Times New Roman" w:cs="Times New Roman"/>
          <w:color w:val="auto"/>
          <w:sz w:val="21"/>
          <w:szCs w:val="21"/>
        </w:rPr>
        <w:t>向</w:t>
      </w:r>
      <w:r>
        <w:rPr>
          <w:rFonts w:ascii="Times New Roman" w:hAnsi="Times New Roman" w:cs="Times New Roman"/>
          <w:color w:val="auto"/>
          <w:sz w:val="21"/>
          <w:szCs w:val="21"/>
        </w:rPr>
        <w:t>FDA</w:t>
      </w:r>
      <w:r>
        <w:rPr>
          <w:rFonts w:hint="eastAsia" w:ascii="Times New Roman" w:cs="Times New Roman"/>
          <w:color w:val="auto"/>
          <w:sz w:val="21"/>
          <w:szCs w:val="21"/>
        </w:rPr>
        <w:t>监管产品的生产商和进口商关于含有或暴露于那些牛源材料（报告有</w:t>
      </w:r>
      <w:r>
        <w:rPr>
          <w:rFonts w:ascii="Times New Roman" w:hAnsi="Times New Roman" w:cs="Times New Roman"/>
          <w:color w:val="auto"/>
          <w:sz w:val="21"/>
          <w:szCs w:val="21"/>
        </w:rPr>
        <w:t>BSE</w:t>
      </w:r>
      <w:r>
        <w:rPr>
          <w:rFonts w:hint="eastAsia" w:ascii="Times New Roman" w:cs="Times New Roman"/>
          <w:color w:val="auto"/>
          <w:sz w:val="21"/>
          <w:szCs w:val="21"/>
        </w:rPr>
        <w:t>病例的国家）的产品提供了指导。美国农业部动植物卫生检验局（</w:t>
      </w:r>
      <w:r>
        <w:rPr>
          <w:rFonts w:ascii="Times New Roman" w:hAnsi="Times New Roman" w:cs="Times New Roman"/>
          <w:color w:val="auto"/>
          <w:sz w:val="21"/>
          <w:szCs w:val="21"/>
        </w:rPr>
        <w:t>APHIS</w:t>
      </w:r>
      <w:r>
        <w:rPr>
          <w:rFonts w:hint="eastAsia" w:ascii="Times New Roman" w:cs="Times New Roman"/>
          <w:color w:val="auto"/>
          <w:sz w:val="21"/>
          <w:szCs w:val="21"/>
        </w:rPr>
        <w:t>）从</w:t>
      </w:r>
      <w:r>
        <w:rPr>
          <w:rFonts w:ascii="Times New Roman" w:hAnsi="Times New Roman" w:cs="Times New Roman"/>
          <w:color w:val="auto"/>
          <w:sz w:val="21"/>
          <w:szCs w:val="21"/>
        </w:rPr>
        <w:t>1991</w:t>
      </w:r>
      <w:r>
        <w:rPr>
          <w:rFonts w:hint="eastAsia" w:ascii="Times New Roman" w:cs="Times New Roman"/>
          <w:color w:val="auto"/>
          <w:sz w:val="21"/>
          <w:szCs w:val="21"/>
        </w:rPr>
        <w:t>年</w:t>
      </w:r>
      <w:r>
        <w:rPr>
          <w:rFonts w:ascii="Times New Roman" w:hAnsi="Times New Roman" w:cs="Times New Roman"/>
          <w:color w:val="auto"/>
          <w:sz w:val="21"/>
          <w:szCs w:val="21"/>
        </w:rPr>
        <w:t>12</w:t>
      </w:r>
      <w:r>
        <w:rPr>
          <w:rFonts w:hint="eastAsia" w:ascii="Times New Roman" w:cs="Times New Roman"/>
          <w:color w:val="auto"/>
          <w:sz w:val="21"/>
          <w:szCs w:val="21"/>
        </w:rPr>
        <w:t>月开始确定了这些</w:t>
      </w:r>
      <w:r>
        <w:rPr>
          <w:rFonts w:ascii="Times New Roman" w:hAnsi="Times New Roman" w:cs="Times New Roman"/>
          <w:color w:val="auto"/>
          <w:sz w:val="21"/>
          <w:szCs w:val="21"/>
        </w:rPr>
        <w:t>BSE</w:t>
      </w:r>
      <w:r>
        <w:rPr>
          <w:rFonts w:hint="eastAsia" w:ascii="Times New Roman" w:cs="Times New Roman"/>
          <w:color w:val="auto"/>
          <w:sz w:val="21"/>
          <w:szCs w:val="21"/>
        </w:rPr>
        <w:t>国家（</w:t>
      </w:r>
      <w:r>
        <w:rPr>
          <w:rFonts w:ascii="Times New Roman" w:hAnsi="Times New Roman" w:cs="Times New Roman"/>
          <w:color w:val="auto"/>
          <w:sz w:val="21"/>
          <w:szCs w:val="21"/>
        </w:rPr>
        <w:t>9 CFR 94.18</w:t>
      </w:r>
      <w:r>
        <w:rPr>
          <w:rFonts w:hint="eastAsia" w:ascii="Times New Roman" w:cs="Times New Roman"/>
          <w:color w:val="auto"/>
          <w:sz w:val="21"/>
          <w:szCs w:val="21"/>
        </w:rPr>
        <w:t>；另见最近的</w:t>
      </w:r>
      <w:r>
        <w:rPr>
          <w:rFonts w:ascii="Times New Roman" w:hAnsi="Times New Roman" w:cs="Times New Roman"/>
          <w:color w:val="auto"/>
          <w:sz w:val="21"/>
          <w:szCs w:val="21"/>
        </w:rPr>
        <w:t>USDA</w:t>
      </w:r>
      <w:r>
        <w:rPr>
          <w:rFonts w:hint="eastAsia" w:ascii="Times New Roman" w:cs="Times New Roman"/>
          <w:color w:val="auto"/>
          <w:sz w:val="21"/>
          <w:szCs w:val="21"/>
        </w:rPr>
        <w:t>临时规则，其中指定荷兰是</w:t>
      </w:r>
      <w:r>
        <w:rPr>
          <w:rFonts w:ascii="Times New Roman" w:hAnsi="Times New Roman" w:cs="Times New Roman"/>
          <w:color w:val="auto"/>
          <w:sz w:val="21"/>
          <w:szCs w:val="21"/>
        </w:rPr>
        <w:t>BSE</w:t>
      </w:r>
      <w:r>
        <w:rPr>
          <w:rFonts w:hint="eastAsia" w:ascii="Times New Roman" w:cs="Times New Roman"/>
          <w:color w:val="auto"/>
          <w:sz w:val="21"/>
          <w:szCs w:val="21"/>
        </w:rPr>
        <w:t>国家：</w:t>
      </w:r>
      <w:r>
        <w:rPr>
          <w:rFonts w:ascii="Times New Roman" w:hAnsi="Times New Roman" w:cs="Times New Roman"/>
          <w:color w:val="auto"/>
          <w:sz w:val="21"/>
          <w:szCs w:val="21"/>
        </w:rPr>
        <w:t xml:space="preserve"> 62FR18623</w:t>
      </w:r>
      <w:r>
        <w:rPr>
          <w:rFonts w:hint="eastAsia" w:ascii="Times New Roman" w:cs="Times New Roman"/>
          <w:color w:val="auto"/>
          <w:sz w:val="21"/>
          <w:szCs w:val="21"/>
        </w:rPr>
        <w:t>，</w:t>
      </w:r>
      <w:r>
        <w:rPr>
          <w:rFonts w:ascii="Times New Roman" w:hAnsi="Times New Roman" w:cs="Times New Roman"/>
          <w:color w:val="auto"/>
          <w:sz w:val="21"/>
          <w:szCs w:val="21"/>
        </w:rPr>
        <w:t>1997</w:t>
      </w:r>
      <w:r>
        <w:rPr>
          <w:rFonts w:hint="eastAsia" w:ascii="Times New Roman" w:cs="Times New Roman"/>
          <w:color w:val="auto"/>
          <w:sz w:val="21"/>
          <w:szCs w:val="21"/>
        </w:rPr>
        <w:t>年</w:t>
      </w:r>
      <w:r>
        <w:rPr>
          <w:rFonts w:ascii="Times New Roman" w:hAnsi="Times New Roman" w:cs="Times New Roman"/>
          <w:color w:val="auto"/>
          <w:sz w:val="21"/>
          <w:szCs w:val="21"/>
        </w:rPr>
        <w:t>4</w:t>
      </w:r>
      <w:r>
        <w:rPr>
          <w:rFonts w:hint="eastAsia" w:ascii="Times New Roman" w:cs="Times New Roman"/>
          <w:color w:val="auto"/>
          <w:sz w:val="21"/>
          <w:szCs w:val="21"/>
        </w:rPr>
        <w:t>月</w:t>
      </w:r>
      <w:r>
        <w:rPr>
          <w:rFonts w:ascii="Times New Roman" w:hAnsi="Times New Roman" w:cs="Times New Roman"/>
          <w:color w:val="auto"/>
          <w:sz w:val="21"/>
          <w:szCs w:val="21"/>
        </w:rPr>
        <w:t>15</w:t>
      </w:r>
      <w:r>
        <w:rPr>
          <w:rFonts w:hint="eastAsia" w:ascii="Times New Roman" w:cs="Times New Roman"/>
          <w:color w:val="auto"/>
          <w:sz w:val="21"/>
          <w:szCs w:val="21"/>
        </w:rPr>
        <w:t>日）。作为防止在美国牛中引进</w:t>
      </w:r>
      <w:r>
        <w:rPr>
          <w:rFonts w:ascii="Times New Roman" w:hAnsi="Times New Roman" w:cs="Times New Roman"/>
          <w:color w:val="auto"/>
          <w:sz w:val="21"/>
          <w:szCs w:val="21"/>
        </w:rPr>
        <w:t>BSE</w:t>
      </w:r>
      <w:r>
        <w:rPr>
          <w:rFonts w:hint="eastAsia" w:ascii="Times New Roman" w:cs="Times New Roman"/>
          <w:color w:val="auto"/>
          <w:sz w:val="21"/>
          <w:szCs w:val="21"/>
        </w:rPr>
        <w:t>感染的一种方式，自</w:t>
      </w:r>
      <w:r>
        <w:rPr>
          <w:rFonts w:ascii="Times New Roman" w:hAnsi="Times New Roman" w:cs="Times New Roman"/>
          <w:color w:val="auto"/>
          <w:sz w:val="21"/>
          <w:szCs w:val="21"/>
        </w:rPr>
        <w:t>1989</w:t>
      </w:r>
      <w:r>
        <w:rPr>
          <w:rFonts w:hint="eastAsia" w:ascii="Times New Roman" w:cs="Times New Roman"/>
          <w:color w:val="auto"/>
          <w:sz w:val="21"/>
          <w:szCs w:val="21"/>
        </w:rPr>
        <w:t>年以来，</w:t>
      </w:r>
      <w:r>
        <w:rPr>
          <w:rFonts w:ascii="Times New Roman" w:hAnsi="Times New Roman" w:cs="Times New Roman"/>
          <w:color w:val="auto"/>
          <w:sz w:val="21"/>
          <w:szCs w:val="21"/>
        </w:rPr>
        <w:t>USDA</w:t>
      </w:r>
      <w:r>
        <w:rPr>
          <w:rFonts w:hint="eastAsia" w:ascii="Times New Roman" w:cs="Times New Roman"/>
          <w:color w:val="auto"/>
          <w:sz w:val="21"/>
          <w:szCs w:val="21"/>
        </w:rPr>
        <w:t>禁止从</w:t>
      </w:r>
      <w:r>
        <w:rPr>
          <w:rFonts w:ascii="Times New Roman" w:hAnsi="Times New Roman" w:cs="Times New Roman"/>
          <w:color w:val="auto"/>
          <w:sz w:val="21"/>
          <w:szCs w:val="21"/>
        </w:rPr>
        <w:t>BSE</w:t>
      </w:r>
      <w:r>
        <w:rPr>
          <w:rFonts w:hint="eastAsia" w:ascii="Times New Roman" w:cs="Times New Roman"/>
          <w:color w:val="auto"/>
          <w:sz w:val="21"/>
          <w:szCs w:val="21"/>
        </w:rPr>
        <w:t>国家进口牲畜，并自</w:t>
      </w:r>
      <w:r>
        <w:rPr>
          <w:rFonts w:ascii="Times New Roman" w:hAnsi="Times New Roman" w:cs="Times New Roman"/>
          <w:color w:val="auto"/>
          <w:sz w:val="21"/>
          <w:szCs w:val="21"/>
        </w:rPr>
        <w:t>1991</w:t>
      </w:r>
      <w:r>
        <w:rPr>
          <w:rFonts w:hint="eastAsia" w:ascii="Times New Roman" w:cs="Times New Roman"/>
          <w:color w:val="auto"/>
          <w:sz w:val="21"/>
          <w:szCs w:val="21"/>
        </w:rPr>
        <w:t>年以来禁止来自</w:t>
      </w:r>
      <w:r>
        <w:rPr>
          <w:rFonts w:ascii="Times New Roman" w:hAnsi="Times New Roman" w:cs="Times New Roman"/>
          <w:color w:val="auto"/>
          <w:sz w:val="21"/>
          <w:szCs w:val="21"/>
        </w:rPr>
        <w:t>BSE</w:t>
      </w:r>
      <w:r>
        <w:rPr>
          <w:rFonts w:hint="eastAsia" w:ascii="Times New Roman" w:cs="Times New Roman"/>
          <w:color w:val="auto"/>
          <w:sz w:val="21"/>
          <w:szCs w:val="21"/>
        </w:rPr>
        <w:t>国家进口动物使用的牛源产品。美国农业部已经进行了广泛的监测，到目前为止，并没有诊断到美国牛中有</w:t>
      </w:r>
      <w:r>
        <w:rPr>
          <w:rFonts w:ascii="Times New Roman" w:hAnsi="Times New Roman" w:cs="Times New Roman"/>
          <w:color w:val="auto"/>
          <w:sz w:val="21"/>
          <w:szCs w:val="21"/>
        </w:rPr>
        <w:t xml:space="preserve"> BSE</w:t>
      </w:r>
      <w:r>
        <w:rPr>
          <w:rFonts w:hint="eastAsia" w:ascii="Times New Roman" w:cs="Times New Roman"/>
          <w:color w:val="auto"/>
          <w:sz w:val="21"/>
          <w:szCs w:val="21"/>
        </w:rPr>
        <w:t>病例。</w:t>
      </w:r>
    </w:p>
    <w:p w14:paraId="7EA7922E">
      <w:pPr>
        <w:adjustRightInd w:val="0"/>
        <w:snapToGrid w:val="0"/>
        <w:spacing w:line="360" w:lineRule="auto"/>
        <w:jc w:val="both"/>
        <w:rPr>
          <w:rFonts w:ascii="Times New Roman" w:hAnsi="Times New Roman" w:cs="Times New Roman"/>
          <w:color w:val="auto"/>
          <w:sz w:val="21"/>
          <w:szCs w:val="21"/>
        </w:rPr>
        <w:sectPr>
          <w:headerReference r:id="rId5" w:type="default"/>
          <w:pgSz w:w="11909" w:h="16834"/>
          <w:pgMar w:top="1440" w:right="1797" w:bottom="1440" w:left="1797" w:header="567" w:footer="567" w:gutter="0"/>
          <w:pgNumType w:start="2"/>
          <w:cols w:space="720" w:num="1"/>
          <w:docGrid w:linePitch="360" w:charSpace="0"/>
        </w:sectPr>
      </w:pPr>
    </w:p>
    <w:p w14:paraId="138AD440">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英国</w:t>
      </w:r>
      <w:r>
        <w:rPr>
          <w:rFonts w:ascii="Times New Roman" w:hAnsi="Times New Roman" w:cs="Times New Roman"/>
          <w:color w:val="auto"/>
          <w:sz w:val="21"/>
          <w:szCs w:val="21"/>
        </w:rPr>
        <w:t>BSE</w:t>
      </w:r>
      <w:r>
        <w:rPr>
          <w:rFonts w:hint="eastAsia" w:ascii="Times New Roman" w:cs="Times New Roman"/>
          <w:color w:val="auto"/>
          <w:sz w:val="21"/>
          <w:szCs w:val="21"/>
        </w:rPr>
        <w:t>流行病被认为是由于将饲养的动物组织添加到牛饲料中这种做法而产生的。早期的一些证据表明</w:t>
      </w:r>
      <w:r>
        <w:rPr>
          <w:rFonts w:ascii="Times New Roman" w:hAnsi="Times New Roman" w:cs="Times New Roman"/>
          <w:color w:val="auto"/>
          <w:sz w:val="21"/>
          <w:szCs w:val="21"/>
        </w:rPr>
        <w:t>TSE</w:t>
      </w:r>
      <w:r>
        <w:rPr>
          <w:rFonts w:hint="eastAsia" w:ascii="Times New Roman" w:cs="Times New Roman"/>
          <w:color w:val="auto"/>
          <w:sz w:val="21"/>
          <w:szCs w:val="21"/>
        </w:rPr>
        <w:t>（罕见的胎儿神经系统疾病，如绵羊中的瘙痒病和人类克雅氏病）有跨物种传播的潜力。虽然不知道</w:t>
      </w:r>
      <w:r>
        <w:rPr>
          <w:rFonts w:ascii="Times New Roman" w:hAnsi="Times New Roman" w:cs="Times New Roman"/>
          <w:color w:val="auto"/>
          <w:sz w:val="21"/>
          <w:szCs w:val="21"/>
        </w:rPr>
        <w:t>BSE</w:t>
      </w:r>
      <w:r>
        <w:rPr>
          <w:rFonts w:hint="eastAsia" w:ascii="Times New Roman" w:cs="Times New Roman"/>
          <w:color w:val="auto"/>
          <w:sz w:val="21"/>
          <w:szCs w:val="21"/>
        </w:rPr>
        <w:t>是否可以从受污染的牛传播到人类，但</w:t>
      </w:r>
      <w:r>
        <w:rPr>
          <w:rFonts w:ascii="Times New Roman" w:hAnsi="Times New Roman" w:cs="Times New Roman"/>
          <w:color w:val="auto"/>
          <w:sz w:val="21"/>
          <w:szCs w:val="21"/>
        </w:rPr>
        <w:t>FDA</w:t>
      </w:r>
      <w:r>
        <w:rPr>
          <w:rFonts w:hint="eastAsia" w:ascii="Times New Roman" w:cs="Times New Roman"/>
          <w:color w:val="auto"/>
          <w:sz w:val="21"/>
          <w:szCs w:val="21"/>
        </w:rPr>
        <w:t>认为应谨慎地警告生产商这种潜在的风险。自</w:t>
      </w:r>
      <w:r>
        <w:rPr>
          <w:rFonts w:ascii="Times New Roman" w:hAnsi="Times New Roman" w:cs="Times New Roman"/>
          <w:color w:val="auto"/>
          <w:sz w:val="21"/>
          <w:szCs w:val="21"/>
        </w:rPr>
        <w:t>1992</w:t>
      </w:r>
      <w:r>
        <w:rPr>
          <w:rFonts w:hint="eastAsia" w:ascii="Times New Roman" w:cs="Times New Roman"/>
          <w:color w:val="auto"/>
          <w:sz w:val="21"/>
          <w:szCs w:val="21"/>
        </w:rPr>
        <w:t>年以来，</w:t>
      </w:r>
      <w:r>
        <w:rPr>
          <w:rFonts w:ascii="Times New Roman" w:hAnsi="Times New Roman" w:cs="Times New Roman"/>
          <w:color w:val="auto"/>
          <w:sz w:val="21"/>
          <w:szCs w:val="21"/>
        </w:rPr>
        <w:t>FDA</w:t>
      </w:r>
      <w:r>
        <w:rPr>
          <w:rFonts w:hint="eastAsia" w:ascii="Times New Roman" w:cs="Times New Roman"/>
          <w:color w:val="auto"/>
          <w:sz w:val="21"/>
          <w:szCs w:val="21"/>
        </w:rPr>
        <w:t>已经向</w:t>
      </w:r>
      <w:r>
        <w:rPr>
          <w:rFonts w:ascii="Times New Roman" w:hAnsi="Times New Roman" w:cs="Times New Roman"/>
          <w:color w:val="auto"/>
          <w:sz w:val="21"/>
          <w:szCs w:val="21"/>
        </w:rPr>
        <w:t>FDA</w:t>
      </w:r>
      <w:r>
        <w:rPr>
          <w:rFonts w:hint="eastAsia" w:ascii="Times New Roman" w:cs="Times New Roman"/>
          <w:color w:val="auto"/>
          <w:sz w:val="21"/>
          <w:szCs w:val="21"/>
        </w:rPr>
        <w:t>监管产品的生产商发出了一些信函，提供了使用</w:t>
      </w:r>
      <w:r>
        <w:rPr>
          <w:rFonts w:ascii="Times New Roman" w:hAnsi="Times New Roman" w:cs="Times New Roman"/>
          <w:color w:val="auto"/>
          <w:sz w:val="21"/>
          <w:szCs w:val="21"/>
        </w:rPr>
        <w:t>BSE</w:t>
      </w:r>
      <w:r>
        <w:rPr>
          <w:rFonts w:hint="eastAsia" w:ascii="Times New Roman" w:cs="Times New Roman"/>
          <w:color w:val="auto"/>
          <w:sz w:val="21"/>
          <w:szCs w:val="21"/>
        </w:rPr>
        <w:t>国家牛源材料的指导（见附件</w:t>
      </w:r>
      <w:r>
        <w:rPr>
          <w:rFonts w:ascii="Times New Roman" w:hAnsi="Times New Roman" w:cs="Times New Roman"/>
          <w:color w:val="auto"/>
          <w:sz w:val="21"/>
          <w:szCs w:val="21"/>
        </w:rPr>
        <w:t>A</w:t>
      </w:r>
      <w:r>
        <w:rPr>
          <w:rFonts w:hint="eastAsia" w:ascii="Times New Roman" w:cs="Times New Roman"/>
          <w:color w:val="auto"/>
          <w:sz w:val="21"/>
          <w:szCs w:val="21"/>
        </w:rPr>
        <w:t>，</w:t>
      </w:r>
      <w:r>
        <w:rPr>
          <w:rFonts w:ascii="Times New Roman" w:hAnsi="Times New Roman" w:cs="Times New Roman"/>
          <w:color w:val="auto"/>
          <w:sz w:val="21"/>
          <w:szCs w:val="21"/>
        </w:rPr>
        <w:t>FDA</w:t>
      </w:r>
      <w:r>
        <w:rPr>
          <w:rFonts w:hint="eastAsia" w:ascii="Times New Roman" w:cs="Times New Roman"/>
          <w:color w:val="auto"/>
          <w:sz w:val="21"/>
          <w:szCs w:val="21"/>
        </w:rPr>
        <w:t>行业指南纪年表）。</w:t>
      </w:r>
    </w:p>
    <w:p w14:paraId="17C943F6">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关于明胶的指导</w:t>
      </w:r>
      <w:r>
        <w:rPr>
          <w:rFonts w:ascii="Times New Roman" w:hAnsi="Times New Roman" w:cs="Times New Roman"/>
          <w:color w:val="auto"/>
          <w:sz w:val="21"/>
          <w:szCs w:val="21"/>
        </w:rPr>
        <w:t xml:space="preserve"> - 1994</w:t>
      </w:r>
      <w:r>
        <w:rPr>
          <w:rFonts w:hint="eastAsia" w:ascii="Times New Roman" w:cs="Times New Roman"/>
          <w:color w:val="auto"/>
          <w:sz w:val="21"/>
          <w:szCs w:val="21"/>
        </w:rPr>
        <w:t>年，明胶行业代表向</w:t>
      </w:r>
      <w:r>
        <w:rPr>
          <w:rFonts w:ascii="Times New Roman" w:hAnsi="Times New Roman" w:cs="Times New Roman"/>
          <w:color w:val="auto"/>
          <w:sz w:val="21"/>
          <w:szCs w:val="21"/>
        </w:rPr>
        <w:t>FDA</w:t>
      </w:r>
      <w:r>
        <w:rPr>
          <w:rFonts w:hint="eastAsia" w:ascii="Times New Roman" w:cs="Times New Roman"/>
          <w:color w:val="auto"/>
          <w:sz w:val="21"/>
          <w:szCs w:val="21"/>
        </w:rPr>
        <w:t>工作人员提供了经明胶生产两种方法（石灰或酸）之一处理的</w:t>
      </w:r>
      <w:r>
        <w:rPr>
          <w:rFonts w:ascii="Times New Roman" w:hAnsi="Times New Roman" w:cs="Times New Roman"/>
          <w:color w:val="auto"/>
          <w:sz w:val="21"/>
          <w:szCs w:val="21"/>
        </w:rPr>
        <w:t>TSE</w:t>
      </w:r>
      <w:r>
        <w:rPr>
          <w:rFonts w:hint="eastAsia" w:ascii="Times New Roman" w:cs="Times New Roman"/>
          <w:color w:val="auto"/>
          <w:sz w:val="21"/>
          <w:szCs w:val="21"/>
        </w:rPr>
        <w:t>感染组织的感染性实验研究的初步数据。基于这些数据，</w:t>
      </w:r>
      <w:r>
        <w:rPr>
          <w:rFonts w:ascii="Times New Roman" w:hAnsi="Times New Roman" w:cs="Times New Roman"/>
          <w:color w:val="auto"/>
          <w:sz w:val="21"/>
          <w:szCs w:val="21"/>
        </w:rPr>
        <w:t>FDA</w:t>
      </w:r>
      <w:r>
        <w:rPr>
          <w:rFonts w:hint="eastAsia" w:ascii="Times New Roman" w:cs="Times New Roman"/>
          <w:color w:val="auto"/>
          <w:sz w:val="21"/>
          <w:szCs w:val="21"/>
        </w:rPr>
        <w:t>决定不将明胶列入其关于</w:t>
      </w:r>
      <w:r>
        <w:rPr>
          <w:rFonts w:ascii="Times New Roman" w:hAnsi="Times New Roman" w:cs="Times New Roman"/>
          <w:color w:val="auto"/>
          <w:sz w:val="21"/>
          <w:szCs w:val="21"/>
        </w:rPr>
        <w:t>FDA</w:t>
      </w:r>
      <w:r>
        <w:rPr>
          <w:rFonts w:hint="eastAsia" w:ascii="Times New Roman" w:cs="Times New Roman"/>
          <w:color w:val="auto"/>
          <w:sz w:val="21"/>
          <w:szCs w:val="21"/>
        </w:rPr>
        <w:t>监管产品中其他牛源成分所作建议的一部分。</w:t>
      </w:r>
      <w:r>
        <w:rPr>
          <w:rFonts w:ascii="Times New Roman" w:hAnsi="Times New Roman" w:cs="Times New Roman"/>
          <w:color w:val="auto"/>
          <w:sz w:val="21"/>
          <w:szCs w:val="21"/>
        </w:rPr>
        <w:t>1994</w:t>
      </w:r>
      <w:r>
        <w:rPr>
          <w:rFonts w:hint="eastAsia" w:ascii="Times New Roman" w:cs="Times New Roman"/>
          <w:color w:val="auto"/>
          <w:sz w:val="21"/>
          <w:szCs w:val="21"/>
        </w:rPr>
        <w:t>年</w:t>
      </w:r>
      <w:r>
        <w:rPr>
          <w:rFonts w:ascii="Times New Roman" w:hAnsi="Times New Roman" w:cs="Times New Roman"/>
          <w:color w:val="auto"/>
          <w:sz w:val="21"/>
          <w:szCs w:val="21"/>
        </w:rPr>
        <w:t>8</w:t>
      </w:r>
      <w:r>
        <w:rPr>
          <w:rFonts w:hint="eastAsia" w:ascii="Times New Roman" w:cs="Times New Roman"/>
          <w:color w:val="auto"/>
          <w:sz w:val="21"/>
          <w:szCs w:val="21"/>
        </w:rPr>
        <w:t>月</w:t>
      </w:r>
      <w:r>
        <w:rPr>
          <w:rFonts w:ascii="Times New Roman" w:hAnsi="Times New Roman" w:cs="Times New Roman"/>
          <w:color w:val="auto"/>
          <w:sz w:val="21"/>
          <w:szCs w:val="21"/>
        </w:rPr>
        <w:t>29</w:t>
      </w:r>
      <w:r>
        <w:rPr>
          <w:rFonts w:hint="eastAsia" w:ascii="Times New Roman" w:cs="Times New Roman"/>
          <w:color w:val="auto"/>
          <w:sz w:val="21"/>
          <w:szCs w:val="21"/>
        </w:rPr>
        <w:t>日联邦公报的通知中，总结了</w:t>
      </w:r>
      <w:r>
        <w:rPr>
          <w:rFonts w:ascii="Times New Roman" w:hAnsi="Times New Roman" w:cs="Times New Roman"/>
          <w:color w:val="auto"/>
          <w:sz w:val="21"/>
          <w:szCs w:val="21"/>
        </w:rPr>
        <w:t>FDA</w:t>
      </w:r>
      <w:r>
        <w:rPr>
          <w:rFonts w:hint="eastAsia" w:ascii="Times New Roman" w:cs="Times New Roman"/>
          <w:color w:val="auto"/>
          <w:sz w:val="21"/>
          <w:szCs w:val="21"/>
        </w:rPr>
        <w:t>关于降低任何潜在</w:t>
      </w:r>
      <w:r>
        <w:rPr>
          <w:rFonts w:ascii="Times New Roman" w:hAnsi="Times New Roman" w:cs="Times New Roman"/>
          <w:color w:val="auto"/>
          <w:sz w:val="21"/>
          <w:szCs w:val="21"/>
        </w:rPr>
        <w:t>BSE</w:t>
      </w:r>
      <w:r>
        <w:rPr>
          <w:rFonts w:hint="eastAsia" w:ascii="Times New Roman" w:cs="Times New Roman"/>
          <w:color w:val="auto"/>
          <w:sz w:val="21"/>
          <w:szCs w:val="21"/>
        </w:rPr>
        <w:t>风险的建议，并澄清了</w:t>
      </w:r>
      <w:r>
        <w:rPr>
          <w:rFonts w:ascii="Times New Roman" w:hAnsi="Times New Roman" w:cs="Times New Roman"/>
          <w:color w:val="auto"/>
          <w:sz w:val="21"/>
          <w:szCs w:val="21"/>
        </w:rPr>
        <w:t>FDA</w:t>
      </w:r>
      <w:r>
        <w:rPr>
          <w:rFonts w:hint="eastAsia" w:ascii="Times New Roman" w:cs="Times New Roman"/>
          <w:color w:val="auto"/>
          <w:sz w:val="21"/>
          <w:szCs w:val="21"/>
        </w:rPr>
        <w:t>当时建议并没有扩展到用</w:t>
      </w:r>
      <w:r>
        <w:rPr>
          <w:rFonts w:ascii="Times New Roman" w:hAnsi="Times New Roman" w:cs="Times New Roman"/>
          <w:color w:val="auto"/>
          <w:sz w:val="21"/>
          <w:szCs w:val="21"/>
        </w:rPr>
        <w:t>BSE</w:t>
      </w:r>
      <w:r>
        <w:rPr>
          <w:rFonts w:hint="eastAsia" w:ascii="Times New Roman" w:cs="Times New Roman"/>
          <w:color w:val="auto"/>
          <w:sz w:val="21"/>
          <w:szCs w:val="21"/>
        </w:rPr>
        <w:t>国家牛源材料生产的人用明胶。</w:t>
      </w:r>
    </w:p>
    <w:p w14:paraId="09D29A62">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u w:val="single"/>
        </w:rPr>
        <w:t>最近的明胶指南审查</w:t>
      </w:r>
      <w:r>
        <w:rPr>
          <w:rFonts w:ascii="Times New Roman" w:hAnsi="Times New Roman" w:cs="Times New Roman"/>
          <w:color w:val="auto"/>
          <w:sz w:val="21"/>
          <w:szCs w:val="21"/>
        </w:rPr>
        <w:t xml:space="preserve"> - 1996</w:t>
      </w:r>
      <w:r>
        <w:rPr>
          <w:rFonts w:hint="eastAsia" w:ascii="Times New Roman" w:cs="Times New Roman"/>
          <w:color w:val="auto"/>
          <w:sz w:val="21"/>
          <w:szCs w:val="21"/>
        </w:rPr>
        <w:t>年，</w:t>
      </w:r>
      <w:r>
        <w:rPr>
          <w:rFonts w:ascii="Times New Roman" w:hAnsi="Times New Roman" w:cs="Times New Roman"/>
          <w:color w:val="auto"/>
          <w:sz w:val="21"/>
          <w:szCs w:val="21"/>
        </w:rPr>
        <w:t>FDA</w:t>
      </w:r>
      <w:r>
        <w:rPr>
          <w:rFonts w:hint="eastAsia" w:ascii="Times New Roman" w:cs="Times New Roman"/>
          <w:color w:val="auto"/>
          <w:sz w:val="21"/>
          <w:szCs w:val="21"/>
        </w:rPr>
        <w:t>决定审查其以前明胶使用相关的指南，因为新的信息表明</w:t>
      </w:r>
      <w:r>
        <w:rPr>
          <w:rFonts w:ascii="Times New Roman" w:hAnsi="Times New Roman" w:cs="Times New Roman"/>
          <w:color w:val="auto"/>
          <w:sz w:val="21"/>
          <w:szCs w:val="21"/>
        </w:rPr>
        <w:t>BSE</w:t>
      </w:r>
      <w:r>
        <w:rPr>
          <w:rFonts w:hint="eastAsia" w:ascii="Times New Roman" w:cs="Times New Roman"/>
          <w:color w:val="auto"/>
          <w:sz w:val="21"/>
          <w:szCs w:val="21"/>
        </w:rPr>
        <w:t>可能传播给人类，并且也由于关于明胶加工对感染性影响的相关研究有了更新数据。</w:t>
      </w:r>
    </w:p>
    <w:p w14:paraId="57758370">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在</w:t>
      </w:r>
      <w:r>
        <w:rPr>
          <w:rFonts w:ascii="Times New Roman" w:hAnsi="Times New Roman" w:cs="Times New Roman"/>
          <w:color w:val="auto"/>
          <w:sz w:val="21"/>
          <w:szCs w:val="21"/>
        </w:rPr>
        <w:t>1997</w:t>
      </w:r>
      <w:r>
        <w:rPr>
          <w:rFonts w:hint="eastAsia" w:ascii="Times New Roman" w:cs="Times New Roman"/>
          <w:color w:val="auto"/>
          <w:sz w:val="21"/>
          <w:szCs w:val="21"/>
        </w:rPr>
        <w:t>年</w:t>
      </w:r>
      <w:r>
        <w:rPr>
          <w:rFonts w:ascii="Times New Roman" w:hAnsi="Times New Roman" w:cs="Times New Roman"/>
          <w:color w:val="auto"/>
          <w:sz w:val="21"/>
          <w:szCs w:val="21"/>
        </w:rPr>
        <w:t>4</w:t>
      </w:r>
      <w:r>
        <w:rPr>
          <w:rFonts w:hint="eastAsia" w:ascii="Times New Roman" w:cs="Times New Roman"/>
          <w:color w:val="auto"/>
          <w:sz w:val="21"/>
          <w:szCs w:val="21"/>
        </w:rPr>
        <w:t>月的</w:t>
      </w:r>
      <w:r>
        <w:rPr>
          <w:rFonts w:ascii="Times New Roman" w:hAnsi="Times New Roman" w:cs="Times New Roman"/>
          <w:color w:val="auto"/>
          <w:sz w:val="21"/>
          <w:szCs w:val="21"/>
        </w:rPr>
        <w:t>TSE</w:t>
      </w:r>
      <w:r>
        <w:rPr>
          <w:rFonts w:hint="eastAsia" w:ascii="Times New Roman" w:cs="Times New Roman"/>
          <w:color w:val="auto"/>
          <w:sz w:val="21"/>
          <w:szCs w:val="21"/>
        </w:rPr>
        <w:t>咨询委员会会议期间，介绍了有关行业规范和研究结果的信息</w:t>
      </w:r>
      <w:r>
        <w:rPr>
          <w:rFonts w:ascii="Times New Roman" w:hAnsi="Times New Roman" w:cs="Times New Roman"/>
          <w:color w:val="auto"/>
          <w:sz w:val="21"/>
          <w:szCs w:val="21"/>
        </w:rPr>
        <w:t xml:space="preserve"> - </w:t>
      </w:r>
      <w:r>
        <w:rPr>
          <w:rFonts w:hint="eastAsia" w:ascii="Times New Roman" w:cs="Times New Roman"/>
          <w:color w:val="auto"/>
          <w:sz w:val="21"/>
          <w:szCs w:val="21"/>
        </w:rPr>
        <w:t>该研究涉及已被瘙痒病感染的小鼠脑组织（作为</w:t>
      </w:r>
      <w:r>
        <w:rPr>
          <w:rFonts w:ascii="Times New Roman" w:hAnsi="Times New Roman" w:cs="Times New Roman"/>
          <w:color w:val="auto"/>
          <w:sz w:val="21"/>
          <w:szCs w:val="21"/>
        </w:rPr>
        <w:t>BSE</w:t>
      </w:r>
      <w:r>
        <w:rPr>
          <w:rFonts w:hint="eastAsia" w:ascii="Times New Roman" w:cs="Times New Roman"/>
          <w:color w:val="auto"/>
          <w:sz w:val="21"/>
          <w:szCs w:val="21"/>
        </w:rPr>
        <w:t>模型）。</w:t>
      </w:r>
      <w:r>
        <w:rPr>
          <w:rFonts w:ascii="Times New Roman" w:hAnsi="Times New Roman" w:cs="Times New Roman"/>
          <w:color w:val="auto"/>
          <w:sz w:val="21"/>
          <w:szCs w:val="21"/>
          <w:vertAlign w:val="superscript"/>
        </w:rPr>
        <w:t>1</w:t>
      </w:r>
      <w:r>
        <w:rPr>
          <w:rFonts w:hint="eastAsia" w:ascii="Times New Roman" w:cs="Times New Roman"/>
          <w:color w:val="auto"/>
          <w:sz w:val="21"/>
          <w:szCs w:val="21"/>
        </w:rPr>
        <w:t>根据明胶生产条件，组织用石灰或酸处理。酸和石灰处理都不会使感染病原体完全失活。第二次传染性研究将于</w:t>
      </w:r>
      <w:r>
        <w:rPr>
          <w:rFonts w:ascii="Times New Roman" w:hAnsi="Times New Roman" w:cs="Times New Roman"/>
          <w:color w:val="auto"/>
          <w:sz w:val="21"/>
          <w:szCs w:val="21"/>
        </w:rPr>
        <w:t>1997</w:t>
      </w:r>
      <w:r>
        <w:rPr>
          <w:rFonts w:hint="eastAsia" w:ascii="Times New Roman" w:cs="Times New Roman"/>
          <w:color w:val="auto"/>
          <w:sz w:val="21"/>
          <w:szCs w:val="21"/>
        </w:rPr>
        <w:t>年底或</w:t>
      </w:r>
      <w:r>
        <w:rPr>
          <w:rFonts w:ascii="Times New Roman" w:hAnsi="Times New Roman" w:cs="Times New Roman"/>
          <w:color w:val="auto"/>
          <w:sz w:val="21"/>
          <w:szCs w:val="21"/>
        </w:rPr>
        <w:t>1998</w:t>
      </w:r>
      <w:r>
        <w:rPr>
          <w:rFonts w:hint="eastAsia" w:ascii="Times New Roman" w:cs="Times New Roman"/>
          <w:color w:val="auto"/>
          <w:sz w:val="21"/>
          <w:szCs w:val="21"/>
        </w:rPr>
        <w:t>年初完成。</w:t>
      </w:r>
    </w:p>
    <w:p w14:paraId="40F9C11C">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咨询委员会成员对</w:t>
      </w:r>
      <w:r>
        <w:rPr>
          <w:rFonts w:ascii="Times New Roman" w:hAnsi="Times New Roman" w:cs="Times New Roman"/>
          <w:color w:val="auto"/>
          <w:sz w:val="21"/>
          <w:szCs w:val="21"/>
        </w:rPr>
        <w:t>FDA</w:t>
      </w:r>
      <w:r>
        <w:rPr>
          <w:rFonts w:hint="eastAsia" w:ascii="Times New Roman" w:cs="Times New Roman"/>
          <w:color w:val="auto"/>
          <w:sz w:val="21"/>
          <w:szCs w:val="21"/>
        </w:rPr>
        <w:t>提出的问题提出了意见，并对他们对最终问题的回答进行了调查：</w:t>
      </w:r>
      <w:r>
        <w:rPr>
          <w:rFonts w:ascii="Times New Roman" w:hAnsi="Times New Roman" w:cs="Times New Roman"/>
          <w:color w:val="auto"/>
          <w:sz w:val="21"/>
          <w:szCs w:val="21"/>
        </w:rPr>
        <w:t>“</w:t>
      </w:r>
      <w:r>
        <w:rPr>
          <w:rFonts w:hint="eastAsia" w:ascii="Times New Roman" w:cs="Times New Roman"/>
          <w:color w:val="auto"/>
          <w:sz w:val="21"/>
          <w:szCs w:val="21"/>
        </w:rPr>
        <w:t>目前的科学证据是否证明继续豁免</w:t>
      </w:r>
      <w:r>
        <w:rPr>
          <w:rFonts w:ascii="Times New Roman" w:hAnsi="Times New Roman" w:cs="Times New Roman"/>
          <w:color w:val="auto"/>
          <w:sz w:val="21"/>
          <w:szCs w:val="21"/>
        </w:rPr>
        <w:t>FDA</w:t>
      </w:r>
      <w:r>
        <w:rPr>
          <w:rFonts w:hint="eastAsia" w:ascii="Times New Roman" w:cs="Times New Roman"/>
          <w:color w:val="auto"/>
          <w:sz w:val="21"/>
          <w:szCs w:val="21"/>
        </w:rPr>
        <w:t>明确禁止</w:t>
      </w:r>
      <w:r>
        <w:rPr>
          <w:rFonts w:ascii="Times New Roman" w:hAnsi="Times New Roman" w:cs="Times New Roman"/>
          <w:color w:val="auto"/>
          <w:sz w:val="21"/>
          <w:szCs w:val="21"/>
        </w:rPr>
        <w:t>FDA</w:t>
      </w:r>
      <w:r>
        <w:rPr>
          <w:rFonts w:hint="eastAsia" w:ascii="Times New Roman" w:cs="Times New Roman"/>
          <w:color w:val="auto"/>
          <w:sz w:val="21"/>
          <w:szCs w:val="21"/>
        </w:rPr>
        <w:t>对其他来自</w:t>
      </w:r>
      <w:r>
        <w:rPr>
          <w:rFonts w:ascii="Times New Roman" w:hAnsi="Times New Roman" w:cs="Times New Roman"/>
          <w:color w:val="auto"/>
          <w:sz w:val="21"/>
          <w:szCs w:val="21"/>
        </w:rPr>
        <w:t>BSE</w:t>
      </w:r>
      <w:r>
        <w:rPr>
          <w:rFonts w:hint="eastAsia" w:ascii="Times New Roman" w:cs="Times New Roman"/>
          <w:color w:val="auto"/>
          <w:sz w:val="21"/>
          <w:szCs w:val="21"/>
        </w:rPr>
        <w:t>国家牛源材料的建议。</w:t>
      </w:r>
      <w:r>
        <w:rPr>
          <w:rFonts w:ascii="Times New Roman" w:hAnsi="Times New Roman" w:cs="Times New Roman"/>
          <w:color w:val="auto"/>
          <w:sz w:val="21"/>
          <w:szCs w:val="21"/>
        </w:rPr>
        <w:t>14</w:t>
      </w:r>
      <w:r>
        <w:rPr>
          <w:rFonts w:hint="eastAsia" w:ascii="Times New Roman" w:cs="Times New Roman"/>
          <w:color w:val="auto"/>
          <w:sz w:val="21"/>
          <w:szCs w:val="21"/>
        </w:rPr>
        <w:t>名成员中有</w:t>
      </w:r>
      <w:r>
        <w:rPr>
          <w:rFonts w:ascii="Times New Roman" w:hAnsi="Times New Roman" w:cs="Times New Roman"/>
          <w:color w:val="auto"/>
          <w:sz w:val="21"/>
          <w:szCs w:val="21"/>
        </w:rPr>
        <w:t>10</w:t>
      </w:r>
      <w:r>
        <w:rPr>
          <w:rFonts w:hint="eastAsia" w:ascii="Times New Roman" w:cs="Times New Roman"/>
          <w:color w:val="auto"/>
          <w:sz w:val="21"/>
          <w:szCs w:val="21"/>
        </w:rPr>
        <w:t>位对此问题作了</w:t>
      </w:r>
      <w:r>
        <w:rPr>
          <w:rFonts w:ascii="Times New Roman" w:hAnsi="Times New Roman" w:cs="Times New Roman"/>
          <w:color w:val="auto"/>
          <w:sz w:val="21"/>
          <w:szCs w:val="21"/>
        </w:rPr>
        <w:t>“</w:t>
      </w:r>
      <w:r>
        <w:rPr>
          <w:rFonts w:hint="eastAsia" w:ascii="Times New Roman" w:cs="Times New Roman"/>
          <w:color w:val="auto"/>
          <w:sz w:val="21"/>
          <w:szCs w:val="21"/>
        </w:rPr>
        <w:t>否</w:t>
      </w:r>
      <w:r>
        <w:rPr>
          <w:rFonts w:ascii="Times New Roman" w:hAnsi="Times New Roman" w:cs="Times New Roman"/>
          <w:color w:val="auto"/>
          <w:sz w:val="21"/>
          <w:szCs w:val="21"/>
        </w:rPr>
        <w:t>”</w:t>
      </w:r>
      <w:r>
        <w:rPr>
          <w:rFonts w:hint="eastAsia" w:ascii="Times New Roman" w:cs="Times New Roman"/>
          <w:color w:val="auto"/>
          <w:sz w:val="21"/>
          <w:szCs w:val="21"/>
        </w:rPr>
        <w:t>或</w:t>
      </w:r>
      <w:r>
        <w:rPr>
          <w:rFonts w:ascii="Times New Roman" w:hAnsi="Times New Roman" w:cs="Times New Roman"/>
          <w:color w:val="auto"/>
          <w:sz w:val="21"/>
          <w:szCs w:val="21"/>
        </w:rPr>
        <w:t>“</w:t>
      </w:r>
      <w:r>
        <w:rPr>
          <w:rFonts w:hint="eastAsia" w:ascii="Times New Roman" w:cs="Times New Roman"/>
          <w:color w:val="auto"/>
          <w:sz w:val="21"/>
          <w:szCs w:val="21"/>
        </w:rPr>
        <w:t>肯定否</w:t>
      </w:r>
      <w:r>
        <w:rPr>
          <w:rFonts w:ascii="Times New Roman" w:hAnsi="Times New Roman" w:cs="Times New Roman"/>
          <w:color w:val="auto"/>
          <w:sz w:val="21"/>
          <w:szCs w:val="21"/>
        </w:rPr>
        <w:t>”</w:t>
      </w:r>
      <w:r>
        <w:rPr>
          <w:rFonts w:hint="eastAsia" w:ascii="Times New Roman" w:cs="Times New Roman"/>
          <w:color w:val="auto"/>
          <w:sz w:val="21"/>
          <w:szCs w:val="21"/>
        </w:rPr>
        <w:t>（见附件</w:t>
      </w:r>
      <w:r>
        <w:rPr>
          <w:rFonts w:ascii="Times New Roman" w:hAnsi="Times New Roman" w:cs="Times New Roman"/>
          <w:color w:val="auto"/>
          <w:sz w:val="21"/>
          <w:szCs w:val="21"/>
        </w:rPr>
        <w:t>B</w:t>
      </w:r>
      <w:r>
        <w:rPr>
          <w:rFonts w:hint="eastAsia" w:ascii="Times New Roman" w:cs="Times New Roman"/>
          <w:color w:val="auto"/>
          <w:sz w:val="21"/>
          <w:szCs w:val="21"/>
        </w:rPr>
        <w:t>，咨询委员会会议摘要）。</w:t>
      </w:r>
    </w:p>
    <w:p w14:paraId="5BAEE30B">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u w:val="single"/>
        </w:rPr>
        <w:t>建议</w:t>
      </w:r>
      <w:r>
        <w:rPr>
          <w:rFonts w:ascii="Times New Roman" w:hAnsi="Times New Roman" w:cs="Times New Roman"/>
          <w:color w:val="auto"/>
          <w:sz w:val="21"/>
          <w:szCs w:val="21"/>
        </w:rPr>
        <w:t xml:space="preserve"> - FDA</w:t>
      </w:r>
      <w:r>
        <w:rPr>
          <w:rFonts w:hint="eastAsia" w:ascii="Times New Roman" w:cs="Times New Roman"/>
          <w:color w:val="auto"/>
          <w:sz w:val="21"/>
          <w:szCs w:val="21"/>
        </w:rPr>
        <w:t>一直在审查目前可用的科学信息，包括代表欧洲明胶生产商和美国明胶生产商研究所提供的信息。</w:t>
      </w:r>
      <w:r>
        <w:rPr>
          <w:rFonts w:ascii="Times New Roman" w:hAnsi="Times New Roman" w:cs="Times New Roman"/>
          <w:color w:val="auto"/>
          <w:sz w:val="21"/>
          <w:szCs w:val="21"/>
        </w:rPr>
        <w:br w:type="textWrapping"/>
      </w:r>
      <w:r>
        <w:rPr>
          <w:rFonts w:ascii="Times New Roman" w:hAnsi="Times New Roman" w:cs="Times New Roman"/>
          <w:color w:val="auto"/>
          <w:sz w:val="21"/>
          <w:szCs w:val="21"/>
        </w:rPr>
        <w:t>FDA</w:t>
      </w:r>
      <w:r>
        <w:rPr>
          <w:rFonts w:hint="eastAsia" w:ascii="Times New Roman" w:cs="Times New Roman"/>
          <w:color w:val="auto"/>
          <w:sz w:val="21"/>
          <w:szCs w:val="21"/>
        </w:rPr>
        <w:t>还审议了咨询委员会的建议和其他可用信息。基于这一审查，</w:t>
      </w:r>
      <w:r>
        <w:rPr>
          <w:rFonts w:ascii="Times New Roman" w:hAnsi="Times New Roman" w:cs="Times New Roman"/>
          <w:color w:val="auto"/>
          <w:sz w:val="21"/>
          <w:szCs w:val="21"/>
        </w:rPr>
        <w:t>FDA</w:t>
      </w:r>
      <w:r>
        <w:rPr>
          <w:rFonts w:hint="eastAsia" w:ascii="Times New Roman" w:cs="Times New Roman"/>
          <w:color w:val="auto"/>
          <w:sz w:val="21"/>
          <w:szCs w:val="21"/>
        </w:rPr>
        <w:t>提出以下有关明胶可接受性建议，用于人用的</w:t>
      </w:r>
      <w:r>
        <w:rPr>
          <w:rFonts w:ascii="Times New Roman" w:hAnsi="Times New Roman" w:cs="Times New Roman"/>
          <w:color w:val="auto"/>
          <w:sz w:val="21"/>
          <w:szCs w:val="21"/>
        </w:rPr>
        <w:t>FDA</w:t>
      </w:r>
      <w:r>
        <w:rPr>
          <w:rFonts w:hint="eastAsia" w:ascii="Times New Roman" w:cs="Times New Roman"/>
          <w:color w:val="auto"/>
          <w:sz w:val="21"/>
          <w:szCs w:val="21"/>
        </w:rPr>
        <w:t>监管产品：</w:t>
      </w:r>
    </w:p>
    <w:p w14:paraId="749B67C9">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1.</w:t>
      </w:r>
      <w:r>
        <w:rPr>
          <w:rFonts w:ascii="Times New Roman" w:hAnsi="Times New Roman" w:cs="Times New Roman"/>
          <w:color w:val="auto"/>
          <w:sz w:val="21"/>
          <w:szCs w:val="21"/>
        </w:rPr>
        <w:tab/>
      </w:r>
      <w:r>
        <w:rPr>
          <w:rFonts w:hint="eastAsia" w:ascii="Times New Roman" w:cs="Times New Roman"/>
          <w:color w:val="auto"/>
          <w:sz w:val="21"/>
          <w:szCs w:val="21"/>
        </w:rPr>
        <w:t>为了确保分销链中的所有各方采取适当的责任，进口商、生产商和供应商应确定用于加工人用明胶所用所有材料的组织、物种和来源国家。</w:t>
      </w:r>
    </w:p>
    <w:p w14:paraId="6F90464D">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ascii="Times New Roman" w:hAnsi="Times New Roman" w:cs="Times New Roman"/>
          <w:color w:val="auto"/>
          <w:sz w:val="21"/>
          <w:szCs w:val="21"/>
        </w:rPr>
        <w:t>2.</w:t>
      </w:r>
      <w:r>
        <w:rPr>
          <w:rFonts w:ascii="Times New Roman" w:hAnsi="Times New Roman" w:cs="Times New Roman"/>
          <w:color w:val="auto"/>
          <w:sz w:val="21"/>
          <w:szCs w:val="21"/>
        </w:rPr>
        <w:tab/>
      </w:r>
      <w:r>
        <w:rPr>
          <w:rFonts w:hint="eastAsia" w:ascii="Times New Roman" w:cs="Times New Roman"/>
          <w:color w:val="auto"/>
          <w:sz w:val="21"/>
          <w:szCs w:val="21"/>
        </w:rPr>
        <w:t>任何来源国中出现神经系统疾病体征的牛骨骼和皮革均不应该被用作生产明胶的原料。</w:t>
      </w:r>
    </w:p>
    <w:p w14:paraId="2B98E011">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3.</w:t>
      </w:r>
      <w:r>
        <w:rPr>
          <w:rFonts w:ascii="Times New Roman" w:hAnsi="Times New Roman" w:cs="Times New Roman"/>
          <w:color w:val="auto"/>
          <w:sz w:val="21"/>
          <w:szCs w:val="21"/>
        </w:rPr>
        <w:tab/>
      </w:r>
      <w:r>
        <w:rPr>
          <w:rFonts w:ascii="Times New Roman" w:hAnsi="Times New Roman" w:cs="Times New Roman"/>
          <w:color w:val="auto"/>
          <w:sz w:val="21"/>
          <w:szCs w:val="21"/>
        </w:rPr>
        <w:t>“</w:t>
      </w:r>
      <w:r>
        <w:rPr>
          <w:rFonts w:hint="eastAsia" w:ascii="Times New Roman" w:cs="Times New Roman"/>
          <w:color w:val="auto"/>
          <w:sz w:val="21"/>
          <w:szCs w:val="21"/>
        </w:rPr>
        <w:t>从生长在或源于有</w:t>
      </w:r>
      <w:r>
        <w:rPr>
          <w:rFonts w:ascii="Times New Roman" w:hAnsi="Times New Roman" w:cs="Times New Roman"/>
          <w:color w:val="auto"/>
          <w:sz w:val="21"/>
          <w:szCs w:val="21"/>
        </w:rPr>
        <w:t>BSE</w:t>
      </w:r>
      <w:r>
        <w:rPr>
          <w:rFonts w:hint="eastAsia" w:ascii="Times New Roman" w:cs="Times New Roman"/>
          <w:color w:val="auto"/>
          <w:sz w:val="21"/>
          <w:szCs w:val="21"/>
        </w:rPr>
        <w:t>报告或未达到国际兽疫局（</w:t>
      </w:r>
      <w:r>
        <w:rPr>
          <w:rFonts w:ascii="Times New Roman" w:hAnsi="Times New Roman" w:cs="Times New Roman"/>
          <w:color w:val="auto"/>
          <w:sz w:val="21"/>
          <w:szCs w:val="21"/>
        </w:rPr>
        <w:t>OIE</w:t>
      </w:r>
      <w:r>
        <w:rPr>
          <w:rFonts w:hint="eastAsia" w:ascii="Times New Roman" w:cs="Times New Roman"/>
          <w:color w:val="auto"/>
          <w:sz w:val="21"/>
          <w:szCs w:val="21"/>
        </w:rPr>
        <w:t>）</w:t>
      </w:r>
      <w:r>
        <w:rPr>
          <w:rFonts w:ascii="Times New Roman" w:hAnsi="Times New Roman" w:cs="Times New Roman"/>
          <w:color w:val="auto"/>
          <w:sz w:val="21"/>
          <w:szCs w:val="21"/>
          <w:vertAlign w:val="superscript"/>
        </w:rPr>
        <w:t>2</w:t>
      </w:r>
      <w:r>
        <w:rPr>
          <w:rFonts w:ascii="Times New Roman" w:hAnsi="Times New Roman" w:cs="Times New Roman"/>
          <w:color w:val="auto"/>
          <w:sz w:val="21"/>
          <w:szCs w:val="21"/>
        </w:rPr>
        <w:t xml:space="preserve"> (</w:t>
      </w:r>
      <w:r>
        <w:rPr>
          <w:rFonts w:hint="eastAsia" w:ascii="Times New Roman" w:cs="Times New Roman"/>
          <w:color w:val="auto"/>
          <w:sz w:val="21"/>
          <w:szCs w:val="21"/>
        </w:rPr>
        <w:t>见附件</w:t>
      </w:r>
      <w:r>
        <w:rPr>
          <w:rFonts w:ascii="Times New Roman" w:hAnsi="Times New Roman" w:cs="Times New Roman"/>
          <w:color w:val="auto"/>
          <w:sz w:val="21"/>
          <w:szCs w:val="21"/>
        </w:rPr>
        <w:t xml:space="preserve"> C) </w:t>
      </w:r>
      <w:r>
        <w:rPr>
          <w:rFonts w:hint="eastAsia" w:ascii="Times New Roman" w:cs="Times New Roman"/>
          <w:color w:val="auto"/>
          <w:sz w:val="21"/>
          <w:szCs w:val="21"/>
        </w:rPr>
        <w:t>最新</w:t>
      </w:r>
      <w:r>
        <w:rPr>
          <w:rFonts w:ascii="Times New Roman" w:hAnsi="Times New Roman" w:cs="Times New Roman"/>
          <w:color w:val="auto"/>
          <w:sz w:val="21"/>
          <w:szCs w:val="21"/>
        </w:rPr>
        <w:t>BSE</w:t>
      </w:r>
      <w:r>
        <w:rPr>
          <w:rFonts w:hint="eastAsia" w:ascii="Times New Roman" w:cs="Times New Roman"/>
          <w:color w:val="auto"/>
          <w:sz w:val="21"/>
          <w:szCs w:val="21"/>
        </w:rPr>
        <w:t>相关标准的国家的牛骨和皮获得的明胶不得用于注射，眼科，或植入</w:t>
      </w:r>
      <w:r>
        <w:rPr>
          <w:rFonts w:ascii="Times New Roman" w:hAnsi="Times New Roman" w:cs="Times New Roman"/>
          <w:color w:val="auto"/>
          <w:sz w:val="21"/>
          <w:szCs w:val="21"/>
        </w:rPr>
        <w:t>FDA</w:t>
      </w:r>
      <w:r>
        <w:rPr>
          <w:rFonts w:hint="eastAsia" w:ascii="Times New Roman" w:cs="Times New Roman"/>
          <w:color w:val="auto"/>
          <w:sz w:val="21"/>
          <w:szCs w:val="21"/>
        </w:rPr>
        <w:t>规定的产品，或其生产过程中。</w:t>
      </w:r>
      <w:r>
        <w:rPr>
          <w:rFonts w:ascii="Times New Roman" w:hAnsi="Times New Roman" w:cs="Times New Roman"/>
          <w:color w:val="auto"/>
          <w:sz w:val="21"/>
          <w:szCs w:val="21"/>
        </w:rPr>
        <w:t>”</w:t>
      </w:r>
    </w:p>
    <w:p w14:paraId="1EC4CF0E">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4</w:t>
      </w:r>
      <w:r>
        <w:rPr>
          <w:rFonts w:hint="eastAsia" w:ascii="Times New Roman" w:cs="Times New Roman"/>
          <w:color w:val="auto"/>
          <w:sz w:val="21"/>
          <w:szCs w:val="21"/>
        </w:rPr>
        <w:t>．</w:t>
      </w:r>
      <w:r>
        <w:rPr>
          <w:rFonts w:ascii="Times New Roman" w:hAnsi="Times New Roman" w:cs="Times New Roman"/>
          <w:color w:val="auto"/>
          <w:sz w:val="21"/>
          <w:szCs w:val="21"/>
        </w:rPr>
        <w:tab/>
      </w:r>
      <w:r>
        <w:rPr>
          <w:rFonts w:hint="eastAsia" w:ascii="Times New Roman" w:cs="Times New Roman"/>
          <w:color w:val="auto"/>
          <w:sz w:val="21"/>
          <w:szCs w:val="21"/>
        </w:rPr>
        <w:t>在这个时候，当明胶是从生长在或来源于</w:t>
      </w:r>
      <w:r>
        <w:rPr>
          <w:rFonts w:ascii="Times New Roman" w:hAnsi="Times New Roman" w:cs="Times New Roman"/>
          <w:color w:val="auto"/>
          <w:sz w:val="21"/>
          <w:szCs w:val="21"/>
        </w:rPr>
        <w:t>BSE</w:t>
      </w:r>
      <w:r>
        <w:rPr>
          <w:rFonts w:hint="eastAsia" w:ascii="Times New Roman" w:cs="Times New Roman"/>
          <w:color w:val="auto"/>
          <w:sz w:val="21"/>
          <w:szCs w:val="21"/>
        </w:rPr>
        <w:t>国家的牛的骨头进行生产时，如果牛来自无</w:t>
      </w:r>
      <w:r>
        <w:rPr>
          <w:rFonts w:ascii="Times New Roman" w:hAnsi="Times New Roman" w:cs="Times New Roman"/>
          <w:color w:val="auto"/>
          <w:sz w:val="21"/>
          <w:szCs w:val="21"/>
        </w:rPr>
        <w:t>BSE</w:t>
      </w:r>
      <w:r>
        <w:rPr>
          <w:rFonts w:hint="eastAsia" w:ascii="Times New Roman" w:cs="Times New Roman"/>
          <w:color w:val="auto"/>
          <w:sz w:val="21"/>
          <w:szCs w:val="21"/>
        </w:rPr>
        <w:t>的牛群，且如果屠宰场在屠宰后直接除去头、脊椎和脊髓，那么这并不会成为反对在口服用和化妆品用的</w:t>
      </w:r>
      <w:r>
        <w:rPr>
          <w:rFonts w:ascii="Times New Roman" w:hAnsi="Times New Roman" w:cs="Times New Roman"/>
          <w:color w:val="auto"/>
          <w:sz w:val="21"/>
          <w:szCs w:val="21"/>
        </w:rPr>
        <w:t>FDA</w:t>
      </w:r>
      <w:r>
        <w:rPr>
          <w:rFonts w:hint="eastAsia" w:ascii="Times New Roman" w:cs="Times New Roman"/>
          <w:color w:val="auto"/>
          <w:sz w:val="21"/>
          <w:szCs w:val="21"/>
        </w:rPr>
        <w:t>监管产品中使用明胶的依据。如果屠宰场在屠宰后即将头部、脊椎和脊髓去除，对于尚未报告有</w:t>
      </w:r>
      <w:r>
        <w:rPr>
          <w:rFonts w:ascii="Times New Roman" w:hAnsi="Times New Roman" w:cs="Times New Roman"/>
          <w:color w:val="auto"/>
          <w:sz w:val="21"/>
          <w:szCs w:val="21"/>
        </w:rPr>
        <w:t>BSE</w:t>
      </w:r>
      <w:r>
        <w:rPr>
          <w:rFonts w:hint="eastAsia" w:ascii="Times New Roman" w:cs="Times New Roman"/>
          <w:color w:val="auto"/>
          <w:sz w:val="21"/>
          <w:szCs w:val="21"/>
        </w:rPr>
        <w:t>但并不符合</w:t>
      </w:r>
      <w:r>
        <w:rPr>
          <w:rFonts w:ascii="Times New Roman" w:hAnsi="Times New Roman" w:cs="Times New Roman"/>
          <w:color w:val="auto"/>
          <w:sz w:val="21"/>
          <w:szCs w:val="21"/>
        </w:rPr>
        <w:t>OIE</w:t>
      </w:r>
      <w:r>
        <w:rPr>
          <w:rFonts w:hint="eastAsia" w:ascii="Times New Roman" w:cs="Times New Roman"/>
          <w:color w:val="auto"/>
          <w:sz w:val="21"/>
          <w:szCs w:val="21"/>
        </w:rPr>
        <w:t>标准的骨头生产的明胶，那么也不会成为反对该明胶在口服用和化妆品用</w:t>
      </w:r>
      <w:r>
        <w:rPr>
          <w:rFonts w:ascii="Times New Roman" w:hAnsi="Times New Roman" w:cs="Times New Roman"/>
          <w:color w:val="auto"/>
          <w:sz w:val="21"/>
          <w:szCs w:val="21"/>
        </w:rPr>
        <w:t>FDA</w:t>
      </w:r>
      <w:r>
        <w:rPr>
          <w:rFonts w:hint="eastAsia" w:ascii="Times New Roman" w:cs="Times New Roman"/>
          <w:color w:val="auto"/>
          <w:sz w:val="21"/>
          <w:szCs w:val="21"/>
        </w:rPr>
        <w:t>监管产品中使用的依据。</w:t>
      </w:r>
      <w:r>
        <w:rPr>
          <w:rFonts w:ascii="Times New Roman" w:hAnsi="Times New Roman" w:cs="Times New Roman"/>
          <w:color w:val="auto"/>
          <w:sz w:val="21"/>
          <w:szCs w:val="21"/>
        </w:rPr>
        <w:br w:type="textWrapping"/>
      </w:r>
      <w:r>
        <w:rPr>
          <w:rFonts w:hint="eastAsia" w:ascii="Times New Roman" w:cs="Times New Roman"/>
          <w:color w:val="auto"/>
          <w:sz w:val="21"/>
          <w:szCs w:val="21"/>
        </w:rPr>
        <w:t>明胶加工商应确保为明胶生产提供牛骨的屠宰场，作为屠宰后的第一个步骤，去除头部、脊椎和脊髓。</w:t>
      </w:r>
    </w:p>
    <w:p w14:paraId="1B5A0D28">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5.</w:t>
      </w:r>
      <w:r>
        <w:rPr>
          <w:rFonts w:ascii="Times New Roman" w:hAnsi="Times New Roman" w:cs="Times New Roman"/>
          <w:color w:val="auto"/>
          <w:sz w:val="21"/>
          <w:szCs w:val="21"/>
        </w:rPr>
        <w:tab/>
      </w:r>
      <w:r>
        <w:rPr>
          <w:rFonts w:hint="eastAsia" w:ascii="Times New Roman" w:cs="Times New Roman"/>
          <w:color w:val="auto"/>
          <w:sz w:val="21"/>
          <w:szCs w:val="21"/>
        </w:rPr>
        <w:t>在这个时候，如果加工商确保牛皮没有被流行或源自于</w:t>
      </w:r>
      <w:r>
        <w:rPr>
          <w:rFonts w:ascii="Times New Roman" w:hAnsi="Times New Roman" w:cs="Times New Roman"/>
          <w:color w:val="auto"/>
          <w:sz w:val="21"/>
          <w:szCs w:val="21"/>
        </w:rPr>
        <w:t>BSE</w:t>
      </w:r>
      <w:r>
        <w:rPr>
          <w:rFonts w:hint="eastAsia" w:ascii="Times New Roman" w:cs="Times New Roman"/>
          <w:color w:val="auto"/>
          <w:sz w:val="21"/>
          <w:szCs w:val="21"/>
        </w:rPr>
        <w:t>国家的牛的脑、脊髓或眼组织污染，并且如果它们去除有神经系统疾病体征牛的皮，那么没有反对使用来自任何来源国的牛皮所制成的明胶在口服用和化妆品用</w:t>
      </w:r>
      <w:r>
        <w:rPr>
          <w:rFonts w:ascii="Times New Roman" w:hAnsi="Times New Roman" w:cs="Times New Roman"/>
          <w:color w:val="auto"/>
          <w:sz w:val="21"/>
          <w:szCs w:val="21"/>
        </w:rPr>
        <w:t>FDA</w:t>
      </w:r>
      <w:r>
        <w:rPr>
          <w:rFonts w:hint="eastAsia" w:ascii="Times New Roman" w:cs="Times New Roman"/>
          <w:color w:val="auto"/>
          <w:sz w:val="21"/>
          <w:szCs w:val="21"/>
        </w:rPr>
        <w:t>监管产品中使用的依据（见＃</w:t>
      </w:r>
      <w:r>
        <w:rPr>
          <w:rFonts w:ascii="Times New Roman" w:hAnsi="Times New Roman" w:cs="Times New Roman"/>
          <w:color w:val="auto"/>
          <w:sz w:val="21"/>
          <w:szCs w:val="21"/>
        </w:rPr>
        <w:t>2</w:t>
      </w:r>
      <w:r>
        <w:rPr>
          <w:rFonts w:hint="eastAsia" w:ascii="Times New Roman" w:cs="Times New Roman"/>
          <w:color w:val="auto"/>
          <w:sz w:val="21"/>
          <w:szCs w:val="21"/>
        </w:rPr>
        <w:t>）。</w:t>
      </w:r>
    </w:p>
    <w:p w14:paraId="1E01C91F">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6.</w:t>
      </w:r>
      <w:r>
        <w:rPr>
          <w:rFonts w:ascii="Times New Roman" w:hAnsi="Times New Roman" w:cs="Times New Roman"/>
          <w:color w:val="auto"/>
          <w:sz w:val="21"/>
          <w:szCs w:val="21"/>
        </w:rPr>
        <w:tab/>
      </w:r>
      <w:r>
        <w:rPr>
          <w:rFonts w:ascii="Times New Roman" w:hAnsi="Times New Roman" w:cs="Times New Roman"/>
          <w:color w:val="auto"/>
          <w:sz w:val="21"/>
          <w:szCs w:val="21"/>
        </w:rPr>
        <w:t>“</w:t>
      </w:r>
      <w:r>
        <w:rPr>
          <w:rFonts w:hint="eastAsia" w:ascii="Times New Roman" w:cs="Times New Roman"/>
          <w:color w:val="auto"/>
          <w:sz w:val="21"/>
          <w:szCs w:val="21"/>
        </w:rPr>
        <w:t>如果明胶是用美国的原材料，或在没有</w:t>
      </w:r>
      <w:r>
        <w:rPr>
          <w:rFonts w:ascii="Times New Roman" w:hAnsi="Times New Roman" w:cs="Times New Roman"/>
          <w:color w:val="auto"/>
          <w:sz w:val="21"/>
          <w:szCs w:val="21"/>
        </w:rPr>
        <w:t>BSE</w:t>
      </w:r>
      <w:r>
        <w:rPr>
          <w:rFonts w:hint="eastAsia" w:ascii="Times New Roman" w:cs="Times New Roman"/>
          <w:color w:val="auto"/>
          <w:sz w:val="21"/>
          <w:szCs w:val="21"/>
        </w:rPr>
        <w:t>病例报告和达到</w:t>
      </w:r>
      <w:r>
        <w:rPr>
          <w:rFonts w:ascii="Times New Roman" w:hAnsi="Times New Roman" w:cs="Times New Roman"/>
          <w:color w:val="auto"/>
          <w:sz w:val="21"/>
          <w:szCs w:val="21"/>
        </w:rPr>
        <w:t>OIE BSE</w:t>
      </w:r>
      <w:r>
        <w:rPr>
          <w:rFonts w:hint="eastAsia" w:ascii="Times New Roman" w:cs="Times New Roman"/>
          <w:color w:val="auto"/>
          <w:sz w:val="21"/>
          <w:szCs w:val="21"/>
        </w:rPr>
        <w:t>标准的国家出生、饲养和宰杀的牛生产的，那么目前没有反对使用明胶的依据。</w:t>
      </w:r>
      <w:r>
        <w:rPr>
          <w:rFonts w:ascii="Times New Roman" w:hAnsi="Times New Roman" w:cs="Times New Roman"/>
          <w:color w:val="auto"/>
          <w:sz w:val="21"/>
          <w:szCs w:val="21"/>
        </w:rPr>
        <w:t>”</w:t>
      </w:r>
    </w:p>
    <w:p w14:paraId="6082B2B8">
      <w:pPr>
        <w:adjustRightInd w:val="0"/>
        <w:snapToGrid w:val="0"/>
        <w:spacing w:beforeLines="50" w:line="360" w:lineRule="auto"/>
        <w:jc w:val="both"/>
        <w:rPr>
          <w:rFonts w:ascii="Times New Roman" w:cs="Times New Roman"/>
          <w:color w:val="auto"/>
          <w:sz w:val="21"/>
          <w:szCs w:val="21"/>
        </w:rPr>
      </w:pPr>
      <w:r>
        <w:rPr>
          <w:rFonts w:ascii="Times New Roman" w:hAnsi="Times New Roman" w:cs="Times New Roman"/>
          <w:color w:val="auto"/>
          <w:sz w:val="21"/>
          <w:szCs w:val="21"/>
        </w:rPr>
        <w:t>7.</w:t>
      </w:r>
      <w:r>
        <w:rPr>
          <w:rFonts w:ascii="Times New Roman" w:hAnsi="Times New Roman" w:cs="Times New Roman"/>
          <w:color w:val="auto"/>
          <w:sz w:val="21"/>
          <w:szCs w:val="21"/>
        </w:rPr>
        <w:tab/>
      </w:r>
      <w:r>
        <w:rPr>
          <w:rFonts w:hint="eastAsia" w:ascii="Times New Roman" w:cs="Times New Roman"/>
          <w:color w:val="auto"/>
          <w:sz w:val="21"/>
          <w:szCs w:val="21"/>
        </w:rPr>
        <w:t>在这个时候，没有反对使用从任何来源国家的猪皮制成的明胶在人用</w:t>
      </w:r>
      <w:r>
        <w:rPr>
          <w:rFonts w:ascii="Times New Roman" w:hAnsi="Times New Roman" w:cs="Times New Roman"/>
          <w:color w:val="auto"/>
          <w:sz w:val="21"/>
          <w:szCs w:val="21"/>
        </w:rPr>
        <w:t>FD</w:t>
      </w:r>
      <w:r>
        <w:rPr>
          <w:rFonts w:hint="eastAsia" w:ascii="Times New Roman" w:cs="Times New Roman"/>
          <w:color w:val="auto"/>
          <w:sz w:val="21"/>
          <w:szCs w:val="21"/>
        </w:rPr>
        <w:t>监管产品中使用的依据。加工者应确保由猪皮制成的明胶不会与源自</w:t>
      </w:r>
      <w:r>
        <w:rPr>
          <w:rFonts w:ascii="Times New Roman" w:hAnsi="Times New Roman" w:cs="Times New Roman"/>
          <w:color w:val="auto"/>
          <w:sz w:val="21"/>
          <w:szCs w:val="21"/>
        </w:rPr>
        <w:t>BSE</w:t>
      </w:r>
      <w:r>
        <w:rPr>
          <w:rFonts w:hint="eastAsia" w:ascii="Times New Roman" w:cs="Times New Roman"/>
          <w:color w:val="auto"/>
          <w:sz w:val="21"/>
          <w:szCs w:val="21"/>
        </w:rPr>
        <w:t>国家或不符合</w:t>
      </w:r>
      <w:r>
        <w:rPr>
          <w:rFonts w:ascii="Times New Roman" w:hAnsi="Times New Roman" w:cs="Times New Roman"/>
          <w:color w:val="auto"/>
          <w:sz w:val="21"/>
          <w:szCs w:val="21"/>
        </w:rPr>
        <w:t>OIE</w:t>
      </w:r>
      <w:r>
        <w:rPr>
          <w:rFonts w:hint="eastAsia" w:ascii="Times New Roman" w:cs="Times New Roman"/>
          <w:color w:val="auto"/>
          <w:sz w:val="21"/>
          <w:szCs w:val="21"/>
        </w:rPr>
        <w:t>标准国家的牛源材料形成交叉污染。</w:t>
      </w:r>
    </w:p>
    <w:p w14:paraId="22568711">
      <w:pPr>
        <w:adjustRightInd w:val="0"/>
        <w:snapToGrid w:val="0"/>
        <w:spacing w:beforeLines="50" w:line="360" w:lineRule="auto"/>
        <w:jc w:val="center"/>
        <w:rPr>
          <w:rFonts w:ascii="Times New Roman" w:hAnsi="Times New Roman" w:cs="Times New Roman"/>
          <w:color w:val="auto"/>
          <w:sz w:val="21"/>
          <w:szCs w:val="21"/>
        </w:rPr>
      </w:pPr>
      <w:r>
        <w:rPr>
          <w:rFonts w:hint="eastAsia" w:ascii="Times New Roman" w:cs="Times New Roman"/>
          <w:color w:val="auto"/>
          <w:sz w:val="21"/>
          <w:szCs w:val="21"/>
        </w:rPr>
        <w:t>附件</w:t>
      </w:r>
      <w:r>
        <w:rPr>
          <w:rFonts w:ascii="Times New Roman" w:hAnsi="Times New Roman" w:cs="Times New Roman"/>
          <w:color w:val="auto"/>
          <w:sz w:val="21"/>
          <w:szCs w:val="21"/>
        </w:rPr>
        <w:t>A</w:t>
      </w:r>
    </w:p>
    <w:p w14:paraId="41E2C175">
      <w:pPr>
        <w:adjustRightInd w:val="0"/>
        <w:snapToGrid w:val="0"/>
        <w:spacing w:beforeLines="50" w:line="36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FDA</w:t>
      </w:r>
      <w:r>
        <w:rPr>
          <w:rFonts w:hint="eastAsia" w:ascii="Times New Roman" w:cs="Times New Roman"/>
          <w:color w:val="auto"/>
          <w:sz w:val="21"/>
          <w:szCs w:val="21"/>
        </w:rPr>
        <w:t>涉及</w:t>
      </w:r>
      <w:r>
        <w:rPr>
          <w:rFonts w:ascii="Times New Roman" w:hAnsi="Times New Roman" w:cs="Times New Roman"/>
          <w:color w:val="auto"/>
          <w:sz w:val="21"/>
          <w:szCs w:val="21"/>
        </w:rPr>
        <w:t>BSE</w:t>
      </w:r>
      <w:r>
        <w:rPr>
          <w:rFonts w:hint="eastAsia" w:ascii="Times New Roman" w:cs="Times New Roman"/>
          <w:color w:val="auto"/>
          <w:sz w:val="21"/>
          <w:szCs w:val="21"/>
        </w:rPr>
        <w:t>相关指南</w:t>
      </w:r>
      <w:r>
        <w:rPr>
          <w:rFonts w:ascii="Times New Roman" w:hAnsi="Times New Roman" w:cs="Times New Roman"/>
          <w:color w:val="auto"/>
          <w:sz w:val="21"/>
          <w:szCs w:val="21"/>
        </w:rPr>
        <w:t>/</w:t>
      </w:r>
      <w:r>
        <w:rPr>
          <w:rFonts w:hint="eastAsia" w:ascii="Times New Roman" w:cs="Times New Roman"/>
          <w:color w:val="auto"/>
          <w:sz w:val="21"/>
          <w:szCs w:val="21"/>
        </w:rPr>
        <w:t>法规的纪年表</w:t>
      </w:r>
    </w:p>
    <w:p w14:paraId="771815BA">
      <w:pPr>
        <w:adjustRightInd w:val="0"/>
        <w:snapToGrid w:val="0"/>
        <w:spacing w:beforeLines="50" w:line="360" w:lineRule="auto"/>
        <w:ind w:left="420" w:hanging="420" w:hangingChars="200"/>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Times New Roman" w:cs="Times New Roman"/>
          <w:color w:val="auto"/>
          <w:sz w:val="21"/>
          <w:szCs w:val="21"/>
        </w:rPr>
        <w:t>1992</w:t>
      </w:r>
      <w:r>
        <w:rPr>
          <w:rFonts w:hint="eastAsia" w:ascii="Times New Roman" w:cs="Times New Roman"/>
          <w:color w:val="auto"/>
          <w:sz w:val="21"/>
          <w:szCs w:val="21"/>
        </w:rPr>
        <w:t>年</w:t>
      </w:r>
      <w:r>
        <w:rPr>
          <w:rFonts w:ascii="Times New Roman" w:hAnsi="Times New Roman" w:cs="Times New Roman"/>
          <w:color w:val="auto"/>
          <w:sz w:val="21"/>
          <w:szCs w:val="21"/>
        </w:rPr>
        <w:t>11</w:t>
      </w:r>
      <w:r>
        <w:rPr>
          <w:rFonts w:hint="eastAsia" w:ascii="Times New Roman" w:cs="Times New Roman"/>
          <w:color w:val="auto"/>
          <w:sz w:val="21"/>
          <w:szCs w:val="21"/>
        </w:rPr>
        <w:t>月，</w:t>
      </w:r>
      <w:r>
        <w:rPr>
          <w:rFonts w:ascii="Times New Roman" w:hAnsi="Times New Roman" w:cs="Times New Roman"/>
          <w:color w:val="auto"/>
          <w:sz w:val="21"/>
          <w:szCs w:val="21"/>
        </w:rPr>
        <w:t>FDA</w:t>
      </w:r>
      <w:r>
        <w:rPr>
          <w:rFonts w:hint="eastAsia" w:ascii="Times New Roman" w:cs="Times New Roman"/>
          <w:color w:val="auto"/>
          <w:sz w:val="21"/>
          <w:szCs w:val="21"/>
        </w:rPr>
        <w:t>致函膳食补充剂的制造商，提醒他们关注动物中传染性海绵状脑病（</w:t>
      </w:r>
      <w:r>
        <w:rPr>
          <w:rFonts w:ascii="Times New Roman" w:hAnsi="Times New Roman" w:cs="Times New Roman"/>
          <w:color w:val="auto"/>
          <w:sz w:val="21"/>
          <w:szCs w:val="21"/>
        </w:rPr>
        <w:t>TSE</w:t>
      </w:r>
      <w:r>
        <w:rPr>
          <w:rFonts w:hint="eastAsia" w:ascii="Times New Roman" w:cs="Times New Roman"/>
          <w:color w:val="auto"/>
          <w:sz w:val="21"/>
          <w:szCs w:val="21"/>
        </w:rPr>
        <w:t>）和人类克雅氏病。在该信函中，机构建议生产商调查他们产品中使用任何牛源或羊源材料（通常为神经或腺体）的地理来源。</w:t>
      </w:r>
      <w:r>
        <w:rPr>
          <w:rFonts w:ascii="Times New Roman" w:hAnsi="Times New Roman" w:cs="Times New Roman"/>
          <w:color w:val="auto"/>
          <w:sz w:val="21"/>
          <w:szCs w:val="21"/>
        </w:rPr>
        <w:t>FDA</w:t>
      </w:r>
      <w:r>
        <w:rPr>
          <w:rFonts w:hint="eastAsia" w:ascii="Times New Roman" w:cs="Times New Roman"/>
          <w:color w:val="auto"/>
          <w:sz w:val="21"/>
          <w:szCs w:val="21"/>
        </w:rPr>
        <w:t>还建议，每个生产商都制定一个计划</w:t>
      </w:r>
      <w:r>
        <w:rPr>
          <w:rFonts w:ascii="Times New Roman" w:hAnsi="Times New Roman" w:cs="Times New Roman"/>
          <w:color w:val="auto"/>
          <w:sz w:val="21"/>
          <w:szCs w:val="21"/>
        </w:rPr>
        <w:t>“</w:t>
      </w:r>
      <w:r>
        <w:rPr>
          <w:rFonts w:hint="eastAsia" w:ascii="Times New Roman" w:cs="Times New Roman"/>
          <w:color w:val="auto"/>
          <w:sz w:val="21"/>
          <w:szCs w:val="21"/>
        </w:rPr>
        <w:t>高度确定性</w:t>
      </w:r>
      <w:r>
        <w:rPr>
          <w:rFonts w:ascii="Times New Roman" w:hAnsi="Times New Roman" w:cs="Times New Roman"/>
          <w:color w:val="auto"/>
          <w:sz w:val="21"/>
          <w:szCs w:val="21"/>
        </w:rPr>
        <w:t>”</w:t>
      </w:r>
      <w:r>
        <w:rPr>
          <w:rFonts w:hint="eastAsia" w:ascii="Times New Roman" w:cs="Times New Roman"/>
          <w:color w:val="auto"/>
          <w:sz w:val="21"/>
          <w:szCs w:val="21"/>
        </w:rPr>
        <w:t>确保这些材料均不是来自</w:t>
      </w:r>
      <w:r>
        <w:rPr>
          <w:rFonts w:ascii="Times New Roman" w:hAnsi="Times New Roman" w:cs="Times New Roman"/>
          <w:color w:val="auto"/>
          <w:sz w:val="21"/>
          <w:szCs w:val="21"/>
        </w:rPr>
        <w:t>BSE</w:t>
      </w:r>
      <w:r>
        <w:rPr>
          <w:rFonts w:hint="eastAsia" w:ascii="Times New Roman" w:cs="Times New Roman"/>
          <w:color w:val="auto"/>
          <w:sz w:val="21"/>
          <w:szCs w:val="21"/>
        </w:rPr>
        <w:t>国家（经美国农业部动植物卫生检验局确定），受瘙痒病感染的羊群，无论是国内还是国内（</w:t>
      </w:r>
      <w:r>
        <w:rPr>
          <w:rFonts w:ascii="Times New Roman" w:hAnsi="Times New Roman" w:cs="Times New Roman"/>
          <w:color w:val="auto"/>
          <w:sz w:val="21"/>
          <w:szCs w:val="21"/>
        </w:rPr>
        <w:t>9 CFR 94.18</w:t>
      </w:r>
      <w:r>
        <w:rPr>
          <w:rFonts w:hint="eastAsia" w:ascii="Times New Roman" w:cs="Times New Roman"/>
          <w:color w:val="auto"/>
          <w:sz w:val="21"/>
          <w:szCs w:val="21"/>
        </w:rPr>
        <w:t>）。</w:t>
      </w:r>
    </w:p>
    <w:p w14:paraId="596DD7DB">
      <w:pPr>
        <w:adjustRightInd w:val="0"/>
        <w:snapToGrid w:val="0"/>
        <w:spacing w:line="360" w:lineRule="auto"/>
        <w:ind w:left="420" w:hanging="420" w:hangingChars="200"/>
        <w:jc w:val="both"/>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Times New Roman" w:cs="Times New Roman"/>
          <w:color w:val="auto"/>
          <w:sz w:val="21"/>
          <w:szCs w:val="21"/>
        </w:rPr>
        <w:t>1993</w:t>
      </w:r>
      <w:r>
        <w:rPr>
          <w:rFonts w:hint="eastAsia" w:ascii="Times New Roman" w:cs="Times New Roman"/>
          <w:color w:val="auto"/>
          <w:sz w:val="21"/>
          <w:szCs w:val="21"/>
        </w:rPr>
        <w:t>年</w:t>
      </w:r>
      <w:r>
        <w:rPr>
          <w:rFonts w:ascii="Times New Roman" w:hAnsi="Times New Roman" w:cs="Times New Roman"/>
          <w:color w:val="auto"/>
          <w:sz w:val="21"/>
          <w:szCs w:val="21"/>
        </w:rPr>
        <w:t>12</w:t>
      </w:r>
      <w:r>
        <w:rPr>
          <w:rFonts w:hint="eastAsia" w:ascii="Times New Roman" w:cs="Times New Roman"/>
          <w:color w:val="auto"/>
          <w:sz w:val="21"/>
          <w:szCs w:val="21"/>
        </w:rPr>
        <w:t>月</w:t>
      </w:r>
      <w:r>
        <w:rPr>
          <w:rFonts w:ascii="Times New Roman" w:hAnsi="Times New Roman" w:cs="Times New Roman"/>
          <w:color w:val="auto"/>
          <w:sz w:val="21"/>
          <w:szCs w:val="21"/>
        </w:rPr>
        <w:t>17</w:t>
      </w:r>
      <w:r>
        <w:rPr>
          <w:rFonts w:hint="eastAsia" w:ascii="Times New Roman" w:cs="Times New Roman"/>
          <w:color w:val="auto"/>
          <w:sz w:val="21"/>
          <w:szCs w:val="21"/>
        </w:rPr>
        <w:t>日，致函药物、生物制剂和医疗器械生产商，</w:t>
      </w:r>
      <w:r>
        <w:rPr>
          <w:rFonts w:ascii="Times New Roman" w:hAnsi="Times New Roman" w:cs="Times New Roman"/>
          <w:color w:val="auto"/>
          <w:sz w:val="21"/>
          <w:szCs w:val="21"/>
        </w:rPr>
        <w:t>FDA</w:t>
      </w:r>
      <w:r>
        <w:rPr>
          <w:rFonts w:hint="eastAsia" w:ascii="Times New Roman" w:cs="Times New Roman"/>
          <w:color w:val="auto"/>
          <w:sz w:val="21"/>
          <w:szCs w:val="21"/>
        </w:rPr>
        <w:t>建议不要使用生长或源自</w:t>
      </w:r>
      <w:r>
        <w:rPr>
          <w:rFonts w:ascii="Times New Roman" w:hAnsi="Times New Roman" w:cs="Times New Roman"/>
          <w:color w:val="auto"/>
          <w:sz w:val="21"/>
          <w:szCs w:val="21"/>
        </w:rPr>
        <w:t>BSE</w:t>
      </w:r>
      <w:r>
        <w:rPr>
          <w:rFonts w:hint="eastAsia" w:ascii="Times New Roman" w:cs="Times New Roman"/>
          <w:color w:val="auto"/>
          <w:sz w:val="21"/>
          <w:szCs w:val="21"/>
        </w:rPr>
        <w:t>国家（</w:t>
      </w:r>
      <w:r>
        <w:rPr>
          <w:rFonts w:ascii="Times New Roman" w:hAnsi="Times New Roman" w:cs="Times New Roman"/>
          <w:color w:val="auto"/>
          <w:sz w:val="21"/>
          <w:szCs w:val="21"/>
        </w:rPr>
        <w:t>59 FR 44592</w:t>
      </w:r>
      <w:r>
        <w:rPr>
          <w:rFonts w:hint="eastAsia" w:ascii="Times New Roman" w:cs="Times New Roman"/>
          <w:color w:val="auto"/>
          <w:sz w:val="21"/>
          <w:szCs w:val="21"/>
        </w:rPr>
        <w:t>）牛群的牛源材料。</w:t>
      </w:r>
      <w:r>
        <w:rPr>
          <w:rFonts w:ascii="Times New Roman" w:hAnsi="Times New Roman" w:cs="Times New Roman"/>
          <w:color w:val="auto"/>
          <w:sz w:val="21"/>
          <w:szCs w:val="21"/>
        </w:rPr>
        <w:t>FDA</w:t>
      </w:r>
      <w:r>
        <w:rPr>
          <w:rFonts w:hint="eastAsia" w:ascii="Times New Roman" w:cs="Times New Roman"/>
          <w:color w:val="auto"/>
          <w:sz w:val="21"/>
          <w:szCs w:val="21"/>
        </w:rPr>
        <w:t>建议生产商：</w:t>
      </w:r>
      <w:r>
        <w:rPr>
          <w:rFonts w:ascii="Times New Roman" w:hAnsi="Times New Roman" w:cs="Times New Roman"/>
          <w:color w:val="auto"/>
          <w:sz w:val="21"/>
          <w:szCs w:val="21"/>
        </w:rPr>
        <w:t>a</w:t>
      </w:r>
      <w:r>
        <w:rPr>
          <w:rFonts w:hint="eastAsia" w:ascii="Times New Roman" w:cs="Times New Roman"/>
          <w:color w:val="auto"/>
          <w:sz w:val="21"/>
          <w:szCs w:val="21"/>
        </w:rPr>
        <w:t>）确定产品中的牛源材料，并确定所有用于生产材料的动物所生活的国家；</w:t>
      </w:r>
      <w:r>
        <w:rPr>
          <w:rFonts w:ascii="Times New Roman" w:hAnsi="Times New Roman" w:cs="Times New Roman"/>
          <w:color w:val="auto"/>
          <w:sz w:val="21"/>
          <w:szCs w:val="21"/>
        </w:rPr>
        <w:t xml:space="preserve"> b</w:t>
      </w:r>
      <w:r>
        <w:rPr>
          <w:rFonts w:hint="eastAsia" w:ascii="Times New Roman" w:cs="Times New Roman"/>
          <w:color w:val="auto"/>
          <w:sz w:val="21"/>
          <w:szCs w:val="21"/>
        </w:rPr>
        <w:t>）保存各批次牛源材料和各批次使用这些材料的</w:t>
      </w:r>
      <w:r>
        <w:rPr>
          <w:rFonts w:ascii="Times New Roman" w:hAnsi="Times New Roman" w:cs="Times New Roman"/>
          <w:color w:val="auto"/>
          <w:sz w:val="21"/>
          <w:szCs w:val="21"/>
        </w:rPr>
        <w:t>FDA</w:t>
      </w:r>
      <w:r>
        <w:rPr>
          <w:rFonts w:hint="eastAsia" w:ascii="Times New Roman" w:cs="Times New Roman"/>
          <w:color w:val="auto"/>
          <w:sz w:val="21"/>
          <w:szCs w:val="21"/>
        </w:rPr>
        <w:t>监管产品的溯源记录；</w:t>
      </w:r>
      <w:r>
        <w:rPr>
          <w:rFonts w:ascii="Times New Roman" w:hAnsi="Times New Roman" w:cs="Times New Roman"/>
          <w:color w:val="auto"/>
          <w:sz w:val="21"/>
          <w:szCs w:val="21"/>
        </w:rPr>
        <w:t xml:space="preserve"> c</w:t>
      </w:r>
      <w:r>
        <w:rPr>
          <w:rFonts w:hint="eastAsia" w:ascii="Times New Roman" w:cs="Times New Roman"/>
          <w:color w:val="auto"/>
          <w:sz w:val="21"/>
          <w:szCs w:val="21"/>
        </w:rPr>
        <w:t>）记录用于生产受监管产品任何牛源材料的活体动物的来源国；以及</w:t>
      </w:r>
      <w:r>
        <w:rPr>
          <w:rFonts w:ascii="Times New Roman" w:hAnsi="Times New Roman" w:cs="Times New Roman"/>
          <w:color w:val="auto"/>
          <w:sz w:val="21"/>
          <w:szCs w:val="21"/>
        </w:rPr>
        <w:t>d</w:t>
      </w:r>
      <w:r>
        <w:rPr>
          <w:rFonts w:hint="eastAsia" w:ascii="Times New Roman" w:cs="Times New Roman"/>
          <w:color w:val="auto"/>
          <w:sz w:val="21"/>
          <w:szCs w:val="21"/>
        </w:rPr>
        <w:t>）保存上述记录的副本，以用于在外国场地或外国生产商使用牛源材料生产</w:t>
      </w:r>
      <w:r>
        <w:rPr>
          <w:rFonts w:ascii="Times New Roman" w:hAnsi="Times New Roman" w:cs="Times New Roman"/>
          <w:color w:val="auto"/>
          <w:sz w:val="21"/>
          <w:szCs w:val="21"/>
        </w:rPr>
        <w:t>FDA</w:t>
      </w:r>
      <w:r>
        <w:rPr>
          <w:rFonts w:hint="eastAsia" w:ascii="Times New Roman" w:cs="Times New Roman"/>
          <w:color w:val="auto"/>
          <w:sz w:val="21"/>
          <w:szCs w:val="21"/>
        </w:rPr>
        <w:t>监管产品。</w:t>
      </w:r>
    </w:p>
    <w:p w14:paraId="5EA6FDE7">
      <w:pPr>
        <w:adjustRightInd w:val="0"/>
        <w:snapToGrid w:val="0"/>
        <w:spacing w:line="360" w:lineRule="auto"/>
        <w:ind w:left="420" w:hanging="420" w:hangingChars="200"/>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Times New Roman" w:cs="Times New Roman"/>
          <w:color w:val="auto"/>
          <w:sz w:val="21"/>
          <w:szCs w:val="21"/>
        </w:rPr>
        <w:t>1994</w:t>
      </w:r>
      <w:r>
        <w:rPr>
          <w:rFonts w:hint="eastAsia" w:ascii="Times New Roman" w:cs="Times New Roman"/>
          <w:color w:val="auto"/>
          <w:sz w:val="21"/>
          <w:szCs w:val="21"/>
        </w:rPr>
        <w:t>年</w:t>
      </w:r>
      <w:r>
        <w:rPr>
          <w:rFonts w:ascii="Times New Roman" w:hAnsi="Times New Roman" w:cs="Times New Roman"/>
          <w:color w:val="auto"/>
          <w:sz w:val="21"/>
          <w:szCs w:val="21"/>
        </w:rPr>
        <w:t>7</w:t>
      </w:r>
      <w:r>
        <w:rPr>
          <w:rFonts w:hint="eastAsia" w:ascii="Times New Roman" w:cs="Times New Roman"/>
          <w:color w:val="auto"/>
          <w:sz w:val="21"/>
          <w:szCs w:val="21"/>
        </w:rPr>
        <w:t>月</w:t>
      </w:r>
      <w:r>
        <w:rPr>
          <w:rFonts w:ascii="Times New Roman" w:hAnsi="Times New Roman" w:cs="Times New Roman"/>
          <w:color w:val="auto"/>
          <w:sz w:val="21"/>
          <w:szCs w:val="21"/>
        </w:rPr>
        <w:t>1</w:t>
      </w:r>
      <w:r>
        <w:rPr>
          <w:rFonts w:hint="eastAsia" w:ascii="Times New Roman" w:cs="Times New Roman"/>
          <w:color w:val="auto"/>
          <w:sz w:val="21"/>
          <w:szCs w:val="21"/>
        </w:rPr>
        <w:t>日，临时运作副局长</w:t>
      </w:r>
      <w:r>
        <w:rPr>
          <w:rFonts w:ascii="Times New Roman" w:hAnsi="Times New Roman" w:cs="Times New Roman"/>
          <w:color w:val="auto"/>
          <w:sz w:val="21"/>
          <w:szCs w:val="21"/>
        </w:rPr>
        <w:t>Linda Suydam</w:t>
      </w:r>
      <w:r>
        <w:rPr>
          <w:rFonts w:hint="eastAsia" w:ascii="Times New Roman" w:cs="Times New Roman"/>
          <w:color w:val="auto"/>
          <w:sz w:val="21"/>
          <w:szCs w:val="21"/>
        </w:rPr>
        <w:t>女士致函代表明胶生产商协会（</w:t>
      </w:r>
      <w:r>
        <w:rPr>
          <w:rFonts w:ascii="Times New Roman" w:hAnsi="Times New Roman" w:cs="Times New Roman"/>
          <w:color w:val="auto"/>
          <w:sz w:val="21"/>
          <w:szCs w:val="21"/>
        </w:rPr>
        <w:t>GMA</w:t>
      </w:r>
      <w:r>
        <w:rPr>
          <w:rFonts w:hint="eastAsia" w:ascii="Times New Roman" w:cs="Times New Roman"/>
          <w:color w:val="auto"/>
          <w:sz w:val="21"/>
          <w:szCs w:val="21"/>
        </w:rPr>
        <w:t>）和美国明胶生产商（</w:t>
      </w:r>
      <w:r>
        <w:rPr>
          <w:rFonts w:ascii="Times New Roman" w:hAnsi="Times New Roman" w:cs="Times New Roman"/>
          <w:color w:val="auto"/>
          <w:sz w:val="21"/>
          <w:szCs w:val="21"/>
        </w:rPr>
        <w:t>GMIA</w:t>
      </w:r>
      <w:r>
        <w:rPr>
          <w:rFonts w:hint="eastAsia" w:ascii="Times New Roman" w:cs="Times New Roman"/>
          <w:color w:val="auto"/>
          <w:sz w:val="21"/>
          <w:szCs w:val="21"/>
        </w:rPr>
        <w:t>）的法律顾问，信函中表示经审查现有科学资料后，此时</w:t>
      </w:r>
      <w:r>
        <w:rPr>
          <w:rFonts w:ascii="Times New Roman" w:hAnsi="Times New Roman" w:cs="Times New Roman"/>
          <w:color w:val="auto"/>
          <w:sz w:val="21"/>
          <w:szCs w:val="21"/>
        </w:rPr>
        <w:t>FDA</w:t>
      </w:r>
      <w:r>
        <w:rPr>
          <w:rFonts w:hint="eastAsia" w:ascii="Times New Roman" w:cs="Times New Roman"/>
          <w:color w:val="auto"/>
          <w:sz w:val="21"/>
          <w:szCs w:val="21"/>
        </w:rPr>
        <w:t>不反对使用来自</w:t>
      </w:r>
      <w:r>
        <w:rPr>
          <w:rFonts w:ascii="Times New Roman" w:hAnsi="Times New Roman" w:cs="Times New Roman"/>
          <w:color w:val="auto"/>
          <w:sz w:val="21"/>
          <w:szCs w:val="21"/>
        </w:rPr>
        <w:t>BSE</w:t>
      </w:r>
      <w:r>
        <w:rPr>
          <w:rFonts w:hint="eastAsia" w:ascii="Times New Roman" w:cs="Times New Roman"/>
          <w:color w:val="auto"/>
          <w:sz w:val="21"/>
          <w:szCs w:val="21"/>
        </w:rPr>
        <w:t>国家的牛源材料生产药用级明胶。当局还表示，</w:t>
      </w:r>
      <w:r>
        <w:rPr>
          <w:rFonts w:ascii="Times New Roman" w:hAnsi="Times New Roman" w:cs="Times New Roman"/>
          <w:color w:val="auto"/>
          <w:sz w:val="21"/>
          <w:szCs w:val="21"/>
        </w:rPr>
        <w:t>“</w:t>
      </w:r>
      <w:r>
        <w:rPr>
          <w:rFonts w:hint="eastAsia" w:ascii="Times New Roman" w:cs="Times New Roman"/>
          <w:color w:val="auto"/>
          <w:sz w:val="21"/>
          <w:szCs w:val="21"/>
        </w:rPr>
        <w:t>然而，我们继续认为，如果可行的话应从非</w:t>
      </w:r>
      <w:r>
        <w:rPr>
          <w:rFonts w:ascii="Times New Roman" w:hAnsi="Times New Roman" w:cs="Times New Roman"/>
          <w:color w:val="auto"/>
          <w:sz w:val="21"/>
          <w:szCs w:val="21"/>
        </w:rPr>
        <w:t>BSE</w:t>
      </w:r>
      <w:r>
        <w:rPr>
          <w:rFonts w:hint="eastAsia" w:ascii="Times New Roman" w:cs="Times New Roman"/>
          <w:color w:val="auto"/>
          <w:sz w:val="21"/>
          <w:szCs w:val="21"/>
        </w:rPr>
        <w:t>国家获得这些材料，并保存生产药用级明胶所用牛材料来源的记录。</w:t>
      </w:r>
      <w:r>
        <w:rPr>
          <w:rFonts w:ascii="Times New Roman" w:hAnsi="Times New Roman" w:cs="Times New Roman"/>
          <w:color w:val="auto"/>
          <w:sz w:val="21"/>
          <w:szCs w:val="21"/>
        </w:rPr>
        <w:t>”</w:t>
      </w:r>
    </w:p>
    <w:p w14:paraId="33CF101D">
      <w:pPr>
        <w:adjustRightInd w:val="0"/>
        <w:snapToGrid w:val="0"/>
        <w:spacing w:line="360" w:lineRule="auto"/>
        <w:ind w:left="420" w:hanging="420" w:hangingChars="200"/>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Times New Roman" w:cs="Times New Roman"/>
          <w:color w:val="auto"/>
          <w:sz w:val="21"/>
          <w:szCs w:val="21"/>
        </w:rPr>
        <w:t>FDA</w:t>
      </w:r>
      <w:r>
        <w:rPr>
          <w:rFonts w:hint="eastAsia" w:ascii="Times New Roman" w:cs="Times New Roman"/>
          <w:color w:val="auto"/>
          <w:sz w:val="21"/>
          <w:szCs w:val="21"/>
        </w:rPr>
        <w:t>在</w:t>
      </w:r>
      <w:r>
        <w:rPr>
          <w:rFonts w:ascii="Times New Roman" w:hAnsi="Times New Roman" w:cs="Times New Roman"/>
          <w:color w:val="auto"/>
          <w:sz w:val="21"/>
          <w:szCs w:val="21"/>
        </w:rPr>
        <w:t>1994</w:t>
      </w:r>
      <w:r>
        <w:rPr>
          <w:rFonts w:hint="eastAsia" w:ascii="Times New Roman" w:cs="Times New Roman"/>
          <w:color w:val="auto"/>
          <w:sz w:val="21"/>
          <w:szCs w:val="21"/>
        </w:rPr>
        <w:t>年</w:t>
      </w:r>
      <w:r>
        <w:rPr>
          <w:rFonts w:ascii="Times New Roman" w:hAnsi="Times New Roman" w:cs="Times New Roman"/>
          <w:color w:val="auto"/>
          <w:sz w:val="21"/>
          <w:szCs w:val="21"/>
        </w:rPr>
        <w:t>8</w:t>
      </w:r>
      <w:r>
        <w:rPr>
          <w:rFonts w:hint="eastAsia" w:ascii="Times New Roman" w:cs="Times New Roman"/>
          <w:color w:val="auto"/>
          <w:sz w:val="21"/>
          <w:szCs w:val="21"/>
        </w:rPr>
        <w:t>月</w:t>
      </w:r>
      <w:r>
        <w:rPr>
          <w:rFonts w:ascii="Times New Roman" w:hAnsi="Times New Roman" w:cs="Times New Roman"/>
          <w:color w:val="auto"/>
          <w:sz w:val="21"/>
          <w:szCs w:val="21"/>
        </w:rPr>
        <w:t>29</w:t>
      </w:r>
      <w:r>
        <w:rPr>
          <w:rFonts w:hint="eastAsia" w:ascii="Times New Roman" w:cs="Times New Roman"/>
          <w:color w:val="auto"/>
          <w:sz w:val="21"/>
          <w:szCs w:val="21"/>
        </w:rPr>
        <w:t>日的联邦公报上公布了一份通知，名为</w:t>
      </w:r>
      <w:r>
        <w:rPr>
          <w:rFonts w:ascii="Times New Roman" w:hAnsi="Times New Roman" w:cs="Times New Roman"/>
          <w:color w:val="auto"/>
          <w:sz w:val="21"/>
          <w:szCs w:val="21"/>
        </w:rPr>
        <w:t>“</w:t>
      </w:r>
      <w:r>
        <w:rPr>
          <w:rFonts w:hint="eastAsia" w:ascii="Times New Roman" w:cs="Times New Roman"/>
          <w:color w:val="auto"/>
          <w:sz w:val="21"/>
          <w:szCs w:val="21"/>
        </w:rPr>
        <w:t>牛源材料；当局致</w:t>
      </w:r>
      <w:r>
        <w:rPr>
          <w:rFonts w:ascii="Times New Roman" w:hAnsi="Times New Roman" w:cs="Times New Roman"/>
          <w:color w:val="auto"/>
          <w:sz w:val="21"/>
          <w:szCs w:val="21"/>
        </w:rPr>
        <w:t>FDA</w:t>
      </w:r>
      <w:r>
        <w:rPr>
          <w:rFonts w:hint="eastAsia" w:ascii="Times New Roman" w:cs="Times New Roman"/>
          <w:color w:val="auto"/>
          <w:sz w:val="21"/>
          <w:szCs w:val="21"/>
        </w:rPr>
        <w:t>监管产品生产商的信函</w:t>
      </w:r>
      <w:r>
        <w:rPr>
          <w:rFonts w:ascii="Times New Roman" w:hAnsi="Times New Roman" w:cs="Times New Roman"/>
          <w:color w:val="auto"/>
          <w:sz w:val="21"/>
          <w:szCs w:val="21"/>
        </w:rPr>
        <w:t>”</w:t>
      </w:r>
      <w:r>
        <w:rPr>
          <w:rFonts w:hint="eastAsia" w:ascii="Times New Roman" w:cs="Times New Roman"/>
          <w:color w:val="auto"/>
          <w:sz w:val="21"/>
          <w:szCs w:val="21"/>
        </w:rPr>
        <w:t>（</w:t>
      </w:r>
      <w:r>
        <w:rPr>
          <w:rFonts w:ascii="Times New Roman" w:hAnsi="Times New Roman" w:cs="Times New Roman"/>
          <w:color w:val="auto"/>
          <w:sz w:val="21"/>
          <w:szCs w:val="21"/>
        </w:rPr>
        <w:t>59 FR 44592</w:t>
      </w:r>
      <w:r>
        <w:rPr>
          <w:rFonts w:hint="eastAsia" w:ascii="Times New Roman" w:cs="Times New Roman"/>
          <w:color w:val="auto"/>
          <w:sz w:val="21"/>
          <w:szCs w:val="21"/>
        </w:rPr>
        <w:t>）。该通知致函给膳食补充剂生产商（</w:t>
      </w:r>
      <w:r>
        <w:rPr>
          <w:rFonts w:ascii="Times New Roman" w:hAnsi="Times New Roman" w:cs="Times New Roman"/>
          <w:color w:val="auto"/>
          <w:sz w:val="21"/>
          <w:szCs w:val="21"/>
        </w:rPr>
        <w:t>1992</w:t>
      </w:r>
      <w:r>
        <w:rPr>
          <w:rFonts w:hint="eastAsia" w:ascii="Times New Roman" w:cs="Times New Roman"/>
          <w:color w:val="auto"/>
          <w:sz w:val="21"/>
          <w:szCs w:val="21"/>
        </w:rPr>
        <w:t>年</w:t>
      </w:r>
      <w:r>
        <w:rPr>
          <w:rFonts w:ascii="Times New Roman" w:hAnsi="Times New Roman" w:cs="Times New Roman"/>
          <w:color w:val="auto"/>
          <w:sz w:val="21"/>
          <w:szCs w:val="21"/>
        </w:rPr>
        <w:t>11</w:t>
      </w:r>
      <w:r>
        <w:rPr>
          <w:rFonts w:hint="eastAsia" w:ascii="Times New Roman" w:cs="Times New Roman"/>
          <w:color w:val="auto"/>
          <w:sz w:val="21"/>
          <w:szCs w:val="21"/>
        </w:rPr>
        <w:t>月</w:t>
      </w:r>
      <w:r>
        <w:rPr>
          <w:rFonts w:ascii="Times New Roman" w:hAnsi="Times New Roman" w:cs="Times New Roman"/>
          <w:color w:val="auto"/>
          <w:sz w:val="21"/>
          <w:szCs w:val="21"/>
        </w:rPr>
        <w:t>9</w:t>
      </w:r>
      <w:r>
        <w:rPr>
          <w:rFonts w:hint="eastAsia" w:ascii="Times New Roman" w:cs="Times New Roman"/>
          <w:color w:val="auto"/>
          <w:sz w:val="21"/>
          <w:szCs w:val="21"/>
        </w:rPr>
        <w:t>日）、</w:t>
      </w:r>
      <w:r>
        <w:rPr>
          <w:rFonts w:ascii="Times New Roman" w:hAnsi="Times New Roman" w:cs="Times New Roman"/>
          <w:color w:val="auto"/>
          <w:sz w:val="21"/>
          <w:szCs w:val="21"/>
        </w:rPr>
        <w:t>FDA</w:t>
      </w:r>
      <w:r>
        <w:rPr>
          <w:rFonts w:hint="eastAsia" w:ascii="Times New Roman" w:cs="Times New Roman"/>
          <w:color w:val="auto"/>
          <w:sz w:val="21"/>
          <w:szCs w:val="21"/>
        </w:rPr>
        <w:t>监管产品生产商（</w:t>
      </w:r>
      <w:r>
        <w:rPr>
          <w:rFonts w:ascii="Times New Roman" w:hAnsi="Times New Roman" w:cs="Times New Roman"/>
          <w:color w:val="auto"/>
          <w:sz w:val="21"/>
          <w:szCs w:val="21"/>
        </w:rPr>
        <w:t>1993</w:t>
      </w:r>
      <w:r>
        <w:rPr>
          <w:rFonts w:hint="eastAsia" w:ascii="Times New Roman" w:cs="Times New Roman"/>
          <w:color w:val="auto"/>
          <w:sz w:val="21"/>
          <w:szCs w:val="21"/>
        </w:rPr>
        <w:t>年</w:t>
      </w:r>
      <w:r>
        <w:rPr>
          <w:rFonts w:ascii="Times New Roman" w:hAnsi="Times New Roman" w:cs="Times New Roman"/>
          <w:color w:val="auto"/>
          <w:sz w:val="21"/>
          <w:szCs w:val="21"/>
        </w:rPr>
        <w:t>12</w:t>
      </w:r>
      <w:r>
        <w:rPr>
          <w:rFonts w:hint="eastAsia" w:ascii="Times New Roman" w:cs="Times New Roman"/>
          <w:color w:val="auto"/>
          <w:sz w:val="21"/>
          <w:szCs w:val="21"/>
        </w:rPr>
        <w:t>月</w:t>
      </w:r>
      <w:r>
        <w:rPr>
          <w:rFonts w:ascii="Times New Roman" w:hAnsi="Times New Roman" w:cs="Times New Roman"/>
          <w:color w:val="auto"/>
          <w:sz w:val="21"/>
          <w:szCs w:val="21"/>
        </w:rPr>
        <w:t>17</w:t>
      </w:r>
      <w:r>
        <w:rPr>
          <w:rFonts w:hint="eastAsia" w:ascii="Times New Roman" w:cs="Times New Roman"/>
          <w:color w:val="auto"/>
          <w:sz w:val="21"/>
          <w:szCs w:val="21"/>
        </w:rPr>
        <w:t>日）、动物用</w:t>
      </w:r>
      <w:r>
        <w:rPr>
          <w:rFonts w:ascii="Times New Roman" w:hAnsi="Times New Roman" w:cs="Times New Roman"/>
          <w:color w:val="auto"/>
          <w:sz w:val="21"/>
          <w:szCs w:val="21"/>
        </w:rPr>
        <w:t>FDA</w:t>
      </w:r>
      <w:r>
        <w:rPr>
          <w:rFonts w:hint="eastAsia" w:ascii="Times New Roman" w:cs="Times New Roman"/>
          <w:color w:val="auto"/>
          <w:sz w:val="21"/>
          <w:szCs w:val="21"/>
        </w:rPr>
        <w:t>监管产品生产商（</w:t>
      </w:r>
      <w:r>
        <w:rPr>
          <w:rFonts w:ascii="Times New Roman" w:hAnsi="Times New Roman" w:cs="Times New Roman"/>
          <w:color w:val="auto"/>
          <w:sz w:val="21"/>
          <w:szCs w:val="21"/>
        </w:rPr>
        <w:t>1994</w:t>
      </w:r>
      <w:r>
        <w:rPr>
          <w:rFonts w:hint="eastAsia" w:ascii="Times New Roman" w:cs="Times New Roman"/>
          <w:color w:val="auto"/>
          <w:sz w:val="21"/>
          <w:szCs w:val="21"/>
        </w:rPr>
        <w:t>年</w:t>
      </w:r>
      <w:r>
        <w:rPr>
          <w:rFonts w:ascii="Times New Roman" w:hAnsi="Times New Roman" w:cs="Times New Roman"/>
          <w:color w:val="auto"/>
          <w:sz w:val="21"/>
          <w:szCs w:val="21"/>
        </w:rPr>
        <w:t>8</w:t>
      </w:r>
      <w:r>
        <w:rPr>
          <w:rFonts w:hint="eastAsia" w:ascii="Times New Roman" w:cs="Times New Roman"/>
          <w:color w:val="auto"/>
          <w:sz w:val="21"/>
          <w:szCs w:val="21"/>
        </w:rPr>
        <w:t>月</w:t>
      </w:r>
      <w:r>
        <w:rPr>
          <w:rFonts w:ascii="Times New Roman" w:hAnsi="Times New Roman" w:cs="Times New Roman"/>
          <w:color w:val="auto"/>
          <w:sz w:val="21"/>
          <w:szCs w:val="21"/>
        </w:rPr>
        <w:t>17</w:t>
      </w:r>
      <w:r>
        <w:rPr>
          <w:rFonts w:hint="eastAsia" w:ascii="Times New Roman" w:cs="Times New Roman"/>
          <w:color w:val="auto"/>
          <w:sz w:val="21"/>
          <w:szCs w:val="21"/>
        </w:rPr>
        <w:t>日）以及膳食补充剂和化妆品的生产商和进口商（</w:t>
      </w:r>
      <w:r>
        <w:rPr>
          <w:rFonts w:ascii="Times New Roman" w:hAnsi="Times New Roman" w:cs="Times New Roman"/>
          <w:color w:val="auto"/>
          <w:sz w:val="21"/>
          <w:szCs w:val="21"/>
        </w:rPr>
        <w:t>1994</w:t>
      </w:r>
      <w:r>
        <w:rPr>
          <w:rFonts w:hint="eastAsia" w:ascii="Times New Roman" w:cs="Times New Roman"/>
          <w:color w:val="auto"/>
          <w:sz w:val="21"/>
          <w:szCs w:val="21"/>
        </w:rPr>
        <w:t>年</w:t>
      </w:r>
      <w:r>
        <w:rPr>
          <w:rFonts w:ascii="Times New Roman" w:hAnsi="Times New Roman" w:cs="Times New Roman"/>
          <w:color w:val="auto"/>
          <w:sz w:val="21"/>
          <w:szCs w:val="21"/>
        </w:rPr>
        <w:t>8</w:t>
      </w:r>
      <w:r>
        <w:rPr>
          <w:rFonts w:hint="eastAsia" w:ascii="Times New Roman" w:cs="Times New Roman"/>
          <w:color w:val="auto"/>
          <w:sz w:val="21"/>
          <w:szCs w:val="21"/>
        </w:rPr>
        <w:t>月</w:t>
      </w:r>
      <w:r>
        <w:rPr>
          <w:rFonts w:ascii="Times New Roman" w:hAnsi="Times New Roman" w:cs="Times New Roman"/>
          <w:color w:val="auto"/>
          <w:sz w:val="21"/>
          <w:szCs w:val="21"/>
        </w:rPr>
        <w:t>17</w:t>
      </w:r>
      <w:r>
        <w:rPr>
          <w:rFonts w:hint="eastAsia" w:ascii="Times New Roman" w:cs="Times New Roman"/>
          <w:color w:val="auto"/>
          <w:sz w:val="21"/>
          <w:szCs w:val="21"/>
        </w:rPr>
        <w:t>日）。致膳食补充剂和化妆品生产商和进口商的信件中表示：</w:t>
      </w:r>
      <w:r>
        <w:rPr>
          <w:rFonts w:ascii="Times New Roman" w:hAnsi="Times New Roman" w:cs="Times New Roman"/>
          <w:color w:val="auto"/>
          <w:sz w:val="21"/>
          <w:szCs w:val="21"/>
        </w:rPr>
        <w:t>“FDA</w:t>
      </w:r>
      <w:r>
        <w:rPr>
          <w:rFonts w:hint="eastAsia" w:ascii="Times New Roman" w:cs="Times New Roman"/>
          <w:color w:val="auto"/>
          <w:sz w:val="21"/>
          <w:szCs w:val="21"/>
        </w:rPr>
        <w:t>建议，生产或进口含特定牛组织的膳食补充剂和化妆品的公司</w:t>
      </w:r>
      <w:r>
        <w:rPr>
          <w:rFonts w:ascii="Times New Roman" w:hAnsi="Times New Roman" w:cs="Times New Roman"/>
          <w:color w:val="auto"/>
          <w:sz w:val="21"/>
          <w:szCs w:val="21"/>
        </w:rPr>
        <w:t>...</w:t>
      </w:r>
      <w:r>
        <w:rPr>
          <w:rFonts w:hint="eastAsia" w:ascii="Times New Roman" w:cs="Times New Roman"/>
          <w:color w:val="auto"/>
          <w:sz w:val="21"/>
          <w:szCs w:val="21"/>
        </w:rPr>
        <w:t>应确保这些组织不会来自出生、饲养或屠宰等环节在有牛海绵状脑病（</w:t>
      </w:r>
      <w:r>
        <w:rPr>
          <w:rFonts w:ascii="Times New Roman" w:hAnsi="Times New Roman" w:cs="Times New Roman"/>
          <w:color w:val="auto"/>
          <w:sz w:val="21"/>
          <w:szCs w:val="21"/>
        </w:rPr>
        <w:t>BSE</w:t>
      </w:r>
      <w:r>
        <w:rPr>
          <w:rFonts w:hint="eastAsia" w:ascii="Times New Roman" w:cs="Times New Roman"/>
          <w:color w:val="auto"/>
          <w:sz w:val="21"/>
          <w:szCs w:val="21"/>
        </w:rPr>
        <w:t>）国家（</w:t>
      </w:r>
      <w:r>
        <w:rPr>
          <w:rFonts w:ascii="Times New Roman" w:hAnsi="Times New Roman" w:cs="Times New Roman"/>
          <w:color w:val="auto"/>
          <w:sz w:val="21"/>
          <w:szCs w:val="21"/>
        </w:rPr>
        <w:t>BSE</w:t>
      </w:r>
      <w:r>
        <w:rPr>
          <w:rFonts w:hint="eastAsia" w:ascii="Times New Roman" w:cs="Times New Roman"/>
          <w:color w:val="auto"/>
          <w:sz w:val="21"/>
          <w:szCs w:val="21"/>
        </w:rPr>
        <w:t>国家）的牛群。</w:t>
      </w:r>
      <w:r>
        <w:rPr>
          <w:rFonts w:ascii="Times New Roman" w:hAnsi="Times New Roman" w:cs="Times New Roman"/>
          <w:color w:val="auto"/>
          <w:sz w:val="21"/>
          <w:szCs w:val="21"/>
        </w:rPr>
        <w:br w:type="textWrapping"/>
      </w:r>
      <w:r>
        <w:rPr>
          <w:rFonts w:hint="eastAsia" w:ascii="Times New Roman" w:cs="Times New Roman"/>
          <w:color w:val="auto"/>
          <w:sz w:val="21"/>
          <w:szCs w:val="21"/>
        </w:rPr>
        <w:t>当局同样还表示</w:t>
      </w:r>
      <w:r>
        <w:rPr>
          <w:rFonts w:ascii="Times New Roman" w:hAnsi="Times New Roman" w:cs="Times New Roman"/>
          <w:color w:val="auto"/>
          <w:sz w:val="21"/>
          <w:szCs w:val="21"/>
        </w:rPr>
        <w:t>“</w:t>
      </w:r>
      <w:r>
        <w:rPr>
          <w:rFonts w:hint="eastAsia" w:ascii="Times New Roman" w:cs="Times New Roman"/>
          <w:color w:val="auto"/>
          <w:sz w:val="21"/>
          <w:szCs w:val="21"/>
        </w:rPr>
        <w:t>此时，</w:t>
      </w:r>
      <w:r>
        <w:rPr>
          <w:rFonts w:ascii="Times New Roman" w:hAnsi="Times New Roman" w:cs="Times New Roman"/>
          <w:color w:val="auto"/>
          <w:sz w:val="21"/>
          <w:szCs w:val="21"/>
        </w:rPr>
        <w:t>FDA</w:t>
      </w:r>
      <w:r>
        <w:rPr>
          <w:rFonts w:hint="eastAsia" w:ascii="Times New Roman" w:cs="Times New Roman"/>
          <w:color w:val="auto"/>
          <w:sz w:val="21"/>
          <w:szCs w:val="21"/>
        </w:rPr>
        <w:t>并没有在这封信中将建议扩展至乳制品和明胶，因现有的证据并没有提示可通过这些食品传播。</w:t>
      </w:r>
      <w:r>
        <w:rPr>
          <w:rFonts w:ascii="Times New Roman" w:hAnsi="Times New Roman" w:cs="Times New Roman"/>
          <w:color w:val="auto"/>
          <w:sz w:val="21"/>
          <w:szCs w:val="21"/>
        </w:rPr>
        <w:t>”</w:t>
      </w:r>
    </w:p>
    <w:p w14:paraId="02B34D53">
      <w:pPr>
        <w:adjustRightInd w:val="0"/>
        <w:snapToGrid w:val="0"/>
        <w:spacing w:line="360" w:lineRule="auto"/>
        <w:ind w:left="420" w:hanging="420" w:hangingChars="200"/>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Times New Roman" w:cs="Times New Roman"/>
          <w:color w:val="auto"/>
          <w:sz w:val="21"/>
          <w:szCs w:val="21"/>
        </w:rPr>
        <w:t>1995</w:t>
      </w:r>
      <w:r>
        <w:rPr>
          <w:rFonts w:hint="eastAsia" w:ascii="Times New Roman" w:cs="Times New Roman"/>
          <w:color w:val="auto"/>
          <w:sz w:val="21"/>
          <w:szCs w:val="21"/>
        </w:rPr>
        <w:t>年</w:t>
      </w:r>
      <w:r>
        <w:rPr>
          <w:rFonts w:ascii="Times New Roman" w:hAnsi="Times New Roman" w:cs="Times New Roman"/>
          <w:color w:val="auto"/>
          <w:sz w:val="21"/>
          <w:szCs w:val="21"/>
        </w:rPr>
        <w:t>10</w:t>
      </w:r>
      <w:r>
        <w:rPr>
          <w:rFonts w:hint="eastAsia" w:ascii="Times New Roman" w:cs="Times New Roman"/>
          <w:color w:val="auto"/>
          <w:sz w:val="21"/>
          <w:szCs w:val="21"/>
        </w:rPr>
        <w:t>月</w:t>
      </w:r>
      <w:r>
        <w:rPr>
          <w:rFonts w:ascii="Times New Roman" w:hAnsi="Times New Roman" w:cs="Times New Roman"/>
          <w:color w:val="auto"/>
          <w:sz w:val="21"/>
          <w:szCs w:val="21"/>
        </w:rPr>
        <w:t>19</w:t>
      </w:r>
      <w:r>
        <w:rPr>
          <w:rFonts w:hint="eastAsia" w:ascii="Times New Roman" w:cs="Times New Roman"/>
          <w:color w:val="auto"/>
          <w:sz w:val="21"/>
          <w:szCs w:val="21"/>
        </w:rPr>
        <w:t>日，</w:t>
      </w:r>
      <w:r>
        <w:rPr>
          <w:rFonts w:ascii="Times New Roman" w:hAnsi="Times New Roman" w:cs="Times New Roman"/>
          <w:color w:val="auto"/>
          <w:sz w:val="21"/>
          <w:szCs w:val="21"/>
        </w:rPr>
        <w:t>FDA</w:t>
      </w:r>
      <w:r>
        <w:rPr>
          <w:rFonts w:hint="eastAsia" w:ascii="Times New Roman" w:cs="Times New Roman"/>
          <w:color w:val="auto"/>
          <w:sz w:val="21"/>
          <w:szCs w:val="21"/>
        </w:rPr>
        <w:t>发布了进口警报</w:t>
      </w:r>
      <w:r>
        <w:rPr>
          <w:rFonts w:ascii="Times New Roman" w:hAnsi="Times New Roman" w:cs="Times New Roman"/>
          <w:color w:val="auto"/>
          <w:sz w:val="21"/>
          <w:szCs w:val="21"/>
        </w:rPr>
        <w:t>17-04</w:t>
      </w:r>
      <w:r>
        <w:rPr>
          <w:rFonts w:hint="eastAsia" w:ascii="Times New Roman" w:cs="Times New Roman"/>
          <w:color w:val="auto"/>
          <w:sz w:val="21"/>
          <w:szCs w:val="21"/>
        </w:rPr>
        <w:t>（取代</w:t>
      </w:r>
      <w:r>
        <w:rPr>
          <w:rFonts w:ascii="Times New Roman" w:hAnsi="Times New Roman" w:cs="Times New Roman"/>
          <w:color w:val="auto"/>
          <w:sz w:val="21"/>
          <w:szCs w:val="21"/>
        </w:rPr>
        <w:t>1992</w:t>
      </w:r>
      <w:r>
        <w:rPr>
          <w:rFonts w:hint="eastAsia" w:ascii="Times New Roman" w:cs="Times New Roman"/>
          <w:color w:val="auto"/>
          <w:sz w:val="21"/>
          <w:szCs w:val="21"/>
        </w:rPr>
        <w:t>年进口公告和</w:t>
      </w:r>
      <w:r>
        <w:rPr>
          <w:rFonts w:ascii="Times New Roman" w:hAnsi="Times New Roman" w:cs="Times New Roman"/>
          <w:color w:val="auto"/>
          <w:sz w:val="21"/>
          <w:szCs w:val="21"/>
        </w:rPr>
        <w:t>1995</w:t>
      </w:r>
      <w:r>
        <w:rPr>
          <w:rFonts w:hint="eastAsia" w:ascii="Times New Roman" w:cs="Times New Roman"/>
          <w:color w:val="auto"/>
          <w:sz w:val="21"/>
          <w:szCs w:val="21"/>
        </w:rPr>
        <w:t>年</w:t>
      </w:r>
      <w:r>
        <w:rPr>
          <w:rFonts w:ascii="Times New Roman" w:hAnsi="Times New Roman" w:cs="Times New Roman"/>
          <w:color w:val="auto"/>
          <w:sz w:val="21"/>
          <w:szCs w:val="21"/>
        </w:rPr>
        <w:t>7</w:t>
      </w:r>
      <w:r>
        <w:rPr>
          <w:rFonts w:hint="eastAsia" w:ascii="Times New Roman" w:cs="Times New Roman"/>
          <w:color w:val="auto"/>
          <w:sz w:val="21"/>
          <w:szCs w:val="21"/>
        </w:rPr>
        <w:t>月</w:t>
      </w:r>
      <w:r>
        <w:rPr>
          <w:rFonts w:ascii="Times New Roman" w:hAnsi="Times New Roman" w:cs="Times New Roman"/>
          <w:color w:val="auto"/>
          <w:sz w:val="21"/>
          <w:szCs w:val="21"/>
        </w:rPr>
        <w:t>18</w:t>
      </w:r>
      <w:r>
        <w:rPr>
          <w:rFonts w:hint="eastAsia" w:ascii="Times New Roman" w:cs="Times New Roman"/>
          <w:color w:val="auto"/>
          <w:sz w:val="21"/>
          <w:szCs w:val="21"/>
        </w:rPr>
        <w:t>日发布的警报），要求对来自英国、法国、爱尔兰、阿曼、瑞士和葡萄牙等地且未经检查的高危牛组织和组织源成分进行扣留。</w:t>
      </w:r>
    </w:p>
    <w:p w14:paraId="6E0F863D">
      <w:pPr>
        <w:adjustRightInd w:val="0"/>
        <w:snapToGrid w:val="0"/>
        <w:spacing w:line="360" w:lineRule="auto"/>
        <w:ind w:left="420" w:hanging="420" w:hangingChars="200"/>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Times New Roman" w:cs="Times New Roman"/>
          <w:color w:val="auto"/>
          <w:sz w:val="21"/>
          <w:szCs w:val="21"/>
        </w:rPr>
        <w:t>1996</w:t>
      </w:r>
      <w:r>
        <w:rPr>
          <w:rFonts w:hint="eastAsia" w:ascii="Times New Roman" w:cs="Times New Roman"/>
          <w:color w:val="auto"/>
          <w:sz w:val="21"/>
          <w:szCs w:val="21"/>
        </w:rPr>
        <w:t>年</w:t>
      </w:r>
      <w:r>
        <w:rPr>
          <w:rFonts w:ascii="Times New Roman" w:hAnsi="Times New Roman" w:cs="Times New Roman"/>
          <w:color w:val="auto"/>
          <w:sz w:val="21"/>
          <w:szCs w:val="21"/>
        </w:rPr>
        <w:t>3</w:t>
      </w:r>
      <w:r>
        <w:rPr>
          <w:rFonts w:hint="eastAsia" w:ascii="Times New Roman" w:cs="Times New Roman"/>
          <w:color w:val="auto"/>
          <w:sz w:val="21"/>
          <w:szCs w:val="21"/>
        </w:rPr>
        <w:t>月，英国政府宣布，海绵状脑病咨询委员会（</w:t>
      </w:r>
      <w:r>
        <w:rPr>
          <w:rFonts w:ascii="Times New Roman" w:hAnsi="Times New Roman" w:cs="Times New Roman"/>
          <w:color w:val="auto"/>
          <w:sz w:val="21"/>
          <w:szCs w:val="21"/>
        </w:rPr>
        <w:t>SEAC</w:t>
      </w:r>
      <w:r>
        <w:rPr>
          <w:rFonts w:hint="eastAsia" w:ascii="Times New Roman" w:cs="Times New Roman"/>
          <w:color w:val="auto"/>
          <w:sz w:val="21"/>
          <w:szCs w:val="21"/>
        </w:rPr>
        <w:t>）提供的新资料表明，</w:t>
      </w:r>
      <w:r>
        <w:rPr>
          <w:rFonts w:ascii="Times New Roman" w:hAnsi="Times New Roman" w:cs="Times New Roman"/>
          <w:color w:val="auto"/>
          <w:sz w:val="21"/>
          <w:szCs w:val="21"/>
        </w:rPr>
        <w:t>BSE</w:t>
      </w:r>
      <w:r>
        <w:rPr>
          <w:rFonts w:hint="eastAsia" w:ascii="Times New Roman" w:cs="Times New Roman"/>
          <w:color w:val="auto"/>
          <w:sz w:val="21"/>
          <w:szCs w:val="21"/>
        </w:rPr>
        <w:t>与新发现</w:t>
      </w:r>
      <w:r>
        <w:rPr>
          <w:rFonts w:ascii="Times New Roman" w:hAnsi="Times New Roman" w:cs="Times New Roman"/>
          <w:color w:val="auto"/>
          <w:sz w:val="21"/>
          <w:szCs w:val="21"/>
        </w:rPr>
        <w:t>10</w:t>
      </w:r>
      <w:r>
        <w:rPr>
          <w:rFonts w:hint="eastAsia" w:ascii="Times New Roman" w:cs="Times New Roman"/>
          <w:color w:val="auto"/>
          <w:sz w:val="21"/>
          <w:szCs w:val="21"/>
        </w:rPr>
        <w:t>个</w:t>
      </w:r>
      <w:r>
        <w:rPr>
          <w:rFonts w:ascii="Times New Roman" w:hAnsi="Times New Roman" w:cs="Times New Roman"/>
          <w:color w:val="auto"/>
          <w:sz w:val="21"/>
          <w:szCs w:val="21"/>
        </w:rPr>
        <w:t>CJD</w:t>
      </w:r>
      <w:r>
        <w:rPr>
          <w:rFonts w:hint="eastAsia" w:ascii="Times New Roman" w:cs="Times New Roman"/>
          <w:color w:val="auto"/>
          <w:sz w:val="21"/>
          <w:szCs w:val="21"/>
        </w:rPr>
        <w:t>病例之间可能存在关系。</w:t>
      </w:r>
      <w:r>
        <w:rPr>
          <w:rFonts w:ascii="Times New Roman" w:hAnsi="Times New Roman" w:cs="Times New Roman"/>
          <w:color w:val="auto"/>
          <w:sz w:val="21"/>
          <w:szCs w:val="21"/>
          <w:vertAlign w:val="superscript"/>
        </w:rPr>
        <w:t>4</w:t>
      </w:r>
      <w:r>
        <w:rPr>
          <w:rFonts w:ascii="Times New Roman" w:hAnsi="Times New Roman" w:cs="Times New Roman"/>
          <w:color w:val="auto"/>
          <w:sz w:val="21"/>
          <w:szCs w:val="21"/>
        </w:rPr>
        <w:t xml:space="preserve"> 1996</w:t>
      </w:r>
      <w:r>
        <w:rPr>
          <w:rFonts w:hint="eastAsia" w:ascii="Times New Roman" w:cs="Times New Roman"/>
          <w:color w:val="auto"/>
          <w:sz w:val="21"/>
          <w:szCs w:val="21"/>
        </w:rPr>
        <w:t>年</w:t>
      </w:r>
      <w:r>
        <w:rPr>
          <w:rFonts w:ascii="Times New Roman" w:hAnsi="Times New Roman" w:cs="Times New Roman"/>
          <w:color w:val="auto"/>
          <w:sz w:val="21"/>
          <w:szCs w:val="21"/>
        </w:rPr>
        <w:t>5</w:t>
      </w:r>
      <w:r>
        <w:rPr>
          <w:rFonts w:hint="eastAsia" w:ascii="Times New Roman" w:cs="Times New Roman"/>
          <w:color w:val="auto"/>
          <w:sz w:val="21"/>
          <w:szCs w:val="21"/>
        </w:rPr>
        <w:t>月</w:t>
      </w:r>
      <w:r>
        <w:rPr>
          <w:rFonts w:ascii="Times New Roman" w:hAnsi="Times New Roman" w:cs="Times New Roman"/>
          <w:color w:val="auto"/>
          <w:sz w:val="21"/>
          <w:szCs w:val="21"/>
        </w:rPr>
        <w:t>9</w:t>
      </w:r>
      <w:r>
        <w:rPr>
          <w:rFonts w:hint="eastAsia" w:ascii="Times New Roman" w:cs="Times New Roman"/>
          <w:color w:val="auto"/>
          <w:sz w:val="21"/>
          <w:szCs w:val="21"/>
        </w:rPr>
        <w:t>日，</w:t>
      </w:r>
      <w:r>
        <w:rPr>
          <w:rFonts w:ascii="Times New Roman" w:hAnsi="Times New Roman" w:cs="Times New Roman"/>
          <w:color w:val="auto"/>
          <w:sz w:val="21"/>
          <w:szCs w:val="21"/>
        </w:rPr>
        <w:t>FDA</w:t>
      </w:r>
      <w:r>
        <w:rPr>
          <w:rFonts w:hint="eastAsia" w:ascii="Times New Roman" w:cs="Times New Roman"/>
          <w:color w:val="auto"/>
          <w:sz w:val="21"/>
          <w:szCs w:val="21"/>
        </w:rPr>
        <w:t>致函通知英国政府向该行业通告，并重申当局对此问题的关注。在这些信函中，</w:t>
      </w:r>
      <w:r>
        <w:rPr>
          <w:rFonts w:ascii="Times New Roman" w:hAnsi="Times New Roman" w:cs="Times New Roman"/>
          <w:color w:val="auto"/>
          <w:sz w:val="21"/>
          <w:szCs w:val="21"/>
        </w:rPr>
        <w:t>FDA</w:t>
      </w:r>
      <w:r>
        <w:rPr>
          <w:rFonts w:hint="eastAsia" w:ascii="Times New Roman" w:cs="Times New Roman"/>
          <w:color w:val="auto"/>
          <w:sz w:val="21"/>
          <w:szCs w:val="21"/>
        </w:rPr>
        <w:t>强烈地重申其建议，即生产或进口</w:t>
      </w:r>
      <w:r>
        <w:rPr>
          <w:rFonts w:ascii="Times New Roman" w:hAnsi="Times New Roman" w:cs="Times New Roman"/>
          <w:color w:val="auto"/>
          <w:sz w:val="21"/>
          <w:szCs w:val="21"/>
        </w:rPr>
        <w:t>FDA</w:t>
      </w:r>
      <w:r>
        <w:rPr>
          <w:rFonts w:hint="eastAsia" w:ascii="Times New Roman" w:cs="Times New Roman"/>
          <w:color w:val="auto"/>
          <w:sz w:val="21"/>
          <w:szCs w:val="21"/>
        </w:rPr>
        <w:t>监管产品的公司采取必要步骤，以确保自己和公众，牛源成分不会来自出生、饲养或屠宰等环节在已报告有</w:t>
      </w:r>
      <w:r>
        <w:rPr>
          <w:rFonts w:ascii="Times New Roman" w:hAnsi="Times New Roman" w:cs="Times New Roman"/>
          <w:color w:val="auto"/>
          <w:sz w:val="21"/>
          <w:szCs w:val="21"/>
        </w:rPr>
        <w:t>BSE</w:t>
      </w:r>
      <w:r>
        <w:rPr>
          <w:rFonts w:hint="eastAsia" w:ascii="Times New Roman" w:cs="Times New Roman"/>
          <w:color w:val="auto"/>
          <w:sz w:val="21"/>
          <w:szCs w:val="21"/>
        </w:rPr>
        <w:t>国家的牛群。</w:t>
      </w:r>
    </w:p>
    <w:p w14:paraId="1C2498F7">
      <w:pPr>
        <w:adjustRightInd w:val="0"/>
        <w:snapToGrid w:val="0"/>
        <w:spacing w:line="360" w:lineRule="auto"/>
        <w:ind w:left="420" w:hanging="420" w:hangingChars="200"/>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Times New Roman" w:cs="Times New Roman"/>
          <w:color w:val="auto"/>
          <w:sz w:val="21"/>
          <w:szCs w:val="21"/>
        </w:rPr>
        <w:t>1996</w:t>
      </w:r>
      <w:r>
        <w:rPr>
          <w:rFonts w:hint="eastAsia" w:ascii="Times New Roman" w:cs="Times New Roman"/>
          <w:color w:val="auto"/>
          <w:sz w:val="21"/>
          <w:szCs w:val="21"/>
        </w:rPr>
        <w:t>年</w:t>
      </w:r>
      <w:r>
        <w:rPr>
          <w:rFonts w:ascii="Times New Roman" w:hAnsi="Times New Roman" w:cs="Times New Roman"/>
          <w:color w:val="auto"/>
          <w:sz w:val="21"/>
          <w:szCs w:val="21"/>
        </w:rPr>
        <w:t>5</w:t>
      </w:r>
      <w:r>
        <w:rPr>
          <w:rFonts w:hint="eastAsia" w:ascii="Times New Roman" w:cs="Times New Roman"/>
          <w:color w:val="auto"/>
          <w:sz w:val="21"/>
          <w:szCs w:val="21"/>
        </w:rPr>
        <w:t>月</w:t>
      </w:r>
      <w:r>
        <w:rPr>
          <w:rFonts w:ascii="Times New Roman" w:hAnsi="Times New Roman" w:cs="Times New Roman"/>
          <w:color w:val="auto"/>
          <w:sz w:val="21"/>
          <w:szCs w:val="21"/>
        </w:rPr>
        <w:t>21</w:t>
      </w:r>
      <w:r>
        <w:rPr>
          <w:rFonts w:hint="eastAsia" w:ascii="Times New Roman" w:cs="Times New Roman"/>
          <w:color w:val="auto"/>
          <w:sz w:val="21"/>
          <w:szCs w:val="21"/>
        </w:rPr>
        <w:t>日，致函</w:t>
      </w:r>
      <w:r>
        <w:rPr>
          <w:rFonts w:ascii="Times New Roman" w:hAnsi="Times New Roman" w:cs="Times New Roman"/>
          <w:color w:val="auto"/>
          <w:sz w:val="21"/>
          <w:szCs w:val="21"/>
        </w:rPr>
        <w:t>GMA</w:t>
      </w:r>
      <w:r>
        <w:rPr>
          <w:rFonts w:hint="eastAsia" w:ascii="Times New Roman" w:cs="Times New Roman"/>
          <w:color w:val="auto"/>
          <w:sz w:val="21"/>
          <w:szCs w:val="21"/>
        </w:rPr>
        <w:t>和</w:t>
      </w:r>
      <w:r>
        <w:rPr>
          <w:rFonts w:ascii="Times New Roman" w:hAnsi="Times New Roman" w:cs="Times New Roman"/>
          <w:color w:val="auto"/>
          <w:sz w:val="21"/>
          <w:szCs w:val="21"/>
        </w:rPr>
        <w:t>GMIA</w:t>
      </w:r>
      <w:r>
        <w:rPr>
          <w:rFonts w:hint="eastAsia" w:ascii="Times New Roman" w:cs="Times New Roman"/>
          <w:color w:val="auto"/>
          <w:sz w:val="21"/>
          <w:szCs w:val="21"/>
        </w:rPr>
        <w:t>的顾问，运作副局长</w:t>
      </w:r>
      <w:r>
        <w:rPr>
          <w:rFonts w:ascii="Times New Roman" w:hAnsi="Times New Roman" w:cs="Times New Roman"/>
          <w:color w:val="auto"/>
          <w:sz w:val="21"/>
          <w:szCs w:val="21"/>
        </w:rPr>
        <w:t xml:space="preserve"> Michael A. Friedman</w:t>
      </w:r>
      <w:r>
        <w:rPr>
          <w:rFonts w:hint="eastAsia" w:ascii="Times New Roman" w:cs="Times New Roman"/>
          <w:color w:val="auto"/>
          <w:sz w:val="21"/>
          <w:szCs w:val="21"/>
        </w:rPr>
        <w:t>博士表示：</w:t>
      </w:r>
      <w:r>
        <w:rPr>
          <w:rFonts w:ascii="Times New Roman" w:hAnsi="Times New Roman" w:cs="Times New Roman"/>
          <w:color w:val="auto"/>
          <w:sz w:val="21"/>
          <w:szCs w:val="21"/>
        </w:rPr>
        <w:t>“</w:t>
      </w:r>
      <w:r>
        <w:rPr>
          <w:rFonts w:hint="eastAsia" w:ascii="Times New Roman" w:cs="Times New Roman"/>
          <w:color w:val="auto"/>
          <w:sz w:val="21"/>
          <w:szCs w:val="21"/>
        </w:rPr>
        <w:t>虽然我们继续审查</w:t>
      </w:r>
      <w:r>
        <w:rPr>
          <w:rFonts w:ascii="Times New Roman" w:hAnsi="Times New Roman" w:cs="Times New Roman"/>
          <w:color w:val="auto"/>
          <w:sz w:val="21"/>
          <w:szCs w:val="21"/>
        </w:rPr>
        <w:t>FDA</w:t>
      </w:r>
      <w:r>
        <w:rPr>
          <w:rFonts w:hint="eastAsia" w:ascii="Times New Roman" w:cs="Times New Roman"/>
          <w:color w:val="auto"/>
          <w:sz w:val="21"/>
          <w:szCs w:val="21"/>
        </w:rPr>
        <w:t>监管产品相关动物和人类传染性海绵状脑病的科学资料，但此时我们没有新的知识使我们改变在这些信函所声明对于明胶的立场。</w:t>
      </w:r>
      <w:r>
        <w:rPr>
          <w:rFonts w:ascii="Times New Roman" w:hAnsi="Times New Roman" w:cs="Times New Roman"/>
          <w:color w:val="auto"/>
          <w:sz w:val="21"/>
          <w:szCs w:val="21"/>
        </w:rPr>
        <w:t>”</w:t>
      </w:r>
      <w:r>
        <w:rPr>
          <w:rFonts w:hint="eastAsia" w:ascii="Times New Roman" w:cs="Times New Roman"/>
          <w:color w:val="auto"/>
          <w:sz w:val="21"/>
          <w:szCs w:val="21"/>
        </w:rPr>
        <w:t>但是，</w:t>
      </w:r>
      <w:r>
        <w:rPr>
          <w:rFonts w:ascii="Times New Roman" w:hAnsi="Times New Roman" w:cs="Times New Roman"/>
          <w:color w:val="auto"/>
          <w:sz w:val="21"/>
          <w:szCs w:val="21"/>
        </w:rPr>
        <w:t>FDA</w:t>
      </w:r>
      <w:r>
        <w:rPr>
          <w:rFonts w:hint="eastAsia" w:ascii="Times New Roman" w:cs="Times New Roman"/>
          <w:color w:val="auto"/>
          <w:sz w:val="21"/>
          <w:szCs w:val="21"/>
        </w:rPr>
        <w:t>工作人员开始审查小鼠研究的最终数据，其初步数据</w:t>
      </w:r>
      <w:r>
        <w:rPr>
          <w:rFonts w:ascii="Times New Roman" w:hAnsi="Times New Roman" w:cs="Times New Roman"/>
          <w:color w:val="auto"/>
          <w:sz w:val="21"/>
          <w:szCs w:val="21"/>
        </w:rPr>
        <w:t>FDA</w:t>
      </w:r>
      <w:r>
        <w:rPr>
          <w:rFonts w:hint="eastAsia" w:ascii="Times New Roman" w:cs="Times New Roman"/>
          <w:color w:val="auto"/>
          <w:sz w:val="21"/>
          <w:szCs w:val="21"/>
        </w:rPr>
        <w:t>已经审查过，以确定来自</w:t>
      </w:r>
      <w:r>
        <w:rPr>
          <w:rFonts w:ascii="Times New Roman" w:hAnsi="Times New Roman" w:cs="Times New Roman"/>
          <w:color w:val="auto"/>
          <w:sz w:val="21"/>
          <w:szCs w:val="21"/>
        </w:rPr>
        <w:t>BSE</w:t>
      </w:r>
      <w:r>
        <w:rPr>
          <w:rFonts w:hint="eastAsia" w:ascii="Times New Roman" w:cs="Times New Roman"/>
          <w:color w:val="auto"/>
          <w:sz w:val="21"/>
          <w:szCs w:val="21"/>
        </w:rPr>
        <w:t>国家的明胶用在</w:t>
      </w:r>
      <w:r>
        <w:rPr>
          <w:rFonts w:ascii="Times New Roman" w:hAnsi="Times New Roman" w:cs="Times New Roman"/>
          <w:color w:val="auto"/>
          <w:sz w:val="21"/>
          <w:szCs w:val="21"/>
        </w:rPr>
        <w:t>FDA</w:t>
      </w:r>
      <w:r>
        <w:rPr>
          <w:rFonts w:hint="eastAsia" w:ascii="Times New Roman" w:cs="Times New Roman"/>
          <w:color w:val="auto"/>
          <w:sz w:val="21"/>
          <w:szCs w:val="21"/>
        </w:rPr>
        <w:t>监管产品中是可接受的。</w:t>
      </w:r>
    </w:p>
    <w:p w14:paraId="4A2AC437">
      <w:pPr>
        <w:adjustRightInd w:val="0"/>
        <w:snapToGrid w:val="0"/>
        <w:spacing w:line="360" w:lineRule="auto"/>
        <w:ind w:left="900" w:leftChars="200" w:hanging="420" w:hangingChars="200"/>
        <w:jc w:val="both"/>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Times New Roman" w:cs="Times New Roman"/>
          <w:color w:val="auto"/>
          <w:sz w:val="21"/>
          <w:szCs w:val="21"/>
        </w:rPr>
        <w:t>1997</w:t>
      </w:r>
      <w:r>
        <w:rPr>
          <w:rFonts w:hint="eastAsia" w:ascii="Times New Roman" w:cs="Times New Roman"/>
          <w:color w:val="auto"/>
          <w:sz w:val="21"/>
          <w:szCs w:val="21"/>
        </w:rPr>
        <w:t>年</w:t>
      </w:r>
      <w:r>
        <w:rPr>
          <w:rFonts w:ascii="Times New Roman" w:hAnsi="Times New Roman" w:cs="Times New Roman"/>
          <w:color w:val="auto"/>
          <w:sz w:val="21"/>
          <w:szCs w:val="21"/>
        </w:rPr>
        <w:t>6</w:t>
      </w:r>
      <w:r>
        <w:rPr>
          <w:rFonts w:hint="eastAsia" w:ascii="Times New Roman" w:cs="Times New Roman"/>
          <w:color w:val="auto"/>
          <w:sz w:val="21"/>
          <w:szCs w:val="21"/>
        </w:rPr>
        <w:t>月</w:t>
      </w:r>
      <w:r>
        <w:rPr>
          <w:rFonts w:ascii="Times New Roman" w:hAnsi="Times New Roman" w:cs="Times New Roman"/>
          <w:color w:val="auto"/>
          <w:sz w:val="21"/>
          <w:szCs w:val="21"/>
        </w:rPr>
        <w:t>5</w:t>
      </w:r>
      <w:r>
        <w:rPr>
          <w:rFonts w:hint="eastAsia" w:ascii="Times New Roman" w:cs="Times New Roman"/>
          <w:color w:val="auto"/>
          <w:sz w:val="21"/>
          <w:szCs w:val="21"/>
        </w:rPr>
        <w:t>日，</w:t>
      </w:r>
      <w:r>
        <w:rPr>
          <w:rFonts w:ascii="Times New Roman" w:hAnsi="Times New Roman" w:cs="Times New Roman"/>
          <w:color w:val="auto"/>
          <w:sz w:val="21"/>
          <w:szCs w:val="21"/>
        </w:rPr>
        <w:t>FDA</w:t>
      </w:r>
      <w:r>
        <w:rPr>
          <w:rFonts w:hint="eastAsia" w:ascii="Times New Roman" w:cs="Times New Roman"/>
          <w:color w:val="auto"/>
          <w:sz w:val="21"/>
          <w:szCs w:val="21"/>
        </w:rPr>
        <w:t>在联邦公报上公布了一份文件，题为</w:t>
      </w:r>
      <w:r>
        <w:rPr>
          <w:rFonts w:ascii="Times New Roman" w:hAnsi="Times New Roman" w:cs="Times New Roman"/>
          <w:color w:val="auto"/>
          <w:sz w:val="21"/>
          <w:szCs w:val="21"/>
        </w:rPr>
        <w:t>“</w:t>
      </w:r>
      <w:r>
        <w:rPr>
          <w:rFonts w:hint="eastAsia" w:ascii="Times New Roman" w:cs="Times New Roman"/>
          <w:color w:val="auto"/>
          <w:sz w:val="21"/>
          <w:szCs w:val="21"/>
        </w:rPr>
        <w:t>禁止在动物食品或饲料中使用的物质；反刍动物饲料中禁止的动物蛋白质；最终规则</w:t>
      </w:r>
      <w:r>
        <w:rPr>
          <w:rFonts w:ascii="Times New Roman" w:hAnsi="Times New Roman" w:cs="Times New Roman"/>
          <w:color w:val="auto"/>
          <w:sz w:val="21"/>
          <w:szCs w:val="21"/>
        </w:rPr>
        <w:t>”</w:t>
      </w:r>
      <w:r>
        <w:rPr>
          <w:rFonts w:hint="eastAsia" w:ascii="Times New Roman" w:cs="Times New Roman"/>
          <w:color w:val="auto"/>
          <w:sz w:val="21"/>
          <w:szCs w:val="21"/>
        </w:rPr>
        <w:t>（</w:t>
      </w:r>
      <w:r>
        <w:rPr>
          <w:rFonts w:ascii="Times New Roman" w:hAnsi="Times New Roman" w:cs="Times New Roman"/>
          <w:color w:val="auto"/>
          <w:sz w:val="21"/>
          <w:szCs w:val="21"/>
        </w:rPr>
        <w:t>62 FR 30936</w:t>
      </w:r>
      <w:r>
        <w:rPr>
          <w:rFonts w:hint="eastAsia" w:ascii="Times New Roman" w:cs="Times New Roman"/>
          <w:color w:val="auto"/>
          <w:sz w:val="21"/>
          <w:szCs w:val="21"/>
        </w:rPr>
        <w:t>）。该最终规则在反刍动物饲料中所禁止动物蛋白的定义中排除国产明胶。事实上，美国生产商不会添加明胶</w:t>
      </w:r>
      <w:r>
        <w:rPr>
          <w:rFonts w:ascii="Times New Roman" w:hAnsi="Times New Roman" w:cs="Times New Roman"/>
          <w:color w:val="auto"/>
          <w:sz w:val="21"/>
          <w:szCs w:val="21"/>
        </w:rPr>
        <w:t xml:space="preserve"> - </w:t>
      </w:r>
      <w:r>
        <w:rPr>
          <w:rFonts w:hint="eastAsia" w:ascii="Times New Roman" w:cs="Times New Roman"/>
          <w:color w:val="auto"/>
          <w:sz w:val="21"/>
          <w:szCs w:val="21"/>
        </w:rPr>
        <w:t>蛋白质的不良来源</w:t>
      </w:r>
      <w:r>
        <w:rPr>
          <w:rFonts w:ascii="Times New Roman" w:hAnsi="Times New Roman" w:cs="Times New Roman"/>
          <w:color w:val="auto"/>
          <w:sz w:val="21"/>
          <w:szCs w:val="21"/>
        </w:rPr>
        <w:t xml:space="preserve"> - </w:t>
      </w:r>
      <w:r>
        <w:rPr>
          <w:rFonts w:hint="eastAsia" w:ascii="Times New Roman" w:cs="Times New Roman"/>
          <w:color w:val="auto"/>
          <w:sz w:val="21"/>
          <w:szCs w:val="21"/>
        </w:rPr>
        <w:t>作为动物饲料的蛋白质补充。（</w:t>
      </w:r>
      <w:r>
        <w:rPr>
          <w:rFonts w:ascii="Times New Roman" w:hAnsi="Times New Roman" w:cs="Times New Roman"/>
          <w:color w:val="auto"/>
          <w:sz w:val="21"/>
          <w:szCs w:val="21"/>
        </w:rPr>
        <w:t>USDA/APHIS</w:t>
      </w:r>
      <w:r>
        <w:rPr>
          <w:rFonts w:hint="eastAsia" w:ascii="Times New Roman" w:cs="Times New Roman"/>
          <w:color w:val="auto"/>
          <w:sz w:val="21"/>
          <w:szCs w:val="21"/>
        </w:rPr>
        <w:t>禁止进口来自</w:t>
      </w:r>
      <w:r>
        <w:rPr>
          <w:rFonts w:ascii="Times New Roman" w:hAnsi="Times New Roman" w:cs="Times New Roman"/>
          <w:color w:val="auto"/>
          <w:sz w:val="21"/>
          <w:szCs w:val="21"/>
        </w:rPr>
        <w:t xml:space="preserve"> BSE</w:t>
      </w:r>
      <w:r>
        <w:rPr>
          <w:rFonts w:hint="eastAsia" w:ascii="Times New Roman" w:cs="Times New Roman"/>
          <w:color w:val="auto"/>
          <w:sz w:val="21"/>
          <w:szCs w:val="21"/>
        </w:rPr>
        <w:t>国家的进口明胶和其他牛源产品用于动物用途）。</w:t>
      </w:r>
    </w:p>
    <w:p w14:paraId="76F5025F">
      <w:pPr>
        <w:adjustRightInd w:val="0"/>
        <w:snapToGrid w:val="0"/>
        <w:spacing w:line="360" w:lineRule="auto"/>
        <w:jc w:val="center"/>
        <w:rPr>
          <w:rFonts w:ascii="Times New Roman" w:hAnsi="Times New Roman" w:cs="Times New Roman"/>
          <w:color w:val="auto"/>
          <w:sz w:val="21"/>
          <w:szCs w:val="21"/>
        </w:rPr>
      </w:pPr>
      <w:r>
        <w:rPr>
          <w:rFonts w:hint="eastAsia" w:ascii="Times New Roman" w:cs="Times New Roman"/>
          <w:color w:val="auto"/>
          <w:sz w:val="21"/>
          <w:szCs w:val="21"/>
        </w:rPr>
        <w:t>附件</w:t>
      </w:r>
      <w:r>
        <w:rPr>
          <w:rFonts w:ascii="Times New Roman" w:hAnsi="Times New Roman" w:cs="Times New Roman"/>
          <w:color w:val="auto"/>
          <w:sz w:val="21"/>
          <w:szCs w:val="21"/>
        </w:rPr>
        <w:t>B</w:t>
      </w:r>
    </w:p>
    <w:p w14:paraId="102070EF">
      <w:pPr>
        <w:adjustRightInd w:val="0"/>
        <w:snapToGrid w:val="0"/>
        <w:spacing w:line="360" w:lineRule="auto"/>
        <w:jc w:val="center"/>
        <w:rPr>
          <w:rFonts w:ascii="Times New Roman" w:hAnsi="Times New Roman" w:cs="Times New Roman"/>
          <w:color w:val="auto"/>
          <w:sz w:val="21"/>
          <w:szCs w:val="21"/>
        </w:rPr>
      </w:pPr>
      <w:r>
        <w:rPr>
          <w:rFonts w:hint="eastAsia" w:ascii="Times New Roman" w:cs="Times New Roman"/>
          <w:color w:val="auto"/>
          <w:sz w:val="21"/>
          <w:szCs w:val="21"/>
        </w:rPr>
        <w:t>咨询委员会会议纪要</w:t>
      </w:r>
    </w:p>
    <w:p w14:paraId="5E156DC1">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1997</w:t>
      </w:r>
      <w:r>
        <w:rPr>
          <w:rFonts w:hint="eastAsia" w:ascii="Times New Roman" w:cs="Times New Roman"/>
          <w:color w:val="auto"/>
          <w:sz w:val="21"/>
          <w:szCs w:val="21"/>
        </w:rPr>
        <w:t>年</w:t>
      </w:r>
      <w:r>
        <w:rPr>
          <w:rFonts w:ascii="Times New Roman" w:hAnsi="Times New Roman" w:cs="Times New Roman"/>
          <w:color w:val="auto"/>
          <w:sz w:val="21"/>
          <w:szCs w:val="21"/>
        </w:rPr>
        <w:t>4</w:t>
      </w:r>
      <w:r>
        <w:rPr>
          <w:rFonts w:hint="eastAsia" w:ascii="Times New Roman" w:cs="Times New Roman"/>
          <w:color w:val="auto"/>
          <w:sz w:val="21"/>
          <w:szCs w:val="21"/>
        </w:rPr>
        <w:t>月</w:t>
      </w:r>
      <w:r>
        <w:rPr>
          <w:rFonts w:ascii="Times New Roman" w:hAnsi="Times New Roman" w:cs="Times New Roman"/>
          <w:color w:val="auto"/>
          <w:sz w:val="21"/>
          <w:szCs w:val="21"/>
        </w:rPr>
        <w:t>23</w:t>
      </w:r>
      <w:r>
        <w:rPr>
          <w:rFonts w:hint="eastAsia" w:ascii="Times New Roman" w:cs="Times New Roman"/>
          <w:color w:val="auto"/>
          <w:sz w:val="21"/>
          <w:szCs w:val="21"/>
        </w:rPr>
        <w:t>日至</w:t>
      </w:r>
      <w:r>
        <w:rPr>
          <w:rFonts w:ascii="Times New Roman" w:hAnsi="Times New Roman" w:cs="Times New Roman"/>
          <w:color w:val="auto"/>
          <w:sz w:val="21"/>
          <w:szCs w:val="21"/>
        </w:rPr>
        <w:t>24</w:t>
      </w:r>
      <w:r>
        <w:rPr>
          <w:rFonts w:hint="eastAsia" w:ascii="Times New Roman" w:cs="Times New Roman"/>
          <w:color w:val="auto"/>
          <w:sz w:val="21"/>
          <w:szCs w:val="21"/>
        </w:rPr>
        <w:t>日，</w:t>
      </w:r>
      <w:r>
        <w:rPr>
          <w:rFonts w:ascii="Times New Roman" w:hAnsi="Times New Roman" w:cs="Times New Roman"/>
          <w:color w:val="auto"/>
          <w:sz w:val="21"/>
          <w:szCs w:val="21"/>
        </w:rPr>
        <w:t>FDA</w:t>
      </w:r>
      <w:r>
        <w:rPr>
          <w:rFonts w:hint="eastAsia" w:ascii="Times New Roman" w:cs="Times New Roman"/>
          <w:color w:val="auto"/>
          <w:sz w:val="21"/>
          <w:szCs w:val="21"/>
        </w:rPr>
        <w:t>举行了传染性海绵状脑病咨询委员会公开会议，以帮助</w:t>
      </w:r>
      <w:r>
        <w:rPr>
          <w:rFonts w:ascii="Times New Roman" w:hAnsi="Times New Roman" w:cs="Times New Roman"/>
          <w:color w:val="auto"/>
          <w:sz w:val="21"/>
          <w:szCs w:val="21"/>
        </w:rPr>
        <w:t>FDA</w:t>
      </w:r>
      <w:r>
        <w:rPr>
          <w:rFonts w:hint="eastAsia" w:ascii="Times New Roman" w:cs="Times New Roman"/>
          <w:color w:val="auto"/>
          <w:sz w:val="21"/>
          <w:szCs w:val="21"/>
        </w:rPr>
        <w:t>在牛海绵状脑病（</w:t>
      </w:r>
      <w:r>
        <w:rPr>
          <w:rFonts w:ascii="Times New Roman" w:hAnsi="Times New Roman" w:cs="Times New Roman"/>
          <w:color w:val="auto"/>
          <w:sz w:val="21"/>
          <w:szCs w:val="21"/>
        </w:rPr>
        <w:t>BSE</w:t>
      </w:r>
      <w:r>
        <w:rPr>
          <w:rFonts w:hint="eastAsia" w:ascii="Times New Roman" w:cs="Times New Roman"/>
          <w:color w:val="auto"/>
          <w:sz w:val="21"/>
          <w:szCs w:val="21"/>
        </w:rPr>
        <w:t>）风险方面，评估</w:t>
      </w:r>
      <w:r>
        <w:rPr>
          <w:rFonts w:ascii="Times New Roman" w:hAnsi="Times New Roman" w:cs="Times New Roman"/>
          <w:color w:val="auto"/>
          <w:sz w:val="21"/>
          <w:szCs w:val="21"/>
        </w:rPr>
        <w:t>FDA</w:t>
      </w:r>
      <w:r>
        <w:rPr>
          <w:rFonts w:hint="eastAsia" w:ascii="Times New Roman" w:cs="Times New Roman"/>
          <w:color w:val="auto"/>
          <w:sz w:val="21"/>
          <w:szCs w:val="21"/>
        </w:rPr>
        <w:t>管制产品中进口明胶、国产明胶和明胶副产品的安全性。在介绍了明胶采购和加工、风险评估、工艺验证和</w:t>
      </w:r>
      <w:r>
        <w:rPr>
          <w:rFonts w:ascii="Times New Roman" w:hAnsi="Times New Roman" w:cs="Times New Roman"/>
          <w:color w:val="auto"/>
          <w:sz w:val="21"/>
          <w:szCs w:val="21"/>
        </w:rPr>
        <w:t>BSE</w:t>
      </w:r>
      <w:r>
        <w:rPr>
          <w:rFonts w:hint="eastAsia" w:ascii="Times New Roman" w:cs="Times New Roman"/>
          <w:color w:val="auto"/>
          <w:sz w:val="21"/>
          <w:szCs w:val="21"/>
        </w:rPr>
        <w:t>传染性后，小组成员被问及如下：</w:t>
      </w:r>
    </w:p>
    <w:p w14:paraId="1E5CF610">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1.</w:t>
      </w:r>
      <w:r>
        <w:rPr>
          <w:rFonts w:ascii="Times New Roman" w:hAnsi="Times New Roman" w:cs="Times New Roman"/>
          <w:color w:val="auto"/>
          <w:sz w:val="21"/>
          <w:szCs w:val="21"/>
        </w:rPr>
        <w:tab/>
      </w:r>
      <w:r>
        <w:rPr>
          <w:rFonts w:hint="eastAsia" w:ascii="Times New Roman" w:cs="Times New Roman"/>
          <w:color w:val="auto"/>
          <w:sz w:val="21"/>
          <w:szCs w:val="21"/>
        </w:rPr>
        <w:t>哪种（如果有的话）特定的明胶加工程序是确保任何污染</w:t>
      </w:r>
      <w:r>
        <w:rPr>
          <w:rFonts w:ascii="Times New Roman" w:hAnsi="Times New Roman" w:cs="Times New Roman"/>
          <w:color w:val="auto"/>
          <w:sz w:val="21"/>
          <w:szCs w:val="21"/>
        </w:rPr>
        <w:t>TSE</w:t>
      </w:r>
      <w:r>
        <w:rPr>
          <w:rFonts w:hint="eastAsia" w:ascii="Times New Roman" w:cs="Times New Roman"/>
          <w:color w:val="auto"/>
          <w:sz w:val="21"/>
          <w:szCs w:val="21"/>
        </w:rPr>
        <w:t>传染源最佳灭活的首选或必不可少的？</w:t>
      </w:r>
    </w:p>
    <w:p w14:paraId="0A18928F">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委员会同意</w:t>
      </w:r>
      <w:r>
        <w:rPr>
          <w:rFonts w:ascii="Times New Roman" w:hAnsi="Times New Roman" w:cs="Times New Roman"/>
          <w:color w:val="auto"/>
          <w:sz w:val="21"/>
          <w:szCs w:val="21"/>
        </w:rPr>
        <w:t>FDA</w:t>
      </w:r>
      <w:r>
        <w:rPr>
          <w:rFonts w:hint="eastAsia" w:ascii="Times New Roman" w:cs="Times New Roman"/>
          <w:color w:val="auto"/>
          <w:sz w:val="21"/>
          <w:szCs w:val="21"/>
        </w:rPr>
        <w:t>的规定，明胶生产中的碱处理步骤是灭活</w:t>
      </w:r>
      <w:r>
        <w:rPr>
          <w:rFonts w:ascii="Times New Roman" w:hAnsi="Times New Roman" w:cs="Times New Roman"/>
          <w:color w:val="auto"/>
          <w:sz w:val="21"/>
          <w:szCs w:val="21"/>
        </w:rPr>
        <w:t>BSE</w:t>
      </w:r>
      <w:r>
        <w:rPr>
          <w:rFonts w:hint="eastAsia" w:ascii="Times New Roman" w:cs="Times New Roman"/>
          <w:color w:val="auto"/>
          <w:sz w:val="21"/>
          <w:szCs w:val="21"/>
        </w:rPr>
        <w:t>传染源的关键步骤。它表示，诸如热、碱处理和过滤等步骤可有效降低污染</w:t>
      </w:r>
      <w:r>
        <w:rPr>
          <w:rFonts w:ascii="Times New Roman" w:hAnsi="Times New Roman" w:cs="Times New Roman"/>
          <w:color w:val="auto"/>
          <w:sz w:val="21"/>
          <w:szCs w:val="21"/>
        </w:rPr>
        <w:t>TSE</w:t>
      </w:r>
      <w:r>
        <w:rPr>
          <w:rFonts w:hint="eastAsia" w:ascii="Times New Roman" w:cs="Times New Roman"/>
          <w:color w:val="auto"/>
          <w:sz w:val="21"/>
          <w:szCs w:val="21"/>
        </w:rPr>
        <w:t>源的水平；但是，当前的科学证据不足以证明，如果存在于源材料中，这些处理将能有效地除去</w:t>
      </w:r>
      <w:r>
        <w:rPr>
          <w:rFonts w:ascii="Times New Roman" w:hAnsi="Times New Roman" w:cs="Times New Roman"/>
          <w:color w:val="auto"/>
          <w:sz w:val="21"/>
          <w:szCs w:val="21"/>
        </w:rPr>
        <w:t>BSE</w:t>
      </w:r>
      <w:r>
        <w:rPr>
          <w:rFonts w:hint="eastAsia" w:ascii="Times New Roman" w:cs="Times New Roman"/>
          <w:color w:val="auto"/>
          <w:sz w:val="21"/>
          <w:szCs w:val="21"/>
        </w:rPr>
        <w:t>感染病原体。</w:t>
      </w:r>
    </w:p>
    <w:p w14:paraId="154088F9">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2.</w:t>
      </w:r>
      <w:r>
        <w:rPr>
          <w:rFonts w:ascii="Times New Roman" w:hAnsi="Times New Roman" w:cs="Times New Roman"/>
          <w:color w:val="auto"/>
          <w:sz w:val="21"/>
          <w:szCs w:val="21"/>
        </w:rPr>
        <w:tab/>
      </w:r>
      <w:r>
        <w:rPr>
          <w:rFonts w:hint="eastAsia" w:ascii="Times New Roman" w:cs="Times New Roman"/>
          <w:color w:val="auto"/>
          <w:sz w:val="21"/>
          <w:szCs w:val="21"/>
        </w:rPr>
        <w:t>在设计明胶过程验证研究和分析这些研究结果时应考虑什么标准？</w:t>
      </w:r>
    </w:p>
    <w:p w14:paraId="58FCD692">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委员会同意</w:t>
      </w:r>
      <w:r>
        <w:rPr>
          <w:rFonts w:ascii="Times New Roman" w:hAnsi="Times New Roman" w:cs="Times New Roman"/>
          <w:color w:val="auto"/>
          <w:sz w:val="21"/>
          <w:szCs w:val="21"/>
        </w:rPr>
        <w:t>FDA</w:t>
      </w:r>
      <w:r>
        <w:rPr>
          <w:rFonts w:hint="eastAsia" w:ascii="Times New Roman" w:cs="Times New Roman"/>
          <w:color w:val="auto"/>
          <w:sz w:val="21"/>
          <w:szCs w:val="21"/>
        </w:rPr>
        <w:t>的意见，即需要精心设计的过程验证方案，以验证特定的制造过程将使</w:t>
      </w:r>
      <w:r>
        <w:rPr>
          <w:rFonts w:ascii="Times New Roman" w:hAnsi="Times New Roman" w:cs="Times New Roman"/>
          <w:color w:val="auto"/>
          <w:sz w:val="21"/>
          <w:szCs w:val="21"/>
        </w:rPr>
        <w:t>BSE</w:t>
      </w:r>
      <w:r>
        <w:rPr>
          <w:rFonts w:hint="eastAsia" w:ascii="Times New Roman" w:cs="Times New Roman"/>
          <w:color w:val="auto"/>
          <w:sz w:val="21"/>
          <w:szCs w:val="21"/>
        </w:rPr>
        <w:t>的感染病原体失活。它建议</w:t>
      </w:r>
      <w:r>
        <w:rPr>
          <w:rFonts w:ascii="Times New Roman" w:hAnsi="Times New Roman" w:cs="Times New Roman"/>
          <w:color w:val="auto"/>
          <w:sz w:val="21"/>
          <w:szCs w:val="21"/>
        </w:rPr>
        <w:t>FDA</w:t>
      </w:r>
      <w:r>
        <w:rPr>
          <w:rFonts w:hint="eastAsia" w:ascii="Times New Roman" w:cs="Times New Roman"/>
          <w:color w:val="auto"/>
          <w:sz w:val="21"/>
          <w:szCs w:val="21"/>
        </w:rPr>
        <w:t>使用外部专家的帮助来审查行业提交。委员会还提出要提供意见。委员会表示需要确保生产商遵循指定的生产工艺。</w:t>
      </w:r>
    </w:p>
    <w:p w14:paraId="1FE07583">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3.</w:t>
      </w:r>
      <w:r>
        <w:rPr>
          <w:rFonts w:ascii="Times New Roman" w:hAnsi="Times New Roman" w:cs="Times New Roman"/>
          <w:color w:val="auto"/>
          <w:sz w:val="21"/>
          <w:szCs w:val="21"/>
        </w:rPr>
        <w:tab/>
      </w:r>
      <w:r>
        <w:rPr>
          <w:rFonts w:hint="eastAsia" w:ascii="Times New Roman" w:cs="Times New Roman"/>
          <w:color w:val="auto"/>
          <w:sz w:val="21"/>
          <w:szCs w:val="21"/>
        </w:rPr>
        <w:t>如果明胶和明胶副产品不再被豁免于</w:t>
      </w:r>
      <w:r>
        <w:rPr>
          <w:rFonts w:ascii="Times New Roman" w:hAnsi="Times New Roman" w:cs="Times New Roman"/>
          <w:color w:val="auto"/>
          <w:sz w:val="21"/>
          <w:szCs w:val="21"/>
        </w:rPr>
        <w:t>FDA</w:t>
      </w:r>
      <w:r>
        <w:rPr>
          <w:rFonts w:hint="eastAsia" w:ascii="Times New Roman" w:cs="Times New Roman"/>
          <w:color w:val="auto"/>
          <w:sz w:val="21"/>
          <w:szCs w:val="21"/>
        </w:rPr>
        <w:t>的</w:t>
      </w:r>
      <w:r>
        <w:rPr>
          <w:rFonts w:ascii="Times New Roman" w:hAnsi="Times New Roman" w:cs="Times New Roman"/>
          <w:color w:val="auto"/>
          <w:sz w:val="21"/>
          <w:szCs w:val="21"/>
        </w:rPr>
        <w:t>BSE</w:t>
      </w:r>
      <w:r>
        <w:rPr>
          <w:rFonts w:hint="eastAsia" w:ascii="Times New Roman" w:cs="Times New Roman"/>
          <w:color w:val="auto"/>
          <w:sz w:val="21"/>
          <w:szCs w:val="21"/>
        </w:rPr>
        <w:t>限制，那么什么水平的限制足以适当降低风险？</w:t>
      </w:r>
    </w:p>
    <w:p w14:paraId="66A4128B">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委员会对目前美国农业部指定的</w:t>
      </w:r>
      <w:r>
        <w:rPr>
          <w:rFonts w:ascii="Times New Roman" w:hAnsi="Times New Roman" w:cs="Times New Roman"/>
          <w:color w:val="auto"/>
          <w:sz w:val="21"/>
          <w:szCs w:val="21"/>
        </w:rPr>
        <w:t>BSE</w:t>
      </w:r>
      <w:r>
        <w:rPr>
          <w:rFonts w:hint="eastAsia" w:ascii="Times New Roman" w:cs="Times New Roman"/>
          <w:color w:val="auto"/>
          <w:sz w:val="21"/>
          <w:szCs w:val="21"/>
        </w:rPr>
        <w:t>国家名单表示担忧，因为一些国家的无效</w:t>
      </w:r>
      <w:r>
        <w:rPr>
          <w:rFonts w:ascii="Times New Roman" w:hAnsi="Times New Roman" w:cs="Times New Roman"/>
          <w:color w:val="auto"/>
          <w:sz w:val="21"/>
          <w:szCs w:val="21"/>
        </w:rPr>
        <w:t>BSE</w:t>
      </w:r>
      <w:r>
        <w:rPr>
          <w:rFonts w:hint="eastAsia" w:ascii="Times New Roman" w:cs="Times New Roman"/>
          <w:color w:val="auto"/>
          <w:sz w:val="21"/>
          <w:szCs w:val="21"/>
        </w:rPr>
        <w:t>监测可能无法检测到</w:t>
      </w:r>
      <w:r>
        <w:rPr>
          <w:rFonts w:ascii="Times New Roman" w:hAnsi="Times New Roman" w:cs="Times New Roman"/>
          <w:color w:val="auto"/>
          <w:sz w:val="21"/>
          <w:szCs w:val="21"/>
        </w:rPr>
        <w:t>BSE</w:t>
      </w:r>
      <w:r>
        <w:rPr>
          <w:rFonts w:hint="eastAsia" w:ascii="Times New Roman" w:cs="Times New Roman"/>
          <w:color w:val="auto"/>
          <w:sz w:val="21"/>
          <w:szCs w:val="21"/>
        </w:rPr>
        <w:t>。它表明需要制定</w:t>
      </w:r>
      <w:r>
        <w:rPr>
          <w:rFonts w:ascii="Times New Roman" w:hAnsi="Times New Roman" w:cs="Times New Roman"/>
          <w:color w:val="auto"/>
          <w:sz w:val="21"/>
          <w:szCs w:val="21"/>
        </w:rPr>
        <w:t>BSE</w:t>
      </w:r>
      <w:r>
        <w:rPr>
          <w:rFonts w:hint="eastAsia" w:ascii="Times New Roman" w:cs="Times New Roman"/>
          <w:color w:val="auto"/>
          <w:sz w:val="21"/>
          <w:szCs w:val="21"/>
        </w:rPr>
        <w:t>指定</w:t>
      </w:r>
      <w:r>
        <w:rPr>
          <w:rFonts w:ascii="Times New Roman" w:hAnsi="Times New Roman" w:cs="Times New Roman"/>
          <w:color w:val="auto"/>
          <w:sz w:val="21"/>
          <w:szCs w:val="21"/>
        </w:rPr>
        <w:t>/</w:t>
      </w:r>
      <w:r>
        <w:rPr>
          <w:rFonts w:hint="eastAsia" w:ascii="Times New Roman" w:cs="Times New Roman"/>
          <w:color w:val="auto"/>
          <w:sz w:val="21"/>
          <w:szCs w:val="21"/>
        </w:rPr>
        <w:t>分类标准。</w:t>
      </w:r>
    </w:p>
    <w:p w14:paraId="2E4AC0CB">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美国农业部正在处理有效监督的问题和修改其目前清单。</w:t>
      </w:r>
    </w:p>
    <w:p w14:paraId="3C767576">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但是，这可能是一段时间才完成。委员会表示，采购明胶应尽可能安全，那些虽未报告病例但已确定</w:t>
      </w:r>
      <w:r>
        <w:rPr>
          <w:rFonts w:ascii="Times New Roman" w:hAnsi="Times New Roman" w:cs="Times New Roman"/>
          <w:color w:val="auto"/>
          <w:sz w:val="21"/>
          <w:szCs w:val="21"/>
        </w:rPr>
        <w:t>BSE</w:t>
      </w:r>
      <w:r>
        <w:rPr>
          <w:rFonts w:hint="eastAsia" w:ascii="Times New Roman" w:cs="Times New Roman"/>
          <w:color w:val="auto"/>
          <w:sz w:val="21"/>
          <w:szCs w:val="21"/>
        </w:rPr>
        <w:t>风险或缺乏适当监测系统的国家将是个问题。</w:t>
      </w:r>
    </w:p>
    <w:p w14:paraId="7770E1FB">
      <w:pPr>
        <w:adjustRightInd w:val="0"/>
        <w:snapToGrid w:val="0"/>
        <w:spacing w:beforeLines="50" w:line="336" w:lineRule="auto"/>
        <w:jc w:val="both"/>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hint="eastAsia" w:ascii="Times New Roman" w:cs="Times New Roman"/>
          <w:color w:val="auto"/>
          <w:sz w:val="21"/>
          <w:szCs w:val="21"/>
        </w:rPr>
        <w:t>委员会表示，应该明确规定明胶的使用标准。口服用、非肠道和美容用途的风险将有所不同。在此风险评估中应考虑其他因素，如加工和加工材料的类型（牛</w:t>
      </w:r>
      <w:r>
        <w:rPr>
          <w:rFonts w:ascii="Times New Roman" w:hAnsi="Times New Roman" w:cs="Times New Roman"/>
          <w:color w:val="auto"/>
          <w:sz w:val="21"/>
          <w:szCs w:val="21"/>
        </w:rPr>
        <w:t>/</w:t>
      </w:r>
      <w:r>
        <w:rPr>
          <w:rFonts w:hint="eastAsia" w:ascii="Times New Roman" w:cs="Times New Roman"/>
          <w:color w:val="auto"/>
          <w:sz w:val="21"/>
          <w:szCs w:val="21"/>
        </w:rPr>
        <w:t>猪，骨</w:t>
      </w:r>
      <w:r>
        <w:rPr>
          <w:rFonts w:ascii="Times New Roman" w:hAnsi="Times New Roman" w:cs="Times New Roman"/>
          <w:color w:val="auto"/>
          <w:sz w:val="21"/>
          <w:szCs w:val="21"/>
        </w:rPr>
        <w:t>/</w:t>
      </w:r>
      <w:r>
        <w:rPr>
          <w:rFonts w:hint="eastAsia" w:ascii="Times New Roman" w:cs="Times New Roman"/>
          <w:color w:val="auto"/>
          <w:sz w:val="21"/>
          <w:szCs w:val="21"/>
        </w:rPr>
        <w:t>皮）。</w:t>
      </w:r>
    </w:p>
    <w:p w14:paraId="73F821EC">
      <w:pPr>
        <w:adjustRightInd w:val="0"/>
        <w:snapToGrid w:val="0"/>
        <w:spacing w:beforeLines="50" w:line="336"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4</w:t>
      </w:r>
      <w:r>
        <w:rPr>
          <w:rFonts w:hint="eastAsia" w:ascii="Times New Roman" w:cs="Times New Roman"/>
          <w:color w:val="auto"/>
          <w:sz w:val="21"/>
          <w:szCs w:val="21"/>
        </w:rPr>
        <w:t>．</w:t>
      </w:r>
      <w:r>
        <w:rPr>
          <w:rFonts w:ascii="Times New Roman" w:hAnsi="Times New Roman" w:cs="Times New Roman"/>
          <w:color w:val="auto"/>
          <w:sz w:val="21"/>
          <w:szCs w:val="21"/>
        </w:rPr>
        <w:tab/>
      </w:r>
      <w:r>
        <w:rPr>
          <w:rFonts w:hint="eastAsia" w:ascii="Times New Roman" w:cs="Times New Roman"/>
          <w:color w:val="auto"/>
          <w:sz w:val="21"/>
          <w:szCs w:val="21"/>
        </w:rPr>
        <w:t>目前的科学证据能证明，继续豁免明胶不受</w:t>
      </w:r>
      <w:r>
        <w:rPr>
          <w:rFonts w:ascii="Times New Roman" w:hAnsi="Times New Roman" w:cs="Times New Roman"/>
          <w:color w:val="auto"/>
          <w:sz w:val="21"/>
          <w:szCs w:val="21"/>
        </w:rPr>
        <w:t>FDA</w:t>
      </w:r>
      <w:r>
        <w:rPr>
          <w:rFonts w:hint="eastAsia" w:ascii="Times New Roman" w:cs="Times New Roman"/>
          <w:color w:val="auto"/>
          <w:sz w:val="21"/>
          <w:szCs w:val="21"/>
        </w:rPr>
        <w:t>对其他来自</w:t>
      </w:r>
      <w:r>
        <w:rPr>
          <w:rFonts w:ascii="Times New Roman" w:hAnsi="Times New Roman" w:cs="Times New Roman"/>
          <w:color w:val="auto"/>
          <w:sz w:val="21"/>
          <w:szCs w:val="21"/>
        </w:rPr>
        <w:t>BSE</w:t>
      </w:r>
      <w:r>
        <w:rPr>
          <w:rFonts w:hint="eastAsia" w:ascii="Times New Roman" w:cs="Times New Roman"/>
          <w:color w:val="auto"/>
          <w:sz w:val="21"/>
          <w:szCs w:val="21"/>
        </w:rPr>
        <w:t>国家的牛源材料的限制（即这些材料不是来自</w:t>
      </w:r>
      <w:r>
        <w:rPr>
          <w:rFonts w:ascii="Times New Roman" w:hAnsi="Times New Roman" w:cs="Times New Roman"/>
          <w:color w:val="auto"/>
          <w:sz w:val="21"/>
          <w:szCs w:val="21"/>
        </w:rPr>
        <w:t>BSE</w:t>
      </w:r>
      <w:r>
        <w:rPr>
          <w:rFonts w:hint="eastAsia" w:ascii="Times New Roman" w:cs="Times New Roman"/>
          <w:color w:val="auto"/>
          <w:sz w:val="21"/>
          <w:szCs w:val="21"/>
        </w:rPr>
        <w:t>国家）吗？</w:t>
      </w:r>
    </w:p>
    <w:p w14:paraId="40B8C7D8">
      <w:pPr>
        <w:adjustRightInd w:val="0"/>
        <w:snapToGrid w:val="0"/>
        <w:spacing w:beforeLines="50" w:line="336" w:lineRule="auto"/>
        <w:jc w:val="both"/>
        <w:rPr>
          <w:rFonts w:ascii="Times New Roman" w:hAnsi="Times New Roman" w:cs="Times New Roman"/>
          <w:color w:val="auto"/>
          <w:sz w:val="21"/>
          <w:szCs w:val="21"/>
        </w:rPr>
      </w:pPr>
      <w:r>
        <w:rPr>
          <w:rFonts w:hint="eastAsia" w:ascii="Times New Roman" w:cs="Times New Roman"/>
          <w:color w:val="auto"/>
          <w:sz w:val="21"/>
          <w:szCs w:val="21"/>
        </w:rPr>
        <w:t>有十名成员表示</w:t>
      </w:r>
      <w:r>
        <w:rPr>
          <w:rFonts w:ascii="Times New Roman" w:hAnsi="Times New Roman" w:cs="Times New Roman"/>
          <w:color w:val="auto"/>
          <w:sz w:val="21"/>
          <w:szCs w:val="21"/>
        </w:rPr>
        <w:t>“</w:t>
      </w:r>
      <w:r>
        <w:rPr>
          <w:rFonts w:hint="eastAsia" w:ascii="Times New Roman" w:cs="Times New Roman"/>
          <w:color w:val="auto"/>
          <w:sz w:val="21"/>
          <w:szCs w:val="21"/>
        </w:rPr>
        <w:t>否</w:t>
      </w:r>
      <w:r>
        <w:rPr>
          <w:rFonts w:ascii="Times New Roman" w:hAnsi="Times New Roman" w:cs="Times New Roman"/>
          <w:color w:val="auto"/>
          <w:sz w:val="21"/>
          <w:szCs w:val="21"/>
        </w:rPr>
        <w:t>”</w:t>
      </w:r>
      <w:r>
        <w:rPr>
          <w:rFonts w:hint="eastAsia" w:ascii="Times New Roman" w:cs="Times New Roman"/>
          <w:color w:val="auto"/>
          <w:sz w:val="21"/>
          <w:szCs w:val="21"/>
        </w:rPr>
        <w:t>或</w:t>
      </w:r>
      <w:r>
        <w:rPr>
          <w:rFonts w:ascii="Times New Roman" w:hAnsi="Times New Roman" w:cs="Times New Roman"/>
          <w:color w:val="auto"/>
          <w:sz w:val="21"/>
          <w:szCs w:val="21"/>
        </w:rPr>
        <w:t>“</w:t>
      </w:r>
      <w:r>
        <w:rPr>
          <w:rFonts w:hint="eastAsia" w:ascii="Times New Roman" w:cs="Times New Roman"/>
          <w:color w:val="auto"/>
          <w:sz w:val="21"/>
          <w:szCs w:val="21"/>
        </w:rPr>
        <w:t>肯定否</w:t>
      </w:r>
      <w:r>
        <w:rPr>
          <w:rFonts w:ascii="Times New Roman" w:hAnsi="Times New Roman" w:cs="Times New Roman"/>
          <w:color w:val="auto"/>
          <w:sz w:val="21"/>
          <w:szCs w:val="21"/>
        </w:rPr>
        <w:t>”</w:t>
      </w:r>
      <w:r>
        <w:rPr>
          <w:rFonts w:hint="eastAsia" w:ascii="Times New Roman" w:cs="Times New Roman"/>
          <w:color w:val="auto"/>
          <w:sz w:val="21"/>
          <w:szCs w:val="21"/>
        </w:rPr>
        <w:t>；三名表示</w:t>
      </w:r>
      <w:r>
        <w:rPr>
          <w:rFonts w:ascii="Times New Roman" w:hAnsi="Times New Roman" w:cs="Times New Roman"/>
          <w:color w:val="auto"/>
          <w:sz w:val="21"/>
          <w:szCs w:val="21"/>
        </w:rPr>
        <w:t>“</w:t>
      </w:r>
      <w:r>
        <w:rPr>
          <w:rFonts w:hint="eastAsia" w:ascii="Times New Roman" w:cs="Times New Roman"/>
          <w:color w:val="auto"/>
          <w:sz w:val="21"/>
          <w:szCs w:val="21"/>
        </w:rPr>
        <w:t>是</w:t>
      </w:r>
      <w:r>
        <w:rPr>
          <w:rFonts w:ascii="Times New Roman" w:hAnsi="Times New Roman" w:cs="Times New Roman"/>
          <w:color w:val="auto"/>
          <w:sz w:val="21"/>
          <w:szCs w:val="21"/>
        </w:rPr>
        <w:t>”</w:t>
      </w:r>
      <w:r>
        <w:rPr>
          <w:rFonts w:hint="eastAsia" w:ascii="Times New Roman" w:cs="Times New Roman"/>
          <w:color w:val="auto"/>
          <w:sz w:val="21"/>
          <w:szCs w:val="21"/>
        </w:rPr>
        <w:t>或</w:t>
      </w:r>
      <w:r>
        <w:rPr>
          <w:rFonts w:ascii="Times New Roman" w:hAnsi="Times New Roman" w:cs="Times New Roman"/>
          <w:color w:val="auto"/>
          <w:sz w:val="21"/>
          <w:szCs w:val="21"/>
        </w:rPr>
        <w:t>“</w:t>
      </w:r>
      <w:r>
        <w:rPr>
          <w:rFonts w:hint="eastAsia" w:ascii="Times New Roman" w:cs="Times New Roman"/>
          <w:color w:val="auto"/>
          <w:sz w:val="21"/>
          <w:szCs w:val="21"/>
        </w:rPr>
        <w:t>肯定是</w:t>
      </w:r>
      <w:r>
        <w:rPr>
          <w:rFonts w:ascii="Times New Roman" w:hAnsi="Times New Roman" w:cs="Times New Roman"/>
          <w:color w:val="auto"/>
          <w:sz w:val="21"/>
          <w:szCs w:val="21"/>
        </w:rPr>
        <w:t>”</w:t>
      </w:r>
      <w:r>
        <w:rPr>
          <w:rFonts w:hint="eastAsia" w:ascii="Times New Roman" w:cs="Times New Roman"/>
          <w:color w:val="auto"/>
          <w:sz w:val="21"/>
          <w:szCs w:val="21"/>
        </w:rPr>
        <w:t>；一名弃权</w:t>
      </w:r>
    </w:p>
    <w:p w14:paraId="54F83796">
      <w:pPr>
        <w:adjustRightInd w:val="0"/>
        <w:snapToGrid w:val="0"/>
        <w:spacing w:beforeLines="50" w:line="336" w:lineRule="auto"/>
        <w:jc w:val="center"/>
        <w:rPr>
          <w:rFonts w:ascii="Times New Roman" w:hAnsi="Times New Roman" w:cs="Times New Roman"/>
          <w:color w:val="auto"/>
          <w:sz w:val="21"/>
          <w:szCs w:val="21"/>
        </w:rPr>
      </w:pPr>
      <w:r>
        <w:rPr>
          <w:rFonts w:hint="eastAsia" w:ascii="Times New Roman" w:cs="Times New Roman"/>
          <w:color w:val="auto"/>
          <w:sz w:val="21"/>
          <w:szCs w:val="21"/>
        </w:rPr>
        <w:t>附件</w:t>
      </w:r>
      <w:r>
        <w:rPr>
          <w:rFonts w:ascii="Times New Roman" w:hAnsi="Times New Roman" w:cs="Times New Roman"/>
          <w:color w:val="auto"/>
          <w:sz w:val="21"/>
          <w:szCs w:val="21"/>
        </w:rPr>
        <w:t>C</w:t>
      </w:r>
    </w:p>
    <w:p w14:paraId="3DF10580">
      <w:pPr>
        <w:adjustRightInd w:val="0"/>
        <w:snapToGrid w:val="0"/>
        <w:spacing w:line="336" w:lineRule="auto"/>
        <w:jc w:val="center"/>
        <w:rPr>
          <w:rFonts w:ascii="Times New Roman" w:hAnsi="Times New Roman" w:cs="Times New Roman"/>
          <w:color w:val="auto"/>
          <w:sz w:val="21"/>
          <w:szCs w:val="21"/>
        </w:rPr>
      </w:pPr>
      <w:r>
        <w:rPr>
          <w:rFonts w:hint="eastAsia" w:ascii="Times New Roman" w:cs="Times New Roman"/>
          <w:color w:val="auto"/>
          <w:sz w:val="21"/>
          <w:szCs w:val="21"/>
        </w:rPr>
        <w:t>国际动物卫生法典</w:t>
      </w:r>
    </w:p>
    <w:p w14:paraId="3CDC1922">
      <w:pPr>
        <w:adjustRightInd w:val="0"/>
        <w:snapToGrid w:val="0"/>
        <w:spacing w:line="336" w:lineRule="auto"/>
        <w:jc w:val="center"/>
        <w:rPr>
          <w:rFonts w:ascii="Times New Roman" w:hAnsi="Times New Roman" w:cs="Times New Roman"/>
          <w:color w:val="auto"/>
          <w:sz w:val="21"/>
          <w:szCs w:val="21"/>
        </w:rPr>
      </w:pPr>
      <w:r>
        <w:rPr>
          <w:rFonts w:hint="eastAsia" w:ascii="Times New Roman" w:cs="Times New Roman"/>
          <w:color w:val="auto"/>
          <w:sz w:val="21"/>
          <w:szCs w:val="21"/>
        </w:rPr>
        <w:t>特刊</w:t>
      </w:r>
      <w:r>
        <w:rPr>
          <w:rFonts w:ascii="Times New Roman" w:hAnsi="Times New Roman" w:cs="Times New Roman"/>
          <w:color w:val="auto"/>
          <w:sz w:val="21"/>
          <w:szCs w:val="21"/>
        </w:rPr>
        <w:t>1997</w:t>
      </w:r>
    </w:p>
    <w:p w14:paraId="13F97859">
      <w:pPr>
        <w:adjustRightInd w:val="0"/>
        <w:snapToGrid w:val="0"/>
        <w:spacing w:line="336" w:lineRule="auto"/>
        <w:jc w:val="center"/>
        <w:rPr>
          <w:rFonts w:ascii="Times New Roman" w:hAnsi="Times New Roman" w:cs="Times New Roman"/>
          <w:color w:val="auto"/>
          <w:sz w:val="21"/>
          <w:szCs w:val="21"/>
        </w:rPr>
      </w:pPr>
      <w:r>
        <w:rPr>
          <w:rFonts w:hint="eastAsia" w:ascii="Times New Roman" w:cs="Times New Roman"/>
          <w:color w:val="auto"/>
          <w:sz w:val="21"/>
          <w:szCs w:val="21"/>
        </w:rPr>
        <w:t>第</w:t>
      </w:r>
      <w:r>
        <w:rPr>
          <w:rFonts w:ascii="Times New Roman" w:hAnsi="Times New Roman" w:cs="Times New Roman"/>
          <w:color w:val="auto"/>
          <w:sz w:val="21"/>
          <w:szCs w:val="21"/>
        </w:rPr>
        <w:t>3.2.13</w:t>
      </w:r>
      <w:r>
        <w:rPr>
          <w:rFonts w:hint="eastAsia" w:ascii="Times New Roman" w:cs="Times New Roman"/>
          <w:color w:val="auto"/>
          <w:sz w:val="21"/>
          <w:szCs w:val="21"/>
        </w:rPr>
        <w:t>章</w:t>
      </w:r>
    </w:p>
    <w:p w14:paraId="78030E6A">
      <w:pPr>
        <w:adjustRightInd w:val="0"/>
        <w:snapToGrid w:val="0"/>
        <w:spacing w:line="336" w:lineRule="auto"/>
        <w:jc w:val="center"/>
        <w:rPr>
          <w:rFonts w:ascii="Times New Roman" w:hAnsi="Times New Roman" w:cs="Times New Roman"/>
          <w:color w:val="auto"/>
          <w:sz w:val="21"/>
          <w:szCs w:val="21"/>
        </w:rPr>
      </w:pPr>
      <w:r>
        <w:rPr>
          <w:rFonts w:hint="eastAsia" w:ascii="Times New Roman" w:cs="Times New Roman"/>
          <w:color w:val="auto"/>
          <w:sz w:val="21"/>
          <w:szCs w:val="21"/>
        </w:rPr>
        <w:t>牛海绵状脑病</w:t>
      </w:r>
    </w:p>
    <w:p w14:paraId="3DFADB1A">
      <w:pPr>
        <w:adjustRightInd w:val="0"/>
        <w:snapToGrid w:val="0"/>
        <w:spacing w:line="336" w:lineRule="auto"/>
        <w:jc w:val="center"/>
        <w:rPr>
          <w:rFonts w:ascii="Times New Roman" w:hAnsi="Times New Roman" w:cs="Times New Roman"/>
          <w:color w:val="auto"/>
          <w:sz w:val="21"/>
          <w:szCs w:val="21"/>
        </w:rPr>
      </w:pPr>
      <w:r>
        <w:rPr>
          <w:rFonts w:hint="eastAsia" w:ascii="Times New Roman" w:cs="Times New Roman"/>
          <w:color w:val="auto"/>
          <w:sz w:val="21"/>
          <w:szCs w:val="21"/>
        </w:rPr>
        <w:t>（</w:t>
      </w:r>
      <w:r>
        <w:rPr>
          <w:rFonts w:ascii="Times New Roman" w:hAnsi="Times New Roman" w:cs="Times New Roman"/>
          <w:color w:val="auto"/>
          <w:sz w:val="21"/>
          <w:szCs w:val="21"/>
        </w:rPr>
        <w:t>BSE</w:t>
      </w:r>
      <w:r>
        <w:rPr>
          <w:rFonts w:hint="eastAsia" w:ascii="Times New Roman" w:cs="Times New Roman"/>
          <w:color w:val="auto"/>
          <w:sz w:val="21"/>
          <w:szCs w:val="21"/>
        </w:rPr>
        <w:t>）</w:t>
      </w:r>
    </w:p>
    <w:p w14:paraId="3B190327">
      <w:pPr>
        <w:adjustRightInd w:val="0"/>
        <w:snapToGrid w:val="0"/>
        <w:spacing w:line="336" w:lineRule="auto"/>
        <w:jc w:val="center"/>
        <w:rPr>
          <w:rFonts w:ascii="Times New Roman" w:hAnsi="Times New Roman" w:cs="Times New Roman"/>
          <w:color w:val="auto"/>
          <w:sz w:val="21"/>
          <w:szCs w:val="21"/>
        </w:rPr>
      </w:pPr>
      <w:r>
        <w:rPr>
          <w:rFonts w:hint="eastAsia" w:ascii="Times New Roman" w:cs="Times New Roman"/>
          <w:color w:val="auto"/>
          <w:sz w:val="21"/>
          <w:szCs w:val="21"/>
        </w:rPr>
        <w:t>第</w:t>
      </w:r>
      <w:r>
        <w:rPr>
          <w:rFonts w:ascii="Times New Roman" w:hAnsi="Times New Roman" w:cs="Times New Roman"/>
          <w:color w:val="auto"/>
          <w:sz w:val="21"/>
          <w:szCs w:val="21"/>
        </w:rPr>
        <w:t>3.2.13.1</w:t>
      </w:r>
      <w:r>
        <w:rPr>
          <w:rFonts w:hint="eastAsia" w:ascii="Times New Roman" w:cs="Times New Roman"/>
          <w:color w:val="auto"/>
          <w:sz w:val="21"/>
          <w:szCs w:val="21"/>
        </w:rPr>
        <w:t>条。</w:t>
      </w:r>
    </w:p>
    <w:p w14:paraId="2F1558AA">
      <w:pPr>
        <w:adjustRightInd w:val="0"/>
        <w:snapToGrid w:val="0"/>
        <w:spacing w:beforeLines="50" w:line="336" w:lineRule="auto"/>
        <w:jc w:val="both"/>
        <w:rPr>
          <w:rFonts w:ascii="Times New Roman" w:hAnsi="Times New Roman" w:cs="Times New Roman"/>
          <w:color w:val="auto"/>
          <w:sz w:val="21"/>
          <w:szCs w:val="21"/>
        </w:rPr>
      </w:pPr>
      <w:r>
        <w:rPr>
          <w:rFonts w:hint="eastAsia" w:ascii="Times New Roman" w:cs="Times New Roman"/>
          <w:color w:val="auto"/>
          <w:sz w:val="21"/>
          <w:szCs w:val="21"/>
        </w:rPr>
        <w:t>牛海绵状脑病（</w:t>
      </w:r>
      <w:r>
        <w:rPr>
          <w:rFonts w:ascii="Times New Roman" w:hAnsi="Times New Roman" w:cs="Times New Roman"/>
          <w:color w:val="auto"/>
          <w:sz w:val="21"/>
          <w:szCs w:val="21"/>
        </w:rPr>
        <w:t>BSE</w:t>
      </w:r>
      <w:r>
        <w:rPr>
          <w:rFonts w:hint="eastAsia" w:ascii="Times New Roman" w:cs="Times New Roman"/>
          <w:color w:val="auto"/>
          <w:sz w:val="21"/>
          <w:szCs w:val="21"/>
        </w:rPr>
        <w:t>）是一种成年牛中的进行性神经疾病。</w:t>
      </w:r>
      <w:r>
        <w:rPr>
          <w:rFonts w:ascii="Times New Roman" w:hAnsi="Times New Roman" w:cs="Times New Roman"/>
          <w:color w:val="auto"/>
          <w:sz w:val="21"/>
          <w:szCs w:val="21"/>
        </w:rPr>
        <w:t>BSE</w:t>
      </w:r>
      <w:r>
        <w:rPr>
          <w:rFonts w:hint="eastAsia" w:ascii="Times New Roman" w:cs="Times New Roman"/>
          <w:color w:val="auto"/>
          <w:sz w:val="21"/>
          <w:szCs w:val="21"/>
        </w:rPr>
        <w:t>有多年的长潜伏期，是由于喂养了受污染的反刍动物蛋白质而产生的。</w:t>
      </w:r>
    </w:p>
    <w:p w14:paraId="489296E4">
      <w:pPr>
        <w:adjustRightInd w:val="0"/>
        <w:snapToGrid w:val="0"/>
        <w:spacing w:beforeLines="50" w:line="336" w:lineRule="auto"/>
        <w:jc w:val="both"/>
        <w:rPr>
          <w:rFonts w:ascii="Times New Roman" w:hAnsi="Times New Roman" w:cs="Times New Roman"/>
          <w:color w:val="auto"/>
          <w:sz w:val="21"/>
          <w:szCs w:val="21"/>
        </w:rPr>
      </w:pPr>
      <w:r>
        <w:rPr>
          <w:rFonts w:hint="eastAsia" w:ascii="Times New Roman" w:cs="Times New Roman"/>
          <w:color w:val="auto"/>
          <w:sz w:val="21"/>
          <w:szCs w:val="21"/>
        </w:rPr>
        <w:t>一个国家的</w:t>
      </w:r>
      <w:r>
        <w:rPr>
          <w:rFonts w:ascii="Times New Roman" w:hAnsi="Times New Roman" w:cs="Times New Roman"/>
          <w:color w:val="auto"/>
          <w:sz w:val="21"/>
          <w:szCs w:val="21"/>
        </w:rPr>
        <w:t>BSE</w:t>
      </w:r>
      <w:r>
        <w:rPr>
          <w:rFonts w:hint="eastAsia" w:ascii="Times New Roman" w:cs="Times New Roman"/>
          <w:color w:val="auto"/>
          <w:sz w:val="21"/>
          <w:szCs w:val="21"/>
        </w:rPr>
        <w:t>状况只能通过持续监督和监测来确定。有效监督的最低要求是：</w:t>
      </w:r>
    </w:p>
    <w:p w14:paraId="0CD58F3A">
      <w:pPr>
        <w:adjustRightInd w:val="0"/>
        <w:snapToGrid w:val="0"/>
        <w:spacing w:beforeLines="50" w:line="336" w:lineRule="auto"/>
        <w:ind w:left="480" w:leftChars="200"/>
        <w:jc w:val="both"/>
        <w:rPr>
          <w:rFonts w:ascii="Times New Roman" w:hAnsi="Times New Roman" w:cs="Times New Roman"/>
          <w:color w:val="auto"/>
          <w:sz w:val="21"/>
          <w:szCs w:val="21"/>
        </w:rPr>
      </w:pPr>
      <w:r>
        <w:rPr>
          <w:rFonts w:ascii="Times New Roman" w:hAnsi="Times New Roman" w:cs="Times New Roman"/>
          <w:color w:val="auto"/>
          <w:sz w:val="21"/>
          <w:szCs w:val="21"/>
        </w:rPr>
        <w:t>1</w:t>
      </w:r>
      <w:r>
        <w:rPr>
          <w:rFonts w:hint="eastAsia" w:ascii="Times New Roman" w:cs="Times New Roman"/>
          <w:color w:val="auto"/>
          <w:sz w:val="21"/>
          <w:szCs w:val="21"/>
        </w:rPr>
        <w:t>）疑似病例的强制性通知和临床调查；</w:t>
      </w:r>
    </w:p>
    <w:p w14:paraId="011A4C44">
      <w:pPr>
        <w:adjustRightInd w:val="0"/>
        <w:snapToGrid w:val="0"/>
        <w:spacing w:beforeLines="50" w:line="336" w:lineRule="auto"/>
        <w:ind w:left="480" w:leftChars="200"/>
        <w:jc w:val="both"/>
        <w:rPr>
          <w:rFonts w:ascii="Times New Roman" w:hAnsi="Times New Roman" w:cs="Times New Roman"/>
          <w:color w:val="auto"/>
          <w:sz w:val="21"/>
          <w:szCs w:val="21"/>
        </w:rPr>
      </w:pPr>
      <w:r>
        <w:rPr>
          <w:rFonts w:ascii="Times New Roman" w:hAnsi="Times New Roman" w:cs="Times New Roman"/>
          <w:color w:val="auto"/>
          <w:sz w:val="21"/>
          <w:szCs w:val="21"/>
        </w:rPr>
        <w:t>2</w:t>
      </w:r>
      <w:r>
        <w:rPr>
          <w:rFonts w:hint="eastAsia" w:ascii="Times New Roman" w:cs="Times New Roman"/>
          <w:color w:val="auto"/>
          <w:sz w:val="21"/>
          <w:szCs w:val="21"/>
        </w:rPr>
        <w:t>）确定</w:t>
      </w:r>
      <w:r>
        <w:rPr>
          <w:rFonts w:ascii="Times New Roman" w:hAnsi="Times New Roman" w:cs="Times New Roman"/>
          <w:color w:val="auto"/>
          <w:sz w:val="21"/>
          <w:szCs w:val="21"/>
        </w:rPr>
        <w:t>BSE</w:t>
      </w:r>
      <w:r>
        <w:rPr>
          <w:rFonts w:hint="eastAsia" w:ascii="Times New Roman" w:cs="Times New Roman"/>
          <w:color w:val="auto"/>
          <w:sz w:val="21"/>
          <w:szCs w:val="21"/>
        </w:rPr>
        <w:t>发生潜在危害的风险评估：</w:t>
      </w:r>
    </w:p>
    <w:p w14:paraId="62FA28C3">
      <w:pPr>
        <w:adjustRightInd w:val="0"/>
        <w:snapToGrid w:val="0"/>
        <w:spacing w:beforeLines="50" w:line="336" w:lineRule="auto"/>
        <w:ind w:left="960" w:leftChars="400"/>
        <w:jc w:val="both"/>
        <w:rPr>
          <w:rFonts w:ascii="Times New Roman" w:hAnsi="Times New Roman" w:cs="Times New Roman"/>
          <w:color w:val="auto"/>
          <w:sz w:val="21"/>
          <w:szCs w:val="21"/>
        </w:rPr>
      </w:pPr>
      <w:r>
        <w:rPr>
          <w:rFonts w:ascii="Times New Roman" w:hAnsi="Times New Roman" w:cs="Times New Roman"/>
          <w:color w:val="auto"/>
          <w:sz w:val="21"/>
          <w:szCs w:val="21"/>
        </w:rPr>
        <w:t>a</w:t>
      </w:r>
      <w:r>
        <w:rPr>
          <w:rFonts w:hint="eastAsia" w:ascii="Times New Roman" w:cs="Times New Roman"/>
          <w:color w:val="auto"/>
          <w:sz w:val="21"/>
          <w:szCs w:val="21"/>
        </w:rPr>
        <w:t>）风险因子：</w:t>
      </w:r>
    </w:p>
    <w:p w14:paraId="6903BFB9">
      <w:pPr>
        <w:adjustRightInd w:val="0"/>
        <w:snapToGrid w:val="0"/>
        <w:spacing w:beforeLines="50" w:line="336" w:lineRule="auto"/>
        <w:ind w:left="1440" w:leftChars="600"/>
        <w:jc w:val="both"/>
        <w:rPr>
          <w:rFonts w:ascii="Times New Roman" w:hAnsi="Times New Roman" w:cs="Times New Roman"/>
          <w:color w:val="auto"/>
          <w:sz w:val="21"/>
          <w:szCs w:val="21"/>
        </w:rPr>
      </w:pPr>
      <w:r>
        <w:rPr>
          <w:rFonts w:ascii="Times New Roman" w:hAnsi="Times New Roman" w:cs="Times New Roman"/>
          <w:color w:val="auto"/>
          <w:sz w:val="21"/>
          <w:szCs w:val="21"/>
        </w:rPr>
        <w:t>i</w:t>
      </w:r>
      <w:r>
        <w:rPr>
          <w:rFonts w:hint="eastAsia" w:ascii="Times New Roman" w:cs="Times New Roman"/>
          <w:color w:val="auto"/>
          <w:sz w:val="21"/>
          <w:szCs w:val="21"/>
        </w:rPr>
        <w:t>）输入潜在感染传染性海绵状脑病（</w:t>
      </w:r>
      <w:r>
        <w:rPr>
          <w:rFonts w:ascii="Times New Roman" w:hAnsi="Times New Roman" w:cs="Times New Roman"/>
          <w:color w:val="auto"/>
          <w:sz w:val="21"/>
          <w:szCs w:val="21"/>
        </w:rPr>
        <w:t>TSE</w:t>
      </w:r>
      <w:r>
        <w:rPr>
          <w:rFonts w:hint="eastAsia" w:ascii="Times New Roman" w:cs="Times New Roman"/>
          <w:color w:val="auto"/>
          <w:sz w:val="21"/>
          <w:szCs w:val="21"/>
        </w:rPr>
        <w:t>）的动物或胚胎</w:t>
      </w:r>
      <w:r>
        <w:rPr>
          <w:rFonts w:ascii="Times New Roman" w:hAnsi="Times New Roman" w:cs="Times New Roman"/>
          <w:color w:val="auto"/>
          <w:sz w:val="21"/>
          <w:szCs w:val="21"/>
        </w:rPr>
        <w:t>/</w:t>
      </w:r>
      <w:r>
        <w:rPr>
          <w:rFonts w:hint="eastAsia" w:ascii="Times New Roman" w:cs="Times New Roman"/>
          <w:color w:val="auto"/>
          <w:sz w:val="21"/>
          <w:szCs w:val="21"/>
        </w:rPr>
        <w:t>卵细胞；</w:t>
      </w:r>
    </w:p>
    <w:p w14:paraId="00A4FDF6">
      <w:pPr>
        <w:adjustRightInd w:val="0"/>
        <w:snapToGrid w:val="0"/>
        <w:spacing w:beforeLines="50" w:line="336" w:lineRule="auto"/>
        <w:ind w:left="1440" w:leftChars="600"/>
        <w:jc w:val="both"/>
        <w:rPr>
          <w:rFonts w:ascii="Times New Roman" w:hAnsi="Times New Roman" w:cs="Times New Roman"/>
          <w:color w:val="auto"/>
          <w:sz w:val="21"/>
          <w:szCs w:val="21"/>
        </w:rPr>
      </w:pPr>
      <w:r>
        <w:rPr>
          <w:rFonts w:ascii="Times New Roman" w:hAnsi="Times New Roman" w:cs="Times New Roman"/>
          <w:color w:val="auto"/>
          <w:sz w:val="21"/>
          <w:szCs w:val="21"/>
        </w:rPr>
        <w:t>ii</w:t>
      </w:r>
      <w:r>
        <w:rPr>
          <w:rFonts w:hint="eastAsia" w:ascii="Times New Roman" w:cs="Times New Roman"/>
          <w:color w:val="auto"/>
          <w:sz w:val="21"/>
          <w:szCs w:val="21"/>
        </w:rPr>
        <w:t>）将潜在污染的动物饲料进口并喂养给牛；</w:t>
      </w:r>
    </w:p>
    <w:p w14:paraId="43854A23">
      <w:pPr>
        <w:adjustRightInd w:val="0"/>
        <w:snapToGrid w:val="0"/>
        <w:spacing w:beforeLines="50" w:line="336" w:lineRule="auto"/>
        <w:ind w:left="960" w:leftChars="400"/>
        <w:jc w:val="both"/>
        <w:rPr>
          <w:rFonts w:ascii="Times New Roman" w:hAnsi="Times New Roman" w:cs="Times New Roman"/>
          <w:color w:val="auto"/>
          <w:sz w:val="21"/>
          <w:szCs w:val="21"/>
        </w:rPr>
      </w:pPr>
      <w:r>
        <w:rPr>
          <w:rFonts w:ascii="Times New Roman" w:hAnsi="Times New Roman" w:cs="Times New Roman"/>
          <w:color w:val="auto"/>
          <w:sz w:val="21"/>
          <w:szCs w:val="21"/>
        </w:rPr>
        <w:t>b</w:t>
      </w:r>
      <w:r>
        <w:rPr>
          <w:rFonts w:hint="eastAsia" w:ascii="Times New Roman" w:cs="Times New Roman"/>
          <w:color w:val="auto"/>
          <w:sz w:val="21"/>
          <w:szCs w:val="21"/>
        </w:rPr>
        <w:t>）本土风险：</w:t>
      </w:r>
    </w:p>
    <w:p w14:paraId="1E3F5E5A">
      <w:pPr>
        <w:adjustRightInd w:val="0"/>
        <w:snapToGrid w:val="0"/>
        <w:spacing w:beforeLines="50" w:line="336" w:lineRule="auto"/>
        <w:ind w:left="1440" w:leftChars="600"/>
        <w:jc w:val="both"/>
        <w:rPr>
          <w:rFonts w:ascii="Times New Roman" w:hAnsi="Times New Roman" w:cs="Times New Roman"/>
          <w:color w:val="auto"/>
          <w:sz w:val="21"/>
          <w:szCs w:val="21"/>
        </w:rPr>
      </w:pPr>
      <w:r>
        <w:rPr>
          <w:rFonts w:ascii="Times New Roman" w:hAnsi="Times New Roman" w:cs="Times New Roman"/>
          <w:color w:val="auto"/>
          <w:sz w:val="21"/>
          <w:szCs w:val="21"/>
        </w:rPr>
        <w:t>i</w:t>
      </w:r>
      <w:r>
        <w:rPr>
          <w:rFonts w:hint="eastAsia" w:ascii="Times New Roman" w:cs="Times New Roman"/>
          <w:color w:val="auto"/>
          <w:sz w:val="21"/>
          <w:szCs w:val="21"/>
        </w:rPr>
        <w:t>）牛摄入了来源于传染性海绵状脑病感染动物的受污染动物源蛋白质，并且在提炼过程中未使用灭活剂使病原体失活；</w:t>
      </w:r>
    </w:p>
    <w:p w14:paraId="028729F2">
      <w:pPr>
        <w:adjustRightInd w:val="0"/>
        <w:snapToGrid w:val="0"/>
        <w:spacing w:beforeLines="50" w:line="336" w:lineRule="auto"/>
        <w:ind w:left="1440" w:leftChars="600"/>
        <w:jc w:val="both"/>
        <w:rPr>
          <w:rFonts w:ascii="Times New Roman" w:hAnsi="Times New Roman" w:cs="Times New Roman"/>
          <w:color w:val="auto"/>
          <w:sz w:val="21"/>
          <w:szCs w:val="21"/>
        </w:rPr>
      </w:pPr>
      <w:r>
        <w:rPr>
          <w:rFonts w:ascii="Times New Roman" w:hAnsi="Times New Roman" w:cs="Times New Roman"/>
          <w:color w:val="auto"/>
          <w:sz w:val="21"/>
          <w:szCs w:val="21"/>
        </w:rPr>
        <w:t>ii</w:t>
      </w:r>
      <w:r>
        <w:rPr>
          <w:rFonts w:hint="eastAsia" w:ascii="Times New Roman" w:cs="Times New Roman"/>
          <w:color w:val="auto"/>
          <w:sz w:val="21"/>
          <w:szCs w:val="21"/>
        </w:rPr>
        <w:t>）来自受感染国家母牛的</w:t>
      </w:r>
      <w:r>
        <w:rPr>
          <w:rFonts w:ascii="Times New Roman" w:hAnsi="Times New Roman" w:cs="Times New Roman"/>
          <w:color w:val="auto"/>
          <w:sz w:val="21"/>
          <w:szCs w:val="21"/>
        </w:rPr>
        <w:t>BSE</w:t>
      </w:r>
      <w:r>
        <w:rPr>
          <w:rFonts w:hint="eastAsia" w:ascii="Times New Roman" w:cs="Times New Roman"/>
          <w:color w:val="auto"/>
          <w:sz w:val="21"/>
          <w:szCs w:val="21"/>
        </w:rPr>
        <w:t>潜在垂直传播；</w:t>
      </w:r>
    </w:p>
    <w:p w14:paraId="04C611EC">
      <w:pPr>
        <w:adjustRightInd w:val="0"/>
        <w:snapToGrid w:val="0"/>
        <w:spacing w:beforeLines="50" w:line="336" w:lineRule="auto"/>
        <w:ind w:left="480" w:leftChars="200"/>
        <w:jc w:val="both"/>
        <w:rPr>
          <w:rFonts w:ascii="Times New Roman" w:hAnsi="Times New Roman" w:cs="Times New Roman"/>
          <w:color w:val="auto"/>
          <w:sz w:val="21"/>
          <w:szCs w:val="21"/>
        </w:rPr>
      </w:pPr>
      <w:r>
        <w:rPr>
          <w:rFonts w:ascii="Times New Roman" w:hAnsi="Times New Roman" w:cs="Times New Roman"/>
          <w:color w:val="auto"/>
          <w:sz w:val="21"/>
          <w:szCs w:val="21"/>
        </w:rPr>
        <w:t>3</w:t>
      </w:r>
      <w:r>
        <w:rPr>
          <w:rFonts w:hint="eastAsia" w:ascii="Times New Roman" w:cs="Times New Roman"/>
          <w:color w:val="auto"/>
          <w:sz w:val="21"/>
          <w:szCs w:val="21"/>
        </w:rPr>
        <w:t>）连续的</w:t>
      </w:r>
      <w:r>
        <w:rPr>
          <w:rFonts w:ascii="Times New Roman" w:hAnsi="Times New Roman" w:cs="Times New Roman"/>
          <w:color w:val="auto"/>
          <w:sz w:val="21"/>
          <w:szCs w:val="21"/>
        </w:rPr>
        <w:t>BSE</w:t>
      </w:r>
      <w:r>
        <w:rPr>
          <w:rFonts w:hint="eastAsia" w:ascii="Times New Roman" w:cs="Times New Roman"/>
          <w:color w:val="auto"/>
          <w:sz w:val="21"/>
          <w:szCs w:val="21"/>
        </w:rPr>
        <w:t>监督和监测系统，重点在上文第</w:t>
      </w:r>
      <w:r>
        <w:rPr>
          <w:rFonts w:ascii="Times New Roman" w:hAnsi="Times New Roman" w:cs="Times New Roman"/>
          <w:color w:val="auto"/>
          <w:sz w:val="21"/>
          <w:szCs w:val="21"/>
        </w:rPr>
        <w:t>2</w:t>
      </w:r>
      <w:r>
        <w:rPr>
          <w:rFonts w:hint="eastAsia" w:ascii="Times New Roman" w:cs="Times New Roman"/>
          <w:color w:val="auto"/>
          <w:sz w:val="21"/>
          <w:szCs w:val="21"/>
        </w:rPr>
        <w:t>）点中确定的风险；和</w:t>
      </w:r>
    </w:p>
    <w:p w14:paraId="7BDE79D1">
      <w:pPr>
        <w:adjustRightInd w:val="0"/>
        <w:snapToGrid w:val="0"/>
        <w:spacing w:beforeLines="50" w:line="336" w:lineRule="auto"/>
        <w:ind w:left="480" w:leftChars="200"/>
        <w:jc w:val="both"/>
        <w:rPr>
          <w:rFonts w:ascii="Times New Roman" w:hAnsi="Times New Roman" w:cs="Times New Roman"/>
          <w:color w:val="auto"/>
          <w:sz w:val="21"/>
          <w:szCs w:val="21"/>
        </w:rPr>
      </w:pPr>
      <w:r>
        <w:rPr>
          <w:rFonts w:ascii="Times New Roman" w:hAnsi="Times New Roman" w:cs="Times New Roman"/>
          <w:color w:val="auto"/>
          <w:sz w:val="21"/>
          <w:szCs w:val="21"/>
        </w:rPr>
        <w:t>4</w:t>
      </w:r>
      <w:r>
        <w:rPr>
          <w:rFonts w:hint="eastAsia" w:ascii="Times New Roman" w:cs="Times New Roman"/>
          <w:color w:val="auto"/>
          <w:sz w:val="21"/>
          <w:szCs w:val="21"/>
        </w:rPr>
        <w:t>）根据</w:t>
      </w:r>
      <w:r>
        <w:rPr>
          <w:rFonts w:ascii="Times New Roman" w:hAnsi="Times New Roman" w:cs="Times New Roman"/>
          <w:color w:val="auto"/>
          <w:sz w:val="21"/>
          <w:szCs w:val="21"/>
        </w:rPr>
        <w:t>“</w:t>
      </w:r>
      <w:r>
        <w:rPr>
          <w:rFonts w:hint="eastAsia" w:ascii="Times New Roman" w:cs="Times New Roman"/>
          <w:color w:val="auto"/>
          <w:sz w:val="21"/>
          <w:szCs w:val="21"/>
        </w:rPr>
        <w:t>手册</w:t>
      </w:r>
      <w:r>
        <w:rPr>
          <w:rFonts w:ascii="Times New Roman" w:hAnsi="Times New Roman" w:cs="Times New Roman"/>
          <w:color w:val="auto"/>
          <w:sz w:val="21"/>
          <w:szCs w:val="21"/>
        </w:rPr>
        <w:t>”</w:t>
      </w:r>
      <w:r>
        <w:rPr>
          <w:rFonts w:hint="eastAsia" w:ascii="Times New Roman" w:cs="Times New Roman"/>
          <w:color w:val="auto"/>
          <w:sz w:val="21"/>
          <w:szCs w:val="21"/>
        </w:rPr>
        <w:t>中列出的诊断技术，用超过</w:t>
      </w:r>
      <w:r>
        <w:rPr>
          <w:rFonts w:ascii="Times New Roman" w:hAnsi="Times New Roman" w:cs="Times New Roman"/>
          <w:color w:val="auto"/>
          <w:sz w:val="21"/>
          <w:szCs w:val="21"/>
        </w:rPr>
        <w:t>20</w:t>
      </w:r>
      <w:r>
        <w:rPr>
          <w:rFonts w:hint="eastAsia" w:ascii="Times New Roman" w:cs="Times New Roman"/>
          <w:color w:val="auto"/>
          <w:sz w:val="21"/>
          <w:szCs w:val="21"/>
        </w:rPr>
        <w:t>个月龄且显示有进行性神经系统疾病体征牛的脑材料在批准的实验室进行检查。按</w:t>
      </w:r>
      <w:r>
        <w:rPr>
          <w:rFonts w:ascii="Times New Roman" w:hAnsi="Times New Roman" w:cs="Times New Roman"/>
          <w:color w:val="auto"/>
          <w:sz w:val="21"/>
          <w:szCs w:val="21"/>
        </w:rPr>
        <w:t>“</w:t>
      </w:r>
      <w:r>
        <w:rPr>
          <w:rFonts w:hint="eastAsia" w:ascii="Times New Roman" w:cs="Times New Roman"/>
          <w:color w:val="auto"/>
          <w:sz w:val="21"/>
          <w:szCs w:val="21"/>
        </w:rPr>
        <w:t>持续监督和监测</w:t>
      </w:r>
      <w:r>
        <w:rPr>
          <w:rFonts w:ascii="Times New Roman" w:hAnsi="Times New Roman" w:cs="Times New Roman"/>
          <w:color w:val="auto"/>
          <w:sz w:val="21"/>
          <w:szCs w:val="21"/>
        </w:rPr>
        <w:t>BSE</w:t>
      </w:r>
      <w:r>
        <w:rPr>
          <w:rFonts w:hint="eastAsia" w:ascii="Times New Roman" w:cs="Times New Roman"/>
          <w:color w:val="auto"/>
          <w:sz w:val="21"/>
          <w:szCs w:val="21"/>
        </w:rPr>
        <w:t>指导原则</w:t>
      </w:r>
      <w:r>
        <w:rPr>
          <w:rFonts w:ascii="Times New Roman" w:hAnsi="Times New Roman" w:cs="Times New Roman"/>
          <w:color w:val="auto"/>
          <w:sz w:val="21"/>
          <w:szCs w:val="21"/>
        </w:rPr>
        <w:t>”</w:t>
      </w:r>
      <w:r>
        <w:rPr>
          <w:rFonts w:hint="eastAsia" w:ascii="Times New Roman" w:cs="Times New Roman"/>
          <w:color w:val="auto"/>
          <w:sz w:val="21"/>
          <w:szCs w:val="21"/>
        </w:rPr>
        <w:t>（见文件</w:t>
      </w:r>
      <w:r>
        <w:rPr>
          <w:rFonts w:ascii="Times New Roman" w:hAnsi="Times New Roman" w:cs="Times New Roman"/>
          <w:color w:val="auto"/>
          <w:sz w:val="21"/>
          <w:szCs w:val="21"/>
        </w:rPr>
        <w:t>65 SG/12/CS</w:t>
      </w:r>
      <w:r>
        <w:rPr>
          <w:rFonts w:hint="eastAsia" w:ascii="Times New Roman" w:cs="Times New Roman"/>
          <w:color w:val="auto"/>
          <w:sz w:val="21"/>
          <w:szCs w:val="21"/>
        </w:rPr>
        <w:t>的附录八）的表</w:t>
      </w:r>
      <w:r>
        <w:rPr>
          <w:rFonts w:ascii="Times New Roman" w:hAnsi="Times New Roman" w:cs="Times New Roman"/>
          <w:color w:val="auto"/>
          <w:sz w:val="21"/>
          <w:szCs w:val="21"/>
        </w:rPr>
        <w:t>1</w:t>
      </w:r>
      <w:r>
        <w:rPr>
          <w:rFonts w:hint="eastAsia" w:ascii="Times New Roman" w:cs="Times New Roman"/>
          <w:color w:val="auto"/>
          <w:sz w:val="21"/>
          <w:szCs w:val="21"/>
        </w:rPr>
        <w:t>中所列，每年应该进行足够次数的调查。</w:t>
      </w:r>
    </w:p>
    <w:p w14:paraId="371F9EFF">
      <w:pPr>
        <w:adjustRightInd w:val="0"/>
        <w:snapToGrid w:val="0"/>
        <w:spacing w:beforeLines="50" w:line="336" w:lineRule="auto"/>
        <w:ind w:left="480" w:leftChars="200"/>
        <w:jc w:val="both"/>
        <w:rPr>
          <w:rFonts w:ascii="Times New Roman" w:hAnsi="Times New Roman" w:cs="Times New Roman"/>
          <w:color w:val="auto"/>
          <w:sz w:val="21"/>
          <w:szCs w:val="21"/>
        </w:rPr>
      </w:pPr>
      <w:r>
        <w:rPr>
          <w:rFonts w:hint="eastAsia" w:ascii="Times New Roman" w:cs="Times New Roman"/>
          <w:color w:val="auto"/>
          <w:sz w:val="21"/>
          <w:szCs w:val="21"/>
        </w:rPr>
        <w:t>在进行性神经系统疾病发病率低的国家，监督应针对四岁以上的显示其他进行性疾病状况的牛；</w:t>
      </w:r>
    </w:p>
    <w:p w14:paraId="6C053C7B">
      <w:pPr>
        <w:adjustRightInd w:val="0"/>
        <w:snapToGrid w:val="0"/>
        <w:spacing w:beforeLines="50" w:line="36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ascii="Times New Roman" w:hAnsi="Times New Roman" w:cs="Times New Roman"/>
          <w:color w:val="auto"/>
          <w:sz w:val="21"/>
          <w:szCs w:val="21"/>
        </w:rPr>
        <w:t>5</w:t>
      </w:r>
      <w:r>
        <w:rPr>
          <w:rFonts w:hint="eastAsia" w:ascii="Times New Roman" w:cs="Times New Roman"/>
          <w:color w:val="auto"/>
          <w:sz w:val="21"/>
          <w:szCs w:val="21"/>
        </w:rPr>
        <w:t>）调查的数量和结果相关的记录应保持至少七年。</w:t>
      </w:r>
    </w:p>
    <w:p w14:paraId="4AE3A68E">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每个确诊病例应作为单独的疫情报告。</w:t>
      </w:r>
    </w:p>
    <w:p w14:paraId="61239D5A">
      <w:pPr>
        <w:adjustRightInd w:val="0"/>
        <w:snapToGrid w:val="0"/>
        <w:spacing w:beforeLines="50" w:line="360" w:lineRule="auto"/>
        <w:jc w:val="center"/>
        <w:rPr>
          <w:rFonts w:ascii="Times New Roman" w:hAnsi="Times New Roman" w:cs="Times New Roman"/>
          <w:color w:val="auto"/>
          <w:sz w:val="21"/>
          <w:szCs w:val="21"/>
        </w:rPr>
      </w:pPr>
      <w:r>
        <w:rPr>
          <w:rFonts w:hint="eastAsia" w:ascii="Times New Roman" w:cs="Times New Roman"/>
          <w:color w:val="auto"/>
          <w:sz w:val="21"/>
          <w:szCs w:val="21"/>
        </w:rPr>
        <w:t>第</w:t>
      </w:r>
      <w:r>
        <w:rPr>
          <w:rFonts w:ascii="Times New Roman" w:hAnsi="Times New Roman" w:cs="Times New Roman"/>
          <w:color w:val="auto"/>
          <w:sz w:val="21"/>
          <w:szCs w:val="21"/>
        </w:rPr>
        <w:t>3.2.13.2</w:t>
      </w:r>
      <w:r>
        <w:rPr>
          <w:rFonts w:hint="eastAsia" w:ascii="Times New Roman" w:cs="Times New Roman"/>
          <w:color w:val="auto"/>
          <w:sz w:val="21"/>
          <w:szCs w:val="21"/>
        </w:rPr>
        <w:t>条。</w:t>
      </w:r>
    </w:p>
    <w:p w14:paraId="5B2FF87F">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以下情况，国家可被视为无</w:t>
      </w:r>
      <w:r>
        <w:rPr>
          <w:rFonts w:ascii="Times New Roman" w:hAnsi="Times New Roman" w:cs="Times New Roman"/>
          <w:color w:val="auto"/>
          <w:sz w:val="21"/>
          <w:szCs w:val="21"/>
        </w:rPr>
        <w:t>BSE</w:t>
      </w:r>
      <w:r>
        <w:rPr>
          <w:rFonts w:hint="eastAsia" w:ascii="Times New Roman" w:cs="Times New Roman"/>
          <w:color w:val="auto"/>
          <w:sz w:val="21"/>
          <w:szCs w:val="21"/>
        </w:rPr>
        <w:t>：</w:t>
      </w:r>
    </w:p>
    <w:p w14:paraId="23E56354">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1</w:t>
      </w:r>
      <w:r>
        <w:rPr>
          <w:rFonts w:hint="eastAsia" w:ascii="Times New Roman" w:cs="Times New Roman"/>
          <w:color w:val="auto"/>
          <w:sz w:val="21"/>
          <w:szCs w:val="21"/>
        </w:rPr>
        <w:t>）他们已经实施了风险管理策略来解决第</w:t>
      </w:r>
      <w:r>
        <w:rPr>
          <w:rFonts w:ascii="Times New Roman" w:hAnsi="Times New Roman" w:cs="Times New Roman"/>
          <w:color w:val="auto"/>
          <w:sz w:val="21"/>
          <w:szCs w:val="21"/>
        </w:rPr>
        <w:t>3.2.13.1</w:t>
      </w:r>
      <w:r>
        <w:rPr>
          <w:rFonts w:hint="eastAsia" w:ascii="Times New Roman" w:cs="Times New Roman"/>
          <w:color w:val="auto"/>
          <w:sz w:val="21"/>
          <w:szCs w:val="21"/>
        </w:rPr>
        <w:t>条第</w:t>
      </w:r>
      <w:r>
        <w:rPr>
          <w:rFonts w:ascii="Times New Roman" w:hAnsi="Times New Roman" w:cs="Times New Roman"/>
          <w:color w:val="auto"/>
          <w:sz w:val="21"/>
          <w:szCs w:val="21"/>
        </w:rPr>
        <w:t>2</w:t>
      </w:r>
      <w:r>
        <w:rPr>
          <w:rFonts w:hint="eastAsia" w:ascii="Times New Roman" w:cs="Times New Roman"/>
          <w:color w:val="auto"/>
          <w:sz w:val="21"/>
          <w:szCs w:val="21"/>
        </w:rPr>
        <w:t>）点所述的任何风险；和</w:t>
      </w:r>
    </w:p>
    <w:p w14:paraId="73124960">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2</w:t>
      </w:r>
      <w:r>
        <w:rPr>
          <w:rFonts w:hint="eastAsia" w:ascii="Times New Roman" w:cs="Times New Roman"/>
          <w:color w:val="auto"/>
          <w:sz w:val="21"/>
          <w:szCs w:val="21"/>
        </w:rPr>
        <w:t>）将源自动物受</w:t>
      </w:r>
      <w:r>
        <w:rPr>
          <w:rFonts w:ascii="Times New Roman" w:hAnsi="Times New Roman" w:cs="Times New Roman"/>
          <w:color w:val="auto"/>
          <w:sz w:val="21"/>
          <w:szCs w:val="21"/>
        </w:rPr>
        <w:t>TSE</w:t>
      </w:r>
      <w:r>
        <w:rPr>
          <w:rFonts w:hint="eastAsia" w:ascii="Times New Roman" w:cs="Times New Roman"/>
          <w:color w:val="auto"/>
          <w:sz w:val="21"/>
          <w:szCs w:val="21"/>
        </w:rPr>
        <w:t>感染国家或者没有第</w:t>
      </w:r>
      <w:r>
        <w:rPr>
          <w:rFonts w:ascii="Times New Roman" w:hAnsi="Times New Roman" w:cs="Times New Roman"/>
          <w:color w:val="auto"/>
          <w:sz w:val="21"/>
          <w:szCs w:val="21"/>
        </w:rPr>
        <w:t>3.2.13.1</w:t>
      </w:r>
      <w:r>
        <w:rPr>
          <w:rFonts w:hint="eastAsia" w:ascii="Times New Roman" w:cs="Times New Roman"/>
          <w:color w:val="auto"/>
          <w:sz w:val="21"/>
          <w:szCs w:val="21"/>
        </w:rPr>
        <w:t>条第</w:t>
      </w:r>
      <w:r>
        <w:rPr>
          <w:rFonts w:ascii="Times New Roman" w:hAnsi="Times New Roman" w:cs="Times New Roman"/>
          <w:color w:val="auto"/>
          <w:sz w:val="21"/>
          <w:szCs w:val="21"/>
        </w:rPr>
        <w:t>3</w:t>
      </w:r>
      <w:r>
        <w:rPr>
          <w:rFonts w:hint="eastAsia" w:ascii="Times New Roman" w:cs="Times New Roman"/>
          <w:color w:val="auto"/>
          <w:sz w:val="21"/>
          <w:szCs w:val="21"/>
        </w:rPr>
        <w:t>）和</w:t>
      </w:r>
      <w:r>
        <w:rPr>
          <w:rFonts w:ascii="Times New Roman" w:hAnsi="Times New Roman" w:cs="Times New Roman"/>
          <w:color w:val="auto"/>
          <w:sz w:val="21"/>
          <w:szCs w:val="21"/>
        </w:rPr>
        <w:t>4</w:t>
      </w:r>
      <w:r>
        <w:rPr>
          <w:rFonts w:hint="eastAsia" w:ascii="Times New Roman" w:cs="Times New Roman"/>
          <w:color w:val="auto"/>
          <w:sz w:val="21"/>
          <w:szCs w:val="21"/>
        </w:rPr>
        <w:t>）点所述进行有效且连续的监测和监测系统的国家的反刍动物的肉和骨粉喂给牛，已被禁止并得到有效执行</w:t>
      </w:r>
      <w:r>
        <w:rPr>
          <w:rFonts w:ascii="Times New Roman" w:hAnsi="Times New Roman" w:cs="Times New Roman"/>
          <w:color w:val="auto"/>
          <w:sz w:val="21"/>
          <w:szCs w:val="21"/>
        </w:rPr>
        <w:t>;</w:t>
      </w:r>
    </w:p>
    <w:p w14:paraId="6261A139">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和</w:t>
      </w:r>
    </w:p>
    <w:p w14:paraId="7E7CABD3">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3</w:t>
      </w:r>
      <w:r>
        <w:rPr>
          <w:rFonts w:hint="eastAsia" w:ascii="Times New Roman" w:cs="Times New Roman"/>
          <w:color w:val="auto"/>
          <w:sz w:val="21"/>
          <w:szCs w:val="21"/>
        </w:rPr>
        <w:t>）</w:t>
      </w:r>
      <w:r>
        <w:rPr>
          <w:rFonts w:ascii="Times New Roman" w:hAnsi="Times New Roman" w:cs="Times New Roman"/>
          <w:color w:val="auto"/>
          <w:sz w:val="21"/>
          <w:szCs w:val="21"/>
        </w:rPr>
        <w:t>a</w:t>
      </w:r>
      <w:r>
        <w:rPr>
          <w:rFonts w:hint="eastAsia" w:ascii="Times New Roman" w:cs="Times New Roman"/>
          <w:color w:val="auto"/>
          <w:sz w:val="21"/>
          <w:szCs w:val="21"/>
        </w:rPr>
        <w:t>）目前尚无</w:t>
      </w:r>
      <w:r>
        <w:rPr>
          <w:rFonts w:ascii="Times New Roman" w:hAnsi="Times New Roman" w:cs="Times New Roman"/>
          <w:color w:val="auto"/>
          <w:sz w:val="21"/>
          <w:szCs w:val="21"/>
        </w:rPr>
        <w:t>BSE</w:t>
      </w:r>
      <w:r>
        <w:rPr>
          <w:rFonts w:hint="eastAsia" w:ascii="Times New Roman" w:cs="Times New Roman"/>
          <w:color w:val="auto"/>
          <w:sz w:val="21"/>
          <w:szCs w:val="21"/>
        </w:rPr>
        <w:t>临床病例。该疾病是应强制申报的，并且如第</w:t>
      </w:r>
      <w:r>
        <w:rPr>
          <w:rFonts w:ascii="Times New Roman" w:hAnsi="Times New Roman" w:cs="Times New Roman"/>
          <w:color w:val="auto"/>
          <w:sz w:val="21"/>
          <w:szCs w:val="21"/>
        </w:rPr>
        <w:t>3.2.13.1</w:t>
      </w:r>
      <w:r>
        <w:rPr>
          <w:rFonts w:hint="eastAsia" w:ascii="Times New Roman" w:cs="Times New Roman"/>
          <w:color w:val="auto"/>
          <w:sz w:val="21"/>
          <w:szCs w:val="21"/>
        </w:rPr>
        <w:t>条第</w:t>
      </w:r>
      <w:r>
        <w:rPr>
          <w:rFonts w:ascii="Times New Roman" w:hAnsi="Times New Roman" w:cs="Times New Roman"/>
          <w:color w:val="auto"/>
          <w:sz w:val="21"/>
          <w:szCs w:val="21"/>
        </w:rPr>
        <w:t>3</w:t>
      </w:r>
      <w:r>
        <w:rPr>
          <w:rFonts w:hint="eastAsia" w:ascii="Times New Roman" w:cs="Times New Roman"/>
          <w:color w:val="auto"/>
          <w:sz w:val="21"/>
          <w:szCs w:val="21"/>
        </w:rPr>
        <w:t>）和</w:t>
      </w:r>
      <w:r>
        <w:rPr>
          <w:rFonts w:ascii="Times New Roman" w:hAnsi="Times New Roman" w:cs="Times New Roman"/>
          <w:color w:val="auto"/>
          <w:sz w:val="21"/>
          <w:szCs w:val="21"/>
        </w:rPr>
        <w:t>4</w:t>
      </w:r>
      <w:r>
        <w:rPr>
          <w:rFonts w:hint="eastAsia" w:ascii="Times New Roman" w:cs="Times New Roman"/>
          <w:color w:val="auto"/>
          <w:sz w:val="21"/>
          <w:szCs w:val="21"/>
        </w:rPr>
        <w:t>）点所述应实施有效和持续地监督和监测系统；或</w:t>
      </w:r>
    </w:p>
    <w:p w14:paraId="1F60D556">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b</w:t>
      </w:r>
      <w:r>
        <w:rPr>
          <w:rFonts w:hint="eastAsia" w:ascii="Times New Roman" w:cs="Times New Roman"/>
          <w:color w:val="auto"/>
          <w:sz w:val="21"/>
          <w:szCs w:val="21"/>
        </w:rPr>
        <w:t>）</w:t>
      </w:r>
      <w:r>
        <w:rPr>
          <w:rFonts w:ascii="Times New Roman" w:hAnsi="Times New Roman" w:cs="Times New Roman"/>
          <w:color w:val="auto"/>
          <w:sz w:val="21"/>
          <w:szCs w:val="21"/>
        </w:rPr>
        <w:t>a</w:t>
      </w:r>
      <w:r>
        <w:rPr>
          <w:rFonts w:hint="eastAsia" w:ascii="Times New Roman" w:cs="Times New Roman"/>
          <w:color w:val="auto"/>
          <w:sz w:val="21"/>
          <w:szCs w:val="21"/>
        </w:rPr>
        <w:t>）有</w:t>
      </w:r>
      <w:r>
        <w:rPr>
          <w:rFonts w:ascii="Times New Roman" w:hAnsi="Times New Roman" w:cs="Times New Roman"/>
          <w:color w:val="auto"/>
          <w:sz w:val="21"/>
          <w:szCs w:val="21"/>
        </w:rPr>
        <w:t>l</w:t>
      </w:r>
      <w:r>
        <w:rPr>
          <w:rFonts w:hint="eastAsia" w:ascii="Times New Roman" w:cs="Times New Roman"/>
          <w:color w:val="auto"/>
          <w:sz w:val="21"/>
          <w:szCs w:val="21"/>
        </w:rPr>
        <w:t>例</w:t>
      </w:r>
      <w:r>
        <w:rPr>
          <w:rFonts w:ascii="Times New Roman" w:hAnsi="Times New Roman" w:cs="Times New Roman"/>
          <w:color w:val="auto"/>
          <w:sz w:val="21"/>
          <w:szCs w:val="21"/>
        </w:rPr>
        <w:t>BSE</w:t>
      </w:r>
      <w:r>
        <w:rPr>
          <w:rFonts w:hint="eastAsia" w:ascii="Times New Roman" w:cs="Times New Roman"/>
          <w:color w:val="auto"/>
          <w:sz w:val="21"/>
          <w:szCs w:val="21"/>
        </w:rPr>
        <w:t>已经明确证明是直接来源于受感染国家进口的活牛，如果该疾病已被呈报且疑似感染动物被屠宰并调查，并且如果疾病被证实销毁，且如第</w:t>
      </w:r>
      <w:r>
        <w:rPr>
          <w:rFonts w:ascii="Times New Roman" w:hAnsi="Times New Roman" w:cs="Times New Roman"/>
          <w:color w:val="auto"/>
          <w:sz w:val="21"/>
          <w:szCs w:val="21"/>
        </w:rPr>
        <w:t>3.2.13.1</w:t>
      </w:r>
      <w:r>
        <w:rPr>
          <w:rFonts w:hint="eastAsia" w:ascii="Times New Roman" w:cs="Times New Roman"/>
          <w:color w:val="auto"/>
          <w:sz w:val="21"/>
          <w:szCs w:val="21"/>
        </w:rPr>
        <w:t>条第</w:t>
      </w:r>
      <w:r>
        <w:rPr>
          <w:rFonts w:ascii="Times New Roman" w:hAnsi="Times New Roman" w:cs="Times New Roman"/>
          <w:color w:val="auto"/>
          <w:sz w:val="21"/>
          <w:szCs w:val="21"/>
        </w:rPr>
        <w:t>3</w:t>
      </w:r>
      <w:r>
        <w:rPr>
          <w:rFonts w:hint="eastAsia" w:ascii="Times New Roman" w:cs="Times New Roman"/>
          <w:color w:val="auto"/>
          <w:sz w:val="21"/>
          <w:szCs w:val="21"/>
        </w:rPr>
        <w:t>）和</w:t>
      </w:r>
      <w:r>
        <w:rPr>
          <w:rFonts w:ascii="Times New Roman" w:hAnsi="Times New Roman" w:cs="Times New Roman"/>
          <w:color w:val="auto"/>
          <w:sz w:val="21"/>
          <w:szCs w:val="21"/>
        </w:rPr>
        <w:t>4</w:t>
      </w:r>
      <w:r>
        <w:rPr>
          <w:rFonts w:hint="eastAsia" w:ascii="Times New Roman" w:cs="Times New Roman"/>
          <w:color w:val="auto"/>
          <w:sz w:val="21"/>
          <w:szCs w:val="21"/>
        </w:rPr>
        <w:t>）点所述实行了有效和持续的监督和监测系统；或</w:t>
      </w:r>
    </w:p>
    <w:p w14:paraId="633B9A4A">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c</w:t>
      </w:r>
      <w:r>
        <w:rPr>
          <w:rFonts w:hint="eastAsia" w:ascii="Times New Roman" w:cs="Times New Roman"/>
          <w:color w:val="auto"/>
          <w:sz w:val="21"/>
          <w:szCs w:val="21"/>
        </w:rPr>
        <w:t>）</w:t>
      </w:r>
      <w:r>
        <w:rPr>
          <w:rFonts w:ascii="Times New Roman" w:hAnsi="Times New Roman" w:cs="Times New Roman"/>
          <w:color w:val="auto"/>
          <w:sz w:val="21"/>
          <w:szCs w:val="21"/>
        </w:rPr>
        <w:t>BSE</w:t>
      </w:r>
      <w:r>
        <w:rPr>
          <w:rFonts w:hint="eastAsia" w:ascii="Times New Roman" w:cs="Times New Roman"/>
          <w:color w:val="auto"/>
          <w:sz w:val="21"/>
          <w:szCs w:val="21"/>
        </w:rPr>
        <w:t>已被根除（基于研究）。</w:t>
      </w:r>
    </w:p>
    <w:p w14:paraId="2F1BF406">
      <w:pPr>
        <w:adjustRightInd w:val="0"/>
        <w:snapToGrid w:val="0"/>
        <w:spacing w:beforeLines="50" w:line="360" w:lineRule="auto"/>
        <w:jc w:val="center"/>
        <w:rPr>
          <w:rFonts w:ascii="Times New Roman" w:hAnsi="Times New Roman" w:cs="Times New Roman"/>
          <w:color w:val="auto"/>
          <w:sz w:val="21"/>
          <w:szCs w:val="21"/>
        </w:rPr>
      </w:pPr>
      <w:r>
        <w:rPr>
          <w:rFonts w:hint="eastAsia" w:ascii="Times New Roman" w:cs="Times New Roman"/>
          <w:color w:val="auto"/>
          <w:sz w:val="21"/>
          <w:szCs w:val="21"/>
        </w:rPr>
        <w:t>第</w:t>
      </w:r>
      <w:r>
        <w:rPr>
          <w:rFonts w:ascii="Times New Roman" w:hAnsi="Times New Roman" w:cs="Times New Roman"/>
          <w:color w:val="auto"/>
          <w:sz w:val="21"/>
          <w:szCs w:val="21"/>
        </w:rPr>
        <w:t>3.2.13.3</w:t>
      </w:r>
      <w:r>
        <w:rPr>
          <w:rFonts w:hint="eastAsia" w:ascii="Times New Roman" w:cs="Times New Roman"/>
          <w:color w:val="auto"/>
          <w:sz w:val="21"/>
          <w:szCs w:val="21"/>
        </w:rPr>
        <w:t>条。</w:t>
      </w:r>
    </w:p>
    <w:p w14:paraId="1A341BF4">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兽医管理部门可以不受限制地直接或间接地进口或过境，产于已报告</w:t>
      </w:r>
      <w:r>
        <w:rPr>
          <w:rFonts w:ascii="Times New Roman" w:hAnsi="Times New Roman" w:cs="Times New Roman"/>
          <w:color w:val="auto"/>
          <w:sz w:val="21"/>
          <w:szCs w:val="21"/>
        </w:rPr>
        <w:t>BSE</w:t>
      </w:r>
      <w:r>
        <w:rPr>
          <w:rFonts w:hint="eastAsia" w:ascii="Times New Roman" w:cs="Times New Roman"/>
          <w:color w:val="auto"/>
          <w:sz w:val="21"/>
          <w:szCs w:val="21"/>
        </w:rPr>
        <w:t>国家的健康动物的牛奶、奶制品、牛脂、皮革和皮肤。也没有健康动物精液交易相关风险的科学证据。如果副产物，如明胶和胶原，是通过处埋（经过研究）使任何残留的</w:t>
      </w:r>
      <w:r>
        <w:rPr>
          <w:rFonts w:ascii="Times New Roman" w:hAnsi="Times New Roman" w:cs="Times New Roman"/>
          <w:color w:val="auto"/>
          <w:sz w:val="21"/>
          <w:szCs w:val="21"/>
        </w:rPr>
        <w:t>BSE</w:t>
      </w:r>
      <w:r>
        <w:rPr>
          <w:rFonts w:hint="eastAsia" w:ascii="Times New Roman" w:cs="Times New Roman"/>
          <w:color w:val="auto"/>
          <w:sz w:val="21"/>
          <w:szCs w:val="21"/>
        </w:rPr>
        <w:t>感染源失活的方法来生产的，那么认为是安全的。</w:t>
      </w:r>
    </w:p>
    <w:p w14:paraId="287B1C89">
      <w:pPr>
        <w:adjustRightInd w:val="0"/>
        <w:snapToGrid w:val="0"/>
        <w:spacing w:beforeLines="50" w:line="360" w:lineRule="auto"/>
        <w:jc w:val="center"/>
        <w:rPr>
          <w:rFonts w:ascii="Times New Roman" w:hAnsi="Times New Roman" w:cs="Times New Roman"/>
          <w:color w:val="auto"/>
          <w:sz w:val="21"/>
          <w:szCs w:val="21"/>
        </w:rPr>
      </w:pPr>
      <w:r>
        <w:rPr>
          <w:rFonts w:hint="eastAsia" w:ascii="Times New Roman" w:cs="Times New Roman"/>
          <w:color w:val="auto"/>
          <w:sz w:val="21"/>
          <w:szCs w:val="21"/>
        </w:rPr>
        <w:t>第</w:t>
      </w:r>
      <w:r>
        <w:rPr>
          <w:rFonts w:ascii="Times New Roman" w:hAnsi="Times New Roman" w:cs="Times New Roman"/>
          <w:color w:val="auto"/>
          <w:sz w:val="21"/>
          <w:szCs w:val="21"/>
        </w:rPr>
        <w:t>3.2.13.4</w:t>
      </w:r>
      <w:r>
        <w:rPr>
          <w:rFonts w:hint="eastAsia" w:ascii="Times New Roman" w:cs="Times New Roman"/>
          <w:color w:val="auto"/>
          <w:sz w:val="21"/>
          <w:szCs w:val="21"/>
        </w:rPr>
        <w:t>条。</w:t>
      </w:r>
    </w:p>
    <w:p w14:paraId="4ABD3550">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当从低</w:t>
      </w:r>
      <w:r>
        <w:rPr>
          <w:rFonts w:ascii="Times New Roman" w:hAnsi="Times New Roman" w:cs="Times New Roman"/>
          <w:color w:val="auto"/>
          <w:sz w:val="21"/>
          <w:szCs w:val="21"/>
        </w:rPr>
        <w:t>BSE</w:t>
      </w:r>
      <w:r>
        <w:rPr>
          <w:rFonts w:hint="eastAsia" w:ascii="Times New Roman" w:cs="Times New Roman"/>
          <w:color w:val="auto"/>
          <w:sz w:val="21"/>
          <w:szCs w:val="21"/>
        </w:rPr>
        <w:t>发病率的国家进口时，兽医主管部门应要求：</w:t>
      </w:r>
    </w:p>
    <w:p w14:paraId="2AA1E711">
      <w:pPr>
        <w:adjustRightInd w:val="0"/>
        <w:snapToGrid w:val="0"/>
        <w:spacing w:beforeLines="50" w:line="360" w:lineRule="auto"/>
        <w:jc w:val="both"/>
        <w:rPr>
          <w:rFonts w:ascii="Times New Roman" w:hAnsi="Times New Roman" w:cs="Times New Roman"/>
          <w:color w:val="auto"/>
          <w:sz w:val="21"/>
          <w:szCs w:val="21"/>
          <w:u w:val="single"/>
        </w:rPr>
      </w:pPr>
      <w:r>
        <w:rPr>
          <w:rFonts w:hint="eastAsia" w:ascii="Times New Roman" w:cs="Times New Roman"/>
          <w:color w:val="auto"/>
          <w:sz w:val="21"/>
          <w:szCs w:val="21"/>
          <w:u w:val="single"/>
        </w:rPr>
        <w:t>牛</w:t>
      </w:r>
    </w:p>
    <w:p w14:paraId="00DBE8A6">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hint="eastAsia" w:ascii="Times New Roman" w:cs="Times New Roman"/>
          <w:color w:val="auto"/>
          <w:sz w:val="21"/>
          <w:szCs w:val="21"/>
        </w:rPr>
        <w:t>提交国际动物卫生证书，证明：</w:t>
      </w:r>
    </w:p>
    <w:p w14:paraId="18DFBD9E">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1</w:t>
      </w:r>
      <w:r>
        <w:rPr>
          <w:rFonts w:hint="eastAsia" w:ascii="Times New Roman" w:cs="Times New Roman"/>
          <w:color w:val="auto"/>
          <w:sz w:val="21"/>
          <w:szCs w:val="21"/>
        </w:rPr>
        <w:t>）这是强制要求呈报的疾病；</w:t>
      </w:r>
    </w:p>
    <w:p w14:paraId="4014EFCC">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 xml:space="preserve">2)  </w:t>
      </w:r>
      <w:r>
        <w:rPr>
          <w:rFonts w:hint="eastAsia" w:ascii="Times New Roman" w:cs="Times New Roman"/>
          <w:color w:val="auto"/>
          <w:sz w:val="21"/>
          <w:szCs w:val="21"/>
        </w:rPr>
        <w:t>受影响的牛将被屠宰，并彻底销毁。</w:t>
      </w:r>
    </w:p>
    <w:p w14:paraId="31EA20C0">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3</w:t>
      </w:r>
      <w:r>
        <w:rPr>
          <w:rFonts w:hint="eastAsia" w:ascii="Times New Roman" w:cs="Times New Roman"/>
          <w:color w:val="auto"/>
          <w:sz w:val="21"/>
          <w:szCs w:val="21"/>
        </w:rPr>
        <w:t>）隔离疑似怀孕的母牛或临近产犊的母牛；</w:t>
      </w:r>
    </w:p>
    <w:p w14:paraId="30144A0E">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4</w:t>
      </w:r>
      <w:r>
        <w:rPr>
          <w:rFonts w:hint="eastAsia" w:ascii="Times New Roman" w:cs="Times New Roman"/>
          <w:color w:val="auto"/>
          <w:sz w:val="21"/>
          <w:szCs w:val="21"/>
        </w:rPr>
        <w:t>）按照第</w:t>
      </w:r>
      <w:r>
        <w:rPr>
          <w:rFonts w:ascii="Times New Roman" w:hAnsi="Times New Roman" w:cs="Times New Roman"/>
          <w:color w:val="auto"/>
          <w:sz w:val="21"/>
          <w:szCs w:val="21"/>
        </w:rPr>
        <w:t>3.2.13.1</w:t>
      </w:r>
      <w:r>
        <w:rPr>
          <w:rFonts w:hint="eastAsia" w:ascii="Times New Roman" w:cs="Times New Roman"/>
          <w:color w:val="auto"/>
          <w:sz w:val="21"/>
          <w:szCs w:val="21"/>
        </w:rPr>
        <w:t>条的规定，实行有效且持续的监督和监测系统；</w:t>
      </w:r>
    </w:p>
    <w:p w14:paraId="16012F35">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5</w:t>
      </w:r>
      <w:r>
        <w:rPr>
          <w:rFonts w:hint="eastAsia" w:ascii="Times New Roman" w:cs="Times New Roman"/>
          <w:color w:val="auto"/>
          <w:sz w:val="21"/>
          <w:szCs w:val="21"/>
        </w:rPr>
        <w:t>）将反刍动物的肉骨粉喂给反刍动物已被禁止并有效执行；</w:t>
      </w:r>
    </w:p>
    <w:p w14:paraId="27A87C3A">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6</w:t>
      </w:r>
      <w:r>
        <w:rPr>
          <w:rFonts w:hint="eastAsia" w:ascii="Times New Roman" w:cs="Times New Roman"/>
          <w:color w:val="auto"/>
          <w:sz w:val="21"/>
          <w:szCs w:val="21"/>
        </w:rPr>
        <w:t>）选择出口的牛：</w:t>
      </w:r>
    </w:p>
    <w:p w14:paraId="146C5662">
      <w:pPr>
        <w:adjustRightInd w:val="0"/>
        <w:snapToGrid w:val="0"/>
        <w:spacing w:beforeLines="50" w:line="36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a</w:t>
      </w:r>
      <w:r>
        <w:rPr>
          <w:rFonts w:hint="eastAsia" w:ascii="Times New Roman" w:cs="Times New Roman"/>
          <w:color w:val="auto"/>
          <w:sz w:val="21"/>
          <w:szCs w:val="21"/>
        </w:rPr>
        <w:t>）由永久性标记来标识，使其能够追溯到母牛和原产地</w:t>
      </w:r>
      <w:r>
        <w:rPr>
          <w:rFonts w:ascii="Times New Roman" w:hAnsi="Times New Roman" w:cs="Times New Roman"/>
          <w:color w:val="auto"/>
          <w:sz w:val="21"/>
          <w:szCs w:val="21"/>
        </w:rPr>
        <w:t>;</w:t>
      </w:r>
    </w:p>
    <w:p w14:paraId="6908D425">
      <w:pPr>
        <w:adjustRightInd w:val="0"/>
        <w:snapToGrid w:val="0"/>
        <w:spacing w:beforeLines="50" w:line="36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b</w:t>
      </w:r>
      <w:r>
        <w:rPr>
          <w:rFonts w:hint="eastAsia" w:ascii="Times New Roman" w:cs="Times New Roman"/>
          <w:color w:val="auto"/>
          <w:sz w:val="21"/>
          <w:szCs w:val="21"/>
        </w:rPr>
        <w:t>）不是疑似有</w:t>
      </w:r>
      <w:r>
        <w:rPr>
          <w:rFonts w:ascii="Times New Roman" w:hAnsi="Times New Roman" w:cs="Times New Roman"/>
          <w:color w:val="auto"/>
          <w:sz w:val="21"/>
          <w:szCs w:val="21"/>
        </w:rPr>
        <w:t>BSE</w:t>
      </w:r>
      <w:r>
        <w:rPr>
          <w:rFonts w:hint="eastAsia" w:ascii="Times New Roman" w:cs="Times New Roman"/>
          <w:color w:val="auto"/>
          <w:sz w:val="21"/>
          <w:szCs w:val="21"/>
        </w:rPr>
        <w:t>的小牛或确认有</w:t>
      </w:r>
      <w:r>
        <w:rPr>
          <w:rFonts w:ascii="Times New Roman" w:hAnsi="Times New Roman" w:cs="Times New Roman"/>
          <w:color w:val="auto"/>
          <w:sz w:val="21"/>
          <w:szCs w:val="21"/>
        </w:rPr>
        <w:t>BSE</w:t>
      </w:r>
      <w:r>
        <w:rPr>
          <w:rFonts w:hint="eastAsia" w:ascii="Times New Roman" w:cs="Times New Roman"/>
          <w:color w:val="auto"/>
          <w:sz w:val="21"/>
          <w:szCs w:val="21"/>
        </w:rPr>
        <w:t>的母牛。</w:t>
      </w:r>
    </w:p>
    <w:p w14:paraId="001C002F">
      <w:pPr>
        <w:adjustRightInd w:val="0"/>
        <w:snapToGrid w:val="0"/>
        <w:spacing w:beforeLines="50" w:line="360" w:lineRule="auto"/>
        <w:jc w:val="center"/>
        <w:rPr>
          <w:rFonts w:ascii="Times New Roman" w:hAnsi="Times New Roman" w:cs="Times New Roman"/>
          <w:color w:val="auto"/>
          <w:sz w:val="21"/>
          <w:szCs w:val="21"/>
        </w:rPr>
      </w:pPr>
      <w:r>
        <w:rPr>
          <w:rFonts w:hint="eastAsia" w:ascii="Times New Roman" w:cs="Times New Roman"/>
          <w:color w:val="auto"/>
          <w:sz w:val="21"/>
          <w:szCs w:val="21"/>
        </w:rPr>
        <w:t>第</w:t>
      </w:r>
      <w:r>
        <w:rPr>
          <w:rFonts w:ascii="Times New Roman" w:hAnsi="Times New Roman" w:cs="Times New Roman"/>
          <w:color w:val="auto"/>
          <w:sz w:val="21"/>
          <w:szCs w:val="21"/>
        </w:rPr>
        <w:t>3.2.13.5</w:t>
      </w:r>
      <w:r>
        <w:rPr>
          <w:rFonts w:hint="eastAsia" w:ascii="Times New Roman" w:cs="Times New Roman"/>
          <w:color w:val="auto"/>
          <w:sz w:val="21"/>
          <w:szCs w:val="21"/>
        </w:rPr>
        <w:t>条。</w:t>
      </w:r>
    </w:p>
    <w:p w14:paraId="1505C528">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当从高</w:t>
      </w:r>
      <w:r>
        <w:rPr>
          <w:rFonts w:ascii="Times New Roman" w:hAnsi="Times New Roman" w:cs="Times New Roman"/>
          <w:color w:val="auto"/>
          <w:sz w:val="21"/>
          <w:szCs w:val="21"/>
        </w:rPr>
        <w:t>BSE</w:t>
      </w:r>
      <w:r>
        <w:rPr>
          <w:rFonts w:hint="eastAsia" w:ascii="Times New Roman" w:cs="Times New Roman"/>
          <w:color w:val="auto"/>
          <w:sz w:val="21"/>
          <w:szCs w:val="21"/>
        </w:rPr>
        <w:t>发病率的国家进口时，兽医主管部门应要求：</w:t>
      </w:r>
    </w:p>
    <w:p w14:paraId="0A8EAB53">
      <w:pPr>
        <w:adjustRightInd w:val="0"/>
        <w:snapToGrid w:val="0"/>
        <w:spacing w:beforeLines="50" w:line="360" w:lineRule="auto"/>
        <w:jc w:val="both"/>
        <w:rPr>
          <w:rFonts w:ascii="Times New Roman" w:hAnsi="Times New Roman" w:cs="Times New Roman"/>
          <w:color w:val="auto"/>
          <w:sz w:val="21"/>
          <w:szCs w:val="21"/>
          <w:u w:val="single"/>
        </w:rPr>
      </w:pPr>
      <w:r>
        <w:rPr>
          <w:rFonts w:hint="eastAsia" w:ascii="Times New Roman" w:cs="Times New Roman"/>
          <w:color w:val="auto"/>
          <w:sz w:val="21"/>
          <w:szCs w:val="21"/>
          <w:u w:val="single"/>
        </w:rPr>
        <w:t>牛</w:t>
      </w:r>
    </w:p>
    <w:p w14:paraId="7C9C1EDF">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提交国际动物卫生证书，证明除了第</w:t>
      </w:r>
      <w:r>
        <w:rPr>
          <w:rFonts w:ascii="Times New Roman" w:hAnsi="Times New Roman" w:cs="Times New Roman"/>
          <w:color w:val="auto"/>
          <w:sz w:val="21"/>
          <w:szCs w:val="21"/>
        </w:rPr>
        <w:t>3.2.13.4</w:t>
      </w:r>
      <w:r>
        <w:rPr>
          <w:rFonts w:hint="eastAsia" w:ascii="Times New Roman" w:cs="Times New Roman"/>
          <w:color w:val="auto"/>
          <w:sz w:val="21"/>
          <w:szCs w:val="21"/>
        </w:rPr>
        <w:t>条规定的要求外，出口动物应：</w:t>
      </w:r>
    </w:p>
    <w:p w14:paraId="65465757">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1</w:t>
      </w:r>
      <w:r>
        <w:rPr>
          <w:rFonts w:hint="eastAsia" w:ascii="Times New Roman" w:cs="Times New Roman"/>
          <w:color w:val="auto"/>
          <w:sz w:val="21"/>
          <w:szCs w:val="21"/>
        </w:rPr>
        <w:t>）在禁止在反刍动物饲料中使用反刍动物肉骨粉这一禁令有效实行之后出生的；或</w:t>
      </w:r>
    </w:p>
    <w:p w14:paraId="6D12DBCC">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ascii="Times New Roman" w:hAnsi="Times New Roman" w:cs="Times New Roman"/>
          <w:color w:val="auto"/>
          <w:sz w:val="21"/>
          <w:szCs w:val="21"/>
        </w:rPr>
        <w:t>2</w:t>
      </w:r>
      <w:r>
        <w:rPr>
          <w:rFonts w:hint="eastAsia" w:ascii="Times New Roman" w:cs="Times New Roman"/>
          <w:color w:val="auto"/>
          <w:sz w:val="21"/>
          <w:szCs w:val="21"/>
        </w:rPr>
        <w:t>）出生、饲养并一直留在一个没有</w:t>
      </w:r>
      <w:r>
        <w:rPr>
          <w:rFonts w:ascii="Times New Roman" w:hAnsi="Times New Roman" w:cs="Times New Roman"/>
          <w:color w:val="auto"/>
          <w:sz w:val="21"/>
          <w:szCs w:val="21"/>
        </w:rPr>
        <w:t>BSE</w:t>
      </w:r>
      <w:r>
        <w:rPr>
          <w:rFonts w:hint="eastAsia" w:ascii="Times New Roman" w:cs="Times New Roman"/>
          <w:color w:val="auto"/>
          <w:sz w:val="21"/>
          <w:szCs w:val="21"/>
        </w:rPr>
        <w:t>病例的牛群中，并且该牛群中只包含在农场出生的牛或来自同等状态的牛群；和</w:t>
      </w:r>
    </w:p>
    <w:p w14:paraId="04E5ACB7">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3</w:t>
      </w:r>
      <w:r>
        <w:rPr>
          <w:rFonts w:hint="eastAsia" w:ascii="Times New Roman" w:cs="Times New Roman"/>
          <w:color w:val="auto"/>
          <w:sz w:val="21"/>
          <w:szCs w:val="21"/>
        </w:rPr>
        <w:t>）从来没有喂过反刍动物肉骨粉。</w:t>
      </w:r>
    </w:p>
    <w:p w14:paraId="7A23EB8C">
      <w:pPr>
        <w:adjustRightInd w:val="0"/>
        <w:snapToGrid w:val="0"/>
        <w:spacing w:beforeLines="50" w:line="360" w:lineRule="auto"/>
        <w:jc w:val="center"/>
        <w:rPr>
          <w:rFonts w:ascii="Times New Roman" w:hAnsi="Times New Roman" w:cs="Times New Roman"/>
          <w:color w:val="auto"/>
          <w:sz w:val="21"/>
          <w:szCs w:val="21"/>
        </w:rPr>
      </w:pPr>
      <w:r>
        <w:rPr>
          <w:rFonts w:hint="eastAsia" w:ascii="Times New Roman" w:cs="Times New Roman"/>
          <w:color w:val="auto"/>
          <w:sz w:val="21"/>
          <w:szCs w:val="21"/>
        </w:rPr>
        <w:t>第</w:t>
      </w:r>
      <w:r>
        <w:rPr>
          <w:rFonts w:ascii="Times New Roman" w:hAnsi="Times New Roman" w:cs="Times New Roman"/>
          <w:color w:val="auto"/>
          <w:sz w:val="21"/>
          <w:szCs w:val="21"/>
        </w:rPr>
        <w:t>3.2.13.6</w:t>
      </w:r>
      <w:r>
        <w:rPr>
          <w:rFonts w:hint="eastAsia" w:ascii="Times New Roman" w:cs="Times New Roman"/>
          <w:color w:val="auto"/>
          <w:sz w:val="21"/>
          <w:szCs w:val="21"/>
        </w:rPr>
        <w:t>条。</w:t>
      </w:r>
    </w:p>
    <w:p w14:paraId="47ECC937">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当从低</w:t>
      </w:r>
      <w:r>
        <w:rPr>
          <w:rFonts w:ascii="Times New Roman" w:hAnsi="Times New Roman" w:cs="Times New Roman"/>
          <w:color w:val="auto"/>
          <w:sz w:val="21"/>
          <w:szCs w:val="21"/>
        </w:rPr>
        <w:t>BSE</w:t>
      </w:r>
      <w:r>
        <w:rPr>
          <w:rFonts w:hint="eastAsia" w:ascii="Times New Roman" w:cs="Times New Roman"/>
          <w:color w:val="auto"/>
          <w:sz w:val="21"/>
          <w:szCs w:val="21"/>
        </w:rPr>
        <w:t>发病率的国家进口时，兽医主管部门应要求：</w:t>
      </w:r>
    </w:p>
    <w:p w14:paraId="1FA54C8B">
      <w:pPr>
        <w:adjustRightInd w:val="0"/>
        <w:snapToGrid w:val="0"/>
        <w:spacing w:beforeLines="50" w:line="360" w:lineRule="auto"/>
        <w:jc w:val="both"/>
        <w:rPr>
          <w:rFonts w:ascii="Times New Roman" w:hAnsi="Times New Roman" w:cs="Times New Roman"/>
          <w:color w:val="auto"/>
          <w:sz w:val="21"/>
          <w:szCs w:val="21"/>
          <w:u w:val="single"/>
        </w:rPr>
      </w:pPr>
      <w:r>
        <w:rPr>
          <w:rFonts w:hint="eastAsia" w:ascii="Times New Roman" w:cs="Times New Roman"/>
          <w:color w:val="auto"/>
          <w:sz w:val="21"/>
          <w:szCs w:val="21"/>
          <w:u w:val="single"/>
        </w:rPr>
        <w:t>新鲜肉类（带骨头或剔骨）和牛肉制品</w:t>
      </w:r>
    </w:p>
    <w:p w14:paraId="62943CA9">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提交国际卫生证书，证明：</w:t>
      </w:r>
    </w:p>
    <w:p w14:paraId="73E9C2BB">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1</w:t>
      </w:r>
      <w:r>
        <w:rPr>
          <w:rFonts w:hint="eastAsia" w:ascii="Times New Roman" w:cs="Times New Roman"/>
          <w:color w:val="auto"/>
          <w:sz w:val="21"/>
          <w:szCs w:val="21"/>
        </w:rPr>
        <w:t>）这是强制要求呈报的疾病；</w:t>
      </w:r>
    </w:p>
    <w:p w14:paraId="1B6A8D3B">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 xml:space="preserve">2)  </w:t>
      </w:r>
      <w:r>
        <w:rPr>
          <w:rFonts w:hint="eastAsia" w:ascii="Times New Roman" w:cs="Times New Roman"/>
          <w:color w:val="auto"/>
          <w:sz w:val="21"/>
          <w:szCs w:val="21"/>
        </w:rPr>
        <w:t>受影响的牛将被屠宰，并彻底销毁。</w:t>
      </w:r>
    </w:p>
    <w:p w14:paraId="289E4464">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3</w:t>
      </w:r>
      <w:r>
        <w:rPr>
          <w:rFonts w:hint="eastAsia" w:ascii="Times New Roman" w:cs="Times New Roman"/>
          <w:color w:val="auto"/>
          <w:sz w:val="21"/>
          <w:szCs w:val="21"/>
        </w:rPr>
        <w:t>）对所有牛进行宰杀前检查；</w:t>
      </w:r>
    </w:p>
    <w:p w14:paraId="660E7CEB">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4</w:t>
      </w:r>
      <w:r>
        <w:rPr>
          <w:rFonts w:hint="eastAsia" w:ascii="Times New Roman" w:cs="Times New Roman"/>
          <w:color w:val="auto"/>
          <w:sz w:val="21"/>
          <w:szCs w:val="21"/>
        </w:rPr>
        <w:t>）按照第</w:t>
      </w:r>
      <w:r>
        <w:rPr>
          <w:rFonts w:ascii="Times New Roman" w:hAnsi="Times New Roman" w:cs="Times New Roman"/>
          <w:color w:val="auto"/>
          <w:sz w:val="21"/>
          <w:szCs w:val="21"/>
        </w:rPr>
        <w:t>3.2.13.1</w:t>
      </w:r>
      <w:r>
        <w:rPr>
          <w:rFonts w:hint="eastAsia" w:ascii="Times New Roman" w:cs="Times New Roman"/>
          <w:color w:val="auto"/>
          <w:sz w:val="21"/>
          <w:szCs w:val="21"/>
        </w:rPr>
        <w:t>条的规定，实行有效且持续的监督和监测系统；</w:t>
      </w:r>
    </w:p>
    <w:p w14:paraId="6DADEFD4">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5</w:t>
      </w:r>
      <w:r>
        <w:rPr>
          <w:rFonts w:hint="eastAsia" w:ascii="Times New Roman" w:cs="Times New Roman"/>
          <w:color w:val="auto"/>
          <w:sz w:val="21"/>
          <w:szCs w:val="21"/>
        </w:rPr>
        <w:t>）肉制品不得含有</w:t>
      </w:r>
      <w:r>
        <w:rPr>
          <w:rFonts w:ascii="Times New Roman" w:hAnsi="Times New Roman" w:cs="Times New Roman"/>
          <w:color w:val="auto"/>
          <w:sz w:val="21"/>
          <w:szCs w:val="21"/>
        </w:rPr>
        <w:t>“</w:t>
      </w:r>
      <w:r>
        <w:rPr>
          <w:rFonts w:hint="eastAsia" w:ascii="Times New Roman" w:cs="Times New Roman"/>
          <w:color w:val="auto"/>
          <w:sz w:val="21"/>
          <w:szCs w:val="21"/>
        </w:rPr>
        <w:t>饲料禁令</w:t>
      </w:r>
      <w:r>
        <w:rPr>
          <w:rFonts w:ascii="Times New Roman" w:hAnsi="Times New Roman" w:cs="Times New Roman"/>
          <w:color w:val="auto"/>
          <w:sz w:val="21"/>
          <w:szCs w:val="21"/>
        </w:rPr>
        <w:t>”</w:t>
      </w:r>
      <w:r>
        <w:rPr>
          <w:rFonts w:hint="eastAsia" w:ascii="Times New Roman" w:cs="Times New Roman"/>
          <w:color w:val="auto"/>
          <w:sz w:val="21"/>
          <w:szCs w:val="21"/>
        </w:rPr>
        <w:t>（参考第</w:t>
      </w:r>
      <w:r>
        <w:rPr>
          <w:rFonts w:ascii="Times New Roman" w:hAnsi="Times New Roman" w:cs="Times New Roman"/>
          <w:color w:val="auto"/>
          <w:sz w:val="21"/>
          <w:szCs w:val="21"/>
        </w:rPr>
        <w:t>3.2.13.4</w:t>
      </w:r>
      <w:r>
        <w:rPr>
          <w:rFonts w:hint="eastAsia" w:ascii="Times New Roman" w:cs="Times New Roman"/>
          <w:color w:val="auto"/>
          <w:sz w:val="21"/>
          <w:szCs w:val="21"/>
        </w:rPr>
        <w:t>条的第</w:t>
      </w:r>
      <w:r>
        <w:rPr>
          <w:rFonts w:ascii="Times New Roman" w:hAnsi="Times New Roman" w:cs="Times New Roman"/>
          <w:color w:val="auto"/>
          <w:sz w:val="21"/>
          <w:szCs w:val="21"/>
        </w:rPr>
        <w:t>5</w:t>
      </w:r>
      <w:r>
        <w:rPr>
          <w:rFonts w:hint="eastAsia" w:ascii="Times New Roman" w:cs="Times New Roman"/>
          <w:color w:val="auto"/>
          <w:sz w:val="21"/>
          <w:szCs w:val="21"/>
        </w:rPr>
        <w:t>点））有效实施日之前出生满六个月以上牛的脑、眼、脊髓或远端回肠。</w:t>
      </w:r>
    </w:p>
    <w:p w14:paraId="75AC4805">
      <w:pPr>
        <w:adjustRightInd w:val="0"/>
        <w:snapToGrid w:val="0"/>
        <w:spacing w:beforeLines="50" w:line="360" w:lineRule="auto"/>
        <w:jc w:val="center"/>
        <w:rPr>
          <w:rFonts w:ascii="Times New Roman" w:hAnsi="Times New Roman" w:cs="Times New Roman"/>
          <w:color w:val="auto"/>
          <w:sz w:val="21"/>
          <w:szCs w:val="21"/>
        </w:rPr>
      </w:pPr>
      <w:r>
        <w:rPr>
          <w:rFonts w:hint="eastAsia" w:ascii="Times New Roman" w:cs="Times New Roman"/>
          <w:color w:val="auto"/>
          <w:sz w:val="21"/>
          <w:szCs w:val="21"/>
        </w:rPr>
        <w:t>第</w:t>
      </w:r>
      <w:r>
        <w:rPr>
          <w:rFonts w:ascii="Times New Roman" w:hAnsi="Times New Roman" w:cs="Times New Roman"/>
          <w:color w:val="auto"/>
          <w:sz w:val="21"/>
          <w:szCs w:val="21"/>
        </w:rPr>
        <w:t>3.2.13.7</w:t>
      </w:r>
      <w:r>
        <w:rPr>
          <w:rFonts w:hint="eastAsia" w:ascii="Times New Roman" w:cs="Times New Roman"/>
          <w:color w:val="auto"/>
          <w:sz w:val="21"/>
          <w:szCs w:val="21"/>
        </w:rPr>
        <w:t>条。</w:t>
      </w:r>
    </w:p>
    <w:p w14:paraId="1C234099">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当从高</w:t>
      </w:r>
      <w:r>
        <w:rPr>
          <w:rFonts w:ascii="Times New Roman" w:hAnsi="Times New Roman" w:cs="Times New Roman"/>
          <w:color w:val="auto"/>
          <w:sz w:val="21"/>
          <w:szCs w:val="21"/>
        </w:rPr>
        <w:t>BSE</w:t>
      </w:r>
      <w:r>
        <w:rPr>
          <w:rFonts w:hint="eastAsia" w:ascii="Times New Roman" w:cs="Times New Roman"/>
          <w:color w:val="auto"/>
          <w:sz w:val="21"/>
          <w:szCs w:val="21"/>
        </w:rPr>
        <w:t>发病率的国家进口时，兽医主管部门应要求：</w:t>
      </w:r>
    </w:p>
    <w:p w14:paraId="344A900B">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hint="eastAsia" w:ascii="Times New Roman" w:cs="Times New Roman"/>
          <w:color w:val="auto"/>
          <w:sz w:val="21"/>
          <w:szCs w:val="21"/>
        </w:rPr>
        <w:t>牛的新鲜骨肉</w:t>
      </w:r>
    </w:p>
    <w:p w14:paraId="772F6A52">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提交国际卫生证书，证明除了第</w:t>
      </w:r>
      <w:r>
        <w:rPr>
          <w:rFonts w:ascii="Times New Roman" w:hAnsi="Times New Roman" w:cs="Times New Roman"/>
          <w:color w:val="auto"/>
          <w:sz w:val="21"/>
          <w:szCs w:val="21"/>
        </w:rPr>
        <w:t>3.2.13.6</w:t>
      </w:r>
      <w:r>
        <w:rPr>
          <w:rFonts w:hint="eastAsia" w:ascii="Times New Roman" w:cs="Times New Roman"/>
          <w:color w:val="auto"/>
          <w:sz w:val="21"/>
          <w:szCs w:val="21"/>
        </w:rPr>
        <w:t>条规定的要求外，还应：</w:t>
      </w:r>
    </w:p>
    <w:p w14:paraId="215FBA97">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1</w:t>
      </w:r>
      <w:r>
        <w:rPr>
          <w:rFonts w:hint="eastAsia" w:ascii="Times New Roman" w:cs="Times New Roman"/>
          <w:color w:val="auto"/>
          <w:sz w:val="21"/>
          <w:szCs w:val="21"/>
        </w:rPr>
        <w:t>）对于第</w:t>
      </w:r>
      <w:r>
        <w:rPr>
          <w:rFonts w:ascii="Times New Roman" w:hAnsi="Times New Roman" w:cs="Times New Roman"/>
          <w:color w:val="auto"/>
          <w:sz w:val="21"/>
          <w:szCs w:val="21"/>
        </w:rPr>
        <w:t>3.2.13.12</w:t>
      </w:r>
      <w:r>
        <w:rPr>
          <w:rFonts w:hint="eastAsia" w:ascii="Times New Roman" w:cs="Times New Roman"/>
          <w:color w:val="auto"/>
          <w:sz w:val="21"/>
          <w:szCs w:val="21"/>
        </w:rPr>
        <w:t>条所列的组织，在屠宰后应从所有的牛中除去并摧毁；</w:t>
      </w:r>
    </w:p>
    <w:p w14:paraId="1AD00ADC">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2</w:t>
      </w:r>
      <w:r>
        <w:rPr>
          <w:rFonts w:hint="eastAsia" w:ascii="Times New Roman" w:cs="Times New Roman"/>
          <w:color w:val="auto"/>
          <w:sz w:val="21"/>
          <w:szCs w:val="21"/>
        </w:rPr>
        <w:t>）产肉的牛源自：</w:t>
      </w:r>
    </w:p>
    <w:p w14:paraId="38B35E29">
      <w:pPr>
        <w:adjustRightInd w:val="0"/>
        <w:snapToGrid w:val="0"/>
        <w:spacing w:beforeLines="50" w:line="360" w:lineRule="auto"/>
        <w:ind w:left="480" w:leftChars="200"/>
        <w:jc w:val="both"/>
        <w:rPr>
          <w:rFonts w:ascii="Times New Roman" w:hAnsi="Times New Roman" w:cs="Times New Roman"/>
          <w:color w:val="auto"/>
          <w:sz w:val="21"/>
          <w:szCs w:val="21"/>
        </w:rPr>
      </w:pPr>
      <w:r>
        <w:rPr>
          <w:rFonts w:ascii="Times New Roman" w:hAnsi="Times New Roman" w:cs="Times New Roman"/>
          <w:color w:val="auto"/>
          <w:sz w:val="21"/>
          <w:szCs w:val="21"/>
        </w:rPr>
        <w:t>a</w:t>
      </w:r>
      <w:r>
        <w:rPr>
          <w:rFonts w:hint="eastAsia" w:ascii="Times New Roman" w:cs="Times New Roman"/>
          <w:color w:val="auto"/>
          <w:sz w:val="21"/>
          <w:szCs w:val="21"/>
        </w:rPr>
        <w:t>）在禁止在反刍动物饲料中使用反刍动物肉骨粉这一禁令有效实行之后出生的；或</w:t>
      </w:r>
    </w:p>
    <w:p w14:paraId="64740F3C">
      <w:pPr>
        <w:adjustRightInd w:val="0"/>
        <w:snapToGrid w:val="0"/>
        <w:spacing w:beforeLines="50" w:line="360" w:lineRule="auto"/>
        <w:ind w:left="480" w:leftChars="200"/>
        <w:jc w:val="both"/>
        <w:rPr>
          <w:rFonts w:ascii="Times New Roman" w:hAnsi="Times New Roman" w:cs="Times New Roman"/>
          <w:color w:val="auto"/>
          <w:sz w:val="21"/>
          <w:szCs w:val="21"/>
        </w:rPr>
      </w:pPr>
      <w:r>
        <w:rPr>
          <w:rFonts w:ascii="Times New Roman" w:hAnsi="Times New Roman" w:cs="Times New Roman"/>
          <w:color w:val="auto"/>
          <w:sz w:val="21"/>
          <w:szCs w:val="21"/>
        </w:rPr>
        <w:t>b</w:t>
      </w:r>
      <w:r>
        <w:rPr>
          <w:rFonts w:hint="eastAsia" w:ascii="Times New Roman" w:cs="Times New Roman"/>
          <w:color w:val="auto"/>
          <w:sz w:val="21"/>
          <w:szCs w:val="21"/>
        </w:rPr>
        <w:t>）出生且只一直生长在没有</w:t>
      </w:r>
      <w:r>
        <w:rPr>
          <w:rFonts w:ascii="Times New Roman" w:hAnsi="Times New Roman" w:cs="Times New Roman"/>
          <w:color w:val="auto"/>
          <w:sz w:val="21"/>
          <w:szCs w:val="21"/>
        </w:rPr>
        <w:t>BSE</w:t>
      </w:r>
      <w:r>
        <w:rPr>
          <w:rFonts w:hint="eastAsia" w:ascii="Times New Roman" w:cs="Times New Roman"/>
          <w:color w:val="auto"/>
          <w:sz w:val="21"/>
          <w:szCs w:val="21"/>
        </w:rPr>
        <w:t>记录的牛群中；和</w:t>
      </w:r>
    </w:p>
    <w:p w14:paraId="703F6A36">
      <w:pPr>
        <w:adjustRightInd w:val="0"/>
        <w:snapToGrid w:val="0"/>
        <w:spacing w:beforeLines="50" w:line="360" w:lineRule="auto"/>
        <w:ind w:left="480" w:leftChars="200"/>
        <w:jc w:val="both"/>
        <w:rPr>
          <w:rFonts w:ascii="Times New Roman" w:hAnsi="Times New Roman" w:cs="Times New Roman"/>
          <w:color w:val="auto"/>
          <w:sz w:val="21"/>
          <w:szCs w:val="21"/>
        </w:rPr>
      </w:pPr>
      <w:r>
        <w:rPr>
          <w:rFonts w:ascii="Times New Roman" w:hAnsi="Times New Roman" w:cs="Times New Roman"/>
          <w:color w:val="auto"/>
          <w:sz w:val="21"/>
          <w:szCs w:val="21"/>
        </w:rPr>
        <w:t>c</w:t>
      </w:r>
      <w:r>
        <w:rPr>
          <w:rFonts w:hint="eastAsia" w:ascii="Times New Roman" w:cs="Times New Roman"/>
          <w:color w:val="auto"/>
          <w:sz w:val="21"/>
          <w:szCs w:val="21"/>
        </w:rPr>
        <w:t>）从来没有喂过反刍动物肉骨粉。</w:t>
      </w:r>
    </w:p>
    <w:p w14:paraId="41B2F33E">
      <w:pPr>
        <w:adjustRightInd w:val="0"/>
        <w:snapToGrid w:val="0"/>
        <w:spacing w:beforeLines="50" w:line="360" w:lineRule="auto"/>
        <w:jc w:val="center"/>
        <w:rPr>
          <w:rFonts w:ascii="Times New Roman" w:hAnsi="Times New Roman" w:cs="Times New Roman"/>
          <w:color w:val="auto"/>
          <w:sz w:val="21"/>
          <w:szCs w:val="21"/>
        </w:rPr>
      </w:pPr>
      <w:r>
        <w:rPr>
          <w:rFonts w:hint="eastAsia" w:ascii="Times New Roman" w:cs="Times New Roman"/>
          <w:color w:val="auto"/>
          <w:sz w:val="21"/>
          <w:szCs w:val="21"/>
        </w:rPr>
        <w:t>第</w:t>
      </w:r>
      <w:r>
        <w:rPr>
          <w:rFonts w:ascii="Times New Roman" w:hAnsi="Times New Roman" w:cs="Times New Roman"/>
          <w:color w:val="auto"/>
          <w:sz w:val="21"/>
          <w:szCs w:val="21"/>
        </w:rPr>
        <w:t>3.2.13.8</w:t>
      </w:r>
      <w:r>
        <w:rPr>
          <w:rFonts w:hint="eastAsia" w:ascii="Times New Roman" w:cs="Times New Roman"/>
          <w:color w:val="auto"/>
          <w:sz w:val="21"/>
          <w:szCs w:val="21"/>
        </w:rPr>
        <w:t>条。</w:t>
      </w:r>
    </w:p>
    <w:p w14:paraId="5FB58C74">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当从高</w:t>
      </w:r>
      <w:r>
        <w:rPr>
          <w:rFonts w:ascii="Times New Roman" w:hAnsi="Times New Roman" w:cs="Times New Roman"/>
          <w:color w:val="auto"/>
          <w:sz w:val="21"/>
          <w:szCs w:val="21"/>
        </w:rPr>
        <w:t>BSE</w:t>
      </w:r>
      <w:r>
        <w:rPr>
          <w:rFonts w:hint="eastAsia" w:ascii="Times New Roman" w:cs="Times New Roman"/>
          <w:color w:val="auto"/>
          <w:sz w:val="21"/>
          <w:szCs w:val="21"/>
        </w:rPr>
        <w:t>发病率的国家进口时，兽医主管部门应要求：</w:t>
      </w:r>
    </w:p>
    <w:p w14:paraId="786F06A4">
      <w:pPr>
        <w:adjustRightInd w:val="0"/>
        <w:snapToGrid w:val="0"/>
        <w:spacing w:beforeLines="50" w:line="360" w:lineRule="auto"/>
        <w:jc w:val="both"/>
        <w:rPr>
          <w:rFonts w:ascii="Times New Roman" w:hAnsi="Times New Roman" w:cs="Times New Roman"/>
          <w:i/>
          <w:color w:val="auto"/>
          <w:sz w:val="21"/>
          <w:szCs w:val="21"/>
          <w:u w:val="single"/>
        </w:rPr>
      </w:pPr>
      <w:r>
        <w:rPr>
          <w:rFonts w:hint="eastAsia" w:ascii="Times New Roman" w:cs="Times New Roman"/>
          <w:i/>
          <w:color w:val="auto"/>
          <w:sz w:val="21"/>
          <w:szCs w:val="21"/>
          <w:u w:val="single"/>
        </w:rPr>
        <w:t>使用牛的新鲜去骨肉和肉制品</w:t>
      </w:r>
    </w:p>
    <w:p w14:paraId="22483529">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提交国际卫生证书证明应用了第</w:t>
      </w:r>
      <w:r>
        <w:rPr>
          <w:rFonts w:ascii="Times New Roman" w:hAnsi="Times New Roman" w:cs="Times New Roman"/>
          <w:color w:val="auto"/>
          <w:sz w:val="21"/>
          <w:szCs w:val="21"/>
        </w:rPr>
        <w:t>3.2.13.7</w:t>
      </w:r>
      <w:r>
        <w:rPr>
          <w:rFonts w:hint="eastAsia" w:ascii="Times New Roman" w:cs="Times New Roman"/>
          <w:color w:val="auto"/>
          <w:sz w:val="21"/>
          <w:szCs w:val="21"/>
        </w:rPr>
        <w:t>条的条件，或替代地采用：</w:t>
      </w:r>
    </w:p>
    <w:p w14:paraId="5B55BE8A">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1</w:t>
      </w:r>
      <w:r>
        <w:rPr>
          <w:rFonts w:hint="eastAsia" w:ascii="Times New Roman" w:cs="Times New Roman"/>
          <w:color w:val="auto"/>
          <w:sz w:val="21"/>
          <w:szCs w:val="21"/>
        </w:rPr>
        <w:t>）这是强制要求呈报的疾病；</w:t>
      </w:r>
    </w:p>
    <w:p w14:paraId="2ED47D67">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 xml:space="preserve">2)  </w:t>
      </w:r>
      <w:r>
        <w:rPr>
          <w:rFonts w:hint="eastAsia" w:ascii="Times New Roman" w:cs="Times New Roman"/>
          <w:color w:val="auto"/>
          <w:sz w:val="21"/>
          <w:szCs w:val="21"/>
        </w:rPr>
        <w:t>受影响的牛将被屠宰，并彻底销毁。</w:t>
      </w:r>
    </w:p>
    <w:p w14:paraId="03FA5DD5">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3</w:t>
      </w:r>
      <w:r>
        <w:rPr>
          <w:rFonts w:hint="eastAsia" w:ascii="Times New Roman" w:cs="Times New Roman"/>
          <w:color w:val="auto"/>
          <w:sz w:val="21"/>
          <w:szCs w:val="21"/>
        </w:rPr>
        <w:t>）对所有牛进行宰杀前检查；</w:t>
      </w:r>
    </w:p>
    <w:p w14:paraId="0B1CA091">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ascii="Times New Roman" w:hAnsi="Times New Roman" w:cs="Times New Roman"/>
          <w:color w:val="auto"/>
          <w:sz w:val="21"/>
          <w:szCs w:val="21"/>
        </w:rPr>
        <w:t>4</w:t>
      </w:r>
      <w:r>
        <w:rPr>
          <w:rFonts w:hint="eastAsia" w:ascii="Times New Roman" w:cs="Times New Roman"/>
          <w:color w:val="auto"/>
          <w:sz w:val="21"/>
          <w:szCs w:val="21"/>
        </w:rPr>
        <w:t>）按照第</w:t>
      </w:r>
      <w:r>
        <w:rPr>
          <w:rFonts w:ascii="Times New Roman" w:hAnsi="Times New Roman" w:cs="Times New Roman"/>
          <w:color w:val="auto"/>
          <w:sz w:val="21"/>
          <w:szCs w:val="21"/>
        </w:rPr>
        <w:t>3.2.13.1</w:t>
      </w:r>
      <w:r>
        <w:rPr>
          <w:rFonts w:hint="eastAsia" w:ascii="Times New Roman" w:cs="Times New Roman"/>
          <w:color w:val="auto"/>
          <w:sz w:val="21"/>
          <w:szCs w:val="21"/>
        </w:rPr>
        <w:t>条的规定，实行有效且持续的监督和监测系统；</w:t>
      </w:r>
    </w:p>
    <w:p w14:paraId="7C49DD94">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5</w:t>
      </w:r>
      <w:r>
        <w:rPr>
          <w:rFonts w:hint="eastAsia" w:ascii="Times New Roman" w:cs="Times New Roman"/>
          <w:color w:val="auto"/>
          <w:sz w:val="21"/>
          <w:szCs w:val="21"/>
        </w:rPr>
        <w:t>）对于第</w:t>
      </w:r>
      <w:r>
        <w:rPr>
          <w:rFonts w:ascii="Times New Roman" w:hAnsi="Times New Roman" w:cs="Times New Roman"/>
          <w:color w:val="auto"/>
          <w:sz w:val="21"/>
          <w:szCs w:val="21"/>
        </w:rPr>
        <w:t>3.2.13.12</w:t>
      </w:r>
      <w:r>
        <w:rPr>
          <w:rFonts w:hint="eastAsia" w:ascii="Times New Roman" w:cs="Times New Roman"/>
          <w:color w:val="auto"/>
          <w:sz w:val="21"/>
          <w:szCs w:val="21"/>
        </w:rPr>
        <w:t>条所列的组织，在屠宰后应从所有的牛中除去并摧毁；</w:t>
      </w:r>
    </w:p>
    <w:p w14:paraId="3559C396">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6</w:t>
      </w:r>
      <w:r>
        <w:rPr>
          <w:rFonts w:hint="eastAsia" w:ascii="Times New Roman" w:cs="Times New Roman"/>
          <w:color w:val="auto"/>
          <w:sz w:val="21"/>
          <w:szCs w:val="21"/>
        </w:rPr>
        <w:t>）在切割过程中暴露的神经和淋巴组织已经被去除和破坏。</w:t>
      </w:r>
    </w:p>
    <w:p w14:paraId="782ACF55">
      <w:pPr>
        <w:adjustRightInd w:val="0"/>
        <w:snapToGrid w:val="0"/>
        <w:spacing w:beforeLines="50" w:line="360" w:lineRule="auto"/>
        <w:jc w:val="center"/>
        <w:rPr>
          <w:rFonts w:ascii="Times New Roman" w:hAnsi="Times New Roman" w:cs="Times New Roman"/>
          <w:color w:val="auto"/>
          <w:sz w:val="21"/>
          <w:szCs w:val="21"/>
        </w:rPr>
      </w:pPr>
      <w:r>
        <w:rPr>
          <w:rFonts w:hint="eastAsia" w:ascii="Times New Roman" w:cs="Times New Roman"/>
          <w:color w:val="auto"/>
          <w:sz w:val="21"/>
          <w:szCs w:val="21"/>
        </w:rPr>
        <w:t>第</w:t>
      </w:r>
      <w:r>
        <w:rPr>
          <w:rFonts w:ascii="Times New Roman" w:hAnsi="Times New Roman" w:cs="Times New Roman"/>
          <w:color w:val="auto"/>
          <w:sz w:val="21"/>
          <w:szCs w:val="21"/>
        </w:rPr>
        <w:t>3.2.13.9</w:t>
      </w:r>
      <w:r>
        <w:rPr>
          <w:rFonts w:hint="eastAsia" w:ascii="Times New Roman" w:cs="Times New Roman"/>
          <w:color w:val="auto"/>
          <w:sz w:val="21"/>
          <w:szCs w:val="21"/>
        </w:rPr>
        <w:t>条。</w:t>
      </w:r>
    </w:p>
    <w:p w14:paraId="08A1A79D">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当从低</w:t>
      </w:r>
      <w:r>
        <w:rPr>
          <w:rFonts w:ascii="Times New Roman" w:hAnsi="Times New Roman" w:cs="Times New Roman"/>
          <w:color w:val="auto"/>
          <w:sz w:val="21"/>
          <w:szCs w:val="21"/>
        </w:rPr>
        <w:t>BSE</w:t>
      </w:r>
      <w:r>
        <w:rPr>
          <w:rFonts w:hint="eastAsia" w:ascii="Times New Roman" w:cs="Times New Roman"/>
          <w:color w:val="auto"/>
          <w:sz w:val="21"/>
          <w:szCs w:val="21"/>
        </w:rPr>
        <w:t>发病率的国家进口时，兽医主管部门应要求：</w:t>
      </w:r>
    </w:p>
    <w:p w14:paraId="2B5DAC73">
      <w:pPr>
        <w:adjustRightInd w:val="0"/>
        <w:snapToGrid w:val="0"/>
        <w:spacing w:beforeLines="50" w:line="360" w:lineRule="auto"/>
        <w:jc w:val="both"/>
        <w:rPr>
          <w:rFonts w:ascii="Times New Roman" w:hAnsi="Times New Roman" w:cs="Times New Roman"/>
          <w:color w:val="auto"/>
          <w:sz w:val="21"/>
          <w:szCs w:val="21"/>
          <w:u w:val="single"/>
        </w:rPr>
      </w:pPr>
      <w:r>
        <w:rPr>
          <w:rFonts w:hint="eastAsia" w:ascii="Times New Roman" w:cs="Times New Roman"/>
          <w:color w:val="auto"/>
          <w:sz w:val="21"/>
          <w:szCs w:val="21"/>
          <w:u w:val="single"/>
        </w:rPr>
        <w:t>对于牛胚胎</w:t>
      </w:r>
      <w:r>
        <w:rPr>
          <w:rFonts w:ascii="Times New Roman" w:hAnsi="Times New Roman" w:cs="Times New Roman"/>
          <w:color w:val="auto"/>
          <w:sz w:val="21"/>
          <w:szCs w:val="21"/>
          <w:u w:val="single"/>
        </w:rPr>
        <w:t>/</w:t>
      </w:r>
      <w:r>
        <w:rPr>
          <w:rFonts w:hint="eastAsia" w:ascii="Times New Roman" w:cs="Times New Roman"/>
          <w:color w:val="auto"/>
          <w:sz w:val="21"/>
          <w:szCs w:val="21"/>
          <w:u w:val="single"/>
        </w:rPr>
        <w:t>卵细胞</w:t>
      </w:r>
    </w:p>
    <w:p w14:paraId="3243FC18">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提交国际动物卫生证书，证明：</w:t>
      </w:r>
    </w:p>
    <w:p w14:paraId="2A942CBF">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1</w:t>
      </w:r>
      <w:r>
        <w:rPr>
          <w:rFonts w:hint="eastAsia" w:ascii="Times New Roman" w:cs="Times New Roman"/>
          <w:color w:val="auto"/>
          <w:sz w:val="21"/>
          <w:szCs w:val="21"/>
        </w:rPr>
        <w:t>）这是强制要求呈报的疾病；</w:t>
      </w:r>
    </w:p>
    <w:p w14:paraId="5A0311C4">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 xml:space="preserve">2)  </w:t>
      </w:r>
      <w:r>
        <w:rPr>
          <w:rFonts w:hint="eastAsia" w:ascii="Times New Roman" w:cs="Times New Roman"/>
          <w:color w:val="auto"/>
          <w:sz w:val="21"/>
          <w:szCs w:val="21"/>
        </w:rPr>
        <w:t>受影响的牛将被屠宰，并彻底销毁。</w:t>
      </w:r>
    </w:p>
    <w:p w14:paraId="446E4984">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3</w:t>
      </w:r>
      <w:r>
        <w:rPr>
          <w:rFonts w:hint="eastAsia" w:ascii="Times New Roman" w:cs="Times New Roman"/>
          <w:color w:val="auto"/>
          <w:sz w:val="21"/>
          <w:szCs w:val="21"/>
        </w:rPr>
        <w:t>）隔离疑似怀孕的母牛或临近产犊的母牛；</w:t>
      </w:r>
    </w:p>
    <w:p w14:paraId="455E956F">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4</w:t>
      </w:r>
      <w:r>
        <w:rPr>
          <w:rFonts w:hint="eastAsia" w:ascii="Times New Roman" w:cs="Times New Roman"/>
          <w:color w:val="auto"/>
          <w:sz w:val="21"/>
          <w:szCs w:val="21"/>
        </w:rPr>
        <w:t>）按照第</w:t>
      </w:r>
      <w:r>
        <w:rPr>
          <w:rFonts w:ascii="Times New Roman" w:hAnsi="Times New Roman" w:cs="Times New Roman"/>
          <w:color w:val="auto"/>
          <w:sz w:val="21"/>
          <w:szCs w:val="21"/>
        </w:rPr>
        <w:t>3.2.13.1</w:t>
      </w:r>
      <w:r>
        <w:rPr>
          <w:rFonts w:hint="eastAsia" w:ascii="Times New Roman" w:cs="Times New Roman"/>
          <w:color w:val="auto"/>
          <w:sz w:val="21"/>
          <w:szCs w:val="21"/>
        </w:rPr>
        <w:t>条的规定，实行有效且持续的监督和监测系统；</w:t>
      </w:r>
    </w:p>
    <w:p w14:paraId="754BBEC0">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5</w:t>
      </w:r>
      <w:r>
        <w:rPr>
          <w:rFonts w:hint="eastAsia" w:ascii="Times New Roman" w:cs="Times New Roman"/>
          <w:color w:val="auto"/>
          <w:sz w:val="21"/>
          <w:szCs w:val="21"/>
        </w:rPr>
        <w:t>）将反刍动物的肉骨粉喂给反刍动物已被禁止并有效执行</w:t>
      </w:r>
      <w:r>
        <w:rPr>
          <w:rFonts w:ascii="Times New Roman" w:hAnsi="Times New Roman" w:cs="Times New Roman"/>
          <w:color w:val="auto"/>
          <w:sz w:val="21"/>
          <w:szCs w:val="21"/>
        </w:rPr>
        <w:t>;</w:t>
      </w:r>
    </w:p>
    <w:p w14:paraId="1C810DAB">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6</w:t>
      </w:r>
      <w:r>
        <w:rPr>
          <w:rFonts w:hint="eastAsia" w:ascii="Times New Roman" w:cs="Times New Roman"/>
          <w:color w:val="auto"/>
          <w:sz w:val="21"/>
          <w:szCs w:val="21"/>
        </w:rPr>
        <w:t>）出口的胚胎</w:t>
      </w:r>
      <w:r>
        <w:rPr>
          <w:rFonts w:ascii="Times New Roman" w:hAnsi="Times New Roman" w:cs="Times New Roman"/>
          <w:color w:val="auto"/>
          <w:sz w:val="21"/>
          <w:szCs w:val="21"/>
        </w:rPr>
        <w:t>/</w:t>
      </w:r>
      <w:r>
        <w:rPr>
          <w:rFonts w:hint="eastAsia" w:ascii="Times New Roman" w:cs="Times New Roman"/>
          <w:color w:val="auto"/>
          <w:sz w:val="21"/>
          <w:szCs w:val="21"/>
        </w:rPr>
        <w:t>卵细胞来源于雌性，其：</w:t>
      </w:r>
    </w:p>
    <w:p w14:paraId="420F69F3">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ascii="Times New Roman" w:hAnsi="Times New Roman" w:cs="Times New Roman"/>
          <w:color w:val="auto"/>
          <w:sz w:val="21"/>
          <w:szCs w:val="21"/>
        </w:rPr>
        <w:t>a</w:t>
      </w:r>
      <w:r>
        <w:rPr>
          <w:rFonts w:hint="eastAsia" w:ascii="Times New Roman" w:cs="Times New Roman"/>
          <w:color w:val="auto"/>
          <w:sz w:val="21"/>
          <w:szCs w:val="21"/>
        </w:rPr>
        <w:t>）不受</w:t>
      </w:r>
      <w:r>
        <w:rPr>
          <w:rFonts w:ascii="Times New Roman" w:hAnsi="Times New Roman" w:cs="Times New Roman"/>
          <w:color w:val="auto"/>
          <w:sz w:val="21"/>
          <w:szCs w:val="21"/>
        </w:rPr>
        <w:t>BSE</w:t>
      </w:r>
      <w:r>
        <w:rPr>
          <w:rFonts w:hint="eastAsia" w:ascii="Times New Roman" w:cs="Times New Roman"/>
          <w:color w:val="auto"/>
          <w:sz w:val="21"/>
          <w:szCs w:val="21"/>
        </w:rPr>
        <w:t>的影响；</w:t>
      </w:r>
    </w:p>
    <w:p w14:paraId="42B1E695">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b</w:t>
      </w:r>
      <w:r>
        <w:rPr>
          <w:rFonts w:hint="eastAsia" w:ascii="Times New Roman" w:cs="Times New Roman"/>
          <w:color w:val="auto"/>
          <w:sz w:val="21"/>
          <w:szCs w:val="21"/>
        </w:rPr>
        <w:t>）不是</w:t>
      </w:r>
      <w:r>
        <w:rPr>
          <w:rFonts w:ascii="Times New Roman" w:hAnsi="Times New Roman" w:cs="Times New Roman"/>
          <w:color w:val="auto"/>
          <w:sz w:val="21"/>
          <w:szCs w:val="21"/>
        </w:rPr>
        <w:t>BSE</w:t>
      </w:r>
      <w:r>
        <w:rPr>
          <w:rFonts w:hint="eastAsia" w:ascii="Times New Roman" w:cs="Times New Roman"/>
          <w:color w:val="auto"/>
          <w:sz w:val="21"/>
          <w:szCs w:val="21"/>
        </w:rPr>
        <w:t>母牛所产的雌性牛；和</w:t>
      </w:r>
    </w:p>
    <w:p w14:paraId="28979E8F">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c</w:t>
      </w:r>
      <w:r>
        <w:rPr>
          <w:rFonts w:hint="eastAsia" w:ascii="Times New Roman" w:cs="Times New Roman"/>
          <w:color w:val="auto"/>
          <w:sz w:val="21"/>
          <w:szCs w:val="21"/>
        </w:rPr>
        <w:t>）胚胎收集时没有被怀疑受到影响。</w:t>
      </w:r>
    </w:p>
    <w:p w14:paraId="5D956441">
      <w:pPr>
        <w:adjustRightInd w:val="0"/>
        <w:snapToGrid w:val="0"/>
        <w:spacing w:beforeLines="50" w:line="360" w:lineRule="auto"/>
        <w:jc w:val="center"/>
        <w:rPr>
          <w:rFonts w:ascii="Times New Roman" w:hAnsi="Times New Roman" w:cs="Times New Roman"/>
          <w:color w:val="auto"/>
          <w:sz w:val="21"/>
          <w:szCs w:val="21"/>
        </w:rPr>
      </w:pPr>
      <w:r>
        <w:rPr>
          <w:rFonts w:hint="eastAsia" w:ascii="Times New Roman" w:cs="Times New Roman"/>
          <w:color w:val="auto"/>
          <w:sz w:val="21"/>
          <w:szCs w:val="21"/>
        </w:rPr>
        <w:t>第</w:t>
      </w:r>
      <w:r>
        <w:rPr>
          <w:rFonts w:ascii="Times New Roman" w:hAnsi="Times New Roman" w:cs="Times New Roman"/>
          <w:color w:val="auto"/>
          <w:sz w:val="21"/>
          <w:szCs w:val="21"/>
        </w:rPr>
        <w:t>3.2.13.10</w:t>
      </w:r>
      <w:r>
        <w:rPr>
          <w:rFonts w:hint="eastAsia" w:ascii="Times New Roman" w:cs="Times New Roman"/>
          <w:color w:val="auto"/>
          <w:sz w:val="21"/>
          <w:szCs w:val="21"/>
        </w:rPr>
        <w:t>条。</w:t>
      </w:r>
    </w:p>
    <w:p w14:paraId="755E24F4">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当从高</w:t>
      </w:r>
      <w:r>
        <w:rPr>
          <w:rFonts w:ascii="Times New Roman" w:hAnsi="Times New Roman" w:cs="Times New Roman"/>
          <w:color w:val="auto"/>
          <w:sz w:val="21"/>
          <w:szCs w:val="21"/>
        </w:rPr>
        <w:t>BSE</w:t>
      </w:r>
      <w:r>
        <w:rPr>
          <w:rFonts w:hint="eastAsia" w:ascii="Times New Roman" w:cs="Times New Roman"/>
          <w:color w:val="auto"/>
          <w:sz w:val="21"/>
          <w:szCs w:val="21"/>
        </w:rPr>
        <w:t>发病率的国家进口时，兽医主管部门应要求：</w:t>
      </w:r>
    </w:p>
    <w:p w14:paraId="168BFC02">
      <w:pPr>
        <w:adjustRightInd w:val="0"/>
        <w:snapToGrid w:val="0"/>
        <w:spacing w:beforeLines="50" w:line="360" w:lineRule="auto"/>
        <w:jc w:val="both"/>
        <w:rPr>
          <w:rFonts w:ascii="Times New Roman" w:hAnsi="Times New Roman" w:cs="Times New Roman"/>
          <w:color w:val="auto"/>
          <w:sz w:val="21"/>
          <w:szCs w:val="21"/>
          <w:u w:val="single"/>
        </w:rPr>
      </w:pPr>
      <w:r>
        <w:rPr>
          <w:rFonts w:hint="eastAsia" w:ascii="Times New Roman" w:cs="Times New Roman"/>
          <w:color w:val="auto"/>
          <w:sz w:val="21"/>
          <w:szCs w:val="21"/>
          <w:u w:val="single"/>
        </w:rPr>
        <w:t>对于牛胚胎</w:t>
      </w:r>
      <w:r>
        <w:rPr>
          <w:rFonts w:ascii="Times New Roman" w:hAnsi="Times New Roman" w:cs="Times New Roman"/>
          <w:color w:val="auto"/>
          <w:sz w:val="21"/>
          <w:szCs w:val="21"/>
          <w:u w:val="single"/>
        </w:rPr>
        <w:t>/</w:t>
      </w:r>
      <w:r>
        <w:rPr>
          <w:rFonts w:hint="eastAsia" w:ascii="Times New Roman" w:cs="Times New Roman"/>
          <w:color w:val="auto"/>
          <w:sz w:val="21"/>
          <w:szCs w:val="21"/>
          <w:u w:val="single"/>
        </w:rPr>
        <w:t>卵细胞</w:t>
      </w:r>
    </w:p>
    <w:p w14:paraId="3DC7C909">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提交一份国际动物卫生证书，证明出口的胚胎</w:t>
      </w:r>
      <w:r>
        <w:rPr>
          <w:rFonts w:ascii="Times New Roman" w:hAnsi="Times New Roman" w:cs="Times New Roman"/>
          <w:color w:val="auto"/>
          <w:sz w:val="21"/>
          <w:szCs w:val="21"/>
        </w:rPr>
        <w:t>/</w:t>
      </w:r>
      <w:r>
        <w:rPr>
          <w:rFonts w:hint="eastAsia" w:ascii="Times New Roman" w:cs="Times New Roman"/>
          <w:color w:val="auto"/>
          <w:sz w:val="21"/>
          <w:szCs w:val="21"/>
        </w:rPr>
        <w:t>卵细胞是来自符合第</w:t>
      </w:r>
      <w:r>
        <w:rPr>
          <w:rFonts w:ascii="Times New Roman" w:hAnsi="Times New Roman" w:cs="Times New Roman"/>
          <w:color w:val="auto"/>
          <w:sz w:val="21"/>
          <w:szCs w:val="21"/>
        </w:rPr>
        <w:t>3.2.13.5</w:t>
      </w:r>
      <w:r>
        <w:rPr>
          <w:rFonts w:hint="eastAsia" w:ascii="Times New Roman" w:cs="Times New Roman"/>
          <w:color w:val="auto"/>
          <w:sz w:val="21"/>
          <w:szCs w:val="21"/>
        </w:rPr>
        <w:t>条和第</w:t>
      </w:r>
      <w:r>
        <w:rPr>
          <w:rFonts w:ascii="Times New Roman" w:hAnsi="Times New Roman" w:cs="Times New Roman"/>
          <w:color w:val="auto"/>
          <w:sz w:val="21"/>
          <w:szCs w:val="21"/>
        </w:rPr>
        <w:t>3.2.13.9</w:t>
      </w:r>
      <w:r>
        <w:rPr>
          <w:rFonts w:hint="eastAsia" w:ascii="Times New Roman" w:cs="Times New Roman"/>
          <w:color w:val="auto"/>
          <w:sz w:val="21"/>
          <w:szCs w:val="21"/>
        </w:rPr>
        <w:t>段第</w:t>
      </w:r>
      <w:r>
        <w:rPr>
          <w:rFonts w:ascii="Times New Roman" w:hAnsi="Times New Roman" w:cs="Times New Roman"/>
          <w:color w:val="auto"/>
          <w:sz w:val="21"/>
          <w:szCs w:val="21"/>
        </w:rPr>
        <w:t>6</w:t>
      </w:r>
      <w:r>
        <w:rPr>
          <w:rFonts w:hint="eastAsia" w:ascii="Times New Roman" w:cs="Times New Roman"/>
          <w:color w:val="auto"/>
          <w:sz w:val="21"/>
          <w:szCs w:val="21"/>
        </w:rPr>
        <w:t>）段相关条件的雌牛。</w:t>
      </w:r>
    </w:p>
    <w:p w14:paraId="36175CF6">
      <w:pPr>
        <w:adjustRightInd w:val="0"/>
        <w:snapToGrid w:val="0"/>
        <w:spacing w:beforeLines="50" w:line="360" w:lineRule="auto"/>
        <w:jc w:val="center"/>
        <w:rPr>
          <w:rFonts w:ascii="Times New Roman" w:hAnsi="Times New Roman" w:cs="Times New Roman"/>
          <w:color w:val="auto"/>
          <w:sz w:val="21"/>
          <w:szCs w:val="21"/>
        </w:rPr>
      </w:pPr>
      <w:r>
        <w:rPr>
          <w:rFonts w:hint="eastAsia" w:ascii="Times New Roman" w:cs="Times New Roman"/>
          <w:color w:val="auto"/>
          <w:sz w:val="21"/>
          <w:szCs w:val="21"/>
        </w:rPr>
        <w:t>第</w:t>
      </w:r>
      <w:r>
        <w:rPr>
          <w:rFonts w:ascii="Times New Roman" w:hAnsi="Times New Roman" w:cs="Times New Roman"/>
          <w:color w:val="auto"/>
          <w:sz w:val="21"/>
          <w:szCs w:val="21"/>
        </w:rPr>
        <w:t>3.2.13.11</w:t>
      </w:r>
      <w:r>
        <w:rPr>
          <w:rFonts w:hint="eastAsia" w:ascii="Times New Roman" w:cs="Times New Roman"/>
          <w:color w:val="auto"/>
          <w:sz w:val="21"/>
          <w:szCs w:val="21"/>
        </w:rPr>
        <w:t>条。</w:t>
      </w:r>
    </w:p>
    <w:p w14:paraId="61A6347D">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含有任何来自</w:t>
      </w:r>
      <w:r>
        <w:rPr>
          <w:rFonts w:ascii="Times New Roman" w:hAnsi="Times New Roman" w:cs="Times New Roman"/>
          <w:color w:val="auto"/>
          <w:sz w:val="21"/>
          <w:szCs w:val="21"/>
        </w:rPr>
        <w:t>BSE</w:t>
      </w:r>
      <w:r>
        <w:rPr>
          <w:rFonts w:hint="eastAsia" w:ascii="Times New Roman" w:cs="Times New Roman"/>
          <w:color w:val="auto"/>
          <w:sz w:val="21"/>
          <w:szCs w:val="21"/>
        </w:rPr>
        <w:t>高发生率国家反刍动物蛋白质的骨肉粉不应在国家之间进行交易。</w:t>
      </w:r>
    </w:p>
    <w:p w14:paraId="2B24281A">
      <w:pPr>
        <w:adjustRightInd w:val="0"/>
        <w:snapToGrid w:val="0"/>
        <w:spacing w:beforeLines="50" w:line="360" w:lineRule="auto"/>
        <w:jc w:val="both"/>
        <w:rPr>
          <w:rFonts w:ascii="Times New Roman" w:cs="Times New Roman"/>
          <w:color w:val="auto"/>
          <w:sz w:val="21"/>
          <w:szCs w:val="21"/>
        </w:rPr>
      </w:pPr>
      <w:r>
        <w:rPr>
          <w:rFonts w:hint="eastAsia" w:ascii="Times New Roman" w:cs="Times New Roman"/>
          <w:color w:val="auto"/>
          <w:sz w:val="21"/>
          <w:szCs w:val="21"/>
        </w:rPr>
        <w:t>含有任何来自</w:t>
      </w:r>
      <w:r>
        <w:rPr>
          <w:rFonts w:ascii="Times New Roman" w:hAnsi="Times New Roman" w:cs="Times New Roman"/>
          <w:color w:val="auto"/>
          <w:sz w:val="21"/>
          <w:szCs w:val="21"/>
        </w:rPr>
        <w:t>BSE</w:t>
      </w:r>
      <w:r>
        <w:rPr>
          <w:rFonts w:hint="eastAsia" w:ascii="Times New Roman" w:cs="Times New Roman"/>
          <w:color w:val="auto"/>
          <w:sz w:val="21"/>
          <w:szCs w:val="21"/>
        </w:rPr>
        <w:t>低发生率国家反刍动物蛋白质的骨肉粉不应在国家之间进行用于反刍动物饲料的交易。对于其他用途，应在经过兽医管理局批准和定期控制的工厂中进行处理，验证后每个工厂可以实现附录</w:t>
      </w:r>
      <w:r>
        <w:rPr>
          <w:rFonts w:ascii="Times New Roman" w:hAnsi="Times New Roman" w:cs="Times New Roman"/>
          <w:color w:val="auto"/>
          <w:sz w:val="21"/>
          <w:szCs w:val="21"/>
        </w:rPr>
        <w:t>4.3.3.1</w:t>
      </w:r>
      <w:r>
        <w:rPr>
          <w:rFonts w:hint="eastAsia" w:ascii="Times New Roman" w:cs="Times New Roman"/>
          <w:color w:val="auto"/>
          <w:sz w:val="21"/>
          <w:szCs w:val="21"/>
        </w:rPr>
        <w:t>中描述的处理参数。</w:t>
      </w:r>
    </w:p>
    <w:p w14:paraId="674A4B17">
      <w:pPr>
        <w:adjustRightInd w:val="0"/>
        <w:snapToGrid w:val="0"/>
        <w:spacing w:beforeLines="50" w:line="360" w:lineRule="auto"/>
        <w:jc w:val="center"/>
        <w:rPr>
          <w:rFonts w:ascii="Times New Roman" w:hAnsi="Times New Roman" w:cs="Times New Roman"/>
          <w:color w:val="auto"/>
          <w:sz w:val="21"/>
          <w:szCs w:val="21"/>
        </w:rPr>
      </w:pPr>
      <w:r>
        <w:rPr>
          <w:rFonts w:hint="eastAsia" w:ascii="Times New Roman" w:cs="Times New Roman"/>
          <w:color w:val="auto"/>
          <w:sz w:val="21"/>
          <w:szCs w:val="21"/>
        </w:rPr>
        <w:t>第</w:t>
      </w:r>
      <w:r>
        <w:rPr>
          <w:rFonts w:ascii="Times New Roman" w:hAnsi="Times New Roman" w:cs="Times New Roman"/>
          <w:color w:val="auto"/>
          <w:sz w:val="21"/>
          <w:szCs w:val="21"/>
        </w:rPr>
        <w:t>3.2.13.12</w:t>
      </w:r>
      <w:r>
        <w:rPr>
          <w:rFonts w:hint="eastAsia" w:ascii="Times New Roman" w:cs="Times New Roman"/>
          <w:color w:val="auto"/>
          <w:sz w:val="21"/>
          <w:szCs w:val="21"/>
        </w:rPr>
        <w:t>条。</w:t>
      </w:r>
    </w:p>
    <w:p w14:paraId="7567851A">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来源于高发病率国家六月龄以上牛的牛脑、眼睛、脊髓、扁桃体、胸腺、脾脏和远端回肠（正在研究的组织）以及蛋白质产品等，不应在国家之间进行交易。</w:t>
      </w:r>
    </w:p>
    <w:p w14:paraId="13B95DBA">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hint="eastAsia" w:ascii="Times New Roman" w:cs="Times New Roman"/>
          <w:color w:val="auto"/>
          <w:sz w:val="21"/>
          <w:szCs w:val="21"/>
        </w:rPr>
        <w:t>来源于低发病率国家六月龄以上且在</w:t>
      </w:r>
      <w:r>
        <w:rPr>
          <w:rFonts w:ascii="Times New Roman" w:hAnsi="Times New Roman" w:cs="Times New Roman"/>
          <w:color w:val="auto"/>
          <w:sz w:val="21"/>
          <w:szCs w:val="21"/>
        </w:rPr>
        <w:t>“</w:t>
      </w:r>
      <w:r>
        <w:rPr>
          <w:rFonts w:hint="eastAsia" w:ascii="Times New Roman" w:cs="Times New Roman"/>
          <w:color w:val="auto"/>
          <w:sz w:val="21"/>
          <w:szCs w:val="21"/>
        </w:rPr>
        <w:t>饲料禁令</w:t>
      </w:r>
      <w:r>
        <w:rPr>
          <w:rFonts w:ascii="Times New Roman" w:hAnsi="Times New Roman" w:cs="Times New Roman"/>
          <w:color w:val="auto"/>
          <w:sz w:val="21"/>
          <w:szCs w:val="21"/>
        </w:rPr>
        <w:t>”</w:t>
      </w:r>
      <w:r>
        <w:rPr>
          <w:rFonts w:hint="eastAsia" w:ascii="Times New Roman" w:cs="Times New Roman"/>
          <w:color w:val="auto"/>
          <w:sz w:val="21"/>
          <w:szCs w:val="21"/>
        </w:rPr>
        <w:t>（参考第</w:t>
      </w:r>
      <w:r>
        <w:rPr>
          <w:rFonts w:ascii="Times New Roman" w:hAnsi="Times New Roman" w:cs="Times New Roman"/>
          <w:color w:val="auto"/>
          <w:sz w:val="21"/>
          <w:szCs w:val="21"/>
        </w:rPr>
        <w:t>3.2.13.4</w:t>
      </w:r>
      <w:r>
        <w:rPr>
          <w:rFonts w:hint="eastAsia" w:ascii="Times New Roman" w:cs="Times New Roman"/>
          <w:color w:val="auto"/>
          <w:sz w:val="21"/>
          <w:szCs w:val="21"/>
        </w:rPr>
        <w:t>条的第</w:t>
      </w:r>
      <w:r>
        <w:rPr>
          <w:rFonts w:ascii="Times New Roman" w:hAnsi="Times New Roman" w:cs="Times New Roman"/>
          <w:color w:val="auto"/>
          <w:sz w:val="21"/>
          <w:szCs w:val="21"/>
        </w:rPr>
        <w:t>5</w:t>
      </w:r>
      <w:r>
        <w:rPr>
          <w:rFonts w:hint="eastAsia" w:ascii="Times New Roman" w:cs="Times New Roman"/>
          <w:color w:val="auto"/>
          <w:sz w:val="21"/>
          <w:szCs w:val="21"/>
        </w:rPr>
        <w:t>点））有效实施日之前出生牛的牛脑、眼睛、脊髓和远端回肠（正在研究的组织）以及蛋白质产品等，除非符合第</w:t>
      </w:r>
      <w:r>
        <w:rPr>
          <w:rFonts w:ascii="Times New Roman" w:hAnsi="Times New Roman" w:cs="Times New Roman"/>
          <w:color w:val="auto"/>
          <w:sz w:val="21"/>
          <w:szCs w:val="21"/>
        </w:rPr>
        <w:t>3.2.13.11</w:t>
      </w:r>
      <w:r>
        <w:rPr>
          <w:rFonts w:hint="eastAsia" w:ascii="Times New Roman" w:cs="Times New Roman"/>
          <w:color w:val="auto"/>
          <w:sz w:val="21"/>
          <w:szCs w:val="21"/>
        </w:rPr>
        <w:t>条的规定，否则不得在国家之间进行交易。</w:t>
      </w:r>
    </w:p>
    <w:p w14:paraId="27478E58">
      <w:pPr>
        <w:adjustRightInd w:val="0"/>
        <w:snapToGrid w:val="0"/>
        <w:spacing w:beforeLines="50" w:line="360" w:lineRule="auto"/>
        <w:jc w:val="center"/>
        <w:rPr>
          <w:rFonts w:ascii="Times New Roman" w:hAnsi="Times New Roman" w:cs="Times New Roman"/>
          <w:color w:val="auto"/>
          <w:sz w:val="21"/>
          <w:szCs w:val="21"/>
        </w:rPr>
      </w:pPr>
      <w:r>
        <w:rPr>
          <w:rFonts w:hint="eastAsia" w:ascii="Times New Roman" w:cs="Times New Roman"/>
          <w:color w:val="auto"/>
          <w:sz w:val="21"/>
          <w:szCs w:val="21"/>
        </w:rPr>
        <w:t>第</w:t>
      </w:r>
      <w:r>
        <w:rPr>
          <w:rFonts w:ascii="Times New Roman" w:hAnsi="Times New Roman" w:cs="Times New Roman"/>
          <w:color w:val="auto"/>
          <w:sz w:val="21"/>
          <w:szCs w:val="21"/>
        </w:rPr>
        <w:t>3.2.13.13</w:t>
      </w:r>
      <w:r>
        <w:rPr>
          <w:rFonts w:hint="eastAsia" w:ascii="Times New Roman" w:cs="Times New Roman"/>
          <w:color w:val="auto"/>
          <w:sz w:val="21"/>
          <w:szCs w:val="21"/>
        </w:rPr>
        <w:t>条。</w:t>
      </w:r>
    </w:p>
    <w:p w14:paraId="52F43DAE">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仔细选择原材料是确保药用产品生产中所用牛源成分或试剂有最大安全性的最佳方法。</w:t>
      </w:r>
    </w:p>
    <w:p w14:paraId="39C05AA8">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因此，为了这些目的而进口牛源材料的国家应考虑以下因素：</w:t>
      </w:r>
    </w:p>
    <w:p w14:paraId="2801506E">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1</w:t>
      </w:r>
      <w:r>
        <w:rPr>
          <w:rFonts w:hint="eastAsia" w:ascii="Times New Roman" w:cs="Times New Roman"/>
          <w:color w:val="auto"/>
          <w:sz w:val="21"/>
          <w:szCs w:val="21"/>
        </w:rPr>
        <w:t>）饲养动物的国家和牛群的</w:t>
      </w:r>
      <w:r>
        <w:rPr>
          <w:rFonts w:ascii="Times New Roman" w:hAnsi="Times New Roman" w:cs="Times New Roman"/>
          <w:color w:val="auto"/>
          <w:sz w:val="21"/>
          <w:szCs w:val="21"/>
        </w:rPr>
        <w:t>BSE</w:t>
      </w:r>
      <w:r>
        <w:rPr>
          <w:rFonts w:hint="eastAsia" w:ascii="Times New Roman" w:cs="Times New Roman"/>
          <w:color w:val="auto"/>
          <w:sz w:val="21"/>
          <w:szCs w:val="21"/>
        </w:rPr>
        <w:t>状况，根据第</w:t>
      </w:r>
      <w:r>
        <w:rPr>
          <w:rFonts w:ascii="Times New Roman" w:hAnsi="Times New Roman" w:cs="Times New Roman"/>
          <w:color w:val="auto"/>
          <w:sz w:val="21"/>
          <w:szCs w:val="21"/>
        </w:rPr>
        <w:t>3.2.13.1</w:t>
      </w:r>
      <w:r>
        <w:rPr>
          <w:rFonts w:hint="eastAsia" w:ascii="Times New Roman" w:cs="Times New Roman"/>
          <w:color w:val="auto"/>
          <w:sz w:val="21"/>
          <w:szCs w:val="21"/>
        </w:rPr>
        <w:t>条和第</w:t>
      </w:r>
      <w:r>
        <w:rPr>
          <w:rFonts w:ascii="Times New Roman" w:hAnsi="Times New Roman" w:cs="Times New Roman"/>
          <w:color w:val="auto"/>
          <w:sz w:val="21"/>
          <w:szCs w:val="21"/>
        </w:rPr>
        <w:t>3.2.13.2</w:t>
      </w:r>
      <w:r>
        <w:rPr>
          <w:rFonts w:hint="eastAsia" w:ascii="Times New Roman" w:cs="Times New Roman"/>
          <w:color w:val="auto"/>
          <w:sz w:val="21"/>
          <w:szCs w:val="21"/>
        </w:rPr>
        <w:t>条的规定来确定；</w:t>
      </w:r>
    </w:p>
    <w:p w14:paraId="346446E8">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2</w:t>
      </w:r>
      <w:r>
        <w:rPr>
          <w:rFonts w:hint="eastAsia" w:ascii="Times New Roman" w:cs="Times New Roman"/>
          <w:color w:val="auto"/>
          <w:sz w:val="21"/>
          <w:szCs w:val="21"/>
        </w:rPr>
        <w:t>）供体动物的年龄；</w:t>
      </w:r>
    </w:p>
    <w:p w14:paraId="1F2B048D">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3</w:t>
      </w:r>
      <w:r>
        <w:rPr>
          <w:rFonts w:hint="eastAsia" w:ascii="Times New Roman" w:cs="Times New Roman"/>
          <w:color w:val="auto"/>
          <w:sz w:val="21"/>
          <w:szCs w:val="21"/>
        </w:rPr>
        <w:t>）所需的组织以及它们是否将被合并或来源于单个动物。</w:t>
      </w:r>
    </w:p>
    <w:p w14:paraId="72547605">
      <w:pPr>
        <w:adjustRightInd w:val="0"/>
        <w:snapToGrid w:val="0"/>
        <w:spacing w:beforeLines="50"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在评估</w:t>
      </w:r>
      <w:r>
        <w:rPr>
          <w:rFonts w:ascii="Times New Roman" w:hAnsi="Times New Roman" w:cs="Times New Roman"/>
          <w:color w:val="auto"/>
          <w:sz w:val="21"/>
          <w:szCs w:val="21"/>
        </w:rPr>
        <w:t>BSE</w:t>
      </w:r>
      <w:r>
        <w:rPr>
          <w:rFonts w:hint="eastAsia" w:ascii="Times New Roman" w:cs="Times New Roman"/>
          <w:color w:val="auto"/>
          <w:sz w:val="21"/>
          <w:szCs w:val="21"/>
        </w:rPr>
        <w:t>风险时可能还要考虑其他因素，即：</w:t>
      </w:r>
    </w:p>
    <w:p w14:paraId="5AC3D54B">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1</w:t>
      </w:r>
      <w:r>
        <w:rPr>
          <w:rFonts w:hint="eastAsia" w:ascii="Times New Roman" w:cs="Times New Roman"/>
          <w:color w:val="auto"/>
          <w:sz w:val="21"/>
          <w:szCs w:val="21"/>
        </w:rPr>
        <w:t>）避免组织收集时被污染的预防措施</w:t>
      </w:r>
      <w:r>
        <w:rPr>
          <w:rFonts w:ascii="Times New Roman" w:hAnsi="Times New Roman" w:cs="Times New Roman"/>
          <w:color w:val="auto"/>
          <w:sz w:val="21"/>
          <w:szCs w:val="21"/>
        </w:rPr>
        <w:t>;</w:t>
      </w:r>
    </w:p>
    <w:p w14:paraId="1BE5493F">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2</w:t>
      </w:r>
      <w:r>
        <w:rPr>
          <w:rFonts w:hint="eastAsia" w:ascii="Times New Roman" w:cs="Times New Roman"/>
          <w:color w:val="auto"/>
          <w:sz w:val="21"/>
          <w:szCs w:val="21"/>
        </w:rPr>
        <w:t>）生产过程中材料接受的处理；</w:t>
      </w:r>
    </w:p>
    <w:p w14:paraId="7989EC4F">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3</w:t>
      </w:r>
      <w:r>
        <w:rPr>
          <w:rFonts w:hint="eastAsia" w:ascii="Times New Roman" w:cs="Times New Roman"/>
          <w:color w:val="auto"/>
          <w:sz w:val="21"/>
          <w:szCs w:val="21"/>
        </w:rPr>
        <w:t>）待管理材料的数量；</w:t>
      </w:r>
    </w:p>
    <w:p w14:paraId="6A998B64">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4</w:t>
      </w:r>
      <w:r>
        <w:rPr>
          <w:rFonts w:hint="eastAsia" w:ascii="Times New Roman" w:cs="Times New Roman"/>
          <w:color w:val="auto"/>
          <w:sz w:val="21"/>
          <w:szCs w:val="21"/>
        </w:rPr>
        <w:t>）使用途径。</w:t>
      </w:r>
    </w:p>
    <w:p w14:paraId="25E51E42">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vertAlign w:val="superscript"/>
        </w:rPr>
        <w:t>1</w:t>
      </w:r>
      <w:r>
        <w:rPr>
          <w:rFonts w:ascii="Times New Roman" w:hAnsi="Times New Roman" w:cs="Times New Roman"/>
          <w:color w:val="auto"/>
          <w:sz w:val="21"/>
          <w:szCs w:val="21"/>
        </w:rPr>
        <w:t>Shrieber, R. 1997.</w:t>
      </w:r>
      <w:r>
        <w:rPr>
          <w:rFonts w:hint="eastAsia" w:ascii="Times New Roman" w:cs="Times New Roman"/>
          <w:color w:val="auto"/>
          <w:sz w:val="21"/>
          <w:szCs w:val="21"/>
        </w:rPr>
        <w:t>介绍</w:t>
      </w:r>
      <w:r>
        <w:rPr>
          <w:rFonts w:ascii="Times New Roman" w:hAnsi="Times New Roman" w:cs="Times New Roman"/>
          <w:color w:val="auto"/>
          <w:sz w:val="21"/>
          <w:szCs w:val="21"/>
        </w:rPr>
        <w:t>FDA</w:t>
      </w:r>
      <w:r>
        <w:rPr>
          <w:rFonts w:hint="eastAsia" w:ascii="Times New Roman" w:cs="Times New Roman"/>
          <w:color w:val="auto"/>
          <w:sz w:val="21"/>
          <w:szCs w:val="21"/>
        </w:rPr>
        <w:t>传染性海绵状脑病咨询委员会，</w:t>
      </w:r>
      <w:r>
        <w:rPr>
          <w:rFonts w:ascii="Times New Roman" w:hAnsi="Times New Roman" w:cs="Times New Roman"/>
          <w:color w:val="auto"/>
          <w:sz w:val="21"/>
          <w:szCs w:val="21"/>
        </w:rPr>
        <w:t>1997</w:t>
      </w:r>
      <w:r>
        <w:rPr>
          <w:rFonts w:hint="eastAsia" w:ascii="Times New Roman" w:cs="Times New Roman"/>
          <w:color w:val="auto"/>
          <w:sz w:val="21"/>
          <w:szCs w:val="21"/>
        </w:rPr>
        <w:t>年</w:t>
      </w:r>
      <w:r>
        <w:rPr>
          <w:rFonts w:ascii="Times New Roman" w:hAnsi="Times New Roman" w:cs="Times New Roman"/>
          <w:color w:val="auto"/>
          <w:sz w:val="21"/>
          <w:szCs w:val="21"/>
        </w:rPr>
        <w:t>4</w:t>
      </w:r>
      <w:r>
        <w:rPr>
          <w:rFonts w:hint="eastAsia" w:ascii="Times New Roman" w:cs="Times New Roman"/>
          <w:color w:val="auto"/>
          <w:sz w:val="21"/>
          <w:szCs w:val="21"/>
        </w:rPr>
        <w:t>月</w:t>
      </w:r>
      <w:r>
        <w:rPr>
          <w:rFonts w:ascii="Times New Roman" w:hAnsi="Times New Roman" w:cs="Times New Roman"/>
          <w:color w:val="auto"/>
          <w:sz w:val="21"/>
          <w:szCs w:val="21"/>
        </w:rPr>
        <w:t>23</w:t>
      </w:r>
      <w:r>
        <w:rPr>
          <w:rFonts w:hint="eastAsia" w:ascii="Times New Roman" w:cs="Times New Roman"/>
          <w:color w:val="auto"/>
          <w:sz w:val="21"/>
          <w:szCs w:val="21"/>
        </w:rPr>
        <w:t>日。可自由从硬拷贝或磁盘上获取转录信息，</w:t>
      </w:r>
      <w:r>
        <w:rPr>
          <w:rFonts w:ascii="Times New Roman" w:hAnsi="Times New Roman" w:cs="Times New Roman"/>
          <w:color w:val="auto"/>
          <w:sz w:val="21"/>
          <w:szCs w:val="21"/>
        </w:rPr>
        <w:t>HFI-35</w:t>
      </w:r>
      <w:r>
        <w:rPr>
          <w:rFonts w:hint="eastAsia" w:ascii="Times New Roman" w:cs="Times New Roman"/>
          <w:color w:val="auto"/>
          <w:sz w:val="21"/>
          <w:szCs w:val="21"/>
        </w:rPr>
        <w:t>，食品药品管理局，</w:t>
      </w:r>
      <w:r>
        <w:rPr>
          <w:rFonts w:ascii="Times New Roman" w:hAnsi="Times New Roman" w:cs="Times New Roman"/>
          <w:color w:val="auto"/>
          <w:sz w:val="21"/>
          <w:szCs w:val="21"/>
        </w:rPr>
        <w:t>Rockville</w:t>
      </w:r>
      <w:r>
        <w:rPr>
          <w:rFonts w:hint="eastAsia" w:ascii="Times New Roman" w:cs="Times New Roman"/>
          <w:color w:val="auto"/>
          <w:sz w:val="21"/>
          <w:szCs w:val="21"/>
        </w:rPr>
        <w:t>，</w:t>
      </w:r>
      <w:r>
        <w:rPr>
          <w:rFonts w:ascii="Times New Roman" w:hAnsi="Times New Roman" w:cs="Times New Roman"/>
          <w:color w:val="auto"/>
          <w:sz w:val="21"/>
          <w:szCs w:val="21"/>
        </w:rPr>
        <w:t>MD 20857</w:t>
      </w:r>
      <w:r>
        <w:rPr>
          <w:rFonts w:hint="eastAsia" w:ascii="Times New Roman" w:cs="Times New Roman"/>
          <w:color w:val="auto"/>
          <w:sz w:val="21"/>
          <w:szCs w:val="21"/>
        </w:rPr>
        <w:t>。</w:t>
      </w:r>
    </w:p>
    <w:p w14:paraId="754A94F5">
      <w:pPr>
        <w:adjustRightInd w:val="0"/>
        <w:snapToGrid w:val="0"/>
        <w:spacing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vertAlign w:val="superscript"/>
        </w:rPr>
        <w:t>2</w:t>
      </w:r>
      <w:r>
        <w:rPr>
          <w:rFonts w:hint="eastAsia" w:ascii="Times New Roman" w:cs="Times New Roman"/>
          <w:color w:val="auto"/>
          <w:sz w:val="21"/>
          <w:szCs w:val="21"/>
        </w:rPr>
        <w:t>国际兽疫局。</w:t>
      </w:r>
      <w:r>
        <w:rPr>
          <w:rFonts w:ascii="Times New Roman" w:hAnsi="Times New Roman" w:cs="Times New Roman"/>
          <w:color w:val="auto"/>
          <w:sz w:val="21"/>
          <w:szCs w:val="21"/>
        </w:rPr>
        <w:t>1997</w:t>
      </w:r>
      <w:r>
        <w:rPr>
          <w:rFonts w:hint="eastAsia" w:ascii="Times New Roman" w:cs="Times New Roman"/>
          <w:color w:val="auto"/>
          <w:sz w:val="21"/>
          <w:szCs w:val="21"/>
        </w:rPr>
        <w:t>年。国际动物卫生法典，特刊，第</w:t>
      </w:r>
      <w:r>
        <w:rPr>
          <w:rFonts w:ascii="Times New Roman" w:hAnsi="Times New Roman" w:cs="Times New Roman"/>
          <w:color w:val="auto"/>
          <w:sz w:val="21"/>
          <w:szCs w:val="21"/>
        </w:rPr>
        <w:t>3.2.13</w:t>
      </w:r>
      <w:r>
        <w:rPr>
          <w:rFonts w:hint="eastAsia" w:ascii="Times New Roman" w:cs="Times New Roman"/>
          <w:color w:val="auto"/>
          <w:sz w:val="21"/>
          <w:szCs w:val="21"/>
        </w:rPr>
        <w:t>章，第</w:t>
      </w:r>
      <w:r>
        <w:rPr>
          <w:rFonts w:ascii="Times New Roman" w:hAnsi="Times New Roman" w:cs="Times New Roman"/>
          <w:color w:val="auto"/>
          <w:sz w:val="21"/>
          <w:szCs w:val="21"/>
        </w:rPr>
        <w:t>267-274</w:t>
      </w:r>
      <w:r>
        <w:rPr>
          <w:rFonts w:hint="eastAsia" w:ascii="Times New Roman" w:cs="Times New Roman"/>
          <w:color w:val="auto"/>
          <w:sz w:val="21"/>
          <w:szCs w:val="21"/>
        </w:rPr>
        <w:t>页，巴黎。</w:t>
      </w:r>
    </w:p>
    <w:p w14:paraId="4536BD15">
      <w:pPr>
        <w:widowControl/>
        <w:adjustRightInd w:val="0"/>
        <w:snapToGrid w:val="0"/>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br w:type="page"/>
      </w:r>
    </w:p>
    <w:p w14:paraId="710A6396">
      <w:pPr>
        <w:adjustRightInd w:val="0"/>
        <w:snapToGrid w:val="0"/>
        <w:spacing w:line="360" w:lineRule="auto"/>
        <w:jc w:val="both"/>
        <w:rPr>
          <w:rFonts w:ascii="Times New Roman" w:hAnsi="Times New Roman" w:cs="Times New Roman"/>
          <w:i/>
          <w:color w:val="auto"/>
          <w:sz w:val="21"/>
          <w:szCs w:val="21"/>
        </w:rPr>
      </w:pPr>
      <w:r>
        <w:rPr>
          <w:rFonts w:hint="eastAsia" w:ascii="Times New Roman" w:cs="Times New Roman"/>
          <w:i/>
          <w:color w:val="auto"/>
          <w:sz w:val="21"/>
          <w:szCs w:val="21"/>
        </w:rPr>
        <w:t>转载自国际兽疫局的许可。</w:t>
      </w:r>
    </w:p>
    <w:p w14:paraId="660EB8C1">
      <w:pPr>
        <w:shd w:val="clear" w:color="auto" w:fill="000000"/>
        <w:adjustRightInd w:val="0"/>
        <w:snapToGrid w:val="0"/>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FDA</w:t>
      </w:r>
      <w:r>
        <w:rPr>
          <w:rFonts w:hint="eastAsia" w:ascii="Times New Roman" w:cs="Times New Roman"/>
          <w:color w:val="auto"/>
          <w:sz w:val="21"/>
          <w:szCs w:val="21"/>
        </w:rPr>
        <w:t>主页</w:t>
      </w:r>
    </w:p>
    <w:p w14:paraId="71E7F332">
      <w:pPr>
        <w:adjustRightInd w:val="0"/>
        <w:snapToGrid w:val="0"/>
        <w:spacing w:line="360" w:lineRule="auto"/>
        <w:jc w:val="both"/>
        <w:outlineLvl w:val="3"/>
        <w:rPr>
          <w:rFonts w:ascii="Times New Roman" w:cs="Times New Roman"/>
          <w:i/>
          <w:color w:val="auto"/>
          <w:sz w:val="21"/>
          <w:szCs w:val="21"/>
        </w:rPr>
      </w:pPr>
      <w:r>
        <w:rPr>
          <w:rFonts w:ascii="Times New Roman" w:hAnsi="Times New Roman" w:cs="Times New Roman"/>
          <w:i/>
          <w:color w:val="auto"/>
          <w:sz w:val="21"/>
          <w:szCs w:val="21"/>
        </w:rPr>
        <w:t>1997</w:t>
      </w:r>
      <w:r>
        <w:rPr>
          <w:rFonts w:hint="eastAsia" w:ascii="Times New Roman" w:cs="Times New Roman"/>
          <w:i/>
          <w:color w:val="auto"/>
          <w:sz w:val="21"/>
          <w:szCs w:val="21"/>
        </w:rPr>
        <w:t>年</w:t>
      </w:r>
      <w:r>
        <w:rPr>
          <w:rFonts w:ascii="Times New Roman" w:hAnsi="Times New Roman" w:cs="Times New Roman"/>
          <w:i/>
          <w:color w:val="auto"/>
          <w:sz w:val="21"/>
          <w:szCs w:val="21"/>
        </w:rPr>
        <w:t>9</w:t>
      </w:r>
      <w:r>
        <w:rPr>
          <w:rFonts w:hint="eastAsia" w:ascii="Times New Roman" w:cs="Times New Roman"/>
          <w:i/>
          <w:color w:val="auto"/>
          <w:sz w:val="21"/>
          <w:szCs w:val="21"/>
        </w:rPr>
        <w:t>月</w:t>
      </w:r>
    </w:p>
    <w:p w14:paraId="71F813B5">
      <w:pPr>
        <w:adjustRightInd w:val="0"/>
        <w:snapToGrid w:val="0"/>
        <w:spacing w:line="360" w:lineRule="auto"/>
        <w:jc w:val="both"/>
        <w:outlineLvl w:val="3"/>
        <w:rPr>
          <w:rFonts w:ascii="Times New Roman" w:hAnsi="Times New Roman" w:cs="Times New Roman"/>
          <w:color w:val="auto"/>
          <w:sz w:val="21"/>
          <w:szCs w:val="21"/>
        </w:rPr>
        <w:sectPr>
          <w:headerReference r:id="rId6" w:type="default"/>
          <w:pgSz w:w="11909" w:h="16834"/>
          <w:pgMar w:top="1440" w:right="1797" w:bottom="1440" w:left="1797" w:header="567" w:footer="567" w:gutter="0"/>
          <w:pgNumType w:start="2"/>
          <w:cols w:space="720" w:num="1"/>
          <w:docGrid w:linePitch="360" w:charSpace="0"/>
        </w:sectPr>
      </w:pPr>
    </w:p>
    <w:p w14:paraId="3C2BEC4E">
      <w:pPr>
        <w:adjustRightInd w:val="0"/>
        <w:snapToGrid w:val="0"/>
        <w:spacing w:line="360" w:lineRule="auto"/>
        <w:jc w:val="both"/>
        <w:outlineLvl w:val="3"/>
        <w:rPr>
          <w:rFonts w:ascii="Times New Roman" w:hAnsi="Times New Roman" w:cs="Times New Roman"/>
          <w:color w:val="auto"/>
          <w:sz w:val="18"/>
          <w:szCs w:val="18"/>
        </w:rPr>
      </w:pPr>
      <w:bookmarkStart w:id="9" w:name="bookmark15"/>
      <w:r>
        <w:rPr>
          <w:rFonts w:hint="eastAsia" w:ascii="Times New Roman" w:cs="Times New Roman"/>
          <w:color w:val="auto"/>
          <w:sz w:val="18"/>
          <w:szCs w:val="18"/>
        </w:rPr>
        <w:t>附件</w:t>
      </w:r>
      <w:r>
        <w:rPr>
          <w:rFonts w:ascii="Times New Roman" w:hAnsi="Times New Roman" w:cs="Times New Roman"/>
          <w:color w:val="auto"/>
          <w:sz w:val="18"/>
          <w:szCs w:val="18"/>
        </w:rPr>
        <w:t>5</w:t>
      </w:r>
    </w:p>
    <w:p w14:paraId="1E9663E0">
      <w:pPr>
        <w:adjustRightInd w:val="0"/>
        <w:snapToGrid w:val="0"/>
        <w:spacing w:line="360" w:lineRule="auto"/>
        <w:jc w:val="center"/>
        <w:outlineLvl w:val="3"/>
        <w:rPr>
          <w:rFonts w:ascii="Times New Roman" w:hAnsi="Times New Roman" w:cs="Times New Roman"/>
          <w:b/>
          <w:color w:val="auto"/>
        </w:rPr>
      </w:pPr>
      <w:r>
        <w:rPr>
          <w:rFonts w:ascii="Times New Roman" w:hAnsi="Times New Roman" w:cs="Times New Roman"/>
          <w:b/>
          <w:color w:val="auto"/>
        </w:rPr>
        <w:t>FDA</w:t>
      </w:r>
      <w:r>
        <w:rPr>
          <w:rFonts w:hint="eastAsia" w:ascii="Times New Roman" w:cs="Times New Roman"/>
          <w:b/>
          <w:color w:val="auto"/>
        </w:rPr>
        <w:t>动物产品数据库</w:t>
      </w:r>
      <w:bookmarkEnd w:id="9"/>
    </w:p>
    <w:p w14:paraId="2CA6D00C">
      <w:pPr>
        <w:adjustRightInd w:val="0"/>
        <w:snapToGrid w:val="0"/>
        <w:spacing w:line="360" w:lineRule="auto"/>
        <w:jc w:val="center"/>
        <w:rPr>
          <w:rFonts w:ascii="Times New Roman" w:hAnsi="Times New Roman" w:cs="Times New Roman"/>
          <w:b/>
          <w:color w:val="auto"/>
          <w:sz w:val="21"/>
          <w:szCs w:val="21"/>
        </w:rPr>
      </w:pPr>
      <w:r>
        <w:rPr>
          <w:rFonts w:hint="eastAsia" w:ascii="Times New Roman" w:cs="Times New Roman"/>
          <w:b/>
          <w:color w:val="auto"/>
          <w:sz w:val="21"/>
          <w:szCs w:val="21"/>
        </w:rPr>
        <w:t>对于每个动物源产品器械，请填写一个器械备识别表单。</w:t>
      </w:r>
    </w:p>
    <w:p w14:paraId="21E72365">
      <w:pPr>
        <w:adjustRightInd w:val="0"/>
        <w:snapToGrid w:val="0"/>
        <w:spacing w:line="360" w:lineRule="auto"/>
        <w:jc w:val="center"/>
        <w:rPr>
          <w:rFonts w:ascii="Times New Roman" w:hAnsi="Times New Roman" w:cs="Times New Roman"/>
          <w:b/>
          <w:color w:val="auto"/>
          <w:sz w:val="21"/>
          <w:szCs w:val="21"/>
        </w:rPr>
      </w:pPr>
      <w:r>
        <w:rPr>
          <w:rFonts w:hint="eastAsia" w:ascii="Times New Roman" w:cs="Times New Roman"/>
          <w:b/>
          <w:color w:val="auto"/>
          <w:sz w:val="21"/>
          <w:szCs w:val="21"/>
        </w:rPr>
        <w:t>对于器械中的每个动物产品或组件，请填写一个材料信息表单</w:t>
      </w:r>
      <w:r>
        <w:rPr>
          <w:rFonts w:ascii="Times New Roman" w:hAnsi="Times New Roman" w:cs="Times New Roman"/>
          <w:b/>
          <w:color w:val="auto"/>
          <w:sz w:val="21"/>
          <w:szCs w:val="21"/>
        </w:rPr>
        <w:br w:type="textWrapping"/>
      </w:r>
      <w:bookmarkStart w:id="10" w:name="bookmark16"/>
      <w:r>
        <w:rPr>
          <w:rFonts w:hint="eastAsia" w:ascii="Times New Roman" w:cs="Times New Roman"/>
          <w:b/>
          <w:color w:val="auto"/>
          <w:sz w:val="21"/>
          <w:szCs w:val="21"/>
        </w:rPr>
        <w:t>器械识别信息</w:t>
      </w:r>
      <w:bookmarkEnd w:id="10"/>
    </w:p>
    <w:tbl>
      <w:tblPr>
        <w:tblStyle w:val="8"/>
        <w:tblW w:w="0" w:type="auto"/>
        <w:tblInd w:w="5" w:type="dxa"/>
        <w:tblLayout w:type="fixed"/>
        <w:tblCellMar>
          <w:top w:w="0" w:type="dxa"/>
          <w:left w:w="108" w:type="dxa"/>
          <w:bottom w:w="0" w:type="dxa"/>
          <w:right w:w="108" w:type="dxa"/>
        </w:tblCellMar>
      </w:tblPr>
      <w:tblGrid>
        <w:gridCol w:w="4666"/>
        <w:gridCol w:w="3854"/>
      </w:tblGrid>
      <w:tr w14:paraId="4C7E6D3B">
        <w:tblPrEx>
          <w:tblCellMar>
            <w:top w:w="0" w:type="dxa"/>
            <w:left w:w="108" w:type="dxa"/>
            <w:bottom w:w="0" w:type="dxa"/>
            <w:right w:w="108" w:type="dxa"/>
          </w:tblCellMar>
        </w:tblPrEx>
        <w:tc>
          <w:tcPr>
            <w:tcW w:w="8520" w:type="dxa"/>
            <w:gridSpan w:val="2"/>
            <w:tcBorders>
              <w:top w:val="single" w:color="auto" w:sz="4" w:space="0"/>
              <w:left w:val="single" w:color="auto" w:sz="4" w:space="0"/>
              <w:bottom w:val="nil"/>
              <w:right w:val="single" w:color="auto" w:sz="4" w:space="0"/>
            </w:tcBorders>
            <w:shd w:val="clear" w:color="auto" w:fill="FFFFFF"/>
          </w:tcPr>
          <w:p w14:paraId="260C2F8D">
            <w:pPr>
              <w:adjustRightInd w:val="0"/>
              <w:snapToGrid w:val="0"/>
              <w:spacing w:line="360" w:lineRule="auto"/>
              <w:jc w:val="both"/>
              <w:rPr>
                <w:rFonts w:ascii="Times New Roman" w:hAnsi="Times New Roman" w:cs="Times New Roman"/>
                <w:color w:val="auto"/>
                <w:sz w:val="18"/>
                <w:szCs w:val="18"/>
              </w:rPr>
            </w:pPr>
            <w:r>
              <w:rPr>
                <w:rFonts w:hint="eastAsia" w:ascii="Times New Roman" w:cs="Times New Roman"/>
                <w:color w:val="auto"/>
                <w:sz w:val="18"/>
                <w:szCs w:val="18"/>
              </w:rPr>
              <w:t>生产商名称：</w:t>
            </w:r>
          </w:p>
        </w:tc>
      </w:tr>
      <w:tr w14:paraId="2F90D11A">
        <w:tblPrEx>
          <w:tblCellMar>
            <w:top w:w="0" w:type="dxa"/>
            <w:left w:w="108" w:type="dxa"/>
            <w:bottom w:w="0" w:type="dxa"/>
            <w:right w:w="108" w:type="dxa"/>
          </w:tblCellMar>
        </w:tblPrEx>
        <w:tc>
          <w:tcPr>
            <w:tcW w:w="4666" w:type="dxa"/>
            <w:tcBorders>
              <w:top w:val="single" w:color="auto" w:sz="4" w:space="0"/>
              <w:left w:val="single" w:color="auto" w:sz="4" w:space="0"/>
              <w:bottom w:val="nil"/>
              <w:right w:val="nil"/>
            </w:tcBorders>
            <w:shd w:val="clear" w:color="auto" w:fill="FFFFFF"/>
          </w:tcPr>
          <w:p w14:paraId="28BA8A73">
            <w:pPr>
              <w:adjustRightInd w:val="0"/>
              <w:snapToGrid w:val="0"/>
              <w:spacing w:line="360" w:lineRule="auto"/>
              <w:jc w:val="both"/>
              <w:rPr>
                <w:rFonts w:ascii="Times New Roman" w:hAnsi="Times New Roman" w:cs="Times New Roman"/>
                <w:color w:val="auto"/>
                <w:sz w:val="18"/>
                <w:szCs w:val="18"/>
              </w:rPr>
            </w:pPr>
            <w:r>
              <w:rPr>
                <w:rFonts w:hint="eastAsia" w:ascii="Times New Roman" w:cs="Times New Roman"/>
                <w:color w:val="auto"/>
                <w:sz w:val="18"/>
                <w:szCs w:val="18"/>
              </w:rPr>
              <w:t>提交编号</w:t>
            </w:r>
          </w:p>
        </w:tc>
        <w:tc>
          <w:tcPr>
            <w:tcW w:w="3854" w:type="dxa"/>
            <w:tcBorders>
              <w:top w:val="single" w:color="auto" w:sz="4" w:space="0"/>
              <w:left w:val="nil"/>
              <w:bottom w:val="nil"/>
              <w:right w:val="single" w:color="auto" w:sz="4" w:space="0"/>
            </w:tcBorders>
            <w:shd w:val="clear" w:color="auto" w:fill="FFFFFF"/>
          </w:tcPr>
          <w:p w14:paraId="742CDB6A">
            <w:pPr>
              <w:adjustRightInd w:val="0"/>
              <w:snapToGrid w:val="0"/>
              <w:spacing w:line="36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ODE </w:t>
            </w:r>
            <w:r>
              <w:rPr>
                <w:rFonts w:hint="eastAsia" w:ascii="Times New Roman" w:cs="Times New Roman"/>
                <w:color w:val="auto"/>
                <w:sz w:val="18"/>
                <w:szCs w:val="18"/>
              </w:rPr>
              <w:t>部</w:t>
            </w:r>
          </w:p>
        </w:tc>
      </w:tr>
      <w:tr w14:paraId="6E0703C6">
        <w:tblPrEx>
          <w:tblCellMar>
            <w:top w:w="0" w:type="dxa"/>
            <w:left w:w="108" w:type="dxa"/>
            <w:bottom w:w="0" w:type="dxa"/>
            <w:right w:w="108" w:type="dxa"/>
          </w:tblCellMar>
        </w:tblPrEx>
        <w:tc>
          <w:tcPr>
            <w:tcW w:w="4666" w:type="dxa"/>
            <w:tcBorders>
              <w:top w:val="single" w:color="auto" w:sz="4" w:space="0"/>
              <w:left w:val="single" w:color="auto" w:sz="4" w:space="0"/>
              <w:bottom w:val="nil"/>
              <w:right w:val="nil"/>
            </w:tcBorders>
            <w:shd w:val="clear" w:color="auto" w:fill="FFFFFF"/>
          </w:tcPr>
          <w:p w14:paraId="11FEB0B2">
            <w:pPr>
              <w:adjustRightInd w:val="0"/>
              <w:snapToGrid w:val="0"/>
              <w:spacing w:line="360" w:lineRule="auto"/>
              <w:jc w:val="both"/>
              <w:rPr>
                <w:rFonts w:ascii="Times New Roman" w:hAnsi="Times New Roman" w:cs="Times New Roman"/>
                <w:color w:val="auto"/>
                <w:sz w:val="18"/>
                <w:szCs w:val="18"/>
              </w:rPr>
            </w:pPr>
            <w:r>
              <w:rPr>
                <w:rFonts w:hint="eastAsia" w:ascii="Times New Roman" w:cs="Times New Roman"/>
                <w:color w:val="auto"/>
                <w:sz w:val="18"/>
                <w:szCs w:val="18"/>
              </w:rPr>
              <w:t>通用器械名称：</w:t>
            </w:r>
          </w:p>
        </w:tc>
        <w:tc>
          <w:tcPr>
            <w:tcW w:w="3854" w:type="dxa"/>
            <w:tcBorders>
              <w:top w:val="single" w:color="auto" w:sz="4" w:space="0"/>
              <w:left w:val="nil"/>
              <w:bottom w:val="nil"/>
              <w:right w:val="single" w:color="auto" w:sz="4" w:space="0"/>
            </w:tcBorders>
            <w:shd w:val="clear" w:color="auto" w:fill="FFFFFF"/>
          </w:tcPr>
          <w:p w14:paraId="69EDCE3B">
            <w:pPr>
              <w:adjustRightInd w:val="0"/>
              <w:snapToGrid w:val="0"/>
              <w:spacing w:line="360" w:lineRule="auto"/>
              <w:jc w:val="both"/>
              <w:rPr>
                <w:rFonts w:ascii="Times New Roman" w:hAnsi="Times New Roman" w:cs="Times New Roman"/>
                <w:color w:val="auto"/>
                <w:sz w:val="18"/>
                <w:szCs w:val="18"/>
              </w:rPr>
            </w:pPr>
          </w:p>
        </w:tc>
      </w:tr>
      <w:tr w14:paraId="03FCD845">
        <w:tblPrEx>
          <w:tblCellMar>
            <w:top w:w="0" w:type="dxa"/>
            <w:left w:w="108" w:type="dxa"/>
            <w:bottom w:w="0" w:type="dxa"/>
            <w:right w:w="108" w:type="dxa"/>
          </w:tblCellMar>
        </w:tblPrEx>
        <w:tc>
          <w:tcPr>
            <w:tcW w:w="4666" w:type="dxa"/>
            <w:tcBorders>
              <w:top w:val="single" w:color="auto" w:sz="4" w:space="0"/>
              <w:left w:val="single" w:color="auto" w:sz="4" w:space="0"/>
              <w:bottom w:val="nil"/>
              <w:right w:val="nil"/>
            </w:tcBorders>
            <w:shd w:val="clear" w:color="auto" w:fill="FFFFFF"/>
          </w:tcPr>
          <w:p w14:paraId="212B26FC">
            <w:pPr>
              <w:adjustRightInd w:val="0"/>
              <w:snapToGrid w:val="0"/>
              <w:spacing w:line="360" w:lineRule="auto"/>
              <w:jc w:val="both"/>
              <w:rPr>
                <w:rFonts w:ascii="Times New Roman" w:hAnsi="Times New Roman" w:cs="Times New Roman"/>
                <w:color w:val="auto"/>
                <w:sz w:val="18"/>
                <w:szCs w:val="18"/>
              </w:rPr>
            </w:pPr>
            <w:r>
              <w:rPr>
                <w:rFonts w:hint="eastAsia" w:ascii="Times New Roman" w:cs="Times New Roman"/>
                <w:color w:val="auto"/>
                <w:sz w:val="18"/>
                <w:szCs w:val="18"/>
              </w:rPr>
              <w:t>识别码或商品名</w:t>
            </w:r>
          </w:p>
        </w:tc>
        <w:tc>
          <w:tcPr>
            <w:tcW w:w="3854" w:type="dxa"/>
            <w:tcBorders>
              <w:top w:val="single" w:color="auto" w:sz="4" w:space="0"/>
              <w:left w:val="nil"/>
              <w:bottom w:val="nil"/>
              <w:right w:val="single" w:color="auto" w:sz="4" w:space="0"/>
            </w:tcBorders>
            <w:shd w:val="clear" w:color="auto" w:fill="FFFFFF"/>
          </w:tcPr>
          <w:p w14:paraId="5F04E976">
            <w:pPr>
              <w:adjustRightInd w:val="0"/>
              <w:snapToGrid w:val="0"/>
              <w:spacing w:line="360" w:lineRule="auto"/>
              <w:jc w:val="both"/>
              <w:rPr>
                <w:rFonts w:ascii="Times New Roman" w:hAnsi="Times New Roman" w:cs="Times New Roman"/>
                <w:color w:val="auto"/>
                <w:sz w:val="18"/>
                <w:szCs w:val="18"/>
              </w:rPr>
            </w:pPr>
          </w:p>
        </w:tc>
      </w:tr>
      <w:tr w14:paraId="13E0ED02">
        <w:tblPrEx>
          <w:tblCellMar>
            <w:top w:w="0" w:type="dxa"/>
            <w:left w:w="108" w:type="dxa"/>
            <w:bottom w:w="0" w:type="dxa"/>
            <w:right w:w="108" w:type="dxa"/>
          </w:tblCellMar>
        </w:tblPrEx>
        <w:tc>
          <w:tcPr>
            <w:tcW w:w="4666" w:type="dxa"/>
            <w:tcBorders>
              <w:top w:val="single" w:color="auto" w:sz="4" w:space="0"/>
              <w:left w:val="single" w:color="auto" w:sz="4" w:space="0"/>
              <w:bottom w:val="nil"/>
              <w:right w:val="nil"/>
            </w:tcBorders>
            <w:shd w:val="clear" w:color="auto" w:fill="FFFFFF"/>
          </w:tcPr>
          <w:p w14:paraId="5E823B40">
            <w:pPr>
              <w:adjustRightInd w:val="0"/>
              <w:snapToGrid w:val="0"/>
              <w:spacing w:line="360" w:lineRule="auto"/>
              <w:jc w:val="both"/>
              <w:rPr>
                <w:rFonts w:ascii="Times New Roman" w:hAnsi="Times New Roman" w:cs="Times New Roman"/>
                <w:color w:val="auto"/>
                <w:sz w:val="18"/>
                <w:szCs w:val="18"/>
              </w:rPr>
            </w:pPr>
            <w:r>
              <w:rPr>
                <w:rFonts w:hint="eastAsia" w:ascii="Times New Roman" w:cs="Times New Roman"/>
                <w:color w:val="auto"/>
                <w:sz w:val="18"/>
                <w:szCs w:val="18"/>
              </w:rPr>
              <w:t>植入或组织接触持续时间：</w:t>
            </w:r>
          </w:p>
        </w:tc>
        <w:tc>
          <w:tcPr>
            <w:tcW w:w="3854" w:type="dxa"/>
            <w:tcBorders>
              <w:top w:val="single" w:color="auto" w:sz="4" w:space="0"/>
              <w:left w:val="nil"/>
              <w:bottom w:val="nil"/>
              <w:right w:val="single" w:color="auto" w:sz="4" w:space="0"/>
            </w:tcBorders>
            <w:shd w:val="clear" w:color="auto" w:fill="FFFFFF"/>
          </w:tcPr>
          <w:p w14:paraId="7FC7BC84">
            <w:pPr>
              <w:adjustRightInd w:val="0"/>
              <w:snapToGrid w:val="0"/>
              <w:spacing w:line="360" w:lineRule="auto"/>
              <w:jc w:val="both"/>
              <w:rPr>
                <w:rFonts w:ascii="Times New Roman" w:hAnsi="Times New Roman" w:cs="Times New Roman"/>
                <w:color w:val="auto"/>
                <w:sz w:val="18"/>
                <w:szCs w:val="18"/>
              </w:rPr>
            </w:pPr>
          </w:p>
        </w:tc>
      </w:tr>
      <w:tr w14:paraId="5E6A095B">
        <w:tblPrEx>
          <w:tblCellMar>
            <w:top w:w="0" w:type="dxa"/>
            <w:left w:w="108" w:type="dxa"/>
            <w:bottom w:w="0" w:type="dxa"/>
            <w:right w:w="108" w:type="dxa"/>
          </w:tblCellMar>
        </w:tblPrEx>
        <w:tc>
          <w:tcPr>
            <w:tcW w:w="8520" w:type="dxa"/>
            <w:gridSpan w:val="2"/>
            <w:tcBorders>
              <w:top w:val="nil"/>
              <w:left w:val="single" w:color="auto" w:sz="4" w:space="0"/>
              <w:bottom w:val="single" w:color="auto" w:sz="4" w:space="0"/>
              <w:right w:val="single" w:color="auto" w:sz="4" w:space="0"/>
            </w:tcBorders>
            <w:shd w:val="clear" w:color="auto" w:fill="FFFFFF"/>
          </w:tcPr>
          <w:p w14:paraId="35BDB4FA">
            <w:pPr>
              <w:adjustRightInd w:val="0"/>
              <w:snapToGrid w:val="0"/>
              <w:spacing w:line="360"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 xml:space="preserve">() </w:t>
            </w:r>
            <w:r>
              <w:rPr>
                <w:rFonts w:hint="eastAsia" w:ascii="Times New Roman" w:cs="Times New Roman"/>
                <w:color w:val="auto"/>
                <w:sz w:val="18"/>
                <w:szCs w:val="18"/>
              </w:rPr>
              <w:t>小于</w:t>
            </w:r>
            <w:r>
              <w:rPr>
                <w:rFonts w:ascii="Times New Roman" w:hAnsi="Times New Roman" w:cs="Times New Roman"/>
                <w:color w:val="auto"/>
                <w:sz w:val="18"/>
                <w:szCs w:val="18"/>
              </w:rPr>
              <w:t xml:space="preserve"> 24</w:t>
            </w:r>
            <w:r>
              <w:rPr>
                <w:rFonts w:hint="eastAsia" w:ascii="Times New Roman" w:cs="Times New Roman"/>
                <w:color w:val="auto"/>
                <w:sz w:val="18"/>
                <w:szCs w:val="18"/>
              </w:rPr>
              <w:t>小时</w:t>
            </w:r>
            <w:r>
              <w:rPr>
                <w:rFonts w:ascii="Times New Roman" w:hAnsi="Times New Roman" w:cs="Times New Roman"/>
                <w:color w:val="auto"/>
                <w:sz w:val="18"/>
                <w:szCs w:val="18"/>
              </w:rPr>
              <w:t xml:space="preserve"> () 24</w:t>
            </w:r>
            <w:r>
              <w:rPr>
                <w:rFonts w:hint="eastAsia" w:ascii="Times New Roman" w:cs="Times New Roman"/>
                <w:color w:val="auto"/>
                <w:sz w:val="18"/>
                <w:szCs w:val="18"/>
              </w:rPr>
              <w:t>小时至</w:t>
            </w:r>
            <w:r>
              <w:rPr>
                <w:rFonts w:ascii="Times New Roman" w:hAnsi="Times New Roman" w:cs="Times New Roman"/>
                <w:color w:val="auto"/>
                <w:sz w:val="18"/>
                <w:szCs w:val="18"/>
              </w:rPr>
              <w:t>30</w:t>
            </w:r>
            <w:r>
              <w:rPr>
                <w:rFonts w:hint="eastAsia" w:ascii="Times New Roman" w:cs="Times New Roman"/>
                <w:color w:val="auto"/>
                <w:sz w:val="18"/>
                <w:szCs w:val="18"/>
              </w:rPr>
              <w:t>日</w:t>
            </w:r>
            <w:r>
              <w:rPr>
                <w:rFonts w:ascii="Times New Roman" w:hAnsi="Times New Roman" w:cs="Times New Roman"/>
                <w:color w:val="auto"/>
                <w:sz w:val="18"/>
                <w:szCs w:val="18"/>
              </w:rPr>
              <w:t xml:space="preserve"> () </w:t>
            </w:r>
            <w:r>
              <w:rPr>
                <w:rFonts w:hint="eastAsia" w:ascii="Times New Roman" w:cs="Times New Roman"/>
                <w:color w:val="auto"/>
                <w:sz w:val="18"/>
                <w:szCs w:val="18"/>
              </w:rPr>
              <w:t>大于</w:t>
            </w:r>
            <w:r>
              <w:rPr>
                <w:rFonts w:ascii="Times New Roman" w:hAnsi="Times New Roman" w:cs="Times New Roman"/>
                <w:color w:val="auto"/>
                <w:sz w:val="18"/>
                <w:szCs w:val="18"/>
              </w:rPr>
              <w:t>30</w:t>
            </w:r>
            <w:r>
              <w:rPr>
                <w:rFonts w:hint="eastAsia" w:ascii="Times New Roman" w:cs="Times New Roman"/>
                <w:color w:val="auto"/>
                <w:sz w:val="18"/>
                <w:szCs w:val="18"/>
              </w:rPr>
              <w:t>日</w:t>
            </w:r>
          </w:p>
        </w:tc>
      </w:tr>
    </w:tbl>
    <w:p w14:paraId="67470FC4">
      <w:pPr>
        <w:adjustRightInd w:val="0"/>
        <w:snapToGrid w:val="0"/>
        <w:spacing w:line="360" w:lineRule="auto"/>
        <w:jc w:val="both"/>
        <w:rPr>
          <w:rFonts w:ascii="Times New Roman" w:hAnsi="Times New Roman" w:cs="Times New Roman"/>
          <w:b/>
          <w:color w:val="auto"/>
          <w:sz w:val="21"/>
          <w:szCs w:val="21"/>
        </w:rPr>
      </w:pPr>
      <w:r>
        <w:rPr>
          <w:rFonts w:hint="eastAsia" w:ascii="Times New Roman" w:cs="Times New Roman"/>
          <w:b/>
          <w:color w:val="auto"/>
          <w:sz w:val="21"/>
          <w:szCs w:val="21"/>
        </w:rPr>
        <w:t>从下面</w:t>
      </w:r>
      <w:r>
        <w:rPr>
          <w:rFonts w:ascii="Times New Roman" w:hAnsi="Times New Roman" w:cs="Times New Roman"/>
          <w:b/>
          <w:color w:val="auto"/>
          <w:sz w:val="21"/>
          <w:szCs w:val="21"/>
        </w:rPr>
        <w:t>USTS</w:t>
      </w:r>
      <w:r>
        <w:rPr>
          <w:rFonts w:hint="eastAsia" w:ascii="Times New Roman" w:cs="Times New Roman"/>
          <w:b/>
          <w:color w:val="auto"/>
          <w:sz w:val="21"/>
          <w:szCs w:val="21"/>
        </w:rPr>
        <w:t>中出圈最适合的</w:t>
      </w:r>
      <w:r>
        <w:rPr>
          <w:rFonts w:hint="eastAsia" w:ascii="Times New Roman" w:hAnsi="Times New Roman" w:cs="Times New Roman"/>
          <w:b/>
          <w:color w:val="auto"/>
          <w:sz w:val="21"/>
          <w:szCs w:val="21"/>
        </w:rPr>
        <w:t>：</w:t>
      </w:r>
    </w:p>
    <w:p w14:paraId="78694370">
      <w:pPr>
        <w:adjustRightInd w:val="0"/>
        <w:snapToGrid w:val="0"/>
        <w:spacing w:line="360" w:lineRule="auto"/>
        <w:jc w:val="both"/>
        <w:rPr>
          <w:rFonts w:ascii="Times New Roman" w:hAnsi="Times New Roman" w:cs="Times New Roman"/>
          <w:b/>
          <w:color w:val="auto"/>
          <w:sz w:val="21"/>
          <w:szCs w:val="21"/>
        </w:rPr>
      </w:pPr>
      <w:r>
        <w:rPr>
          <w:rFonts w:ascii="Times New Roman" w:hAnsi="Times New Roman" w:cs="Times New Roman"/>
          <w:b/>
          <w:color w:val="auto"/>
          <w:sz w:val="21"/>
          <w:szCs w:val="21"/>
        </w:rPr>
        <w:t>1.</w:t>
      </w:r>
      <w:r>
        <w:rPr>
          <w:rFonts w:ascii="Times New Roman" w:hAnsi="Times New Roman" w:cs="Times New Roman"/>
          <w:b/>
          <w:color w:val="auto"/>
          <w:sz w:val="21"/>
          <w:szCs w:val="21"/>
        </w:rPr>
        <w:tab/>
      </w:r>
      <w:r>
        <w:rPr>
          <w:rFonts w:hint="eastAsia" w:ascii="Times New Roman" w:cs="Times New Roman"/>
          <w:b/>
          <w:color w:val="auto"/>
          <w:sz w:val="21"/>
          <w:szCs w:val="21"/>
        </w:rPr>
        <w:t>器械接触的一般器官系统</w:t>
      </w:r>
    </w:p>
    <w:p w14:paraId="348A01B3">
      <w:pPr>
        <w:adjustRightInd w:val="0"/>
        <w:snapToGrid w:val="0"/>
        <w:spacing w:line="360" w:lineRule="auto"/>
        <w:jc w:val="both"/>
        <w:rPr>
          <w:rFonts w:ascii="Times New Roman" w:cs="Times New Roman"/>
          <w:b/>
          <w:color w:val="auto"/>
          <w:sz w:val="21"/>
          <w:szCs w:val="21"/>
        </w:rPr>
      </w:pPr>
      <w:r>
        <w:rPr>
          <w:rFonts w:ascii="Times New Roman" w:hAnsi="Times New Roman" w:cs="Times New Roman"/>
          <w:b/>
          <w:color w:val="auto"/>
          <w:sz w:val="21"/>
          <w:szCs w:val="21"/>
        </w:rPr>
        <w:t>2.</w:t>
      </w:r>
      <w:r>
        <w:rPr>
          <w:rFonts w:ascii="Times New Roman" w:hAnsi="Times New Roman" w:cs="Times New Roman"/>
          <w:b/>
          <w:color w:val="auto"/>
          <w:sz w:val="21"/>
          <w:szCs w:val="21"/>
        </w:rPr>
        <w:tab/>
      </w:r>
      <w:r>
        <w:rPr>
          <w:rFonts w:hint="eastAsia" w:ascii="Times New Roman" w:cs="Times New Roman"/>
          <w:b/>
          <w:color w:val="auto"/>
          <w:sz w:val="21"/>
          <w:szCs w:val="21"/>
        </w:rPr>
        <w:t>器械接触的组织</w:t>
      </w:r>
    </w:p>
    <w:p w14:paraId="124C3523">
      <w:pPr>
        <w:adjustRightInd w:val="0"/>
        <w:snapToGrid w:val="0"/>
        <w:spacing w:line="360" w:lineRule="auto"/>
        <w:jc w:val="both"/>
        <w:rPr>
          <w:rFonts w:ascii="Times New Roman" w:hAnsi="Times New Roman" w:cs="Times New Roman"/>
          <w:b/>
          <w:color w:val="auto"/>
          <w:sz w:val="21"/>
          <w:szCs w:val="21"/>
        </w:rPr>
      </w:pPr>
      <w:r>
        <w:rPr>
          <w:rFonts w:ascii="Times New Roman" w:hAnsi="Times New Roman" w:cs="Times New Roman"/>
          <w:b/>
          <w:color w:val="auto"/>
          <w:sz w:val="21"/>
          <w:szCs w:val="21"/>
        </w:rPr>
        <w:t xml:space="preserve">3 &amp; 4. </w:t>
      </w:r>
      <w:r>
        <w:rPr>
          <w:rFonts w:hint="eastAsia" w:ascii="Times New Roman" w:cs="Times New Roman"/>
          <w:b/>
          <w:color w:val="auto"/>
          <w:sz w:val="21"/>
          <w:szCs w:val="21"/>
        </w:rPr>
        <w:t>所用包装和灭菌的表格。</w:t>
      </w:r>
    </w:p>
    <w:tbl>
      <w:tblPr>
        <w:tblStyle w:val="8"/>
        <w:tblW w:w="0" w:type="auto"/>
        <w:tblInd w:w="5" w:type="dxa"/>
        <w:tblLayout w:type="fixed"/>
        <w:tblCellMar>
          <w:top w:w="0" w:type="dxa"/>
          <w:left w:w="108" w:type="dxa"/>
          <w:bottom w:w="0" w:type="dxa"/>
          <w:right w:w="108" w:type="dxa"/>
        </w:tblCellMar>
      </w:tblPr>
      <w:tblGrid>
        <w:gridCol w:w="2832"/>
        <w:gridCol w:w="2213"/>
        <w:gridCol w:w="3403"/>
      </w:tblGrid>
      <w:tr w14:paraId="57D35913">
        <w:tblPrEx>
          <w:tblCellMar>
            <w:top w:w="0" w:type="dxa"/>
            <w:left w:w="108" w:type="dxa"/>
            <w:bottom w:w="0" w:type="dxa"/>
            <w:right w:w="108" w:type="dxa"/>
          </w:tblCellMar>
        </w:tblPrEx>
        <w:tc>
          <w:tcPr>
            <w:tcW w:w="2832" w:type="dxa"/>
            <w:tcBorders>
              <w:top w:val="single" w:color="auto" w:sz="4" w:space="0"/>
              <w:left w:val="single" w:color="auto" w:sz="4" w:space="0"/>
              <w:bottom w:val="nil"/>
              <w:right w:val="nil"/>
            </w:tcBorders>
            <w:shd w:val="clear" w:color="auto" w:fill="FFFFFF"/>
          </w:tcPr>
          <w:p w14:paraId="594A9EA1">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器官系统</w:t>
            </w:r>
          </w:p>
        </w:tc>
        <w:tc>
          <w:tcPr>
            <w:tcW w:w="2213" w:type="dxa"/>
            <w:tcBorders>
              <w:top w:val="single" w:color="auto" w:sz="4" w:space="0"/>
              <w:left w:val="single" w:color="auto" w:sz="4" w:space="0"/>
              <w:bottom w:val="nil"/>
              <w:right w:val="nil"/>
            </w:tcBorders>
            <w:shd w:val="clear" w:color="auto" w:fill="FFFFFF"/>
          </w:tcPr>
          <w:p w14:paraId="0AA1AC20">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接触的组织</w:t>
            </w:r>
          </w:p>
        </w:tc>
        <w:tc>
          <w:tcPr>
            <w:tcW w:w="3403" w:type="dxa"/>
            <w:tcBorders>
              <w:top w:val="single" w:color="auto" w:sz="4" w:space="0"/>
              <w:left w:val="single" w:color="auto" w:sz="4" w:space="0"/>
              <w:bottom w:val="nil"/>
              <w:right w:val="single" w:color="auto" w:sz="4" w:space="0"/>
            </w:tcBorders>
            <w:shd w:val="clear" w:color="auto" w:fill="FFFFFF"/>
          </w:tcPr>
          <w:p w14:paraId="47F68680">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包装和灭菌</w:t>
            </w:r>
          </w:p>
        </w:tc>
      </w:tr>
      <w:tr w14:paraId="64853B81">
        <w:tblPrEx>
          <w:tblCellMar>
            <w:top w:w="0" w:type="dxa"/>
            <w:left w:w="108" w:type="dxa"/>
            <w:bottom w:w="0" w:type="dxa"/>
            <w:right w:w="108" w:type="dxa"/>
          </w:tblCellMar>
        </w:tblPrEx>
        <w:tc>
          <w:tcPr>
            <w:tcW w:w="2832" w:type="dxa"/>
            <w:tcBorders>
              <w:left w:val="single" w:color="auto" w:sz="4" w:space="0"/>
              <w:bottom w:val="nil"/>
              <w:right w:val="nil"/>
            </w:tcBorders>
            <w:shd w:val="clear" w:color="auto" w:fill="FFFFFF"/>
          </w:tcPr>
          <w:p w14:paraId="7CDF6F20">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心血管</w:t>
            </w:r>
          </w:p>
        </w:tc>
        <w:tc>
          <w:tcPr>
            <w:tcW w:w="2213" w:type="dxa"/>
            <w:tcBorders>
              <w:left w:val="single" w:color="auto" w:sz="4" w:space="0"/>
              <w:bottom w:val="nil"/>
              <w:right w:val="nil"/>
            </w:tcBorders>
            <w:shd w:val="clear" w:color="auto" w:fill="FFFFFF"/>
          </w:tcPr>
          <w:p w14:paraId="4A7794DC">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膀胱</w:t>
            </w:r>
          </w:p>
        </w:tc>
        <w:tc>
          <w:tcPr>
            <w:tcW w:w="3403" w:type="dxa"/>
            <w:tcBorders>
              <w:left w:val="single" w:color="auto" w:sz="4" w:space="0"/>
              <w:bottom w:val="nil"/>
              <w:right w:val="single" w:color="auto" w:sz="4" w:space="0"/>
            </w:tcBorders>
            <w:shd w:val="clear" w:color="auto" w:fill="FFFFFF"/>
          </w:tcPr>
          <w:p w14:paraId="0093801E">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泡沫包装</w:t>
            </w:r>
          </w:p>
        </w:tc>
      </w:tr>
      <w:tr w14:paraId="0C0D41F1">
        <w:tblPrEx>
          <w:tblCellMar>
            <w:top w:w="0" w:type="dxa"/>
            <w:left w:w="108" w:type="dxa"/>
            <w:bottom w:w="0" w:type="dxa"/>
            <w:right w:w="108" w:type="dxa"/>
          </w:tblCellMar>
        </w:tblPrEx>
        <w:tc>
          <w:tcPr>
            <w:tcW w:w="2832" w:type="dxa"/>
            <w:tcBorders>
              <w:top w:val="nil"/>
              <w:left w:val="single" w:color="auto" w:sz="4" w:space="0"/>
              <w:bottom w:val="nil"/>
              <w:right w:val="nil"/>
            </w:tcBorders>
            <w:shd w:val="clear" w:color="auto" w:fill="FFFFFF"/>
          </w:tcPr>
          <w:p w14:paraId="4D716F0D">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牙齿</w:t>
            </w:r>
          </w:p>
        </w:tc>
        <w:tc>
          <w:tcPr>
            <w:tcW w:w="2213" w:type="dxa"/>
            <w:tcBorders>
              <w:top w:val="nil"/>
              <w:left w:val="single" w:color="auto" w:sz="4" w:space="0"/>
              <w:bottom w:val="nil"/>
              <w:right w:val="nil"/>
            </w:tcBorders>
            <w:shd w:val="clear" w:color="auto" w:fill="FFFFFF"/>
          </w:tcPr>
          <w:p w14:paraId="5F2283B7">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血液</w:t>
            </w:r>
          </w:p>
        </w:tc>
        <w:tc>
          <w:tcPr>
            <w:tcW w:w="3403" w:type="dxa"/>
            <w:tcBorders>
              <w:top w:val="nil"/>
              <w:left w:val="single" w:color="auto" w:sz="4" w:space="0"/>
              <w:bottom w:val="nil"/>
              <w:right w:val="single" w:color="auto" w:sz="4" w:space="0"/>
            </w:tcBorders>
            <w:shd w:val="clear" w:color="auto" w:fill="FFFFFF"/>
          </w:tcPr>
          <w:p w14:paraId="7029D11D">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双泡罩包装</w:t>
            </w:r>
          </w:p>
        </w:tc>
      </w:tr>
      <w:tr w14:paraId="1FFCF47B">
        <w:tblPrEx>
          <w:tblCellMar>
            <w:top w:w="0" w:type="dxa"/>
            <w:left w:w="108" w:type="dxa"/>
            <w:bottom w:w="0" w:type="dxa"/>
            <w:right w:w="108" w:type="dxa"/>
          </w:tblCellMar>
        </w:tblPrEx>
        <w:tc>
          <w:tcPr>
            <w:tcW w:w="2832" w:type="dxa"/>
            <w:tcBorders>
              <w:top w:val="nil"/>
              <w:left w:val="single" w:color="auto" w:sz="4" w:space="0"/>
              <w:bottom w:val="nil"/>
              <w:right w:val="nil"/>
            </w:tcBorders>
            <w:shd w:val="clear" w:color="auto" w:fill="FFFFFF"/>
          </w:tcPr>
          <w:p w14:paraId="2DAF1233">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耳</w:t>
            </w:r>
          </w:p>
        </w:tc>
        <w:tc>
          <w:tcPr>
            <w:tcW w:w="2213" w:type="dxa"/>
            <w:tcBorders>
              <w:top w:val="nil"/>
              <w:left w:val="single" w:color="auto" w:sz="4" w:space="0"/>
              <w:bottom w:val="nil"/>
              <w:right w:val="nil"/>
            </w:tcBorders>
            <w:shd w:val="clear" w:color="auto" w:fill="FFFFFF"/>
          </w:tcPr>
          <w:p w14:paraId="58775F6E">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骨</w:t>
            </w:r>
          </w:p>
        </w:tc>
        <w:tc>
          <w:tcPr>
            <w:tcW w:w="3403" w:type="dxa"/>
            <w:tcBorders>
              <w:top w:val="nil"/>
              <w:left w:val="single" w:color="auto" w:sz="4" w:space="0"/>
              <w:bottom w:val="nil"/>
              <w:right w:val="single" w:color="auto" w:sz="4" w:space="0"/>
            </w:tcBorders>
            <w:shd w:val="clear" w:color="auto" w:fill="FFFFFF"/>
          </w:tcPr>
          <w:p w14:paraId="14503CDE">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泡沫</w:t>
            </w:r>
          </w:p>
        </w:tc>
      </w:tr>
      <w:tr w14:paraId="44DA8F2C">
        <w:tblPrEx>
          <w:tblCellMar>
            <w:top w:w="0" w:type="dxa"/>
            <w:left w:w="108" w:type="dxa"/>
            <w:bottom w:w="0" w:type="dxa"/>
            <w:right w:w="108" w:type="dxa"/>
          </w:tblCellMar>
        </w:tblPrEx>
        <w:tc>
          <w:tcPr>
            <w:tcW w:w="2832" w:type="dxa"/>
            <w:tcBorders>
              <w:top w:val="nil"/>
              <w:left w:val="single" w:color="auto" w:sz="4" w:space="0"/>
              <w:bottom w:val="nil"/>
              <w:right w:val="nil"/>
            </w:tcBorders>
            <w:shd w:val="clear" w:color="auto" w:fill="FFFFFF"/>
          </w:tcPr>
          <w:p w14:paraId="09FE6391">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内分泌物</w:t>
            </w:r>
          </w:p>
        </w:tc>
        <w:tc>
          <w:tcPr>
            <w:tcW w:w="2213" w:type="dxa"/>
            <w:tcBorders>
              <w:top w:val="nil"/>
              <w:left w:val="single" w:color="auto" w:sz="4" w:space="0"/>
              <w:bottom w:val="nil"/>
              <w:right w:val="nil"/>
            </w:tcBorders>
            <w:shd w:val="clear" w:color="auto" w:fill="FFFFFF"/>
          </w:tcPr>
          <w:p w14:paraId="21E6131B">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脑</w:t>
            </w:r>
            <w:r>
              <w:rPr>
                <w:rFonts w:ascii="Times New Roman" w:hAnsi="Times New Roman" w:cs="Times New Roman"/>
                <w:i/>
                <w:color w:val="auto"/>
                <w:sz w:val="18"/>
                <w:szCs w:val="18"/>
              </w:rPr>
              <w:t>/CNS</w:t>
            </w:r>
          </w:p>
        </w:tc>
        <w:tc>
          <w:tcPr>
            <w:tcW w:w="3403" w:type="dxa"/>
            <w:tcBorders>
              <w:top w:val="nil"/>
              <w:left w:val="single" w:color="auto" w:sz="4" w:space="0"/>
              <w:bottom w:val="nil"/>
              <w:right w:val="single" w:color="auto" w:sz="4" w:space="0"/>
            </w:tcBorders>
            <w:shd w:val="clear" w:color="auto" w:fill="FFFFFF"/>
          </w:tcPr>
          <w:p w14:paraId="7F34F4F6">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惰性气体包装</w:t>
            </w:r>
          </w:p>
        </w:tc>
      </w:tr>
      <w:tr w14:paraId="000C53B3">
        <w:tblPrEx>
          <w:tblCellMar>
            <w:top w:w="0" w:type="dxa"/>
            <w:left w:w="108" w:type="dxa"/>
            <w:bottom w:w="0" w:type="dxa"/>
            <w:right w:w="108" w:type="dxa"/>
          </w:tblCellMar>
        </w:tblPrEx>
        <w:tc>
          <w:tcPr>
            <w:tcW w:w="2832" w:type="dxa"/>
            <w:tcBorders>
              <w:top w:val="nil"/>
              <w:left w:val="single" w:color="auto" w:sz="4" w:space="0"/>
              <w:bottom w:val="nil"/>
              <w:right w:val="nil"/>
            </w:tcBorders>
            <w:shd w:val="clear" w:color="auto" w:fill="FFFFFF"/>
          </w:tcPr>
          <w:p w14:paraId="47D8B5BB">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胃肠系统</w:t>
            </w:r>
          </w:p>
        </w:tc>
        <w:tc>
          <w:tcPr>
            <w:tcW w:w="2213" w:type="dxa"/>
            <w:tcBorders>
              <w:top w:val="nil"/>
              <w:left w:val="single" w:color="auto" w:sz="4" w:space="0"/>
              <w:bottom w:val="nil"/>
              <w:right w:val="nil"/>
            </w:tcBorders>
            <w:shd w:val="clear" w:color="auto" w:fill="FFFFFF"/>
          </w:tcPr>
          <w:p w14:paraId="43B9AA8E">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乳房</w:t>
            </w:r>
          </w:p>
        </w:tc>
        <w:tc>
          <w:tcPr>
            <w:tcW w:w="3403" w:type="dxa"/>
            <w:tcBorders>
              <w:top w:val="nil"/>
              <w:left w:val="single" w:color="auto" w:sz="4" w:space="0"/>
              <w:bottom w:val="nil"/>
              <w:right w:val="single" w:color="auto" w:sz="4" w:space="0"/>
            </w:tcBorders>
            <w:shd w:val="clear" w:color="auto" w:fill="FFFFFF"/>
          </w:tcPr>
          <w:p w14:paraId="6DA43AFC">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单泡罩包装</w:t>
            </w:r>
          </w:p>
        </w:tc>
      </w:tr>
      <w:tr w14:paraId="7039DFA1">
        <w:tblPrEx>
          <w:tblCellMar>
            <w:top w:w="0" w:type="dxa"/>
            <w:left w:w="108" w:type="dxa"/>
            <w:bottom w:w="0" w:type="dxa"/>
            <w:right w:w="108" w:type="dxa"/>
          </w:tblCellMar>
        </w:tblPrEx>
        <w:tc>
          <w:tcPr>
            <w:tcW w:w="2832" w:type="dxa"/>
            <w:tcBorders>
              <w:top w:val="nil"/>
              <w:left w:val="single" w:color="auto" w:sz="4" w:space="0"/>
              <w:bottom w:val="nil"/>
              <w:right w:val="nil"/>
            </w:tcBorders>
            <w:shd w:val="clear" w:color="auto" w:fill="FFFFFF"/>
          </w:tcPr>
          <w:p w14:paraId="3328F9F0">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肌肉与骨骼系统</w:t>
            </w:r>
          </w:p>
        </w:tc>
        <w:tc>
          <w:tcPr>
            <w:tcW w:w="2213" w:type="dxa"/>
            <w:tcBorders>
              <w:top w:val="nil"/>
              <w:left w:val="single" w:color="auto" w:sz="4" w:space="0"/>
              <w:bottom w:val="nil"/>
              <w:right w:val="nil"/>
            </w:tcBorders>
            <w:shd w:val="clear" w:color="auto" w:fill="FFFFFF"/>
          </w:tcPr>
          <w:p w14:paraId="7E4C7899">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胃部</w:t>
            </w:r>
          </w:p>
        </w:tc>
        <w:tc>
          <w:tcPr>
            <w:tcW w:w="3403" w:type="dxa"/>
            <w:tcBorders>
              <w:top w:val="nil"/>
              <w:left w:val="single" w:color="auto" w:sz="4" w:space="0"/>
              <w:bottom w:val="nil"/>
              <w:right w:val="single" w:color="auto" w:sz="4" w:space="0"/>
            </w:tcBorders>
            <w:shd w:val="clear" w:color="auto" w:fill="FFFFFF"/>
          </w:tcPr>
          <w:p w14:paraId="3E217819">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无</w:t>
            </w:r>
          </w:p>
        </w:tc>
      </w:tr>
      <w:tr w14:paraId="5ED55371">
        <w:tblPrEx>
          <w:tblCellMar>
            <w:top w:w="0" w:type="dxa"/>
            <w:left w:w="108" w:type="dxa"/>
            <w:bottom w:w="0" w:type="dxa"/>
            <w:right w:w="108" w:type="dxa"/>
          </w:tblCellMar>
        </w:tblPrEx>
        <w:tc>
          <w:tcPr>
            <w:tcW w:w="2832" w:type="dxa"/>
            <w:tcBorders>
              <w:top w:val="nil"/>
              <w:left w:val="single" w:color="auto" w:sz="4" w:space="0"/>
              <w:bottom w:val="nil"/>
              <w:right w:val="nil"/>
            </w:tcBorders>
            <w:shd w:val="clear" w:color="auto" w:fill="FFFFFF"/>
          </w:tcPr>
          <w:p w14:paraId="31CA8F81">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神经学</w:t>
            </w:r>
          </w:p>
        </w:tc>
        <w:tc>
          <w:tcPr>
            <w:tcW w:w="2213" w:type="dxa"/>
            <w:tcBorders>
              <w:top w:val="nil"/>
              <w:left w:val="single" w:color="auto" w:sz="4" w:space="0"/>
              <w:bottom w:val="nil"/>
              <w:right w:val="nil"/>
            </w:tcBorders>
            <w:shd w:val="clear" w:color="auto" w:fill="FFFFFF"/>
          </w:tcPr>
          <w:p w14:paraId="71FE9328">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牙龈</w:t>
            </w:r>
          </w:p>
        </w:tc>
        <w:tc>
          <w:tcPr>
            <w:tcW w:w="3403" w:type="dxa"/>
            <w:tcBorders>
              <w:top w:val="nil"/>
              <w:left w:val="single" w:color="auto" w:sz="4" w:space="0"/>
              <w:bottom w:val="nil"/>
              <w:right w:val="single" w:color="auto" w:sz="4" w:space="0"/>
            </w:tcBorders>
            <w:shd w:val="clear" w:color="auto" w:fill="FFFFFF"/>
          </w:tcPr>
          <w:p w14:paraId="582580E3">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其他</w:t>
            </w:r>
          </w:p>
        </w:tc>
      </w:tr>
      <w:tr w14:paraId="2FDB24B1">
        <w:tblPrEx>
          <w:tblCellMar>
            <w:top w:w="0" w:type="dxa"/>
            <w:left w:w="108" w:type="dxa"/>
            <w:bottom w:w="0" w:type="dxa"/>
            <w:right w:w="108" w:type="dxa"/>
          </w:tblCellMar>
        </w:tblPrEx>
        <w:tc>
          <w:tcPr>
            <w:tcW w:w="2832" w:type="dxa"/>
            <w:tcBorders>
              <w:top w:val="nil"/>
              <w:left w:val="single" w:color="auto" w:sz="4" w:space="0"/>
              <w:bottom w:val="nil"/>
              <w:right w:val="nil"/>
            </w:tcBorders>
            <w:shd w:val="clear" w:color="auto" w:fill="FFFFFF"/>
          </w:tcPr>
          <w:p w14:paraId="2F189E14">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眼</w:t>
            </w:r>
          </w:p>
        </w:tc>
        <w:tc>
          <w:tcPr>
            <w:tcW w:w="2213" w:type="dxa"/>
            <w:tcBorders>
              <w:top w:val="nil"/>
              <w:left w:val="single" w:color="auto" w:sz="4" w:space="0"/>
              <w:bottom w:val="nil"/>
              <w:right w:val="nil"/>
            </w:tcBorders>
            <w:shd w:val="clear" w:color="auto" w:fill="FFFFFF"/>
          </w:tcPr>
          <w:p w14:paraId="6B0AF2B4">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心脏</w:t>
            </w:r>
          </w:p>
        </w:tc>
        <w:tc>
          <w:tcPr>
            <w:tcW w:w="3403" w:type="dxa"/>
            <w:tcBorders>
              <w:top w:val="single" w:color="auto" w:sz="4" w:space="0"/>
              <w:left w:val="single" w:color="auto" w:sz="4" w:space="0"/>
              <w:bottom w:val="nil"/>
              <w:right w:val="nil"/>
            </w:tcBorders>
            <w:shd w:val="clear" w:color="auto" w:fill="FFFFFF"/>
          </w:tcPr>
          <w:p w14:paraId="73AC0964">
            <w:pPr>
              <w:adjustRightInd w:val="0"/>
              <w:snapToGrid w:val="0"/>
              <w:spacing w:line="300" w:lineRule="auto"/>
              <w:jc w:val="both"/>
              <w:rPr>
                <w:rFonts w:ascii="Times New Roman" w:hAnsi="Times New Roman" w:cs="Times New Roman"/>
                <w:i/>
                <w:color w:val="auto"/>
                <w:sz w:val="18"/>
                <w:szCs w:val="18"/>
              </w:rPr>
            </w:pPr>
          </w:p>
        </w:tc>
      </w:tr>
      <w:tr w14:paraId="5180BAC8">
        <w:tblPrEx>
          <w:tblCellMar>
            <w:top w:w="0" w:type="dxa"/>
            <w:left w:w="108" w:type="dxa"/>
            <w:bottom w:w="0" w:type="dxa"/>
            <w:right w:w="108" w:type="dxa"/>
          </w:tblCellMar>
        </w:tblPrEx>
        <w:tc>
          <w:tcPr>
            <w:tcW w:w="2832" w:type="dxa"/>
            <w:tcBorders>
              <w:top w:val="nil"/>
              <w:left w:val="single" w:color="auto" w:sz="4" w:space="0"/>
              <w:bottom w:val="nil"/>
              <w:right w:val="nil"/>
            </w:tcBorders>
            <w:shd w:val="clear" w:color="auto" w:fill="FFFFFF"/>
          </w:tcPr>
          <w:p w14:paraId="2E83869A">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肺</w:t>
            </w:r>
          </w:p>
        </w:tc>
        <w:tc>
          <w:tcPr>
            <w:tcW w:w="2213" w:type="dxa"/>
            <w:tcBorders>
              <w:top w:val="nil"/>
              <w:left w:val="single" w:color="auto" w:sz="4" w:space="0"/>
              <w:bottom w:val="nil"/>
              <w:right w:val="nil"/>
            </w:tcBorders>
            <w:shd w:val="clear" w:color="auto" w:fill="FFFFFF"/>
          </w:tcPr>
          <w:p w14:paraId="79B67C4B">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关节</w:t>
            </w:r>
          </w:p>
        </w:tc>
        <w:tc>
          <w:tcPr>
            <w:tcW w:w="3403" w:type="dxa"/>
            <w:tcBorders>
              <w:top w:val="single" w:color="auto" w:sz="4" w:space="0"/>
              <w:left w:val="single" w:color="auto" w:sz="4" w:space="0"/>
              <w:bottom w:val="nil"/>
              <w:right w:val="single" w:color="auto" w:sz="4" w:space="0"/>
            </w:tcBorders>
            <w:shd w:val="clear" w:color="auto" w:fill="FFFFFF"/>
          </w:tcPr>
          <w:p w14:paraId="0D27B6C5">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二氧化氯</w:t>
            </w:r>
          </w:p>
        </w:tc>
      </w:tr>
      <w:tr w14:paraId="74A60287">
        <w:tblPrEx>
          <w:tblCellMar>
            <w:top w:w="0" w:type="dxa"/>
            <w:left w:w="108" w:type="dxa"/>
            <w:bottom w:w="0" w:type="dxa"/>
            <w:right w:w="108" w:type="dxa"/>
          </w:tblCellMar>
        </w:tblPrEx>
        <w:tc>
          <w:tcPr>
            <w:tcW w:w="2832" w:type="dxa"/>
            <w:tcBorders>
              <w:top w:val="nil"/>
              <w:left w:val="single" w:color="auto" w:sz="4" w:space="0"/>
              <w:bottom w:val="nil"/>
              <w:right w:val="nil"/>
            </w:tcBorders>
            <w:shd w:val="clear" w:color="auto" w:fill="FFFFFF"/>
          </w:tcPr>
          <w:p w14:paraId="42069CCD">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生殖</w:t>
            </w:r>
          </w:p>
        </w:tc>
        <w:tc>
          <w:tcPr>
            <w:tcW w:w="2213" w:type="dxa"/>
            <w:tcBorders>
              <w:top w:val="nil"/>
              <w:left w:val="single" w:color="auto" w:sz="4" w:space="0"/>
              <w:bottom w:val="nil"/>
              <w:right w:val="nil"/>
            </w:tcBorders>
            <w:shd w:val="clear" w:color="auto" w:fill="FFFFFF"/>
          </w:tcPr>
          <w:p w14:paraId="639990D6">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肾脏</w:t>
            </w:r>
          </w:p>
        </w:tc>
        <w:tc>
          <w:tcPr>
            <w:tcW w:w="3403" w:type="dxa"/>
            <w:tcBorders>
              <w:top w:val="nil"/>
              <w:left w:val="single" w:color="auto" w:sz="4" w:space="0"/>
              <w:bottom w:val="nil"/>
              <w:right w:val="single" w:color="auto" w:sz="4" w:space="0"/>
            </w:tcBorders>
            <w:shd w:val="clear" w:color="auto" w:fill="FFFFFF"/>
          </w:tcPr>
          <w:p w14:paraId="179182DE">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干热</w:t>
            </w:r>
          </w:p>
        </w:tc>
      </w:tr>
      <w:tr w14:paraId="129C64D1">
        <w:tblPrEx>
          <w:tblCellMar>
            <w:top w:w="0" w:type="dxa"/>
            <w:left w:w="108" w:type="dxa"/>
            <w:bottom w:w="0" w:type="dxa"/>
            <w:right w:w="108" w:type="dxa"/>
          </w:tblCellMar>
        </w:tblPrEx>
        <w:tc>
          <w:tcPr>
            <w:tcW w:w="2832" w:type="dxa"/>
            <w:tcBorders>
              <w:top w:val="nil"/>
              <w:left w:val="single" w:color="auto" w:sz="4" w:space="0"/>
              <w:bottom w:val="nil"/>
              <w:right w:val="nil"/>
            </w:tcBorders>
            <w:shd w:val="clear" w:color="auto" w:fill="FFFFFF"/>
          </w:tcPr>
          <w:p w14:paraId="112EDCFF">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软组织</w:t>
            </w:r>
          </w:p>
        </w:tc>
        <w:tc>
          <w:tcPr>
            <w:tcW w:w="2213" w:type="dxa"/>
            <w:tcBorders>
              <w:top w:val="nil"/>
              <w:left w:val="single" w:color="auto" w:sz="4" w:space="0"/>
              <w:bottom w:val="nil"/>
              <w:right w:val="nil"/>
            </w:tcBorders>
            <w:shd w:val="clear" w:color="auto" w:fill="FFFFFF"/>
          </w:tcPr>
          <w:p w14:paraId="7FD7EB3C">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肝脏</w:t>
            </w:r>
          </w:p>
        </w:tc>
        <w:tc>
          <w:tcPr>
            <w:tcW w:w="3403" w:type="dxa"/>
            <w:tcBorders>
              <w:top w:val="nil"/>
              <w:left w:val="single" w:color="auto" w:sz="4" w:space="0"/>
              <w:bottom w:val="nil"/>
              <w:right w:val="single" w:color="auto" w:sz="4" w:space="0"/>
            </w:tcBorders>
            <w:shd w:val="clear" w:color="auto" w:fill="FFFFFF"/>
          </w:tcPr>
          <w:p w14:paraId="73A5C4F1">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电子束</w:t>
            </w:r>
          </w:p>
        </w:tc>
      </w:tr>
      <w:tr w14:paraId="14A1DF8F">
        <w:tblPrEx>
          <w:tblCellMar>
            <w:top w:w="0" w:type="dxa"/>
            <w:left w:w="108" w:type="dxa"/>
            <w:bottom w:w="0" w:type="dxa"/>
            <w:right w:w="108" w:type="dxa"/>
          </w:tblCellMar>
        </w:tblPrEx>
        <w:tc>
          <w:tcPr>
            <w:tcW w:w="2832" w:type="dxa"/>
            <w:tcBorders>
              <w:top w:val="nil"/>
              <w:left w:val="single" w:color="auto" w:sz="4" w:space="0"/>
              <w:bottom w:val="nil"/>
              <w:right w:val="nil"/>
            </w:tcBorders>
            <w:shd w:val="clear" w:color="auto" w:fill="FFFFFF"/>
          </w:tcPr>
          <w:p w14:paraId="44E21B50">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泌尿生殖</w:t>
            </w:r>
          </w:p>
        </w:tc>
        <w:tc>
          <w:tcPr>
            <w:tcW w:w="2213" w:type="dxa"/>
            <w:tcBorders>
              <w:top w:val="nil"/>
              <w:left w:val="single" w:color="auto" w:sz="4" w:space="0"/>
              <w:bottom w:val="nil"/>
              <w:right w:val="nil"/>
            </w:tcBorders>
            <w:shd w:val="clear" w:color="auto" w:fill="FFFFFF"/>
          </w:tcPr>
          <w:p w14:paraId="1D566CB5">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肺</w:t>
            </w:r>
          </w:p>
        </w:tc>
        <w:tc>
          <w:tcPr>
            <w:tcW w:w="3403" w:type="dxa"/>
            <w:tcBorders>
              <w:top w:val="nil"/>
              <w:left w:val="single" w:color="auto" w:sz="4" w:space="0"/>
              <w:bottom w:val="nil"/>
              <w:right w:val="single" w:color="auto" w:sz="4" w:space="0"/>
            </w:tcBorders>
            <w:shd w:val="clear" w:color="auto" w:fill="FFFFFF"/>
          </w:tcPr>
          <w:p w14:paraId="58E7E7B8">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环氧乙烷</w:t>
            </w:r>
            <w:r>
              <w:rPr>
                <w:rFonts w:ascii="Times New Roman" w:hAnsi="Times New Roman" w:cs="Times New Roman"/>
                <w:i/>
                <w:color w:val="auto"/>
                <w:sz w:val="18"/>
                <w:szCs w:val="18"/>
              </w:rPr>
              <w:t>(ETO)</w:t>
            </w:r>
          </w:p>
        </w:tc>
      </w:tr>
      <w:tr w14:paraId="32F04A0D">
        <w:tblPrEx>
          <w:tblCellMar>
            <w:top w:w="0" w:type="dxa"/>
            <w:left w:w="108" w:type="dxa"/>
            <w:bottom w:w="0" w:type="dxa"/>
            <w:right w:w="108" w:type="dxa"/>
          </w:tblCellMar>
        </w:tblPrEx>
        <w:tc>
          <w:tcPr>
            <w:tcW w:w="2832" w:type="dxa"/>
            <w:tcBorders>
              <w:top w:val="nil"/>
              <w:left w:val="single" w:color="auto" w:sz="4" w:space="0"/>
              <w:bottom w:val="nil"/>
              <w:right w:val="nil"/>
            </w:tcBorders>
            <w:shd w:val="clear" w:color="auto" w:fill="FFFFFF"/>
          </w:tcPr>
          <w:p w14:paraId="35228E6C">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其他</w:t>
            </w:r>
          </w:p>
        </w:tc>
        <w:tc>
          <w:tcPr>
            <w:tcW w:w="2213" w:type="dxa"/>
            <w:tcBorders>
              <w:top w:val="nil"/>
              <w:left w:val="single" w:color="auto" w:sz="4" w:space="0"/>
              <w:bottom w:val="nil"/>
              <w:right w:val="nil"/>
            </w:tcBorders>
            <w:shd w:val="clear" w:color="auto" w:fill="FFFFFF"/>
          </w:tcPr>
          <w:p w14:paraId="1F5AB205">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肌肉</w:t>
            </w:r>
          </w:p>
        </w:tc>
        <w:tc>
          <w:tcPr>
            <w:tcW w:w="3403" w:type="dxa"/>
            <w:tcBorders>
              <w:top w:val="nil"/>
              <w:left w:val="single" w:color="auto" w:sz="4" w:space="0"/>
              <w:bottom w:val="nil"/>
              <w:right w:val="single" w:color="auto" w:sz="4" w:space="0"/>
            </w:tcBorders>
            <w:shd w:val="clear" w:color="auto" w:fill="FFFFFF"/>
          </w:tcPr>
          <w:p w14:paraId="1CD6C91B">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过滤</w:t>
            </w:r>
          </w:p>
        </w:tc>
      </w:tr>
      <w:tr w14:paraId="7D5D748E">
        <w:tblPrEx>
          <w:tblCellMar>
            <w:top w:w="0" w:type="dxa"/>
            <w:left w:w="108" w:type="dxa"/>
            <w:bottom w:w="0" w:type="dxa"/>
            <w:right w:w="108" w:type="dxa"/>
          </w:tblCellMar>
        </w:tblPrEx>
        <w:tc>
          <w:tcPr>
            <w:tcW w:w="2832" w:type="dxa"/>
            <w:tcBorders>
              <w:top w:val="single" w:color="auto" w:sz="4" w:space="0"/>
              <w:left w:val="nil"/>
              <w:bottom w:val="nil"/>
              <w:right w:val="nil"/>
            </w:tcBorders>
            <w:shd w:val="clear" w:color="auto" w:fill="FFFFFF"/>
          </w:tcPr>
          <w:p w14:paraId="2CECBC83">
            <w:pPr>
              <w:adjustRightInd w:val="0"/>
              <w:snapToGrid w:val="0"/>
              <w:spacing w:line="300" w:lineRule="auto"/>
              <w:jc w:val="both"/>
              <w:rPr>
                <w:rFonts w:ascii="Times New Roman" w:hAnsi="Times New Roman" w:cs="Times New Roman"/>
                <w:i/>
                <w:color w:val="auto"/>
                <w:sz w:val="18"/>
                <w:szCs w:val="18"/>
              </w:rPr>
            </w:pPr>
          </w:p>
        </w:tc>
        <w:tc>
          <w:tcPr>
            <w:tcW w:w="2213" w:type="dxa"/>
            <w:tcBorders>
              <w:top w:val="nil"/>
              <w:left w:val="single" w:color="auto" w:sz="4" w:space="0"/>
              <w:bottom w:val="nil"/>
              <w:right w:val="nil"/>
            </w:tcBorders>
            <w:shd w:val="clear" w:color="auto" w:fill="FFFFFF"/>
          </w:tcPr>
          <w:p w14:paraId="77E7B3CF">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眼部</w:t>
            </w:r>
          </w:p>
        </w:tc>
        <w:tc>
          <w:tcPr>
            <w:tcW w:w="3403" w:type="dxa"/>
            <w:tcBorders>
              <w:top w:val="nil"/>
              <w:left w:val="single" w:color="auto" w:sz="4" w:space="0"/>
              <w:bottom w:val="nil"/>
              <w:right w:val="single" w:color="auto" w:sz="4" w:space="0"/>
            </w:tcBorders>
            <w:shd w:val="clear" w:color="auto" w:fill="FFFFFF"/>
          </w:tcPr>
          <w:p w14:paraId="4BF8ABC2">
            <w:pPr>
              <w:adjustRightInd w:val="0"/>
              <w:snapToGrid w:val="0"/>
              <w:spacing w:line="300" w:lineRule="auto"/>
              <w:jc w:val="both"/>
              <w:rPr>
                <w:rFonts w:ascii="Times New Roman" w:hAnsi="Times New Roman" w:cs="Times New Roman"/>
                <w:i/>
                <w:color w:val="auto"/>
                <w:sz w:val="18"/>
                <w:szCs w:val="18"/>
              </w:rPr>
            </w:pPr>
            <w:r>
              <w:rPr>
                <w:rFonts w:ascii="Times New Roman" w:hAnsi="Times New Roman" w:cs="Times New Roman"/>
                <w:i/>
                <w:color w:val="auto"/>
                <w:sz w:val="18"/>
                <w:szCs w:val="18"/>
              </w:rPr>
              <w:t>γ</w:t>
            </w:r>
            <w:r>
              <w:rPr>
                <w:rFonts w:hint="eastAsia" w:ascii="Times New Roman" w:cs="Times New Roman"/>
                <w:i/>
                <w:color w:val="auto"/>
                <w:sz w:val="18"/>
                <w:szCs w:val="18"/>
              </w:rPr>
              <w:t>射线，空气</w:t>
            </w:r>
          </w:p>
        </w:tc>
      </w:tr>
      <w:tr w14:paraId="4D3328F8">
        <w:tblPrEx>
          <w:tblCellMar>
            <w:top w:w="0" w:type="dxa"/>
            <w:left w:w="108" w:type="dxa"/>
            <w:bottom w:w="0" w:type="dxa"/>
            <w:right w:w="108" w:type="dxa"/>
          </w:tblCellMar>
        </w:tblPrEx>
        <w:tc>
          <w:tcPr>
            <w:tcW w:w="2832" w:type="dxa"/>
            <w:tcBorders>
              <w:top w:val="nil"/>
              <w:left w:val="nil"/>
              <w:bottom w:val="nil"/>
              <w:right w:val="nil"/>
            </w:tcBorders>
            <w:shd w:val="clear" w:color="auto" w:fill="FFFFFF"/>
          </w:tcPr>
          <w:p w14:paraId="08A70A4B">
            <w:pPr>
              <w:adjustRightInd w:val="0"/>
              <w:snapToGrid w:val="0"/>
              <w:spacing w:line="300" w:lineRule="auto"/>
              <w:jc w:val="both"/>
              <w:rPr>
                <w:rFonts w:ascii="Times New Roman" w:hAnsi="Times New Roman" w:cs="Times New Roman"/>
                <w:i/>
                <w:color w:val="auto"/>
                <w:sz w:val="18"/>
                <w:szCs w:val="18"/>
              </w:rPr>
            </w:pPr>
          </w:p>
        </w:tc>
        <w:tc>
          <w:tcPr>
            <w:tcW w:w="2213" w:type="dxa"/>
            <w:tcBorders>
              <w:top w:val="nil"/>
              <w:left w:val="single" w:color="auto" w:sz="4" w:space="0"/>
              <w:bottom w:val="nil"/>
              <w:right w:val="nil"/>
            </w:tcBorders>
            <w:shd w:val="clear" w:color="auto" w:fill="FFFFFF"/>
          </w:tcPr>
          <w:p w14:paraId="6BFDA7A9">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口腔粘膜</w:t>
            </w:r>
          </w:p>
        </w:tc>
        <w:tc>
          <w:tcPr>
            <w:tcW w:w="3403" w:type="dxa"/>
            <w:tcBorders>
              <w:top w:val="nil"/>
              <w:left w:val="single" w:color="auto" w:sz="4" w:space="0"/>
              <w:bottom w:val="nil"/>
              <w:right w:val="single" w:color="auto" w:sz="4" w:space="0"/>
            </w:tcBorders>
            <w:shd w:val="clear" w:color="auto" w:fill="FFFFFF"/>
          </w:tcPr>
          <w:p w14:paraId="1F4B8D9F">
            <w:pPr>
              <w:adjustRightInd w:val="0"/>
              <w:snapToGrid w:val="0"/>
              <w:spacing w:line="300" w:lineRule="auto"/>
              <w:jc w:val="both"/>
              <w:rPr>
                <w:rFonts w:ascii="Times New Roman" w:hAnsi="Times New Roman" w:cs="Times New Roman"/>
                <w:i/>
                <w:color w:val="auto"/>
                <w:sz w:val="18"/>
                <w:szCs w:val="18"/>
              </w:rPr>
            </w:pPr>
            <w:r>
              <w:rPr>
                <w:rFonts w:ascii="Times New Roman" w:hAnsi="Times New Roman" w:cs="Times New Roman"/>
                <w:i/>
                <w:color w:val="auto"/>
                <w:sz w:val="18"/>
                <w:szCs w:val="18"/>
              </w:rPr>
              <w:t>γ</w:t>
            </w:r>
            <w:r>
              <w:rPr>
                <w:rFonts w:hint="eastAsia" w:ascii="Times New Roman" w:cs="Times New Roman"/>
                <w:i/>
                <w:color w:val="auto"/>
                <w:sz w:val="18"/>
                <w:szCs w:val="18"/>
              </w:rPr>
              <w:t>射线，惰性气体</w:t>
            </w:r>
          </w:p>
        </w:tc>
      </w:tr>
      <w:tr w14:paraId="5839FF28">
        <w:tblPrEx>
          <w:tblCellMar>
            <w:top w:w="0" w:type="dxa"/>
            <w:left w:w="108" w:type="dxa"/>
            <w:bottom w:w="0" w:type="dxa"/>
            <w:right w:w="108" w:type="dxa"/>
          </w:tblCellMar>
        </w:tblPrEx>
        <w:tc>
          <w:tcPr>
            <w:tcW w:w="2832" w:type="dxa"/>
            <w:tcBorders>
              <w:top w:val="nil"/>
              <w:left w:val="nil"/>
              <w:bottom w:val="nil"/>
              <w:right w:val="nil"/>
            </w:tcBorders>
            <w:shd w:val="clear" w:color="auto" w:fill="FFFFFF"/>
          </w:tcPr>
          <w:p w14:paraId="52604D44">
            <w:pPr>
              <w:adjustRightInd w:val="0"/>
              <w:snapToGrid w:val="0"/>
              <w:spacing w:line="300" w:lineRule="auto"/>
              <w:jc w:val="both"/>
              <w:rPr>
                <w:rFonts w:ascii="Times New Roman" w:hAnsi="Times New Roman" w:cs="Times New Roman"/>
                <w:i/>
                <w:color w:val="auto"/>
                <w:sz w:val="18"/>
                <w:szCs w:val="18"/>
              </w:rPr>
            </w:pPr>
          </w:p>
        </w:tc>
        <w:tc>
          <w:tcPr>
            <w:tcW w:w="2213" w:type="dxa"/>
            <w:tcBorders>
              <w:top w:val="nil"/>
              <w:left w:val="single" w:color="auto" w:sz="4" w:space="0"/>
              <w:bottom w:val="nil"/>
              <w:right w:val="nil"/>
            </w:tcBorders>
            <w:shd w:val="clear" w:color="auto" w:fill="FFFFFF"/>
          </w:tcPr>
          <w:p w14:paraId="1BD40F5A">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肺</w:t>
            </w:r>
          </w:p>
        </w:tc>
        <w:tc>
          <w:tcPr>
            <w:tcW w:w="3403" w:type="dxa"/>
            <w:tcBorders>
              <w:top w:val="nil"/>
              <w:left w:val="single" w:color="auto" w:sz="4" w:space="0"/>
              <w:bottom w:val="nil"/>
              <w:right w:val="single" w:color="auto" w:sz="4" w:space="0"/>
            </w:tcBorders>
            <w:shd w:val="clear" w:color="auto" w:fill="FFFFFF"/>
          </w:tcPr>
          <w:p w14:paraId="0FEE3D23">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过氧化氢</w:t>
            </w:r>
          </w:p>
        </w:tc>
      </w:tr>
      <w:tr w14:paraId="1EC841A3">
        <w:tblPrEx>
          <w:tblCellMar>
            <w:top w:w="0" w:type="dxa"/>
            <w:left w:w="108" w:type="dxa"/>
            <w:bottom w:w="0" w:type="dxa"/>
            <w:right w:w="108" w:type="dxa"/>
          </w:tblCellMar>
        </w:tblPrEx>
        <w:tc>
          <w:tcPr>
            <w:tcW w:w="2832" w:type="dxa"/>
            <w:tcBorders>
              <w:top w:val="nil"/>
              <w:left w:val="nil"/>
              <w:bottom w:val="nil"/>
              <w:right w:val="nil"/>
            </w:tcBorders>
            <w:shd w:val="clear" w:color="auto" w:fill="FFFFFF"/>
          </w:tcPr>
          <w:p w14:paraId="26B9B6EB">
            <w:pPr>
              <w:adjustRightInd w:val="0"/>
              <w:snapToGrid w:val="0"/>
              <w:spacing w:line="300" w:lineRule="auto"/>
              <w:jc w:val="both"/>
              <w:rPr>
                <w:rFonts w:ascii="Times New Roman" w:hAnsi="Times New Roman" w:cs="Times New Roman"/>
                <w:i/>
                <w:color w:val="auto"/>
                <w:sz w:val="18"/>
                <w:szCs w:val="18"/>
              </w:rPr>
            </w:pPr>
          </w:p>
        </w:tc>
        <w:tc>
          <w:tcPr>
            <w:tcW w:w="2213" w:type="dxa"/>
            <w:tcBorders>
              <w:top w:val="nil"/>
              <w:left w:val="single" w:color="auto" w:sz="4" w:space="0"/>
              <w:bottom w:val="nil"/>
              <w:right w:val="nil"/>
            </w:tcBorders>
            <w:shd w:val="clear" w:color="auto" w:fill="FFFFFF"/>
          </w:tcPr>
          <w:p w14:paraId="0088F3BC">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直肠</w:t>
            </w:r>
          </w:p>
        </w:tc>
        <w:tc>
          <w:tcPr>
            <w:tcW w:w="3403" w:type="dxa"/>
            <w:tcBorders>
              <w:top w:val="nil"/>
              <w:left w:val="single" w:color="auto" w:sz="4" w:space="0"/>
              <w:bottom w:val="nil"/>
              <w:right w:val="single" w:color="auto" w:sz="4" w:space="0"/>
            </w:tcBorders>
            <w:shd w:val="clear" w:color="auto" w:fill="FFFFFF"/>
          </w:tcPr>
          <w:p w14:paraId="0BB8092D">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无菌溶液</w:t>
            </w:r>
          </w:p>
        </w:tc>
      </w:tr>
      <w:tr w14:paraId="3B8A2C87">
        <w:tblPrEx>
          <w:tblCellMar>
            <w:top w:w="0" w:type="dxa"/>
            <w:left w:w="108" w:type="dxa"/>
            <w:bottom w:w="0" w:type="dxa"/>
            <w:right w:w="108" w:type="dxa"/>
          </w:tblCellMar>
        </w:tblPrEx>
        <w:tc>
          <w:tcPr>
            <w:tcW w:w="2832" w:type="dxa"/>
            <w:tcBorders>
              <w:top w:val="nil"/>
              <w:left w:val="nil"/>
              <w:bottom w:val="nil"/>
              <w:right w:val="nil"/>
            </w:tcBorders>
            <w:shd w:val="clear" w:color="auto" w:fill="FFFFFF"/>
          </w:tcPr>
          <w:p w14:paraId="6EE556CE">
            <w:pPr>
              <w:adjustRightInd w:val="0"/>
              <w:snapToGrid w:val="0"/>
              <w:spacing w:line="300" w:lineRule="auto"/>
              <w:jc w:val="both"/>
              <w:rPr>
                <w:rFonts w:ascii="Times New Roman" w:hAnsi="Times New Roman" w:cs="Times New Roman"/>
                <w:i/>
                <w:color w:val="auto"/>
                <w:sz w:val="18"/>
                <w:szCs w:val="18"/>
              </w:rPr>
            </w:pPr>
          </w:p>
        </w:tc>
        <w:tc>
          <w:tcPr>
            <w:tcW w:w="2213" w:type="dxa"/>
            <w:tcBorders>
              <w:top w:val="nil"/>
              <w:left w:val="single" w:color="auto" w:sz="4" w:space="0"/>
              <w:bottom w:val="nil"/>
              <w:right w:val="nil"/>
            </w:tcBorders>
            <w:shd w:val="clear" w:color="auto" w:fill="FFFFFF"/>
          </w:tcPr>
          <w:p w14:paraId="5FA8EADA">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生殖，女性</w:t>
            </w:r>
          </w:p>
        </w:tc>
        <w:tc>
          <w:tcPr>
            <w:tcW w:w="3403" w:type="dxa"/>
            <w:tcBorders>
              <w:top w:val="nil"/>
              <w:left w:val="single" w:color="auto" w:sz="4" w:space="0"/>
              <w:bottom w:val="nil"/>
              <w:right w:val="single" w:color="auto" w:sz="4" w:space="0"/>
            </w:tcBorders>
            <w:shd w:val="clear" w:color="auto" w:fill="FFFFFF"/>
          </w:tcPr>
          <w:p w14:paraId="5E2F493E">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蒸汽</w:t>
            </w:r>
          </w:p>
        </w:tc>
      </w:tr>
      <w:tr w14:paraId="3C3DCF90">
        <w:tblPrEx>
          <w:tblCellMar>
            <w:top w:w="0" w:type="dxa"/>
            <w:left w:w="108" w:type="dxa"/>
            <w:bottom w:w="0" w:type="dxa"/>
            <w:right w:w="108" w:type="dxa"/>
          </w:tblCellMar>
        </w:tblPrEx>
        <w:tc>
          <w:tcPr>
            <w:tcW w:w="2832" w:type="dxa"/>
            <w:tcBorders>
              <w:top w:val="nil"/>
              <w:left w:val="nil"/>
              <w:bottom w:val="nil"/>
              <w:right w:val="nil"/>
            </w:tcBorders>
            <w:shd w:val="clear" w:color="auto" w:fill="FFFFFF"/>
          </w:tcPr>
          <w:p w14:paraId="7C643B88">
            <w:pPr>
              <w:adjustRightInd w:val="0"/>
              <w:snapToGrid w:val="0"/>
              <w:spacing w:line="300" w:lineRule="auto"/>
              <w:jc w:val="both"/>
              <w:rPr>
                <w:rFonts w:ascii="Times New Roman" w:hAnsi="Times New Roman" w:cs="Times New Roman"/>
                <w:i/>
                <w:color w:val="auto"/>
                <w:sz w:val="18"/>
                <w:szCs w:val="18"/>
              </w:rPr>
            </w:pPr>
          </w:p>
        </w:tc>
        <w:tc>
          <w:tcPr>
            <w:tcW w:w="2213" w:type="dxa"/>
            <w:tcBorders>
              <w:top w:val="nil"/>
              <w:left w:val="single" w:color="auto" w:sz="4" w:space="0"/>
              <w:bottom w:val="nil"/>
              <w:right w:val="nil"/>
            </w:tcBorders>
            <w:shd w:val="clear" w:color="auto" w:fill="FFFFFF"/>
          </w:tcPr>
          <w:p w14:paraId="69B97FA8">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生殖，男性</w:t>
            </w:r>
          </w:p>
        </w:tc>
        <w:tc>
          <w:tcPr>
            <w:tcW w:w="3403" w:type="dxa"/>
            <w:tcBorders>
              <w:top w:val="nil"/>
              <w:left w:val="single" w:color="auto" w:sz="4" w:space="0"/>
              <w:bottom w:val="nil"/>
              <w:right w:val="single" w:color="auto" w:sz="4" w:space="0"/>
            </w:tcBorders>
            <w:shd w:val="clear" w:color="auto" w:fill="FFFFFF"/>
          </w:tcPr>
          <w:p w14:paraId="090AEA2C">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非无菌</w:t>
            </w:r>
          </w:p>
        </w:tc>
      </w:tr>
      <w:tr w14:paraId="3E742DB4">
        <w:tblPrEx>
          <w:tblCellMar>
            <w:top w:w="0" w:type="dxa"/>
            <w:left w:w="108" w:type="dxa"/>
            <w:bottom w:w="0" w:type="dxa"/>
            <w:right w:w="108" w:type="dxa"/>
          </w:tblCellMar>
        </w:tblPrEx>
        <w:tc>
          <w:tcPr>
            <w:tcW w:w="2832" w:type="dxa"/>
            <w:tcBorders>
              <w:top w:val="nil"/>
              <w:left w:val="nil"/>
              <w:bottom w:val="nil"/>
              <w:right w:val="nil"/>
            </w:tcBorders>
            <w:shd w:val="clear" w:color="auto" w:fill="FFFFFF"/>
          </w:tcPr>
          <w:p w14:paraId="1F186E55">
            <w:pPr>
              <w:adjustRightInd w:val="0"/>
              <w:snapToGrid w:val="0"/>
              <w:spacing w:line="300" w:lineRule="auto"/>
              <w:jc w:val="both"/>
              <w:rPr>
                <w:rFonts w:ascii="Times New Roman" w:hAnsi="Times New Roman" w:cs="Times New Roman"/>
                <w:i/>
                <w:color w:val="auto"/>
                <w:sz w:val="18"/>
                <w:szCs w:val="18"/>
              </w:rPr>
            </w:pPr>
          </w:p>
        </w:tc>
        <w:tc>
          <w:tcPr>
            <w:tcW w:w="2213" w:type="dxa"/>
            <w:tcBorders>
              <w:top w:val="nil"/>
              <w:left w:val="single" w:color="auto" w:sz="4" w:space="0"/>
              <w:bottom w:val="nil"/>
              <w:right w:val="nil"/>
            </w:tcBorders>
            <w:shd w:val="clear" w:color="auto" w:fill="FFFFFF"/>
          </w:tcPr>
          <w:p w14:paraId="559A18D9">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皮肤</w:t>
            </w:r>
          </w:p>
        </w:tc>
        <w:tc>
          <w:tcPr>
            <w:tcW w:w="3403" w:type="dxa"/>
            <w:tcBorders>
              <w:top w:val="nil"/>
              <w:left w:val="single" w:color="auto" w:sz="4" w:space="0"/>
              <w:bottom w:val="nil"/>
              <w:right w:val="single" w:color="auto" w:sz="4" w:space="0"/>
            </w:tcBorders>
            <w:shd w:val="clear" w:color="auto" w:fill="FFFFFF"/>
          </w:tcPr>
          <w:p w14:paraId="30297FDD">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其他</w:t>
            </w:r>
          </w:p>
        </w:tc>
      </w:tr>
      <w:tr w14:paraId="01DD86B8">
        <w:tblPrEx>
          <w:tblCellMar>
            <w:top w:w="0" w:type="dxa"/>
            <w:left w:w="108" w:type="dxa"/>
            <w:bottom w:w="0" w:type="dxa"/>
            <w:right w:w="108" w:type="dxa"/>
          </w:tblCellMar>
        </w:tblPrEx>
        <w:tc>
          <w:tcPr>
            <w:tcW w:w="2832" w:type="dxa"/>
            <w:tcBorders>
              <w:top w:val="nil"/>
              <w:left w:val="nil"/>
              <w:bottom w:val="nil"/>
              <w:right w:val="nil"/>
            </w:tcBorders>
            <w:shd w:val="clear" w:color="auto" w:fill="FFFFFF"/>
          </w:tcPr>
          <w:p w14:paraId="791BBEDB">
            <w:pPr>
              <w:adjustRightInd w:val="0"/>
              <w:snapToGrid w:val="0"/>
              <w:spacing w:line="300" w:lineRule="auto"/>
              <w:jc w:val="both"/>
              <w:rPr>
                <w:rFonts w:ascii="Times New Roman" w:hAnsi="Times New Roman" w:cs="Times New Roman"/>
                <w:i/>
                <w:color w:val="auto"/>
                <w:sz w:val="18"/>
                <w:szCs w:val="18"/>
              </w:rPr>
            </w:pPr>
          </w:p>
        </w:tc>
        <w:tc>
          <w:tcPr>
            <w:tcW w:w="2213" w:type="dxa"/>
            <w:tcBorders>
              <w:top w:val="nil"/>
              <w:left w:val="single" w:color="auto" w:sz="4" w:space="0"/>
              <w:bottom w:val="nil"/>
              <w:right w:val="nil"/>
            </w:tcBorders>
            <w:shd w:val="clear" w:color="auto" w:fill="FFFFFF"/>
          </w:tcPr>
          <w:p w14:paraId="4E422156">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皮下</w:t>
            </w:r>
          </w:p>
        </w:tc>
        <w:tc>
          <w:tcPr>
            <w:tcW w:w="3403" w:type="dxa"/>
            <w:tcBorders>
              <w:top w:val="single" w:color="auto" w:sz="4" w:space="0"/>
              <w:left w:val="single" w:color="auto" w:sz="4" w:space="0"/>
              <w:bottom w:val="nil"/>
              <w:right w:val="nil"/>
            </w:tcBorders>
            <w:shd w:val="clear" w:color="auto" w:fill="FFFFFF"/>
          </w:tcPr>
          <w:p w14:paraId="67E0FF35">
            <w:pPr>
              <w:adjustRightInd w:val="0"/>
              <w:snapToGrid w:val="0"/>
              <w:spacing w:line="300" w:lineRule="auto"/>
              <w:jc w:val="both"/>
              <w:rPr>
                <w:rFonts w:ascii="Times New Roman" w:hAnsi="Times New Roman" w:cs="Times New Roman"/>
                <w:i/>
                <w:color w:val="auto"/>
                <w:sz w:val="18"/>
                <w:szCs w:val="18"/>
              </w:rPr>
            </w:pPr>
          </w:p>
        </w:tc>
      </w:tr>
      <w:tr w14:paraId="4B124708">
        <w:tblPrEx>
          <w:tblCellMar>
            <w:top w:w="0" w:type="dxa"/>
            <w:left w:w="108" w:type="dxa"/>
            <w:bottom w:w="0" w:type="dxa"/>
            <w:right w:w="108" w:type="dxa"/>
          </w:tblCellMar>
        </w:tblPrEx>
        <w:tc>
          <w:tcPr>
            <w:tcW w:w="2832" w:type="dxa"/>
            <w:tcBorders>
              <w:top w:val="nil"/>
              <w:left w:val="nil"/>
              <w:bottom w:val="nil"/>
              <w:right w:val="nil"/>
            </w:tcBorders>
            <w:shd w:val="clear" w:color="auto" w:fill="FFFFFF"/>
          </w:tcPr>
          <w:p w14:paraId="26348002">
            <w:pPr>
              <w:adjustRightInd w:val="0"/>
              <w:snapToGrid w:val="0"/>
              <w:spacing w:line="300" w:lineRule="auto"/>
              <w:jc w:val="both"/>
              <w:rPr>
                <w:rFonts w:ascii="Times New Roman" w:hAnsi="Times New Roman" w:cs="Times New Roman"/>
                <w:i/>
                <w:color w:val="auto"/>
                <w:sz w:val="18"/>
                <w:szCs w:val="18"/>
              </w:rPr>
            </w:pPr>
          </w:p>
        </w:tc>
        <w:tc>
          <w:tcPr>
            <w:tcW w:w="2213" w:type="dxa"/>
            <w:tcBorders>
              <w:top w:val="nil"/>
              <w:left w:val="single" w:color="auto" w:sz="4" w:space="0"/>
              <w:bottom w:val="nil"/>
              <w:right w:val="nil"/>
            </w:tcBorders>
            <w:shd w:val="clear" w:color="auto" w:fill="FFFFFF"/>
          </w:tcPr>
          <w:p w14:paraId="6C9ED6ED">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滑膜</w:t>
            </w:r>
          </w:p>
        </w:tc>
        <w:tc>
          <w:tcPr>
            <w:tcW w:w="3403" w:type="dxa"/>
            <w:tcBorders>
              <w:top w:val="nil"/>
              <w:left w:val="single" w:color="auto" w:sz="4" w:space="0"/>
              <w:bottom w:val="nil"/>
              <w:right w:val="nil"/>
            </w:tcBorders>
            <w:shd w:val="clear" w:color="auto" w:fill="FFFFFF"/>
          </w:tcPr>
          <w:p w14:paraId="7209C1A8">
            <w:pPr>
              <w:adjustRightInd w:val="0"/>
              <w:snapToGrid w:val="0"/>
              <w:spacing w:line="300" w:lineRule="auto"/>
              <w:jc w:val="both"/>
              <w:rPr>
                <w:rFonts w:ascii="Times New Roman" w:hAnsi="Times New Roman" w:cs="Times New Roman"/>
                <w:i/>
                <w:color w:val="auto"/>
                <w:sz w:val="18"/>
                <w:szCs w:val="18"/>
              </w:rPr>
            </w:pPr>
          </w:p>
        </w:tc>
      </w:tr>
      <w:tr w14:paraId="634E07E0">
        <w:tblPrEx>
          <w:tblCellMar>
            <w:top w:w="0" w:type="dxa"/>
            <w:left w:w="108" w:type="dxa"/>
            <w:bottom w:w="0" w:type="dxa"/>
            <w:right w:w="108" w:type="dxa"/>
          </w:tblCellMar>
        </w:tblPrEx>
        <w:tc>
          <w:tcPr>
            <w:tcW w:w="2832" w:type="dxa"/>
            <w:tcBorders>
              <w:top w:val="nil"/>
              <w:left w:val="nil"/>
              <w:bottom w:val="nil"/>
              <w:right w:val="nil"/>
            </w:tcBorders>
            <w:shd w:val="clear" w:color="auto" w:fill="FFFFFF"/>
          </w:tcPr>
          <w:p w14:paraId="2B4549CA">
            <w:pPr>
              <w:adjustRightInd w:val="0"/>
              <w:snapToGrid w:val="0"/>
              <w:spacing w:line="300" w:lineRule="auto"/>
              <w:jc w:val="both"/>
              <w:rPr>
                <w:rFonts w:ascii="Times New Roman" w:hAnsi="Times New Roman" w:cs="Times New Roman"/>
                <w:i/>
                <w:color w:val="auto"/>
                <w:sz w:val="18"/>
                <w:szCs w:val="18"/>
              </w:rPr>
            </w:pPr>
          </w:p>
        </w:tc>
        <w:tc>
          <w:tcPr>
            <w:tcW w:w="2213" w:type="dxa"/>
            <w:tcBorders>
              <w:top w:val="nil"/>
              <w:left w:val="single" w:color="auto" w:sz="4" w:space="0"/>
              <w:bottom w:val="nil"/>
              <w:right w:val="nil"/>
            </w:tcBorders>
            <w:shd w:val="clear" w:color="auto" w:fill="FFFFFF"/>
          </w:tcPr>
          <w:p w14:paraId="4D5BA5AD">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牙</w:t>
            </w:r>
          </w:p>
        </w:tc>
        <w:tc>
          <w:tcPr>
            <w:tcW w:w="3403" w:type="dxa"/>
            <w:tcBorders>
              <w:top w:val="nil"/>
              <w:left w:val="single" w:color="auto" w:sz="4" w:space="0"/>
              <w:bottom w:val="nil"/>
              <w:right w:val="nil"/>
            </w:tcBorders>
            <w:shd w:val="clear" w:color="auto" w:fill="FFFFFF"/>
          </w:tcPr>
          <w:p w14:paraId="66D69B4A">
            <w:pPr>
              <w:adjustRightInd w:val="0"/>
              <w:snapToGrid w:val="0"/>
              <w:spacing w:line="300" w:lineRule="auto"/>
              <w:jc w:val="both"/>
              <w:rPr>
                <w:rFonts w:ascii="Times New Roman" w:hAnsi="Times New Roman" w:cs="Times New Roman"/>
                <w:i/>
                <w:color w:val="auto"/>
                <w:sz w:val="18"/>
                <w:szCs w:val="18"/>
              </w:rPr>
            </w:pPr>
          </w:p>
        </w:tc>
      </w:tr>
      <w:tr w14:paraId="3D6FD789">
        <w:tblPrEx>
          <w:tblCellMar>
            <w:top w:w="0" w:type="dxa"/>
            <w:left w:w="108" w:type="dxa"/>
            <w:bottom w:w="0" w:type="dxa"/>
            <w:right w:w="108" w:type="dxa"/>
          </w:tblCellMar>
        </w:tblPrEx>
        <w:tc>
          <w:tcPr>
            <w:tcW w:w="2832" w:type="dxa"/>
            <w:tcBorders>
              <w:top w:val="nil"/>
              <w:left w:val="nil"/>
              <w:bottom w:val="nil"/>
              <w:right w:val="nil"/>
            </w:tcBorders>
            <w:shd w:val="clear" w:color="auto" w:fill="FFFFFF"/>
          </w:tcPr>
          <w:p w14:paraId="656FF329">
            <w:pPr>
              <w:adjustRightInd w:val="0"/>
              <w:snapToGrid w:val="0"/>
              <w:spacing w:line="300" w:lineRule="auto"/>
              <w:jc w:val="both"/>
              <w:rPr>
                <w:rFonts w:ascii="Times New Roman" w:hAnsi="Times New Roman" w:cs="Times New Roman"/>
                <w:i/>
                <w:color w:val="auto"/>
                <w:sz w:val="18"/>
                <w:szCs w:val="18"/>
              </w:rPr>
            </w:pPr>
          </w:p>
        </w:tc>
        <w:tc>
          <w:tcPr>
            <w:tcW w:w="2213" w:type="dxa"/>
            <w:tcBorders>
              <w:top w:val="nil"/>
              <w:left w:val="single" w:color="auto" w:sz="4" w:space="0"/>
              <w:bottom w:val="nil"/>
              <w:right w:val="nil"/>
            </w:tcBorders>
            <w:shd w:val="clear" w:color="auto" w:fill="FFFFFF"/>
          </w:tcPr>
          <w:p w14:paraId="17F16492">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脉管</w:t>
            </w:r>
          </w:p>
        </w:tc>
        <w:tc>
          <w:tcPr>
            <w:tcW w:w="3403" w:type="dxa"/>
            <w:tcBorders>
              <w:top w:val="nil"/>
              <w:left w:val="single" w:color="auto" w:sz="4" w:space="0"/>
              <w:bottom w:val="nil"/>
              <w:right w:val="nil"/>
            </w:tcBorders>
            <w:shd w:val="clear" w:color="auto" w:fill="FFFFFF"/>
          </w:tcPr>
          <w:p w14:paraId="1B8E1F94">
            <w:pPr>
              <w:adjustRightInd w:val="0"/>
              <w:snapToGrid w:val="0"/>
              <w:spacing w:line="300" w:lineRule="auto"/>
              <w:jc w:val="both"/>
              <w:rPr>
                <w:rFonts w:ascii="Times New Roman" w:hAnsi="Times New Roman" w:cs="Times New Roman"/>
                <w:i/>
                <w:color w:val="auto"/>
                <w:sz w:val="18"/>
                <w:szCs w:val="18"/>
              </w:rPr>
            </w:pPr>
          </w:p>
        </w:tc>
      </w:tr>
      <w:tr w14:paraId="757B3129">
        <w:tblPrEx>
          <w:tblCellMar>
            <w:top w:w="0" w:type="dxa"/>
            <w:left w:w="108" w:type="dxa"/>
            <w:bottom w:w="0" w:type="dxa"/>
            <w:right w:w="108" w:type="dxa"/>
          </w:tblCellMar>
        </w:tblPrEx>
        <w:tc>
          <w:tcPr>
            <w:tcW w:w="2832" w:type="dxa"/>
            <w:tcBorders>
              <w:top w:val="nil"/>
              <w:left w:val="nil"/>
              <w:bottom w:val="nil"/>
              <w:right w:val="nil"/>
            </w:tcBorders>
            <w:shd w:val="clear" w:color="auto" w:fill="FFFFFF"/>
          </w:tcPr>
          <w:p w14:paraId="638247B1">
            <w:pPr>
              <w:adjustRightInd w:val="0"/>
              <w:snapToGrid w:val="0"/>
              <w:spacing w:line="300" w:lineRule="auto"/>
              <w:jc w:val="both"/>
              <w:rPr>
                <w:rFonts w:ascii="Times New Roman" w:hAnsi="Times New Roman" w:cs="Times New Roman"/>
                <w:i/>
                <w:color w:val="auto"/>
                <w:sz w:val="18"/>
                <w:szCs w:val="18"/>
              </w:rPr>
            </w:pPr>
          </w:p>
        </w:tc>
        <w:tc>
          <w:tcPr>
            <w:tcW w:w="2213" w:type="dxa"/>
            <w:tcBorders>
              <w:top w:val="nil"/>
              <w:left w:val="single" w:color="auto" w:sz="4" w:space="0"/>
              <w:bottom w:val="single" w:color="auto" w:sz="4" w:space="0"/>
              <w:right w:val="nil"/>
            </w:tcBorders>
            <w:shd w:val="clear" w:color="auto" w:fill="FFFFFF"/>
          </w:tcPr>
          <w:p w14:paraId="6D77D4F2">
            <w:pPr>
              <w:adjustRightInd w:val="0"/>
              <w:snapToGrid w:val="0"/>
              <w:spacing w:line="300" w:lineRule="auto"/>
              <w:jc w:val="both"/>
              <w:rPr>
                <w:rFonts w:ascii="Times New Roman" w:hAnsi="Times New Roman" w:cs="Times New Roman"/>
                <w:i/>
                <w:color w:val="auto"/>
                <w:sz w:val="18"/>
                <w:szCs w:val="18"/>
              </w:rPr>
            </w:pPr>
            <w:r>
              <w:rPr>
                <w:rFonts w:hint="eastAsia" w:ascii="Times New Roman" w:cs="Times New Roman"/>
                <w:i/>
                <w:color w:val="auto"/>
                <w:sz w:val="18"/>
                <w:szCs w:val="18"/>
              </w:rPr>
              <w:t>其他</w:t>
            </w:r>
          </w:p>
        </w:tc>
        <w:tc>
          <w:tcPr>
            <w:tcW w:w="3403" w:type="dxa"/>
            <w:tcBorders>
              <w:top w:val="nil"/>
              <w:left w:val="single" w:color="auto" w:sz="4" w:space="0"/>
              <w:bottom w:val="nil"/>
              <w:right w:val="nil"/>
            </w:tcBorders>
            <w:shd w:val="clear" w:color="auto" w:fill="FFFFFF"/>
          </w:tcPr>
          <w:p w14:paraId="0E22B353">
            <w:pPr>
              <w:adjustRightInd w:val="0"/>
              <w:snapToGrid w:val="0"/>
              <w:spacing w:line="300" w:lineRule="auto"/>
              <w:jc w:val="both"/>
              <w:rPr>
                <w:rFonts w:ascii="Times New Roman" w:hAnsi="Times New Roman" w:cs="Times New Roman"/>
                <w:i/>
                <w:color w:val="auto"/>
                <w:sz w:val="18"/>
                <w:szCs w:val="18"/>
              </w:rPr>
            </w:pPr>
          </w:p>
        </w:tc>
      </w:tr>
    </w:tbl>
    <w:p w14:paraId="510A7740">
      <w:pPr>
        <w:adjustRightInd w:val="0"/>
        <w:snapToGrid w:val="0"/>
        <w:spacing w:line="360" w:lineRule="auto"/>
        <w:jc w:val="both"/>
        <w:rPr>
          <w:rFonts w:ascii="Times New Roman" w:hAnsi="Times New Roman" w:cs="Times New Roman"/>
          <w:b/>
          <w:color w:val="auto"/>
          <w:sz w:val="21"/>
          <w:szCs w:val="21"/>
        </w:rPr>
      </w:pPr>
      <w:r>
        <w:rPr>
          <w:rFonts w:ascii="Times New Roman" w:hAnsi="Times New Roman" w:cs="Times New Roman"/>
          <w:color w:val="auto"/>
          <w:sz w:val="21"/>
          <w:szCs w:val="21"/>
        </w:rPr>
        <w:br w:type="page"/>
      </w:r>
      <w:r>
        <w:rPr>
          <w:rFonts w:hint="eastAsia" w:ascii="Times New Roman" w:cs="Times New Roman"/>
          <w:b/>
          <w:color w:val="auto"/>
          <w:sz w:val="21"/>
          <w:szCs w:val="21"/>
        </w:rPr>
        <w:t>材料和动物产品信息</w:t>
      </w:r>
    </w:p>
    <w:p w14:paraId="0677C189">
      <w:pPr>
        <w:adjustRightInd w:val="0"/>
        <w:snapToGrid w:val="0"/>
        <w:spacing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使用下表，指出动物产品种类的原产国以及其他指示信息，器械中每个产品或组件对应一种形式</w:t>
      </w:r>
    </w:p>
    <w:p w14:paraId="53099CC7">
      <w:pPr>
        <w:adjustRightInd w:val="0"/>
        <w:snapToGrid w:val="0"/>
        <w:spacing w:line="360" w:lineRule="auto"/>
        <w:jc w:val="both"/>
        <w:rPr>
          <w:rFonts w:ascii="Times New Roman" w:hAnsi="Times New Roman" w:cs="Times New Roman"/>
          <w:color w:val="auto"/>
          <w:sz w:val="21"/>
          <w:szCs w:val="21"/>
        </w:rPr>
      </w:pPr>
      <w:r>
        <w:rPr>
          <w:rFonts w:hint="eastAsia" w:ascii="Times New Roman" w:cs="Times New Roman"/>
          <w:color w:val="auto"/>
          <w:sz w:val="21"/>
          <w:szCs w:val="21"/>
        </w:rPr>
        <w:t>组织，细胞及生物分子</w:t>
      </w:r>
      <w:r>
        <w:rPr>
          <w:rFonts w:ascii="Times New Roman" w:hAnsi="Times New Roman" w:cs="Times New Roman"/>
          <w:color w:val="auto"/>
          <w:sz w:val="21"/>
          <w:szCs w:val="21"/>
        </w:rPr>
        <w:t xml:space="preserve"> (</w:t>
      </w:r>
      <w:r>
        <w:rPr>
          <w:rFonts w:hint="eastAsia" w:ascii="Times New Roman" w:cs="Times New Roman"/>
          <w:color w:val="auto"/>
          <w:sz w:val="21"/>
          <w:szCs w:val="21"/>
        </w:rPr>
        <w:t>择其一</w:t>
      </w:r>
      <w:r>
        <w:rPr>
          <w:rFonts w:ascii="Times New Roman" w:hAnsi="Times New Roman" w:cs="Times New Roman"/>
          <w:color w:val="auto"/>
          <w:sz w:val="21"/>
          <w:szCs w:val="21"/>
        </w:rPr>
        <w:t>)</w:t>
      </w:r>
    </w:p>
    <w:tbl>
      <w:tblPr>
        <w:tblStyle w:val="8"/>
        <w:tblW w:w="5000" w:type="pct"/>
        <w:tblInd w:w="0" w:type="dxa"/>
        <w:tblLayout w:type="autofit"/>
        <w:tblCellMar>
          <w:top w:w="0" w:type="dxa"/>
          <w:left w:w="108" w:type="dxa"/>
          <w:bottom w:w="0" w:type="dxa"/>
          <w:right w:w="108" w:type="dxa"/>
        </w:tblCellMar>
      </w:tblPr>
      <w:tblGrid>
        <w:gridCol w:w="2670"/>
        <w:gridCol w:w="3153"/>
        <w:gridCol w:w="2708"/>
      </w:tblGrid>
      <w:tr w14:paraId="72418F34">
        <w:tblPrEx>
          <w:tblCellMar>
            <w:top w:w="0" w:type="dxa"/>
            <w:left w:w="108" w:type="dxa"/>
            <w:bottom w:w="0" w:type="dxa"/>
            <w:right w:w="108" w:type="dxa"/>
          </w:tblCellMar>
        </w:tblPrEx>
        <w:tc>
          <w:tcPr>
            <w:tcW w:w="1565" w:type="pct"/>
            <w:tcBorders>
              <w:top w:val="single" w:color="auto" w:sz="4" w:space="0"/>
              <w:left w:val="single" w:color="auto" w:sz="4" w:space="0"/>
              <w:bottom w:val="nil"/>
              <w:right w:val="nil"/>
            </w:tcBorders>
            <w:shd w:val="clear" w:color="auto" w:fill="FFFFFF"/>
          </w:tcPr>
          <w:p w14:paraId="004FEFAA">
            <w:pPr>
              <w:adjustRightInd w:val="0"/>
              <w:snapToGrid w:val="0"/>
              <w:spacing w:line="276" w:lineRule="auto"/>
              <w:jc w:val="both"/>
              <w:rPr>
                <w:rFonts w:ascii="Times New Roman" w:hAnsi="Times New Roman" w:cs="Times New Roman"/>
                <w:color w:val="auto"/>
                <w:sz w:val="18"/>
                <w:szCs w:val="18"/>
              </w:rPr>
            </w:pPr>
            <w:r>
              <w:rPr>
                <w:rFonts w:hint="eastAsia" w:ascii="Times New Roman" w:cs="Times New Roman"/>
                <w:color w:val="auto"/>
                <w:sz w:val="18"/>
                <w:szCs w:val="18"/>
              </w:rPr>
              <w:t>组织：</w:t>
            </w:r>
          </w:p>
        </w:tc>
        <w:tc>
          <w:tcPr>
            <w:tcW w:w="1848" w:type="pct"/>
            <w:tcBorders>
              <w:top w:val="single" w:color="auto" w:sz="4" w:space="0"/>
              <w:left w:val="nil"/>
              <w:bottom w:val="nil"/>
              <w:right w:val="nil"/>
            </w:tcBorders>
            <w:shd w:val="clear" w:color="auto" w:fill="FFFFFF"/>
          </w:tcPr>
          <w:p w14:paraId="5E8A56DA">
            <w:pPr>
              <w:adjustRightInd w:val="0"/>
              <w:snapToGrid w:val="0"/>
              <w:spacing w:line="276" w:lineRule="auto"/>
              <w:jc w:val="both"/>
              <w:rPr>
                <w:rFonts w:ascii="Times New Roman" w:hAnsi="Times New Roman" w:cs="Times New Roman"/>
                <w:color w:val="auto"/>
                <w:sz w:val="18"/>
                <w:szCs w:val="18"/>
              </w:rPr>
            </w:pPr>
            <w:r>
              <w:rPr>
                <w:rFonts w:hint="eastAsia" w:ascii="Times New Roman" w:cs="Times New Roman"/>
                <w:color w:val="auto"/>
                <w:sz w:val="18"/>
                <w:szCs w:val="18"/>
              </w:rPr>
              <w:t>生物分子：</w:t>
            </w:r>
          </w:p>
        </w:tc>
        <w:tc>
          <w:tcPr>
            <w:tcW w:w="1587" w:type="pct"/>
            <w:tcBorders>
              <w:top w:val="nil"/>
              <w:left w:val="single" w:color="auto" w:sz="4" w:space="0"/>
              <w:bottom w:val="nil"/>
              <w:right w:val="nil"/>
            </w:tcBorders>
            <w:shd w:val="clear" w:color="auto" w:fill="FFFFFF"/>
          </w:tcPr>
          <w:p w14:paraId="04A548E9">
            <w:pPr>
              <w:adjustRightInd w:val="0"/>
              <w:snapToGrid w:val="0"/>
              <w:spacing w:line="276" w:lineRule="auto"/>
              <w:jc w:val="both"/>
              <w:rPr>
                <w:rFonts w:ascii="Times New Roman" w:hAnsi="Times New Roman" w:cs="Times New Roman"/>
                <w:color w:val="auto"/>
                <w:sz w:val="18"/>
                <w:szCs w:val="18"/>
              </w:rPr>
            </w:pPr>
            <w:r>
              <w:rPr>
                <w:rFonts w:hint="eastAsia" w:ascii="Times New Roman" w:cs="Times New Roman"/>
                <w:color w:val="auto"/>
                <w:sz w:val="18"/>
                <w:szCs w:val="18"/>
              </w:rPr>
              <w:t>物种</w:t>
            </w:r>
          </w:p>
        </w:tc>
      </w:tr>
      <w:tr w14:paraId="0174A213">
        <w:tblPrEx>
          <w:tblCellMar>
            <w:top w:w="0" w:type="dxa"/>
            <w:left w:w="108" w:type="dxa"/>
            <w:bottom w:w="0" w:type="dxa"/>
            <w:right w:w="108" w:type="dxa"/>
          </w:tblCellMar>
        </w:tblPrEx>
        <w:tc>
          <w:tcPr>
            <w:tcW w:w="1565" w:type="pct"/>
            <w:tcBorders>
              <w:top w:val="nil"/>
              <w:left w:val="single" w:color="auto" w:sz="4" w:space="0"/>
              <w:bottom w:val="nil"/>
              <w:right w:val="nil"/>
            </w:tcBorders>
            <w:shd w:val="clear" w:color="auto" w:fill="FFFFFF"/>
          </w:tcPr>
          <w:p w14:paraId="03A17452">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血管</w:t>
            </w:r>
          </w:p>
        </w:tc>
        <w:tc>
          <w:tcPr>
            <w:tcW w:w="1848" w:type="pct"/>
            <w:tcBorders>
              <w:top w:val="nil"/>
              <w:left w:val="nil"/>
              <w:bottom w:val="nil"/>
              <w:right w:val="nil"/>
            </w:tcBorders>
            <w:shd w:val="clear" w:color="auto" w:fill="FFFFFF"/>
          </w:tcPr>
          <w:p w14:paraId="27B87F1A">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琼脂</w:t>
            </w:r>
          </w:p>
        </w:tc>
        <w:tc>
          <w:tcPr>
            <w:tcW w:w="1587" w:type="pct"/>
            <w:tcBorders>
              <w:top w:val="single" w:color="auto" w:sz="4" w:space="0"/>
              <w:left w:val="single" w:color="auto" w:sz="4" w:space="0"/>
              <w:bottom w:val="nil"/>
              <w:right w:val="single" w:color="auto" w:sz="4" w:space="0"/>
            </w:tcBorders>
            <w:shd w:val="clear" w:color="auto" w:fill="FFFFFF"/>
          </w:tcPr>
          <w:p w14:paraId="225ED44F">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细菌</w:t>
            </w:r>
          </w:p>
        </w:tc>
      </w:tr>
      <w:tr w14:paraId="199C33DC">
        <w:tblPrEx>
          <w:tblCellMar>
            <w:top w:w="0" w:type="dxa"/>
            <w:left w:w="108" w:type="dxa"/>
            <w:bottom w:w="0" w:type="dxa"/>
            <w:right w:w="108" w:type="dxa"/>
          </w:tblCellMar>
        </w:tblPrEx>
        <w:tc>
          <w:tcPr>
            <w:tcW w:w="1565" w:type="pct"/>
            <w:tcBorders>
              <w:top w:val="nil"/>
              <w:left w:val="single" w:color="auto" w:sz="4" w:space="0"/>
              <w:bottom w:val="nil"/>
              <w:right w:val="nil"/>
            </w:tcBorders>
            <w:shd w:val="clear" w:color="auto" w:fill="FFFFFF"/>
          </w:tcPr>
          <w:p w14:paraId="681C7DAE">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骨</w:t>
            </w:r>
          </w:p>
        </w:tc>
        <w:tc>
          <w:tcPr>
            <w:tcW w:w="1848" w:type="pct"/>
            <w:tcBorders>
              <w:top w:val="nil"/>
              <w:left w:val="nil"/>
              <w:bottom w:val="nil"/>
              <w:right w:val="nil"/>
            </w:tcBorders>
            <w:shd w:val="clear" w:color="auto" w:fill="FFFFFF"/>
          </w:tcPr>
          <w:p w14:paraId="047FC38C">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白蛋白</w:t>
            </w:r>
          </w:p>
        </w:tc>
        <w:tc>
          <w:tcPr>
            <w:tcW w:w="1587" w:type="pct"/>
            <w:tcBorders>
              <w:top w:val="nil"/>
              <w:left w:val="single" w:color="auto" w:sz="4" w:space="0"/>
              <w:bottom w:val="nil"/>
              <w:right w:val="single" w:color="auto" w:sz="4" w:space="0"/>
            </w:tcBorders>
            <w:shd w:val="clear" w:color="auto" w:fill="FFFFFF"/>
          </w:tcPr>
          <w:p w14:paraId="7237FB70">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蝙蝠</w:t>
            </w:r>
          </w:p>
        </w:tc>
      </w:tr>
      <w:tr w14:paraId="681E41B2">
        <w:tblPrEx>
          <w:tblCellMar>
            <w:top w:w="0" w:type="dxa"/>
            <w:left w:w="108" w:type="dxa"/>
            <w:bottom w:w="0" w:type="dxa"/>
            <w:right w:w="108" w:type="dxa"/>
          </w:tblCellMar>
        </w:tblPrEx>
        <w:tc>
          <w:tcPr>
            <w:tcW w:w="1565" w:type="pct"/>
            <w:tcBorders>
              <w:top w:val="nil"/>
              <w:left w:val="single" w:color="auto" w:sz="4" w:space="0"/>
              <w:bottom w:val="nil"/>
              <w:right w:val="nil"/>
            </w:tcBorders>
            <w:shd w:val="clear" w:color="auto" w:fill="FFFFFF"/>
          </w:tcPr>
          <w:p w14:paraId="22FA1643">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软骨</w:t>
            </w:r>
          </w:p>
        </w:tc>
        <w:tc>
          <w:tcPr>
            <w:tcW w:w="1848" w:type="pct"/>
            <w:tcBorders>
              <w:top w:val="nil"/>
              <w:left w:val="nil"/>
              <w:bottom w:val="nil"/>
              <w:right w:val="nil"/>
            </w:tcBorders>
            <w:shd w:val="clear" w:color="auto" w:fill="FFFFFF"/>
          </w:tcPr>
          <w:p w14:paraId="36CF5A89">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藻酸盐</w:t>
            </w:r>
          </w:p>
        </w:tc>
        <w:tc>
          <w:tcPr>
            <w:tcW w:w="1587" w:type="pct"/>
            <w:tcBorders>
              <w:top w:val="nil"/>
              <w:left w:val="single" w:color="auto" w:sz="4" w:space="0"/>
              <w:bottom w:val="nil"/>
              <w:right w:val="single" w:color="auto" w:sz="4" w:space="0"/>
            </w:tcBorders>
            <w:shd w:val="clear" w:color="auto" w:fill="FFFFFF"/>
          </w:tcPr>
          <w:p w14:paraId="77B7834A">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牛</w:t>
            </w:r>
            <w:r>
              <w:rPr>
                <w:rFonts w:ascii="Times New Roman" w:hAnsi="Times New Roman" w:cs="Times New Roman"/>
                <w:i/>
                <w:color w:val="auto"/>
                <w:sz w:val="18"/>
                <w:szCs w:val="18"/>
              </w:rPr>
              <w:t xml:space="preserve"> (</w:t>
            </w:r>
            <w:r>
              <w:rPr>
                <w:rFonts w:hint="eastAsia" w:ascii="Times New Roman" w:cs="Times New Roman"/>
                <w:i/>
                <w:color w:val="auto"/>
                <w:sz w:val="18"/>
                <w:szCs w:val="18"/>
              </w:rPr>
              <w:t>母牛</w:t>
            </w:r>
            <w:r>
              <w:rPr>
                <w:rFonts w:ascii="Times New Roman" w:hAnsi="Times New Roman" w:cs="Times New Roman"/>
                <w:i/>
                <w:color w:val="auto"/>
                <w:sz w:val="18"/>
                <w:szCs w:val="18"/>
              </w:rPr>
              <w:t>)</w:t>
            </w:r>
          </w:p>
        </w:tc>
      </w:tr>
      <w:tr w14:paraId="1108386D">
        <w:tblPrEx>
          <w:tblCellMar>
            <w:top w:w="0" w:type="dxa"/>
            <w:left w:w="108" w:type="dxa"/>
            <w:bottom w:w="0" w:type="dxa"/>
            <w:right w:w="108" w:type="dxa"/>
          </w:tblCellMar>
        </w:tblPrEx>
        <w:tc>
          <w:tcPr>
            <w:tcW w:w="1565" w:type="pct"/>
            <w:tcBorders>
              <w:top w:val="nil"/>
              <w:left w:val="single" w:color="auto" w:sz="4" w:space="0"/>
              <w:bottom w:val="nil"/>
              <w:right w:val="nil"/>
            </w:tcBorders>
            <w:shd w:val="clear" w:color="auto" w:fill="FFFFFF"/>
          </w:tcPr>
          <w:p w14:paraId="494976EA">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珊瑚</w:t>
            </w:r>
          </w:p>
        </w:tc>
        <w:tc>
          <w:tcPr>
            <w:tcW w:w="1848" w:type="pct"/>
            <w:tcBorders>
              <w:top w:val="nil"/>
              <w:left w:val="nil"/>
              <w:bottom w:val="nil"/>
              <w:right w:val="nil"/>
            </w:tcBorders>
            <w:shd w:val="clear" w:color="auto" w:fill="FFFFFF"/>
          </w:tcPr>
          <w:p w14:paraId="11100736">
            <w:pPr>
              <w:adjustRightInd w:val="0"/>
              <w:snapToGrid w:val="0"/>
              <w:spacing w:line="276" w:lineRule="auto"/>
              <w:jc w:val="both"/>
              <w:rPr>
                <w:rFonts w:ascii="Times New Roman" w:hAnsi="Times New Roman" w:cs="Times New Roman"/>
                <w:i/>
                <w:color w:val="auto"/>
                <w:sz w:val="18"/>
                <w:szCs w:val="18"/>
              </w:rPr>
            </w:pPr>
            <w:r>
              <w:rPr>
                <w:rFonts w:ascii="Times New Roman" w:hAnsi="Times New Roman" w:cs="Times New Roman"/>
                <w:i/>
                <w:color w:val="auto"/>
                <w:sz w:val="18"/>
                <w:szCs w:val="18"/>
              </w:rPr>
              <w:t>BMP</w:t>
            </w:r>
          </w:p>
        </w:tc>
        <w:tc>
          <w:tcPr>
            <w:tcW w:w="1587" w:type="pct"/>
            <w:tcBorders>
              <w:top w:val="nil"/>
              <w:left w:val="single" w:color="auto" w:sz="4" w:space="0"/>
              <w:bottom w:val="nil"/>
              <w:right w:val="single" w:color="auto" w:sz="4" w:space="0"/>
            </w:tcBorders>
            <w:shd w:val="clear" w:color="auto" w:fill="FFFFFF"/>
          </w:tcPr>
          <w:p w14:paraId="44F7DB3D">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山羊</w:t>
            </w:r>
          </w:p>
        </w:tc>
      </w:tr>
      <w:tr w14:paraId="0D17C6D2">
        <w:tblPrEx>
          <w:tblCellMar>
            <w:top w:w="0" w:type="dxa"/>
            <w:left w:w="108" w:type="dxa"/>
            <w:bottom w:w="0" w:type="dxa"/>
            <w:right w:w="108" w:type="dxa"/>
          </w:tblCellMar>
        </w:tblPrEx>
        <w:tc>
          <w:tcPr>
            <w:tcW w:w="1565" w:type="pct"/>
            <w:tcBorders>
              <w:top w:val="nil"/>
              <w:left w:val="single" w:color="auto" w:sz="4" w:space="0"/>
              <w:bottom w:val="nil"/>
              <w:right w:val="nil"/>
            </w:tcBorders>
            <w:shd w:val="clear" w:color="auto" w:fill="FFFFFF"/>
          </w:tcPr>
          <w:p w14:paraId="50263565">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角膜</w:t>
            </w:r>
          </w:p>
        </w:tc>
        <w:tc>
          <w:tcPr>
            <w:tcW w:w="1848" w:type="pct"/>
            <w:tcBorders>
              <w:top w:val="nil"/>
              <w:left w:val="nil"/>
              <w:bottom w:val="nil"/>
              <w:right w:val="nil"/>
            </w:tcBorders>
            <w:shd w:val="clear" w:color="auto" w:fill="FFFFFF"/>
          </w:tcPr>
          <w:p w14:paraId="563B1C9F">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纤维素</w:t>
            </w:r>
          </w:p>
        </w:tc>
        <w:tc>
          <w:tcPr>
            <w:tcW w:w="1587" w:type="pct"/>
            <w:tcBorders>
              <w:top w:val="nil"/>
              <w:left w:val="single" w:color="auto" w:sz="4" w:space="0"/>
              <w:bottom w:val="nil"/>
              <w:right w:val="single" w:color="auto" w:sz="4" w:space="0"/>
            </w:tcBorders>
            <w:shd w:val="clear" w:color="auto" w:fill="FFFFFF"/>
          </w:tcPr>
          <w:p w14:paraId="023E07FA">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雏鸡</w:t>
            </w:r>
          </w:p>
        </w:tc>
      </w:tr>
      <w:tr w14:paraId="104825F4">
        <w:tblPrEx>
          <w:tblCellMar>
            <w:top w:w="0" w:type="dxa"/>
            <w:left w:w="108" w:type="dxa"/>
            <w:bottom w:w="0" w:type="dxa"/>
            <w:right w:w="108" w:type="dxa"/>
          </w:tblCellMar>
        </w:tblPrEx>
        <w:tc>
          <w:tcPr>
            <w:tcW w:w="1565" w:type="pct"/>
            <w:tcBorders>
              <w:top w:val="nil"/>
              <w:left w:val="single" w:color="auto" w:sz="4" w:space="0"/>
              <w:bottom w:val="nil"/>
              <w:right w:val="nil"/>
            </w:tcBorders>
            <w:shd w:val="clear" w:color="auto" w:fill="FFFFFF"/>
          </w:tcPr>
          <w:p w14:paraId="654FCE9A">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硬膜</w:t>
            </w:r>
          </w:p>
        </w:tc>
        <w:tc>
          <w:tcPr>
            <w:tcW w:w="1848" w:type="pct"/>
            <w:tcBorders>
              <w:top w:val="nil"/>
              <w:left w:val="nil"/>
              <w:bottom w:val="nil"/>
              <w:right w:val="nil"/>
            </w:tcBorders>
            <w:shd w:val="clear" w:color="auto" w:fill="FFFFFF"/>
          </w:tcPr>
          <w:p w14:paraId="2493BB18">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壳聚糖</w:t>
            </w:r>
          </w:p>
        </w:tc>
        <w:tc>
          <w:tcPr>
            <w:tcW w:w="1587" w:type="pct"/>
            <w:tcBorders>
              <w:top w:val="nil"/>
              <w:left w:val="single" w:color="auto" w:sz="4" w:space="0"/>
              <w:bottom w:val="nil"/>
              <w:right w:val="single" w:color="auto" w:sz="4" w:space="0"/>
            </w:tcBorders>
            <w:shd w:val="clear" w:color="auto" w:fill="FFFFFF"/>
          </w:tcPr>
          <w:p w14:paraId="2C58FF75">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珊瑚，石珊瑚类</w:t>
            </w:r>
          </w:p>
        </w:tc>
      </w:tr>
      <w:tr w14:paraId="7F47F050">
        <w:tblPrEx>
          <w:tblCellMar>
            <w:top w:w="0" w:type="dxa"/>
            <w:left w:w="108" w:type="dxa"/>
            <w:bottom w:w="0" w:type="dxa"/>
            <w:right w:w="108" w:type="dxa"/>
          </w:tblCellMar>
        </w:tblPrEx>
        <w:tc>
          <w:tcPr>
            <w:tcW w:w="1565" w:type="pct"/>
            <w:tcBorders>
              <w:top w:val="nil"/>
              <w:left w:val="single" w:color="auto" w:sz="4" w:space="0"/>
              <w:bottom w:val="nil"/>
              <w:right w:val="nil"/>
            </w:tcBorders>
            <w:shd w:val="clear" w:color="auto" w:fill="FFFFFF"/>
          </w:tcPr>
          <w:p w14:paraId="483CCC11">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阔筋膜</w:t>
            </w:r>
          </w:p>
        </w:tc>
        <w:tc>
          <w:tcPr>
            <w:tcW w:w="1848" w:type="pct"/>
            <w:tcBorders>
              <w:top w:val="nil"/>
              <w:left w:val="nil"/>
              <w:bottom w:val="nil"/>
              <w:right w:val="nil"/>
            </w:tcBorders>
            <w:shd w:val="clear" w:color="auto" w:fill="FFFFFF"/>
          </w:tcPr>
          <w:p w14:paraId="5AC94336">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软骨素硫酸</w:t>
            </w:r>
          </w:p>
        </w:tc>
        <w:tc>
          <w:tcPr>
            <w:tcW w:w="1587" w:type="pct"/>
            <w:tcBorders>
              <w:top w:val="nil"/>
              <w:left w:val="single" w:color="auto" w:sz="4" w:space="0"/>
              <w:bottom w:val="nil"/>
              <w:right w:val="single" w:color="auto" w:sz="4" w:space="0"/>
            </w:tcBorders>
            <w:shd w:val="clear" w:color="auto" w:fill="FFFFFF"/>
          </w:tcPr>
          <w:p w14:paraId="42057BD7">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马</w:t>
            </w:r>
          </w:p>
        </w:tc>
      </w:tr>
      <w:tr w14:paraId="2E162282">
        <w:tblPrEx>
          <w:tblCellMar>
            <w:top w:w="0" w:type="dxa"/>
            <w:left w:w="108" w:type="dxa"/>
            <w:bottom w:w="0" w:type="dxa"/>
            <w:right w:w="108" w:type="dxa"/>
          </w:tblCellMar>
        </w:tblPrEx>
        <w:tc>
          <w:tcPr>
            <w:tcW w:w="1565" w:type="pct"/>
            <w:tcBorders>
              <w:top w:val="nil"/>
              <w:left w:val="single" w:color="auto" w:sz="4" w:space="0"/>
              <w:bottom w:val="nil"/>
              <w:right w:val="nil"/>
            </w:tcBorders>
            <w:shd w:val="clear" w:color="auto" w:fill="FFFFFF"/>
          </w:tcPr>
          <w:p w14:paraId="222902A8">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纤维鞘</w:t>
            </w:r>
          </w:p>
        </w:tc>
        <w:tc>
          <w:tcPr>
            <w:tcW w:w="1848" w:type="pct"/>
            <w:tcBorders>
              <w:top w:val="nil"/>
              <w:left w:val="nil"/>
              <w:bottom w:val="nil"/>
              <w:right w:val="nil"/>
            </w:tcBorders>
            <w:shd w:val="clear" w:color="auto" w:fill="FFFFFF"/>
          </w:tcPr>
          <w:p w14:paraId="41671A9F">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胶原</w:t>
            </w:r>
          </w:p>
        </w:tc>
        <w:tc>
          <w:tcPr>
            <w:tcW w:w="1587" w:type="pct"/>
            <w:tcBorders>
              <w:top w:val="nil"/>
              <w:left w:val="single" w:color="auto" w:sz="4" w:space="0"/>
              <w:bottom w:val="nil"/>
              <w:right w:val="single" w:color="auto" w:sz="4" w:space="0"/>
            </w:tcBorders>
            <w:shd w:val="clear" w:color="auto" w:fill="FFFFFF"/>
          </w:tcPr>
          <w:p w14:paraId="0D4C78CB">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猫</w:t>
            </w:r>
          </w:p>
        </w:tc>
      </w:tr>
      <w:tr w14:paraId="159A1F85">
        <w:tblPrEx>
          <w:tblCellMar>
            <w:top w:w="0" w:type="dxa"/>
            <w:left w:w="108" w:type="dxa"/>
            <w:bottom w:w="0" w:type="dxa"/>
            <w:right w:w="108" w:type="dxa"/>
          </w:tblCellMar>
        </w:tblPrEx>
        <w:tc>
          <w:tcPr>
            <w:tcW w:w="1565" w:type="pct"/>
            <w:tcBorders>
              <w:top w:val="nil"/>
              <w:left w:val="single" w:color="auto" w:sz="4" w:space="0"/>
              <w:bottom w:val="nil"/>
              <w:right w:val="nil"/>
            </w:tcBorders>
            <w:shd w:val="clear" w:color="auto" w:fill="FFFFFF"/>
          </w:tcPr>
          <w:p w14:paraId="6565BAAE">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心脏瓣膜</w:t>
            </w:r>
          </w:p>
        </w:tc>
        <w:tc>
          <w:tcPr>
            <w:tcW w:w="1848" w:type="pct"/>
            <w:tcBorders>
              <w:top w:val="nil"/>
              <w:left w:val="nil"/>
              <w:bottom w:val="nil"/>
              <w:right w:val="nil"/>
            </w:tcBorders>
            <w:shd w:val="clear" w:color="auto" w:fill="FFFFFF"/>
          </w:tcPr>
          <w:p w14:paraId="2811732D">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弹性蛋白</w:t>
            </w:r>
          </w:p>
        </w:tc>
        <w:tc>
          <w:tcPr>
            <w:tcW w:w="1587" w:type="pct"/>
            <w:tcBorders>
              <w:top w:val="nil"/>
              <w:left w:val="single" w:color="auto" w:sz="4" w:space="0"/>
              <w:bottom w:val="nil"/>
              <w:right w:val="single" w:color="auto" w:sz="4" w:space="0"/>
            </w:tcBorders>
            <w:shd w:val="clear" w:color="auto" w:fill="FFFFFF"/>
          </w:tcPr>
          <w:p w14:paraId="772FD0EE">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鱼</w:t>
            </w:r>
          </w:p>
        </w:tc>
      </w:tr>
      <w:tr w14:paraId="1F1831D3">
        <w:tblPrEx>
          <w:tblCellMar>
            <w:top w:w="0" w:type="dxa"/>
            <w:left w:w="108" w:type="dxa"/>
            <w:bottom w:w="0" w:type="dxa"/>
            <w:right w:w="108" w:type="dxa"/>
          </w:tblCellMar>
        </w:tblPrEx>
        <w:tc>
          <w:tcPr>
            <w:tcW w:w="1565" w:type="pct"/>
            <w:tcBorders>
              <w:top w:val="nil"/>
              <w:left w:val="single" w:color="auto" w:sz="4" w:space="0"/>
              <w:bottom w:val="nil"/>
              <w:right w:val="nil"/>
            </w:tcBorders>
            <w:shd w:val="clear" w:color="auto" w:fill="FFFFFF"/>
          </w:tcPr>
          <w:p w14:paraId="7EE96C20">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关节</w:t>
            </w:r>
          </w:p>
        </w:tc>
        <w:tc>
          <w:tcPr>
            <w:tcW w:w="1848" w:type="pct"/>
            <w:tcBorders>
              <w:top w:val="nil"/>
              <w:left w:val="nil"/>
              <w:bottom w:val="nil"/>
              <w:right w:val="nil"/>
            </w:tcBorders>
            <w:shd w:val="clear" w:color="auto" w:fill="FFFFFF"/>
          </w:tcPr>
          <w:p w14:paraId="341D270C">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纤维蛋白</w:t>
            </w:r>
          </w:p>
        </w:tc>
        <w:tc>
          <w:tcPr>
            <w:tcW w:w="1587" w:type="pct"/>
            <w:tcBorders>
              <w:top w:val="nil"/>
              <w:left w:val="single" w:color="auto" w:sz="4" w:space="0"/>
              <w:bottom w:val="nil"/>
              <w:right w:val="single" w:color="auto" w:sz="4" w:space="0"/>
            </w:tcBorders>
            <w:shd w:val="clear" w:color="auto" w:fill="FFFFFF"/>
          </w:tcPr>
          <w:p w14:paraId="758D0E63">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真菌</w:t>
            </w:r>
            <w:r>
              <w:rPr>
                <w:rFonts w:ascii="Times New Roman" w:hAnsi="Times New Roman" w:cs="Times New Roman"/>
                <w:i/>
                <w:color w:val="auto"/>
                <w:sz w:val="18"/>
                <w:szCs w:val="18"/>
              </w:rPr>
              <w:t>/</w:t>
            </w:r>
            <w:r>
              <w:rPr>
                <w:rFonts w:hint="eastAsia" w:ascii="Times New Roman" w:cs="Times New Roman"/>
                <w:i/>
                <w:color w:val="auto"/>
                <w:sz w:val="18"/>
                <w:szCs w:val="18"/>
              </w:rPr>
              <w:t>有机</w:t>
            </w:r>
          </w:p>
        </w:tc>
      </w:tr>
      <w:tr w14:paraId="6A0097A4">
        <w:tblPrEx>
          <w:tblCellMar>
            <w:top w:w="0" w:type="dxa"/>
            <w:left w:w="108" w:type="dxa"/>
            <w:bottom w:w="0" w:type="dxa"/>
            <w:right w:w="108" w:type="dxa"/>
          </w:tblCellMar>
        </w:tblPrEx>
        <w:tc>
          <w:tcPr>
            <w:tcW w:w="1565" w:type="pct"/>
            <w:tcBorders>
              <w:top w:val="nil"/>
              <w:left w:val="single" w:color="auto" w:sz="4" w:space="0"/>
              <w:bottom w:val="nil"/>
              <w:right w:val="nil"/>
            </w:tcBorders>
            <w:shd w:val="clear" w:color="auto" w:fill="FFFFFF"/>
          </w:tcPr>
          <w:p w14:paraId="1D49DA88">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韧带</w:t>
            </w:r>
            <w:r>
              <w:rPr>
                <w:rFonts w:ascii="Times New Roman" w:hAnsi="Times New Roman" w:cs="Times New Roman"/>
                <w:i/>
                <w:color w:val="auto"/>
                <w:sz w:val="18"/>
                <w:szCs w:val="18"/>
              </w:rPr>
              <w:t>/</w:t>
            </w:r>
            <w:r>
              <w:rPr>
                <w:rFonts w:hint="eastAsia" w:ascii="Times New Roman" w:cs="Times New Roman"/>
                <w:i/>
                <w:color w:val="auto"/>
                <w:sz w:val="18"/>
                <w:szCs w:val="18"/>
              </w:rPr>
              <w:t>腱</w:t>
            </w:r>
          </w:p>
        </w:tc>
        <w:tc>
          <w:tcPr>
            <w:tcW w:w="1848" w:type="pct"/>
            <w:tcBorders>
              <w:top w:val="nil"/>
              <w:left w:val="nil"/>
              <w:bottom w:val="nil"/>
              <w:right w:val="nil"/>
            </w:tcBorders>
            <w:shd w:val="clear" w:color="auto" w:fill="FFFFFF"/>
          </w:tcPr>
          <w:p w14:paraId="343196A7">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纤维蛋白原</w:t>
            </w:r>
          </w:p>
        </w:tc>
        <w:tc>
          <w:tcPr>
            <w:tcW w:w="1587" w:type="pct"/>
            <w:tcBorders>
              <w:top w:val="nil"/>
              <w:left w:val="single" w:color="auto" w:sz="4" w:space="0"/>
              <w:bottom w:val="nil"/>
              <w:right w:val="single" w:color="auto" w:sz="4" w:space="0"/>
            </w:tcBorders>
            <w:shd w:val="clear" w:color="auto" w:fill="FFFFFF"/>
          </w:tcPr>
          <w:p w14:paraId="6876F648">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仓鼠</w:t>
            </w:r>
          </w:p>
        </w:tc>
      </w:tr>
      <w:tr w14:paraId="79D38D0F">
        <w:tblPrEx>
          <w:tblCellMar>
            <w:top w:w="0" w:type="dxa"/>
            <w:left w:w="108" w:type="dxa"/>
            <w:bottom w:w="0" w:type="dxa"/>
            <w:right w:w="108" w:type="dxa"/>
          </w:tblCellMar>
        </w:tblPrEx>
        <w:tc>
          <w:tcPr>
            <w:tcW w:w="1565" w:type="pct"/>
            <w:tcBorders>
              <w:top w:val="nil"/>
              <w:left w:val="single" w:color="auto" w:sz="4" w:space="0"/>
              <w:bottom w:val="nil"/>
              <w:right w:val="nil"/>
            </w:tcBorders>
            <w:shd w:val="clear" w:color="auto" w:fill="FFFFFF"/>
          </w:tcPr>
          <w:p w14:paraId="0E93466C">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心包</w:t>
            </w:r>
          </w:p>
        </w:tc>
        <w:tc>
          <w:tcPr>
            <w:tcW w:w="1848" w:type="pct"/>
            <w:tcBorders>
              <w:top w:val="nil"/>
              <w:left w:val="nil"/>
              <w:bottom w:val="nil"/>
              <w:right w:val="nil"/>
            </w:tcBorders>
            <w:shd w:val="clear" w:color="auto" w:fill="FFFFFF"/>
          </w:tcPr>
          <w:p w14:paraId="2BDD7DED">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纤维连接蛋白</w:t>
            </w:r>
          </w:p>
        </w:tc>
        <w:tc>
          <w:tcPr>
            <w:tcW w:w="1587" w:type="pct"/>
            <w:tcBorders>
              <w:top w:val="nil"/>
              <w:left w:val="single" w:color="auto" w:sz="4" w:space="0"/>
              <w:bottom w:val="nil"/>
              <w:right w:val="single" w:color="auto" w:sz="4" w:space="0"/>
            </w:tcBorders>
            <w:shd w:val="clear" w:color="auto" w:fill="FFFFFF"/>
          </w:tcPr>
          <w:p w14:paraId="5AAF75A2">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人类，同种异体移植物</w:t>
            </w:r>
          </w:p>
        </w:tc>
      </w:tr>
      <w:tr w14:paraId="52930AB3">
        <w:tblPrEx>
          <w:tblCellMar>
            <w:top w:w="0" w:type="dxa"/>
            <w:left w:w="108" w:type="dxa"/>
            <w:bottom w:w="0" w:type="dxa"/>
            <w:right w:w="108" w:type="dxa"/>
          </w:tblCellMar>
        </w:tblPrEx>
        <w:tc>
          <w:tcPr>
            <w:tcW w:w="1565" w:type="pct"/>
            <w:tcBorders>
              <w:top w:val="nil"/>
              <w:left w:val="single" w:color="auto" w:sz="4" w:space="0"/>
              <w:bottom w:val="nil"/>
              <w:right w:val="nil"/>
            </w:tcBorders>
            <w:shd w:val="clear" w:color="auto" w:fill="FFFFFF"/>
          </w:tcPr>
          <w:p w14:paraId="404C88AB">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脐带</w:t>
            </w:r>
          </w:p>
        </w:tc>
        <w:tc>
          <w:tcPr>
            <w:tcW w:w="1848" w:type="pct"/>
            <w:tcBorders>
              <w:top w:val="nil"/>
              <w:left w:val="nil"/>
              <w:bottom w:val="nil"/>
              <w:right w:val="nil"/>
            </w:tcBorders>
            <w:shd w:val="clear" w:color="auto" w:fill="FFFFFF"/>
          </w:tcPr>
          <w:p w14:paraId="6CFB1EE8">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明胶</w:t>
            </w:r>
          </w:p>
        </w:tc>
        <w:tc>
          <w:tcPr>
            <w:tcW w:w="1587" w:type="pct"/>
            <w:tcBorders>
              <w:top w:val="nil"/>
              <w:left w:val="single" w:color="auto" w:sz="4" w:space="0"/>
              <w:bottom w:val="nil"/>
              <w:right w:val="single" w:color="auto" w:sz="4" w:space="0"/>
            </w:tcBorders>
            <w:shd w:val="clear" w:color="auto" w:fill="FFFFFF"/>
          </w:tcPr>
          <w:p w14:paraId="3A17D3C2">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人类，自体</w:t>
            </w:r>
          </w:p>
        </w:tc>
      </w:tr>
      <w:tr w14:paraId="665143D9">
        <w:tblPrEx>
          <w:tblCellMar>
            <w:top w:w="0" w:type="dxa"/>
            <w:left w:w="108" w:type="dxa"/>
            <w:bottom w:w="0" w:type="dxa"/>
            <w:right w:w="108" w:type="dxa"/>
          </w:tblCellMar>
        </w:tblPrEx>
        <w:tc>
          <w:tcPr>
            <w:tcW w:w="1565" w:type="pct"/>
            <w:tcBorders>
              <w:top w:val="nil"/>
              <w:left w:val="single" w:color="auto" w:sz="4" w:space="0"/>
              <w:bottom w:val="nil"/>
              <w:right w:val="nil"/>
            </w:tcBorders>
            <w:shd w:val="clear" w:color="auto" w:fill="FFFFFF"/>
          </w:tcPr>
          <w:p w14:paraId="78907199">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脐静脉</w:t>
            </w:r>
          </w:p>
        </w:tc>
        <w:tc>
          <w:tcPr>
            <w:tcW w:w="1848" w:type="pct"/>
            <w:tcBorders>
              <w:top w:val="nil"/>
              <w:left w:val="nil"/>
              <w:bottom w:val="nil"/>
              <w:right w:val="nil"/>
            </w:tcBorders>
            <w:shd w:val="clear" w:color="auto" w:fill="FFFFFF"/>
          </w:tcPr>
          <w:p w14:paraId="458DABB1">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生长激素</w:t>
            </w:r>
          </w:p>
        </w:tc>
        <w:tc>
          <w:tcPr>
            <w:tcW w:w="1587" w:type="pct"/>
            <w:tcBorders>
              <w:top w:val="nil"/>
              <w:left w:val="single" w:color="auto" w:sz="4" w:space="0"/>
              <w:bottom w:val="nil"/>
              <w:right w:val="single" w:color="auto" w:sz="4" w:space="0"/>
            </w:tcBorders>
            <w:shd w:val="clear" w:color="auto" w:fill="FFFFFF"/>
          </w:tcPr>
          <w:p w14:paraId="24170B28">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昆虫</w:t>
            </w:r>
          </w:p>
        </w:tc>
      </w:tr>
      <w:tr w14:paraId="2BBD0240">
        <w:tblPrEx>
          <w:tblCellMar>
            <w:top w:w="0" w:type="dxa"/>
            <w:left w:w="108" w:type="dxa"/>
            <w:bottom w:w="0" w:type="dxa"/>
            <w:right w:w="108" w:type="dxa"/>
          </w:tblCellMar>
        </w:tblPrEx>
        <w:tc>
          <w:tcPr>
            <w:tcW w:w="1565" w:type="pct"/>
            <w:tcBorders>
              <w:top w:val="nil"/>
              <w:left w:val="single" w:color="auto" w:sz="4" w:space="0"/>
              <w:bottom w:val="nil"/>
              <w:right w:val="nil"/>
            </w:tcBorders>
            <w:shd w:val="clear" w:color="auto" w:fill="FFFFFF"/>
          </w:tcPr>
          <w:p w14:paraId="7158D231">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内脏</w:t>
            </w:r>
          </w:p>
        </w:tc>
        <w:tc>
          <w:tcPr>
            <w:tcW w:w="1848" w:type="pct"/>
            <w:tcBorders>
              <w:top w:val="nil"/>
              <w:left w:val="nil"/>
              <w:bottom w:val="nil"/>
              <w:right w:val="nil"/>
            </w:tcBorders>
            <w:shd w:val="clear" w:color="auto" w:fill="FFFFFF"/>
          </w:tcPr>
          <w:p w14:paraId="4A473DB3">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肝素</w:t>
            </w:r>
          </w:p>
        </w:tc>
        <w:tc>
          <w:tcPr>
            <w:tcW w:w="1587" w:type="pct"/>
            <w:tcBorders>
              <w:top w:val="nil"/>
              <w:left w:val="single" w:color="auto" w:sz="4" w:space="0"/>
              <w:bottom w:val="nil"/>
              <w:right w:val="single" w:color="auto" w:sz="4" w:space="0"/>
            </w:tcBorders>
            <w:shd w:val="clear" w:color="auto" w:fill="FFFFFF"/>
          </w:tcPr>
          <w:p w14:paraId="04D8CEB5">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袋鼠</w:t>
            </w:r>
          </w:p>
        </w:tc>
      </w:tr>
      <w:tr w14:paraId="0EE96B6A">
        <w:tblPrEx>
          <w:tblCellMar>
            <w:top w:w="0" w:type="dxa"/>
            <w:left w:w="108" w:type="dxa"/>
            <w:bottom w:w="0" w:type="dxa"/>
            <w:right w:w="108" w:type="dxa"/>
          </w:tblCellMar>
        </w:tblPrEx>
        <w:tc>
          <w:tcPr>
            <w:tcW w:w="1565" w:type="pct"/>
            <w:tcBorders>
              <w:top w:val="nil"/>
              <w:left w:val="single" w:color="auto" w:sz="4" w:space="0"/>
              <w:bottom w:val="nil"/>
              <w:right w:val="nil"/>
            </w:tcBorders>
            <w:shd w:val="clear" w:color="auto" w:fill="FFFFFF"/>
          </w:tcPr>
          <w:p w14:paraId="494DC2DF">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其他</w:t>
            </w:r>
          </w:p>
        </w:tc>
        <w:tc>
          <w:tcPr>
            <w:tcW w:w="1848" w:type="pct"/>
            <w:tcBorders>
              <w:top w:val="nil"/>
              <w:left w:val="nil"/>
              <w:bottom w:val="nil"/>
              <w:right w:val="nil"/>
            </w:tcBorders>
            <w:shd w:val="clear" w:color="auto" w:fill="FFFFFF"/>
          </w:tcPr>
          <w:p w14:paraId="285CC588">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透明质酸</w:t>
            </w:r>
          </w:p>
        </w:tc>
        <w:tc>
          <w:tcPr>
            <w:tcW w:w="1587" w:type="pct"/>
            <w:tcBorders>
              <w:top w:val="nil"/>
              <w:left w:val="single" w:color="auto" w:sz="4" w:space="0"/>
              <w:bottom w:val="nil"/>
              <w:right w:val="single" w:color="auto" w:sz="4" w:space="0"/>
            </w:tcBorders>
            <w:shd w:val="clear" w:color="auto" w:fill="FFFFFF"/>
          </w:tcPr>
          <w:p w14:paraId="14856661">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兔</w:t>
            </w:r>
          </w:p>
        </w:tc>
      </w:tr>
      <w:tr w14:paraId="78D3B665">
        <w:tblPrEx>
          <w:tblCellMar>
            <w:top w:w="0" w:type="dxa"/>
            <w:left w:w="108" w:type="dxa"/>
            <w:bottom w:w="0" w:type="dxa"/>
            <w:right w:w="108" w:type="dxa"/>
          </w:tblCellMar>
        </w:tblPrEx>
        <w:tc>
          <w:tcPr>
            <w:tcW w:w="1565" w:type="pct"/>
            <w:tcBorders>
              <w:top w:val="single" w:color="auto" w:sz="4" w:space="0"/>
              <w:left w:val="single" w:color="auto" w:sz="4" w:space="0"/>
              <w:bottom w:val="nil"/>
              <w:right w:val="nil"/>
            </w:tcBorders>
            <w:shd w:val="clear" w:color="auto" w:fill="FFFFFF"/>
          </w:tcPr>
          <w:p w14:paraId="5F787F4C">
            <w:pPr>
              <w:adjustRightInd w:val="0"/>
              <w:snapToGrid w:val="0"/>
              <w:spacing w:line="276" w:lineRule="auto"/>
              <w:jc w:val="both"/>
              <w:rPr>
                <w:rFonts w:ascii="Times New Roman" w:hAnsi="Times New Roman" w:cs="Times New Roman"/>
                <w:i/>
                <w:color w:val="auto"/>
                <w:sz w:val="18"/>
                <w:szCs w:val="18"/>
              </w:rPr>
            </w:pPr>
          </w:p>
        </w:tc>
        <w:tc>
          <w:tcPr>
            <w:tcW w:w="1848" w:type="pct"/>
            <w:tcBorders>
              <w:top w:val="nil"/>
              <w:left w:val="nil"/>
              <w:bottom w:val="nil"/>
              <w:right w:val="nil"/>
            </w:tcBorders>
            <w:shd w:val="clear" w:color="auto" w:fill="FFFFFF"/>
          </w:tcPr>
          <w:p w14:paraId="5545222D">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羟丙甲基纤维素</w:t>
            </w:r>
          </w:p>
        </w:tc>
        <w:tc>
          <w:tcPr>
            <w:tcW w:w="1587" w:type="pct"/>
            <w:tcBorders>
              <w:top w:val="nil"/>
              <w:left w:val="single" w:color="auto" w:sz="4" w:space="0"/>
              <w:bottom w:val="nil"/>
              <w:right w:val="single" w:color="auto" w:sz="4" w:space="0"/>
            </w:tcBorders>
            <w:shd w:val="clear" w:color="auto" w:fill="FFFFFF"/>
          </w:tcPr>
          <w:p w14:paraId="7DBB7C01">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软体动物</w:t>
            </w:r>
          </w:p>
        </w:tc>
      </w:tr>
      <w:tr w14:paraId="0B79CA3E">
        <w:tblPrEx>
          <w:tblCellMar>
            <w:top w:w="0" w:type="dxa"/>
            <w:left w:w="108" w:type="dxa"/>
            <w:bottom w:w="0" w:type="dxa"/>
            <w:right w:w="108" w:type="dxa"/>
          </w:tblCellMar>
        </w:tblPrEx>
        <w:tc>
          <w:tcPr>
            <w:tcW w:w="1565" w:type="pct"/>
            <w:tcBorders>
              <w:top w:val="nil"/>
              <w:left w:val="single" w:color="auto" w:sz="4" w:space="0"/>
              <w:bottom w:val="nil"/>
              <w:right w:val="nil"/>
            </w:tcBorders>
            <w:shd w:val="clear" w:color="auto" w:fill="FFFFFF"/>
          </w:tcPr>
          <w:p w14:paraId="462D1604">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细胞：</w:t>
            </w:r>
          </w:p>
        </w:tc>
        <w:tc>
          <w:tcPr>
            <w:tcW w:w="1848" w:type="pct"/>
            <w:tcBorders>
              <w:top w:val="nil"/>
              <w:left w:val="nil"/>
              <w:bottom w:val="nil"/>
              <w:right w:val="nil"/>
            </w:tcBorders>
            <w:shd w:val="clear" w:color="auto" w:fill="FFFFFF"/>
          </w:tcPr>
          <w:p w14:paraId="1F54B73D">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胰岛素</w:t>
            </w:r>
          </w:p>
        </w:tc>
        <w:tc>
          <w:tcPr>
            <w:tcW w:w="1587" w:type="pct"/>
            <w:tcBorders>
              <w:top w:val="nil"/>
              <w:left w:val="single" w:color="auto" w:sz="4" w:space="0"/>
              <w:bottom w:val="nil"/>
              <w:right w:val="single" w:color="auto" w:sz="4" w:space="0"/>
            </w:tcBorders>
            <w:shd w:val="clear" w:color="auto" w:fill="FFFFFF"/>
          </w:tcPr>
          <w:p w14:paraId="76967CF6">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猴</w:t>
            </w:r>
          </w:p>
        </w:tc>
      </w:tr>
      <w:tr w14:paraId="2287D97F">
        <w:tblPrEx>
          <w:tblCellMar>
            <w:top w:w="0" w:type="dxa"/>
            <w:left w:w="108" w:type="dxa"/>
            <w:bottom w:w="0" w:type="dxa"/>
            <w:right w:w="108" w:type="dxa"/>
          </w:tblCellMar>
        </w:tblPrEx>
        <w:tc>
          <w:tcPr>
            <w:tcW w:w="1565" w:type="pct"/>
            <w:tcBorders>
              <w:top w:val="nil"/>
              <w:left w:val="single" w:color="auto" w:sz="4" w:space="0"/>
              <w:bottom w:val="nil"/>
              <w:right w:val="nil"/>
            </w:tcBorders>
            <w:shd w:val="clear" w:color="auto" w:fill="FFFFFF"/>
          </w:tcPr>
          <w:p w14:paraId="3436E821">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脂肪细胞</w:t>
            </w:r>
          </w:p>
        </w:tc>
        <w:tc>
          <w:tcPr>
            <w:tcW w:w="1848" w:type="pct"/>
            <w:tcBorders>
              <w:top w:val="nil"/>
              <w:left w:val="nil"/>
              <w:bottom w:val="nil"/>
              <w:right w:val="nil"/>
            </w:tcBorders>
            <w:shd w:val="clear" w:color="auto" w:fill="FFFFFF"/>
          </w:tcPr>
          <w:p w14:paraId="14150EB4">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软体动物胶</w:t>
            </w:r>
          </w:p>
        </w:tc>
        <w:tc>
          <w:tcPr>
            <w:tcW w:w="1587" w:type="pct"/>
            <w:tcBorders>
              <w:top w:val="nil"/>
              <w:left w:val="single" w:color="auto" w:sz="4" w:space="0"/>
              <w:bottom w:val="nil"/>
              <w:right w:val="single" w:color="auto" w:sz="4" w:space="0"/>
            </w:tcBorders>
            <w:shd w:val="clear" w:color="auto" w:fill="FFFFFF"/>
          </w:tcPr>
          <w:p w14:paraId="089F8F5F">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鼠科</w:t>
            </w:r>
            <w:r>
              <w:rPr>
                <w:rFonts w:ascii="Times New Roman" w:hAnsi="Times New Roman" w:cs="Times New Roman"/>
                <w:i/>
                <w:color w:val="auto"/>
                <w:sz w:val="18"/>
                <w:szCs w:val="18"/>
              </w:rPr>
              <w:t xml:space="preserve"> (</w:t>
            </w:r>
            <w:r>
              <w:rPr>
                <w:rFonts w:hint="eastAsia" w:ascii="Times New Roman" w:cs="Times New Roman"/>
                <w:i/>
                <w:color w:val="auto"/>
                <w:sz w:val="18"/>
                <w:szCs w:val="18"/>
              </w:rPr>
              <w:t>小鼠</w:t>
            </w:r>
            <w:r>
              <w:rPr>
                <w:rFonts w:ascii="Times New Roman" w:hAnsi="Times New Roman" w:cs="Times New Roman"/>
                <w:i/>
                <w:color w:val="auto"/>
                <w:sz w:val="18"/>
                <w:szCs w:val="18"/>
              </w:rPr>
              <w:t>)</w:t>
            </w:r>
          </w:p>
        </w:tc>
      </w:tr>
      <w:tr w14:paraId="0269EC65">
        <w:tblPrEx>
          <w:tblCellMar>
            <w:top w:w="0" w:type="dxa"/>
            <w:left w:w="108" w:type="dxa"/>
            <w:bottom w:w="0" w:type="dxa"/>
            <w:right w:w="108" w:type="dxa"/>
          </w:tblCellMar>
        </w:tblPrEx>
        <w:tc>
          <w:tcPr>
            <w:tcW w:w="1565" w:type="pct"/>
            <w:tcBorders>
              <w:top w:val="nil"/>
              <w:left w:val="single" w:color="auto" w:sz="4" w:space="0"/>
              <w:bottom w:val="nil"/>
              <w:right w:val="nil"/>
            </w:tcBorders>
            <w:shd w:val="clear" w:color="auto" w:fill="FFFFFF"/>
          </w:tcPr>
          <w:p w14:paraId="3ADBDAE0">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骨髓</w:t>
            </w:r>
          </w:p>
        </w:tc>
        <w:tc>
          <w:tcPr>
            <w:tcW w:w="1848" w:type="pct"/>
            <w:tcBorders>
              <w:top w:val="nil"/>
              <w:left w:val="nil"/>
              <w:bottom w:val="nil"/>
              <w:right w:val="nil"/>
            </w:tcBorders>
            <w:shd w:val="clear" w:color="auto" w:fill="FFFFFF"/>
          </w:tcPr>
          <w:p w14:paraId="085B1103">
            <w:pPr>
              <w:adjustRightInd w:val="0"/>
              <w:snapToGrid w:val="0"/>
              <w:spacing w:line="276" w:lineRule="auto"/>
              <w:jc w:val="both"/>
              <w:rPr>
                <w:rFonts w:ascii="Times New Roman" w:hAnsi="Times New Roman" w:cs="Times New Roman"/>
                <w:i/>
                <w:color w:val="auto"/>
                <w:sz w:val="18"/>
                <w:szCs w:val="18"/>
              </w:rPr>
            </w:pPr>
            <w:r>
              <w:rPr>
                <w:rFonts w:ascii="Times New Roman" w:hAnsi="Times New Roman" w:cs="Times New Roman"/>
                <w:i/>
                <w:color w:val="auto"/>
                <w:sz w:val="18"/>
                <w:szCs w:val="18"/>
              </w:rPr>
              <w:t>PHB</w:t>
            </w:r>
          </w:p>
        </w:tc>
        <w:tc>
          <w:tcPr>
            <w:tcW w:w="1587" w:type="pct"/>
            <w:tcBorders>
              <w:top w:val="nil"/>
              <w:left w:val="single" w:color="auto" w:sz="4" w:space="0"/>
              <w:bottom w:val="nil"/>
              <w:right w:val="single" w:color="auto" w:sz="4" w:space="0"/>
            </w:tcBorders>
            <w:shd w:val="clear" w:color="auto" w:fill="FFFFFF"/>
          </w:tcPr>
          <w:p w14:paraId="30462434">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绵羊（羊）</w:t>
            </w:r>
          </w:p>
        </w:tc>
      </w:tr>
      <w:tr w14:paraId="32C120E5">
        <w:tblPrEx>
          <w:tblCellMar>
            <w:top w:w="0" w:type="dxa"/>
            <w:left w:w="108" w:type="dxa"/>
            <w:bottom w:w="0" w:type="dxa"/>
            <w:right w:w="108" w:type="dxa"/>
          </w:tblCellMar>
        </w:tblPrEx>
        <w:tc>
          <w:tcPr>
            <w:tcW w:w="1565" w:type="pct"/>
            <w:tcBorders>
              <w:top w:val="nil"/>
              <w:left w:val="single" w:color="auto" w:sz="4" w:space="0"/>
              <w:bottom w:val="nil"/>
              <w:right w:val="nil"/>
            </w:tcBorders>
            <w:shd w:val="clear" w:color="auto" w:fill="FFFFFF"/>
          </w:tcPr>
          <w:p w14:paraId="240B0DA4">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软骨细胞</w:t>
            </w:r>
          </w:p>
        </w:tc>
        <w:tc>
          <w:tcPr>
            <w:tcW w:w="1848" w:type="pct"/>
            <w:tcBorders>
              <w:top w:val="nil"/>
              <w:left w:val="nil"/>
              <w:bottom w:val="nil"/>
              <w:right w:val="nil"/>
            </w:tcBorders>
            <w:shd w:val="clear" w:color="auto" w:fill="FFFFFF"/>
          </w:tcPr>
          <w:p w14:paraId="78BA472C">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垂体提取物</w:t>
            </w:r>
          </w:p>
        </w:tc>
        <w:tc>
          <w:tcPr>
            <w:tcW w:w="1587" w:type="pct"/>
            <w:tcBorders>
              <w:top w:val="nil"/>
              <w:left w:val="single" w:color="auto" w:sz="4" w:space="0"/>
              <w:bottom w:val="nil"/>
              <w:right w:val="single" w:color="auto" w:sz="4" w:space="0"/>
            </w:tcBorders>
            <w:shd w:val="clear" w:color="auto" w:fill="FFFFFF"/>
          </w:tcPr>
          <w:p w14:paraId="7873056E">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植物</w:t>
            </w:r>
          </w:p>
        </w:tc>
      </w:tr>
      <w:tr w14:paraId="0E52060C">
        <w:tblPrEx>
          <w:tblCellMar>
            <w:top w:w="0" w:type="dxa"/>
            <w:left w:w="108" w:type="dxa"/>
            <w:bottom w:w="0" w:type="dxa"/>
            <w:right w:w="108" w:type="dxa"/>
          </w:tblCellMar>
        </w:tblPrEx>
        <w:tc>
          <w:tcPr>
            <w:tcW w:w="1565" w:type="pct"/>
            <w:tcBorders>
              <w:top w:val="nil"/>
              <w:left w:val="single" w:color="auto" w:sz="4" w:space="0"/>
              <w:bottom w:val="nil"/>
              <w:right w:val="nil"/>
            </w:tcBorders>
            <w:shd w:val="clear" w:color="auto" w:fill="FFFFFF"/>
          </w:tcPr>
          <w:p w14:paraId="6B57CE30">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内皮素</w:t>
            </w:r>
          </w:p>
        </w:tc>
        <w:tc>
          <w:tcPr>
            <w:tcW w:w="1848" w:type="pct"/>
            <w:tcBorders>
              <w:top w:val="nil"/>
              <w:left w:val="nil"/>
              <w:bottom w:val="nil"/>
              <w:right w:val="nil"/>
            </w:tcBorders>
            <w:shd w:val="clear" w:color="auto" w:fill="FFFFFF"/>
          </w:tcPr>
          <w:p w14:paraId="3EB46231">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磷脂</w:t>
            </w:r>
          </w:p>
        </w:tc>
        <w:tc>
          <w:tcPr>
            <w:tcW w:w="1587" w:type="pct"/>
            <w:tcBorders>
              <w:top w:val="nil"/>
              <w:left w:val="single" w:color="auto" w:sz="4" w:space="0"/>
              <w:bottom w:val="nil"/>
              <w:right w:val="single" w:color="auto" w:sz="4" w:space="0"/>
            </w:tcBorders>
            <w:shd w:val="clear" w:color="auto" w:fill="FFFFFF"/>
          </w:tcPr>
          <w:p w14:paraId="6BEF5114">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猪</w:t>
            </w:r>
          </w:p>
        </w:tc>
      </w:tr>
      <w:tr w14:paraId="5EFF7EB9">
        <w:tblPrEx>
          <w:tblCellMar>
            <w:top w:w="0" w:type="dxa"/>
            <w:left w:w="108" w:type="dxa"/>
            <w:bottom w:w="0" w:type="dxa"/>
            <w:right w:w="108" w:type="dxa"/>
          </w:tblCellMar>
        </w:tblPrEx>
        <w:tc>
          <w:tcPr>
            <w:tcW w:w="1565" w:type="pct"/>
            <w:tcBorders>
              <w:top w:val="nil"/>
              <w:left w:val="single" w:color="auto" w:sz="4" w:space="0"/>
              <w:bottom w:val="nil"/>
              <w:right w:val="nil"/>
            </w:tcBorders>
            <w:shd w:val="clear" w:color="auto" w:fill="FFFFFF"/>
          </w:tcPr>
          <w:p w14:paraId="5BD147E2">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上皮</w:t>
            </w:r>
          </w:p>
        </w:tc>
        <w:tc>
          <w:tcPr>
            <w:tcW w:w="1848" w:type="pct"/>
            <w:tcBorders>
              <w:top w:val="nil"/>
              <w:left w:val="nil"/>
              <w:bottom w:val="nil"/>
              <w:right w:val="nil"/>
            </w:tcBorders>
            <w:shd w:val="clear" w:color="auto" w:fill="FFFFFF"/>
          </w:tcPr>
          <w:p w14:paraId="217B4A4C">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聚氨基酸</w:t>
            </w:r>
          </w:p>
        </w:tc>
        <w:tc>
          <w:tcPr>
            <w:tcW w:w="1587" w:type="pct"/>
            <w:tcBorders>
              <w:top w:val="nil"/>
              <w:left w:val="single" w:color="auto" w:sz="4" w:space="0"/>
              <w:bottom w:val="nil"/>
              <w:right w:val="single" w:color="auto" w:sz="4" w:space="0"/>
            </w:tcBorders>
            <w:shd w:val="clear" w:color="auto" w:fill="FFFFFF"/>
          </w:tcPr>
          <w:p w14:paraId="0F6F32A3">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大鼠</w:t>
            </w:r>
          </w:p>
        </w:tc>
      </w:tr>
      <w:tr w14:paraId="6D210143">
        <w:tblPrEx>
          <w:tblCellMar>
            <w:top w:w="0" w:type="dxa"/>
            <w:left w:w="108" w:type="dxa"/>
            <w:bottom w:w="0" w:type="dxa"/>
            <w:right w:w="108" w:type="dxa"/>
          </w:tblCellMar>
        </w:tblPrEx>
        <w:tc>
          <w:tcPr>
            <w:tcW w:w="1565" w:type="pct"/>
            <w:tcBorders>
              <w:top w:val="nil"/>
              <w:left w:val="single" w:color="auto" w:sz="4" w:space="0"/>
              <w:bottom w:val="nil"/>
              <w:right w:val="nil"/>
            </w:tcBorders>
            <w:shd w:val="clear" w:color="auto" w:fill="FFFFFF"/>
          </w:tcPr>
          <w:p w14:paraId="12EA908A">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成纤维细胞</w:t>
            </w:r>
          </w:p>
        </w:tc>
        <w:tc>
          <w:tcPr>
            <w:tcW w:w="1848" w:type="pct"/>
            <w:tcBorders>
              <w:top w:val="nil"/>
              <w:left w:val="nil"/>
              <w:bottom w:val="nil"/>
              <w:right w:val="nil"/>
            </w:tcBorders>
            <w:shd w:val="clear" w:color="auto" w:fill="FFFFFF"/>
          </w:tcPr>
          <w:p w14:paraId="1B1DCD6A">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蛋白提取物</w:t>
            </w:r>
          </w:p>
        </w:tc>
        <w:tc>
          <w:tcPr>
            <w:tcW w:w="1587" w:type="pct"/>
            <w:tcBorders>
              <w:top w:val="nil"/>
              <w:left w:val="single" w:color="auto" w:sz="4" w:space="0"/>
              <w:bottom w:val="nil"/>
              <w:right w:val="single" w:color="auto" w:sz="4" w:space="0"/>
            </w:tcBorders>
            <w:shd w:val="clear" w:color="auto" w:fill="FFFFFF"/>
          </w:tcPr>
          <w:p w14:paraId="72D8E8ED">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鲨鱼</w:t>
            </w:r>
          </w:p>
        </w:tc>
      </w:tr>
      <w:tr w14:paraId="3D8E026A">
        <w:tblPrEx>
          <w:tblCellMar>
            <w:top w:w="0" w:type="dxa"/>
            <w:left w:w="108" w:type="dxa"/>
            <w:bottom w:w="0" w:type="dxa"/>
            <w:right w:w="108" w:type="dxa"/>
          </w:tblCellMar>
        </w:tblPrEx>
        <w:tc>
          <w:tcPr>
            <w:tcW w:w="1565" w:type="pct"/>
            <w:tcBorders>
              <w:top w:val="nil"/>
              <w:left w:val="single" w:color="auto" w:sz="4" w:space="0"/>
              <w:bottom w:val="nil"/>
              <w:right w:val="nil"/>
            </w:tcBorders>
            <w:shd w:val="clear" w:color="auto" w:fill="FFFFFF"/>
          </w:tcPr>
          <w:p w14:paraId="075A91C2">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肝细胞</w:t>
            </w:r>
          </w:p>
        </w:tc>
        <w:tc>
          <w:tcPr>
            <w:tcW w:w="1848" w:type="pct"/>
            <w:tcBorders>
              <w:top w:val="nil"/>
              <w:left w:val="nil"/>
              <w:bottom w:val="nil"/>
              <w:right w:val="nil"/>
            </w:tcBorders>
            <w:shd w:val="clear" w:color="auto" w:fill="FFFFFF"/>
          </w:tcPr>
          <w:p w14:paraId="39D78ED7">
            <w:pPr>
              <w:adjustRightInd w:val="0"/>
              <w:snapToGrid w:val="0"/>
              <w:spacing w:line="276" w:lineRule="auto"/>
              <w:jc w:val="both"/>
              <w:rPr>
                <w:rFonts w:ascii="Times New Roman" w:hAnsi="Times New Roman" w:cs="Times New Roman"/>
                <w:i/>
                <w:color w:val="auto"/>
                <w:sz w:val="18"/>
                <w:szCs w:val="18"/>
              </w:rPr>
            </w:pPr>
            <w:r>
              <w:rPr>
                <w:rFonts w:ascii="Times New Roman" w:hAnsi="Times New Roman" w:cs="Times New Roman"/>
                <w:i/>
                <w:color w:val="auto"/>
                <w:sz w:val="18"/>
                <w:szCs w:val="18"/>
              </w:rPr>
              <w:t>RGD</w:t>
            </w:r>
            <w:r>
              <w:rPr>
                <w:rFonts w:hint="eastAsia" w:ascii="Times New Roman" w:cs="Times New Roman"/>
                <w:i/>
                <w:color w:val="auto"/>
                <w:sz w:val="18"/>
                <w:szCs w:val="18"/>
              </w:rPr>
              <w:t>蛋白</w:t>
            </w:r>
          </w:p>
        </w:tc>
        <w:tc>
          <w:tcPr>
            <w:tcW w:w="1587" w:type="pct"/>
            <w:tcBorders>
              <w:top w:val="nil"/>
              <w:left w:val="single" w:color="auto" w:sz="4" w:space="0"/>
              <w:bottom w:val="nil"/>
              <w:right w:val="single" w:color="auto" w:sz="4" w:space="0"/>
            </w:tcBorders>
            <w:shd w:val="clear" w:color="auto" w:fill="FFFFFF"/>
          </w:tcPr>
          <w:p w14:paraId="637AB4E3">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蛇</w:t>
            </w:r>
          </w:p>
        </w:tc>
      </w:tr>
      <w:tr w14:paraId="7ADD0F8B">
        <w:tblPrEx>
          <w:tblCellMar>
            <w:top w:w="0" w:type="dxa"/>
            <w:left w:w="108" w:type="dxa"/>
            <w:bottom w:w="0" w:type="dxa"/>
            <w:right w:w="108" w:type="dxa"/>
          </w:tblCellMar>
        </w:tblPrEx>
        <w:tc>
          <w:tcPr>
            <w:tcW w:w="1565" w:type="pct"/>
            <w:tcBorders>
              <w:top w:val="nil"/>
              <w:left w:val="single" w:color="auto" w:sz="4" w:space="0"/>
              <w:bottom w:val="nil"/>
              <w:right w:val="nil"/>
            </w:tcBorders>
            <w:shd w:val="clear" w:color="auto" w:fill="FFFFFF"/>
          </w:tcPr>
          <w:p w14:paraId="245C0BA8">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胰岛</w:t>
            </w:r>
          </w:p>
        </w:tc>
        <w:tc>
          <w:tcPr>
            <w:tcW w:w="1848" w:type="pct"/>
            <w:tcBorders>
              <w:top w:val="nil"/>
              <w:left w:val="nil"/>
              <w:bottom w:val="nil"/>
              <w:right w:val="nil"/>
            </w:tcBorders>
            <w:shd w:val="clear" w:color="auto" w:fill="FFFFFF"/>
          </w:tcPr>
          <w:p w14:paraId="2651E866">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盐水</w:t>
            </w:r>
          </w:p>
        </w:tc>
        <w:tc>
          <w:tcPr>
            <w:tcW w:w="1587" w:type="pct"/>
            <w:tcBorders>
              <w:top w:val="single" w:color="auto" w:sz="4" w:space="0"/>
              <w:left w:val="single" w:color="auto" w:sz="4" w:space="0"/>
              <w:bottom w:val="nil"/>
              <w:right w:val="nil"/>
            </w:tcBorders>
            <w:shd w:val="clear" w:color="auto" w:fill="FFFFFF"/>
          </w:tcPr>
          <w:p w14:paraId="6B90A2C2">
            <w:pPr>
              <w:adjustRightInd w:val="0"/>
              <w:snapToGrid w:val="0"/>
              <w:spacing w:line="276" w:lineRule="auto"/>
              <w:jc w:val="both"/>
              <w:rPr>
                <w:rFonts w:ascii="Times New Roman" w:hAnsi="Times New Roman" w:cs="Times New Roman"/>
                <w:i/>
                <w:color w:val="auto"/>
                <w:sz w:val="18"/>
                <w:szCs w:val="18"/>
              </w:rPr>
            </w:pPr>
          </w:p>
        </w:tc>
      </w:tr>
      <w:tr w14:paraId="07201179">
        <w:tblPrEx>
          <w:tblCellMar>
            <w:top w:w="0" w:type="dxa"/>
            <w:left w:w="108" w:type="dxa"/>
            <w:bottom w:w="0" w:type="dxa"/>
            <w:right w:w="108" w:type="dxa"/>
          </w:tblCellMar>
        </w:tblPrEx>
        <w:tc>
          <w:tcPr>
            <w:tcW w:w="1565" w:type="pct"/>
            <w:tcBorders>
              <w:top w:val="nil"/>
              <w:left w:val="single" w:color="auto" w:sz="4" w:space="0"/>
              <w:bottom w:val="nil"/>
              <w:right w:val="nil"/>
            </w:tcBorders>
            <w:shd w:val="clear" w:color="auto" w:fill="FFFFFF"/>
          </w:tcPr>
          <w:p w14:paraId="59B0625E">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角化细胞</w:t>
            </w:r>
          </w:p>
        </w:tc>
        <w:tc>
          <w:tcPr>
            <w:tcW w:w="1848" w:type="pct"/>
            <w:tcBorders>
              <w:top w:val="nil"/>
              <w:left w:val="nil"/>
              <w:bottom w:val="nil"/>
              <w:right w:val="nil"/>
            </w:tcBorders>
            <w:shd w:val="clear" w:color="auto" w:fill="FFFFFF"/>
          </w:tcPr>
          <w:p w14:paraId="01F008C3">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血清</w:t>
            </w:r>
          </w:p>
        </w:tc>
        <w:tc>
          <w:tcPr>
            <w:tcW w:w="1587" w:type="pct"/>
            <w:tcBorders>
              <w:top w:val="nil"/>
              <w:left w:val="single" w:color="auto" w:sz="4" w:space="0"/>
              <w:bottom w:val="nil"/>
              <w:right w:val="nil"/>
            </w:tcBorders>
            <w:shd w:val="clear" w:color="auto" w:fill="FFFFFF"/>
          </w:tcPr>
          <w:p w14:paraId="0CF4B6FA">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原产国</w:t>
            </w:r>
          </w:p>
        </w:tc>
      </w:tr>
      <w:tr w14:paraId="62F68485">
        <w:tblPrEx>
          <w:tblCellMar>
            <w:top w:w="0" w:type="dxa"/>
            <w:left w:w="108" w:type="dxa"/>
            <w:bottom w:w="0" w:type="dxa"/>
            <w:right w:w="108" w:type="dxa"/>
          </w:tblCellMar>
        </w:tblPrEx>
        <w:tc>
          <w:tcPr>
            <w:tcW w:w="1565" w:type="pct"/>
            <w:tcBorders>
              <w:top w:val="nil"/>
              <w:left w:val="single" w:color="auto" w:sz="4" w:space="0"/>
              <w:bottom w:val="nil"/>
              <w:right w:val="nil"/>
            </w:tcBorders>
            <w:shd w:val="clear" w:color="auto" w:fill="FFFFFF"/>
          </w:tcPr>
          <w:p w14:paraId="43076B89">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成骨细胞</w:t>
            </w:r>
          </w:p>
        </w:tc>
        <w:tc>
          <w:tcPr>
            <w:tcW w:w="1848" w:type="pct"/>
            <w:tcBorders>
              <w:top w:val="nil"/>
              <w:left w:val="nil"/>
              <w:bottom w:val="nil"/>
              <w:right w:val="nil"/>
            </w:tcBorders>
            <w:shd w:val="clear" w:color="auto" w:fill="FFFFFF"/>
          </w:tcPr>
          <w:p w14:paraId="2DA81394">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丝</w:t>
            </w:r>
          </w:p>
        </w:tc>
        <w:tc>
          <w:tcPr>
            <w:tcW w:w="1587" w:type="pct"/>
            <w:tcBorders>
              <w:top w:val="nil"/>
              <w:left w:val="single" w:color="auto" w:sz="4" w:space="0"/>
              <w:bottom w:val="nil"/>
              <w:right w:val="nil"/>
            </w:tcBorders>
            <w:shd w:val="clear" w:color="auto" w:fill="FFFFFF"/>
          </w:tcPr>
          <w:p w14:paraId="564B3967">
            <w:pPr>
              <w:adjustRightInd w:val="0"/>
              <w:snapToGrid w:val="0"/>
              <w:spacing w:line="276" w:lineRule="auto"/>
              <w:jc w:val="both"/>
              <w:rPr>
                <w:rFonts w:ascii="Times New Roman" w:hAnsi="Times New Roman" w:cs="Times New Roman"/>
                <w:i/>
                <w:color w:val="auto"/>
                <w:sz w:val="18"/>
                <w:szCs w:val="18"/>
              </w:rPr>
            </w:pPr>
          </w:p>
        </w:tc>
      </w:tr>
      <w:tr w14:paraId="647BF859">
        <w:tblPrEx>
          <w:tblCellMar>
            <w:top w:w="0" w:type="dxa"/>
            <w:left w:w="108" w:type="dxa"/>
            <w:bottom w:w="0" w:type="dxa"/>
            <w:right w:w="108" w:type="dxa"/>
          </w:tblCellMar>
        </w:tblPrEx>
        <w:tc>
          <w:tcPr>
            <w:tcW w:w="1565" w:type="pct"/>
            <w:tcBorders>
              <w:top w:val="nil"/>
              <w:left w:val="single" w:color="auto" w:sz="4" w:space="0"/>
              <w:bottom w:val="nil"/>
              <w:right w:val="nil"/>
            </w:tcBorders>
            <w:shd w:val="clear" w:color="auto" w:fill="FFFFFF"/>
          </w:tcPr>
          <w:p w14:paraId="264E9EC1">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肾小管</w:t>
            </w:r>
          </w:p>
        </w:tc>
        <w:tc>
          <w:tcPr>
            <w:tcW w:w="1848" w:type="pct"/>
            <w:tcBorders>
              <w:top w:val="nil"/>
              <w:left w:val="nil"/>
              <w:bottom w:val="nil"/>
              <w:right w:val="nil"/>
            </w:tcBorders>
            <w:shd w:val="clear" w:color="auto" w:fill="FFFFFF"/>
          </w:tcPr>
          <w:p w14:paraId="5C87CB68">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甘油三酯，大豆油</w:t>
            </w:r>
          </w:p>
        </w:tc>
        <w:tc>
          <w:tcPr>
            <w:tcW w:w="1587" w:type="pct"/>
            <w:tcBorders>
              <w:top w:val="single" w:color="auto" w:sz="4" w:space="0"/>
              <w:left w:val="single" w:color="auto" w:sz="4" w:space="0"/>
              <w:bottom w:val="nil"/>
              <w:right w:val="single" w:color="auto" w:sz="4" w:space="0"/>
            </w:tcBorders>
            <w:shd w:val="clear" w:color="auto" w:fill="FFFFFF"/>
          </w:tcPr>
          <w:p w14:paraId="695FE7B5">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名称：</w:t>
            </w:r>
          </w:p>
        </w:tc>
      </w:tr>
      <w:tr w14:paraId="493A6954">
        <w:tblPrEx>
          <w:tblCellMar>
            <w:top w:w="0" w:type="dxa"/>
            <w:left w:w="108" w:type="dxa"/>
            <w:bottom w:w="0" w:type="dxa"/>
            <w:right w:w="108" w:type="dxa"/>
          </w:tblCellMar>
        </w:tblPrEx>
        <w:tc>
          <w:tcPr>
            <w:tcW w:w="1565" w:type="pct"/>
            <w:tcBorders>
              <w:top w:val="nil"/>
              <w:left w:val="single" w:color="auto" w:sz="4" w:space="0"/>
              <w:bottom w:val="nil"/>
              <w:right w:val="nil"/>
            </w:tcBorders>
            <w:shd w:val="clear" w:color="auto" w:fill="FFFFFF"/>
          </w:tcPr>
          <w:p w14:paraId="643B29E0">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平滑肌</w:t>
            </w:r>
          </w:p>
        </w:tc>
        <w:tc>
          <w:tcPr>
            <w:tcW w:w="1848" w:type="pct"/>
            <w:tcBorders>
              <w:top w:val="nil"/>
              <w:left w:val="nil"/>
              <w:bottom w:val="nil"/>
              <w:right w:val="nil"/>
            </w:tcBorders>
            <w:shd w:val="clear" w:color="auto" w:fill="FFFFFF"/>
          </w:tcPr>
          <w:p w14:paraId="28CF657B">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胰蛋白酶</w:t>
            </w:r>
          </w:p>
        </w:tc>
        <w:tc>
          <w:tcPr>
            <w:tcW w:w="1587" w:type="pct"/>
            <w:tcBorders>
              <w:top w:val="single" w:color="auto" w:sz="4" w:space="0"/>
              <w:left w:val="single" w:color="auto" w:sz="4" w:space="0"/>
              <w:bottom w:val="nil"/>
              <w:right w:val="nil"/>
            </w:tcBorders>
            <w:shd w:val="clear" w:color="auto" w:fill="FFFFFF"/>
          </w:tcPr>
          <w:p w14:paraId="24B75E76">
            <w:pPr>
              <w:adjustRightInd w:val="0"/>
              <w:snapToGrid w:val="0"/>
              <w:spacing w:line="276" w:lineRule="auto"/>
              <w:jc w:val="both"/>
              <w:rPr>
                <w:rFonts w:ascii="Times New Roman" w:hAnsi="Times New Roman" w:cs="Times New Roman"/>
                <w:color w:val="auto"/>
                <w:sz w:val="18"/>
                <w:szCs w:val="18"/>
              </w:rPr>
            </w:pPr>
          </w:p>
        </w:tc>
      </w:tr>
      <w:tr w14:paraId="5ED1D81C">
        <w:tblPrEx>
          <w:tblCellMar>
            <w:top w:w="0" w:type="dxa"/>
            <w:left w:w="108" w:type="dxa"/>
            <w:bottom w:w="0" w:type="dxa"/>
            <w:right w:w="108" w:type="dxa"/>
          </w:tblCellMar>
        </w:tblPrEx>
        <w:tc>
          <w:tcPr>
            <w:tcW w:w="1565" w:type="pct"/>
            <w:tcBorders>
              <w:top w:val="nil"/>
              <w:left w:val="single" w:color="auto" w:sz="4" w:space="0"/>
              <w:bottom w:val="nil"/>
              <w:right w:val="nil"/>
            </w:tcBorders>
            <w:shd w:val="clear" w:color="auto" w:fill="FFFFFF"/>
          </w:tcPr>
          <w:p w14:paraId="25730ACF">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其他</w:t>
            </w:r>
          </w:p>
        </w:tc>
        <w:tc>
          <w:tcPr>
            <w:tcW w:w="1848" w:type="pct"/>
            <w:tcBorders>
              <w:top w:val="nil"/>
              <w:left w:val="nil"/>
              <w:bottom w:val="nil"/>
              <w:right w:val="nil"/>
            </w:tcBorders>
            <w:shd w:val="clear" w:color="auto" w:fill="FFFFFF"/>
          </w:tcPr>
          <w:p w14:paraId="5CBF3CDA">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其他</w:t>
            </w:r>
          </w:p>
        </w:tc>
        <w:tc>
          <w:tcPr>
            <w:tcW w:w="1587" w:type="pct"/>
            <w:tcBorders>
              <w:top w:val="nil"/>
              <w:left w:val="single" w:color="auto" w:sz="4" w:space="0"/>
              <w:bottom w:val="nil"/>
              <w:right w:val="nil"/>
            </w:tcBorders>
            <w:shd w:val="clear" w:color="auto" w:fill="FFFFFF"/>
          </w:tcPr>
          <w:p w14:paraId="7033919B">
            <w:pPr>
              <w:adjustRightInd w:val="0"/>
              <w:snapToGrid w:val="0"/>
              <w:spacing w:line="276" w:lineRule="auto"/>
              <w:jc w:val="both"/>
              <w:rPr>
                <w:rFonts w:ascii="Times New Roman" w:hAnsi="Times New Roman" w:cs="Times New Roman"/>
                <w:color w:val="auto"/>
                <w:sz w:val="18"/>
                <w:szCs w:val="18"/>
              </w:rPr>
            </w:pPr>
          </w:p>
        </w:tc>
      </w:tr>
      <w:tr w14:paraId="34463B49">
        <w:tblPrEx>
          <w:tblCellMar>
            <w:top w:w="0" w:type="dxa"/>
            <w:left w:w="108" w:type="dxa"/>
            <w:bottom w:w="0" w:type="dxa"/>
            <w:right w:w="108" w:type="dxa"/>
          </w:tblCellMar>
        </w:tblPrEx>
        <w:tc>
          <w:tcPr>
            <w:tcW w:w="1565" w:type="pct"/>
            <w:tcBorders>
              <w:top w:val="single" w:color="auto" w:sz="4" w:space="0"/>
              <w:left w:val="single" w:color="auto" w:sz="4" w:space="0"/>
              <w:bottom w:val="nil"/>
              <w:right w:val="nil"/>
            </w:tcBorders>
            <w:shd w:val="clear" w:color="auto" w:fill="FFFFFF"/>
          </w:tcPr>
          <w:p w14:paraId="6AF612C4">
            <w:pPr>
              <w:adjustRightInd w:val="0"/>
              <w:snapToGrid w:val="0"/>
              <w:spacing w:line="276" w:lineRule="auto"/>
              <w:jc w:val="both"/>
              <w:rPr>
                <w:rFonts w:ascii="Times New Roman" w:hAnsi="Times New Roman" w:cs="Times New Roman"/>
                <w:color w:val="auto"/>
                <w:sz w:val="18"/>
                <w:szCs w:val="18"/>
              </w:rPr>
            </w:pPr>
          </w:p>
        </w:tc>
        <w:tc>
          <w:tcPr>
            <w:tcW w:w="1848" w:type="pct"/>
            <w:tcBorders>
              <w:top w:val="single" w:color="auto" w:sz="4" w:space="0"/>
              <w:left w:val="nil"/>
              <w:bottom w:val="nil"/>
              <w:right w:val="nil"/>
            </w:tcBorders>
            <w:shd w:val="clear" w:color="auto" w:fill="FFFFFF"/>
          </w:tcPr>
          <w:p w14:paraId="004C8DA2">
            <w:pPr>
              <w:adjustRightInd w:val="0"/>
              <w:snapToGrid w:val="0"/>
              <w:spacing w:line="276" w:lineRule="auto"/>
              <w:jc w:val="both"/>
              <w:rPr>
                <w:rFonts w:ascii="Times New Roman" w:hAnsi="Times New Roman" w:cs="Times New Roman"/>
                <w:color w:val="auto"/>
                <w:sz w:val="18"/>
                <w:szCs w:val="18"/>
              </w:rPr>
            </w:pPr>
          </w:p>
        </w:tc>
        <w:tc>
          <w:tcPr>
            <w:tcW w:w="1587" w:type="pct"/>
            <w:vMerge w:val="restart"/>
            <w:tcBorders>
              <w:top w:val="nil"/>
              <w:left w:val="single" w:color="auto" w:sz="4" w:space="0"/>
              <w:right w:val="nil"/>
            </w:tcBorders>
            <w:shd w:val="clear" w:color="auto" w:fill="FFFFFF"/>
          </w:tcPr>
          <w:p w14:paraId="793B049E">
            <w:pPr>
              <w:adjustRightInd w:val="0"/>
              <w:snapToGrid w:val="0"/>
              <w:spacing w:line="276" w:lineRule="auto"/>
              <w:jc w:val="both"/>
              <w:rPr>
                <w:rFonts w:ascii="Times New Roman" w:hAnsi="Times New Roman" w:cs="Times New Roman"/>
                <w:color w:val="auto"/>
                <w:sz w:val="18"/>
                <w:szCs w:val="18"/>
              </w:rPr>
            </w:pPr>
            <w:r>
              <w:rPr>
                <w:rFonts w:hint="eastAsia" w:ascii="Times New Roman" w:cs="Times New Roman"/>
                <w:color w:val="auto"/>
                <w:sz w:val="18"/>
                <w:szCs w:val="18"/>
              </w:rPr>
              <w:t>该材料有生物可收性吗</w:t>
            </w:r>
            <w:r>
              <w:rPr>
                <w:rFonts w:ascii="Times New Roman" w:hAnsi="Times New Roman" w:cs="Times New Roman"/>
                <w:color w:val="auto"/>
                <w:sz w:val="18"/>
                <w:szCs w:val="18"/>
              </w:rPr>
              <w:t>?</w:t>
            </w:r>
          </w:p>
        </w:tc>
      </w:tr>
      <w:tr w14:paraId="36A8FCB3">
        <w:tblPrEx>
          <w:tblCellMar>
            <w:top w:w="0" w:type="dxa"/>
            <w:left w:w="108" w:type="dxa"/>
            <w:bottom w:w="0" w:type="dxa"/>
            <w:right w:w="108" w:type="dxa"/>
          </w:tblCellMar>
        </w:tblPrEx>
        <w:tc>
          <w:tcPr>
            <w:tcW w:w="1565" w:type="pct"/>
            <w:tcBorders>
              <w:top w:val="single" w:color="auto" w:sz="4" w:space="0"/>
              <w:left w:val="nil"/>
              <w:bottom w:val="nil"/>
              <w:right w:val="nil"/>
            </w:tcBorders>
            <w:shd w:val="clear" w:color="auto" w:fill="FFFFFF"/>
          </w:tcPr>
          <w:p w14:paraId="36847E4D">
            <w:pPr>
              <w:adjustRightInd w:val="0"/>
              <w:snapToGrid w:val="0"/>
              <w:spacing w:line="276" w:lineRule="auto"/>
              <w:jc w:val="both"/>
              <w:rPr>
                <w:rFonts w:ascii="Times New Roman" w:hAnsi="Times New Roman" w:cs="Times New Roman"/>
                <w:color w:val="auto"/>
                <w:sz w:val="18"/>
                <w:szCs w:val="18"/>
              </w:rPr>
            </w:pPr>
          </w:p>
        </w:tc>
        <w:tc>
          <w:tcPr>
            <w:tcW w:w="1848" w:type="pct"/>
            <w:tcBorders>
              <w:top w:val="single" w:color="auto" w:sz="4" w:space="0"/>
              <w:left w:val="nil"/>
              <w:bottom w:val="nil"/>
              <w:right w:val="single" w:color="auto" w:sz="4" w:space="0"/>
            </w:tcBorders>
            <w:shd w:val="clear" w:color="auto" w:fill="FFFFFF"/>
          </w:tcPr>
          <w:p w14:paraId="70A7E5EF">
            <w:pPr>
              <w:adjustRightInd w:val="0"/>
              <w:snapToGrid w:val="0"/>
              <w:spacing w:line="276" w:lineRule="auto"/>
              <w:jc w:val="both"/>
              <w:rPr>
                <w:rFonts w:ascii="Times New Roman" w:hAnsi="Times New Roman" w:cs="Times New Roman"/>
                <w:color w:val="auto"/>
                <w:sz w:val="18"/>
                <w:szCs w:val="18"/>
              </w:rPr>
            </w:pPr>
          </w:p>
        </w:tc>
        <w:tc>
          <w:tcPr>
            <w:tcW w:w="1587" w:type="pct"/>
            <w:vMerge w:val="continue"/>
            <w:tcBorders>
              <w:left w:val="single" w:color="auto" w:sz="4" w:space="0"/>
              <w:bottom w:val="nil"/>
              <w:right w:val="nil"/>
            </w:tcBorders>
            <w:shd w:val="clear" w:color="auto" w:fill="FFFFFF"/>
          </w:tcPr>
          <w:p w14:paraId="6D09788E">
            <w:pPr>
              <w:adjustRightInd w:val="0"/>
              <w:snapToGrid w:val="0"/>
              <w:spacing w:line="276" w:lineRule="auto"/>
              <w:jc w:val="both"/>
              <w:rPr>
                <w:rFonts w:ascii="Times New Roman" w:hAnsi="Times New Roman" w:cs="Times New Roman"/>
                <w:color w:val="auto"/>
                <w:sz w:val="18"/>
                <w:szCs w:val="18"/>
              </w:rPr>
            </w:pPr>
          </w:p>
        </w:tc>
      </w:tr>
      <w:tr w14:paraId="4896EF28">
        <w:tblPrEx>
          <w:tblCellMar>
            <w:top w:w="0" w:type="dxa"/>
            <w:left w:w="108" w:type="dxa"/>
            <w:bottom w:w="0" w:type="dxa"/>
            <w:right w:w="108" w:type="dxa"/>
          </w:tblCellMar>
        </w:tblPrEx>
        <w:tc>
          <w:tcPr>
            <w:tcW w:w="1565" w:type="pct"/>
            <w:vMerge w:val="restart"/>
            <w:tcBorders>
              <w:top w:val="nil"/>
              <w:left w:val="nil"/>
              <w:right w:val="nil"/>
            </w:tcBorders>
            <w:shd w:val="clear" w:color="auto" w:fill="FFFFFF"/>
          </w:tcPr>
          <w:p w14:paraId="5E2C709A">
            <w:pPr>
              <w:adjustRightInd w:val="0"/>
              <w:snapToGrid w:val="0"/>
              <w:spacing w:line="276" w:lineRule="auto"/>
              <w:jc w:val="both"/>
              <w:rPr>
                <w:rFonts w:ascii="Times New Roman" w:hAnsi="Times New Roman" w:cs="Times New Roman"/>
                <w:color w:val="auto"/>
                <w:sz w:val="18"/>
                <w:szCs w:val="18"/>
              </w:rPr>
            </w:pPr>
            <w:r>
              <w:rPr>
                <w:rFonts w:hint="eastAsia" w:ascii="Times New Roman" w:cs="Times New Roman"/>
                <w:color w:val="auto"/>
                <w:sz w:val="18"/>
                <w:szCs w:val="18"/>
              </w:rPr>
              <w:t>开始形式：这是生物制品吗</w:t>
            </w:r>
            <w:r>
              <w:rPr>
                <w:rFonts w:hint="eastAsia" w:ascii="Times New Roman" w:hAnsi="Times New Roman" w:cs="Times New Roman"/>
                <w:color w:val="auto"/>
                <w:sz w:val="18"/>
                <w:szCs w:val="18"/>
              </w:rPr>
              <w:t>：</w:t>
            </w:r>
            <w:r>
              <w:rPr>
                <w:rFonts w:ascii="Times New Roman" w:hAnsi="Times New Roman" w:cs="Times New Roman"/>
                <w:color w:val="auto"/>
                <w:sz w:val="18"/>
                <w:szCs w:val="18"/>
              </w:rPr>
              <w:t>?</w:t>
            </w:r>
          </w:p>
        </w:tc>
        <w:tc>
          <w:tcPr>
            <w:tcW w:w="1848" w:type="pct"/>
            <w:tcBorders>
              <w:top w:val="single" w:color="auto" w:sz="4" w:space="0"/>
              <w:left w:val="single" w:color="auto" w:sz="4" w:space="0"/>
              <w:bottom w:val="nil"/>
              <w:right w:val="nil"/>
            </w:tcBorders>
            <w:shd w:val="clear" w:color="auto" w:fill="FFFFFF"/>
          </w:tcPr>
          <w:p w14:paraId="391EFD36">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纯化</w:t>
            </w:r>
          </w:p>
        </w:tc>
        <w:tc>
          <w:tcPr>
            <w:tcW w:w="1587" w:type="pct"/>
            <w:tcBorders>
              <w:top w:val="single" w:color="auto" w:sz="4" w:space="0"/>
              <w:left w:val="single" w:color="auto" w:sz="4" w:space="0"/>
              <w:bottom w:val="nil"/>
              <w:right w:val="single" w:color="auto" w:sz="4" w:space="0"/>
            </w:tcBorders>
            <w:shd w:val="clear" w:color="auto" w:fill="FFFFFF"/>
          </w:tcPr>
          <w:p w14:paraId="25CD6D82">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（）是（）否</w:t>
            </w:r>
          </w:p>
        </w:tc>
      </w:tr>
      <w:tr w14:paraId="2511723A">
        <w:tblPrEx>
          <w:tblCellMar>
            <w:top w:w="0" w:type="dxa"/>
            <w:left w:w="108" w:type="dxa"/>
            <w:bottom w:w="0" w:type="dxa"/>
            <w:right w:w="108" w:type="dxa"/>
          </w:tblCellMar>
        </w:tblPrEx>
        <w:tc>
          <w:tcPr>
            <w:tcW w:w="1565" w:type="pct"/>
            <w:vMerge w:val="continue"/>
            <w:tcBorders>
              <w:left w:val="nil"/>
              <w:bottom w:val="nil"/>
              <w:right w:val="nil"/>
            </w:tcBorders>
            <w:shd w:val="clear" w:color="auto" w:fill="FFFFFF"/>
          </w:tcPr>
          <w:p w14:paraId="700706BB">
            <w:pPr>
              <w:adjustRightInd w:val="0"/>
              <w:snapToGrid w:val="0"/>
              <w:spacing w:line="276" w:lineRule="auto"/>
              <w:jc w:val="both"/>
              <w:rPr>
                <w:rFonts w:ascii="Times New Roman" w:hAnsi="Times New Roman" w:cs="Times New Roman"/>
                <w:color w:val="auto"/>
                <w:sz w:val="18"/>
                <w:szCs w:val="18"/>
              </w:rPr>
            </w:pPr>
          </w:p>
        </w:tc>
        <w:tc>
          <w:tcPr>
            <w:tcW w:w="1848" w:type="pct"/>
            <w:tcBorders>
              <w:top w:val="nil"/>
              <w:left w:val="single" w:color="auto" w:sz="4" w:space="0"/>
              <w:bottom w:val="nil"/>
              <w:right w:val="nil"/>
            </w:tcBorders>
            <w:shd w:val="clear" w:color="auto" w:fill="FFFFFF"/>
          </w:tcPr>
          <w:p w14:paraId="07C6A357">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重组</w:t>
            </w:r>
          </w:p>
        </w:tc>
        <w:tc>
          <w:tcPr>
            <w:tcW w:w="1587" w:type="pct"/>
            <w:tcBorders>
              <w:top w:val="single" w:color="auto" w:sz="4" w:space="0"/>
              <w:left w:val="single" w:color="auto" w:sz="4" w:space="0"/>
              <w:bottom w:val="nil"/>
              <w:right w:val="nil"/>
            </w:tcBorders>
            <w:shd w:val="clear" w:color="auto" w:fill="FFFFFF"/>
          </w:tcPr>
          <w:p w14:paraId="332FA3A6">
            <w:pPr>
              <w:adjustRightInd w:val="0"/>
              <w:snapToGrid w:val="0"/>
              <w:spacing w:line="276" w:lineRule="auto"/>
              <w:jc w:val="both"/>
              <w:rPr>
                <w:rFonts w:ascii="Times New Roman" w:hAnsi="Times New Roman" w:cs="Times New Roman"/>
                <w:color w:val="auto"/>
                <w:sz w:val="18"/>
                <w:szCs w:val="18"/>
              </w:rPr>
            </w:pPr>
          </w:p>
        </w:tc>
      </w:tr>
      <w:tr w14:paraId="5C739F77">
        <w:tblPrEx>
          <w:tblCellMar>
            <w:top w:w="0" w:type="dxa"/>
            <w:left w:w="108" w:type="dxa"/>
            <w:bottom w:w="0" w:type="dxa"/>
            <w:right w:w="108" w:type="dxa"/>
          </w:tblCellMar>
        </w:tblPrEx>
        <w:tc>
          <w:tcPr>
            <w:tcW w:w="1565" w:type="pct"/>
            <w:tcBorders>
              <w:top w:val="nil"/>
              <w:left w:val="nil"/>
              <w:bottom w:val="nil"/>
              <w:right w:val="nil"/>
            </w:tcBorders>
            <w:shd w:val="clear" w:color="auto" w:fill="FFFFFF"/>
          </w:tcPr>
          <w:p w14:paraId="1234F0E2">
            <w:pPr>
              <w:adjustRightInd w:val="0"/>
              <w:snapToGrid w:val="0"/>
              <w:spacing w:line="276"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w:t>
            </w:r>
            <w:r>
              <w:rPr>
                <w:rFonts w:hint="eastAsia" w:ascii="Times New Roman" w:cs="Times New Roman"/>
                <w:color w:val="auto"/>
                <w:sz w:val="18"/>
                <w:szCs w:val="18"/>
              </w:rPr>
              <w:t>一个循环</w:t>
            </w:r>
            <w:r>
              <w:rPr>
                <w:rFonts w:ascii="Times New Roman" w:hAnsi="Times New Roman" w:cs="Times New Roman"/>
                <w:color w:val="auto"/>
                <w:sz w:val="18"/>
                <w:szCs w:val="18"/>
              </w:rPr>
              <w:t>)</w:t>
            </w:r>
          </w:p>
        </w:tc>
        <w:tc>
          <w:tcPr>
            <w:tcW w:w="1848" w:type="pct"/>
            <w:tcBorders>
              <w:top w:val="nil"/>
              <w:left w:val="single" w:color="auto" w:sz="4" w:space="0"/>
              <w:bottom w:val="nil"/>
              <w:right w:val="nil"/>
            </w:tcBorders>
            <w:shd w:val="clear" w:color="auto" w:fill="FFFFFF"/>
          </w:tcPr>
          <w:p w14:paraId="31F5B005">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合成</w:t>
            </w:r>
          </w:p>
        </w:tc>
        <w:tc>
          <w:tcPr>
            <w:tcW w:w="1587" w:type="pct"/>
            <w:tcBorders>
              <w:top w:val="nil"/>
              <w:left w:val="single" w:color="auto" w:sz="4" w:space="0"/>
              <w:bottom w:val="nil"/>
              <w:right w:val="nil"/>
            </w:tcBorders>
            <w:shd w:val="clear" w:color="auto" w:fill="FFFFFF"/>
          </w:tcPr>
          <w:p w14:paraId="359544BA">
            <w:pPr>
              <w:adjustRightInd w:val="0"/>
              <w:snapToGrid w:val="0"/>
              <w:spacing w:line="276" w:lineRule="auto"/>
              <w:jc w:val="both"/>
              <w:rPr>
                <w:rFonts w:ascii="Times New Roman" w:hAnsi="Times New Roman" w:cs="Times New Roman"/>
                <w:color w:val="auto"/>
                <w:sz w:val="18"/>
                <w:szCs w:val="18"/>
              </w:rPr>
            </w:pPr>
          </w:p>
        </w:tc>
      </w:tr>
      <w:tr w14:paraId="02B0BD11">
        <w:tblPrEx>
          <w:tblCellMar>
            <w:top w:w="0" w:type="dxa"/>
            <w:left w:w="108" w:type="dxa"/>
            <w:bottom w:w="0" w:type="dxa"/>
            <w:right w:w="108" w:type="dxa"/>
          </w:tblCellMar>
        </w:tblPrEx>
        <w:tc>
          <w:tcPr>
            <w:tcW w:w="1565" w:type="pct"/>
            <w:vMerge w:val="restart"/>
            <w:tcBorders>
              <w:top w:val="nil"/>
              <w:left w:val="nil"/>
              <w:right w:val="nil"/>
            </w:tcBorders>
            <w:shd w:val="clear" w:color="auto" w:fill="FFFFFF"/>
          </w:tcPr>
          <w:p w14:paraId="655C6E67">
            <w:pPr>
              <w:adjustRightInd w:val="0"/>
              <w:snapToGrid w:val="0"/>
              <w:spacing w:line="276" w:lineRule="auto"/>
              <w:jc w:val="both"/>
              <w:rPr>
                <w:rFonts w:ascii="Times New Roman" w:hAnsi="Times New Roman" w:cs="Times New Roman"/>
                <w:color w:val="auto"/>
                <w:sz w:val="18"/>
                <w:szCs w:val="18"/>
              </w:rPr>
            </w:pPr>
            <w:r>
              <w:rPr>
                <w:rFonts w:hint="eastAsia" w:ascii="Times New Roman" w:cs="Times New Roman"/>
                <w:color w:val="auto"/>
                <w:sz w:val="18"/>
                <w:szCs w:val="18"/>
              </w:rPr>
              <w:t>成型加工是组件制造过程中使用的任何一种工艺？</w:t>
            </w:r>
            <w:r>
              <w:rPr>
                <w:rFonts w:ascii="Times New Roman" w:hAnsi="Times New Roman" w:cs="Times New Roman"/>
                <w:color w:val="auto"/>
                <w:sz w:val="18"/>
                <w:szCs w:val="18"/>
              </w:rPr>
              <w:t>(</w:t>
            </w:r>
            <w:r>
              <w:rPr>
                <w:rFonts w:hint="eastAsia" w:ascii="Times New Roman" w:cs="Times New Roman"/>
                <w:color w:val="auto"/>
                <w:sz w:val="18"/>
                <w:szCs w:val="18"/>
              </w:rPr>
              <w:t>循环所有应用的</w:t>
            </w:r>
            <w:r>
              <w:rPr>
                <w:rFonts w:ascii="Times New Roman" w:hAnsi="Times New Roman" w:cs="Times New Roman"/>
                <w:color w:val="auto"/>
                <w:sz w:val="18"/>
                <w:szCs w:val="18"/>
              </w:rPr>
              <w:t>)</w:t>
            </w:r>
          </w:p>
        </w:tc>
        <w:tc>
          <w:tcPr>
            <w:tcW w:w="1848" w:type="pct"/>
            <w:tcBorders>
              <w:top w:val="single" w:color="auto" w:sz="4" w:space="0"/>
              <w:left w:val="single" w:color="auto" w:sz="4" w:space="0"/>
              <w:bottom w:val="nil"/>
              <w:right w:val="nil"/>
            </w:tcBorders>
            <w:shd w:val="clear" w:color="auto" w:fill="FFFFFF"/>
          </w:tcPr>
          <w:p w14:paraId="1ED93803">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细胞</w:t>
            </w:r>
            <w:r>
              <w:rPr>
                <w:rFonts w:ascii="Times New Roman" w:hAnsi="Times New Roman" w:cs="Times New Roman"/>
                <w:i/>
                <w:color w:val="auto"/>
                <w:sz w:val="18"/>
                <w:szCs w:val="18"/>
              </w:rPr>
              <w:t>/</w:t>
            </w:r>
            <w:r>
              <w:rPr>
                <w:rFonts w:hint="eastAsia" w:ascii="Times New Roman" w:cs="Times New Roman"/>
                <w:i/>
                <w:color w:val="auto"/>
                <w:sz w:val="18"/>
                <w:szCs w:val="18"/>
              </w:rPr>
              <w:t>组织培养</w:t>
            </w:r>
          </w:p>
        </w:tc>
        <w:tc>
          <w:tcPr>
            <w:tcW w:w="1587" w:type="pct"/>
            <w:tcBorders>
              <w:top w:val="single" w:color="auto" w:sz="4" w:space="0"/>
              <w:left w:val="nil"/>
              <w:bottom w:val="nil"/>
              <w:right w:val="single" w:color="auto" w:sz="4" w:space="0"/>
            </w:tcBorders>
            <w:shd w:val="clear" w:color="auto" w:fill="FFFFFF"/>
          </w:tcPr>
          <w:p w14:paraId="224BCB44">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交联</w:t>
            </w:r>
          </w:p>
        </w:tc>
      </w:tr>
      <w:tr w14:paraId="3E4087F1">
        <w:tblPrEx>
          <w:tblCellMar>
            <w:top w:w="0" w:type="dxa"/>
            <w:left w:w="108" w:type="dxa"/>
            <w:bottom w:w="0" w:type="dxa"/>
            <w:right w:w="108" w:type="dxa"/>
          </w:tblCellMar>
        </w:tblPrEx>
        <w:tc>
          <w:tcPr>
            <w:tcW w:w="1565" w:type="pct"/>
            <w:vMerge w:val="continue"/>
            <w:tcBorders>
              <w:left w:val="nil"/>
              <w:right w:val="nil"/>
            </w:tcBorders>
            <w:shd w:val="clear" w:color="auto" w:fill="FFFFFF"/>
          </w:tcPr>
          <w:p w14:paraId="254C2117">
            <w:pPr>
              <w:adjustRightInd w:val="0"/>
              <w:snapToGrid w:val="0"/>
              <w:spacing w:line="276" w:lineRule="auto"/>
              <w:jc w:val="both"/>
              <w:rPr>
                <w:rFonts w:ascii="Times New Roman" w:hAnsi="Times New Roman" w:cs="Times New Roman"/>
                <w:color w:val="auto"/>
                <w:sz w:val="18"/>
                <w:szCs w:val="18"/>
              </w:rPr>
            </w:pPr>
          </w:p>
        </w:tc>
        <w:tc>
          <w:tcPr>
            <w:tcW w:w="1848" w:type="pct"/>
            <w:tcBorders>
              <w:top w:val="nil"/>
              <w:left w:val="single" w:color="auto" w:sz="4" w:space="0"/>
              <w:bottom w:val="nil"/>
              <w:right w:val="nil"/>
            </w:tcBorders>
            <w:shd w:val="clear" w:color="auto" w:fill="FFFFFF"/>
          </w:tcPr>
          <w:p w14:paraId="4471823A">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轴心生长</w:t>
            </w:r>
          </w:p>
        </w:tc>
        <w:tc>
          <w:tcPr>
            <w:tcW w:w="1587" w:type="pct"/>
            <w:tcBorders>
              <w:top w:val="nil"/>
              <w:left w:val="nil"/>
              <w:bottom w:val="nil"/>
              <w:right w:val="single" w:color="auto" w:sz="4" w:space="0"/>
            </w:tcBorders>
            <w:shd w:val="clear" w:color="auto" w:fill="FFFFFF"/>
          </w:tcPr>
          <w:p w14:paraId="3DA04E03">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酶处理</w:t>
            </w:r>
          </w:p>
        </w:tc>
      </w:tr>
      <w:tr w14:paraId="786A6232">
        <w:tblPrEx>
          <w:tblCellMar>
            <w:top w:w="0" w:type="dxa"/>
            <w:left w:w="108" w:type="dxa"/>
            <w:bottom w:w="0" w:type="dxa"/>
            <w:right w:w="108" w:type="dxa"/>
          </w:tblCellMar>
        </w:tblPrEx>
        <w:tc>
          <w:tcPr>
            <w:tcW w:w="1565" w:type="pct"/>
            <w:vMerge w:val="continue"/>
            <w:tcBorders>
              <w:left w:val="nil"/>
              <w:right w:val="nil"/>
            </w:tcBorders>
            <w:shd w:val="clear" w:color="auto" w:fill="FFFFFF"/>
          </w:tcPr>
          <w:p w14:paraId="2DFDC484">
            <w:pPr>
              <w:adjustRightInd w:val="0"/>
              <w:snapToGrid w:val="0"/>
              <w:spacing w:line="276" w:lineRule="auto"/>
              <w:jc w:val="both"/>
              <w:rPr>
                <w:rFonts w:ascii="Times New Roman" w:hAnsi="Times New Roman" w:cs="Times New Roman"/>
                <w:color w:val="auto"/>
                <w:sz w:val="18"/>
                <w:szCs w:val="18"/>
              </w:rPr>
            </w:pPr>
          </w:p>
        </w:tc>
        <w:tc>
          <w:tcPr>
            <w:tcW w:w="1848" w:type="pct"/>
            <w:tcBorders>
              <w:top w:val="nil"/>
              <w:left w:val="single" w:color="auto" w:sz="4" w:space="0"/>
              <w:bottom w:val="nil"/>
              <w:right w:val="nil"/>
            </w:tcBorders>
            <w:shd w:val="clear" w:color="auto" w:fill="FFFFFF"/>
          </w:tcPr>
          <w:p w14:paraId="6575AC5A">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低温保存</w:t>
            </w:r>
          </w:p>
        </w:tc>
        <w:tc>
          <w:tcPr>
            <w:tcW w:w="1587" w:type="pct"/>
            <w:tcBorders>
              <w:top w:val="nil"/>
              <w:left w:val="nil"/>
              <w:bottom w:val="nil"/>
              <w:right w:val="single" w:color="auto" w:sz="4" w:space="0"/>
            </w:tcBorders>
            <w:shd w:val="clear" w:color="auto" w:fill="FFFFFF"/>
          </w:tcPr>
          <w:p w14:paraId="530907B7">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固定，化学法</w:t>
            </w:r>
          </w:p>
        </w:tc>
      </w:tr>
      <w:tr w14:paraId="40158D02">
        <w:tblPrEx>
          <w:tblCellMar>
            <w:top w:w="0" w:type="dxa"/>
            <w:left w:w="108" w:type="dxa"/>
            <w:bottom w:w="0" w:type="dxa"/>
            <w:right w:w="108" w:type="dxa"/>
          </w:tblCellMar>
        </w:tblPrEx>
        <w:tc>
          <w:tcPr>
            <w:tcW w:w="1565" w:type="pct"/>
            <w:vMerge w:val="continue"/>
            <w:tcBorders>
              <w:left w:val="nil"/>
              <w:right w:val="nil"/>
            </w:tcBorders>
            <w:shd w:val="clear" w:color="auto" w:fill="FFFFFF"/>
          </w:tcPr>
          <w:p w14:paraId="75C2E049">
            <w:pPr>
              <w:adjustRightInd w:val="0"/>
              <w:snapToGrid w:val="0"/>
              <w:spacing w:line="276" w:lineRule="auto"/>
              <w:jc w:val="both"/>
              <w:rPr>
                <w:rFonts w:ascii="Times New Roman" w:hAnsi="Times New Roman" w:cs="Times New Roman"/>
                <w:color w:val="auto"/>
                <w:sz w:val="18"/>
                <w:szCs w:val="18"/>
              </w:rPr>
            </w:pPr>
          </w:p>
        </w:tc>
        <w:tc>
          <w:tcPr>
            <w:tcW w:w="1848" w:type="pct"/>
            <w:tcBorders>
              <w:top w:val="nil"/>
              <w:left w:val="single" w:color="auto" w:sz="4" w:space="0"/>
              <w:bottom w:val="nil"/>
              <w:right w:val="nil"/>
            </w:tcBorders>
            <w:shd w:val="clear" w:color="auto" w:fill="FFFFFF"/>
          </w:tcPr>
          <w:p w14:paraId="642DBF59">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细胞接种</w:t>
            </w:r>
          </w:p>
        </w:tc>
        <w:tc>
          <w:tcPr>
            <w:tcW w:w="1587" w:type="pct"/>
            <w:tcBorders>
              <w:top w:val="nil"/>
              <w:left w:val="nil"/>
              <w:bottom w:val="nil"/>
              <w:right w:val="single" w:color="auto" w:sz="4" w:space="0"/>
            </w:tcBorders>
            <w:shd w:val="clear" w:color="auto" w:fill="FFFFFF"/>
          </w:tcPr>
          <w:p w14:paraId="382EB840">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病毒灭活</w:t>
            </w:r>
          </w:p>
        </w:tc>
      </w:tr>
      <w:tr w14:paraId="3399CECF">
        <w:tblPrEx>
          <w:tblCellMar>
            <w:top w:w="0" w:type="dxa"/>
            <w:left w:w="108" w:type="dxa"/>
            <w:bottom w:w="0" w:type="dxa"/>
            <w:right w:w="108" w:type="dxa"/>
          </w:tblCellMar>
        </w:tblPrEx>
        <w:tc>
          <w:tcPr>
            <w:tcW w:w="1565" w:type="pct"/>
            <w:vMerge w:val="continue"/>
            <w:tcBorders>
              <w:left w:val="nil"/>
              <w:right w:val="nil"/>
            </w:tcBorders>
            <w:shd w:val="clear" w:color="auto" w:fill="FFFFFF"/>
          </w:tcPr>
          <w:p w14:paraId="27DEFA37">
            <w:pPr>
              <w:adjustRightInd w:val="0"/>
              <w:snapToGrid w:val="0"/>
              <w:spacing w:line="276" w:lineRule="auto"/>
              <w:jc w:val="both"/>
              <w:rPr>
                <w:rFonts w:ascii="Times New Roman" w:hAnsi="Times New Roman" w:cs="Times New Roman"/>
                <w:color w:val="auto"/>
                <w:sz w:val="18"/>
                <w:szCs w:val="18"/>
              </w:rPr>
            </w:pPr>
          </w:p>
        </w:tc>
        <w:tc>
          <w:tcPr>
            <w:tcW w:w="1848" w:type="pct"/>
            <w:tcBorders>
              <w:top w:val="nil"/>
              <w:left w:val="single" w:color="auto" w:sz="4" w:space="0"/>
              <w:bottom w:val="nil"/>
              <w:right w:val="nil"/>
            </w:tcBorders>
            <w:shd w:val="clear" w:color="auto" w:fill="FFFFFF"/>
          </w:tcPr>
          <w:p w14:paraId="22F0D548">
            <w:pPr>
              <w:adjustRightInd w:val="0"/>
              <w:snapToGrid w:val="0"/>
              <w:spacing w:line="276" w:lineRule="auto"/>
              <w:jc w:val="both"/>
              <w:rPr>
                <w:rFonts w:ascii="Times New Roman" w:hAnsi="Times New Roman" w:cs="Times New Roman"/>
                <w:i/>
                <w:color w:val="auto"/>
                <w:sz w:val="18"/>
                <w:szCs w:val="18"/>
              </w:rPr>
            </w:pPr>
            <w:r>
              <w:rPr>
                <w:rFonts w:ascii="Times New Roman" w:hAnsi="Times New Roman" w:cs="Times New Roman"/>
                <w:i/>
                <w:color w:val="auto"/>
                <w:sz w:val="18"/>
                <w:szCs w:val="18"/>
              </w:rPr>
              <w:t>TDM AC</w:t>
            </w:r>
          </w:p>
        </w:tc>
        <w:tc>
          <w:tcPr>
            <w:tcW w:w="1587" w:type="pct"/>
            <w:tcBorders>
              <w:top w:val="nil"/>
              <w:left w:val="nil"/>
              <w:bottom w:val="nil"/>
              <w:right w:val="single" w:color="auto" w:sz="4" w:space="0"/>
            </w:tcBorders>
            <w:shd w:val="clear" w:color="auto" w:fill="FFFFFF"/>
          </w:tcPr>
          <w:p w14:paraId="150D70E7">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脱盐</w:t>
            </w:r>
          </w:p>
        </w:tc>
      </w:tr>
      <w:tr w14:paraId="26DF0E2E">
        <w:tblPrEx>
          <w:tblCellMar>
            <w:top w:w="0" w:type="dxa"/>
            <w:left w:w="108" w:type="dxa"/>
            <w:bottom w:w="0" w:type="dxa"/>
            <w:right w:w="108" w:type="dxa"/>
          </w:tblCellMar>
        </w:tblPrEx>
        <w:tc>
          <w:tcPr>
            <w:tcW w:w="1565" w:type="pct"/>
            <w:vMerge w:val="continue"/>
            <w:tcBorders>
              <w:left w:val="nil"/>
              <w:bottom w:val="nil"/>
              <w:right w:val="nil"/>
            </w:tcBorders>
            <w:shd w:val="clear" w:color="auto" w:fill="FFFFFF"/>
          </w:tcPr>
          <w:p w14:paraId="37DC581E">
            <w:pPr>
              <w:adjustRightInd w:val="0"/>
              <w:snapToGrid w:val="0"/>
              <w:spacing w:line="276" w:lineRule="auto"/>
              <w:jc w:val="both"/>
              <w:rPr>
                <w:rFonts w:ascii="Times New Roman" w:hAnsi="Times New Roman" w:cs="Times New Roman"/>
                <w:color w:val="auto"/>
                <w:sz w:val="18"/>
                <w:szCs w:val="18"/>
              </w:rPr>
            </w:pPr>
          </w:p>
        </w:tc>
        <w:tc>
          <w:tcPr>
            <w:tcW w:w="1848" w:type="pct"/>
            <w:tcBorders>
              <w:top w:val="nil"/>
              <w:left w:val="single" w:color="auto" w:sz="4" w:space="0"/>
              <w:bottom w:val="single" w:color="auto" w:sz="4" w:space="0"/>
              <w:right w:val="nil"/>
            </w:tcBorders>
            <w:shd w:val="clear" w:color="auto" w:fill="FFFFFF"/>
          </w:tcPr>
          <w:p w14:paraId="02CE24D3">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其他</w:t>
            </w:r>
          </w:p>
        </w:tc>
        <w:tc>
          <w:tcPr>
            <w:tcW w:w="1587" w:type="pct"/>
            <w:tcBorders>
              <w:top w:val="nil"/>
              <w:left w:val="nil"/>
              <w:bottom w:val="single" w:color="auto" w:sz="4" w:space="0"/>
              <w:right w:val="single" w:color="auto" w:sz="4" w:space="0"/>
            </w:tcBorders>
            <w:shd w:val="clear" w:color="auto" w:fill="FFFFFF"/>
          </w:tcPr>
          <w:p w14:paraId="5DF17124">
            <w:pPr>
              <w:adjustRightInd w:val="0"/>
              <w:snapToGrid w:val="0"/>
              <w:spacing w:line="276" w:lineRule="auto"/>
              <w:jc w:val="both"/>
              <w:rPr>
                <w:rFonts w:ascii="Times New Roman" w:hAnsi="Times New Roman" w:cs="Times New Roman"/>
                <w:i/>
                <w:color w:val="auto"/>
                <w:sz w:val="18"/>
                <w:szCs w:val="18"/>
              </w:rPr>
            </w:pPr>
            <w:r>
              <w:rPr>
                <w:rFonts w:hint="eastAsia" w:ascii="Times New Roman" w:cs="Times New Roman"/>
                <w:i/>
                <w:color w:val="auto"/>
                <w:sz w:val="18"/>
                <w:szCs w:val="18"/>
              </w:rPr>
              <w:t>水热转化</w:t>
            </w:r>
          </w:p>
        </w:tc>
      </w:tr>
    </w:tbl>
    <w:p w14:paraId="28097A30">
      <w:pPr>
        <w:adjustRightInd w:val="0"/>
        <w:snapToGrid w:val="0"/>
        <w:spacing w:line="360" w:lineRule="auto"/>
        <w:jc w:val="both"/>
        <w:rPr>
          <w:rFonts w:ascii="Times New Roman" w:hAnsi="Times New Roman" w:cs="Times New Roman"/>
          <w:color w:val="auto"/>
          <w:sz w:val="21"/>
          <w:szCs w:val="21"/>
        </w:rPr>
      </w:pPr>
    </w:p>
    <w:p w14:paraId="0FC02560">
      <w:pPr>
        <w:adjustRightInd w:val="0"/>
        <w:snapToGrid w:val="0"/>
        <w:spacing w:line="360" w:lineRule="auto"/>
        <w:jc w:val="center"/>
        <w:rPr>
          <w:rFonts w:hint="eastAsia" w:eastAsia="宋体"/>
          <w:lang w:eastAsia="zh-CN"/>
        </w:rPr>
      </w:pPr>
    </w:p>
    <w:p w14:paraId="04DCE793">
      <w:pPr>
        <w:adjustRightInd w:val="0"/>
        <w:snapToGrid w:val="0"/>
        <w:spacing w:line="360" w:lineRule="auto"/>
        <w:jc w:val="center"/>
        <w:rPr>
          <w:rFonts w:hint="eastAsia" w:eastAsia="宋体"/>
          <w:lang w:eastAsia="zh-CN"/>
        </w:rPr>
      </w:pPr>
    </w:p>
    <w:p w14:paraId="28D0088D">
      <w:pPr>
        <w:adjustRightInd w:val="0"/>
        <w:snapToGrid w:val="0"/>
        <w:spacing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2"/>
                    <a:stretch>
                      <a:fillRect/>
                    </a:stretch>
                  </pic:blipFill>
                  <pic:spPr>
                    <a:xfrm>
                      <a:off x="0" y="0"/>
                      <a:ext cx="5210175" cy="7343775"/>
                    </a:xfrm>
                    <a:prstGeom prst="rect">
                      <a:avLst/>
                    </a:prstGeom>
                  </pic:spPr>
                </pic:pic>
              </a:graphicData>
            </a:graphic>
          </wp:inline>
        </w:drawing>
      </w:r>
    </w:p>
    <w:sectPr>
      <w:headerReference r:id="rId7" w:type="default"/>
      <w:pgSz w:w="11909" w:h="16834"/>
      <w:pgMar w:top="1440" w:right="1797" w:bottom="1440" w:left="1797" w:header="567" w:footer="567" w:gutter="0"/>
      <w:pgNumType w:start="2"/>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E323E">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2CFD9">
    <w:pPr>
      <w:tabs>
        <w:tab w:val="left" w:pos="6878"/>
      </w:tabs>
      <w:adjustRightInd w:val="0"/>
      <w:snapToGrid w:val="0"/>
      <w:spacing w:line="360" w:lineRule="auto"/>
      <w:jc w:val="both"/>
      <w:rPr>
        <w:rFonts w:ascii="Times New Roman" w:hAnsi="Times New Roman" w:cs="Times New Roman"/>
        <w:sz w:val="18"/>
        <w:szCs w:val="18"/>
      </w:rPr>
    </w:pPr>
    <w:r>
      <w:rPr>
        <w:rFonts w:ascii="Times New Roman" w:hAnsi="Times New Roman" w:cs="Times New Roman"/>
        <w:sz w:val="18"/>
        <w:szCs w:val="18"/>
        <w:highlight w:val="yellow"/>
      </w:rPr>
      <w:t>WAIS</w:t>
    </w:r>
    <w:r>
      <w:rPr>
        <w:rFonts w:hint="eastAsia" w:ascii="Times New Roman" w:hAnsi="Times New Roman" w:cs="Times New Roman"/>
        <w:sz w:val="18"/>
        <w:szCs w:val="18"/>
        <w:highlight w:val="yellow"/>
      </w:rPr>
      <w:t>文件检索</w:t>
    </w:r>
    <w:r>
      <w:rPr>
        <w:rFonts w:ascii="Times New Roman" w:hAnsi="Times New Roman" w:cs="Times New Roman"/>
        <w:sz w:val="18"/>
        <w:szCs w:val="18"/>
      </w:rPr>
      <w:tab/>
    </w:r>
    <w:r>
      <w:rPr>
        <w:rFonts w:hint="eastAsia" w:ascii="Times New Roman" w:hAnsi="Times New Roman" w:cs="Times New Roman"/>
        <w:sz w:val="18"/>
        <w:szCs w:val="18"/>
      </w:rPr>
      <w:t>第</w:t>
    </w:r>
    <w:r>
      <w:rPr>
        <w:rStyle w:val="10"/>
        <w:rFonts w:cs="宋体"/>
        <w:sz w:val="18"/>
        <w:szCs w:val="18"/>
      </w:rPr>
      <w:fldChar w:fldCharType="begin"/>
    </w:r>
    <w:r>
      <w:rPr>
        <w:rStyle w:val="10"/>
        <w:rFonts w:cs="宋体"/>
        <w:sz w:val="18"/>
        <w:szCs w:val="18"/>
      </w:rPr>
      <w:instrText xml:space="preserve"> PAGE </w:instrText>
    </w:r>
    <w:r>
      <w:rPr>
        <w:rStyle w:val="10"/>
        <w:rFonts w:cs="宋体"/>
        <w:sz w:val="18"/>
        <w:szCs w:val="18"/>
      </w:rPr>
      <w:fldChar w:fldCharType="separate"/>
    </w:r>
    <w:r>
      <w:rPr>
        <w:rStyle w:val="10"/>
        <w:rFonts w:cs="宋体"/>
        <w:sz w:val="18"/>
        <w:szCs w:val="18"/>
      </w:rPr>
      <w:t>10</w:t>
    </w:r>
    <w:r>
      <w:rPr>
        <w:rStyle w:val="10"/>
        <w:rFonts w:cs="宋体"/>
        <w:sz w:val="18"/>
        <w:szCs w:val="18"/>
      </w:rPr>
      <w:fldChar w:fldCharType="end"/>
    </w:r>
    <w:r>
      <w:rPr>
        <w:rFonts w:hint="eastAsia" w:ascii="Times New Roman" w:hAnsi="Times New Roman" w:cs="Times New Roman"/>
        <w:sz w:val="18"/>
        <w:szCs w:val="18"/>
      </w:rPr>
      <w:t>页，共</w:t>
    </w:r>
    <w:r>
      <w:rPr>
        <w:rFonts w:ascii="Times New Roman" w:hAnsi="Times New Roman" w:cs="Times New Roman"/>
        <w:sz w:val="18"/>
        <w:szCs w:val="18"/>
      </w:rPr>
      <w:t>10</w:t>
    </w:r>
    <w:r>
      <w:rPr>
        <w:rFonts w:hint="eastAsia" w:ascii="Times New Roman" w:hAnsi="Times New Roman" w:cs="Times New Roman"/>
        <w:sz w:val="18"/>
        <w:szCs w:val="18"/>
      </w:rPr>
      <w:t>页</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7A06F">
    <w:pPr>
      <w:pStyle w:val="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3BFC5">
    <w:pPr>
      <w:tabs>
        <w:tab w:val="left" w:pos="6878"/>
      </w:tabs>
      <w:adjustRightInd w:val="0"/>
      <w:snapToGrid w:val="0"/>
      <w:spacing w:line="360" w:lineRule="auto"/>
      <w:jc w:val="both"/>
      <w:rPr>
        <w:rFonts w:ascii="Times New Roman" w:hAnsi="Times New Roman" w:cs="Times New Roman"/>
        <w:sz w:val="18"/>
        <w:szCs w:val="18"/>
      </w:rPr>
    </w:pPr>
    <w:r>
      <w:rPr>
        <w:rFonts w:hint="eastAsia" w:ascii="Times New Roman" w:cs="Times New Roman"/>
        <w:sz w:val="18"/>
        <w:szCs w:val="18"/>
      </w:rPr>
      <w:t>行业指南：</w:t>
    </w:r>
    <w:r>
      <w:rPr>
        <w:rFonts w:ascii="Times New Roman" w:hAnsi="Times New Roman" w:cs="Times New Roman"/>
        <w:sz w:val="18"/>
        <w:szCs w:val="18"/>
      </w:rPr>
      <w:t xml:space="preserve"> BSE</w:t>
    </w:r>
    <w:r>
      <w:rPr>
        <w:rFonts w:ascii="Times New Roman" w:hAnsi="Times New Roman" w:cs="Times New Roman"/>
        <w:sz w:val="18"/>
        <w:szCs w:val="18"/>
      </w:rPr>
      <w:tab/>
    </w:r>
    <w:r>
      <w:rPr>
        <w:rFonts w:hint="eastAsia" w:ascii="Times New Roman" w:cs="Times New Roman"/>
        <w:sz w:val="18"/>
        <w:szCs w:val="18"/>
      </w:rPr>
      <w:t>第</w:t>
    </w:r>
    <w:r>
      <w:rPr>
        <w:rStyle w:val="10"/>
        <w:rFonts w:cs="宋体"/>
        <w:sz w:val="18"/>
        <w:szCs w:val="18"/>
      </w:rPr>
      <w:fldChar w:fldCharType="begin"/>
    </w:r>
    <w:r>
      <w:rPr>
        <w:rStyle w:val="10"/>
        <w:rFonts w:cs="宋体"/>
        <w:sz w:val="18"/>
        <w:szCs w:val="18"/>
      </w:rPr>
      <w:instrText xml:space="preserve"> PAGE </w:instrText>
    </w:r>
    <w:r>
      <w:rPr>
        <w:rStyle w:val="10"/>
        <w:rFonts w:cs="宋体"/>
        <w:sz w:val="18"/>
        <w:szCs w:val="18"/>
      </w:rPr>
      <w:fldChar w:fldCharType="separate"/>
    </w:r>
    <w:r>
      <w:rPr>
        <w:rStyle w:val="10"/>
        <w:rFonts w:cs="宋体"/>
        <w:sz w:val="18"/>
        <w:szCs w:val="18"/>
      </w:rPr>
      <w:t>14</w:t>
    </w:r>
    <w:r>
      <w:rPr>
        <w:rStyle w:val="10"/>
        <w:rFonts w:cs="宋体"/>
        <w:sz w:val="18"/>
        <w:szCs w:val="18"/>
      </w:rPr>
      <w:fldChar w:fldCharType="end"/>
    </w:r>
    <w:r>
      <w:rPr>
        <w:rFonts w:hint="eastAsia" w:ascii="Times New Roman" w:cs="Times New Roman"/>
        <w:sz w:val="18"/>
        <w:szCs w:val="18"/>
      </w:rPr>
      <w:t>页，共</w:t>
    </w:r>
    <w:r>
      <w:rPr>
        <w:rFonts w:ascii="Times New Roman" w:hAnsi="Times New Roman" w:cs="Times New Roman"/>
        <w:sz w:val="18"/>
        <w:szCs w:val="18"/>
      </w:rPr>
      <w:t>14</w:t>
    </w:r>
    <w:r>
      <w:rPr>
        <w:rFonts w:hint="eastAsia" w:ascii="Times New Roman" w:cs="Times New Roman"/>
        <w:sz w:val="18"/>
        <w:szCs w:val="18"/>
      </w:rPr>
      <w:t>页</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01AFE">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9D3DD8"/>
    <w:multiLevelType w:val="multilevel"/>
    <w:tmpl w:val="0B9D3DD8"/>
    <w:lvl w:ilvl="0" w:tentative="0">
      <w:start w:val="6"/>
      <w:numFmt w:val="decimal"/>
      <w:lvlText w:val="%1."/>
      <w:lvlJc w:val="left"/>
      <w:pPr>
        <w:tabs>
          <w:tab w:val="left" w:pos="480"/>
        </w:tabs>
        <w:ind w:left="480" w:hanging="480"/>
      </w:pPr>
      <w:rPr>
        <w:rFonts w:hint="default" w:hAnsi="Times New Roman"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NotTrackMoves/>
  <w:documentProtection w:enforcement="0"/>
  <w:defaultTabStop w:val="480"/>
  <w:doNotHyphenateCaps/>
  <w:drawingGridHorizontalSpacing w:val="181"/>
  <w:drawingGridVerticalSpacing w:val="181"/>
  <w:doNotShadeFormData w:val="1"/>
  <w:characterSpacingControl w:val="compressPunctuation"/>
  <w:noLineBreaksAfter w:lang="zh-CN" w:val="$([{£¥·‘“〈《「『【〔〖〝﹙﹛﹝＄（．［｛￡￥"/>
  <w:noLineBreaksBefore w:lang="zh-CN" w:val="!%),.:;&gt;?]}¢¨°·ˇˉ―‖’”…‰′″›℃∶、。〃〉》」』】〕〗〞︶︺︾﹀﹄﹚﹜﹞！＂％＇），．：；？］｀｜｝～￠"/>
  <w:doNotValidateAgainstSchema/>
  <w:doNotDemarcateInvalidXml/>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0736C"/>
    <w:rsid w:val="000031F2"/>
    <w:rsid w:val="0002064C"/>
    <w:rsid w:val="000318A1"/>
    <w:rsid w:val="00040F81"/>
    <w:rsid w:val="000740D1"/>
    <w:rsid w:val="0009491C"/>
    <w:rsid w:val="000C5841"/>
    <w:rsid w:val="000D2182"/>
    <w:rsid w:val="000E09C0"/>
    <w:rsid w:val="000E477E"/>
    <w:rsid w:val="00140ED7"/>
    <w:rsid w:val="00153DEA"/>
    <w:rsid w:val="0018344D"/>
    <w:rsid w:val="001917FD"/>
    <w:rsid w:val="00194970"/>
    <w:rsid w:val="001F2F0D"/>
    <w:rsid w:val="001F58E6"/>
    <w:rsid w:val="00251B62"/>
    <w:rsid w:val="00280527"/>
    <w:rsid w:val="0028551E"/>
    <w:rsid w:val="002D1DDE"/>
    <w:rsid w:val="00312ADE"/>
    <w:rsid w:val="00323CD2"/>
    <w:rsid w:val="00357DED"/>
    <w:rsid w:val="00370076"/>
    <w:rsid w:val="00390458"/>
    <w:rsid w:val="00447222"/>
    <w:rsid w:val="00476434"/>
    <w:rsid w:val="00485592"/>
    <w:rsid w:val="00494D47"/>
    <w:rsid w:val="004C0184"/>
    <w:rsid w:val="004D0410"/>
    <w:rsid w:val="0050720E"/>
    <w:rsid w:val="00537C05"/>
    <w:rsid w:val="00563B71"/>
    <w:rsid w:val="00570B79"/>
    <w:rsid w:val="0057772D"/>
    <w:rsid w:val="005856A1"/>
    <w:rsid w:val="00593157"/>
    <w:rsid w:val="005B198E"/>
    <w:rsid w:val="005C0D50"/>
    <w:rsid w:val="00611C59"/>
    <w:rsid w:val="00654D1E"/>
    <w:rsid w:val="00654D7E"/>
    <w:rsid w:val="00700B7C"/>
    <w:rsid w:val="00715C92"/>
    <w:rsid w:val="00737805"/>
    <w:rsid w:val="007A645A"/>
    <w:rsid w:val="007F6D30"/>
    <w:rsid w:val="00847AEF"/>
    <w:rsid w:val="00886DEA"/>
    <w:rsid w:val="008C2567"/>
    <w:rsid w:val="008F48FB"/>
    <w:rsid w:val="008F4BA5"/>
    <w:rsid w:val="0090214D"/>
    <w:rsid w:val="009322A9"/>
    <w:rsid w:val="0093243C"/>
    <w:rsid w:val="00974E46"/>
    <w:rsid w:val="009C379D"/>
    <w:rsid w:val="009C49BC"/>
    <w:rsid w:val="009C5583"/>
    <w:rsid w:val="009F6404"/>
    <w:rsid w:val="00A100EE"/>
    <w:rsid w:val="00A35C29"/>
    <w:rsid w:val="00A41681"/>
    <w:rsid w:val="00A47823"/>
    <w:rsid w:val="00A52267"/>
    <w:rsid w:val="00A81E46"/>
    <w:rsid w:val="00A96E2F"/>
    <w:rsid w:val="00A97B64"/>
    <w:rsid w:val="00AA4578"/>
    <w:rsid w:val="00AA6B4E"/>
    <w:rsid w:val="00AC7D50"/>
    <w:rsid w:val="00AD2D34"/>
    <w:rsid w:val="00B20130"/>
    <w:rsid w:val="00B32400"/>
    <w:rsid w:val="00B70125"/>
    <w:rsid w:val="00B9124B"/>
    <w:rsid w:val="00BA198A"/>
    <w:rsid w:val="00BD0A23"/>
    <w:rsid w:val="00BF06AC"/>
    <w:rsid w:val="00C13281"/>
    <w:rsid w:val="00C35DEC"/>
    <w:rsid w:val="00CE6EB9"/>
    <w:rsid w:val="00CF2FBB"/>
    <w:rsid w:val="00D8076E"/>
    <w:rsid w:val="00DB4925"/>
    <w:rsid w:val="00DD75D5"/>
    <w:rsid w:val="00DE6286"/>
    <w:rsid w:val="00E0736C"/>
    <w:rsid w:val="00E64071"/>
    <w:rsid w:val="00EF4567"/>
    <w:rsid w:val="00F046AD"/>
    <w:rsid w:val="00F14E94"/>
    <w:rsid w:val="00F31F66"/>
    <w:rsid w:val="00F54ACB"/>
    <w:rsid w:val="00F63945"/>
    <w:rsid w:val="00FA70DB"/>
    <w:rsid w:val="00FC5BE9"/>
    <w:rsid w:val="00FD4082"/>
    <w:rsid w:val="46BA162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semiHidden="0"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99" w:semiHidden="0"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宋体" w:hAnsi="宋体" w:eastAsia="宋体" w:cs="宋体"/>
      <w:color w:val="000000"/>
      <w:sz w:val="24"/>
      <w:szCs w:val="24"/>
      <w:lang w:val="zh-CN"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iPriority w:val="99"/>
  </w:style>
  <w:style w:type="paragraph" w:styleId="3">
    <w:name w:val="Date"/>
    <w:basedOn w:val="1"/>
    <w:next w:val="1"/>
    <w:link w:val="19"/>
    <w:uiPriority w:val="99"/>
    <w:pPr>
      <w:ind w:left="100" w:leftChars="2500"/>
    </w:pPr>
  </w:style>
  <w:style w:type="paragraph" w:styleId="4">
    <w:name w:val="Balloon Text"/>
    <w:basedOn w:val="1"/>
    <w:link w:val="17"/>
    <w:uiPriority w:val="99"/>
    <w:rPr>
      <w:sz w:val="18"/>
      <w:szCs w:val="18"/>
    </w:rPr>
  </w:style>
  <w:style w:type="paragraph" w:styleId="5">
    <w:name w:val="footer"/>
    <w:basedOn w:val="1"/>
    <w:link w:val="14"/>
    <w:uiPriority w:val="99"/>
    <w:pPr>
      <w:tabs>
        <w:tab w:val="center" w:pos="4153"/>
        <w:tab w:val="right" w:pos="8306"/>
      </w:tabs>
      <w:snapToGrid w:val="0"/>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6"/>
    <w:qFormat/>
    <w:uiPriority w:val="99"/>
    <w:rPr>
      <w:b/>
      <w:bCs/>
    </w:rPr>
  </w:style>
  <w:style w:type="character" w:styleId="10">
    <w:name w:val="page number"/>
    <w:uiPriority w:val="99"/>
    <w:rPr>
      <w:rFonts w:cs="Times New Roman"/>
    </w:rPr>
  </w:style>
  <w:style w:type="character" w:styleId="11">
    <w:name w:val="Hyperlink"/>
    <w:uiPriority w:val="99"/>
    <w:rPr>
      <w:rFonts w:cs="Times New Roman"/>
      <w:color w:val="0066CC"/>
      <w:u w:val="single"/>
    </w:rPr>
  </w:style>
  <w:style w:type="character" w:styleId="12">
    <w:name w:val="annotation reference"/>
    <w:uiPriority w:val="99"/>
    <w:rPr>
      <w:rFonts w:cs="Times New Roman"/>
      <w:sz w:val="21"/>
      <w:szCs w:val="21"/>
    </w:rPr>
  </w:style>
  <w:style w:type="character" w:customStyle="1" w:styleId="13">
    <w:name w:val="页眉 Char"/>
    <w:link w:val="6"/>
    <w:semiHidden/>
    <w:locked/>
    <w:uiPriority w:val="99"/>
    <w:rPr>
      <w:rFonts w:cs="Times New Roman"/>
      <w:color w:val="000000"/>
      <w:kern w:val="0"/>
      <w:sz w:val="18"/>
      <w:szCs w:val="18"/>
      <w:lang w:val="zh-CN"/>
    </w:rPr>
  </w:style>
  <w:style w:type="character" w:customStyle="1" w:styleId="14">
    <w:name w:val="页脚 Char"/>
    <w:link w:val="5"/>
    <w:semiHidden/>
    <w:qFormat/>
    <w:locked/>
    <w:uiPriority w:val="99"/>
    <w:rPr>
      <w:rFonts w:cs="Times New Roman"/>
      <w:color w:val="000000"/>
      <w:kern w:val="0"/>
      <w:sz w:val="18"/>
      <w:szCs w:val="18"/>
      <w:lang w:val="zh-CN"/>
    </w:rPr>
  </w:style>
  <w:style w:type="character" w:customStyle="1" w:styleId="15">
    <w:name w:val="批注文字 Char"/>
    <w:link w:val="2"/>
    <w:locked/>
    <w:uiPriority w:val="99"/>
    <w:rPr>
      <w:rFonts w:cs="Times New Roman"/>
      <w:color w:val="000000"/>
      <w:sz w:val="24"/>
      <w:szCs w:val="24"/>
      <w:lang w:eastAsia="zh-CN"/>
    </w:rPr>
  </w:style>
  <w:style w:type="character" w:customStyle="1" w:styleId="16">
    <w:name w:val="批注主题 Char"/>
    <w:link w:val="7"/>
    <w:locked/>
    <w:uiPriority w:val="99"/>
    <w:rPr>
      <w:rFonts w:cs="Times New Roman"/>
      <w:b/>
      <w:bCs/>
      <w:color w:val="000000"/>
      <w:sz w:val="24"/>
      <w:szCs w:val="24"/>
      <w:lang w:eastAsia="zh-CN"/>
    </w:rPr>
  </w:style>
  <w:style w:type="character" w:customStyle="1" w:styleId="17">
    <w:name w:val="批注框文本 Char"/>
    <w:link w:val="4"/>
    <w:locked/>
    <w:uiPriority w:val="99"/>
    <w:rPr>
      <w:rFonts w:cs="Times New Roman"/>
      <w:color w:val="000000"/>
      <w:sz w:val="18"/>
      <w:szCs w:val="18"/>
      <w:lang w:eastAsia="zh-CN"/>
    </w:rPr>
  </w:style>
  <w:style w:type="paragraph" w:customStyle="1" w:styleId="18">
    <w:name w:val="CM5"/>
    <w:basedOn w:val="1"/>
    <w:next w:val="1"/>
    <w:uiPriority w:val="99"/>
    <w:pPr>
      <w:autoSpaceDE w:val="0"/>
      <w:autoSpaceDN w:val="0"/>
      <w:adjustRightInd w:val="0"/>
      <w:spacing w:line="256" w:lineRule="atLeast"/>
    </w:pPr>
    <w:rPr>
      <w:rFonts w:ascii="Times New Roman" w:hAnsi="Times New Roman" w:cs="Times New Roman"/>
      <w:color w:val="auto"/>
      <w:lang w:val="en-US"/>
    </w:rPr>
  </w:style>
  <w:style w:type="character" w:customStyle="1" w:styleId="19">
    <w:name w:val="日期 Char"/>
    <w:link w:val="3"/>
    <w:semiHidden/>
    <w:qFormat/>
    <w:locked/>
    <w:uiPriority w:val="99"/>
    <w:rPr>
      <w:rFonts w:cs="Times New Roman"/>
      <w:color w:val="000000"/>
      <w:kern w:val="0"/>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theme" Target="theme/theme1.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emf"/><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21485</Words>
  <Characters>25405</Characters>
  <Lines>192</Lines>
  <Paragraphs>54</Paragraphs>
  <TotalTime>299</TotalTime>
  <ScaleCrop>false</ScaleCrop>
  <LinksUpToDate>false</LinksUpToDate>
  <CharactersWithSpaces>25930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2017-04-06T12:40:00Z</dcterms:created>
  <dc:creator>xlmedtrans</dc:creator>
  <cp:lastModifiedBy>太极箫客</cp:lastModifiedBy>
  <dcterms:modified xsi:type="dcterms:W3CDTF">2025-08-14T06:45:20Z</dcterms:modified>
  <dc:title>Microsoft Word - 1540.doc</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93B7B60981784722A19CCE89E14D9EB1_12</vt:lpwstr>
  </property>
</Properties>
</file>