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052BF6">
      <w:pPr>
        <w:spacing w:before="120" w:beforeLines="50" w:line="300" w:lineRule="auto"/>
        <w:jc w:val="center"/>
        <w:rPr>
          <w:rFonts w:cs="Times New Roman"/>
          <w:b/>
          <w:sz w:val="36"/>
          <w:szCs w:val="36"/>
          <w:lang w:eastAsia="zh-CN"/>
        </w:rPr>
      </w:pPr>
      <w:bookmarkStart w:id="1" w:name="_GoBack"/>
      <w:bookmarkEnd w:id="1"/>
      <w:r>
        <w:rPr>
          <w:rFonts w:cs="宋体"/>
          <w:b/>
          <w:sz w:val="36"/>
          <w:szCs w:val="36"/>
          <w:lang w:eastAsia="zh-CN"/>
        </w:rPr>
        <w:t>向责任方公布ORA实验室分析结果：美国食品药品监督管理局工作人员指南</w:t>
      </w:r>
    </w:p>
    <w:p w14:paraId="19FADE90">
      <w:pPr>
        <w:spacing w:before="120" w:beforeLines="50" w:line="300" w:lineRule="auto"/>
        <w:rPr>
          <w:rFonts w:cs="Times New Roman"/>
          <w:sz w:val="24"/>
          <w:szCs w:val="24"/>
          <w:lang w:eastAsia="zh-CN"/>
        </w:rPr>
      </w:pPr>
      <w:r>
        <w:rPr>
          <w:rFonts w:cs="宋体"/>
          <w:sz w:val="24"/>
          <w:lang w:eastAsia="zh-CN"/>
        </w:rPr>
        <w:t>可随时提交对本指南的书面意见。请将电子版意见</w:t>
      </w:r>
      <w:r>
        <w:rPr>
          <w:rFonts w:hint="eastAsia" w:cs="宋体"/>
          <w:sz w:val="24"/>
          <w:lang w:eastAsia="zh-CN"/>
        </w:rPr>
        <w:t>反馈</w:t>
      </w:r>
      <w:r>
        <w:rPr>
          <w:rFonts w:cs="宋体"/>
          <w:sz w:val="24"/>
          <w:lang w:eastAsia="zh-CN"/>
        </w:rPr>
        <w:t>至</w:t>
      </w:r>
      <w:r>
        <w:fldChar w:fldCharType="begin"/>
      </w:r>
      <w:r>
        <w:instrText xml:space="preserve"> HYPERLINK "http://www.regulations.gov" </w:instrText>
      </w:r>
      <w:r>
        <w:fldChar w:fldCharType="separate"/>
      </w:r>
      <w:r>
        <w:rPr>
          <w:rStyle w:val="14"/>
          <w:rFonts w:cs="宋体"/>
          <w:sz w:val="24"/>
          <w:lang w:eastAsia="zh-CN"/>
        </w:rPr>
        <w:t>http://www.regulations.gov</w:t>
      </w:r>
      <w:r>
        <w:rPr>
          <w:rStyle w:val="14"/>
          <w:rFonts w:cs="宋体"/>
          <w:sz w:val="24"/>
          <w:lang w:eastAsia="zh-CN"/>
        </w:rPr>
        <w:fldChar w:fldCharType="end"/>
      </w:r>
      <w:r>
        <w:rPr>
          <w:rFonts w:hint="eastAsia" w:cs="宋体"/>
          <w:sz w:val="24"/>
          <w:lang w:eastAsia="zh-CN"/>
        </w:rPr>
        <w:t>，</w:t>
      </w:r>
      <w:r>
        <w:rPr>
          <w:rFonts w:cs="宋体"/>
          <w:sz w:val="24"/>
          <w:lang w:eastAsia="zh-CN"/>
        </w:rPr>
        <w:t>书面意见</w:t>
      </w:r>
      <w:r>
        <w:rPr>
          <w:rFonts w:hint="eastAsia" w:cs="宋体"/>
          <w:sz w:val="24"/>
          <w:lang w:eastAsia="zh-CN"/>
        </w:rPr>
        <w:t>反馈</w:t>
      </w:r>
      <w:r>
        <w:rPr>
          <w:rFonts w:cs="宋体"/>
          <w:sz w:val="24"/>
          <w:lang w:eastAsia="zh-CN"/>
        </w:rPr>
        <w:t>至：美国食品药品监督管理局备案文件管理部，地址为5630 Fishers Lane, Room 1061, Rockville, MD 20852。所有相关意见均需注明备案文件编号FDA-2019-D-1163。</w:t>
      </w:r>
    </w:p>
    <w:p w14:paraId="4838FBBA">
      <w:pPr>
        <w:spacing w:before="120" w:beforeLines="50" w:line="300" w:lineRule="auto"/>
        <w:rPr>
          <w:rFonts w:cs="Times New Roman"/>
          <w:sz w:val="24"/>
          <w:szCs w:val="24"/>
          <w:lang w:eastAsia="zh-CN"/>
        </w:rPr>
      </w:pPr>
      <w:r>
        <w:rPr>
          <w:rFonts w:cs="宋体"/>
          <w:sz w:val="24"/>
          <w:lang w:eastAsia="zh-CN"/>
        </w:rPr>
        <w:t>对于有关本指南或其他副本的问题，请发送电子邮件至</w:t>
      </w:r>
      <w:r>
        <w:rPr>
          <w:rFonts w:cs="宋体"/>
          <w:color w:val="0000FF"/>
          <w:sz w:val="24"/>
          <w:u w:val="single"/>
          <w:lang w:eastAsia="zh-CN"/>
        </w:rPr>
        <w:t>ORAPolicyStaffs@fda.hhs.gov</w:t>
      </w:r>
      <w:r>
        <w:rPr>
          <w:rFonts w:cs="宋体"/>
          <w:sz w:val="24"/>
          <w:lang w:eastAsia="zh-CN"/>
        </w:rPr>
        <w:t>，联系</w:t>
      </w:r>
      <w:r>
        <w:rPr>
          <w:rFonts w:hint="eastAsia" w:cs="宋体"/>
          <w:sz w:val="24"/>
          <w:lang w:eastAsia="zh-CN"/>
        </w:rPr>
        <w:t>法规</w:t>
      </w:r>
      <w:r>
        <w:rPr>
          <w:rFonts w:cs="宋体"/>
          <w:sz w:val="24"/>
          <w:lang w:eastAsia="zh-CN"/>
        </w:rPr>
        <w:t>事务办公室（ORA）战略规划和业务政策办公室（OSPOP）。</w:t>
      </w:r>
    </w:p>
    <w:p w14:paraId="4D1DD800">
      <w:pPr>
        <w:spacing w:before="120" w:beforeLines="50" w:line="300" w:lineRule="auto"/>
        <w:rPr>
          <w:rFonts w:cs="Times New Roman"/>
          <w:b/>
          <w:sz w:val="24"/>
          <w:szCs w:val="24"/>
          <w:lang w:eastAsia="zh-CN"/>
        </w:rPr>
      </w:pPr>
    </w:p>
    <w:p w14:paraId="0CF45224">
      <w:pPr>
        <w:spacing w:before="120" w:beforeLines="50" w:line="300" w:lineRule="auto"/>
        <w:rPr>
          <w:rFonts w:cs="Times New Roman"/>
          <w:b/>
          <w:sz w:val="24"/>
          <w:szCs w:val="24"/>
          <w:lang w:eastAsia="zh-CN"/>
        </w:rPr>
      </w:pPr>
    </w:p>
    <w:p w14:paraId="13FFF643">
      <w:pPr>
        <w:spacing w:before="120" w:beforeLines="50" w:line="300" w:lineRule="auto"/>
        <w:rPr>
          <w:rFonts w:cs="Times New Roman"/>
          <w:b/>
          <w:sz w:val="24"/>
          <w:szCs w:val="24"/>
          <w:lang w:eastAsia="zh-CN"/>
        </w:rPr>
      </w:pPr>
    </w:p>
    <w:p w14:paraId="5D97313E">
      <w:pPr>
        <w:spacing w:before="120" w:beforeLines="50" w:line="300" w:lineRule="auto"/>
        <w:rPr>
          <w:rFonts w:cs="Times New Roman"/>
          <w:b/>
          <w:sz w:val="24"/>
          <w:szCs w:val="24"/>
          <w:lang w:eastAsia="zh-CN"/>
        </w:rPr>
      </w:pPr>
    </w:p>
    <w:p w14:paraId="0C490D9D">
      <w:pPr>
        <w:spacing w:before="120" w:beforeLines="50" w:line="300" w:lineRule="auto"/>
        <w:rPr>
          <w:rFonts w:cs="Times New Roman"/>
          <w:b/>
          <w:sz w:val="24"/>
          <w:szCs w:val="24"/>
          <w:lang w:eastAsia="zh-CN"/>
        </w:rPr>
      </w:pPr>
    </w:p>
    <w:p w14:paraId="699BFDB3">
      <w:pPr>
        <w:spacing w:before="120" w:beforeLines="50" w:line="300" w:lineRule="auto"/>
        <w:jc w:val="center"/>
        <w:rPr>
          <w:rFonts w:cs="Times New Roman"/>
          <w:b/>
          <w:sz w:val="24"/>
          <w:szCs w:val="24"/>
          <w:lang w:eastAsia="zh-CN"/>
        </w:rPr>
      </w:pPr>
      <w:r>
        <w:rPr>
          <w:rFonts w:cs="宋体"/>
          <w:b/>
          <w:sz w:val="24"/>
          <w:lang w:eastAsia="zh-CN"/>
        </w:rPr>
        <w:t>美国卫生与公共服务部</w:t>
      </w:r>
    </w:p>
    <w:p w14:paraId="2060A8AD">
      <w:pPr>
        <w:spacing w:before="120" w:beforeLines="50" w:line="300" w:lineRule="auto"/>
        <w:jc w:val="center"/>
        <w:rPr>
          <w:rFonts w:cs="Times New Roman"/>
          <w:b/>
          <w:sz w:val="24"/>
          <w:szCs w:val="24"/>
          <w:lang w:eastAsia="zh-CN"/>
        </w:rPr>
      </w:pPr>
      <w:r>
        <w:rPr>
          <w:rFonts w:cs="宋体"/>
          <w:b/>
          <w:sz w:val="24"/>
          <w:lang w:eastAsia="zh-CN"/>
        </w:rPr>
        <w:t>美国食品药品监督管理局</w:t>
      </w:r>
    </w:p>
    <w:p w14:paraId="3733B6DC">
      <w:pPr>
        <w:spacing w:before="120" w:beforeLines="50" w:line="300" w:lineRule="auto"/>
        <w:jc w:val="center"/>
        <w:rPr>
          <w:rFonts w:cs="Times New Roman"/>
          <w:b/>
          <w:sz w:val="24"/>
          <w:szCs w:val="24"/>
          <w:lang w:eastAsia="zh-CN"/>
        </w:rPr>
      </w:pPr>
      <w:r>
        <w:rPr>
          <w:rFonts w:cs="宋体"/>
          <w:b/>
          <w:sz w:val="24"/>
          <w:lang w:eastAsia="zh-CN"/>
        </w:rPr>
        <w:t>法规事务办公室</w:t>
      </w:r>
    </w:p>
    <w:p w14:paraId="55FAF0BC">
      <w:pPr>
        <w:spacing w:before="120" w:beforeLines="50" w:line="300" w:lineRule="auto"/>
        <w:jc w:val="center"/>
        <w:rPr>
          <w:rFonts w:cs="Times New Roman"/>
          <w:b/>
          <w:sz w:val="24"/>
          <w:szCs w:val="24"/>
          <w:lang w:eastAsia="zh-CN"/>
        </w:rPr>
      </w:pPr>
      <w:r>
        <w:rPr>
          <w:rFonts w:cs="宋体"/>
          <w:b/>
          <w:sz w:val="24"/>
          <w:lang w:eastAsia="zh-CN"/>
        </w:rPr>
        <w:t>医疗器械和辐射健康中心</w:t>
      </w:r>
    </w:p>
    <w:p w14:paraId="16F23BD5">
      <w:pPr>
        <w:spacing w:before="120" w:beforeLines="50" w:line="300" w:lineRule="auto"/>
        <w:jc w:val="center"/>
        <w:rPr>
          <w:rFonts w:cs="Times New Roman"/>
          <w:b/>
          <w:sz w:val="24"/>
          <w:szCs w:val="24"/>
          <w:lang w:eastAsia="zh-CN"/>
        </w:rPr>
      </w:pPr>
      <w:r>
        <w:rPr>
          <w:rFonts w:cs="宋体"/>
          <w:b/>
          <w:sz w:val="24"/>
          <w:lang w:eastAsia="zh-CN"/>
        </w:rPr>
        <w:t>食品安全与应用营养学中心</w:t>
      </w:r>
    </w:p>
    <w:p w14:paraId="65EE248E">
      <w:pPr>
        <w:spacing w:before="120" w:beforeLines="50" w:line="300" w:lineRule="auto"/>
        <w:jc w:val="center"/>
        <w:rPr>
          <w:rFonts w:cs="Times New Roman"/>
          <w:b/>
          <w:sz w:val="24"/>
          <w:szCs w:val="24"/>
          <w:lang w:eastAsia="zh-CN"/>
        </w:rPr>
      </w:pPr>
      <w:r>
        <w:rPr>
          <w:rFonts w:cs="宋体"/>
          <w:b/>
          <w:sz w:val="24"/>
          <w:lang w:eastAsia="zh-CN"/>
        </w:rPr>
        <w:t>烟草制品管理中心</w:t>
      </w:r>
    </w:p>
    <w:p w14:paraId="7BFD550B">
      <w:pPr>
        <w:spacing w:before="120" w:beforeLines="50" w:line="300" w:lineRule="auto"/>
        <w:jc w:val="center"/>
        <w:rPr>
          <w:rFonts w:cs="Times New Roman"/>
          <w:b/>
          <w:sz w:val="24"/>
          <w:szCs w:val="24"/>
          <w:lang w:eastAsia="zh-CN"/>
        </w:rPr>
      </w:pPr>
      <w:r>
        <w:rPr>
          <w:rFonts w:cs="宋体"/>
          <w:b/>
          <w:sz w:val="24"/>
          <w:lang w:eastAsia="zh-CN"/>
        </w:rPr>
        <w:t>兽药中心</w:t>
      </w:r>
    </w:p>
    <w:p w14:paraId="40B471B2">
      <w:pPr>
        <w:spacing w:before="120" w:beforeLines="50" w:line="300" w:lineRule="auto"/>
        <w:jc w:val="center"/>
        <w:rPr>
          <w:rFonts w:cs="Times New Roman"/>
          <w:b/>
          <w:sz w:val="24"/>
          <w:szCs w:val="24"/>
          <w:lang w:eastAsia="zh-CN"/>
        </w:rPr>
      </w:pPr>
      <w:r>
        <w:rPr>
          <w:rFonts w:cs="宋体"/>
          <w:b/>
          <w:sz w:val="24"/>
          <w:lang w:eastAsia="zh-CN"/>
        </w:rPr>
        <w:t>2019年3月</w:t>
      </w:r>
    </w:p>
    <w:p w14:paraId="657A8650">
      <w:pPr>
        <w:spacing w:before="120" w:beforeLines="50" w:line="300" w:lineRule="auto"/>
        <w:jc w:val="center"/>
        <w:rPr>
          <w:rFonts w:cs="Times New Roman"/>
          <w:b/>
          <w:sz w:val="36"/>
          <w:szCs w:val="36"/>
          <w:lang w:eastAsia="zh-CN"/>
        </w:rPr>
      </w:pPr>
      <w:r>
        <w:rPr>
          <w:rFonts w:cs="宋体"/>
          <w:sz w:val="44"/>
          <w:lang w:eastAsia="zh-CN"/>
        </w:rPr>
        <w:br w:type="page"/>
      </w:r>
      <w:r>
        <w:rPr>
          <w:rFonts w:cs="宋体"/>
          <w:b/>
          <w:sz w:val="36"/>
          <w:szCs w:val="36"/>
          <w:lang w:eastAsia="zh-CN"/>
        </w:rPr>
        <w:t>向责任方公布ORA实验室分析结果：美国食品药品监督管理局工作人员指南</w:t>
      </w:r>
      <w:r>
        <w:rPr>
          <w:rFonts w:cs="宋体"/>
          <w:b/>
          <w:sz w:val="36"/>
          <w:szCs w:val="36"/>
          <w:vertAlign w:val="superscript"/>
          <w:lang w:eastAsia="zh-CN"/>
        </w:rPr>
        <w:t>1</w:t>
      </w:r>
    </w:p>
    <w:p w14:paraId="287FA44C">
      <w:pPr>
        <w:pBdr>
          <w:top w:val="single" w:color="auto" w:sz="4" w:space="1"/>
          <w:left w:val="single" w:color="auto" w:sz="4" w:space="4"/>
          <w:bottom w:val="single" w:color="auto" w:sz="4" w:space="1"/>
          <w:right w:val="single" w:color="auto" w:sz="4" w:space="4"/>
        </w:pBdr>
        <w:spacing w:before="120" w:beforeLines="50" w:line="300" w:lineRule="auto"/>
        <w:rPr>
          <w:rFonts w:cs="Times New Roman"/>
          <w:b/>
          <w:bCs/>
          <w:i/>
          <w:iCs/>
          <w:lang w:eastAsia="zh-CN"/>
        </w:rPr>
      </w:pPr>
      <w:r>
        <w:rPr>
          <w:rFonts w:hint="eastAsia" w:cs="宋体"/>
          <w:b/>
          <w:bCs/>
          <w:i/>
          <w:iCs/>
          <w:lang w:eastAsia="zh-CN"/>
        </w:rPr>
        <w:t>本指南代表美国食品药品监督管理局（FDA或本机构）目前关于该主题的思考。不会为任何人创造或赋予任何权利，也不会对FDA或公众产生约束。如果替代方法满足适用的法律法规的要求，则可以使用替代方法。如需讨论替代方法，请联系标题页负责实施本指南文件的FDA工作人员或办公室。</w:t>
      </w:r>
    </w:p>
    <w:p w14:paraId="43CECD67">
      <w:pPr>
        <w:pStyle w:val="2"/>
        <w:rPr>
          <w:lang w:eastAsia="zh-CN"/>
        </w:rPr>
      </w:pPr>
      <w:r>
        <w:rPr>
          <w:rFonts w:cs="宋体"/>
          <w:lang w:eastAsia="zh-CN"/>
        </w:rPr>
        <w:t>I.</w:t>
      </w:r>
      <w:r>
        <w:rPr>
          <w:rFonts w:cs="宋体"/>
          <w:lang w:eastAsia="zh-CN"/>
        </w:rPr>
        <w:tab/>
      </w:r>
      <w:r>
        <w:rPr>
          <w:rFonts w:cs="宋体"/>
          <w:lang w:eastAsia="zh-CN"/>
        </w:rPr>
        <w:t>引言</w:t>
      </w:r>
    </w:p>
    <w:p w14:paraId="6FAAC16E">
      <w:pPr>
        <w:spacing w:before="120" w:beforeLines="50" w:line="300" w:lineRule="auto"/>
        <w:rPr>
          <w:rFonts w:cs="Times New Roman"/>
          <w:sz w:val="24"/>
          <w:szCs w:val="24"/>
          <w:lang w:eastAsia="zh-CN"/>
        </w:rPr>
      </w:pPr>
      <w:r>
        <w:rPr>
          <w:rFonts w:cs="宋体"/>
          <w:sz w:val="24"/>
          <w:lang w:eastAsia="zh-CN"/>
        </w:rPr>
        <w:t>本文件为FDA工作人员提供了向责任方公布</w:t>
      </w:r>
      <w:r>
        <w:rPr>
          <w:rFonts w:hint="eastAsia" w:cs="宋体"/>
          <w:sz w:val="24"/>
          <w:lang w:eastAsia="zh-CN"/>
        </w:rPr>
        <w:t>法规</w:t>
      </w:r>
      <w:r>
        <w:rPr>
          <w:rFonts w:cs="宋体"/>
          <w:sz w:val="24"/>
          <w:lang w:eastAsia="zh-CN"/>
        </w:rPr>
        <w:t>事务办公室（ORA）的实验室最终分析结果及（在某些情况下）初步分析结果的指南。</w:t>
      </w:r>
      <w:r>
        <w:rPr>
          <w:rFonts w:cs="宋体"/>
          <w:sz w:val="24"/>
          <w:vertAlign w:val="superscript"/>
          <w:lang w:eastAsia="zh-CN"/>
        </w:rPr>
        <w:t>2</w:t>
      </w:r>
      <w:r>
        <w:rPr>
          <w:rFonts w:cs="宋体"/>
          <w:sz w:val="24"/>
          <w:lang w:eastAsia="zh-CN"/>
        </w:rPr>
        <w:t>本政策适用于在FDA监管活动期间采集</w:t>
      </w:r>
      <w:r>
        <w:rPr>
          <w:rFonts w:hint="eastAsia" w:cs="宋体"/>
          <w:sz w:val="24"/>
          <w:lang w:eastAsia="zh-CN"/>
        </w:rPr>
        <w:t>并</w:t>
      </w:r>
      <w:r>
        <w:rPr>
          <w:rFonts w:cs="宋体"/>
          <w:sz w:val="24"/>
          <w:lang w:eastAsia="zh-CN"/>
        </w:rPr>
        <w:t>在ORA实验室分析的样品</w:t>
      </w:r>
      <w:r>
        <w:rPr>
          <w:rFonts w:hint="eastAsia" w:cs="宋体"/>
          <w:sz w:val="24"/>
          <w:lang w:eastAsia="zh-CN"/>
        </w:rPr>
        <w:t>，为</w:t>
      </w:r>
      <w:r>
        <w:rPr>
          <w:rFonts w:cs="宋体"/>
          <w:sz w:val="24"/>
          <w:lang w:eastAsia="zh-CN"/>
        </w:rPr>
        <w:t>指派与责任方交付和讨论ORA实验室分析结果的FDA工作人员</w:t>
      </w:r>
      <w:r>
        <w:rPr>
          <w:rFonts w:hint="eastAsia" w:cs="宋体"/>
          <w:sz w:val="24"/>
          <w:lang w:eastAsia="zh-CN"/>
        </w:rPr>
        <w:t>提供了指导</w:t>
      </w:r>
      <w:r>
        <w:rPr>
          <w:rFonts w:cs="宋体"/>
          <w:sz w:val="24"/>
          <w:lang w:eastAsia="zh-CN"/>
        </w:rPr>
        <w:t>。本</w:t>
      </w:r>
      <w:r>
        <w:rPr>
          <w:rFonts w:hint="eastAsia" w:cs="宋体"/>
          <w:sz w:val="24"/>
          <w:lang w:eastAsia="zh-CN"/>
        </w:rPr>
        <w:t>指南</w:t>
      </w:r>
      <w:r>
        <w:rPr>
          <w:rFonts w:cs="宋体"/>
          <w:sz w:val="24"/>
          <w:lang w:eastAsia="zh-CN"/>
        </w:rPr>
        <w:t>不要求责任方提交《信息自由法案》（FOIA）</w:t>
      </w:r>
      <w:r>
        <w:rPr>
          <w:rFonts w:hint="eastAsia" w:cs="宋体"/>
          <w:sz w:val="24"/>
          <w:lang w:eastAsia="zh-CN"/>
        </w:rPr>
        <w:t>要求</w:t>
      </w:r>
      <w:r>
        <w:rPr>
          <w:rFonts w:cs="宋体"/>
          <w:sz w:val="24"/>
          <w:lang w:eastAsia="zh-CN"/>
        </w:rPr>
        <w:t>的记录查看请求。</w:t>
      </w:r>
      <w:r>
        <w:rPr>
          <w:rFonts w:cs="宋体"/>
          <w:sz w:val="24"/>
          <w:vertAlign w:val="superscript"/>
          <w:lang w:eastAsia="zh-CN"/>
        </w:rPr>
        <w:t>3</w:t>
      </w:r>
    </w:p>
    <w:p w14:paraId="04CB9113">
      <w:pPr>
        <w:spacing w:before="120" w:beforeLines="50" w:line="300" w:lineRule="auto"/>
        <w:rPr>
          <w:rFonts w:cs="Times New Roman"/>
          <w:sz w:val="24"/>
          <w:szCs w:val="24"/>
          <w:lang w:eastAsia="zh-CN"/>
        </w:rPr>
      </w:pPr>
      <w:r>
        <w:rPr>
          <w:rFonts w:hint="eastAsia" w:cs="宋体"/>
          <w:sz w:val="24"/>
          <w:lang w:eastAsia="zh-CN"/>
        </w:rPr>
        <w:t>FDA指导性文件，包括本指南在内，不具有法律强制责任。相反，指南表明了该机构目前关于该主题的思考，除非引用具体的法规或法律要求，否则只应视为建议。在本机构指南中使用词语“应”是指建议或推荐进行某一事项，并非强制要求。</w:t>
      </w:r>
    </w:p>
    <w:p w14:paraId="10893FFA">
      <w:pPr>
        <w:pStyle w:val="2"/>
        <w:rPr>
          <w:lang w:eastAsia="zh-CN"/>
        </w:rPr>
      </w:pPr>
      <w:r>
        <w:rPr>
          <w:rFonts w:cs="宋体"/>
          <w:lang w:eastAsia="zh-CN"/>
        </w:rPr>
        <w:t>II.</w:t>
      </w:r>
      <w:r>
        <w:rPr>
          <w:rFonts w:cs="宋体"/>
          <w:lang w:eastAsia="zh-CN"/>
        </w:rPr>
        <w:tab/>
      </w:r>
      <w:r>
        <w:rPr>
          <w:rFonts w:cs="宋体"/>
          <w:lang w:eastAsia="zh-CN"/>
        </w:rPr>
        <w:t>背景</w:t>
      </w:r>
    </w:p>
    <w:p w14:paraId="7C680487">
      <w:pPr>
        <w:spacing w:before="120" w:beforeLines="50" w:line="300" w:lineRule="auto"/>
        <w:rPr>
          <w:rFonts w:cs="Times New Roman"/>
          <w:sz w:val="24"/>
          <w:szCs w:val="24"/>
          <w:lang w:eastAsia="zh-CN"/>
        </w:rPr>
      </w:pPr>
      <w:r>
        <w:rPr>
          <w:rFonts w:cs="宋体"/>
          <w:sz w:val="24"/>
          <w:lang w:eastAsia="zh-CN"/>
        </w:rPr>
        <w:t>样品采集和分析（可能包括成品和环境样品）是FDA用于评估FDA监管产品合规性和确保</w:t>
      </w:r>
      <w:r>
        <w:rPr>
          <w:rFonts w:hint="eastAsia" w:cs="宋体"/>
          <w:sz w:val="24"/>
          <w:lang w:eastAsia="zh-CN"/>
        </w:rPr>
        <w:t>公众健康</w:t>
      </w:r>
      <w:r>
        <w:rPr>
          <w:rFonts w:cs="宋体"/>
          <w:sz w:val="24"/>
          <w:lang w:eastAsia="zh-CN"/>
        </w:rPr>
        <w:t>防护的重要工具。通常情况下，FDA在得</w:t>
      </w:r>
      <w:r>
        <w:rPr>
          <w:rFonts w:hint="eastAsia" w:cs="宋体"/>
          <w:sz w:val="24"/>
          <w:lang w:eastAsia="zh-CN"/>
        </w:rPr>
        <w:t>到</w:t>
      </w:r>
      <w:r>
        <w:rPr>
          <w:rFonts w:cs="宋体"/>
          <w:sz w:val="24"/>
          <w:lang w:eastAsia="zh-CN"/>
        </w:rPr>
        <w:t>ORA实验室最终分析结果、完成报告（两者都须得到FDA相关负责官员的认可），并对</w:t>
      </w:r>
      <w:r>
        <w:rPr>
          <w:rFonts w:hint="eastAsia" w:cs="宋体"/>
          <w:sz w:val="24"/>
          <w:lang w:eastAsia="zh-CN"/>
        </w:rPr>
        <w:t>所有</w:t>
      </w:r>
      <w:r>
        <w:rPr>
          <w:rFonts w:cs="宋体"/>
          <w:sz w:val="24"/>
          <w:lang w:eastAsia="zh-CN"/>
        </w:rPr>
        <w:t>受保护的信息进行适当编辑之后，才会公布其进行的监管测试的结果。</w:t>
      </w:r>
      <w:r>
        <w:rPr>
          <w:rFonts w:cs="宋体"/>
          <w:sz w:val="24"/>
          <w:vertAlign w:val="superscript"/>
          <w:lang w:eastAsia="zh-CN"/>
        </w:rPr>
        <w:t>4</w:t>
      </w:r>
      <w:r>
        <w:rPr>
          <w:rFonts w:cs="宋体"/>
          <w:sz w:val="24"/>
          <w:lang w:eastAsia="zh-CN"/>
        </w:rPr>
        <w:t xml:space="preserve"> FDA已制定向样品被采集方公布ORA实验室最终数据和分析结果的适当程序。</w:t>
      </w:r>
      <w:r>
        <w:rPr>
          <w:rFonts w:cs="宋体"/>
          <w:sz w:val="24"/>
          <w:vertAlign w:val="superscript"/>
          <w:lang w:eastAsia="zh-CN"/>
        </w:rPr>
        <w:t>5</w:t>
      </w:r>
      <w:r>
        <w:rPr>
          <w:rFonts w:hint="eastAsia" w:cs="宋体"/>
          <w:sz w:val="24"/>
          <w:vertAlign w:val="superscript"/>
          <w:lang w:eastAsia="zh-CN"/>
        </w:rPr>
        <w:t>,</w:t>
      </w:r>
      <w:r>
        <w:rPr>
          <w:rFonts w:cs="宋体"/>
          <w:sz w:val="24"/>
          <w:vertAlign w:val="superscript"/>
          <w:lang w:eastAsia="zh-CN"/>
        </w:rPr>
        <w:t>6</w:t>
      </w:r>
      <w:r>
        <w:rPr>
          <w:rFonts w:cs="宋体"/>
          <w:sz w:val="24"/>
          <w:lang w:eastAsia="zh-CN"/>
        </w:rPr>
        <w:t>然而，由于在ORA实验室进行的某些实验室测试可能需要几周时间才能完成，因此在最终结果得到确认之前，本</w:t>
      </w:r>
      <w:r>
        <w:rPr>
          <w:rFonts w:hint="eastAsia" w:cs="宋体"/>
          <w:sz w:val="24"/>
          <w:lang w:eastAsia="zh-CN"/>
        </w:rPr>
        <w:t>机构</w:t>
      </w:r>
      <w:r>
        <w:rPr>
          <w:rFonts w:cs="宋体"/>
          <w:sz w:val="24"/>
          <w:lang w:eastAsia="zh-CN"/>
        </w:rPr>
        <w:t>须与责任方共享初步结果。</w:t>
      </w:r>
    </w:p>
    <w:p w14:paraId="3D829D6A">
      <w:pPr>
        <w:pStyle w:val="19"/>
        <w:rPr>
          <w:lang w:eastAsia="zh-CN"/>
        </w:rPr>
      </w:pPr>
      <w:r>
        <w:rPr>
          <w:rFonts w:cs="宋体"/>
          <w:lang w:eastAsia="zh-CN"/>
        </w:rPr>
        <w:t>______________________</w:t>
      </w:r>
    </w:p>
    <w:p w14:paraId="56DDB469">
      <w:pPr>
        <w:pStyle w:val="19"/>
        <w:rPr>
          <w:lang w:eastAsia="zh-CN"/>
        </w:rPr>
      </w:pPr>
      <w:r>
        <w:rPr>
          <w:rFonts w:cs="宋体"/>
          <w:vertAlign w:val="superscript"/>
          <w:lang w:eastAsia="zh-CN"/>
        </w:rPr>
        <w:t xml:space="preserve">1 </w:t>
      </w:r>
      <w:r>
        <w:rPr>
          <w:rFonts w:cs="宋体"/>
          <w:lang w:eastAsia="zh-CN"/>
        </w:rPr>
        <w:t>本指南由</w:t>
      </w:r>
      <w:r>
        <w:rPr>
          <w:rFonts w:hint="eastAsia" w:cs="宋体"/>
          <w:lang w:eastAsia="zh-CN"/>
        </w:rPr>
        <w:t>法规</w:t>
      </w:r>
      <w:r>
        <w:rPr>
          <w:rFonts w:cs="宋体"/>
          <w:lang w:eastAsia="zh-CN"/>
        </w:rPr>
        <w:t>事务办公室、战略规划和业务政策办公室与医疗器械和辐射健康中心、兽药中心、烟草制品管理中心以及美国食品药品监督管理局下属的食品安全与应用营养学中心共同编制。</w:t>
      </w:r>
    </w:p>
    <w:p w14:paraId="125F163C">
      <w:pPr>
        <w:pStyle w:val="19"/>
        <w:rPr>
          <w:lang w:eastAsia="zh-CN"/>
        </w:rPr>
      </w:pPr>
      <w:r>
        <w:rPr>
          <w:rFonts w:cs="宋体"/>
          <w:vertAlign w:val="superscript"/>
          <w:lang w:eastAsia="zh-CN"/>
        </w:rPr>
        <w:t xml:space="preserve">2 </w:t>
      </w:r>
      <w:r>
        <w:rPr>
          <w:rFonts w:cs="宋体"/>
          <w:lang w:eastAsia="zh-CN"/>
        </w:rPr>
        <w:t>本指南中，“</w:t>
      </w:r>
      <w:r>
        <w:rPr>
          <w:rFonts w:cs="宋体"/>
          <w:i/>
          <w:lang w:eastAsia="zh-CN"/>
        </w:rPr>
        <w:t>责任方</w:t>
      </w:r>
      <w:r>
        <w:rPr>
          <w:rFonts w:cs="宋体"/>
          <w:lang w:eastAsia="zh-CN"/>
        </w:rPr>
        <w:t>”一词可能包括企业所有者、经营者或负责监管样品现场采集的代理人，或者可能对所采样产品安全性负责的人员。在某些情况下，可能需要联系多个责任方。</w:t>
      </w:r>
    </w:p>
    <w:p w14:paraId="64E4B976">
      <w:pPr>
        <w:pStyle w:val="19"/>
        <w:rPr>
          <w:lang w:eastAsia="zh-CN"/>
        </w:rPr>
      </w:pPr>
      <w:r>
        <w:rPr>
          <w:rFonts w:cs="宋体"/>
          <w:vertAlign w:val="superscript"/>
          <w:lang w:eastAsia="zh-CN"/>
        </w:rPr>
        <w:t xml:space="preserve">3 </w:t>
      </w:r>
      <w:r>
        <w:rPr>
          <w:rFonts w:cs="宋体"/>
          <w:lang w:eastAsia="zh-CN"/>
        </w:rPr>
        <w:t>根据21 C.F.R.第20部分的E子部分，FDA还可以与包括州、地方政府以及其他联邦机构在内的其他实体共享包括ORA实验室分析结果在内的记录。</w:t>
      </w:r>
    </w:p>
    <w:p w14:paraId="35ABD084">
      <w:pPr>
        <w:spacing w:before="120" w:beforeLines="50" w:line="300" w:lineRule="auto"/>
        <w:rPr>
          <w:rFonts w:cs="Times New Roman"/>
          <w:sz w:val="24"/>
          <w:szCs w:val="24"/>
          <w:lang w:eastAsia="zh-CN"/>
        </w:rPr>
      </w:pPr>
      <w:r>
        <w:rPr>
          <w:rFonts w:cs="宋体"/>
          <w:sz w:val="24"/>
          <w:lang w:eastAsia="zh-CN"/>
        </w:rPr>
        <w:br w:type="page"/>
      </w:r>
      <w:r>
        <w:rPr>
          <w:rFonts w:cs="宋体"/>
          <w:sz w:val="24"/>
          <w:lang w:eastAsia="zh-CN"/>
        </w:rPr>
        <w:t>本指南就FDA样品的ORA实验室最终分析结果公布给出了标准化政策。考虑到其会推进公共卫生</w:t>
      </w:r>
      <w:r>
        <w:rPr>
          <w:rFonts w:hint="eastAsia" w:cs="宋体"/>
          <w:sz w:val="24"/>
          <w:lang w:eastAsia="zh-CN"/>
        </w:rPr>
        <w:t>发展</w:t>
      </w:r>
      <w:r>
        <w:rPr>
          <w:rFonts w:cs="宋体"/>
          <w:sz w:val="24"/>
          <w:lang w:eastAsia="zh-CN"/>
        </w:rPr>
        <w:t>，FDA通常会公布这一结果。本指南阐明了此类结果的公布时间和方式</w:t>
      </w:r>
      <w:r>
        <w:rPr>
          <w:rFonts w:hint="eastAsia" w:cs="宋体"/>
          <w:sz w:val="24"/>
          <w:lang w:eastAsia="zh-CN"/>
        </w:rPr>
        <w:t>，</w:t>
      </w:r>
      <w:r>
        <w:rPr>
          <w:rFonts w:cs="宋体"/>
          <w:sz w:val="24"/>
          <w:lang w:eastAsia="zh-CN"/>
        </w:rPr>
        <w:t>描述了FDA的政策，即在某些情况下，与责任方口头共享某些ORA实验室初步分析结果（内部称“不排除”（Cannot Rule Out</w:t>
      </w:r>
      <w:r>
        <w:rPr>
          <w:rFonts w:hint="eastAsia" w:cs="宋体"/>
          <w:sz w:val="24"/>
          <w:lang w:eastAsia="zh-CN"/>
        </w:rPr>
        <w:t>，</w:t>
      </w:r>
      <w:r>
        <w:rPr>
          <w:rFonts w:cs="宋体"/>
          <w:sz w:val="24"/>
          <w:lang w:eastAsia="zh-CN"/>
        </w:rPr>
        <w:t>CRO）结果）。</w:t>
      </w:r>
      <w:r>
        <w:rPr>
          <w:rFonts w:cs="宋体"/>
          <w:sz w:val="24"/>
          <w:vertAlign w:val="superscript"/>
          <w:lang w:eastAsia="zh-CN"/>
        </w:rPr>
        <w:t>7</w:t>
      </w:r>
      <w:r>
        <w:rPr>
          <w:rFonts w:hint="eastAsia" w:cs="宋体"/>
          <w:sz w:val="24"/>
          <w:lang w:eastAsia="zh-CN"/>
        </w:rPr>
        <w:t>CRO结果是样本可能产生最终结果的初步迹象，可能</w:t>
      </w:r>
      <w:r>
        <w:rPr>
          <w:rFonts w:cs="宋体"/>
          <w:sz w:val="24"/>
          <w:lang w:eastAsia="zh-CN"/>
        </w:rPr>
        <w:t>会对</w:t>
      </w:r>
      <w:r>
        <w:rPr>
          <w:rFonts w:hint="eastAsia" w:cs="宋体"/>
          <w:sz w:val="24"/>
          <w:lang w:eastAsia="zh-CN"/>
        </w:rPr>
        <w:t>公众健康</w:t>
      </w:r>
      <w:r>
        <w:rPr>
          <w:rFonts w:cs="宋体"/>
          <w:sz w:val="24"/>
          <w:lang w:eastAsia="zh-CN"/>
        </w:rPr>
        <w:t>造成危害或威胁。CRO结果表示实验室分析测试正在进行中，最终结果尚未确定。</w:t>
      </w:r>
    </w:p>
    <w:p w14:paraId="1B6B19F8">
      <w:pPr>
        <w:spacing w:before="120" w:beforeLines="50" w:line="300" w:lineRule="auto"/>
        <w:rPr>
          <w:rFonts w:cs="Times New Roman"/>
          <w:sz w:val="24"/>
          <w:szCs w:val="24"/>
          <w:lang w:eastAsia="zh-CN"/>
        </w:rPr>
      </w:pPr>
      <w:r>
        <w:rPr>
          <w:rFonts w:cs="宋体"/>
          <w:sz w:val="24"/>
          <w:lang w:eastAsia="zh-CN"/>
        </w:rPr>
        <w:t>FDA在确认最终结果之前传达CRO结果的目的在于向责任方提供信息，以便其对潜在危害和待售产品做出明智的决策，并考虑启动或准备启动适当的缓解策略以应对潜在危害。</w:t>
      </w:r>
    </w:p>
    <w:p w14:paraId="76CFF38A">
      <w:pPr>
        <w:spacing w:before="120" w:beforeLines="50" w:line="300" w:lineRule="auto"/>
        <w:ind w:left="482" w:hanging="482" w:hangingChars="200"/>
        <w:rPr>
          <w:rFonts w:cs="Times New Roman"/>
          <w:b/>
          <w:sz w:val="24"/>
          <w:szCs w:val="24"/>
          <w:lang w:eastAsia="zh-CN"/>
        </w:rPr>
      </w:pPr>
      <w:r>
        <w:rPr>
          <w:rFonts w:cs="宋体"/>
          <w:b/>
          <w:sz w:val="24"/>
          <w:lang w:eastAsia="zh-CN"/>
        </w:rPr>
        <w:t>III.</w:t>
      </w:r>
      <w:r>
        <w:rPr>
          <w:rFonts w:cs="宋体"/>
          <w:b/>
          <w:lang w:eastAsia="zh-CN"/>
        </w:rPr>
        <w:tab/>
      </w:r>
      <w:r>
        <w:rPr>
          <w:rFonts w:cs="宋体"/>
          <w:b/>
          <w:sz w:val="24"/>
          <w:lang w:eastAsia="zh-CN"/>
        </w:rPr>
        <w:t>政策</w:t>
      </w:r>
    </w:p>
    <w:p w14:paraId="22BEFB08">
      <w:pPr>
        <w:spacing w:before="120" w:beforeLines="50" w:line="300" w:lineRule="auto"/>
        <w:ind w:left="902" w:leftChars="200" w:hanging="482" w:hangingChars="200"/>
        <w:rPr>
          <w:rFonts w:cs="Times New Roman"/>
          <w:b/>
          <w:sz w:val="24"/>
          <w:szCs w:val="24"/>
          <w:lang w:eastAsia="zh-CN"/>
        </w:rPr>
      </w:pPr>
      <w:r>
        <w:rPr>
          <w:rFonts w:cs="宋体"/>
          <w:b/>
          <w:sz w:val="24"/>
          <w:lang w:eastAsia="zh-CN"/>
        </w:rPr>
        <w:t>A.</w:t>
      </w:r>
      <w:r>
        <w:rPr>
          <w:rFonts w:cs="宋体"/>
          <w:b/>
          <w:lang w:eastAsia="zh-CN"/>
        </w:rPr>
        <w:tab/>
      </w:r>
      <w:r>
        <w:rPr>
          <w:rFonts w:cs="宋体"/>
          <w:b/>
          <w:sz w:val="24"/>
          <w:lang w:eastAsia="zh-CN"/>
        </w:rPr>
        <w:t>ORA实验室分析CRO结果的主动公布</w:t>
      </w:r>
    </w:p>
    <w:p w14:paraId="13B12C2A">
      <w:pPr>
        <w:spacing w:before="120" w:beforeLines="50" w:line="300" w:lineRule="auto"/>
        <w:ind w:left="1320" w:leftChars="400" w:hanging="480" w:hangingChars="200"/>
        <w:rPr>
          <w:rFonts w:cs="Times New Roman"/>
          <w:sz w:val="24"/>
          <w:szCs w:val="24"/>
          <w:lang w:eastAsia="zh-CN"/>
        </w:rPr>
      </w:pPr>
      <w:r>
        <w:rPr>
          <w:rFonts w:cs="宋体"/>
          <w:sz w:val="24"/>
          <w:lang w:eastAsia="zh-CN"/>
        </w:rPr>
        <w:t>1.</w:t>
      </w:r>
      <w:r>
        <w:rPr>
          <w:rFonts w:cs="宋体"/>
          <w:sz w:val="24"/>
          <w:lang w:eastAsia="zh-CN"/>
        </w:rPr>
        <w:tab/>
      </w:r>
      <w:r>
        <w:rPr>
          <w:rFonts w:cs="宋体"/>
          <w:sz w:val="24"/>
          <w:lang w:eastAsia="zh-CN"/>
        </w:rPr>
        <w:t>通常情况下，</w:t>
      </w:r>
      <w:r>
        <w:rPr>
          <w:rFonts w:hint="eastAsia" w:cs="宋体"/>
          <w:sz w:val="24"/>
          <w:lang w:eastAsia="zh-CN"/>
        </w:rPr>
        <w:t>不建议</w:t>
      </w:r>
      <w:r>
        <w:rPr>
          <w:rFonts w:cs="宋体"/>
          <w:sz w:val="24"/>
          <w:lang w:eastAsia="zh-CN"/>
        </w:rPr>
        <w:t>FDA在测试完成之前共享CRO结果。</w:t>
      </w:r>
    </w:p>
    <w:p w14:paraId="0EF7FAF6">
      <w:pPr>
        <w:spacing w:before="120" w:beforeLines="50" w:line="300" w:lineRule="auto"/>
        <w:ind w:left="1320" w:leftChars="400" w:hanging="480" w:hangingChars="200"/>
        <w:rPr>
          <w:rFonts w:cs="Times New Roman"/>
          <w:sz w:val="24"/>
          <w:szCs w:val="24"/>
          <w:lang w:eastAsia="zh-CN"/>
        </w:rPr>
      </w:pPr>
      <w:r>
        <w:rPr>
          <w:rFonts w:cs="宋体"/>
          <w:sz w:val="24"/>
          <w:lang w:eastAsia="zh-CN"/>
        </w:rPr>
        <w:t>2.</w:t>
      </w:r>
      <w:r>
        <w:rPr>
          <w:rFonts w:cs="宋体"/>
          <w:sz w:val="24"/>
          <w:lang w:eastAsia="zh-CN"/>
        </w:rPr>
        <w:tab/>
      </w:r>
      <w:r>
        <w:rPr>
          <w:rFonts w:cs="宋体"/>
          <w:sz w:val="24"/>
          <w:lang w:eastAsia="zh-CN"/>
        </w:rPr>
        <w:t>但是，如果FDA确认公布CRO结果符合</w:t>
      </w:r>
      <w:r>
        <w:rPr>
          <w:rFonts w:hint="eastAsia" w:cs="宋体"/>
          <w:sz w:val="24"/>
          <w:lang w:eastAsia="zh-CN"/>
        </w:rPr>
        <w:t>有利于公众健康</w:t>
      </w:r>
      <w:r>
        <w:rPr>
          <w:rFonts w:cs="宋体"/>
          <w:sz w:val="24"/>
          <w:lang w:eastAsia="zh-CN"/>
        </w:rPr>
        <w:t>，则可根据ORA实验室程序，在批准后向责任方口头公布CRO结果。FDA对公布CRO结果的</w:t>
      </w:r>
      <w:r>
        <w:rPr>
          <w:rFonts w:hint="eastAsia" w:cs="宋体"/>
          <w:sz w:val="24"/>
          <w:lang w:eastAsia="zh-CN"/>
        </w:rPr>
        <w:t>时间的</w:t>
      </w:r>
      <w:r>
        <w:rPr>
          <w:rFonts w:cs="宋体"/>
          <w:sz w:val="24"/>
          <w:lang w:eastAsia="zh-CN"/>
        </w:rPr>
        <w:t>评估和考虑应包括但不限于：</w:t>
      </w:r>
    </w:p>
    <w:p w14:paraId="5A636F94">
      <w:pPr>
        <w:spacing w:before="120" w:beforeLines="50" w:line="300" w:lineRule="auto"/>
        <w:ind w:left="1740" w:leftChars="600" w:hanging="480" w:hangingChars="200"/>
        <w:rPr>
          <w:rFonts w:cs="Times New Roman"/>
          <w:sz w:val="24"/>
          <w:szCs w:val="24"/>
          <w:lang w:eastAsia="zh-CN"/>
        </w:rPr>
      </w:pPr>
      <w:r>
        <w:rPr>
          <w:rFonts w:cs="宋体"/>
          <w:sz w:val="24"/>
          <w:lang w:eastAsia="zh-CN"/>
        </w:rPr>
        <w:t>a.</w:t>
      </w:r>
      <w:r>
        <w:rPr>
          <w:rFonts w:cs="宋体"/>
          <w:sz w:val="24"/>
          <w:lang w:eastAsia="zh-CN"/>
        </w:rPr>
        <w:tab/>
      </w:r>
      <w:r>
        <w:rPr>
          <w:rFonts w:cs="宋体"/>
          <w:sz w:val="24"/>
          <w:lang w:eastAsia="zh-CN"/>
        </w:rPr>
        <w:t>如最终确认受监管产品含有有毒有害物质或其他有害物质，或被视为对</w:t>
      </w:r>
      <w:r>
        <w:rPr>
          <w:rFonts w:hint="eastAsia" w:cs="宋体"/>
          <w:sz w:val="24"/>
          <w:lang w:eastAsia="zh-CN"/>
        </w:rPr>
        <w:t>公众健康</w:t>
      </w:r>
      <w:r>
        <w:rPr>
          <w:rFonts w:cs="宋体"/>
          <w:sz w:val="24"/>
          <w:lang w:eastAsia="zh-CN"/>
        </w:rPr>
        <w:t>构成威胁，受监管产品可能造成伤害或疾病的潜在后果；</w:t>
      </w:r>
    </w:p>
    <w:p w14:paraId="33BC7428">
      <w:pPr>
        <w:spacing w:before="120" w:beforeLines="50" w:line="300" w:lineRule="auto"/>
        <w:ind w:left="1740" w:leftChars="600" w:hanging="480" w:hangingChars="200"/>
        <w:rPr>
          <w:rFonts w:cs="Times New Roman"/>
          <w:sz w:val="24"/>
          <w:szCs w:val="24"/>
          <w:lang w:eastAsia="zh-CN"/>
        </w:rPr>
      </w:pPr>
      <w:r>
        <w:rPr>
          <w:rFonts w:cs="宋体"/>
          <w:sz w:val="24"/>
          <w:lang w:eastAsia="zh-CN"/>
        </w:rPr>
        <w:t>b.</w:t>
      </w:r>
      <w:r>
        <w:rPr>
          <w:rFonts w:cs="宋体"/>
          <w:sz w:val="24"/>
          <w:lang w:eastAsia="zh-CN"/>
        </w:rPr>
        <w:tab/>
      </w:r>
      <w:r>
        <w:rPr>
          <w:rFonts w:hint="eastAsia" w:cs="宋体"/>
          <w:sz w:val="24"/>
          <w:lang w:eastAsia="zh-CN"/>
        </w:rPr>
        <w:t>任何与有毒或有害物质相关的危险背景信息，或与分析样品有关的其他有害物质/情况；</w:t>
      </w:r>
    </w:p>
    <w:p w14:paraId="5FC0F1E1">
      <w:pPr>
        <w:pStyle w:val="19"/>
        <w:rPr>
          <w:lang w:eastAsia="zh-CN"/>
        </w:rPr>
      </w:pPr>
      <w:r>
        <w:rPr>
          <w:rFonts w:cs="宋体"/>
          <w:lang w:eastAsia="zh-CN"/>
        </w:rPr>
        <w:t>______________________</w:t>
      </w:r>
    </w:p>
    <w:p w14:paraId="080C2C4B">
      <w:pPr>
        <w:pStyle w:val="19"/>
        <w:rPr>
          <w:lang w:eastAsia="zh-CN"/>
        </w:rPr>
      </w:pPr>
      <w:r>
        <w:rPr>
          <w:rFonts w:cs="宋体"/>
          <w:vertAlign w:val="superscript"/>
          <w:lang w:eastAsia="zh-CN"/>
        </w:rPr>
        <w:t>4</w:t>
      </w:r>
      <w:r>
        <w:rPr>
          <w:rFonts w:hint="eastAsia" w:cs="宋体"/>
          <w:lang w:eastAsia="zh-CN"/>
        </w:rPr>
        <w:t>请</w:t>
      </w:r>
      <w:r>
        <w:rPr>
          <w:rFonts w:cs="宋体"/>
          <w:i/>
          <w:lang w:eastAsia="zh-CN"/>
        </w:rPr>
        <w:t>参见</w:t>
      </w:r>
      <w:r>
        <w:rPr>
          <w:rFonts w:cs="宋体"/>
          <w:lang w:eastAsia="zh-CN"/>
        </w:rPr>
        <w:t>21 C.F.R. §§ 20.20(a)、20.105以及21 C.F.R.第20部分的D子部分。</w:t>
      </w:r>
    </w:p>
    <w:p w14:paraId="560BEDC5">
      <w:pPr>
        <w:pStyle w:val="19"/>
        <w:jc w:val="left"/>
        <w:rPr>
          <w:lang w:eastAsia="zh-CN"/>
        </w:rPr>
      </w:pPr>
      <w:r>
        <w:rPr>
          <w:rFonts w:cs="宋体"/>
          <w:vertAlign w:val="superscript"/>
          <w:lang w:eastAsia="zh-CN"/>
        </w:rPr>
        <w:t>5</w:t>
      </w:r>
      <w:r>
        <w:rPr>
          <w:rFonts w:hint="eastAsia" w:cs="宋体"/>
          <w:lang w:eastAsia="zh-CN"/>
        </w:rPr>
        <w:t>请</w:t>
      </w:r>
      <w:r>
        <w:rPr>
          <w:rFonts w:cs="宋体"/>
          <w:i/>
          <w:lang w:eastAsia="zh-CN"/>
        </w:rPr>
        <w:t>参见</w:t>
      </w:r>
      <w:r>
        <w:rPr>
          <w:rFonts w:cs="宋体"/>
          <w:lang w:eastAsia="zh-CN"/>
        </w:rPr>
        <w:t>ORA-LAB第5.10节《报告实验室数据》，https://www.fda.gov/downloads/ScienceResearch/FieldScience/LaboratoryManual/UCM092171.pdf</w:t>
      </w:r>
    </w:p>
    <w:p w14:paraId="22AD8512">
      <w:pPr>
        <w:pStyle w:val="19"/>
        <w:jc w:val="left"/>
        <w:rPr>
          <w:i/>
          <w:lang w:eastAsia="zh-CN"/>
        </w:rPr>
      </w:pPr>
      <w:r>
        <w:rPr>
          <w:rFonts w:cs="宋体"/>
          <w:vertAlign w:val="superscript"/>
          <w:lang w:eastAsia="zh-CN"/>
        </w:rPr>
        <w:t>6</w:t>
      </w:r>
      <w:r>
        <w:rPr>
          <w:rFonts w:cs="宋体"/>
          <w:lang w:eastAsia="zh-CN"/>
        </w:rPr>
        <w:t>有关ORA食品和食品相关环境监测实验室分析样品的公布，请参见FMD 147《食品和环境样品的样品分析结果通报》，</w:t>
      </w:r>
      <w:r>
        <w:rPr>
          <w:rFonts w:cs="宋体"/>
          <w:i/>
          <w:lang w:eastAsia="zh-CN"/>
        </w:rPr>
        <w:t>https://www.fda.gov/downloads/ICECI/Inspections/FieldManagementDirectives/UCM449001.pdf</w:t>
      </w:r>
    </w:p>
    <w:p w14:paraId="75D6C998">
      <w:pPr>
        <w:pStyle w:val="19"/>
        <w:rPr>
          <w:lang w:eastAsia="zh-CN"/>
        </w:rPr>
      </w:pPr>
      <w:r>
        <w:rPr>
          <w:rFonts w:cs="宋体"/>
          <w:vertAlign w:val="superscript"/>
          <w:lang w:eastAsia="zh-CN"/>
        </w:rPr>
        <w:t>7</w:t>
      </w:r>
      <w:r>
        <w:rPr>
          <w:rFonts w:cs="宋体"/>
          <w:lang w:eastAsia="zh-CN"/>
        </w:rPr>
        <w:t>根据21 C.F.R.§§ 20.21和20.105(c)，当FDA向责任方透露CRO结果时，该信息可立即公开透露给任何提出要求的公众成员。</w:t>
      </w:r>
    </w:p>
    <w:p w14:paraId="4C00C60D">
      <w:pPr>
        <w:spacing w:before="120" w:beforeLines="50" w:line="300" w:lineRule="auto"/>
        <w:ind w:left="1740" w:leftChars="600" w:hanging="480" w:hangingChars="200"/>
        <w:rPr>
          <w:rFonts w:cs="Times New Roman"/>
          <w:sz w:val="24"/>
          <w:szCs w:val="24"/>
          <w:lang w:eastAsia="zh-CN"/>
        </w:rPr>
      </w:pPr>
      <w:r>
        <w:rPr>
          <w:rFonts w:cs="宋体"/>
          <w:sz w:val="24"/>
          <w:lang w:eastAsia="zh-CN"/>
        </w:rPr>
        <w:br w:type="page"/>
      </w:r>
      <w:r>
        <w:rPr>
          <w:rFonts w:cs="宋体"/>
          <w:sz w:val="24"/>
          <w:lang w:eastAsia="zh-CN"/>
        </w:rPr>
        <w:t>c.</w:t>
      </w:r>
      <w:r>
        <w:rPr>
          <w:rFonts w:cs="宋体"/>
          <w:sz w:val="24"/>
          <w:lang w:eastAsia="zh-CN"/>
        </w:rPr>
        <w:tab/>
      </w:r>
      <w:r>
        <w:rPr>
          <w:rFonts w:cs="宋体"/>
          <w:sz w:val="24"/>
          <w:lang w:eastAsia="zh-CN"/>
        </w:rPr>
        <w:t>（可能受到影响的）消费者的敏感性；</w:t>
      </w:r>
    </w:p>
    <w:p w14:paraId="54BAC80C">
      <w:pPr>
        <w:spacing w:before="120" w:beforeLines="50" w:line="300" w:lineRule="auto"/>
        <w:ind w:left="1740" w:leftChars="600" w:hanging="480" w:hangingChars="200"/>
        <w:rPr>
          <w:rFonts w:cs="Times New Roman"/>
          <w:sz w:val="24"/>
          <w:szCs w:val="24"/>
          <w:lang w:eastAsia="zh-CN"/>
        </w:rPr>
      </w:pPr>
      <w:r>
        <w:rPr>
          <w:rFonts w:cs="宋体"/>
          <w:sz w:val="24"/>
          <w:lang w:eastAsia="zh-CN"/>
        </w:rPr>
        <w:t>d.</w:t>
      </w:r>
      <w:r>
        <w:rPr>
          <w:rFonts w:cs="宋体"/>
          <w:sz w:val="24"/>
          <w:lang w:eastAsia="zh-CN"/>
        </w:rPr>
        <w:tab/>
      </w:r>
      <w:r>
        <w:rPr>
          <w:rFonts w:cs="宋体"/>
          <w:sz w:val="24"/>
          <w:lang w:eastAsia="zh-CN"/>
        </w:rPr>
        <w:t>筛查方法的准确度；和</w:t>
      </w:r>
    </w:p>
    <w:p w14:paraId="1C9960B5">
      <w:pPr>
        <w:spacing w:before="120" w:beforeLines="50" w:line="300" w:lineRule="auto"/>
        <w:ind w:left="1740" w:leftChars="600" w:hanging="480" w:hangingChars="200"/>
        <w:rPr>
          <w:rFonts w:cs="Times New Roman"/>
          <w:sz w:val="24"/>
          <w:szCs w:val="24"/>
          <w:lang w:eastAsia="zh-CN"/>
        </w:rPr>
      </w:pPr>
      <w:r>
        <w:rPr>
          <w:rFonts w:cs="宋体"/>
          <w:sz w:val="24"/>
          <w:lang w:eastAsia="zh-CN"/>
        </w:rPr>
        <w:t>e.</w:t>
      </w:r>
      <w:r>
        <w:rPr>
          <w:rFonts w:cs="宋体"/>
          <w:sz w:val="24"/>
          <w:lang w:eastAsia="zh-CN"/>
        </w:rPr>
        <w:tab/>
      </w:r>
      <w:r>
        <w:rPr>
          <w:rFonts w:cs="宋体"/>
          <w:sz w:val="24"/>
          <w:lang w:eastAsia="zh-CN"/>
        </w:rPr>
        <w:t>CRO结果的公布是否会干扰调查或执法程序。</w:t>
      </w:r>
    </w:p>
    <w:p w14:paraId="431FCC41">
      <w:pPr>
        <w:spacing w:before="120" w:beforeLines="50" w:line="300" w:lineRule="auto"/>
        <w:ind w:left="1320" w:leftChars="400" w:hanging="480" w:hangingChars="200"/>
        <w:rPr>
          <w:rFonts w:cs="Times New Roman"/>
          <w:sz w:val="24"/>
          <w:szCs w:val="24"/>
          <w:lang w:eastAsia="zh-CN"/>
        </w:rPr>
      </w:pPr>
      <w:r>
        <w:rPr>
          <w:rFonts w:cs="宋体"/>
          <w:sz w:val="24"/>
          <w:lang w:eastAsia="zh-CN"/>
        </w:rPr>
        <w:t>3.</w:t>
      </w:r>
      <w:r>
        <w:rPr>
          <w:rFonts w:cs="宋体"/>
          <w:sz w:val="24"/>
          <w:lang w:eastAsia="zh-CN"/>
        </w:rPr>
        <w:tab/>
      </w:r>
      <w:r>
        <w:rPr>
          <w:rFonts w:cs="宋体"/>
          <w:sz w:val="24"/>
          <w:lang w:eastAsia="zh-CN"/>
        </w:rPr>
        <w:t>在向责任方口头传达CRO结果之前，应咨询FDA中心和办公室，其包括但不限于：</w:t>
      </w:r>
    </w:p>
    <w:p w14:paraId="35EBC4E9">
      <w:pPr>
        <w:spacing w:before="120" w:beforeLines="50" w:line="300" w:lineRule="auto"/>
        <w:ind w:left="1740" w:leftChars="600" w:hanging="480" w:hangingChars="200"/>
        <w:rPr>
          <w:rFonts w:cs="Times New Roman"/>
          <w:sz w:val="24"/>
          <w:szCs w:val="24"/>
          <w:lang w:eastAsia="zh-CN"/>
        </w:rPr>
      </w:pPr>
      <w:r>
        <w:rPr>
          <w:rFonts w:cs="宋体"/>
          <w:sz w:val="24"/>
          <w:lang w:eastAsia="zh-CN"/>
        </w:rPr>
        <w:t>a.</w:t>
      </w:r>
      <w:r>
        <w:rPr>
          <w:rFonts w:cs="宋体"/>
          <w:sz w:val="24"/>
          <w:lang w:eastAsia="zh-CN"/>
        </w:rPr>
        <w:tab/>
      </w:r>
      <w:r>
        <w:rPr>
          <w:rFonts w:hint="eastAsia" w:cs="宋体"/>
          <w:sz w:val="24"/>
          <w:lang w:eastAsia="zh-CN"/>
        </w:rPr>
        <w:t>有</w:t>
      </w:r>
      <w:r>
        <w:rPr>
          <w:rFonts w:cs="宋体"/>
          <w:sz w:val="24"/>
          <w:lang w:eastAsia="zh-CN"/>
        </w:rPr>
        <w:t>因检查：</w:t>
      </w:r>
    </w:p>
    <w:p w14:paraId="30EDFCAE">
      <w:pPr>
        <w:spacing w:before="120" w:beforeLines="50" w:line="300" w:lineRule="auto"/>
        <w:ind w:left="2160" w:leftChars="800" w:hanging="480" w:hangingChars="200"/>
        <w:rPr>
          <w:rFonts w:cs="Times New Roman"/>
          <w:sz w:val="24"/>
          <w:szCs w:val="24"/>
          <w:lang w:eastAsia="zh-CN"/>
        </w:rPr>
      </w:pPr>
      <w:r>
        <w:rPr>
          <w:rFonts w:cs="宋体"/>
          <w:sz w:val="24"/>
          <w:lang w:eastAsia="zh-CN"/>
        </w:rPr>
        <w:t>i.</w:t>
      </w:r>
      <w:r>
        <w:rPr>
          <w:rFonts w:cs="宋体"/>
          <w:sz w:val="24"/>
          <w:lang w:eastAsia="zh-CN"/>
        </w:rPr>
        <w:tab/>
      </w:r>
      <w:r>
        <w:rPr>
          <w:rFonts w:cs="宋体"/>
          <w:sz w:val="24"/>
          <w:lang w:eastAsia="zh-CN"/>
        </w:rPr>
        <w:t>采集样品的CRO结果是</w:t>
      </w:r>
      <w:r>
        <w:rPr>
          <w:rFonts w:hint="eastAsia" w:cs="宋体"/>
          <w:sz w:val="24"/>
          <w:lang w:eastAsia="zh-CN"/>
        </w:rPr>
        <w:t>有</w:t>
      </w:r>
      <w:r>
        <w:rPr>
          <w:rFonts w:cs="宋体"/>
          <w:sz w:val="24"/>
          <w:lang w:eastAsia="zh-CN"/>
        </w:rPr>
        <w:t>因检查（例如对召回、患者死亡/受伤或消费者投诉进行随访）的一部分，ORA应在与责任方沟通之前，与相应中心合作协调策略。</w:t>
      </w:r>
    </w:p>
    <w:p w14:paraId="3503777A">
      <w:pPr>
        <w:spacing w:before="120" w:beforeLines="50" w:line="300" w:lineRule="auto"/>
        <w:ind w:left="1740" w:leftChars="600" w:hanging="480" w:hangingChars="200"/>
        <w:rPr>
          <w:rFonts w:cs="Times New Roman"/>
          <w:sz w:val="24"/>
          <w:szCs w:val="24"/>
          <w:lang w:eastAsia="zh-CN"/>
        </w:rPr>
      </w:pPr>
      <w:r>
        <w:rPr>
          <w:rFonts w:cs="宋体"/>
          <w:sz w:val="24"/>
          <w:lang w:eastAsia="zh-CN"/>
        </w:rPr>
        <w:t>b.</w:t>
      </w:r>
      <w:r>
        <w:rPr>
          <w:rFonts w:cs="宋体"/>
          <w:sz w:val="24"/>
          <w:lang w:eastAsia="zh-CN"/>
        </w:rPr>
        <w:tab/>
      </w:r>
      <w:r>
        <w:rPr>
          <w:rFonts w:cs="宋体"/>
          <w:sz w:val="24"/>
          <w:lang w:eastAsia="zh-CN"/>
        </w:rPr>
        <w:t>疾病爆发和突发事件：</w:t>
      </w:r>
    </w:p>
    <w:p w14:paraId="610B5C1C">
      <w:pPr>
        <w:spacing w:before="120" w:beforeLines="50" w:line="300" w:lineRule="auto"/>
        <w:ind w:left="2221" w:leftChars="829" w:hanging="480" w:hangingChars="200"/>
        <w:rPr>
          <w:rFonts w:cs="Times New Roman"/>
          <w:sz w:val="24"/>
          <w:szCs w:val="24"/>
          <w:lang w:eastAsia="zh-CN"/>
        </w:rPr>
      </w:pPr>
      <w:r>
        <w:rPr>
          <w:rFonts w:cs="宋体"/>
          <w:sz w:val="24"/>
          <w:lang w:eastAsia="zh-CN"/>
        </w:rPr>
        <w:t>i.</w:t>
      </w:r>
      <w:r>
        <w:rPr>
          <w:rFonts w:cs="宋体"/>
          <w:sz w:val="24"/>
          <w:lang w:eastAsia="zh-CN"/>
        </w:rPr>
        <w:tab/>
      </w:r>
      <w:r>
        <w:rPr>
          <w:rFonts w:cs="宋体"/>
          <w:sz w:val="24"/>
          <w:lang w:eastAsia="zh-CN"/>
        </w:rPr>
        <w:t>与人类或动物食品或化妆品相关的疾病爆发由FDA下属的疾病爆发协调响应和评估网络（CORE）协调，对于上述情况相关的CRO结果，ORA应</w:t>
      </w:r>
      <w:r>
        <w:rPr>
          <w:rFonts w:hint="eastAsia" w:cs="宋体"/>
          <w:sz w:val="24"/>
          <w:lang w:eastAsia="zh-CN"/>
        </w:rPr>
        <w:t>在与责任方沟通之前，</w:t>
      </w:r>
      <w:r>
        <w:rPr>
          <w:rFonts w:cs="宋体"/>
          <w:sz w:val="24"/>
          <w:lang w:eastAsia="zh-CN"/>
        </w:rPr>
        <w:t>与CORE、相应中心以及疾病控制与预防中心（CDC）合作，</w:t>
      </w:r>
      <w:r>
        <w:rPr>
          <w:rFonts w:hint="eastAsia" w:cs="宋体"/>
          <w:sz w:val="24"/>
          <w:lang w:eastAsia="zh-CN"/>
        </w:rPr>
        <w:t>以</w:t>
      </w:r>
      <w:r>
        <w:rPr>
          <w:rFonts w:cs="宋体"/>
          <w:sz w:val="24"/>
          <w:lang w:eastAsia="zh-CN"/>
        </w:rPr>
        <w:t>协调策略。</w:t>
      </w:r>
      <w:r>
        <w:rPr>
          <w:rFonts w:cs="宋体"/>
          <w:sz w:val="24"/>
          <w:vertAlign w:val="superscript"/>
          <w:lang w:eastAsia="zh-CN"/>
        </w:rPr>
        <w:t>8</w:t>
      </w:r>
    </w:p>
    <w:p w14:paraId="0BD98161">
      <w:pPr>
        <w:spacing w:before="120" w:beforeLines="50" w:line="300" w:lineRule="auto"/>
        <w:ind w:left="2221" w:leftChars="829" w:hanging="480" w:hangingChars="200"/>
        <w:rPr>
          <w:rFonts w:cs="Times New Roman"/>
          <w:sz w:val="24"/>
          <w:szCs w:val="24"/>
          <w:lang w:eastAsia="zh-CN"/>
        </w:rPr>
      </w:pPr>
      <w:r>
        <w:rPr>
          <w:rFonts w:cs="宋体"/>
          <w:sz w:val="24"/>
          <w:lang w:eastAsia="zh-CN"/>
        </w:rPr>
        <w:t>ii.</w:t>
      </w:r>
      <w:r>
        <w:rPr>
          <w:rFonts w:cs="宋体"/>
          <w:sz w:val="24"/>
          <w:lang w:eastAsia="zh-CN"/>
        </w:rPr>
        <w:tab/>
      </w:r>
      <w:r>
        <w:rPr>
          <w:rFonts w:cs="宋体"/>
          <w:sz w:val="24"/>
          <w:lang w:eastAsia="zh-CN"/>
        </w:rPr>
        <w:t>对于与公共卫生突发事件有关的其他FDA监管产品相关的CRO结果，ORA应在与责任方沟通之前，与FDA的紧急行动办公室和相应中心合作，以协调策略。</w:t>
      </w:r>
    </w:p>
    <w:p w14:paraId="32452C99">
      <w:pPr>
        <w:spacing w:before="120" w:beforeLines="50" w:line="300" w:lineRule="auto"/>
        <w:ind w:left="1740" w:leftChars="600" w:hanging="480" w:hangingChars="200"/>
        <w:rPr>
          <w:rFonts w:cs="Times New Roman"/>
          <w:sz w:val="24"/>
          <w:szCs w:val="24"/>
          <w:lang w:eastAsia="zh-CN"/>
        </w:rPr>
      </w:pPr>
      <w:r>
        <w:rPr>
          <w:rFonts w:cs="宋体"/>
          <w:sz w:val="24"/>
          <w:lang w:eastAsia="zh-CN"/>
        </w:rPr>
        <w:t>c.</w:t>
      </w:r>
      <w:r>
        <w:rPr>
          <w:rFonts w:cs="宋体"/>
          <w:sz w:val="24"/>
          <w:lang w:eastAsia="zh-CN"/>
        </w:rPr>
        <w:tab/>
      </w:r>
      <w:r>
        <w:rPr>
          <w:rFonts w:cs="宋体"/>
          <w:sz w:val="24"/>
          <w:lang w:eastAsia="zh-CN"/>
        </w:rPr>
        <w:t>关于标有“无菌”标签产品的无菌问题</w:t>
      </w:r>
    </w:p>
    <w:p w14:paraId="22CCB290">
      <w:pPr>
        <w:spacing w:before="120" w:beforeLines="50" w:line="300" w:lineRule="auto"/>
        <w:ind w:left="2221" w:leftChars="829" w:hanging="480" w:hangingChars="200"/>
        <w:rPr>
          <w:rFonts w:cs="Times New Roman"/>
          <w:sz w:val="24"/>
          <w:szCs w:val="24"/>
          <w:lang w:eastAsia="zh-CN"/>
        </w:rPr>
      </w:pPr>
      <w:r>
        <w:rPr>
          <w:rFonts w:cs="宋体"/>
          <w:sz w:val="24"/>
          <w:lang w:eastAsia="zh-CN"/>
        </w:rPr>
        <w:t>i.</w:t>
      </w:r>
      <w:r>
        <w:rPr>
          <w:rFonts w:cs="宋体"/>
          <w:sz w:val="24"/>
          <w:lang w:eastAsia="zh-CN"/>
        </w:rPr>
        <w:tab/>
      </w:r>
      <w:r>
        <w:rPr>
          <w:rFonts w:cs="宋体"/>
          <w:sz w:val="24"/>
          <w:lang w:eastAsia="zh-CN"/>
        </w:rPr>
        <w:t>对于与无菌注射、吸入、外用或眼科药物产品相关的CRO结果，ORA应在与责任方沟通之前，与相应中心或反恐和紧急协调人员（如有必要）合作，以协调策略。</w:t>
      </w:r>
    </w:p>
    <w:p w14:paraId="21EB1502">
      <w:pPr>
        <w:spacing w:before="120" w:beforeLines="50" w:line="300" w:lineRule="auto"/>
        <w:ind w:left="2221" w:leftChars="829" w:hanging="480" w:hangingChars="200"/>
        <w:rPr>
          <w:rFonts w:cs="Times New Roman"/>
          <w:sz w:val="24"/>
          <w:szCs w:val="24"/>
          <w:lang w:eastAsia="zh-CN"/>
        </w:rPr>
      </w:pPr>
      <w:r>
        <w:rPr>
          <w:rFonts w:cs="宋体"/>
          <w:sz w:val="24"/>
          <w:lang w:eastAsia="zh-CN"/>
        </w:rPr>
        <w:t>ii.</w:t>
      </w:r>
      <w:r>
        <w:rPr>
          <w:rFonts w:cs="宋体"/>
          <w:sz w:val="24"/>
          <w:lang w:eastAsia="zh-CN"/>
        </w:rPr>
        <w:tab/>
      </w:r>
      <w:r>
        <w:rPr>
          <w:rFonts w:cs="宋体"/>
          <w:sz w:val="24"/>
          <w:lang w:eastAsia="zh-CN"/>
        </w:rPr>
        <w:t>对于无菌医疗器械相关的CRO结果，ORA应在与责任方沟通之前，与相应中心协调策略。</w:t>
      </w:r>
    </w:p>
    <w:p w14:paraId="5291A745">
      <w:pPr>
        <w:spacing w:before="120" w:beforeLines="50" w:line="300" w:lineRule="auto"/>
        <w:ind w:left="1740" w:leftChars="600" w:hanging="480" w:hangingChars="200"/>
        <w:rPr>
          <w:rFonts w:cs="Times New Roman"/>
          <w:sz w:val="24"/>
          <w:szCs w:val="24"/>
          <w:lang w:eastAsia="zh-CN"/>
        </w:rPr>
      </w:pPr>
      <w:r>
        <w:rPr>
          <w:rFonts w:cs="宋体"/>
          <w:sz w:val="24"/>
          <w:lang w:eastAsia="zh-CN"/>
        </w:rPr>
        <w:t>d.</w:t>
      </w:r>
      <w:r>
        <w:rPr>
          <w:rFonts w:cs="宋体"/>
          <w:sz w:val="24"/>
          <w:lang w:eastAsia="zh-CN"/>
        </w:rPr>
        <w:tab/>
      </w:r>
      <w:r>
        <w:rPr>
          <w:rFonts w:cs="宋体"/>
          <w:sz w:val="24"/>
          <w:lang w:eastAsia="zh-CN"/>
        </w:rPr>
        <w:t>与</w:t>
      </w:r>
      <w:r>
        <w:rPr>
          <w:rFonts w:hint="eastAsia" w:cs="宋体"/>
          <w:sz w:val="24"/>
          <w:lang w:eastAsia="zh-CN"/>
        </w:rPr>
        <w:t>公众健康</w:t>
      </w:r>
      <w:r>
        <w:rPr>
          <w:rFonts w:cs="宋体"/>
          <w:sz w:val="24"/>
          <w:lang w:eastAsia="zh-CN"/>
        </w:rPr>
        <w:t>风险相关的其他情况：</w:t>
      </w:r>
    </w:p>
    <w:p w14:paraId="38CAEF16">
      <w:pPr>
        <w:spacing w:before="120" w:beforeLines="50" w:line="300" w:lineRule="auto"/>
        <w:ind w:left="2221" w:leftChars="829" w:hanging="480" w:hangingChars="200"/>
        <w:rPr>
          <w:rFonts w:cs="Times New Roman"/>
          <w:sz w:val="24"/>
          <w:szCs w:val="24"/>
          <w:lang w:eastAsia="zh-CN"/>
        </w:rPr>
      </w:pPr>
      <w:r>
        <w:rPr>
          <w:rFonts w:cs="宋体"/>
          <w:sz w:val="24"/>
          <w:lang w:eastAsia="zh-CN"/>
        </w:rPr>
        <w:t>i.</w:t>
      </w:r>
      <w:r>
        <w:rPr>
          <w:rFonts w:cs="宋体"/>
          <w:sz w:val="24"/>
          <w:lang w:eastAsia="zh-CN"/>
        </w:rPr>
        <w:tab/>
      </w:r>
      <w:r>
        <w:rPr>
          <w:rFonts w:cs="宋体"/>
          <w:sz w:val="24"/>
          <w:lang w:eastAsia="zh-CN"/>
        </w:rPr>
        <w:t>当ORA的程序负责人认为</w:t>
      </w:r>
      <w:r>
        <w:rPr>
          <w:rFonts w:hint="eastAsia" w:cs="宋体"/>
          <w:sz w:val="24"/>
          <w:lang w:eastAsia="zh-CN"/>
        </w:rPr>
        <w:t>适用</w:t>
      </w:r>
      <w:r>
        <w:rPr>
          <w:rFonts w:cs="宋体"/>
          <w:sz w:val="24"/>
          <w:lang w:eastAsia="zh-CN"/>
        </w:rPr>
        <w:t>时，可根据与相应中心合作协调的策略，将CRO结果传达给责任方。</w:t>
      </w:r>
    </w:p>
    <w:p w14:paraId="5C4303D8">
      <w:pPr>
        <w:pStyle w:val="19"/>
        <w:rPr>
          <w:lang w:eastAsia="zh-CN"/>
        </w:rPr>
      </w:pPr>
      <w:r>
        <w:rPr>
          <w:rFonts w:cs="宋体"/>
          <w:lang w:eastAsia="zh-CN"/>
        </w:rPr>
        <w:t>______________________</w:t>
      </w:r>
    </w:p>
    <w:p w14:paraId="11F7620B">
      <w:pPr>
        <w:pStyle w:val="19"/>
        <w:rPr>
          <w:lang w:eastAsia="zh-CN"/>
        </w:rPr>
      </w:pPr>
      <w:r>
        <w:rPr>
          <w:rFonts w:cs="宋体"/>
          <w:vertAlign w:val="superscript"/>
          <w:lang w:eastAsia="zh-CN"/>
        </w:rPr>
        <w:t>8</w:t>
      </w:r>
      <w:r>
        <w:rPr>
          <w:rFonts w:cs="宋体"/>
          <w:lang w:eastAsia="zh-CN"/>
        </w:rPr>
        <w:t>根据ORA的第61号现场公告：邀请合作国家与企业通话，在疾病</w:t>
      </w:r>
      <w:r>
        <w:rPr>
          <w:rFonts w:hint="eastAsia" w:cs="宋体"/>
          <w:lang w:eastAsia="zh-CN"/>
        </w:rPr>
        <w:t>爆</w:t>
      </w:r>
      <w:r>
        <w:rPr>
          <w:rFonts w:cs="宋体"/>
          <w:lang w:eastAsia="zh-CN"/>
        </w:rPr>
        <w:t>发的调查期间解释CDC的流行病学或实验室数据情况，合作国家也应参与和责任方的沟通。</w:t>
      </w:r>
    </w:p>
    <w:p w14:paraId="5A78FB0A">
      <w:pPr>
        <w:spacing w:before="120" w:beforeLines="50" w:line="300" w:lineRule="auto"/>
        <w:ind w:left="1320" w:leftChars="400" w:hanging="480" w:hangingChars="200"/>
        <w:rPr>
          <w:rFonts w:cs="Times New Roman"/>
          <w:sz w:val="24"/>
          <w:szCs w:val="24"/>
          <w:lang w:eastAsia="zh-CN"/>
        </w:rPr>
      </w:pPr>
      <w:r>
        <w:rPr>
          <w:rFonts w:cs="宋体"/>
          <w:sz w:val="24"/>
          <w:lang w:eastAsia="zh-CN"/>
        </w:rPr>
        <w:br w:type="page"/>
      </w:r>
      <w:r>
        <w:rPr>
          <w:rFonts w:cs="宋体"/>
          <w:sz w:val="24"/>
          <w:lang w:eastAsia="zh-CN"/>
        </w:rPr>
        <w:t>4.</w:t>
      </w:r>
      <w:r>
        <w:rPr>
          <w:rFonts w:cs="宋体"/>
          <w:sz w:val="24"/>
          <w:lang w:eastAsia="zh-CN"/>
        </w:rPr>
        <w:tab/>
      </w:r>
      <w:r>
        <w:rPr>
          <w:rFonts w:cs="宋体"/>
          <w:sz w:val="24"/>
          <w:lang w:eastAsia="zh-CN"/>
        </w:rPr>
        <w:t>公布的任何CRO结果应包括以下免责声明。当结果以口头形式传达给责任方时，公布CRO结果的FDA官员应向责任方</w:t>
      </w:r>
      <w:r>
        <w:rPr>
          <w:rFonts w:hint="eastAsia" w:cs="宋体"/>
          <w:sz w:val="24"/>
          <w:lang w:eastAsia="zh-CN"/>
        </w:rPr>
        <w:t>宣读</w:t>
      </w:r>
      <w:r>
        <w:rPr>
          <w:rFonts w:cs="宋体"/>
          <w:sz w:val="24"/>
          <w:lang w:eastAsia="zh-CN"/>
        </w:rPr>
        <w:t>声明并记录</w:t>
      </w:r>
      <w:r>
        <w:rPr>
          <w:rFonts w:hint="eastAsia" w:cs="宋体"/>
          <w:sz w:val="24"/>
          <w:lang w:eastAsia="zh-CN"/>
        </w:rPr>
        <w:t>已宣读声明</w:t>
      </w:r>
      <w:r>
        <w:rPr>
          <w:rFonts w:cs="宋体"/>
          <w:sz w:val="24"/>
          <w:lang w:eastAsia="zh-CN"/>
        </w:rPr>
        <w:t>。</w:t>
      </w:r>
    </w:p>
    <w:p w14:paraId="6E438D91">
      <w:pPr>
        <w:spacing w:before="120" w:beforeLines="50" w:line="300" w:lineRule="auto"/>
        <w:ind w:left="1680" w:leftChars="800"/>
        <w:rPr>
          <w:rFonts w:cs="Times New Roman"/>
          <w:i/>
          <w:sz w:val="24"/>
          <w:szCs w:val="24"/>
          <w:lang w:eastAsia="zh-CN"/>
        </w:rPr>
      </w:pPr>
      <w:r>
        <w:rPr>
          <w:rFonts w:cs="宋体"/>
          <w:i/>
          <w:sz w:val="24"/>
          <w:lang w:eastAsia="zh-CN"/>
        </w:rPr>
        <w:t>免责声明：“不排除”样品结果</w:t>
      </w:r>
      <w:r>
        <w:rPr>
          <w:rFonts w:hint="eastAsia" w:cs="宋体"/>
          <w:i/>
          <w:sz w:val="24"/>
          <w:lang w:eastAsia="zh-CN"/>
        </w:rPr>
        <w:t>仅为</w:t>
      </w:r>
      <w:r>
        <w:rPr>
          <w:rFonts w:cs="宋体"/>
          <w:i/>
          <w:sz w:val="24"/>
          <w:lang w:eastAsia="zh-CN"/>
        </w:rPr>
        <w:t>初步</w:t>
      </w:r>
      <w:r>
        <w:rPr>
          <w:rFonts w:hint="eastAsia" w:cs="宋体"/>
          <w:i/>
          <w:sz w:val="24"/>
          <w:lang w:eastAsia="zh-CN"/>
        </w:rPr>
        <w:t>结果，</w:t>
      </w:r>
      <w:r>
        <w:rPr>
          <w:rFonts w:cs="宋体"/>
          <w:i/>
          <w:sz w:val="24"/>
          <w:lang w:eastAsia="zh-CN"/>
        </w:rPr>
        <w:t>目前这些信息仅供参考。虽然这些信息应被视为产品安全性评估的一部分，但FDA</w:t>
      </w:r>
      <w:r>
        <w:rPr>
          <w:rFonts w:hint="eastAsia" w:cs="宋体"/>
          <w:i/>
          <w:sz w:val="24"/>
          <w:lang w:eastAsia="zh-CN"/>
        </w:rPr>
        <w:t>传达</w:t>
      </w:r>
      <w:r>
        <w:rPr>
          <w:rFonts w:cs="宋体"/>
          <w:i/>
          <w:sz w:val="24"/>
          <w:lang w:eastAsia="zh-CN"/>
        </w:rPr>
        <w:t>这些初步结果并不</w:t>
      </w:r>
      <w:r>
        <w:rPr>
          <w:rFonts w:hint="eastAsia" w:cs="宋体"/>
          <w:i/>
          <w:sz w:val="24"/>
          <w:lang w:eastAsia="zh-CN"/>
        </w:rPr>
        <w:t>作为</w:t>
      </w:r>
      <w:r>
        <w:rPr>
          <w:rFonts w:cs="宋体"/>
          <w:i/>
          <w:sz w:val="24"/>
          <w:lang w:eastAsia="zh-CN"/>
        </w:rPr>
        <w:t>任何政府机构或私人方未来</w:t>
      </w:r>
      <w:r>
        <w:rPr>
          <w:rFonts w:hint="eastAsia" w:cs="宋体"/>
          <w:i/>
          <w:sz w:val="24"/>
          <w:lang w:eastAsia="zh-CN"/>
        </w:rPr>
        <w:t>所采取</w:t>
      </w:r>
      <w:r>
        <w:rPr>
          <w:rFonts w:cs="宋体"/>
          <w:i/>
          <w:sz w:val="24"/>
          <w:lang w:eastAsia="zh-CN"/>
        </w:rPr>
        <w:t>任何举动</w:t>
      </w:r>
      <w:r>
        <w:rPr>
          <w:rFonts w:hint="eastAsia" w:cs="宋体"/>
          <w:i/>
          <w:sz w:val="24"/>
          <w:lang w:eastAsia="zh-CN"/>
        </w:rPr>
        <w:t>的</w:t>
      </w:r>
      <w:r>
        <w:rPr>
          <w:rFonts w:cs="宋体"/>
          <w:i/>
          <w:sz w:val="24"/>
          <w:lang w:eastAsia="zh-CN"/>
        </w:rPr>
        <w:t>必要</w:t>
      </w:r>
      <w:r>
        <w:rPr>
          <w:rFonts w:hint="eastAsia" w:cs="宋体"/>
          <w:i/>
          <w:sz w:val="24"/>
          <w:lang w:eastAsia="zh-CN"/>
        </w:rPr>
        <w:t>性</w:t>
      </w:r>
      <w:r>
        <w:rPr>
          <w:rFonts w:cs="宋体"/>
          <w:i/>
          <w:sz w:val="24"/>
          <w:lang w:eastAsia="zh-CN"/>
        </w:rPr>
        <w:t>或适当</w:t>
      </w:r>
      <w:r>
        <w:rPr>
          <w:rFonts w:hint="eastAsia" w:cs="宋体"/>
          <w:i/>
          <w:sz w:val="24"/>
          <w:lang w:eastAsia="zh-CN"/>
        </w:rPr>
        <w:t>性的支持</w:t>
      </w:r>
      <w:r>
        <w:rPr>
          <w:rFonts w:cs="宋体"/>
          <w:i/>
          <w:sz w:val="24"/>
          <w:lang w:eastAsia="zh-CN"/>
        </w:rPr>
        <w:t>。</w:t>
      </w:r>
      <w:r>
        <w:rPr>
          <w:rFonts w:hint="eastAsia" w:cs="宋体"/>
          <w:i/>
          <w:sz w:val="24"/>
          <w:lang w:eastAsia="zh-CN"/>
        </w:rPr>
        <w:t>法规</w:t>
      </w:r>
      <w:r>
        <w:rPr>
          <w:rFonts w:cs="宋体"/>
          <w:i/>
          <w:sz w:val="24"/>
          <w:lang w:eastAsia="zh-CN"/>
        </w:rPr>
        <w:t>事务办公室（ORA）的实验室最终分析结果将在可用后尽快公布。但是，</w:t>
      </w:r>
      <w:r>
        <w:rPr>
          <w:rFonts w:hint="eastAsia" w:cs="宋体"/>
          <w:i/>
          <w:sz w:val="24"/>
          <w:lang w:eastAsia="zh-CN"/>
        </w:rPr>
        <w:t>责任方</w:t>
      </w:r>
      <w:r>
        <w:rPr>
          <w:rFonts w:cs="宋体"/>
          <w:i/>
          <w:sz w:val="24"/>
          <w:lang w:eastAsia="zh-CN"/>
        </w:rPr>
        <w:t>仍有责任保障</w:t>
      </w:r>
      <w:r>
        <w:rPr>
          <w:rFonts w:hint="eastAsia" w:cs="宋体"/>
          <w:i/>
          <w:sz w:val="24"/>
          <w:lang w:eastAsia="zh-CN"/>
        </w:rPr>
        <w:t>其</w:t>
      </w:r>
      <w:r>
        <w:rPr>
          <w:rFonts w:cs="宋体"/>
          <w:i/>
          <w:sz w:val="24"/>
          <w:lang w:eastAsia="zh-CN"/>
        </w:rPr>
        <w:t>投放市场的所有产品的质量和安全。关于任何私人方</w:t>
      </w:r>
      <w:r>
        <w:rPr>
          <w:rFonts w:hint="eastAsia" w:cs="宋体"/>
          <w:i/>
          <w:sz w:val="24"/>
          <w:lang w:eastAsia="zh-CN"/>
        </w:rPr>
        <w:t>基于</w:t>
      </w:r>
      <w:r>
        <w:rPr>
          <w:rFonts w:cs="宋体"/>
          <w:i/>
          <w:sz w:val="24"/>
          <w:lang w:eastAsia="zh-CN"/>
        </w:rPr>
        <w:t>“不排除”结果采取行动或不采取行动所导致的后果，FDA</w:t>
      </w:r>
      <w:r>
        <w:rPr>
          <w:rFonts w:hint="eastAsia" w:cs="宋体"/>
          <w:i/>
          <w:sz w:val="24"/>
          <w:lang w:eastAsia="zh-CN"/>
        </w:rPr>
        <w:t>概不负责</w:t>
      </w:r>
      <w:r>
        <w:rPr>
          <w:rFonts w:cs="宋体"/>
          <w:i/>
          <w:sz w:val="24"/>
          <w:lang w:eastAsia="zh-CN"/>
        </w:rPr>
        <w:t>。有关“不排除”ORA实验室结果的更多信息，请访问[本指南的链接]。</w:t>
      </w:r>
    </w:p>
    <w:p w14:paraId="309AD2D6">
      <w:pPr>
        <w:spacing w:before="120" w:beforeLines="50" w:line="300" w:lineRule="auto"/>
        <w:ind w:left="482" w:hanging="482" w:hangingChars="200"/>
        <w:rPr>
          <w:rFonts w:cs="Times New Roman"/>
          <w:b/>
          <w:sz w:val="24"/>
          <w:szCs w:val="24"/>
          <w:lang w:eastAsia="zh-CN"/>
        </w:rPr>
      </w:pPr>
      <w:r>
        <w:rPr>
          <w:rFonts w:cs="宋体"/>
          <w:b/>
          <w:sz w:val="24"/>
          <w:lang w:eastAsia="zh-CN"/>
        </w:rPr>
        <w:t>B.</w:t>
      </w:r>
      <w:r>
        <w:rPr>
          <w:rFonts w:cs="宋体"/>
          <w:b/>
          <w:lang w:eastAsia="zh-CN"/>
        </w:rPr>
        <w:tab/>
      </w:r>
      <w:r>
        <w:rPr>
          <w:rFonts w:cs="宋体"/>
          <w:b/>
          <w:sz w:val="24"/>
          <w:lang w:eastAsia="zh-CN"/>
        </w:rPr>
        <w:t>ORA实验室最终分析结果的公布</w:t>
      </w:r>
    </w:p>
    <w:p w14:paraId="3E972998">
      <w:pPr>
        <w:spacing w:before="120" w:beforeLines="50" w:line="300" w:lineRule="auto"/>
        <w:rPr>
          <w:rFonts w:cs="Times New Roman"/>
          <w:sz w:val="24"/>
          <w:szCs w:val="24"/>
          <w:lang w:eastAsia="zh-CN"/>
        </w:rPr>
      </w:pPr>
      <w:r>
        <w:rPr>
          <w:rFonts w:hint="eastAsia" w:cs="宋体"/>
          <w:sz w:val="24"/>
          <w:lang w:eastAsia="zh-CN"/>
        </w:rPr>
        <w:t>收到</w:t>
      </w:r>
      <w:r>
        <w:rPr>
          <w:rFonts w:cs="宋体"/>
          <w:sz w:val="24"/>
          <w:lang w:eastAsia="zh-CN"/>
        </w:rPr>
        <w:t>责任方</w:t>
      </w:r>
      <w:r>
        <w:rPr>
          <w:rFonts w:hint="eastAsia" w:cs="宋体"/>
          <w:sz w:val="24"/>
          <w:lang w:eastAsia="zh-CN"/>
        </w:rPr>
        <w:t>的请</w:t>
      </w:r>
      <w:r>
        <w:rPr>
          <w:rFonts w:cs="宋体"/>
          <w:sz w:val="24"/>
          <w:lang w:eastAsia="zh-CN"/>
        </w:rPr>
        <w:t>求（口头或书面</w:t>
      </w:r>
      <w:r>
        <w:rPr>
          <w:rFonts w:hint="eastAsia" w:cs="宋体"/>
          <w:sz w:val="24"/>
          <w:lang w:eastAsia="zh-CN"/>
        </w:rPr>
        <w:t>请求，不要求提交正式认定的《信息自由法案》请求</w:t>
      </w:r>
      <w:r>
        <w:rPr>
          <w:rFonts w:cs="宋体"/>
          <w:sz w:val="24"/>
          <w:lang w:eastAsia="zh-CN"/>
        </w:rPr>
        <w:t>）</w:t>
      </w:r>
      <w:r>
        <w:rPr>
          <w:rFonts w:hint="eastAsia" w:cs="宋体"/>
          <w:sz w:val="24"/>
          <w:lang w:eastAsia="zh-CN"/>
        </w:rPr>
        <w:t>后</w:t>
      </w:r>
      <w:r>
        <w:rPr>
          <w:rFonts w:cs="宋体"/>
          <w:sz w:val="24"/>
          <w:lang w:eastAsia="zh-CN"/>
        </w:rPr>
        <w:t>，FDA可自行决定或在法律授权的情况下，</w:t>
      </w:r>
      <w:r>
        <w:rPr>
          <w:rFonts w:cs="宋体"/>
          <w:sz w:val="24"/>
          <w:vertAlign w:val="superscript"/>
          <w:lang w:eastAsia="zh-CN"/>
        </w:rPr>
        <w:t>9</w:t>
      </w:r>
      <w:r>
        <w:rPr>
          <w:rFonts w:cs="宋体"/>
          <w:sz w:val="24"/>
          <w:lang w:eastAsia="zh-CN"/>
        </w:rPr>
        <w:t>公布FDA监管活动期间所采集样品的ORA实验室最终分析结果。</w:t>
      </w:r>
      <w:r>
        <w:rPr>
          <w:rFonts w:hint="eastAsia" w:cs="宋体"/>
          <w:sz w:val="24"/>
          <w:lang w:eastAsia="zh-CN"/>
        </w:rPr>
        <w:t>责任方可根据在</w:t>
      </w:r>
      <w:r>
        <w:rPr>
          <w:rFonts w:cs="宋体"/>
          <w:sz w:val="24"/>
          <w:lang w:eastAsia="zh-CN"/>
        </w:rPr>
        <w:t>公布</w:t>
      </w:r>
      <w:r>
        <w:rPr>
          <w:rFonts w:hint="eastAsia" w:cs="宋体"/>
          <w:sz w:val="24"/>
          <w:lang w:eastAsia="zh-CN"/>
        </w:rPr>
        <w:t>后的</w:t>
      </w:r>
      <w:r>
        <w:rPr>
          <w:rFonts w:cs="宋体"/>
          <w:sz w:val="24"/>
          <w:lang w:eastAsia="zh-CN"/>
        </w:rPr>
        <w:t>ORA实验室最终分析结果</w:t>
      </w:r>
      <w:r>
        <w:rPr>
          <w:rFonts w:hint="eastAsia" w:cs="宋体"/>
          <w:sz w:val="24"/>
          <w:lang w:eastAsia="zh-CN"/>
        </w:rPr>
        <w:t>请求</w:t>
      </w:r>
      <w:r>
        <w:rPr>
          <w:rFonts w:cs="宋体"/>
          <w:sz w:val="24"/>
          <w:lang w:eastAsia="zh-CN"/>
        </w:rPr>
        <w:t>采取适当措施，和/或根据结果恢复正常操作。</w:t>
      </w:r>
    </w:p>
    <w:p w14:paraId="48237B7E">
      <w:pPr>
        <w:spacing w:before="120" w:beforeLines="50" w:line="300" w:lineRule="auto"/>
        <w:ind w:left="900" w:leftChars="200" w:hanging="480" w:hangingChars="200"/>
        <w:rPr>
          <w:rFonts w:cs="Times New Roman"/>
          <w:sz w:val="24"/>
          <w:szCs w:val="24"/>
          <w:lang w:eastAsia="zh-CN"/>
        </w:rPr>
      </w:pPr>
      <w:r>
        <w:rPr>
          <w:rFonts w:cs="宋体"/>
          <w:sz w:val="24"/>
          <w:lang w:eastAsia="zh-CN"/>
        </w:rPr>
        <w:t>1.</w:t>
      </w:r>
      <w:r>
        <w:rPr>
          <w:rFonts w:cs="宋体"/>
          <w:sz w:val="24"/>
          <w:lang w:eastAsia="zh-CN"/>
        </w:rPr>
        <w:tab/>
      </w:r>
      <w:r>
        <w:rPr>
          <w:rFonts w:cs="宋体"/>
          <w:sz w:val="24"/>
          <w:lang w:eastAsia="zh-CN"/>
        </w:rPr>
        <w:t>如果责任方自愿</w:t>
      </w:r>
      <w:r>
        <w:rPr>
          <w:rFonts w:hint="eastAsia" w:cs="宋体"/>
          <w:sz w:val="24"/>
          <w:lang w:eastAsia="zh-CN"/>
        </w:rPr>
        <w:t>在未收到ORA实验室最终分析结果之前</w:t>
      </w:r>
      <w:r>
        <w:rPr>
          <w:rFonts w:cs="宋体"/>
          <w:sz w:val="24"/>
          <w:lang w:eastAsia="zh-CN"/>
        </w:rPr>
        <w:t>持有产品，或在</w:t>
      </w:r>
      <w:bookmarkStart w:id="0" w:name="OLE_LINK1"/>
      <w:r>
        <w:rPr>
          <w:rFonts w:cs="宋体"/>
          <w:sz w:val="24"/>
          <w:lang w:eastAsia="zh-CN"/>
        </w:rPr>
        <w:t>进口入境保证金</w:t>
      </w:r>
      <w:bookmarkEnd w:id="0"/>
      <w:r>
        <w:rPr>
          <w:rFonts w:cs="宋体"/>
          <w:sz w:val="24"/>
          <w:lang w:eastAsia="zh-CN"/>
        </w:rPr>
        <w:t>规定的条件下持有产品，FDA可口头通知责任方实验室最终分析结果。FDA可自行决定或在法律要求的情况下发出书面通知。FDA工作人员应记录通知讨论的细节以及责任方的回应。</w:t>
      </w:r>
    </w:p>
    <w:p w14:paraId="1445715C">
      <w:pPr>
        <w:spacing w:before="120" w:beforeLines="50" w:line="300" w:lineRule="auto"/>
        <w:ind w:left="900" w:leftChars="200" w:hanging="480" w:hangingChars="200"/>
        <w:rPr>
          <w:rFonts w:cs="Times New Roman"/>
          <w:sz w:val="24"/>
          <w:szCs w:val="24"/>
          <w:lang w:eastAsia="zh-CN"/>
        </w:rPr>
      </w:pPr>
      <w:r>
        <w:rPr>
          <w:rFonts w:cs="宋体"/>
          <w:sz w:val="24"/>
          <w:lang w:eastAsia="zh-CN"/>
        </w:rPr>
        <w:t>2.</w:t>
      </w:r>
      <w:r>
        <w:rPr>
          <w:rFonts w:cs="宋体"/>
          <w:sz w:val="24"/>
          <w:lang w:eastAsia="zh-CN"/>
        </w:rPr>
        <w:tab/>
      </w:r>
      <w:r>
        <w:rPr>
          <w:rFonts w:cs="宋体"/>
          <w:sz w:val="24"/>
          <w:lang w:eastAsia="zh-CN"/>
        </w:rPr>
        <w:t>在有限的情况下，例如，如果合理预计此次发布</w:t>
      </w:r>
      <w:r>
        <w:rPr>
          <w:rFonts w:hint="eastAsia" w:cs="宋体"/>
          <w:sz w:val="24"/>
          <w:lang w:eastAsia="zh-CN"/>
        </w:rPr>
        <w:t>会</w:t>
      </w:r>
      <w:r>
        <w:rPr>
          <w:rFonts w:cs="宋体"/>
          <w:sz w:val="24"/>
          <w:lang w:eastAsia="zh-CN"/>
        </w:rPr>
        <w:t>干扰调查或执法程序，FDA可拒绝公布ORA实验室分析结果。</w:t>
      </w:r>
    </w:p>
    <w:p w14:paraId="471A8F11">
      <w:pPr>
        <w:pStyle w:val="19"/>
        <w:rPr>
          <w:lang w:eastAsia="zh-CN"/>
        </w:rPr>
      </w:pPr>
      <w:r>
        <w:rPr>
          <w:rFonts w:cs="宋体"/>
          <w:lang w:eastAsia="zh-CN"/>
        </w:rPr>
        <w:t>______________________</w:t>
      </w:r>
    </w:p>
    <w:p w14:paraId="60EF654D">
      <w:pPr>
        <w:pStyle w:val="19"/>
      </w:pPr>
      <w:r>
        <w:rPr>
          <w:rFonts w:cs="宋体"/>
          <w:vertAlign w:val="superscript"/>
          <w:lang w:eastAsia="zh-CN"/>
        </w:rPr>
        <w:t>9</w:t>
      </w:r>
      <w:r>
        <w:rPr>
          <w:rFonts w:cs="宋体"/>
          <w:i/>
          <w:lang w:eastAsia="zh-CN"/>
        </w:rPr>
        <w:t>请参见，例如《联邦食品、药品和化妆品法案》第704(d)节要求</w:t>
      </w:r>
      <w:r>
        <w:rPr>
          <w:rFonts w:hint="eastAsia" w:cs="宋体"/>
          <w:i/>
          <w:lang w:eastAsia="zh-CN"/>
        </w:rPr>
        <w:t>：</w:t>
      </w:r>
      <w:r>
        <w:rPr>
          <w:rFonts w:cs="宋体"/>
          <w:i/>
          <w:lang w:eastAsia="zh-CN"/>
        </w:rPr>
        <w:t>“在对制造、加工或包装食品的工厂或其他场所进行任何此类检查的过程中，进行检查的官员或雇员获取任何此类食品的样品，并对</w:t>
      </w:r>
      <w:r>
        <w:rPr>
          <w:rFonts w:hint="eastAsia" w:cs="宋体"/>
          <w:i/>
          <w:lang w:eastAsia="zh-CN"/>
        </w:rPr>
        <w:t>其</w:t>
      </w:r>
      <w:r>
        <w:rPr>
          <w:rFonts w:cs="宋体"/>
          <w:i/>
          <w:lang w:eastAsia="zh-CN"/>
        </w:rPr>
        <w:t>进行分析，以确定此类食品是否全部或部分由任何肮脏、腐败或腐烂物质组成或不宜食用，FDA应及时向企业所有者、经营者或主管代理人提供此类分析结果的副本。”（重点补充）。</w:t>
      </w:r>
      <w:r>
        <w:rPr>
          <w:rFonts w:cs="宋体"/>
          <w:lang w:eastAsia="zh-CN"/>
        </w:rPr>
        <w:t>《联邦食品、药品和化妆品法案》第704(d)节要求</w:t>
      </w:r>
      <w:r>
        <w:rPr>
          <w:rFonts w:hint="eastAsia" w:cs="宋体"/>
          <w:lang w:eastAsia="zh-CN"/>
        </w:rPr>
        <w:t>：</w:t>
      </w:r>
      <w:r>
        <w:rPr>
          <w:rFonts w:cs="宋体"/>
          <w:lang w:eastAsia="zh-CN"/>
        </w:rPr>
        <w:t>“在对制造、加工或包装食品的工厂或其他场所进行任何此类检查的过程中，进行检查的官员或雇员获取任何此类食品的样品，并对此类样品进行分析，以确定此类食品是否全部或部分由任何肮脏、腐败或腐烂物质组成或不宜食用，</w:t>
      </w:r>
      <w:r>
        <w:rPr>
          <w:rFonts w:cs="宋体"/>
          <w:i/>
          <w:lang w:eastAsia="zh-CN"/>
        </w:rPr>
        <w:t>应及时向企业所有者、经营者或主管代理人提供此类分析结果的副本。</w:t>
      </w:r>
      <w:r>
        <w:rPr>
          <w:rFonts w:cs="宋体"/>
        </w:rPr>
        <w:t>”（</w:t>
      </w:r>
      <w:r>
        <w:rPr>
          <w:rFonts w:hint="eastAsia" w:cs="宋体"/>
        </w:rPr>
        <w:t>着重强调</w:t>
      </w:r>
      <w:r>
        <w:rPr>
          <w:rFonts w:cs="宋体"/>
        </w:rPr>
        <w:t>）。</w:t>
      </w:r>
    </w:p>
    <w:p w14:paraId="5B14DCC9">
      <w:pPr>
        <w:spacing w:before="120" w:beforeLines="50" w:line="300" w:lineRule="auto"/>
        <w:jc w:val="center"/>
        <w:rPr>
          <w:rFonts w:hint="eastAsia" w:eastAsia="宋体"/>
          <w:lang w:eastAsia="zh-CN"/>
        </w:rPr>
      </w:pPr>
    </w:p>
    <w:p w14:paraId="01C81D92">
      <w:pPr>
        <w:spacing w:before="120" w:beforeLines="50" w:line="300" w:lineRule="auto"/>
        <w:jc w:val="center"/>
        <w:rPr>
          <w:rFonts w:hint="eastAsia" w:eastAsia="宋体"/>
          <w:lang w:eastAsia="zh-CN"/>
        </w:rPr>
      </w:pPr>
    </w:p>
    <w:p w14:paraId="1D41AEFA">
      <w:pPr>
        <w:spacing w:before="120" w:beforeLines="50" w:line="300" w:lineRule="auto"/>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6"/>
                    <a:stretch>
                      <a:fillRect/>
                    </a:stretch>
                  </pic:blipFill>
                  <pic:spPr>
                    <a:xfrm>
                      <a:off x="0" y="0"/>
                      <a:ext cx="5210175" cy="7343775"/>
                    </a:xfrm>
                    <a:prstGeom prst="rect">
                      <a:avLst/>
                    </a:prstGeom>
                  </pic:spPr>
                </pic:pic>
              </a:graphicData>
            </a:graphic>
          </wp:inline>
        </w:drawing>
      </w:r>
    </w:p>
    <w:sectPr>
      <w:headerReference r:id="rId3" w:type="default"/>
      <w:footerReference r:id="rId4" w:type="default"/>
      <w:pgSz w:w="11907" w:h="16840"/>
      <w:pgMar w:top="1418" w:right="1418" w:bottom="1418" w:left="1418" w:header="720" w:footer="720"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D6D4F6">
    <w:pPr>
      <w:pStyle w:val="8"/>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D22999">
    <w:pPr>
      <w:jc w:val="center"/>
      <w:rPr>
        <w:b/>
        <w:i/>
        <w:lang w:eastAsia="zh-CN"/>
      </w:rPr>
    </w:pPr>
    <w:r>
      <w:rPr>
        <w:rFonts w:hint="eastAsia" w:cs="宋体"/>
        <w:b/>
        <w:i/>
      </w:rPr>
      <w:t>所含建议不具约束力</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dit="readOnly" w:enforcement="0"/>
  <w:defaultTabStop w:val="4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2A5F"/>
    <w:rsid w:val="00033EF5"/>
    <w:rsid w:val="000B6EEA"/>
    <w:rsid w:val="000D32D3"/>
    <w:rsid w:val="00116B26"/>
    <w:rsid w:val="001742BB"/>
    <w:rsid w:val="001A2671"/>
    <w:rsid w:val="001B4CA6"/>
    <w:rsid w:val="001B5115"/>
    <w:rsid w:val="001C3483"/>
    <w:rsid w:val="001D51D8"/>
    <w:rsid w:val="001E1723"/>
    <w:rsid w:val="002270DC"/>
    <w:rsid w:val="00296819"/>
    <w:rsid w:val="002C5600"/>
    <w:rsid w:val="002F3FA7"/>
    <w:rsid w:val="00314F13"/>
    <w:rsid w:val="00355166"/>
    <w:rsid w:val="00373420"/>
    <w:rsid w:val="00375489"/>
    <w:rsid w:val="00390AA0"/>
    <w:rsid w:val="00392F10"/>
    <w:rsid w:val="003F59D9"/>
    <w:rsid w:val="0040500E"/>
    <w:rsid w:val="00414FC2"/>
    <w:rsid w:val="00417572"/>
    <w:rsid w:val="00445B83"/>
    <w:rsid w:val="00460B74"/>
    <w:rsid w:val="00475A2C"/>
    <w:rsid w:val="00482319"/>
    <w:rsid w:val="004A1874"/>
    <w:rsid w:val="004B17AD"/>
    <w:rsid w:val="004F181F"/>
    <w:rsid w:val="00521C83"/>
    <w:rsid w:val="0052697A"/>
    <w:rsid w:val="00535D43"/>
    <w:rsid w:val="005443E2"/>
    <w:rsid w:val="00562463"/>
    <w:rsid w:val="005B523F"/>
    <w:rsid w:val="005C444E"/>
    <w:rsid w:val="005D1D34"/>
    <w:rsid w:val="00636064"/>
    <w:rsid w:val="006401BB"/>
    <w:rsid w:val="006522DF"/>
    <w:rsid w:val="00684CA5"/>
    <w:rsid w:val="006C1E09"/>
    <w:rsid w:val="006C29A3"/>
    <w:rsid w:val="006D2A77"/>
    <w:rsid w:val="006D59F6"/>
    <w:rsid w:val="007220C9"/>
    <w:rsid w:val="007335B5"/>
    <w:rsid w:val="00773E0D"/>
    <w:rsid w:val="00775E6E"/>
    <w:rsid w:val="007A2D48"/>
    <w:rsid w:val="007B65BD"/>
    <w:rsid w:val="007B7482"/>
    <w:rsid w:val="007B786A"/>
    <w:rsid w:val="007D343E"/>
    <w:rsid w:val="008248FF"/>
    <w:rsid w:val="00835F26"/>
    <w:rsid w:val="008A4F0B"/>
    <w:rsid w:val="008C20FA"/>
    <w:rsid w:val="008C65CF"/>
    <w:rsid w:val="008D2A5F"/>
    <w:rsid w:val="00917AEB"/>
    <w:rsid w:val="009745B1"/>
    <w:rsid w:val="00982F9D"/>
    <w:rsid w:val="00986C27"/>
    <w:rsid w:val="009A6027"/>
    <w:rsid w:val="009B3542"/>
    <w:rsid w:val="009C6573"/>
    <w:rsid w:val="009E497A"/>
    <w:rsid w:val="009E7683"/>
    <w:rsid w:val="009F0288"/>
    <w:rsid w:val="00A2207B"/>
    <w:rsid w:val="00A2626E"/>
    <w:rsid w:val="00A3276E"/>
    <w:rsid w:val="00A40E04"/>
    <w:rsid w:val="00A42D40"/>
    <w:rsid w:val="00A542AC"/>
    <w:rsid w:val="00A70C7C"/>
    <w:rsid w:val="00A82F43"/>
    <w:rsid w:val="00AA0343"/>
    <w:rsid w:val="00AA4AEF"/>
    <w:rsid w:val="00AD0CB6"/>
    <w:rsid w:val="00AE2FF7"/>
    <w:rsid w:val="00AE78E0"/>
    <w:rsid w:val="00B76B82"/>
    <w:rsid w:val="00B9323F"/>
    <w:rsid w:val="00BD73C5"/>
    <w:rsid w:val="00C615FB"/>
    <w:rsid w:val="00CD5747"/>
    <w:rsid w:val="00D207C7"/>
    <w:rsid w:val="00D23EEA"/>
    <w:rsid w:val="00D545E9"/>
    <w:rsid w:val="00DC3B3B"/>
    <w:rsid w:val="00DD453A"/>
    <w:rsid w:val="00E73FC5"/>
    <w:rsid w:val="00E83E3D"/>
    <w:rsid w:val="00E87BA6"/>
    <w:rsid w:val="00EB03C3"/>
    <w:rsid w:val="00EB265B"/>
    <w:rsid w:val="00EB3830"/>
    <w:rsid w:val="00EB59A6"/>
    <w:rsid w:val="00F14B09"/>
    <w:rsid w:val="00F26FEA"/>
    <w:rsid w:val="00F50571"/>
    <w:rsid w:val="00F52583"/>
    <w:rsid w:val="00F55AC0"/>
    <w:rsid w:val="00F63082"/>
    <w:rsid w:val="00FA6137"/>
    <w:rsid w:val="00FB4A72"/>
    <w:rsid w:val="00FB62E9"/>
    <w:rsid w:val="00FC4B38"/>
    <w:rsid w:val="00FE5DBE"/>
    <w:rsid w:val="374666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1"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jc w:val="both"/>
    </w:pPr>
    <w:rPr>
      <w:rFonts w:ascii="Times New Roman" w:hAnsi="Times New Roman" w:eastAsia="宋体" w:cstheme="minorBidi"/>
      <w:sz w:val="21"/>
      <w:szCs w:val="21"/>
      <w:lang w:val="en-US" w:eastAsia="en-US" w:bidi="ar-SA"/>
    </w:rPr>
  </w:style>
  <w:style w:type="paragraph" w:styleId="2">
    <w:name w:val="heading 1"/>
    <w:basedOn w:val="1"/>
    <w:qFormat/>
    <w:uiPriority w:val="1"/>
    <w:pPr>
      <w:keepNext/>
      <w:spacing w:before="120" w:beforeLines="50" w:line="300" w:lineRule="auto"/>
      <w:outlineLvl w:val="0"/>
    </w:pPr>
    <w:rPr>
      <w:rFonts w:cs="Times New Roman"/>
      <w:b/>
      <w:sz w:val="32"/>
      <w:szCs w:val="24"/>
    </w:rPr>
  </w:style>
  <w:style w:type="paragraph" w:styleId="3">
    <w:name w:val="heading 2"/>
    <w:basedOn w:val="1"/>
    <w:qFormat/>
    <w:uiPriority w:val="1"/>
    <w:pPr>
      <w:keepNext/>
      <w:spacing w:before="120" w:beforeLines="50" w:line="300" w:lineRule="auto"/>
      <w:ind w:left="420" w:hanging="420"/>
      <w:outlineLvl w:val="1"/>
    </w:pPr>
    <w:rPr>
      <w:rFonts w:cs="Times New Roman"/>
      <w:b/>
      <w:sz w:val="28"/>
      <w:szCs w:val="24"/>
    </w:rPr>
  </w:style>
  <w:style w:type="paragraph" w:styleId="4">
    <w:name w:val="heading 3"/>
    <w:basedOn w:val="1"/>
    <w:qFormat/>
    <w:uiPriority w:val="1"/>
    <w:pPr>
      <w:ind w:left="999" w:right="597"/>
      <w:outlineLvl w:val="2"/>
    </w:pPr>
    <w:rPr>
      <w:b/>
      <w:bCs/>
      <w:sz w:val="32"/>
      <w:szCs w:val="32"/>
    </w:rPr>
  </w:style>
  <w:style w:type="paragraph" w:styleId="5">
    <w:name w:val="heading 4"/>
    <w:basedOn w:val="1"/>
    <w:qFormat/>
    <w:uiPriority w:val="1"/>
    <w:pPr>
      <w:ind w:left="1720" w:right="1593" w:hanging="1"/>
      <w:outlineLvl w:val="3"/>
    </w:pPr>
    <w:rPr>
      <w:b/>
      <w:bCs/>
      <w:sz w:val="28"/>
      <w:szCs w:val="28"/>
    </w:rPr>
  </w:style>
  <w:style w:type="paragraph" w:styleId="6">
    <w:name w:val="heading 5"/>
    <w:basedOn w:val="1"/>
    <w:link w:val="18"/>
    <w:qFormat/>
    <w:uiPriority w:val="1"/>
    <w:pPr>
      <w:ind w:left="1680" w:hanging="360"/>
      <w:outlineLvl w:val="4"/>
    </w:pPr>
    <w:rPr>
      <w:b/>
      <w:bCs/>
      <w:sz w:val="24"/>
      <w:szCs w:val="24"/>
    </w:rPr>
  </w:style>
  <w:style w:type="character" w:default="1" w:styleId="13">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7">
    <w:name w:val="Balloon Text"/>
    <w:basedOn w:val="1"/>
    <w:link w:val="15"/>
    <w:semiHidden/>
    <w:unhideWhenUsed/>
    <w:uiPriority w:val="99"/>
    <w:rPr>
      <w:sz w:val="18"/>
      <w:szCs w:val="18"/>
    </w:rPr>
  </w:style>
  <w:style w:type="paragraph" w:styleId="8">
    <w:name w:val="footer"/>
    <w:basedOn w:val="1"/>
    <w:link w:val="17"/>
    <w:unhideWhenUsed/>
    <w:qFormat/>
    <w:uiPriority w:val="99"/>
    <w:pPr>
      <w:tabs>
        <w:tab w:val="center" w:pos="4153"/>
        <w:tab w:val="right" w:pos="8306"/>
      </w:tabs>
      <w:snapToGrid w:val="0"/>
      <w:jc w:val="left"/>
    </w:pPr>
    <w:rPr>
      <w:sz w:val="18"/>
      <w:szCs w:val="18"/>
    </w:rPr>
  </w:style>
  <w:style w:type="paragraph" w:styleId="9">
    <w:name w:val="header"/>
    <w:basedOn w:val="1"/>
    <w:link w:val="16"/>
    <w:unhideWhenUsed/>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autoRedefine/>
    <w:unhideWhenUsed/>
    <w:qFormat/>
    <w:uiPriority w:val="39"/>
    <w:pPr>
      <w:tabs>
        <w:tab w:val="left" w:pos="630"/>
        <w:tab w:val="right" w:leader="dot" w:pos="9061"/>
      </w:tabs>
      <w:spacing w:before="120" w:beforeLines="50" w:line="300" w:lineRule="auto"/>
    </w:pPr>
    <w:rPr>
      <w:sz w:val="24"/>
      <w:szCs w:val="24"/>
    </w:rPr>
  </w:style>
  <w:style w:type="paragraph" w:styleId="11">
    <w:name w:val="toc 2"/>
    <w:basedOn w:val="1"/>
    <w:next w:val="1"/>
    <w:autoRedefine/>
    <w:unhideWhenUsed/>
    <w:qFormat/>
    <w:uiPriority w:val="39"/>
    <w:pPr>
      <w:tabs>
        <w:tab w:val="left" w:pos="840"/>
        <w:tab w:val="right" w:leader="dot" w:pos="9061"/>
      </w:tabs>
      <w:spacing w:before="120" w:beforeLines="50" w:line="300" w:lineRule="auto"/>
      <w:ind w:left="420" w:leftChars="200"/>
    </w:pPr>
    <w:rPr>
      <w:sz w:val="24"/>
      <w:szCs w:val="24"/>
    </w:rPr>
  </w:style>
  <w:style w:type="character" w:styleId="14">
    <w:name w:val="Hyperlink"/>
    <w:basedOn w:val="13"/>
    <w:unhideWhenUsed/>
    <w:qFormat/>
    <w:uiPriority w:val="99"/>
    <w:rPr>
      <w:color w:val="0000FF" w:themeColor="hyperlink"/>
      <w:u w:val="single"/>
      <w14:textFill>
        <w14:solidFill>
          <w14:schemeClr w14:val="hlink"/>
        </w14:solidFill>
      </w14:textFill>
    </w:rPr>
  </w:style>
  <w:style w:type="character" w:customStyle="1" w:styleId="15">
    <w:name w:val="批注框文本 字符"/>
    <w:basedOn w:val="13"/>
    <w:link w:val="7"/>
    <w:semiHidden/>
    <w:uiPriority w:val="99"/>
    <w:rPr>
      <w:sz w:val="18"/>
      <w:szCs w:val="18"/>
    </w:rPr>
  </w:style>
  <w:style w:type="character" w:customStyle="1" w:styleId="16">
    <w:name w:val="页眉 字符"/>
    <w:basedOn w:val="13"/>
    <w:link w:val="9"/>
    <w:qFormat/>
    <w:uiPriority w:val="99"/>
    <w:rPr>
      <w:sz w:val="18"/>
      <w:szCs w:val="18"/>
    </w:rPr>
  </w:style>
  <w:style w:type="character" w:customStyle="1" w:styleId="17">
    <w:name w:val="页脚 字符"/>
    <w:basedOn w:val="13"/>
    <w:link w:val="8"/>
    <w:qFormat/>
    <w:uiPriority w:val="99"/>
    <w:rPr>
      <w:sz w:val="18"/>
      <w:szCs w:val="18"/>
    </w:rPr>
  </w:style>
  <w:style w:type="character" w:customStyle="1" w:styleId="18">
    <w:name w:val="标题 5 字符"/>
    <w:basedOn w:val="13"/>
    <w:link w:val="6"/>
    <w:uiPriority w:val="1"/>
    <w:rPr>
      <w:rFonts w:ascii="Times New Roman" w:hAnsi="Times New Roman" w:eastAsia="Times New Roman" w:cs="Times New Roman"/>
      <w:b/>
      <w:bCs/>
      <w:sz w:val="24"/>
      <w:szCs w:val="24"/>
      <w:lang w:bidi="en-US"/>
    </w:rPr>
  </w:style>
  <w:style w:type="paragraph" w:customStyle="1" w:styleId="19">
    <w:name w:val="脚注新"/>
    <w:basedOn w:val="1"/>
    <w:next w:val="1"/>
    <w:qFormat/>
    <w:uiPriority w:val="1"/>
    <w:pPr>
      <w:spacing w:before="36" w:beforeLines="15" w:line="276" w:lineRule="auto"/>
    </w:pPr>
    <w:rPr>
      <w:rFonts w:cs="Times New Roman"/>
    </w:rPr>
  </w:style>
  <w:style w:type="paragraph" w:customStyle="1" w:styleId="20">
    <w:name w:val="Revision"/>
    <w:hidden/>
    <w:semiHidden/>
    <w:uiPriority w:val="99"/>
    <w:pPr>
      <w:widowControl/>
      <w:autoSpaceDE/>
      <w:autoSpaceDN/>
      <w:jc w:val="left"/>
    </w:pPr>
    <w:rPr>
      <w:rFonts w:ascii="Times New Roman" w:hAnsi="Times New Roman" w:eastAsia="宋体" w:cstheme="minorBidi"/>
      <w:sz w:val="21"/>
      <w:szCs w:val="21"/>
      <w:lang w:val="en-US" w:eastAsia="en-US" w:bidi="ar-SA"/>
    </w:rPr>
  </w:style>
  <w:style w:type="character" w:customStyle="1" w:styleId="21">
    <w:name w:val="Unresolved Mention"/>
    <w:basedOn w:val="13"/>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3246</Words>
  <Characters>3913</Characters>
  <Lines>28</Lines>
  <Paragraphs>8</Paragraphs>
  <TotalTime>76</TotalTime>
  <ScaleCrop>false</ScaleCrop>
  <LinksUpToDate>false</LinksUpToDate>
  <CharactersWithSpaces>3960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2022-03-05T01:18:00Z</dcterms:created>
  <dc:creator>Wen, Mary</dc:creator>
  <cp:lastModifiedBy>太极箫客</cp:lastModifiedBy>
  <dcterms:modified xsi:type="dcterms:W3CDTF">2025-08-14T06:45:13Z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2020-05-26T00:00:00Z</vt:filetime>
  </property>
  <property fmtid="{D5CDD505-2E9C-101B-9397-08002B2CF9AE}" pid="3" name="Creator">
    <vt:lpwstr>Acrobat PDFMaker 17 for Word</vt:lpwstr>
  </property>
  <property fmtid="{D5CDD505-2E9C-101B-9397-08002B2CF9AE}" pid="4" name="LastSaved">
    <vt:filetime>2021-11-10T00:00:00Z</vt:filetime>
  </property>
  <property fmtid="{D5CDD505-2E9C-101B-9397-08002B2CF9AE}" pid="5" name="MSIP_Label_ff6dbec8-95a8-4638-9f5f-bd076536645c_Enabled">
    <vt:lpwstr>true</vt:lpwstr>
  </property>
  <property fmtid="{D5CDD505-2E9C-101B-9397-08002B2CF9AE}" pid="6" name="MSIP_Label_ff6dbec8-95a8-4638-9f5f-bd076536645c_SetDate">
    <vt:lpwstr>2022-03-04T10:20:53Z</vt:lpwstr>
  </property>
  <property fmtid="{D5CDD505-2E9C-101B-9397-08002B2CF9AE}" pid="7" name="MSIP_Label_ff6dbec8-95a8-4638-9f5f-bd076536645c_Method">
    <vt:lpwstr>Standard</vt:lpwstr>
  </property>
  <property fmtid="{D5CDD505-2E9C-101B-9397-08002B2CF9AE}" pid="8" name="MSIP_Label_ff6dbec8-95a8-4638-9f5f-bd076536645c_Name">
    <vt:lpwstr>Restricted - Default</vt:lpwstr>
  </property>
  <property fmtid="{D5CDD505-2E9C-101B-9397-08002B2CF9AE}" pid="9" name="MSIP_Label_ff6dbec8-95a8-4638-9f5f-bd076536645c_SiteId">
    <vt:lpwstr>5dbf1add-202a-4b8d-815b-bf0fb024e033</vt:lpwstr>
  </property>
  <property fmtid="{D5CDD505-2E9C-101B-9397-08002B2CF9AE}" pid="10" name="MSIP_Label_ff6dbec8-95a8-4638-9f5f-bd076536645c_ActionId">
    <vt:lpwstr>402ed7f5-5e75-4125-b8f3-7a3f7cbbfcf5</vt:lpwstr>
  </property>
  <property fmtid="{D5CDD505-2E9C-101B-9397-08002B2CF9AE}" pid="11" name="MSIP_Label_ff6dbec8-95a8-4638-9f5f-bd076536645c_ContentBits">
    <vt:lpwstr>0</vt:lpwstr>
  </property>
  <property fmtid="{D5CDD505-2E9C-101B-9397-08002B2CF9AE}" pid="12" name="KSOTemplateDocerSaveRecord">
    <vt:lpwstr>eyJoZGlkIjoiMDJiMzI3ODBiNTFmMWRjNDUyMjM1ZmZjODY5NDc2MWMiLCJ1c2VySWQiOiI0NTQ4Nzg1NzAifQ==</vt:lpwstr>
  </property>
  <property fmtid="{D5CDD505-2E9C-101B-9397-08002B2CF9AE}" pid="13" name="KSOProductBuildVer">
    <vt:lpwstr>2052-12.1.0.21915</vt:lpwstr>
  </property>
  <property fmtid="{D5CDD505-2E9C-101B-9397-08002B2CF9AE}" pid="14" name="ICV">
    <vt:lpwstr>6E64616EA432424FAEECC07A71FDF526_12</vt:lpwstr>
  </property>
</Properties>
</file>