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F0C9B">
      <w:pPr>
        <w:pStyle w:val="3"/>
        <w:pBdr>
          <w:top w:val="single" w:color="auto" w:sz="12" w:space="1"/>
        </w:pBdr>
        <w:adjustRightInd w:val="0"/>
        <w:snapToGrid w:val="0"/>
        <w:spacing w:before="120" w:beforeLines="50" w:line="300" w:lineRule="auto"/>
        <w:jc w:val="center"/>
        <w:rPr>
          <w:sz w:val="21"/>
          <w:szCs w:val="21"/>
        </w:rPr>
      </w:pPr>
      <w:bookmarkStart w:id="25" w:name="_GoBack"/>
      <w:bookmarkEnd w:id="25"/>
    </w:p>
    <w:p w14:paraId="07234CDC">
      <w:pPr>
        <w:adjustRightInd w:val="0"/>
        <w:snapToGrid w:val="0"/>
        <w:spacing w:before="120" w:beforeLines="50" w:line="300" w:lineRule="auto"/>
        <w:jc w:val="center"/>
        <w:rPr>
          <w:b/>
          <w:sz w:val="52"/>
          <w:szCs w:val="21"/>
          <w:lang w:eastAsia="zh-CN"/>
        </w:rPr>
      </w:pPr>
      <w:r>
        <w:rPr>
          <w:rFonts w:eastAsia="宋体" w:cs="宋体"/>
          <w:b/>
          <w:sz w:val="52"/>
          <w:lang w:eastAsia="zh-CN"/>
        </w:rPr>
        <w:t>向抗病毒产品部门提交下一代测序数据</w:t>
      </w:r>
    </w:p>
    <w:p w14:paraId="70485063">
      <w:pPr>
        <w:adjustRightInd w:val="0"/>
        <w:snapToGrid w:val="0"/>
        <w:spacing w:before="120" w:beforeLines="50" w:line="300" w:lineRule="auto"/>
        <w:jc w:val="center"/>
        <w:rPr>
          <w:b/>
          <w:sz w:val="48"/>
          <w:szCs w:val="21"/>
        </w:rPr>
      </w:pPr>
      <w:r>
        <w:rPr>
          <w:rFonts w:eastAsia="宋体" w:cs="宋体"/>
          <w:b/>
          <w:sz w:val="48"/>
        </w:rPr>
        <w:t>行业指南</w:t>
      </w:r>
    </w:p>
    <w:p w14:paraId="2140D636">
      <w:pPr>
        <w:adjustRightInd w:val="0"/>
        <w:snapToGrid w:val="0"/>
        <w:spacing w:before="120" w:beforeLines="50" w:line="300" w:lineRule="auto"/>
        <w:jc w:val="center"/>
        <w:rPr>
          <w:sz w:val="44"/>
          <w:szCs w:val="21"/>
        </w:rPr>
      </w:pPr>
      <w:r>
        <w:rPr>
          <w:rFonts w:eastAsia="宋体" w:cs="宋体"/>
          <w:sz w:val="44"/>
        </w:rPr>
        <w:t>技术规范文件</w:t>
      </w:r>
    </w:p>
    <w:p w14:paraId="4F668CFD">
      <w:pPr>
        <w:adjustRightInd w:val="0"/>
        <w:snapToGrid w:val="0"/>
        <w:spacing w:before="1200" w:beforeLines="500" w:after="3600" w:afterLines="1500" w:line="300" w:lineRule="auto"/>
        <w:jc w:val="center"/>
        <w:rPr>
          <w:sz w:val="28"/>
          <w:szCs w:val="28"/>
          <w:lang w:eastAsia="zh-CN"/>
        </w:rPr>
      </w:pPr>
      <w:r>
        <w:rPr>
          <w:rFonts w:eastAsia="宋体" w:cs="宋体"/>
          <w:sz w:val="28"/>
        </w:rPr>
        <w:t>如对本技术规范文件有任何疑问，请发送电子邮件至</w:t>
      </w:r>
      <w:r>
        <w:rPr>
          <w:rFonts w:eastAsia="宋体" w:cs="宋体"/>
          <w:color w:val="0000FF"/>
          <w:sz w:val="28"/>
        </w:rPr>
        <w:t>cder-edata@fda.hhs.gov</w:t>
      </w:r>
      <w:r>
        <w:rPr>
          <w:rFonts w:eastAsia="宋体" w:cs="宋体"/>
          <w:sz w:val="28"/>
        </w:rPr>
        <w:t>联系CDER</w:t>
      </w:r>
    </w:p>
    <w:p w14:paraId="2C3BA8AB">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美国卫生与公众服务部</w:t>
      </w:r>
    </w:p>
    <w:p w14:paraId="07C26B09">
      <w:pPr>
        <w:adjustRightInd w:val="0"/>
        <w:snapToGrid w:val="0"/>
        <w:spacing w:before="120" w:beforeLines="50" w:line="300" w:lineRule="auto"/>
        <w:jc w:val="center"/>
        <w:rPr>
          <w:rFonts w:eastAsiaTheme="minorEastAsia"/>
          <w:b/>
          <w:sz w:val="21"/>
          <w:szCs w:val="21"/>
          <w:lang w:eastAsia="zh-CN"/>
        </w:rPr>
      </w:pPr>
      <w:r>
        <w:rPr>
          <w:rFonts w:eastAsia="宋体" w:cs="宋体"/>
          <w:b/>
          <w:sz w:val="21"/>
          <w:lang w:eastAsia="zh-CN"/>
        </w:rPr>
        <w:t>美国食品药品</w:t>
      </w:r>
      <w:r>
        <w:rPr>
          <w:rFonts w:hint="eastAsia" w:eastAsia="宋体" w:cs="宋体"/>
          <w:b/>
          <w:sz w:val="21"/>
          <w:lang w:eastAsia="zh-CN"/>
        </w:rPr>
        <w:t>监督</w:t>
      </w:r>
      <w:r>
        <w:rPr>
          <w:rFonts w:eastAsia="宋体" w:cs="宋体"/>
          <w:b/>
          <w:sz w:val="21"/>
          <w:lang w:eastAsia="zh-CN"/>
        </w:rPr>
        <w:t>管理局</w:t>
      </w:r>
    </w:p>
    <w:p w14:paraId="4890F39D">
      <w:pPr>
        <w:adjustRightInd w:val="0"/>
        <w:snapToGrid w:val="0"/>
        <w:spacing w:before="120" w:beforeLines="50" w:line="300" w:lineRule="auto"/>
        <w:jc w:val="center"/>
        <w:rPr>
          <w:b/>
          <w:sz w:val="21"/>
          <w:szCs w:val="21"/>
          <w:lang w:eastAsia="zh-CN"/>
        </w:rPr>
      </w:pPr>
      <w:r>
        <w:rPr>
          <w:rFonts w:eastAsia="宋体" w:cs="宋体"/>
          <w:b/>
          <w:sz w:val="21"/>
          <w:lang w:eastAsia="zh-CN"/>
        </w:rPr>
        <w:t>药品评价与研究中心（CDER）</w:t>
      </w:r>
    </w:p>
    <w:p w14:paraId="7BDEA27A">
      <w:pPr>
        <w:adjustRightInd w:val="0"/>
        <w:snapToGrid w:val="0"/>
        <w:spacing w:before="120" w:beforeLines="50" w:line="300" w:lineRule="auto"/>
        <w:jc w:val="center"/>
        <w:rPr>
          <w:rFonts w:eastAsiaTheme="minorEastAsia"/>
          <w:sz w:val="21"/>
          <w:szCs w:val="21"/>
          <w:lang w:eastAsia="zh-CN"/>
        </w:rPr>
      </w:pPr>
      <w:r>
        <w:rPr>
          <w:rFonts w:eastAsia="宋体" w:cs="宋体"/>
          <w:b/>
          <w:sz w:val="21"/>
        </w:rPr>
        <w:t>2019年7月</w:t>
      </w:r>
    </w:p>
    <w:p w14:paraId="270C175C">
      <w:pPr>
        <w:adjustRightInd w:val="0"/>
        <w:snapToGrid w:val="0"/>
        <w:spacing w:before="120" w:beforeLines="50" w:line="300" w:lineRule="auto"/>
        <w:jc w:val="center"/>
        <w:rPr>
          <w:b/>
          <w:sz w:val="21"/>
          <w:szCs w:val="21"/>
        </w:rPr>
      </w:pPr>
      <w:r>
        <w:rPr>
          <w:rFonts w:eastAsia="宋体" w:cs="宋体"/>
          <w:b/>
          <w:sz w:val="21"/>
        </w:rPr>
        <w:t>技术规范</w:t>
      </w:r>
    </w:p>
    <w:p w14:paraId="15E8F3C6">
      <w:pPr>
        <w:pBdr>
          <w:bottom w:val="single" w:color="auto" w:sz="12" w:space="1"/>
        </w:pBdr>
        <w:adjustRightInd w:val="0"/>
        <w:snapToGrid w:val="0"/>
        <w:spacing w:before="120" w:beforeLines="50" w:line="300" w:lineRule="auto"/>
        <w:jc w:val="center"/>
        <w:rPr>
          <w:rFonts w:eastAsiaTheme="minorEastAsia"/>
          <w:sz w:val="21"/>
          <w:szCs w:val="21"/>
          <w:lang w:eastAsia="zh-CN"/>
        </w:rPr>
      </w:pPr>
    </w:p>
    <w:p w14:paraId="24DCB41F">
      <w:pPr>
        <w:adjustRightInd w:val="0"/>
        <w:snapToGrid w:val="0"/>
        <w:spacing w:before="120" w:beforeLines="50" w:line="300" w:lineRule="auto"/>
        <w:jc w:val="both"/>
        <w:rPr>
          <w:sz w:val="21"/>
          <w:szCs w:val="21"/>
        </w:rPr>
      </w:pPr>
      <w:r>
        <w:rPr>
          <w:rFonts w:eastAsia="宋体" w:cs="宋体"/>
          <w:sz w:val="21"/>
        </w:rPr>
        <w:br w:type="page"/>
      </w:r>
    </w:p>
    <w:p w14:paraId="41F6BDC9">
      <w:pPr>
        <w:adjustRightInd w:val="0"/>
        <w:snapToGrid w:val="0"/>
        <w:spacing w:before="1200" w:beforeLines="500" w:line="300" w:lineRule="auto"/>
        <w:rPr>
          <w:b/>
          <w:sz w:val="24"/>
          <w:szCs w:val="28"/>
        </w:rPr>
      </w:pPr>
      <w:r>
        <w:rPr>
          <w:rFonts w:eastAsia="宋体" w:cs="宋体"/>
          <w:b/>
          <w:sz w:val="24"/>
        </w:rPr>
        <w:t>修订历史</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85" w:type="dxa"/>
          <w:bottom w:w="0" w:type="dxa"/>
          <w:right w:w="85" w:type="dxa"/>
        </w:tblCellMar>
      </w:tblPr>
      <w:tblGrid>
        <w:gridCol w:w="1928"/>
        <w:gridCol w:w="1796"/>
        <w:gridCol w:w="5517"/>
      </w:tblGrid>
      <w:tr w14:paraId="4BA03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1043" w:type="pct"/>
            <w:vAlign w:val="center"/>
          </w:tcPr>
          <w:p w14:paraId="31DBAE86">
            <w:pPr>
              <w:pStyle w:val="16"/>
              <w:adjustRightInd w:val="0"/>
              <w:snapToGrid w:val="0"/>
              <w:spacing w:before="36" w:beforeLines="15" w:line="276" w:lineRule="auto"/>
              <w:ind w:left="0"/>
              <w:rPr>
                <w:b/>
                <w:sz w:val="18"/>
                <w:szCs w:val="21"/>
              </w:rPr>
            </w:pPr>
            <w:r>
              <w:rPr>
                <w:rFonts w:eastAsia="宋体" w:cs="宋体"/>
                <w:b/>
                <w:sz w:val="18"/>
              </w:rPr>
              <w:t>时间</w:t>
            </w:r>
          </w:p>
        </w:tc>
        <w:tc>
          <w:tcPr>
            <w:tcW w:w="972" w:type="pct"/>
            <w:vAlign w:val="center"/>
          </w:tcPr>
          <w:p w14:paraId="53C310BD">
            <w:pPr>
              <w:pStyle w:val="16"/>
              <w:adjustRightInd w:val="0"/>
              <w:snapToGrid w:val="0"/>
              <w:spacing w:before="36" w:beforeLines="15" w:line="276" w:lineRule="auto"/>
              <w:ind w:left="0"/>
              <w:rPr>
                <w:b/>
                <w:sz w:val="18"/>
                <w:szCs w:val="21"/>
              </w:rPr>
            </w:pPr>
            <w:r>
              <w:rPr>
                <w:rFonts w:eastAsia="宋体" w:cs="宋体"/>
                <w:b/>
                <w:sz w:val="18"/>
              </w:rPr>
              <w:t>版本</w:t>
            </w:r>
          </w:p>
        </w:tc>
        <w:tc>
          <w:tcPr>
            <w:tcW w:w="2986" w:type="pct"/>
            <w:vAlign w:val="center"/>
          </w:tcPr>
          <w:p w14:paraId="7D65F620">
            <w:pPr>
              <w:pStyle w:val="16"/>
              <w:adjustRightInd w:val="0"/>
              <w:snapToGrid w:val="0"/>
              <w:spacing w:before="36" w:beforeLines="15" w:line="276" w:lineRule="auto"/>
              <w:ind w:left="0"/>
              <w:rPr>
                <w:b/>
                <w:sz w:val="18"/>
                <w:szCs w:val="21"/>
              </w:rPr>
            </w:pPr>
            <w:r>
              <w:rPr>
                <w:rFonts w:eastAsia="宋体" w:cs="宋体"/>
                <w:b/>
                <w:sz w:val="18"/>
              </w:rPr>
              <w:t>修订版本汇总</w:t>
            </w:r>
          </w:p>
        </w:tc>
      </w:tr>
      <w:tr w14:paraId="728C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1043" w:type="pct"/>
            <w:vAlign w:val="center"/>
          </w:tcPr>
          <w:p w14:paraId="5C7124BE">
            <w:pPr>
              <w:pStyle w:val="16"/>
              <w:adjustRightInd w:val="0"/>
              <w:snapToGrid w:val="0"/>
              <w:spacing w:before="36" w:beforeLines="15" w:line="276" w:lineRule="auto"/>
              <w:ind w:left="0"/>
              <w:rPr>
                <w:sz w:val="18"/>
                <w:szCs w:val="21"/>
              </w:rPr>
            </w:pPr>
            <w:r>
              <w:rPr>
                <w:rFonts w:eastAsia="宋体" w:cs="宋体"/>
                <w:sz w:val="18"/>
              </w:rPr>
              <w:t>2019年7月</w:t>
            </w:r>
          </w:p>
        </w:tc>
        <w:tc>
          <w:tcPr>
            <w:tcW w:w="972" w:type="pct"/>
            <w:vAlign w:val="center"/>
          </w:tcPr>
          <w:p w14:paraId="7B9B68BB">
            <w:pPr>
              <w:pStyle w:val="16"/>
              <w:adjustRightInd w:val="0"/>
              <w:snapToGrid w:val="0"/>
              <w:spacing w:before="36" w:beforeLines="15" w:line="276" w:lineRule="auto"/>
              <w:ind w:left="0"/>
              <w:rPr>
                <w:sz w:val="18"/>
                <w:szCs w:val="21"/>
              </w:rPr>
            </w:pPr>
            <w:r>
              <w:rPr>
                <w:sz w:val="18"/>
                <w:szCs w:val="21"/>
              </w:rPr>
              <w:t>1.0</w:t>
            </w:r>
          </w:p>
        </w:tc>
        <w:tc>
          <w:tcPr>
            <w:tcW w:w="2986" w:type="pct"/>
            <w:vAlign w:val="center"/>
          </w:tcPr>
          <w:p w14:paraId="140DDABA">
            <w:pPr>
              <w:pStyle w:val="16"/>
              <w:adjustRightInd w:val="0"/>
              <w:snapToGrid w:val="0"/>
              <w:spacing w:before="36" w:beforeLines="15" w:line="276" w:lineRule="auto"/>
              <w:ind w:left="0"/>
              <w:rPr>
                <w:sz w:val="18"/>
                <w:szCs w:val="21"/>
              </w:rPr>
            </w:pPr>
            <w:r>
              <w:rPr>
                <w:rFonts w:eastAsia="宋体" w:cs="宋体"/>
                <w:sz w:val="18"/>
              </w:rPr>
              <w:t>初始版本</w:t>
            </w:r>
          </w:p>
        </w:tc>
      </w:tr>
      <w:tr w14:paraId="7699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1043" w:type="pct"/>
            <w:vAlign w:val="center"/>
          </w:tcPr>
          <w:p w14:paraId="1F309ADC">
            <w:pPr>
              <w:pStyle w:val="16"/>
              <w:adjustRightInd w:val="0"/>
              <w:snapToGrid w:val="0"/>
              <w:spacing w:before="36" w:beforeLines="15" w:line="276" w:lineRule="auto"/>
              <w:ind w:left="0"/>
              <w:rPr>
                <w:sz w:val="18"/>
                <w:szCs w:val="21"/>
              </w:rPr>
            </w:pPr>
          </w:p>
        </w:tc>
        <w:tc>
          <w:tcPr>
            <w:tcW w:w="972" w:type="pct"/>
            <w:vAlign w:val="center"/>
          </w:tcPr>
          <w:p w14:paraId="26B1A664">
            <w:pPr>
              <w:pStyle w:val="16"/>
              <w:adjustRightInd w:val="0"/>
              <w:snapToGrid w:val="0"/>
              <w:spacing w:before="36" w:beforeLines="15" w:line="276" w:lineRule="auto"/>
              <w:ind w:left="0"/>
              <w:rPr>
                <w:sz w:val="18"/>
                <w:szCs w:val="21"/>
              </w:rPr>
            </w:pPr>
          </w:p>
        </w:tc>
        <w:tc>
          <w:tcPr>
            <w:tcW w:w="2986" w:type="pct"/>
            <w:vAlign w:val="center"/>
          </w:tcPr>
          <w:p w14:paraId="08491436">
            <w:pPr>
              <w:pStyle w:val="16"/>
              <w:adjustRightInd w:val="0"/>
              <w:snapToGrid w:val="0"/>
              <w:spacing w:before="36" w:beforeLines="15" w:line="276" w:lineRule="auto"/>
              <w:ind w:left="0"/>
              <w:rPr>
                <w:sz w:val="18"/>
                <w:szCs w:val="21"/>
              </w:rPr>
            </w:pPr>
          </w:p>
        </w:tc>
      </w:tr>
      <w:tr w14:paraId="02C6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1043" w:type="pct"/>
            <w:vAlign w:val="center"/>
          </w:tcPr>
          <w:p w14:paraId="697496EC">
            <w:pPr>
              <w:pStyle w:val="16"/>
              <w:adjustRightInd w:val="0"/>
              <w:snapToGrid w:val="0"/>
              <w:spacing w:before="36" w:beforeLines="15" w:line="276" w:lineRule="auto"/>
              <w:ind w:left="0"/>
              <w:rPr>
                <w:sz w:val="18"/>
                <w:szCs w:val="21"/>
              </w:rPr>
            </w:pPr>
          </w:p>
        </w:tc>
        <w:tc>
          <w:tcPr>
            <w:tcW w:w="972" w:type="pct"/>
            <w:vAlign w:val="center"/>
          </w:tcPr>
          <w:p w14:paraId="38CECD40">
            <w:pPr>
              <w:pStyle w:val="16"/>
              <w:adjustRightInd w:val="0"/>
              <w:snapToGrid w:val="0"/>
              <w:spacing w:before="36" w:beforeLines="15" w:line="276" w:lineRule="auto"/>
              <w:ind w:left="0"/>
              <w:rPr>
                <w:sz w:val="18"/>
                <w:szCs w:val="21"/>
              </w:rPr>
            </w:pPr>
          </w:p>
        </w:tc>
        <w:tc>
          <w:tcPr>
            <w:tcW w:w="2986" w:type="pct"/>
            <w:vAlign w:val="center"/>
          </w:tcPr>
          <w:p w14:paraId="70A4F134">
            <w:pPr>
              <w:pStyle w:val="16"/>
              <w:adjustRightInd w:val="0"/>
              <w:snapToGrid w:val="0"/>
              <w:spacing w:before="36" w:beforeLines="15" w:line="276" w:lineRule="auto"/>
              <w:ind w:left="0"/>
              <w:rPr>
                <w:sz w:val="18"/>
                <w:szCs w:val="21"/>
              </w:rPr>
            </w:pPr>
          </w:p>
        </w:tc>
      </w:tr>
      <w:tr w14:paraId="1945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20" w:hRule="atLeast"/>
        </w:trPr>
        <w:tc>
          <w:tcPr>
            <w:tcW w:w="1043" w:type="pct"/>
            <w:vAlign w:val="center"/>
          </w:tcPr>
          <w:p w14:paraId="0E6D9FA0">
            <w:pPr>
              <w:pStyle w:val="16"/>
              <w:adjustRightInd w:val="0"/>
              <w:snapToGrid w:val="0"/>
              <w:spacing w:before="36" w:beforeLines="15" w:line="276" w:lineRule="auto"/>
              <w:ind w:left="0"/>
              <w:rPr>
                <w:sz w:val="18"/>
                <w:szCs w:val="21"/>
              </w:rPr>
            </w:pPr>
          </w:p>
        </w:tc>
        <w:tc>
          <w:tcPr>
            <w:tcW w:w="972" w:type="pct"/>
            <w:vAlign w:val="center"/>
          </w:tcPr>
          <w:p w14:paraId="1E916930">
            <w:pPr>
              <w:pStyle w:val="16"/>
              <w:adjustRightInd w:val="0"/>
              <w:snapToGrid w:val="0"/>
              <w:spacing w:before="36" w:beforeLines="15" w:line="276" w:lineRule="auto"/>
              <w:ind w:left="0"/>
              <w:rPr>
                <w:sz w:val="18"/>
                <w:szCs w:val="21"/>
              </w:rPr>
            </w:pPr>
          </w:p>
        </w:tc>
        <w:tc>
          <w:tcPr>
            <w:tcW w:w="2986" w:type="pct"/>
            <w:vAlign w:val="center"/>
          </w:tcPr>
          <w:p w14:paraId="4B7D196C">
            <w:pPr>
              <w:pStyle w:val="16"/>
              <w:adjustRightInd w:val="0"/>
              <w:snapToGrid w:val="0"/>
              <w:spacing w:before="36" w:beforeLines="15" w:line="276" w:lineRule="auto"/>
              <w:ind w:left="0"/>
              <w:rPr>
                <w:sz w:val="18"/>
                <w:szCs w:val="21"/>
              </w:rPr>
            </w:pPr>
          </w:p>
        </w:tc>
      </w:tr>
    </w:tbl>
    <w:p w14:paraId="0DD8B6F9">
      <w:pPr>
        <w:adjustRightInd w:val="0"/>
        <w:snapToGrid w:val="0"/>
        <w:spacing w:before="120" w:beforeLines="50" w:line="300" w:lineRule="auto"/>
        <w:jc w:val="both"/>
        <w:rPr>
          <w:rFonts w:eastAsiaTheme="minorEastAsia"/>
          <w:sz w:val="21"/>
          <w:szCs w:val="21"/>
          <w:lang w:eastAsia="zh-CN"/>
        </w:rPr>
      </w:pPr>
    </w:p>
    <w:p w14:paraId="4DF01724">
      <w:pPr>
        <w:adjustRightInd w:val="0"/>
        <w:snapToGrid w:val="0"/>
        <w:spacing w:before="120" w:beforeLines="50" w:line="300" w:lineRule="auto"/>
        <w:jc w:val="both"/>
        <w:rPr>
          <w:sz w:val="21"/>
          <w:szCs w:val="21"/>
        </w:rPr>
        <w:sectPr>
          <w:pgSz w:w="11907" w:h="16840"/>
          <w:pgMar w:top="1418" w:right="1418" w:bottom="1418" w:left="1418" w:header="720" w:footer="720" w:gutter="0"/>
          <w:cols w:space="720" w:num="1"/>
        </w:sectPr>
      </w:pPr>
    </w:p>
    <w:p w14:paraId="0EB4B21F">
      <w:pPr>
        <w:adjustRightInd w:val="0"/>
        <w:snapToGrid w:val="0"/>
        <w:spacing w:before="120" w:beforeLines="50" w:line="300" w:lineRule="auto"/>
        <w:jc w:val="center"/>
        <w:rPr>
          <w:b/>
          <w:sz w:val="28"/>
          <w:szCs w:val="21"/>
        </w:rPr>
      </w:pPr>
      <w:r>
        <w:rPr>
          <w:rFonts w:eastAsia="宋体" w:cs="宋体"/>
          <w:b/>
          <w:sz w:val="28"/>
        </w:rPr>
        <w:t>目录</w:t>
      </w:r>
    </w:p>
    <w:p w14:paraId="45221445">
      <w:pPr>
        <w:pStyle w:val="9"/>
        <w:tabs>
          <w:tab w:val="right" w:leader="dot" w:pos="9061"/>
        </w:tabs>
        <w:ind w:left="420" w:hanging="420" w:hangingChars="200"/>
        <w:rPr>
          <w:rFonts w:asciiTheme="minorHAnsi" w:hAnsiTheme="minorHAnsi" w:eastAsiaTheme="minorEastAsia" w:cstheme="minorBidi"/>
          <w:kern w:val="2"/>
          <w:sz w:val="21"/>
          <w:szCs w:val="22"/>
          <w:lang w:eastAsia="zh-CN" w:bidi="ar-SA"/>
        </w:rPr>
      </w:pPr>
      <w:r>
        <w:rPr>
          <w:rFonts w:eastAsiaTheme="minorEastAsia"/>
          <w:sz w:val="21"/>
          <w:szCs w:val="21"/>
          <w:lang w:eastAsia="zh-CN"/>
        </w:rPr>
        <w:fldChar w:fldCharType="begin"/>
      </w:r>
      <w:r>
        <w:rPr>
          <w:rFonts w:eastAsiaTheme="minorEastAsia"/>
          <w:sz w:val="21"/>
          <w:szCs w:val="21"/>
          <w:lang w:eastAsia="zh-CN"/>
        </w:rPr>
        <w:instrText xml:space="preserve"> </w:instrText>
      </w:r>
      <w:r>
        <w:rPr>
          <w:rFonts w:hint="eastAsia" w:eastAsiaTheme="minorEastAsia"/>
          <w:sz w:val="21"/>
          <w:szCs w:val="21"/>
          <w:lang w:eastAsia="zh-CN"/>
        </w:rPr>
        <w:instrText xml:space="preserve">TOC \o "1-3" \h \z \u</w:instrText>
      </w:r>
      <w:r>
        <w:rPr>
          <w:rFonts w:eastAsiaTheme="minorEastAsia"/>
          <w:sz w:val="21"/>
          <w:szCs w:val="21"/>
          <w:lang w:eastAsia="zh-CN"/>
        </w:rPr>
        <w:instrText xml:space="preserve"> </w:instrText>
      </w:r>
      <w:r>
        <w:rPr>
          <w:rFonts w:eastAsiaTheme="minorEastAsia"/>
          <w:sz w:val="21"/>
          <w:szCs w:val="21"/>
          <w:lang w:eastAsia="zh-CN"/>
        </w:rPr>
        <w:fldChar w:fldCharType="separate"/>
      </w:r>
      <w:r>
        <w:fldChar w:fldCharType="begin"/>
      </w:r>
      <w:r>
        <w:instrText xml:space="preserve"> HYPERLINK \l "_Toc91865457" </w:instrText>
      </w:r>
      <w:r>
        <w:fldChar w:fldCharType="separate"/>
      </w:r>
      <w:r>
        <w:rPr>
          <w:rStyle w:val="13"/>
          <w:rFonts w:eastAsia="宋体" w:cs="宋体"/>
          <w:lang w:eastAsia="zh-CN"/>
        </w:rPr>
        <w:t>1.0</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引言</w:t>
      </w:r>
      <w:r>
        <w:tab/>
      </w:r>
      <w:r>
        <w:fldChar w:fldCharType="begin"/>
      </w:r>
      <w:r>
        <w:instrText xml:space="preserve"> PAGEREF _Toc91865457 \h </w:instrText>
      </w:r>
      <w:r>
        <w:fldChar w:fldCharType="separate"/>
      </w:r>
      <w:r>
        <w:t>1</w:t>
      </w:r>
      <w:r>
        <w:fldChar w:fldCharType="end"/>
      </w:r>
      <w:r>
        <w:fldChar w:fldCharType="end"/>
      </w:r>
    </w:p>
    <w:p w14:paraId="47708012">
      <w:pPr>
        <w:pStyle w:val="9"/>
        <w:tabs>
          <w:tab w:val="right" w:leader="dot" w:pos="9061"/>
        </w:tabs>
        <w:ind w:left="48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"_Toc91865458" </w:instrText>
      </w:r>
      <w:r>
        <w:fldChar w:fldCharType="separate"/>
      </w:r>
      <w:r>
        <w:rPr>
          <w:rStyle w:val="13"/>
          <w:rFonts w:eastAsia="宋体" w:cs="宋体"/>
          <w:lang w:eastAsia="zh-CN"/>
        </w:rPr>
        <w:t>2.0</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可接受的</w:t>
      </w:r>
      <w:r>
        <w:rPr>
          <w:rStyle w:val="13"/>
          <w:rFonts w:eastAsia="宋体" w:cs="宋体"/>
          <w:lang w:eastAsia="zh-CN"/>
        </w:rPr>
        <w:t>NGS</w:t>
      </w:r>
      <w:r>
        <w:rPr>
          <w:rStyle w:val="13"/>
          <w:rFonts w:hint="eastAsia" w:eastAsia="宋体" w:cs="宋体"/>
          <w:lang w:eastAsia="zh-CN"/>
        </w:rPr>
        <w:t>平台</w:t>
      </w:r>
      <w:r>
        <w:tab/>
      </w:r>
      <w:r>
        <w:fldChar w:fldCharType="begin"/>
      </w:r>
      <w:r>
        <w:instrText xml:space="preserve"> PAGEREF _Toc91865458 \h </w:instrText>
      </w:r>
      <w:r>
        <w:fldChar w:fldCharType="separate"/>
      </w:r>
      <w:r>
        <w:t>2</w:t>
      </w:r>
      <w:r>
        <w:fldChar w:fldCharType="end"/>
      </w:r>
      <w:r>
        <w:fldChar w:fldCharType="end"/>
      </w:r>
    </w:p>
    <w:p w14:paraId="41EE06AF">
      <w:pPr>
        <w:pStyle w:val="9"/>
        <w:tabs>
          <w:tab w:val="right" w:leader="dot" w:pos="9061"/>
        </w:tabs>
        <w:ind w:left="48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"_Toc91865459" </w:instrText>
      </w:r>
      <w:r>
        <w:fldChar w:fldCharType="separate"/>
      </w:r>
      <w:r>
        <w:rPr>
          <w:rStyle w:val="13"/>
          <w:rFonts w:eastAsia="宋体" w:cs="宋体"/>
          <w:lang w:eastAsia="zh-CN"/>
        </w:rPr>
        <w:t>3.0</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提交至该部门的信息概要</w:t>
      </w:r>
      <w:r>
        <w:tab/>
      </w:r>
      <w:r>
        <w:fldChar w:fldCharType="begin"/>
      </w:r>
      <w:r>
        <w:instrText xml:space="preserve"> PAGEREF _Toc91865459 \h </w:instrText>
      </w:r>
      <w:r>
        <w:fldChar w:fldCharType="separate"/>
      </w:r>
      <w:r>
        <w:t>2</w:t>
      </w:r>
      <w:r>
        <w:fldChar w:fldCharType="end"/>
      </w:r>
      <w:r>
        <w:fldChar w:fldCharType="end"/>
      </w:r>
    </w:p>
    <w:p w14:paraId="638340BD">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"_Toc91865460" </w:instrText>
      </w:r>
      <w:r>
        <w:fldChar w:fldCharType="separate"/>
      </w:r>
      <w:r>
        <w:rPr>
          <w:rStyle w:val="13"/>
          <w:rFonts w:eastAsia="宋体" w:cs="宋体"/>
          <w:lang w:eastAsia="zh-CN"/>
        </w:rPr>
        <w:t>3.1</w:t>
      </w:r>
      <w:r>
        <w:rPr>
          <w:rFonts w:asciiTheme="minorHAnsi" w:hAnsiTheme="minorHAnsi" w:eastAsiaTheme="minorEastAsia" w:cstheme="minorBidi"/>
          <w:kern w:val="2"/>
          <w:sz w:val="21"/>
          <w:szCs w:val="22"/>
          <w:lang w:eastAsia="zh-CN" w:bidi="ar-SA"/>
        </w:rPr>
        <w:tab/>
      </w:r>
      <w:r>
        <w:rPr>
          <w:rStyle w:val="13"/>
          <w:rFonts w:eastAsia="宋体" w:cs="宋体"/>
          <w:lang w:eastAsia="zh-CN"/>
        </w:rPr>
        <w:t>NGS</w:t>
      </w:r>
      <w:r>
        <w:rPr>
          <w:rStyle w:val="13"/>
          <w:rFonts w:hint="eastAsia" w:eastAsia="宋体" w:cs="宋体"/>
          <w:lang w:eastAsia="zh-CN"/>
        </w:rPr>
        <w:t>方案和数据分析方法</w:t>
      </w:r>
      <w:r>
        <w:tab/>
      </w:r>
      <w:r>
        <w:fldChar w:fldCharType="begin"/>
      </w:r>
      <w:r>
        <w:instrText xml:space="preserve"> PAGEREF _Toc91865460 \h </w:instrText>
      </w:r>
      <w:r>
        <w:fldChar w:fldCharType="separate"/>
      </w:r>
      <w:r>
        <w:t>2</w:t>
      </w:r>
      <w:r>
        <w:fldChar w:fldCharType="end"/>
      </w:r>
      <w:r>
        <w:fldChar w:fldCharType="end"/>
      </w:r>
    </w:p>
    <w:p w14:paraId="3D577258">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"_Toc91865461" </w:instrText>
      </w:r>
      <w:r>
        <w:fldChar w:fldCharType="separate"/>
      </w:r>
      <w:r>
        <w:rPr>
          <w:rStyle w:val="13"/>
          <w:rFonts w:eastAsia="宋体" w:cs="宋体"/>
          <w:lang w:eastAsia="zh-CN"/>
        </w:rPr>
        <w:t>3.2</w:t>
      </w:r>
      <w:r>
        <w:rPr>
          <w:rFonts w:asciiTheme="minorHAnsi" w:hAnsiTheme="minorHAnsi" w:eastAsiaTheme="minorEastAsia" w:cstheme="minorBidi"/>
          <w:kern w:val="2"/>
          <w:sz w:val="21"/>
          <w:szCs w:val="22"/>
          <w:lang w:eastAsia="zh-CN" w:bidi="ar-SA"/>
        </w:rPr>
        <w:tab/>
      </w:r>
      <w:r>
        <w:rPr>
          <w:rStyle w:val="13"/>
          <w:rFonts w:eastAsia="宋体" w:cs="宋体"/>
          <w:lang w:eastAsia="zh-CN"/>
        </w:rPr>
        <w:t>Fastq</w:t>
      </w:r>
      <w:r>
        <w:rPr>
          <w:rStyle w:val="13"/>
          <w:rFonts w:hint="eastAsia" w:eastAsia="宋体" w:cs="宋体"/>
          <w:lang w:eastAsia="zh-CN"/>
        </w:rPr>
        <w:t>格式的原始</w:t>
      </w:r>
      <w:r>
        <w:rPr>
          <w:rStyle w:val="13"/>
          <w:rFonts w:eastAsia="宋体" w:cs="宋体"/>
          <w:lang w:eastAsia="zh-CN"/>
        </w:rPr>
        <w:t>NGS</w:t>
      </w:r>
      <w:r>
        <w:rPr>
          <w:rStyle w:val="13"/>
          <w:rFonts w:hint="eastAsia" w:eastAsia="宋体" w:cs="宋体"/>
          <w:lang w:eastAsia="zh-CN"/>
        </w:rPr>
        <w:t>数据</w:t>
      </w:r>
      <w:r>
        <w:tab/>
      </w:r>
      <w:r>
        <w:fldChar w:fldCharType="begin"/>
      </w:r>
      <w:r>
        <w:instrText xml:space="preserve"> PAGEREF _Toc91865461 \h </w:instrText>
      </w:r>
      <w:r>
        <w:fldChar w:fldCharType="separate"/>
      </w:r>
      <w:r>
        <w:t>2</w:t>
      </w:r>
      <w:r>
        <w:fldChar w:fldCharType="end"/>
      </w:r>
      <w:r>
        <w:fldChar w:fldCharType="end"/>
      </w:r>
    </w:p>
    <w:p w14:paraId="5ECA7215">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"_Toc91865462" </w:instrText>
      </w:r>
      <w:r>
        <w:fldChar w:fldCharType="separate"/>
      </w:r>
      <w:r>
        <w:rPr>
          <w:rStyle w:val="13"/>
          <w:rFonts w:eastAsia="宋体" w:cs="宋体"/>
          <w:lang w:eastAsia="zh-CN"/>
        </w:rPr>
        <w:t>3.3</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频率表</w:t>
      </w:r>
      <w:r>
        <w:tab/>
      </w:r>
      <w:r>
        <w:fldChar w:fldCharType="begin"/>
      </w:r>
      <w:r>
        <w:instrText xml:space="preserve"> PAGEREF _Toc91865462 \h </w:instrText>
      </w:r>
      <w:r>
        <w:fldChar w:fldCharType="separate"/>
      </w:r>
      <w:r>
        <w:t>2</w:t>
      </w:r>
      <w:r>
        <w:fldChar w:fldCharType="end"/>
      </w:r>
      <w:r>
        <w:fldChar w:fldCharType="end"/>
      </w:r>
    </w:p>
    <w:p w14:paraId="178780D9">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"_Toc91865463" </w:instrText>
      </w:r>
      <w:r>
        <w:fldChar w:fldCharType="separate"/>
      </w:r>
      <w:r>
        <w:rPr>
          <w:rStyle w:val="13"/>
          <w:rFonts w:eastAsia="宋体" w:cs="宋体"/>
          <w:lang w:eastAsia="zh-CN"/>
        </w:rPr>
        <w:t>3.4</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汇总表</w:t>
      </w:r>
      <w:r>
        <w:tab/>
      </w:r>
      <w:r>
        <w:fldChar w:fldCharType="begin"/>
      </w:r>
      <w:r>
        <w:instrText xml:space="preserve"> PAGEREF _Toc91865463 \h </w:instrText>
      </w:r>
      <w:r>
        <w:fldChar w:fldCharType="separate"/>
      </w:r>
      <w:r>
        <w:t>3</w:t>
      </w:r>
      <w:r>
        <w:fldChar w:fldCharType="end"/>
      </w:r>
      <w:r>
        <w:fldChar w:fldCharType="end"/>
      </w:r>
    </w:p>
    <w:p w14:paraId="4466C9EA">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"_Toc91865464" </w:instrText>
      </w:r>
      <w:r>
        <w:fldChar w:fldCharType="separate"/>
      </w:r>
      <w:r>
        <w:rPr>
          <w:rStyle w:val="13"/>
          <w:rFonts w:eastAsia="宋体" w:cs="宋体"/>
          <w:lang w:eastAsia="zh-CN"/>
        </w:rPr>
        <w:t>3.5</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其他分析</w:t>
      </w:r>
      <w:r>
        <w:rPr>
          <w:rStyle w:val="13"/>
          <w:rFonts w:eastAsia="宋体" w:cs="宋体"/>
          <w:lang w:eastAsia="zh-CN"/>
        </w:rPr>
        <w:t xml:space="preserve"> - </w:t>
      </w:r>
      <w:r>
        <w:rPr>
          <w:rStyle w:val="13"/>
          <w:rFonts w:hint="eastAsia" w:eastAsia="宋体" w:cs="宋体"/>
          <w:lang w:eastAsia="zh-CN"/>
        </w:rPr>
        <w:t>就绪数据集（如适用）</w:t>
      </w:r>
      <w:r>
        <w:tab/>
      </w:r>
      <w:r>
        <w:fldChar w:fldCharType="begin"/>
      </w:r>
      <w:r>
        <w:instrText xml:space="preserve"> PAGEREF _Toc91865464 \h </w:instrText>
      </w:r>
      <w:r>
        <w:fldChar w:fldCharType="separate"/>
      </w:r>
      <w:r>
        <w:t>3</w:t>
      </w:r>
      <w:r>
        <w:fldChar w:fldCharType="end"/>
      </w:r>
      <w:r>
        <w:fldChar w:fldCharType="end"/>
      </w:r>
    </w:p>
    <w:p w14:paraId="365D01FB">
      <w:pPr>
        <w:pStyle w:val="9"/>
        <w:tabs>
          <w:tab w:val="right" w:leader="dot" w:pos="9061"/>
        </w:tabs>
        <w:ind w:left="48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"_Toc91865465" </w:instrText>
      </w:r>
      <w:r>
        <w:fldChar w:fldCharType="separate"/>
      </w:r>
      <w:r>
        <w:rPr>
          <w:rStyle w:val="13"/>
          <w:rFonts w:eastAsia="宋体" w:cs="宋体"/>
          <w:lang w:eastAsia="zh-CN"/>
        </w:rPr>
        <w:t>4.0</w:t>
      </w:r>
      <w:r>
        <w:rPr>
          <w:rFonts w:asciiTheme="minorHAnsi" w:hAnsiTheme="minorHAnsi" w:eastAsiaTheme="minorEastAsia" w:cstheme="minorBidi"/>
          <w:kern w:val="2"/>
          <w:sz w:val="21"/>
          <w:szCs w:val="22"/>
          <w:lang w:eastAsia="zh-CN" w:bidi="ar-SA"/>
        </w:rPr>
        <w:tab/>
      </w:r>
      <w:r>
        <w:rPr>
          <w:rStyle w:val="13"/>
          <w:rFonts w:eastAsia="宋体" w:cs="宋体"/>
          <w:lang w:eastAsia="zh-CN"/>
        </w:rPr>
        <w:t>NGS</w:t>
      </w:r>
      <w:r>
        <w:rPr>
          <w:rStyle w:val="13"/>
          <w:rFonts w:hint="eastAsia" w:eastAsia="宋体" w:cs="宋体"/>
          <w:lang w:eastAsia="zh-CN"/>
        </w:rPr>
        <w:t>方案</w:t>
      </w:r>
      <w:r>
        <w:tab/>
      </w:r>
      <w:r>
        <w:fldChar w:fldCharType="begin"/>
      </w:r>
      <w:r>
        <w:instrText xml:space="preserve"> PAGEREF _Toc91865465 \h </w:instrText>
      </w:r>
      <w:r>
        <w:fldChar w:fldCharType="separate"/>
      </w:r>
      <w:r>
        <w:t>3</w:t>
      </w:r>
      <w:r>
        <w:fldChar w:fldCharType="end"/>
      </w:r>
      <w:r>
        <w:fldChar w:fldCharType="end"/>
      </w:r>
    </w:p>
    <w:p w14:paraId="2921CA35">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"_Toc91865466" </w:instrText>
      </w:r>
      <w:r>
        <w:fldChar w:fldCharType="separate"/>
      </w:r>
      <w:r>
        <w:rPr>
          <w:rStyle w:val="13"/>
          <w:rFonts w:eastAsia="宋体" w:cs="宋体"/>
          <w:lang w:eastAsia="zh-CN"/>
        </w:rPr>
        <w:t>4.1</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通用方案设计要素</w:t>
      </w:r>
      <w:r>
        <w:tab/>
      </w:r>
      <w:r>
        <w:fldChar w:fldCharType="begin"/>
      </w:r>
      <w:r>
        <w:instrText xml:space="preserve"> PAGEREF _Toc91865466 \h </w:instrText>
      </w:r>
      <w:r>
        <w:fldChar w:fldCharType="separate"/>
      </w:r>
      <w:r>
        <w:t>3</w:t>
      </w:r>
      <w:r>
        <w:fldChar w:fldCharType="end"/>
      </w:r>
      <w:r>
        <w:fldChar w:fldCharType="end"/>
      </w:r>
    </w:p>
    <w:p w14:paraId="10572CCC">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"_Toc91865467" </w:instrText>
      </w:r>
      <w:r>
        <w:fldChar w:fldCharType="separate"/>
      </w:r>
      <w:r>
        <w:rPr>
          <w:rStyle w:val="13"/>
          <w:rFonts w:eastAsia="宋体" w:cs="宋体"/>
          <w:lang w:eastAsia="zh-CN"/>
        </w:rPr>
        <w:t>4.2</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样品制备</w:t>
      </w:r>
      <w:r>
        <w:tab/>
      </w:r>
      <w:r>
        <w:fldChar w:fldCharType="begin"/>
      </w:r>
      <w:r>
        <w:instrText xml:space="preserve"> PAGEREF _Toc91865467 \h </w:instrText>
      </w:r>
      <w:r>
        <w:fldChar w:fldCharType="separate"/>
      </w:r>
      <w:r>
        <w:t>4</w:t>
      </w:r>
      <w:r>
        <w:fldChar w:fldCharType="end"/>
      </w:r>
      <w:r>
        <w:fldChar w:fldCharType="end"/>
      </w:r>
    </w:p>
    <w:p w14:paraId="7B5E43E8">
      <w:pPr>
        <w:pStyle w:val="9"/>
        <w:tabs>
          <w:tab w:val="right" w:leader="dot" w:pos="9061"/>
        </w:tabs>
        <w:ind w:left="48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"_Toc91865468" </w:instrText>
      </w:r>
      <w:r>
        <w:fldChar w:fldCharType="separate"/>
      </w:r>
      <w:r>
        <w:rPr>
          <w:rStyle w:val="13"/>
          <w:rFonts w:eastAsia="宋体" w:cs="宋体"/>
          <w:lang w:eastAsia="zh-CN"/>
        </w:rPr>
        <w:t>5.0</w:t>
      </w:r>
      <w:r>
        <w:rPr>
          <w:rFonts w:asciiTheme="minorHAnsi" w:hAnsiTheme="minorHAnsi" w:eastAsiaTheme="minorEastAsia" w:cstheme="minorBidi"/>
          <w:kern w:val="2"/>
          <w:sz w:val="21"/>
          <w:szCs w:val="22"/>
          <w:lang w:eastAsia="zh-CN" w:bidi="ar-SA"/>
        </w:rPr>
        <w:tab/>
      </w:r>
      <w:r>
        <w:rPr>
          <w:rStyle w:val="13"/>
          <w:rFonts w:eastAsia="宋体" w:cs="宋体"/>
          <w:lang w:eastAsia="zh-CN"/>
        </w:rPr>
        <w:t>NGS</w:t>
      </w:r>
      <w:r>
        <w:rPr>
          <w:rStyle w:val="13"/>
          <w:rFonts w:hint="eastAsia" w:eastAsia="宋体" w:cs="宋体"/>
          <w:lang w:eastAsia="zh-CN"/>
        </w:rPr>
        <w:t>数据分析方法描述和结果报告</w:t>
      </w:r>
      <w:r>
        <w:tab/>
      </w:r>
      <w:r>
        <w:fldChar w:fldCharType="begin"/>
      </w:r>
      <w:r>
        <w:instrText xml:space="preserve"> PAGEREF _Toc91865468 \h </w:instrText>
      </w:r>
      <w:r>
        <w:fldChar w:fldCharType="separate"/>
      </w:r>
      <w:r>
        <w:t>4</w:t>
      </w:r>
      <w:r>
        <w:fldChar w:fldCharType="end"/>
      </w:r>
      <w:r>
        <w:fldChar w:fldCharType="end"/>
      </w:r>
    </w:p>
    <w:p w14:paraId="6A600527">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"_Toc91865469" </w:instrText>
      </w:r>
      <w:r>
        <w:fldChar w:fldCharType="separate"/>
      </w:r>
      <w:r>
        <w:rPr>
          <w:rStyle w:val="13"/>
          <w:rFonts w:eastAsia="宋体" w:cs="宋体"/>
          <w:lang w:eastAsia="zh-CN"/>
        </w:rPr>
        <w:t>5.1</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每次序列运行的统计汇总数据</w:t>
      </w:r>
      <w:r>
        <w:tab/>
      </w:r>
      <w:r>
        <w:fldChar w:fldCharType="begin"/>
      </w:r>
      <w:r>
        <w:instrText xml:space="preserve"> PAGEREF _Toc91865469 \h </w:instrText>
      </w:r>
      <w:r>
        <w:fldChar w:fldCharType="separate"/>
      </w:r>
      <w:r>
        <w:t>4</w:t>
      </w:r>
      <w:r>
        <w:fldChar w:fldCharType="end"/>
      </w:r>
      <w:r>
        <w:fldChar w:fldCharType="end"/>
      </w:r>
    </w:p>
    <w:p w14:paraId="00B29C56">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"_Toc91865470" </w:instrText>
      </w:r>
      <w:r>
        <w:fldChar w:fldCharType="separate"/>
      </w:r>
      <w:r>
        <w:rPr>
          <w:rStyle w:val="13"/>
          <w:rFonts w:eastAsia="宋体" w:cs="宋体"/>
          <w:lang w:eastAsia="zh-CN"/>
        </w:rPr>
        <w:t>5.2</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对序列条形码处理方式的描述</w:t>
      </w:r>
      <w:r>
        <w:tab/>
      </w:r>
      <w:r>
        <w:fldChar w:fldCharType="begin"/>
      </w:r>
      <w:r>
        <w:instrText xml:space="preserve"> PAGEREF _Toc91865470 \h </w:instrText>
      </w:r>
      <w:r>
        <w:fldChar w:fldCharType="separate"/>
      </w:r>
      <w:r>
        <w:t>5</w:t>
      </w:r>
      <w:r>
        <w:fldChar w:fldCharType="end"/>
      </w:r>
      <w:r>
        <w:fldChar w:fldCharType="end"/>
      </w:r>
    </w:p>
    <w:p w14:paraId="5F2449AF">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"_Toc91865471" </w:instrText>
      </w:r>
      <w:r>
        <w:fldChar w:fldCharType="separate"/>
      </w:r>
      <w:r>
        <w:rPr>
          <w:rStyle w:val="13"/>
          <w:rFonts w:eastAsia="宋体" w:cs="宋体"/>
          <w:lang w:eastAsia="zh-CN"/>
        </w:rPr>
        <w:t>5.3</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重叠群和映射报告</w:t>
      </w:r>
      <w:r>
        <w:tab/>
      </w:r>
      <w:r>
        <w:fldChar w:fldCharType="begin"/>
      </w:r>
      <w:r>
        <w:instrText xml:space="preserve"> PAGEREF _Toc91865471 \h </w:instrText>
      </w:r>
      <w:r>
        <w:fldChar w:fldCharType="separate"/>
      </w:r>
      <w:r>
        <w:t>5</w:t>
      </w:r>
      <w:r>
        <w:fldChar w:fldCharType="end"/>
      </w:r>
      <w:r>
        <w:fldChar w:fldCharType="end"/>
      </w:r>
    </w:p>
    <w:p w14:paraId="0E2BB27E">
      <w:pPr>
        <w:pStyle w:val="4"/>
        <w:tabs>
          <w:tab w:val="right" w:leader="dot" w:pos="9061"/>
        </w:tabs>
        <w:spacing w:before="99"/>
        <w:ind w:left="1600" w:leftChars="400" w:hanging="720" w:hangingChars="300"/>
        <w:rPr>
          <w:rFonts w:asciiTheme="minorHAnsi" w:hAnsiTheme="minorHAnsi" w:eastAsiaTheme="minorEastAsia" w:cstheme="minorBidi"/>
          <w:kern w:val="2"/>
          <w:sz w:val="21"/>
          <w:szCs w:val="22"/>
          <w:lang w:eastAsia="zh-CN" w:bidi="ar-SA"/>
        </w:rPr>
      </w:pPr>
      <w:r>
        <w:fldChar w:fldCharType="begin"/>
      </w:r>
      <w:r>
        <w:instrText xml:space="preserve"> HYPERLINK \l "_Toc91865472" </w:instrText>
      </w:r>
      <w:r>
        <w:fldChar w:fldCharType="separate"/>
      </w:r>
      <w:r>
        <w:rPr>
          <w:rStyle w:val="13"/>
          <w:rFonts w:eastAsia="宋体" w:cs="宋体"/>
          <w:lang w:eastAsia="zh-CN"/>
        </w:rPr>
        <w:t>5.3.1</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序列读段映射到参考序列和变异检测</w:t>
      </w:r>
      <w:r>
        <w:tab/>
      </w:r>
      <w:r>
        <w:fldChar w:fldCharType="begin"/>
      </w:r>
      <w:r>
        <w:instrText xml:space="preserve"> PAGEREF _Toc91865472 \h </w:instrText>
      </w:r>
      <w:r>
        <w:fldChar w:fldCharType="separate"/>
      </w:r>
      <w:r>
        <w:t>5</w:t>
      </w:r>
      <w:r>
        <w:fldChar w:fldCharType="end"/>
      </w:r>
      <w:r>
        <w:fldChar w:fldCharType="end"/>
      </w:r>
    </w:p>
    <w:p w14:paraId="3D6B4AA4">
      <w:pPr>
        <w:pStyle w:val="4"/>
        <w:tabs>
          <w:tab w:val="right" w:leader="dot" w:pos="9061"/>
        </w:tabs>
        <w:spacing w:before="99"/>
        <w:ind w:left="1600" w:leftChars="400" w:hanging="720" w:hangingChars="300"/>
        <w:rPr>
          <w:rFonts w:asciiTheme="minorHAnsi" w:hAnsiTheme="minorHAnsi" w:eastAsiaTheme="minorEastAsia" w:cstheme="minorBidi"/>
          <w:kern w:val="2"/>
          <w:sz w:val="21"/>
          <w:szCs w:val="22"/>
          <w:lang w:eastAsia="zh-CN" w:bidi="ar-SA"/>
        </w:rPr>
      </w:pPr>
      <w:r>
        <w:fldChar w:fldCharType="begin"/>
      </w:r>
      <w:r>
        <w:instrText xml:space="preserve"> HYPERLINK \l "_Toc91865473" </w:instrText>
      </w:r>
      <w:r>
        <w:fldChar w:fldCharType="separate"/>
      </w:r>
      <w:r>
        <w:rPr>
          <w:rStyle w:val="13"/>
          <w:rFonts w:eastAsia="宋体" w:cs="宋体"/>
          <w:lang w:eastAsia="zh-CN"/>
        </w:rPr>
        <w:t>5.3.2</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报告读段映射和变异检测的结果</w:t>
      </w:r>
      <w:r>
        <w:tab/>
      </w:r>
      <w:r>
        <w:fldChar w:fldCharType="begin"/>
      </w:r>
      <w:r>
        <w:instrText xml:space="preserve"> PAGEREF _Toc91865473 \h </w:instrText>
      </w:r>
      <w:r>
        <w:fldChar w:fldCharType="separate"/>
      </w:r>
      <w:r>
        <w:t>5</w:t>
      </w:r>
      <w:r>
        <w:fldChar w:fldCharType="end"/>
      </w:r>
      <w:r>
        <w:fldChar w:fldCharType="end"/>
      </w:r>
    </w:p>
    <w:p w14:paraId="581B3843">
      <w:pPr>
        <w:pStyle w:val="4"/>
        <w:tabs>
          <w:tab w:val="right" w:leader="dot" w:pos="9061"/>
        </w:tabs>
        <w:spacing w:before="99"/>
        <w:ind w:left="1600" w:leftChars="400" w:hanging="720" w:hangingChars="300"/>
        <w:rPr>
          <w:rFonts w:asciiTheme="minorHAnsi" w:hAnsiTheme="minorHAnsi" w:eastAsiaTheme="minorEastAsia" w:cstheme="minorBidi"/>
          <w:kern w:val="2"/>
          <w:sz w:val="21"/>
          <w:szCs w:val="22"/>
          <w:lang w:eastAsia="zh-CN" w:bidi="ar-SA"/>
        </w:rPr>
      </w:pPr>
      <w:r>
        <w:fldChar w:fldCharType="begin"/>
      </w:r>
      <w:r>
        <w:instrText xml:space="preserve"> HYPERLINK \l "_Toc91865474" </w:instrText>
      </w:r>
      <w:r>
        <w:fldChar w:fldCharType="separate"/>
      </w:r>
      <w:r>
        <w:rPr>
          <w:rStyle w:val="13"/>
          <w:rFonts w:eastAsia="宋体" w:cs="宋体"/>
          <w:lang w:eastAsia="zh-CN"/>
        </w:rPr>
        <w:t>5.3.3</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重叠群的新基因组组装和变异检测（如适用）</w:t>
      </w:r>
      <w:r>
        <w:tab/>
      </w:r>
      <w:r>
        <w:fldChar w:fldCharType="begin"/>
      </w:r>
      <w:r>
        <w:instrText xml:space="preserve"> PAGEREF _Toc91865474 \h </w:instrText>
      </w:r>
      <w:r>
        <w:fldChar w:fldCharType="separate"/>
      </w:r>
      <w:r>
        <w:t>6</w:t>
      </w:r>
      <w:r>
        <w:fldChar w:fldCharType="end"/>
      </w:r>
      <w:r>
        <w:fldChar w:fldCharType="end"/>
      </w:r>
    </w:p>
    <w:p w14:paraId="274A5582">
      <w:pPr>
        <w:pStyle w:val="4"/>
        <w:tabs>
          <w:tab w:val="right" w:leader="dot" w:pos="9061"/>
        </w:tabs>
        <w:spacing w:before="99"/>
        <w:ind w:left="1600" w:leftChars="400" w:hanging="720" w:hangingChars="300"/>
        <w:rPr>
          <w:rFonts w:asciiTheme="minorHAnsi" w:hAnsiTheme="minorHAnsi" w:eastAsiaTheme="minorEastAsia" w:cstheme="minorBidi"/>
          <w:kern w:val="2"/>
          <w:sz w:val="21"/>
          <w:szCs w:val="22"/>
          <w:lang w:eastAsia="zh-CN" w:bidi="ar-SA"/>
        </w:rPr>
      </w:pPr>
      <w:r>
        <w:fldChar w:fldCharType="begin"/>
      </w:r>
      <w:r>
        <w:instrText xml:space="preserve"> HYPERLINK \l "_Toc91865475" </w:instrText>
      </w:r>
      <w:r>
        <w:fldChar w:fldCharType="separate"/>
      </w:r>
      <w:r>
        <w:rPr>
          <w:rStyle w:val="13"/>
          <w:rFonts w:eastAsia="宋体" w:cs="宋体"/>
          <w:lang w:eastAsia="zh-CN"/>
        </w:rPr>
        <w:t>5.3.4</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报告新的基因组组装和变异检测的结果</w:t>
      </w:r>
      <w:r>
        <w:tab/>
      </w:r>
      <w:r>
        <w:fldChar w:fldCharType="begin"/>
      </w:r>
      <w:r>
        <w:instrText xml:space="preserve"> PAGEREF _Toc91865475 \h </w:instrText>
      </w:r>
      <w:r>
        <w:fldChar w:fldCharType="separate"/>
      </w:r>
      <w:r>
        <w:t>6</w:t>
      </w:r>
      <w:r>
        <w:fldChar w:fldCharType="end"/>
      </w:r>
      <w:r>
        <w:fldChar w:fldCharType="end"/>
      </w:r>
    </w:p>
    <w:p w14:paraId="69BF16AB">
      <w:pPr>
        <w:pStyle w:val="9"/>
        <w:tabs>
          <w:tab w:val="right" w:leader="dot" w:pos="9061"/>
        </w:tabs>
        <w:ind w:left="48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"_Toc91865476" </w:instrText>
      </w:r>
      <w:r>
        <w:fldChar w:fldCharType="separate"/>
      </w:r>
      <w:r>
        <w:rPr>
          <w:rStyle w:val="13"/>
          <w:rFonts w:eastAsia="宋体" w:cs="宋体"/>
          <w:lang w:eastAsia="zh-CN"/>
        </w:rPr>
        <w:t>6.0</w:t>
      </w:r>
      <w:r>
        <w:rPr>
          <w:rFonts w:asciiTheme="minorHAnsi" w:hAnsiTheme="minorHAnsi" w:eastAsiaTheme="minorEastAsia" w:cstheme="minorBidi"/>
          <w:kern w:val="2"/>
          <w:sz w:val="21"/>
          <w:szCs w:val="22"/>
          <w:lang w:eastAsia="zh-CN" w:bidi="ar-SA"/>
        </w:rPr>
        <w:tab/>
      </w:r>
      <w:r>
        <w:rPr>
          <w:rStyle w:val="13"/>
          <w:rFonts w:eastAsia="宋体" w:cs="宋体"/>
          <w:lang w:eastAsia="zh-CN"/>
        </w:rPr>
        <w:t>NGS</w:t>
      </w:r>
      <w:r>
        <w:rPr>
          <w:rStyle w:val="13"/>
          <w:rFonts w:hint="eastAsia" w:eastAsia="宋体" w:cs="宋体"/>
          <w:lang w:eastAsia="zh-CN"/>
        </w:rPr>
        <w:t>文件类型和提交程序</w:t>
      </w:r>
      <w:r>
        <w:tab/>
      </w:r>
      <w:r>
        <w:fldChar w:fldCharType="begin"/>
      </w:r>
      <w:r>
        <w:instrText xml:space="preserve"> PAGEREF _Toc91865476 \h </w:instrText>
      </w:r>
      <w:r>
        <w:fldChar w:fldCharType="separate"/>
      </w:r>
      <w:r>
        <w:t>7</w:t>
      </w:r>
      <w:r>
        <w:fldChar w:fldCharType="end"/>
      </w:r>
      <w:r>
        <w:fldChar w:fldCharType="end"/>
      </w:r>
    </w:p>
    <w:p w14:paraId="62D59209">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"_Toc91865477" </w:instrText>
      </w:r>
      <w:r>
        <w:fldChar w:fldCharType="separate"/>
      </w:r>
      <w:r>
        <w:rPr>
          <w:rStyle w:val="13"/>
          <w:rFonts w:eastAsia="宋体" w:cs="宋体"/>
          <w:lang w:eastAsia="zh-CN"/>
        </w:rPr>
        <w:t>6.1</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通过移动硬盘提交的文件</w:t>
      </w:r>
      <w:r>
        <w:tab/>
      </w:r>
      <w:r>
        <w:fldChar w:fldCharType="begin"/>
      </w:r>
      <w:r>
        <w:instrText xml:space="preserve"> PAGEREF _Toc91865477 \h </w:instrText>
      </w:r>
      <w:r>
        <w:fldChar w:fldCharType="separate"/>
      </w:r>
      <w:r>
        <w:t>7</w:t>
      </w:r>
      <w:r>
        <w:fldChar w:fldCharType="end"/>
      </w:r>
      <w:r>
        <w:fldChar w:fldCharType="end"/>
      </w:r>
    </w:p>
    <w:p w14:paraId="36503D09">
      <w:pPr>
        <w:pStyle w:val="4"/>
        <w:tabs>
          <w:tab w:val="right" w:leader="dot" w:pos="9061"/>
        </w:tabs>
        <w:spacing w:before="99"/>
        <w:ind w:left="1600" w:leftChars="400" w:hanging="720" w:hangingChars="300"/>
        <w:rPr>
          <w:rFonts w:asciiTheme="minorHAnsi" w:hAnsiTheme="minorHAnsi" w:eastAsiaTheme="minorEastAsia" w:cstheme="minorBidi"/>
          <w:kern w:val="2"/>
          <w:sz w:val="21"/>
          <w:szCs w:val="22"/>
          <w:lang w:eastAsia="zh-CN" w:bidi="ar-SA"/>
        </w:rPr>
      </w:pPr>
      <w:r>
        <w:fldChar w:fldCharType="begin"/>
      </w:r>
      <w:r>
        <w:instrText xml:space="preserve"> HYPERLINK \l "_Toc91865478" </w:instrText>
      </w:r>
      <w:r>
        <w:fldChar w:fldCharType="separate"/>
      </w:r>
      <w:r>
        <w:rPr>
          <w:rStyle w:val="13"/>
          <w:rFonts w:eastAsia="宋体" w:cs="宋体"/>
          <w:lang w:eastAsia="zh-CN"/>
        </w:rPr>
        <w:t>6.1.1</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移动硬盘中的内容</w:t>
      </w:r>
      <w:r>
        <w:tab/>
      </w:r>
      <w:r>
        <w:fldChar w:fldCharType="begin"/>
      </w:r>
      <w:r>
        <w:instrText xml:space="preserve"> PAGEREF _Toc91865478 \h </w:instrText>
      </w:r>
      <w:r>
        <w:fldChar w:fldCharType="separate"/>
      </w:r>
      <w:r>
        <w:t>7</w:t>
      </w:r>
      <w:r>
        <w:fldChar w:fldCharType="end"/>
      </w:r>
      <w:r>
        <w:fldChar w:fldCharType="end"/>
      </w:r>
    </w:p>
    <w:p w14:paraId="3F424CF9">
      <w:pPr>
        <w:pStyle w:val="4"/>
        <w:tabs>
          <w:tab w:val="right" w:leader="dot" w:pos="9061"/>
        </w:tabs>
        <w:spacing w:before="99"/>
        <w:ind w:left="1600" w:leftChars="400" w:hanging="720" w:hangingChars="300"/>
        <w:rPr>
          <w:rFonts w:asciiTheme="minorHAnsi" w:hAnsiTheme="minorHAnsi" w:eastAsiaTheme="minorEastAsia" w:cstheme="minorBidi"/>
          <w:kern w:val="2"/>
          <w:sz w:val="21"/>
          <w:szCs w:val="22"/>
          <w:lang w:eastAsia="zh-CN" w:bidi="ar-SA"/>
        </w:rPr>
      </w:pPr>
      <w:r>
        <w:fldChar w:fldCharType="begin"/>
      </w:r>
      <w:r>
        <w:instrText xml:space="preserve"> HYPERLINK \l "_Toc91865479" </w:instrText>
      </w:r>
      <w:r>
        <w:fldChar w:fldCharType="separate"/>
      </w:r>
      <w:r>
        <w:rPr>
          <w:rStyle w:val="13"/>
          <w:rFonts w:eastAsia="宋体" w:cs="宋体"/>
          <w:lang w:eastAsia="zh-CN"/>
        </w:rPr>
        <w:t>6.1.2</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标记</w:t>
      </w:r>
      <w:r>
        <w:rPr>
          <w:rStyle w:val="13"/>
          <w:rFonts w:eastAsia="宋体" w:cs="宋体"/>
          <w:lang w:eastAsia="zh-CN"/>
        </w:rPr>
        <w:t>fastq</w:t>
      </w:r>
      <w:r>
        <w:rPr>
          <w:rStyle w:val="13"/>
          <w:rFonts w:hint="eastAsia" w:eastAsia="宋体" w:cs="宋体"/>
          <w:lang w:eastAsia="zh-CN"/>
        </w:rPr>
        <w:t>序列文件</w:t>
      </w:r>
      <w:r>
        <w:tab/>
      </w:r>
      <w:r>
        <w:fldChar w:fldCharType="begin"/>
      </w:r>
      <w:r>
        <w:instrText xml:space="preserve"> PAGEREF _Toc91865479 \h </w:instrText>
      </w:r>
      <w:r>
        <w:fldChar w:fldCharType="separate"/>
      </w:r>
      <w:r>
        <w:t>7</w:t>
      </w:r>
      <w:r>
        <w:fldChar w:fldCharType="end"/>
      </w:r>
      <w:r>
        <w:fldChar w:fldCharType="end"/>
      </w:r>
    </w:p>
    <w:p w14:paraId="6D8FC9F7">
      <w:pPr>
        <w:pStyle w:val="10"/>
        <w:tabs>
          <w:tab w:val="left" w:pos="1119"/>
          <w:tab w:val="right" w:leader="dot" w:pos="9061"/>
        </w:tabs>
        <w:ind w:left="920" w:leftChars="20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"_Toc91865480" </w:instrText>
      </w:r>
      <w:r>
        <w:fldChar w:fldCharType="separate"/>
      </w:r>
      <w:r>
        <w:rPr>
          <w:rStyle w:val="13"/>
          <w:rFonts w:eastAsia="宋体" w:cs="宋体"/>
          <w:lang w:eastAsia="zh-CN"/>
        </w:rPr>
        <w:t>6.2</w:t>
      </w:r>
      <w:r>
        <w:rPr>
          <w:rFonts w:asciiTheme="minorHAnsi" w:hAnsiTheme="minorHAnsi" w:eastAsiaTheme="minorEastAsia" w:cstheme="minorBidi"/>
          <w:kern w:val="2"/>
          <w:sz w:val="21"/>
          <w:szCs w:val="22"/>
          <w:lang w:eastAsia="zh-CN" w:bidi="ar-SA"/>
        </w:rPr>
        <w:tab/>
      </w:r>
      <w:r>
        <w:rPr>
          <w:rStyle w:val="13"/>
          <w:rFonts w:hint="eastAsia" w:eastAsia="宋体" w:cs="宋体"/>
          <w:lang w:eastAsia="zh-CN"/>
        </w:rPr>
        <w:t>通过</w:t>
      </w:r>
      <w:r>
        <w:rPr>
          <w:rStyle w:val="13"/>
          <w:rFonts w:eastAsia="宋体" w:cs="宋体"/>
          <w:lang w:eastAsia="zh-CN"/>
        </w:rPr>
        <w:t>CDER</w:t>
      </w:r>
      <w:r>
        <w:rPr>
          <w:rStyle w:val="13"/>
          <w:rFonts w:hint="eastAsia" w:eastAsia="宋体" w:cs="宋体"/>
          <w:lang w:eastAsia="zh-CN"/>
        </w:rPr>
        <w:t>电子文件网关提交的文件</w:t>
      </w:r>
      <w:r>
        <w:tab/>
      </w:r>
      <w:r>
        <w:fldChar w:fldCharType="begin"/>
      </w:r>
      <w:r>
        <w:instrText xml:space="preserve"> PAGEREF _Toc91865480 \h </w:instrText>
      </w:r>
      <w:r>
        <w:fldChar w:fldCharType="separate"/>
      </w:r>
      <w:r>
        <w:t>8</w:t>
      </w:r>
      <w:r>
        <w:fldChar w:fldCharType="end"/>
      </w:r>
      <w:r>
        <w:fldChar w:fldCharType="end"/>
      </w:r>
    </w:p>
    <w:p w14:paraId="4043FCF2">
      <w:pPr>
        <w:pStyle w:val="9"/>
        <w:tabs>
          <w:tab w:val="right" w:leader="dot" w:pos="9061"/>
        </w:tabs>
        <w:ind w:left="480" w:hanging="480" w:hangingChars="200"/>
        <w:rPr>
          <w:rFonts w:asciiTheme="minorHAnsi" w:hAnsiTheme="minorHAnsi" w:eastAsiaTheme="minorEastAsia" w:cstheme="minorBidi"/>
          <w:kern w:val="2"/>
          <w:sz w:val="21"/>
          <w:szCs w:val="22"/>
          <w:lang w:eastAsia="zh-CN" w:bidi="ar-SA"/>
        </w:rPr>
      </w:pPr>
      <w:r>
        <w:fldChar w:fldCharType="begin"/>
      </w:r>
      <w:r>
        <w:instrText xml:space="preserve"> HYPERLINK \l "_Toc91865481" </w:instrText>
      </w:r>
      <w:r>
        <w:fldChar w:fldCharType="separate"/>
      </w:r>
      <w:r>
        <w:rPr>
          <w:rStyle w:val="13"/>
          <w:rFonts w:eastAsia="宋体" w:cs="宋体"/>
        </w:rPr>
        <w:t>7.0</w:t>
      </w:r>
      <w:r>
        <w:rPr>
          <w:rFonts w:asciiTheme="minorHAnsi" w:hAnsiTheme="minorHAnsi" w:eastAsiaTheme="minorEastAsia" w:cstheme="minorBidi"/>
          <w:kern w:val="2"/>
          <w:sz w:val="21"/>
          <w:szCs w:val="22"/>
          <w:lang w:eastAsia="zh-CN" w:bidi="ar-SA"/>
        </w:rPr>
        <w:tab/>
      </w:r>
      <w:r>
        <w:rPr>
          <w:rStyle w:val="13"/>
          <w:rFonts w:hint="eastAsia" w:eastAsia="宋体" w:cs="宋体"/>
        </w:rPr>
        <w:t>频率表示例</w:t>
      </w:r>
      <w:r>
        <w:tab/>
      </w:r>
      <w:r>
        <w:fldChar w:fldCharType="begin"/>
      </w:r>
      <w:r>
        <w:instrText xml:space="preserve"> PAGEREF _Toc91865481 \h </w:instrText>
      </w:r>
      <w:r>
        <w:fldChar w:fldCharType="separate"/>
      </w:r>
      <w:r>
        <w:t>8</w:t>
      </w:r>
      <w:r>
        <w:fldChar w:fldCharType="end"/>
      </w:r>
      <w:r>
        <w:fldChar w:fldCharType="end"/>
      </w:r>
    </w:p>
    <w:p w14:paraId="0B4B9F44">
      <w:pPr>
        <w:adjustRightInd w:val="0"/>
        <w:snapToGrid w:val="0"/>
        <w:spacing w:before="120" w:beforeLines="50" w:line="300" w:lineRule="auto"/>
        <w:jc w:val="both"/>
        <w:rPr>
          <w:rFonts w:eastAsiaTheme="minorEastAsia"/>
          <w:sz w:val="21"/>
          <w:szCs w:val="21"/>
          <w:lang w:eastAsia="zh-CN"/>
        </w:rPr>
      </w:pPr>
      <w:r>
        <w:rPr>
          <w:rFonts w:eastAsiaTheme="minorEastAsia"/>
          <w:sz w:val="21"/>
          <w:szCs w:val="21"/>
          <w:lang w:eastAsia="zh-CN"/>
        </w:rPr>
        <w:fldChar w:fldCharType="end"/>
      </w:r>
    </w:p>
    <w:p w14:paraId="6F29B4E3">
      <w:pPr>
        <w:adjustRightInd w:val="0"/>
        <w:snapToGrid w:val="0"/>
        <w:spacing w:before="120" w:beforeLines="50" w:line="300" w:lineRule="auto"/>
        <w:jc w:val="both"/>
        <w:rPr>
          <w:sz w:val="21"/>
          <w:szCs w:val="21"/>
        </w:rPr>
        <w:sectPr>
          <w:headerReference r:id="rId3" w:type="default"/>
          <w:footerReference r:id="rId4" w:type="default"/>
          <w:pgSz w:w="11907" w:h="16840"/>
          <w:pgMar w:top="1418" w:right="1418" w:bottom="1418" w:left="1418" w:header="720" w:footer="720" w:gutter="0"/>
          <w:pgNumType w:start="1"/>
          <w:cols w:space="720" w:num="1"/>
        </w:sectPr>
      </w:pPr>
    </w:p>
    <w:p w14:paraId="2E0D69B8">
      <w:pPr>
        <w:adjustRightInd w:val="0"/>
        <w:snapToGrid w:val="0"/>
        <w:spacing w:before="120" w:beforeLines="50" w:line="300" w:lineRule="auto"/>
        <w:jc w:val="center"/>
        <w:rPr>
          <w:b/>
          <w:sz w:val="28"/>
          <w:szCs w:val="21"/>
          <w:lang w:eastAsia="zh-CN"/>
        </w:rPr>
      </w:pPr>
      <w:r>
        <w:rPr>
          <w:rFonts w:eastAsia="宋体" w:cs="宋体"/>
          <w:b/>
          <w:sz w:val="28"/>
          <w:lang w:eastAsia="zh-CN"/>
        </w:rPr>
        <w:t>向抗病毒产品部门提交下一代测序数据</w:t>
      </w:r>
    </w:p>
    <w:p w14:paraId="539D780E">
      <w:pPr>
        <w:adjustRightInd w:val="0"/>
        <w:snapToGrid w:val="0"/>
        <w:spacing w:before="120" w:beforeLines="50" w:line="300" w:lineRule="auto"/>
        <w:jc w:val="center"/>
        <w:rPr>
          <w:sz w:val="28"/>
          <w:szCs w:val="21"/>
          <w:lang w:eastAsia="zh-CN"/>
        </w:rPr>
      </w:pPr>
      <w:r>
        <w:rPr>
          <w:rFonts w:eastAsia="宋体" w:cs="宋体"/>
          <w:sz w:val="28"/>
          <w:lang w:eastAsia="zh-CN"/>
        </w:rPr>
        <w:t>行业指南</w:t>
      </w:r>
      <w:r>
        <w:rPr>
          <w:rFonts w:eastAsia="宋体" w:cs="宋体"/>
          <w:sz w:val="28"/>
          <w:lang w:eastAsia="zh-CN"/>
        </w:rPr>
        <w:br w:type="textWrapping"/>
      </w:r>
      <w:r>
        <w:rPr>
          <w:rFonts w:eastAsia="宋体" w:cs="宋体"/>
          <w:sz w:val="28"/>
          <w:lang w:eastAsia="zh-CN"/>
        </w:rPr>
        <w:t>技术规范文件</w:t>
      </w:r>
      <w:r>
        <w:rPr>
          <w:rFonts w:eastAsia="宋体" w:cs="宋体"/>
          <w:sz w:val="28"/>
          <w:vertAlign w:val="superscript"/>
          <w:lang w:eastAsia="zh-CN"/>
        </w:rPr>
        <w:t>1</w:t>
      </w:r>
    </w:p>
    <w:tbl>
      <w:tblPr>
        <w:tblStyle w:val="14"/>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1B99ABAC">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5B13A479">
            <w:pPr>
              <w:pStyle w:val="3"/>
              <w:adjustRightInd w:val="0"/>
              <w:snapToGrid w:val="0"/>
              <w:spacing w:before="120" w:beforeLines="50" w:line="300" w:lineRule="auto"/>
              <w:jc w:val="both"/>
              <w:rPr>
                <w:b/>
                <w:i/>
                <w:sz w:val="21"/>
                <w:szCs w:val="21"/>
                <w:lang w:eastAsia="zh-CN"/>
              </w:rPr>
            </w:pPr>
            <w:r>
              <w:rPr>
                <w:rFonts w:hint="eastAsia" w:eastAsia="宋体" w:cs="宋体"/>
                <w:bCs/>
                <w:iCs/>
                <w:sz w:val="21"/>
                <w:lang w:eastAsia="zh-CN"/>
              </w:rPr>
              <w:t>本指南代表美国食品药品监督管理局（</w:t>
            </w:r>
            <w:r>
              <w:rPr>
                <w:rFonts w:eastAsia="宋体" w:cs="宋体"/>
                <w:bCs/>
                <w:iCs/>
                <w:sz w:val="21"/>
                <w:lang w:eastAsia="zh-CN"/>
              </w:rPr>
              <w:t>FDA</w:t>
            </w:r>
            <w:r>
              <w:rPr>
                <w:rFonts w:hint="eastAsia" w:eastAsia="宋体" w:cs="宋体"/>
                <w:bCs/>
                <w:iCs/>
                <w:sz w:val="21"/>
                <w:lang w:eastAsia="zh-CN"/>
              </w:rPr>
              <w:t>或本机构）目前关于该主题的思考。其不会为任何人创造或赋予任何权利，也不会对</w:t>
            </w:r>
            <w:r>
              <w:rPr>
                <w:rFonts w:eastAsia="宋体" w:cs="宋体"/>
                <w:bCs/>
                <w:iCs/>
                <w:sz w:val="21"/>
                <w:lang w:eastAsia="zh-CN"/>
              </w:rPr>
              <w:t>FDA</w:t>
            </w:r>
            <w:r>
              <w:rPr>
                <w:rFonts w:hint="eastAsia" w:eastAsia="宋体" w:cs="宋体"/>
                <w:bCs/>
                <w:iCs/>
                <w:sz w:val="21"/>
                <w:lang w:eastAsia="zh-CN"/>
              </w:rPr>
              <w:t>或公众产生约束。如果替代方法满足适用的法律法规的要求，则可以使用该方法。如需讨论替代方法，请联系标题页负责实施本指南文件的</w:t>
            </w:r>
            <w:r>
              <w:rPr>
                <w:rFonts w:eastAsia="宋体" w:cs="宋体"/>
                <w:bCs/>
                <w:iCs/>
                <w:sz w:val="21"/>
                <w:lang w:eastAsia="zh-CN"/>
              </w:rPr>
              <w:t>FDA</w:t>
            </w:r>
            <w:r>
              <w:rPr>
                <w:rFonts w:hint="eastAsia" w:eastAsia="宋体" w:cs="宋体"/>
                <w:bCs/>
                <w:iCs/>
                <w:sz w:val="21"/>
                <w:lang w:eastAsia="zh-CN"/>
              </w:rPr>
              <w:t>工作人员或办公室。</w:t>
            </w:r>
          </w:p>
        </w:tc>
      </w:tr>
    </w:tbl>
    <w:p w14:paraId="715BA6AB">
      <w:pPr>
        <w:pStyle w:val="3"/>
        <w:adjustRightInd w:val="0"/>
        <w:snapToGrid w:val="0"/>
        <w:spacing w:before="120" w:beforeLines="50" w:line="300" w:lineRule="auto"/>
        <w:ind w:left="422" w:hanging="420" w:hangingChars="200"/>
        <w:jc w:val="both"/>
        <w:rPr>
          <w:b/>
          <w:sz w:val="21"/>
          <w:szCs w:val="21"/>
          <w:lang w:eastAsia="zh-CN"/>
        </w:rPr>
      </w:pPr>
    </w:p>
    <w:p w14:paraId="6415EF5F">
      <w:pPr>
        <w:pStyle w:val="3"/>
        <w:adjustRightInd w:val="0"/>
        <w:snapToGrid w:val="0"/>
        <w:spacing w:before="120" w:beforeLines="50" w:line="300" w:lineRule="auto"/>
        <w:ind w:left="482" w:hanging="482" w:hangingChars="200"/>
        <w:jc w:val="both"/>
        <w:outlineLvl w:val="0"/>
        <w:rPr>
          <w:b/>
          <w:szCs w:val="21"/>
          <w:lang w:eastAsia="zh-CN"/>
        </w:rPr>
      </w:pPr>
      <w:bookmarkStart w:id="0" w:name="_Toc91865457"/>
      <w:r>
        <w:rPr>
          <w:rFonts w:eastAsia="宋体" w:cs="宋体"/>
          <w:b/>
          <w:lang w:eastAsia="zh-CN"/>
        </w:rPr>
        <w:t>1.0</w:t>
      </w:r>
      <w:r>
        <w:rPr>
          <w:rFonts w:eastAsia="宋体" w:cs="宋体"/>
          <w:lang w:eastAsia="zh-CN"/>
        </w:rPr>
        <w:tab/>
      </w:r>
      <w:r>
        <w:rPr>
          <w:rFonts w:eastAsia="宋体" w:cs="宋体"/>
          <w:b/>
          <w:lang w:eastAsia="zh-CN"/>
        </w:rPr>
        <w:t>引言</w:t>
      </w:r>
      <w:bookmarkEnd w:id="0"/>
    </w:p>
    <w:p w14:paraId="388CF617">
      <w:pPr>
        <w:pStyle w:val="3"/>
        <w:adjustRightInd w:val="0"/>
        <w:snapToGrid w:val="0"/>
        <w:spacing w:before="120" w:beforeLines="50" w:line="300" w:lineRule="auto"/>
        <w:jc w:val="both"/>
        <w:rPr>
          <w:sz w:val="21"/>
          <w:szCs w:val="21"/>
          <w:lang w:eastAsia="zh-CN"/>
        </w:rPr>
      </w:pPr>
      <w:r>
        <w:rPr>
          <w:rFonts w:eastAsia="宋体" w:cs="宋体"/>
          <w:sz w:val="21"/>
          <w:lang w:eastAsia="zh-CN"/>
        </w:rPr>
        <w:t>本技术规范文件的目的是提供FDA抗病毒产品部门（以下简称为“该部门”）当前对提交下一代核苷酸序列分析程序和数据以支持抗病毒药品开发的耐药性评估的看法。</w:t>
      </w:r>
    </w:p>
    <w:p w14:paraId="12C99D63">
      <w:pPr>
        <w:pStyle w:val="3"/>
        <w:adjustRightInd w:val="0"/>
        <w:snapToGrid w:val="0"/>
        <w:spacing w:before="120" w:beforeLines="50" w:line="300" w:lineRule="auto"/>
        <w:jc w:val="both"/>
        <w:rPr>
          <w:sz w:val="21"/>
          <w:szCs w:val="21"/>
          <w:lang w:eastAsia="zh-CN"/>
        </w:rPr>
      </w:pPr>
      <w:r>
        <w:rPr>
          <w:rFonts w:eastAsia="宋体" w:cs="宋体"/>
          <w:sz w:val="21"/>
          <w:lang w:eastAsia="zh-CN"/>
        </w:rPr>
        <w:t>该部门对与开发的抗病毒药品相关的所有耐药性数据进行了独立分析，旨在确保耐药性的出现在新批准的抗病毒药品的标签中予以详细描述和解释。提供准确的耐药性信息对于保护公众健康至关重要，可防止出现新的耐药和交叉耐药病毒变异体，这些变异体有可能感染他人，并导致无法通过获批的药品予以控制的重大疾病暴发。此外，耐药性信息为负责监督抗病毒药品的使用的医疗服务专业人员提供了重要指导，包含在该部门批准的药品信息中。此外，该部门还可要求提供宿主靶向基因的核苷酸序列分析数据，以进行多态性分析，从而确定基于</w:t>
      </w:r>
      <w:r>
        <w:rPr>
          <w:rFonts w:hint="eastAsia" w:eastAsia="宋体" w:cs="宋体"/>
          <w:sz w:val="21"/>
          <w:lang w:eastAsia="zh-CN"/>
        </w:rPr>
        <w:t>不同</w:t>
      </w:r>
      <w:r>
        <w:rPr>
          <w:rFonts w:eastAsia="宋体" w:cs="宋体"/>
          <w:sz w:val="21"/>
          <w:lang w:eastAsia="zh-CN"/>
        </w:rPr>
        <w:t>群体的等位基因是否对疗效有影响。</w:t>
      </w:r>
    </w:p>
    <w:p w14:paraId="5BA787F3">
      <w:pPr>
        <w:pStyle w:val="3"/>
        <w:adjustRightInd w:val="0"/>
        <w:snapToGrid w:val="0"/>
        <w:spacing w:before="120" w:beforeLines="50" w:line="300" w:lineRule="auto"/>
        <w:jc w:val="both"/>
        <w:rPr>
          <w:sz w:val="21"/>
          <w:szCs w:val="21"/>
          <w:lang w:eastAsia="zh-CN"/>
        </w:rPr>
      </w:pPr>
      <w:r>
        <w:rPr>
          <w:rFonts w:eastAsia="宋体" w:cs="宋体"/>
          <w:sz w:val="21"/>
          <w:lang w:eastAsia="zh-CN"/>
        </w:rPr>
        <w:t>下一代测序（NGS）是一种申请方在进行基于序列的耐药性分析时经常采用的新兴技术。由于该技术可生成临床样品中所有RNA或DNA的核苷酸序列，NGS增加了耐药性分析过程的复杂性。与提供病毒群平均序列的Sanger法测序核苷酸序列分析相比，NGS可提供病毒群中单个病毒的核苷酸序列信息，每个样品通常提供数百万或数十亿个短序列。数据的复杂性对审查员分析和验证序列信息构成挑战，特别是由于目前没有标准化的生物信息学分析方法可用于分析这些大型数据集。</w:t>
      </w:r>
    </w:p>
    <w:p w14:paraId="45175CD4">
      <w:pPr>
        <w:pStyle w:val="3"/>
        <w:adjustRightInd w:val="0"/>
        <w:snapToGrid w:val="0"/>
        <w:spacing w:before="3240" w:beforeLines="1350" w:line="300" w:lineRule="auto"/>
        <w:jc w:val="both"/>
        <w:rPr>
          <w:rFonts w:eastAsiaTheme="minorEastAsia"/>
          <w:sz w:val="21"/>
          <w:szCs w:val="21"/>
          <w:lang w:eastAsia="zh-CN"/>
        </w:rPr>
      </w:pPr>
      <w:r>
        <w:rPr>
          <w:rFonts w:eastAsia="宋体" w:cs="宋体"/>
          <w:sz w:val="21"/>
          <w:lang w:eastAsia="zh-CN"/>
        </w:rPr>
        <w:t>____________________</w:t>
      </w:r>
    </w:p>
    <w:p w14:paraId="2C510BE8">
      <w:pPr>
        <w:adjustRightInd w:val="0"/>
        <w:snapToGrid w:val="0"/>
        <w:spacing w:before="36" w:beforeLines="15" w:line="276" w:lineRule="auto"/>
        <w:jc w:val="both"/>
        <w:rPr>
          <w:sz w:val="21"/>
          <w:szCs w:val="21"/>
          <w:lang w:eastAsia="zh-CN"/>
        </w:rPr>
      </w:pPr>
      <w:r>
        <w:rPr>
          <w:rFonts w:eastAsia="宋体" w:cs="宋体"/>
          <w:sz w:val="18"/>
          <w:vertAlign w:val="superscript"/>
          <w:lang w:eastAsia="zh-CN"/>
        </w:rPr>
        <w:t>1</w:t>
      </w:r>
      <w:r>
        <w:rPr>
          <w:rFonts w:eastAsia="宋体" w:cs="宋体"/>
          <w:sz w:val="18"/>
          <w:lang w:eastAsia="zh-CN"/>
        </w:rPr>
        <w:t xml:space="preserve"> 本技术规范文件由美国食品药品</w:t>
      </w:r>
      <w:r>
        <w:rPr>
          <w:rFonts w:hint="eastAsia" w:eastAsia="宋体" w:cs="宋体"/>
          <w:sz w:val="18"/>
          <w:lang w:eastAsia="zh-CN"/>
        </w:rPr>
        <w:t>监督</w:t>
      </w:r>
      <w:r>
        <w:rPr>
          <w:rFonts w:eastAsia="宋体" w:cs="宋体"/>
          <w:sz w:val="18"/>
          <w:lang w:eastAsia="zh-CN"/>
        </w:rPr>
        <w:t>管理局药品评价与研究中心抗病毒产品部门编制。可随时提交对本指南的意见。将意见提交至编号为FDA-2017-D-6821的备案文件中（可登录以下网址获取：https://www.regulations.gov/docket?D=FDA-2017-D-6821）（参见备案文件中有关提交意见的说明）。</w:t>
      </w:r>
      <w:r>
        <w:rPr>
          <w:rFonts w:eastAsia="宋体" w:cs="宋体"/>
          <w:sz w:val="18"/>
          <w:lang w:eastAsia="zh-CN"/>
        </w:rPr>
        <w:br w:type="page"/>
      </w:r>
    </w:p>
    <w:p w14:paraId="07766B07">
      <w:pPr>
        <w:pStyle w:val="3"/>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5EB88C4A">
      <w:pPr>
        <w:pStyle w:val="3"/>
        <w:adjustRightInd w:val="0"/>
        <w:snapToGrid w:val="0"/>
        <w:spacing w:before="120" w:beforeLines="50" w:line="300" w:lineRule="auto"/>
        <w:ind w:left="482" w:hanging="482" w:hangingChars="200"/>
        <w:jc w:val="both"/>
        <w:outlineLvl w:val="0"/>
        <w:rPr>
          <w:b/>
          <w:szCs w:val="21"/>
          <w:lang w:eastAsia="zh-CN"/>
        </w:rPr>
      </w:pPr>
      <w:bookmarkStart w:id="1" w:name="_Toc91865458"/>
      <w:r>
        <w:rPr>
          <w:rFonts w:eastAsia="宋体" w:cs="宋体"/>
          <w:b/>
          <w:lang w:eastAsia="zh-CN"/>
        </w:rPr>
        <w:t>2.0</w:t>
      </w:r>
      <w:r>
        <w:rPr>
          <w:rFonts w:eastAsia="宋体" w:cs="宋体"/>
          <w:lang w:eastAsia="zh-CN"/>
        </w:rPr>
        <w:tab/>
      </w:r>
      <w:r>
        <w:rPr>
          <w:rFonts w:eastAsia="宋体" w:cs="宋体"/>
          <w:b/>
          <w:lang w:eastAsia="zh-CN"/>
        </w:rPr>
        <w:t>可接受的NGS平台</w:t>
      </w:r>
      <w:bookmarkEnd w:id="1"/>
    </w:p>
    <w:p w14:paraId="68EAECB7">
      <w:pPr>
        <w:pStyle w:val="3"/>
        <w:adjustRightInd w:val="0"/>
        <w:snapToGrid w:val="0"/>
        <w:spacing w:before="120" w:beforeLines="50" w:line="300" w:lineRule="auto"/>
        <w:jc w:val="both"/>
        <w:rPr>
          <w:sz w:val="21"/>
          <w:szCs w:val="21"/>
          <w:lang w:eastAsia="zh-CN"/>
        </w:rPr>
      </w:pPr>
      <w:r>
        <w:rPr>
          <w:rFonts w:eastAsia="宋体" w:cs="宋体"/>
          <w:sz w:val="21"/>
          <w:lang w:eastAsia="zh-CN"/>
        </w:rPr>
        <w:t>申请方提交测序平台的适当详细信息、样品制备方案、fastq格式的原始NGS数据以及用于分析数据的方法后，该部门将接受大多数标准NGS平台生成的核苷酸测序数据。FDA建议申请方在提交测序数据之前尽早与该部门沟通并提供上述详细信息。此外，FDA建议申请方在任何正式提交之前提交一个模拟NGS数据集，以确保数据格式和过程适当，并且可接受。准备NGS提交时，申请方应将以下章节中的信息考虑在内。</w:t>
      </w:r>
    </w:p>
    <w:p w14:paraId="17880FA9">
      <w:pPr>
        <w:pStyle w:val="3"/>
        <w:adjustRightInd w:val="0"/>
        <w:snapToGrid w:val="0"/>
        <w:spacing w:before="120" w:beforeLines="50" w:line="300" w:lineRule="auto"/>
        <w:ind w:left="482" w:hanging="482" w:hangingChars="200"/>
        <w:jc w:val="both"/>
        <w:outlineLvl w:val="0"/>
        <w:rPr>
          <w:b/>
          <w:szCs w:val="21"/>
          <w:lang w:eastAsia="zh-CN"/>
        </w:rPr>
      </w:pPr>
      <w:bookmarkStart w:id="2" w:name="_Toc91865459"/>
      <w:r>
        <w:rPr>
          <w:rFonts w:eastAsia="宋体" w:cs="宋体"/>
          <w:b/>
          <w:lang w:eastAsia="zh-CN"/>
        </w:rPr>
        <w:t>3.0</w:t>
      </w:r>
      <w:r>
        <w:rPr>
          <w:rFonts w:eastAsia="宋体" w:cs="宋体"/>
          <w:lang w:eastAsia="zh-CN"/>
        </w:rPr>
        <w:tab/>
      </w:r>
      <w:r>
        <w:rPr>
          <w:rFonts w:eastAsia="宋体" w:cs="宋体"/>
          <w:b/>
          <w:lang w:eastAsia="zh-CN"/>
        </w:rPr>
        <w:t>提交至该部门的信息概要</w:t>
      </w:r>
      <w:bookmarkEnd w:id="2"/>
    </w:p>
    <w:p w14:paraId="59CD7E71">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3" w:name="_Toc91865460"/>
      <w:r>
        <w:rPr>
          <w:rFonts w:eastAsia="宋体" w:cs="宋体"/>
          <w:b/>
          <w:sz w:val="21"/>
          <w:lang w:eastAsia="zh-CN"/>
        </w:rPr>
        <w:t>3.1</w:t>
      </w:r>
      <w:r>
        <w:rPr>
          <w:rFonts w:eastAsia="宋体" w:cs="宋体"/>
          <w:sz w:val="21"/>
          <w:lang w:eastAsia="zh-CN"/>
        </w:rPr>
        <w:tab/>
      </w:r>
      <w:r>
        <w:rPr>
          <w:rFonts w:eastAsia="宋体" w:cs="宋体"/>
          <w:b/>
          <w:sz w:val="21"/>
          <w:lang w:eastAsia="zh-CN"/>
        </w:rPr>
        <w:t>NGS方案和数据分析方法</w:t>
      </w:r>
      <w:bookmarkEnd w:id="3"/>
    </w:p>
    <w:p w14:paraId="3B7889CC">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申请方应提交一份详细描述样品处理和NGS分析程序的方案。有关所述的具体方法，请参见第4.0节“NGS方案”和第5.0节“NGS数据分析方法描述和结果报告”。</w:t>
      </w:r>
    </w:p>
    <w:p w14:paraId="1A4B1B4C">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4" w:name="_Toc91865461"/>
      <w:r>
        <w:rPr>
          <w:rFonts w:eastAsia="宋体" w:cs="宋体"/>
          <w:b/>
          <w:sz w:val="21"/>
          <w:lang w:eastAsia="zh-CN"/>
        </w:rPr>
        <w:t>3.2</w:t>
      </w:r>
      <w:r>
        <w:rPr>
          <w:rFonts w:eastAsia="宋体" w:cs="宋体"/>
          <w:sz w:val="21"/>
          <w:lang w:eastAsia="zh-CN"/>
        </w:rPr>
        <w:tab/>
      </w:r>
      <w:r>
        <w:rPr>
          <w:rFonts w:eastAsia="宋体" w:cs="宋体"/>
          <w:b/>
          <w:sz w:val="21"/>
          <w:lang w:eastAsia="zh-CN"/>
        </w:rPr>
        <w:t>Fastq格式的原始NGS数据</w:t>
      </w:r>
      <w:bookmarkEnd w:id="4"/>
    </w:p>
    <w:p w14:paraId="4E62F153">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提供每次序列运行中fastq格式的所有原始NGS数据。组合读取映射可选用.fas、.ace、.sam或.bam格式提交。申请方应提供适当的参考序列（经部门同意）以及用于任何参考映射的登录号。对于对基线样品或目的基因的参考映射，申请方应提供基线或参考共识序列，并说明该序列是如何推导出来的。对于新的组装基因组组装，申请方应提供所有fastq格式的大于200个核苷酸的重叠群。</w:t>
      </w:r>
    </w:p>
    <w:p w14:paraId="44D0D844">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5" w:name="_Toc91865462"/>
      <w:r>
        <w:rPr>
          <w:rFonts w:eastAsia="宋体" w:cs="宋体"/>
          <w:b/>
          <w:sz w:val="21"/>
          <w:lang w:eastAsia="zh-CN"/>
        </w:rPr>
        <w:t>3.3</w:t>
      </w:r>
      <w:r>
        <w:rPr>
          <w:rFonts w:eastAsia="宋体" w:cs="宋体"/>
          <w:sz w:val="21"/>
          <w:lang w:eastAsia="zh-CN"/>
        </w:rPr>
        <w:tab/>
      </w:r>
      <w:r>
        <w:rPr>
          <w:rFonts w:eastAsia="宋体" w:cs="宋体"/>
          <w:b/>
          <w:sz w:val="21"/>
          <w:lang w:eastAsia="zh-CN"/>
        </w:rPr>
        <w:t>频率表</w:t>
      </w:r>
      <w:bookmarkEnd w:id="5"/>
    </w:p>
    <w:p w14:paraId="1B057DC0">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申请方应提供频率表，报告频率大于或等于1%时与基线不同的所有氨基酸置换。关于频率表的示例，请参见第7.0节“频率表示例”。</w:t>
      </w:r>
    </w:p>
    <w:p w14:paraId="3CB5E872">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29A33203">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6" w:name="_Toc91865463"/>
      <w:r>
        <w:rPr>
          <w:rFonts w:eastAsia="宋体" w:cs="宋体"/>
          <w:b/>
          <w:sz w:val="21"/>
          <w:lang w:eastAsia="zh-CN"/>
        </w:rPr>
        <w:t>3.4</w:t>
      </w:r>
      <w:r>
        <w:rPr>
          <w:rFonts w:eastAsia="宋体" w:cs="宋体"/>
          <w:sz w:val="21"/>
          <w:lang w:eastAsia="zh-CN"/>
        </w:rPr>
        <w:tab/>
      </w:r>
      <w:r>
        <w:rPr>
          <w:rFonts w:eastAsia="宋体" w:cs="宋体"/>
          <w:b/>
          <w:sz w:val="21"/>
          <w:lang w:eastAsia="zh-CN"/>
        </w:rPr>
        <w:t>汇总表</w:t>
      </w:r>
      <w:bookmarkEnd w:id="6"/>
    </w:p>
    <w:p w14:paraId="74C25356">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申请方应将以下几点考虑在内：</w:t>
      </w:r>
    </w:p>
    <w:p w14:paraId="5E03F790">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对于每项研究，以分析就绪病毒学耐药性数据格式提供用于基于群体的测序的数据，显示基线和失效序列，并在氨基酸与参考序列相同时使用空白序列。FDA建议申请方咨询该部门，确定耐药性数据集的敏感性水平（表中填充了以特定频率（即15%）存在的氨基酸置换），或提供所选敏感性水平的合理性说明。</w:t>
      </w:r>
    </w:p>
    <w:p w14:paraId="593D29C0">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提供表格，列示每项研究或每个研究亚组（即按基因型、按剂量）主要置换的详细汇总。</w:t>
      </w:r>
    </w:p>
    <w:p w14:paraId="1A778DCF">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7" w:name="_Toc91865464"/>
      <w:r>
        <w:rPr>
          <w:rFonts w:eastAsia="宋体" w:cs="宋体"/>
          <w:b/>
          <w:sz w:val="21"/>
          <w:lang w:eastAsia="zh-CN"/>
        </w:rPr>
        <w:t>3.5</w:t>
      </w:r>
      <w:r>
        <w:rPr>
          <w:rFonts w:eastAsia="宋体" w:cs="宋体"/>
          <w:sz w:val="21"/>
          <w:lang w:eastAsia="zh-CN"/>
        </w:rPr>
        <w:tab/>
      </w:r>
      <w:r>
        <w:rPr>
          <w:rFonts w:eastAsia="宋体" w:cs="宋体"/>
          <w:b/>
          <w:sz w:val="21"/>
          <w:lang w:eastAsia="zh-CN"/>
        </w:rPr>
        <w:t>其他分析 - 就绪数据集（如适用）</w:t>
      </w:r>
      <w:bookmarkEnd w:id="7"/>
    </w:p>
    <w:p w14:paraId="7787F69E">
      <w:pPr>
        <w:pStyle w:val="3"/>
        <w:adjustRightInd w:val="0"/>
        <w:snapToGrid w:val="0"/>
        <w:spacing w:before="120" w:beforeLines="50" w:line="300" w:lineRule="auto"/>
        <w:jc w:val="both"/>
        <w:rPr>
          <w:sz w:val="21"/>
          <w:szCs w:val="21"/>
          <w:lang w:eastAsia="zh-CN"/>
        </w:rPr>
      </w:pPr>
      <w:r>
        <w:rPr>
          <w:rFonts w:eastAsia="宋体" w:cs="宋体"/>
          <w:sz w:val="21"/>
          <w:lang w:eastAsia="zh-CN"/>
        </w:rPr>
        <w:t>FDA建议申请方在提交与NGS数据耐药性分析相关的其他分析 - 就绪数据集之前咨询该部门。</w:t>
      </w:r>
    </w:p>
    <w:p w14:paraId="360D02FC">
      <w:pPr>
        <w:pStyle w:val="3"/>
        <w:adjustRightInd w:val="0"/>
        <w:snapToGrid w:val="0"/>
        <w:spacing w:before="120" w:beforeLines="50" w:line="300" w:lineRule="auto"/>
        <w:ind w:left="482" w:hanging="482" w:hangingChars="200"/>
        <w:jc w:val="both"/>
        <w:outlineLvl w:val="0"/>
        <w:rPr>
          <w:b/>
          <w:szCs w:val="21"/>
          <w:lang w:eastAsia="zh-CN"/>
        </w:rPr>
      </w:pPr>
      <w:bookmarkStart w:id="8" w:name="_Toc91865465"/>
      <w:r>
        <w:rPr>
          <w:rFonts w:eastAsia="宋体" w:cs="宋体"/>
          <w:b/>
          <w:lang w:eastAsia="zh-CN"/>
        </w:rPr>
        <w:t>4.0</w:t>
      </w:r>
      <w:r>
        <w:rPr>
          <w:rFonts w:eastAsia="宋体" w:cs="宋体"/>
          <w:lang w:eastAsia="zh-CN"/>
        </w:rPr>
        <w:tab/>
      </w:r>
      <w:r>
        <w:rPr>
          <w:rFonts w:eastAsia="宋体" w:cs="宋体"/>
          <w:b/>
          <w:lang w:eastAsia="zh-CN"/>
        </w:rPr>
        <w:t>NGS方案</w:t>
      </w:r>
      <w:bookmarkEnd w:id="8"/>
    </w:p>
    <w:p w14:paraId="2C38537E">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9" w:name="_Toc91865466"/>
      <w:r>
        <w:rPr>
          <w:rFonts w:eastAsia="宋体" w:cs="宋体"/>
          <w:b/>
          <w:sz w:val="21"/>
          <w:lang w:eastAsia="zh-CN"/>
        </w:rPr>
        <w:t>4.1</w:t>
      </w:r>
      <w:r>
        <w:rPr>
          <w:rFonts w:eastAsia="宋体" w:cs="宋体"/>
          <w:sz w:val="21"/>
          <w:lang w:eastAsia="zh-CN"/>
        </w:rPr>
        <w:tab/>
      </w:r>
      <w:r>
        <w:rPr>
          <w:rFonts w:eastAsia="宋体" w:cs="宋体"/>
          <w:b/>
          <w:sz w:val="21"/>
          <w:lang w:eastAsia="zh-CN"/>
        </w:rPr>
        <w:t>通用方案设计要素</w:t>
      </w:r>
      <w:bookmarkEnd w:id="9"/>
    </w:p>
    <w:p w14:paraId="07E7C95E">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申请方应在NGS方案中纳入以下通用方案设计要素：</w:t>
      </w:r>
    </w:p>
    <w:p w14:paraId="6224BE4A">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对所分析受试者、研究时间点和样本矩阵的描述。</w:t>
      </w:r>
    </w:p>
    <w:p w14:paraId="36A4FDF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对所用NGS平台的描述，包括所有相关的性能特征。</w:t>
      </w:r>
    </w:p>
    <w:p w14:paraId="72B0BC5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所分析的靶基因区域名称和大小。</w:t>
      </w:r>
    </w:p>
    <w:p w14:paraId="0135F88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一般分析策略（例如识别相对于原型菌株的变化，比较同一受试者不同时间点的序列）。</w:t>
      </w:r>
    </w:p>
    <w:p w14:paraId="0E8BF909">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e.</w:t>
      </w:r>
      <w:r>
        <w:rPr>
          <w:rFonts w:eastAsia="宋体" w:cs="宋体"/>
          <w:sz w:val="21"/>
          <w:lang w:eastAsia="zh-CN"/>
        </w:rPr>
        <w:tab/>
      </w:r>
      <w:r>
        <w:rPr>
          <w:rFonts w:eastAsia="宋体" w:cs="宋体"/>
          <w:sz w:val="21"/>
          <w:lang w:eastAsia="zh-CN"/>
        </w:rPr>
        <w:t>所尝试的覆盖水平。FDA建议覆盖目标为大于5,000次读取。但是，本机构认识到，一些病毒载量较低的样品可能不会在该覆盖水平下形成组装体。申请方应标识未达到该覆盖水平的样品。</w:t>
      </w:r>
    </w:p>
    <w:p w14:paraId="2ADD854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f.</w:t>
      </w:r>
      <w:r>
        <w:rPr>
          <w:rFonts w:eastAsia="宋体" w:cs="宋体"/>
          <w:sz w:val="21"/>
          <w:lang w:eastAsia="zh-CN"/>
        </w:rPr>
        <w:tab/>
      </w:r>
      <w:r>
        <w:rPr>
          <w:rFonts w:eastAsia="宋体" w:cs="宋体"/>
          <w:sz w:val="21"/>
          <w:lang w:eastAsia="zh-CN"/>
        </w:rPr>
        <w:t>对用于识别、过滤或处理测序错误的方法的描述。</w:t>
      </w:r>
    </w:p>
    <w:p w14:paraId="0F4E737C">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4FB11BD9">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10" w:name="_Toc91865467"/>
      <w:r>
        <w:rPr>
          <w:rFonts w:eastAsia="宋体" w:cs="宋体"/>
          <w:b/>
          <w:sz w:val="21"/>
          <w:lang w:eastAsia="zh-CN"/>
        </w:rPr>
        <w:t>4.2</w:t>
      </w:r>
      <w:r>
        <w:rPr>
          <w:rFonts w:eastAsia="宋体" w:cs="宋体"/>
          <w:sz w:val="21"/>
          <w:lang w:eastAsia="zh-CN"/>
        </w:rPr>
        <w:tab/>
      </w:r>
      <w:r>
        <w:rPr>
          <w:rFonts w:eastAsia="宋体" w:cs="宋体"/>
          <w:b/>
          <w:sz w:val="21"/>
          <w:lang w:eastAsia="zh-CN"/>
        </w:rPr>
        <w:t>样品制备</w:t>
      </w:r>
      <w:bookmarkEnd w:id="10"/>
    </w:p>
    <w:p w14:paraId="58863414">
      <w:pPr>
        <w:pStyle w:val="3"/>
        <w:adjustRightInd w:val="0"/>
        <w:snapToGrid w:val="0"/>
        <w:spacing w:before="120" w:beforeLines="50" w:line="300" w:lineRule="auto"/>
        <w:jc w:val="both"/>
        <w:rPr>
          <w:sz w:val="21"/>
          <w:szCs w:val="21"/>
          <w:lang w:eastAsia="zh-CN"/>
        </w:rPr>
      </w:pPr>
      <w:r>
        <w:rPr>
          <w:rFonts w:eastAsia="宋体" w:cs="宋体"/>
          <w:sz w:val="21"/>
          <w:lang w:eastAsia="zh-CN"/>
        </w:rPr>
        <w:t>获取可靠测序结果的关键是模板的制备，因此测序的样品代表所分析的群体。应描述以下信息：</w:t>
      </w:r>
    </w:p>
    <w:p w14:paraId="2F88B62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从样品中提取核酸的方法。</w:t>
      </w:r>
    </w:p>
    <w:p w14:paraId="2AC03282">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从污染的背景核酸中纯化病毒序列的方法。</w:t>
      </w:r>
    </w:p>
    <w:p w14:paraId="2A5E7E3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浓缩病毒核酸的方法。包括每个样品的逆转录聚合酶链式反应（RT-PCR）（病毒RNA）或PCR（病毒DNA）反应的估计目标基因拷贝数输入。</w:t>
      </w:r>
    </w:p>
    <w:p w14:paraId="061DE246">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使二级结构变性的方法。</w:t>
      </w:r>
    </w:p>
    <w:p w14:paraId="437E516D">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e.</w:t>
      </w:r>
      <w:r>
        <w:rPr>
          <w:rFonts w:eastAsia="宋体" w:cs="宋体"/>
          <w:sz w:val="21"/>
          <w:lang w:eastAsia="zh-CN"/>
        </w:rPr>
        <w:tab/>
      </w:r>
      <w:r>
        <w:rPr>
          <w:rFonts w:eastAsia="宋体" w:cs="宋体"/>
          <w:sz w:val="21"/>
          <w:lang w:eastAsia="zh-CN"/>
        </w:rPr>
        <w:t>产生双链DNA（dsDNA）的方法。包括对引物的描述。</w:t>
      </w:r>
    </w:p>
    <w:p w14:paraId="60068CB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f.</w:t>
      </w:r>
      <w:r>
        <w:rPr>
          <w:rFonts w:eastAsia="宋体" w:cs="宋体"/>
          <w:sz w:val="21"/>
          <w:lang w:eastAsia="zh-CN"/>
        </w:rPr>
        <w:tab/>
      </w:r>
      <w:r>
        <w:rPr>
          <w:rFonts w:eastAsia="宋体" w:cs="宋体"/>
          <w:sz w:val="21"/>
          <w:lang w:eastAsia="zh-CN"/>
        </w:rPr>
        <w:t>用于测序的dsDNA纯化方法。</w:t>
      </w:r>
    </w:p>
    <w:p w14:paraId="7650A184">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g.</w:t>
      </w:r>
      <w:r>
        <w:rPr>
          <w:rFonts w:eastAsia="宋体" w:cs="宋体"/>
          <w:sz w:val="21"/>
          <w:lang w:eastAsia="zh-CN"/>
        </w:rPr>
        <w:tab/>
      </w:r>
      <w:r>
        <w:rPr>
          <w:rFonts w:eastAsia="宋体" w:cs="宋体"/>
          <w:sz w:val="21"/>
          <w:lang w:eastAsia="zh-CN"/>
        </w:rPr>
        <w:t>NGS文库制备方法。</w:t>
      </w:r>
    </w:p>
    <w:p w14:paraId="0E5133C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h.</w:t>
      </w:r>
      <w:r>
        <w:rPr>
          <w:rFonts w:eastAsia="宋体" w:cs="宋体"/>
          <w:sz w:val="21"/>
          <w:lang w:eastAsia="zh-CN"/>
        </w:rPr>
        <w:tab/>
      </w:r>
      <w:r>
        <w:rPr>
          <w:rFonts w:eastAsia="宋体" w:cs="宋体"/>
          <w:sz w:val="21"/>
          <w:lang w:eastAsia="zh-CN"/>
        </w:rPr>
        <w:t>添加用于多路复用的条形码的方法（如适用）。</w:t>
      </w:r>
    </w:p>
    <w:p w14:paraId="5C3BFF48">
      <w:pPr>
        <w:pStyle w:val="3"/>
        <w:adjustRightInd w:val="0"/>
        <w:snapToGrid w:val="0"/>
        <w:spacing w:before="120" w:beforeLines="50" w:line="300" w:lineRule="auto"/>
        <w:jc w:val="both"/>
        <w:rPr>
          <w:sz w:val="21"/>
          <w:szCs w:val="21"/>
          <w:lang w:eastAsia="zh-CN"/>
        </w:rPr>
      </w:pPr>
      <w:r>
        <w:rPr>
          <w:rFonts w:eastAsia="宋体" w:cs="宋体"/>
          <w:b/>
          <w:sz w:val="21"/>
          <w:lang w:eastAsia="zh-CN"/>
        </w:rPr>
        <w:t>注：</w:t>
      </w:r>
      <w:r>
        <w:rPr>
          <w:rFonts w:eastAsia="宋体" w:cs="宋体"/>
          <w:sz w:val="21"/>
          <w:lang w:eastAsia="zh-CN"/>
        </w:rPr>
        <w:t>许多已在科学文献中发表的NGS方案利用特异性（扩增子）或非特异性（随机引物）PCR扩增阶段来增加用于测序的dsDNA的浓度。尽管该方法将扩增主要基因型，但不太可能检测到随时间推移对耐药性突变的增加起重要作用的微小变异。因此，任何在NGS之前执行PCR扩增步骤的方案均应提供证据，证明扩增代表目标群体，并且NGS数据中仍存在微小变异。建议采用校正PCR重采样偏倚和（RT-）PCR及测序误差的方法，如互补DNA条形码技术。</w:t>
      </w:r>
    </w:p>
    <w:p w14:paraId="04BD4A85">
      <w:pPr>
        <w:pStyle w:val="3"/>
        <w:adjustRightInd w:val="0"/>
        <w:snapToGrid w:val="0"/>
        <w:spacing w:before="120" w:beforeLines="50" w:line="300" w:lineRule="auto"/>
        <w:ind w:left="482" w:hanging="482" w:hangingChars="200"/>
        <w:jc w:val="both"/>
        <w:outlineLvl w:val="0"/>
        <w:rPr>
          <w:b/>
          <w:szCs w:val="21"/>
          <w:lang w:eastAsia="zh-CN"/>
        </w:rPr>
      </w:pPr>
      <w:bookmarkStart w:id="11" w:name="_Toc91865468"/>
      <w:r>
        <w:rPr>
          <w:rFonts w:eastAsia="宋体" w:cs="宋体"/>
          <w:b/>
          <w:lang w:eastAsia="zh-CN"/>
        </w:rPr>
        <w:t>5.0</w:t>
      </w:r>
      <w:r>
        <w:rPr>
          <w:rFonts w:eastAsia="宋体" w:cs="宋体"/>
          <w:lang w:eastAsia="zh-CN"/>
        </w:rPr>
        <w:tab/>
      </w:r>
      <w:r>
        <w:rPr>
          <w:rFonts w:eastAsia="宋体" w:cs="宋体"/>
          <w:b/>
          <w:lang w:eastAsia="zh-CN"/>
        </w:rPr>
        <w:t>NGS数据分析方法描述和结果报告</w:t>
      </w:r>
      <w:bookmarkEnd w:id="11"/>
    </w:p>
    <w:p w14:paraId="6CE0903A">
      <w:pPr>
        <w:pStyle w:val="3"/>
        <w:adjustRightInd w:val="0"/>
        <w:snapToGrid w:val="0"/>
        <w:spacing w:before="120" w:beforeLines="50" w:line="300" w:lineRule="auto"/>
        <w:jc w:val="both"/>
        <w:rPr>
          <w:sz w:val="21"/>
          <w:szCs w:val="21"/>
          <w:lang w:eastAsia="zh-CN"/>
        </w:rPr>
      </w:pPr>
      <w:r>
        <w:rPr>
          <w:rFonts w:eastAsia="宋体" w:cs="宋体"/>
          <w:sz w:val="21"/>
          <w:lang w:eastAsia="zh-CN"/>
        </w:rPr>
        <w:t>提交的序列数据必须包括对用于分析测序数据集的分析流水线以及原始序列信息的全面描述，以便该部门能够对数据进行独立分析。应在这些报告中提供以下章节中的信息。</w:t>
      </w:r>
    </w:p>
    <w:p w14:paraId="7E09FEF2">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12" w:name="_Toc91865469"/>
      <w:r>
        <w:rPr>
          <w:rFonts w:eastAsia="宋体" w:cs="宋体"/>
          <w:b/>
          <w:sz w:val="21"/>
          <w:lang w:eastAsia="zh-CN"/>
        </w:rPr>
        <w:t>5.1</w:t>
      </w:r>
      <w:r>
        <w:rPr>
          <w:rFonts w:eastAsia="宋体" w:cs="宋体"/>
          <w:sz w:val="21"/>
          <w:lang w:eastAsia="zh-CN"/>
        </w:rPr>
        <w:tab/>
      </w:r>
      <w:r>
        <w:rPr>
          <w:rFonts w:eastAsia="宋体" w:cs="宋体"/>
          <w:b/>
          <w:sz w:val="21"/>
          <w:lang w:eastAsia="zh-CN"/>
        </w:rPr>
        <w:t>每次序列运行的统计汇总数据</w:t>
      </w:r>
      <w:bookmarkEnd w:id="12"/>
    </w:p>
    <w:p w14:paraId="6086901C">
      <w:pPr>
        <w:pStyle w:val="3"/>
        <w:adjustRightInd w:val="0"/>
        <w:snapToGrid w:val="0"/>
        <w:spacing w:before="120" w:beforeLines="50" w:line="300" w:lineRule="auto"/>
        <w:jc w:val="both"/>
        <w:rPr>
          <w:sz w:val="21"/>
          <w:szCs w:val="21"/>
          <w:lang w:eastAsia="zh-CN"/>
        </w:rPr>
      </w:pPr>
      <w:r>
        <w:rPr>
          <w:rFonts w:eastAsia="宋体" w:cs="宋体"/>
          <w:sz w:val="21"/>
          <w:lang w:eastAsia="zh-CN"/>
        </w:rPr>
        <w:t>报告应包括每次序列运行测序的读取总数、读取的质量评分、读取的平均长度、对为减少平台特定错误的影响而执行的任何错误评估的描述，以及用于清除潜在序列错误或删除不满足任何质量或长度阈值读取的修剪参数相关信息。</w:t>
      </w:r>
    </w:p>
    <w:p w14:paraId="2553684D">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0BD51B8E">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13" w:name="_Toc91865470"/>
      <w:r>
        <w:rPr>
          <w:rFonts w:eastAsia="宋体" w:cs="宋体"/>
          <w:b/>
          <w:sz w:val="21"/>
          <w:lang w:eastAsia="zh-CN"/>
        </w:rPr>
        <w:t>5.2</w:t>
      </w:r>
      <w:r>
        <w:rPr>
          <w:rFonts w:eastAsia="宋体" w:cs="宋体"/>
          <w:sz w:val="21"/>
          <w:lang w:eastAsia="zh-CN"/>
        </w:rPr>
        <w:tab/>
      </w:r>
      <w:r>
        <w:rPr>
          <w:rFonts w:eastAsia="宋体" w:cs="宋体"/>
          <w:b/>
          <w:sz w:val="21"/>
          <w:lang w:eastAsia="zh-CN"/>
        </w:rPr>
        <w:t>对序列条形码处理方式的描述</w:t>
      </w:r>
      <w:bookmarkEnd w:id="13"/>
    </w:p>
    <w:p w14:paraId="098ED84D">
      <w:pPr>
        <w:pStyle w:val="3"/>
        <w:adjustRightInd w:val="0"/>
        <w:snapToGrid w:val="0"/>
        <w:spacing w:before="120" w:beforeLines="50" w:line="300" w:lineRule="auto"/>
        <w:jc w:val="both"/>
        <w:rPr>
          <w:sz w:val="21"/>
          <w:szCs w:val="21"/>
          <w:lang w:eastAsia="zh-CN"/>
        </w:rPr>
      </w:pPr>
      <w:r>
        <w:rPr>
          <w:rFonts w:eastAsia="宋体" w:cs="宋体"/>
          <w:sz w:val="21"/>
          <w:lang w:eastAsia="zh-CN"/>
        </w:rPr>
        <w:t>报告应包括对用于将条形码序列添加到相关序列的方法的描述、用于在序列运行后隔离读取的条形码标签的序列、用于按条形码将读取分类到bin文件中的程序、对序列中的条形码序列修剪方式的描述，以及对为消除潜在交叉条形码污染而采取的任何预防措施的描述。</w:t>
      </w:r>
    </w:p>
    <w:p w14:paraId="480CC0EA">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14" w:name="_Toc91865471"/>
      <w:r>
        <w:rPr>
          <w:rFonts w:eastAsia="宋体" w:cs="宋体"/>
          <w:b/>
          <w:sz w:val="21"/>
          <w:lang w:eastAsia="zh-CN"/>
        </w:rPr>
        <w:t>5.3</w:t>
      </w:r>
      <w:r>
        <w:rPr>
          <w:rFonts w:eastAsia="宋体" w:cs="宋体"/>
          <w:sz w:val="21"/>
          <w:lang w:eastAsia="zh-CN"/>
        </w:rPr>
        <w:tab/>
      </w:r>
      <w:r>
        <w:rPr>
          <w:rFonts w:eastAsia="宋体" w:cs="宋体"/>
          <w:b/>
          <w:sz w:val="21"/>
          <w:lang w:eastAsia="zh-CN"/>
        </w:rPr>
        <w:t>重叠群和映射报告</w:t>
      </w:r>
      <w:bookmarkEnd w:id="14"/>
    </w:p>
    <w:p w14:paraId="2C519AAA">
      <w:pPr>
        <w:pStyle w:val="3"/>
        <w:adjustRightInd w:val="0"/>
        <w:snapToGrid w:val="0"/>
        <w:spacing w:before="120" w:beforeLines="50" w:line="300" w:lineRule="auto"/>
        <w:jc w:val="both"/>
        <w:rPr>
          <w:sz w:val="21"/>
          <w:szCs w:val="21"/>
          <w:lang w:eastAsia="zh-CN"/>
        </w:rPr>
      </w:pPr>
      <w:r>
        <w:rPr>
          <w:rFonts w:eastAsia="宋体" w:cs="宋体"/>
          <w:sz w:val="21"/>
          <w:lang w:eastAsia="zh-CN"/>
        </w:rPr>
        <w:t>有两种方法可用于数据的NGS分析以支持抗病毒药品的开发：（1）将短序列读取映射到参考序列，或（2）对短序列读取进行新的组装基因组组装，以拼接重叠群的序列。</w:t>
      </w:r>
    </w:p>
    <w:p w14:paraId="51A73470">
      <w:pPr>
        <w:pStyle w:val="3"/>
        <w:adjustRightInd w:val="0"/>
        <w:snapToGrid w:val="0"/>
        <w:spacing w:before="120" w:beforeLines="50" w:line="300" w:lineRule="auto"/>
        <w:ind w:left="1512" w:leftChars="400" w:hanging="632" w:hangingChars="300"/>
        <w:jc w:val="both"/>
        <w:outlineLvl w:val="2"/>
        <w:rPr>
          <w:b/>
          <w:sz w:val="21"/>
          <w:szCs w:val="21"/>
          <w:lang w:eastAsia="zh-CN"/>
        </w:rPr>
      </w:pPr>
      <w:bookmarkStart w:id="15" w:name="_Toc91865472"/>
      <w:r>
        <w:rPr>
          <w:rFonts w:eastAsia="宋体" w:cs="宋体"/>
          <w:b/>
          <w:sz w:val="21"/>
          <w:lang w:eastAsia="zh-CN"/>
        </w:rPr>
        <w:t>5.3.1</w:t>
      </w:r>
      <w:r>
        <w:rPr>
          <w:rFonts w:eastAsia="宋体" w:cs="宋体"/>
          <w:b/>
          <w:lang w:eastAsia="zh-CN"/>
        </w:rPr>
        <w:tab/>
      </w:r>
      <w:r>
        <w:rPr>
          <w:rFonts w:eastAsia="宋体" w:cs="宋体"/>
          <w:b/>
          <w:sz w:val="21"/>
          <w:lang w:eastAsia="zh-CN"/>
        </w:rPr>
        <w:t>序列读</w:t>
      </w:r>
      <w:r>
        <w:rPr>
          <w:rFonts w:hint="eastAsia" w:eastAsia="宋体" w:cs="宋体"/>
          <w:b/>
          <w:sz w:val="21"/>
          <w:lang w:eastAsia="zh-CN"/>
        </w:rPr>
        <w:t>段</w:t>
      </w:r>
      <w:r>
        <w:rPr>
          <w:rFonts w:eastAsia="宋体" w:cs="宋体"/>
          <w:b/>
          <w:sz w:val="21"/>
          <w:lang w:eastAsia="zh-CN"/>
        </w:rPr>
        <w:t>映射到参考序列和</w:t>
      </w:r>
      <w:bookmarkEnd w:id="15"/>
      <w:r>
        <w:rPr>
          <w:rFonts w:eastAsia="宋体" w:cs="宋体"/>
          <w:b/>
          <w:sz w:val="21"/>
          <w:lang w:eastAsia="zh-CN"/>
        </w:rPr>
        <w:t>变异检测</w:t>
      </w:r>
    </w:p>
    <w:p w14:paraId="16938DDF">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申请方应考虑将以下几点纳入有关序列读取映射到参考序列和变异检测的报告中：</w:t>
      </w:r>
    </w:p>
    <w:p w14:paraId="35B66E0B">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识别用于映射的参考序列并提供核苷酸和氨基酸序列以及登录号。</w:t>
      </w:r>
    </w:p>
    <w:p w14:paraId="32A86128">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识别程序并描述用于将读取映射到参考序列的算法，并提供所用参数设置列表以及每种参数设置的依据。报告应提供有关算法的具体信息，包括但不限于：允许的错配百分比、允许的插入和删除（indel）数目以及同一性和相似性截止值。</w:t>
      </w:r>
    </w:p>
    <w:p w14:paraId="00A4081D">
      <w:pPr>
        <w:overflowPunct w:val="0"/>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描述用于调用变体的算法并提供所用的参数。此外，描述如何区分单核苷酸多态性（SNP）和插入删除与序列错误。</w:t>
      </w:r>
    </w:p>
    <w:p w14:paraId="2FD7E613">
      <w:pPr>
        <w:pStyle w:val="3"/>
        <w:adjustRightInd w:val="0"/>
        <w:snapToGrid w:val="0"/>
        <w:spacing w:before="120" w:beforeLines="50" w:line="300" w:lineRule="auto"/>
        <w:ind w:left="1512" w:leftChars="400" w:hanging="632" w:hangingChars="300"/>
        <w:jc w:val="both"/>
        <w:outlineLvl w:val="2"/>
        <w:rPr>
          <w:b/>
          <w:sz w:val="21"/>
          <w:szCs w:val="21"/>
          <w:lang w:eastAsia="zh-CN"/>
        </w:rPr>
      </w:pPr>
      <w:bookmarkStart w:id="16" w:name="_Toc91865473"/>
      <w:r>
        <w:rPr>
          <w:rFonts w:eastAsia="宋体" w:cs="宋体"/>
          <w:b/>
          <w:sz w:val="21"/>
          <w:lang w:eastAsia="zh-CN"/>
        </w:rPr>
        <w:t>5.3.2</w:t>
      </w:r>
      <w:r>
        <w:rPr>
          <w:rFonts w:eastAsia="宋体" w:cs="宋体"/>
          <w:b/>
          <w:lang w:eastAsia="zh-CN"/>
        </w:rPr>
        <w:tab/>
      </w:r>
      <w:r>
        <w:rPr>
          <w:rFonts w:eastAsia="宋体" w:cs="宋体"/>
          <w:b/>
          <w:sz w:val="21"/>
          <w:lang w:eastAsia="zh-CN"/>
        </w:rPr>
        <w:t>报告</w:t>
      </w:r>
      <w:r>
        <w:rPr>
          <w:rFonts w:hint="eastAsia" w:eastAsia="宋体" w:cs="宋体"/>
          <w:b/>
          <w:sz w:val="21"/>
          <w:lang w:eastAsia="zh-CN"/>
        </w:rPr>
        <w:t>读段</w:t>
      </w:r>
      <w:r>
        <w:rPr>
          <w:rFonts w:eastAsia="宋体" w:cs="宋体"/>
          <w:b/>
          <w:sz w:val="21"/>
          <w:lang w:eastAsia="zh-CN"/>
        </w:rPr>
        <w:t>映射和变异检测的结果</w:t>
      </w:r>
      <w:bookmarkEnd w:id="16"/>
    </w:p>
    <w:p w14:paraId="08A240D2">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申请方应考虑将以下几点纳入包含读取映射和变异检测的结果的报告中：</w:t>
      </w:r>
    </w:p>
    <w:p w14:paraId="539D761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提供每个读段映射所达到的覆盖范围的概要，并纳入覆盖图。</w:t>
      </w:r>
    </w:p>
    <w:p w14:paraId="5AC74E1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提供每个读段映射中存在的序列数。</w:t>
      </w:r>
    </w:p>
    <w:p w14:paraId="2B0BBDB2">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7C791A5F">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提供所有读段映射的频率表，显示主要SNP和插入删除。</w:t>
      </w:r>
    </w:p>
    <w:p w14:paraId="4CF59E0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以氨基酸格式提供每个临床试验的NGS结果的组合频率表，包括以下内容：每个位点的氨基酸、每个位点的变异体频率，以及发生变异的每个位点的覆盖率（参见第7.0节“频率表示例”中的示例）。</w:t>
      </w:r>
    </w:p>
    <w:p w14:paraId="05BB70FF">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e.</w:t>
      </w:r>
      <w:r>
        <w:rPr>
          <w:rFonts w:eastAsia="宋体" w:cs="宋体"/>
          <w:sz w:val="21"/>
          <w:lang w:eastAsia="zh-CN"/>
        </w:rPr>
        <w:tab/>
      </w:r>
      <w:r>
        <w:rPr>
          <w:rFonts w:eastAsia="宋体" w:cs="宋体"/>
          <w:sz w:val="21"/>
          <w:lang w:eastAsia="zh-CN"/>
        </w:rPr>
        <w:t>提供汇总表，显示相关群体的主要变化。</w:t>
      </w:r>
    </w:p>
    <w:p w14:paraId="02EA97F2">
      <w:pPr>
        <w:pStyle w:val="3"/>
        <w:adjustRightInd w:val="0"/>
        <w:snapToGrid w:val="0"/>
        <w:spacing w:before="120" w:beforeLines="50" w:line="300" w:lineRule="auto"/>
        <w:ind w:left="1512" w:leftChars="400" w:hanging="632" w:hangingChars="300"/>
        <w:jc w:val="both"/>
        <w:outlineLvl w:val="2"/>
        <w:rPr>
          <w:b/>
          <w:sz w:val="21"/>
          <w:szCs w:val="21"/>
          <w:lang w:eastAsia="zh-CN"/>
        </w:rPr>
      </w:pPr>
      <w:bookmarkStart w:id="17" w:name="_Toc91865474"/>
      <w:r>
        <w:rPr>
          <w:rFonts w:eastAsia="宋体" w:cs="宋体"/>
          <w:b/>
          <w:sz w:val="21"/>
          <w:lang w:eastAsia="zh-CN"/>
        </w:rPr>
        <w:t>5.3.3</w:t>
      </w:r>
      <w:r>
        <w:rPr>
          <w:rFonts w:eastAsia="宋体" w:cs="宋体"/>
          <w:b/>
          <w:lang w:eastAsia="zh-CN"/>
        </w:rPr>
        <w:tab/>
      </w:r>
      <w:r>
        <w:rPr>
          <w:rFonts w:eastAsia="宋体" w:cs="宋体"/>
          <w:b/>
          <w:sz w:val="21"/>
          <w:lang w:eastAsia="zh-CN"/>
        </w:rPr>
        <w:t>重叠群的新组装基因组组装和变异检测（如适用）</w:t>
      </w:r>
      <w:bookmarkEnd w:id="17"/>
    </w:p>
    <w:p w14:paraId="7CD3BFF4">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申请方应考虑将以下几点纳入有关重叠群的新组装基因组组装和变异检测的报告中：</w:t>
      </w:r>
    </w:p>
    <w:p w14:paraId="6277F7D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提供重叠群统计数据，显示通过读段生成的重叠群数目。</w:t>
      </w:r>
    </w:p>
    <w:p w14:paraId="2F6AE75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识别程序并描述用于对短序列读段进行新的组装基因组组装，以拼接重叠群序列的算法，并提供所用参数设置列表以及每种参数设置的依据。报告应提供有关算法的具体信息，包括但不限于：允许的错配百分比、允许的插入和删除数目以及同一性和相似性截止值。</w:t>
      </w:r>
    </w:p>
    <w:p w14:paraId="333ABDD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描述用于比较重叠群和调用变体的算法并提供所用的参数。此外，描述如何区分SNP和插入删除与序列错误。</w:t>
      </w:r>
    </w:p>
    <w:p w14:paraId="6F91BFE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描述如何通过标识用于识别与已知序列相似性的程序对重叠群进行注释，识别查询的数据库，提供所用的检索标准，定义同一性百分比的截止值，并提供如何识别和报告污染物或其他病毒的详细信息。</w:t>
      </w:r>
    </w:p>
    <w:p w14:paraId="457B5F0D">
      <w:pPr>
        <w:pStyle w:val="3"/>
        <w:adjustRightInd w:val="0"/>
        <w:snapToGrid w:val="0"/>
        <w:spacing w:before="120" w:beforeLines="50" w:line="300" w:lineRule="auto"/>
        <w:ind w:left="1512" w:leftChars="400" w:hanging="632" w:hangingChars="300"/>
        <w:jc w:val="both"/>
        <w:outlineLvl w:val="2"/>
        <w:rPr>
          <w:b/>
          <w:sz w:val="21"/>
          <w:szCs w:val="21"/>
          <w:lang w:eastAsia="zh-CN"/>
        </w:rPr>
      </w:pPr>
      <w:bookmarkStart w:id="18" w:name="_Toc91865475"/>
      <w:r>
        <w:rPr>
          <w:rFonts w:eastAsia="宋体" w:cs="宋体"/>
          <w:b/>
          <w:sz w:val="21"/>
          <w:lang w:eastAsia="zh-CN"/>
        </w:rPr>
        <w:t>5.3.4</w:t>
      </w:r>
      <w:r>
        <w:rPr>
          <w:rFonts w:eastAsia="宋体" w:cs="宋体"/>
          <w:b/>
          <w:lang w:eastAsia="zh-CN"/>
        </w:rPr>
        <w:tab/>
      </w:r>
      <w:r>
        <w:rPr>
          <w:rFonts w:eastAsia="宋体" w:cs="宋体"/>
          <w:b/>
          <w:sz w:val="21"/>
          <w:lang w:eastAsia="zh-CN"/>
        </w:rPr>
        <w:t>报告新的组装基因组组装和变异检测的结果</w:t>
      </w:r>
      <w:bookmarkEnd w:id="18"/>
    </w:p>
    <w:p w14:paraId="28FA4BAB">
      <w:pPr>
        <w:pStyle w:val="3"/>
        <w:adjustRightInd w:val="0"/>
        <w:snapToGrid w:val="0"/>
        <w:spacing w:before="120" w:beforeLines="50" w:line="300" w:lineRule="auto"/>
        <w:jc w:val="both"/>
        <w:rPr>
          <w:sz w:val="21"/>
          <w:szCs w:val="21"/>
          <w:lang w:eastAsia="zh-CN"/>
        </w:rPr>
      </w:pPr>
      <w:r>
        <w:rPr>
          <w:rFonts w:eastAsia="宋体" w:cs="宋体"/>
          <w:sz w:val="21"/>
          <w:lang w:eastAsia="zh-CN"/>
        </w:rPr>
        <w:t>申请方应考虑将以下几点纳入有关新的组装基因组组装和变异检测的报告中：</w:t>
      </w:r>
    </w:p>
    <w:p w14:paraId="25359FB6">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提供每个重叠群的覆盖范围概要。</w:t>
      </w:r>
    </w:p>
    <w:p w14:paraId="153CD2A0">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提供每个重叠群中的序列数和未形成重叠群的读段数。</w:t>
      </w:r>
    </w:p>
    <w:p w14:paraId="5968FED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描述注释期间检测到的污染物或其他病毒，并报告每种污染物的百分比。</w:t>
      </w:r>
    </w:p>
    <w:p w14:paraId="2C06741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提供所有主要重叠群的频率表，显示主要SNP和插入删除。</w:t>
      </w:r>
    </w:p>
    <w:p w14:paraId="0E9FC630">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2282C54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e.</w:t>
      </w:r>
      <w:r>
        <w:rPr>
          <w:rFonts w:eastAsia="宋体" w:cs="宋体"/>
          <w:sz w:val="21"/>
          <w:lang w:eastAsia="zh-CN"/>
        </w:rPr>
        <w:tab/>
      </w:r>
      <w:r>
        <w:rPr>
          <w:rFonts w:eastAsia="宋体" w:cs="宋体"/>
          <w:sz w:val="21"/>
          <w:lang w:eastAsia="zh-CN"/>
        </w:rPr>
        <w:t>以氨基酸格式提供每个临床试验的NGS结果的组合频率表，包括以下内容：每个位点的氨基酸、每个位点的变异体频率，以及发生变异的每个位点的覆盖率（参见第7.0节“频率表示例”中的示例）。</w:t>
      </w:r>
    </w:p>
    <w:p w14:paraId="0DD70438">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f.</w:t>
      </w:r>
      <w:r>
        <w:rPr>
          <w:rFonts w:eastAsia="宋体" w:cs="宋体"/>
          <w:sz w:val="21"/>
          <w:lang w:eastAsia="zh-CN"/>
        </w:rPr>
        <w:tab/>
      </w:r>
      <w:r>
        <w:rPr>
          <w:rFonts w:eastAsia="宋体" w:cs="宋体"/>
          <w:sz w:val="21"/>
          <w:lang w:eastAsia="zh-CN"/>
        </w:rPr>
        <w:t>提供汇总表，显示相关群体的主要变化。</w:t>
      </w:r>
    </w:p>
    <w:p w14:paraId="0CC9A081">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g.</w:t>
      </w:r>
      <w:r>
        <w:rPr>
          <w:rFonts w:eastAsia="宋体" w:cs="宋体"/>
          <w:sz w:val="21"/>
          <w:lang w:eastAsia="zh-CN"/>
        </w:rPr>
        <w:tab/>
      </w:r>
      <w:r>
        <w:rPr>
          <w:rFonts w:eastAsia="宋体" w:cs="宋体"/>
          <w:sz w:val="21"/>
          <w:lang w:eastAsia="zh-CN"/>
        </w:rPr>
        <w:t>建议对所有未映射到参考序列的读段进行新的组装基因组组装并注释重叠群，以评估样品的潜在交叉污染。</w:t>
      </w:r>
    </w:p>
    <w:p w14:paraId="2E1F2545">
      <w:pPr>
        <w:pStyle w:val="3"/>
        <w:adjustRightInd w:val="0"/>
        <w:snapToGrid w:val="0"/>
        <w:spacing w:before="120" w:beforeLines="50" w:line="300" w:lineRule="auto"/>
        <w:ind w:left="482" w:hanging="482" w:hangingChars="200"/>
        <w:jc w:val="both"/>
        <w:outlineLvl w:val="0"/>
        <w:rPr>
          <w:b/>
          <w:szCs w:val="21"/>
          <w:lang w:eastAsia="zh-CN"/>
        </w:rPr>
      </w:pPr>
      <w:bookmarkStart w:id="19" w:name="_Toc91865476"/>
      <w:r>
        <w:rPr>
          <w:rFonts w:eastAsia="宋体" w:cs="宋体"/>
          <w:b/>
          <w:lang w:eastAsia="zh-CN"/>
        </w:rPr>
        <w:t>6.0</w:t>
      </w:r>
      <w:r>
        <w:rPr>
          <w:rFonts w:eastAsia="宋体" w:cs="宋体"/>
          <w:lang w:eastAsia="zh-CN"/>
        </w:rPr>
        <w:tab/>
      </w:r>
      <w:r>
        <w:rPr>
          <w:rFonts w:eastAsia="宋体" w:cs="宋体"/>
          <w:b/>
          <w:lang w:eastAsia="zh-CN"/>
        </w:rPr>
        <w:t>NGS文件类型和提交程序</w:t>
      </w:r>
      <w:bookmarkEnd w:id="19"/>
    </w:p>
    <w:p w14:paraId="7BE58894">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20" w:name="_Toc91865477"/>
      <w:r>
        <w:rPr>
          <w:rFonts w:eastAsia="宋体" w:cs="宋体"/>
          <w:b/>
          <w:sz w:val="21"/>
          <w:lang w:eastAsia="zh-CN"/>
        </w:rPr>
        <w:t>6.1</w:t>
      </w:r>
      <w:r>
        <w:rPr>
          <w:rFonts w:eastAsia="宋体" w:cs="宋体"/>
          <w:sz w:val="21"/>
          <w:lang w:eastAsia="zh-CN"/>
        </w:rPr>
        <w:tab/>
      </w:r>
      <w:r>
        <w:rPr>
          <w:rFonts w:eastAsia="宋体" w:cs="宋体"/>
          <w:b/>
          <w:sz w:val="21"/>
          <w:lang w:eastAsia="zh-CN"/>
        </w:rPr>
        <w:t>通过移动硬盘提交的文件</w:t>
      </w:r>
      <w:bookmarkEnd w:id="20"/>
    </w:p>
    <w:p w14:paraId="2FB57EAB">
      <w:pPr>
        <w:adjustRightInd w:val="0"/>
        <w:snapToGrid w:val="0"/>
        <w:spacing w:before="120" w:beforeLines="50" w:line="300" w:lineRule="auto"/>
        <w:jc w:val="both"/>
        <w:rPr>
          <w:sz w:val="21"/>
          <w:szCs w:val="21"/>
          <w:lang w:eastAsia="zh-CN"/>
        </w:rPr>
      </w:pPr>
      <w:r>
        <w:rPr>
          <w:rFonts w:eastAsia="宋体" w:cs="宋体"/>
          <w:sz w:val="21"/>
          <w:lang w:eastAsia="zh-CN"/>
        </w:rPr>
        <w:t>fastq格式的原始NGS数据和频率表应按照技术规范文件《利用eCTD规范传输电子提交材料》（2019年4月）中概述的指导原则，通过安全的移动硬盘发送给该部门。</w:t>
      </w:r>
      <w:r>
        <w:rPr>
          <w:rFonts w:eastAsia="宋体" w:cs="宋体"/>
          <w:sz w:val="21"/>
          <w:vertAlign w:val="superscript"/>
          <w:lang w:eastAsia="zh-CN"/>
        </w:rPr>
        <w:t>2</w:t>
      </w:r>
    </w:p>
    <w:p w14:paraId="60C924FC">
      <w:pPr>
        <w:pStyle w:val="3"/>
        <w:adjustRightInd w:val="0"/>
        <w:snapToGrid w:val="0"/>
        <w:spacing w:before="120" w:beforeLines="50" w:line="300" w:lineRule="auto"/>
        <w:ind w:left="1512" w:leftChars="400" w:hanging="632" w:hangingChars="300"/>
        <w:jc w:val="both"/>
        <w:outlineLvl w:val="2"/>
        <w:rPr>
          <w:b/>
          <w:sz w:val="21"/>
          <w:szCs w:val="21"/>
          <w:lang w:eastAsia="zh-CN"/>
        </w:rPr>
      </w:pPr>
      <w:bookmarkStart w:id="21" w:name="_Toc91865478"/>
      <w:r>
        <w:rPr>
          <w:rFonts w:eastAsia="宋体" w:cs="宋体"/>
          <w:b/>
          <w:sz w:val="21"/>
          <w:lang w:eastAsia="zh-CN"/>
        </w:rPr>
        <w:t>6.1.1</w:t>
      </w:r>
      <w:r>
        <w:rPr>
          <w:rFonts w:eastAsia="宋体" w:cs="宋体"/>
          <w:b/>
          <w:lang w:eastAsia="zh-CN"/>
        </w:rPr>
        <w:tab/>
      </w:r>
      <w:r>
        <w:rPr>
          <w:rFonts w:eastAsia="宋体" w:cs="宋体"/>
          <w:b/>
          <w:sz w:val="21"/>
          <w:lang w:eastAsia="zh-CN"/>
        </w:rPr>
        <w:t>移动硬盘中的内容</w:t>
      </w:r>
      <w:bookmarkEnd w:id="21"/>
    </w:p>
    <w:p w14:paraId="1F9CC099">
      <w:pPr>
        <w:pStyle w:val="3"/>
        <w:adjustRightInd w:val="0"/>
        <w:snapToGrid w:val="0"/>
        <w:spacing w:before="120" w:beforeLines="50" w:line="300" w:lineRule="auto"/>
        <w:jc w:val="both"/>
        <w:rPr>
          <w:sz w:val="21"/>
          <w:szCs w:val="21"/>
          <w:lang w:eastAsia="zh-CN"/>
        </w:rPr>
      </w:pPr>
      <w:r>
        <w:rPr>
          <w:rFonts w:eastAsia="宋体" w:cs="宋体"/>
          <w:sz w:val="21"/>
          <w:lang w:eastAsia="zh-CN"/>
        </w:rPr>
        <w:t>请注意，只有原始NGS数据、频率表和目录在硬盘上提交。其他文件，如扩展名为“.exe”的文件，可能导致提交被拒绝。</w:t>
      </w:r>
    </w:p>
    <w:p w14:paraId="5B957A62">
      <w:pPr>
        <w:pStyle w:val="3"/>
        <w:adjustRightInd w:val="0"/>
        <w:snapToGrid w:val="0"/>
        <w:spacing w:before="120" w:beforeLines="50" w:line="300" w:lineRule="auto"/>
        <w:jc w:val="both"/>
        <w:rPr>
          <w:sz w:val="21"/>
          <w:szCs w:val="21"/>
          <w:lang w:eastAsia="zh-CN"/>
        </w:rPr>
      </w:pPr>
      <w:r>
        <w:rPr>
          <w:rFonts w:eastAsia="宋体" w:cs="宋体"/>
          <w:sz w:val="21"/>
          <w:lang w:eastAsia="zh-CN"/>
        </w:rPr>
        <w:t>如果硬盘有密码保护（此时不需要或不推荐），申请方应提前咨询该部门，以确保将密码提供给药品评价与研究中心（CDER）档案室的相关人员。</w:t>
      </w:r>
    </w:p>
    <w:p w14:paraId="1084E26A">
      <w:pPr>
        <w:pStyle w:val="3"/>
        <w:adjustRightInd w:val="0"/>
        <w:snapToGrid w:val="0"/>
        <w:spacing w:before="120" w:beforeLines="50" w:line="300" w:lineRule="auto"/>
        <w:ind w:left="1512" w:leftChars="400" w:hanging="632" w:hangingChars="300"/>
        <w:jc w:val="both"/>
        <w:outlineLvl w:val="2"/>
        <w:rPr>
          <w:b/>
          <w:sz w:val="21"/>
          <w:szCs w:val="21"/>
          <w:lang w:eastAsia="zh-CN"/>
        </w:rPr>
      </w:pPr>
      <w:bookmarkStart w:id="22" w:name="_Toc91865479"/>
      <w:r>
        <w:rPr>
          <w:rFonts w:eastAsia="宋体" w:cs="宋体"/>
          <w:b/>
          <w:sz w:val="21"/>
          <w:lang w:eastAsia="zh-CN"/>
        </w:rPr>
        <w:t>6.1.2</w:t>
      </w:r>
      <w:r>
        <w:rPr>
          <w:rFonts w:eastAsia="宋体" w:cs="宋体"/>
          <w:b/>
          <w:lang w:eastAsia="zh-CN"/>
        </w:rPr>
        <w:tab/>
      </w:r>
      <w:r>
        <w:rPr>
          <w:rFonts w:eastAsia="宋体" w:cs="宋体"/>
          <w:b/>
          <w:sz w:val="21"/>
          <w:lang w:eastAsia="zh-CN"/>
        </w:rPr>
        <w:t>标记fastq序列文件</w:t>
      </w:r>
      <w:bookmarkEnd w:id="22"/>
    </w:p>
    <w:p w14:paraId="54EEA3B2">
      <w:pPr>
        <w:pStyle w:val="3"/>
        <w:adjustRightInd w:val="0"/>
        <w:snapToGrid w:val="0"/>
        <w:spacing w:before="120" w:beforeLines="50" w:line="300" w:lineRule="auto"/>
        <w:jc w:val="both"/>
        <w:rPr>
          <w:sz w:val="21"/>
          <w:szCs w:val="21"/>
          <w:lang w:eastAsia="zh-CN"/>
        </w:rPr>
      </w:pPr>
      <w:r>
        <w:rPr>
          <w:rFonts w:eastAsia="宋体" w:cs="宋体"/>
          <w:sz w:val="21"/>
          <w:lang w:eastAsia="zh-CN"/>
        </w:rPr>
        <w:t>所有NGS数据均应以fastq格式提供，其中包括核苷酸序列和质量信息。这应包括每例受试者在不同时间点的NGS序列运行，包括基线和接近观察到治疗失败的时间点。申请方应提供标有受试者唯一标识符和时间点的fastq文件。例如，对于研究ABC123、受试者0001和3个样品（基线、第16周和随访第4周），文件应标记如下：</w:t>
      </w:r>
    </w:p>
    <w:p w14:paraId="620ABD6D">
      <w:pPr>
        <w:adjustRightInd w:val="0"/>
        <w:snapToGrid w:val="0"/>
        <w:spacing w:before="120" w:beforeLines="50" w:line="300" w:lineRule="auto"/>
        <w:ind w:left="860" w:leftChars="200" w:hanging="420" w:hangingChars="200"/>
        <w:jc w:val="both"/>
        <w:rPr>
          <w:sz w:val="21"/>
          <w:szCs w:val="21"/>
        </w:rPr>
      </w:pPr>
      <w:r>
        <w:rPr>
          <w:rFonts w:eastAsia="宋体" w:cs="宋体"/>
          <w:sz w:val="21"/>
        </w:rPr>
        <w:t>a.</w:t>
      </w:r>
      <w:r>
        <w:rPr>
          <w:rFonts w:eastAsia="宋体" w:cs="宋体"/>
          <w:sz w:val="21"/>
        </w:rPr>
        <w:tab/>
      </w:r>
      <w:r>
        <w:rPr>
          <w:rFonts w:eastAsia="宋体" w:cs="宋体"/>
          <w:sz w:val="21"/>
        </w:rPr>
        <w:t>ABC123-0001.baseline.fastq</w:t>
      </w:r>
    </w:p>
    <w:p w14:paraId="5111EFAA">
      <w:pPr>
        <w:adjustRightInd w:val="0"/>
        <w:snapToGrid w:val="0"/>
        <w:spacing w:before="120" w:beforeLines="50" w:line="300" w:lineRule="auto"/>
        <w:ind w:left="860" w:leftChars="200" w:hanging="420" w:hangingChars="200"/>
        <w:jc w:val="both"/>
        <w:rPr>
          <w:sz w:val="21"/>
          <w:szCs w:val="21"/>
        </w:rPr>
      </w:pPr>
      <w:r>
        <w:rPr>
          <w:rFonts w:eastAsia="宋体" w:cs="宋体"/>
          <w:sz w:val="21"/>
        </w:rPr>
        <w:t>b.</w:t>
      </w:r>
      <w:r>
        <w:rPr>
          <w:rFonts w:eastAsia="宋体" w:cs="宋体"/>
          <w:sz w:val="21"/>
        </w:rPr>
        <w:tab/>
      </w:r>
      <w:r>
        <w:rPr>
          <w:rFonts w:eastAsia="宋体" w:cs="宋体"/>
          <w:sz w:val="21"/>
        </w:rPr>
        <w:t>ABC123-0001.WEEK16.fastq</w:t>
      </w:r>
    </w:p>
    <w:p w14:paraId="38242A45">
      <w:pPr>
        <w:adjustRightInd w:val="0"/>
        <w:snapToGrid w:val="0"/>
        <w:spacing w:before="120" w:beforeLines="50" w:line="300" w:lineRule="auto"/>
        <w:ind w:left="860" w:leftChars="200" w:hanging="420" w:hangingChars="200"/>
        <w:jc w:val="both"/>
        <w:rPr>
          <w:sz w:val="21"/>
          <w:szCs w:val="21"/>
        </w:rPr>
      </w:pPr>
      <w:r>
        <w:rPr>
          <w:rFonts w:eastAsia="宋体" w:cs="宋体"/>
          <w:sz w:val="21"/>
        </w:rPr>
        <w:t>c.</w:t>
      </w:r>
      <w:r>
        <w:rPr>
          <w:rFonts w:eastAsia="宋体" w:cs="宋体"/>
          <w:sz w:val="21"/>
        </w:rPr>
        <w:tab/>
      </w:r>
      <w:r>
        <w:rPr>
          <w:rFonts w:eastAsia="宋体" w:cs="宋体"/>
          <w:sz w:val="21"/>
        </w:rPr>
        <w:t>ABC123-0001.WEEK4FU.fastq</w:t>
      </w:r>
    </w:p>
    <w:p w14:paraId="5E7666EA">
      <w:pPr>
        <w:pStyle w:val="3"/>
        <w:adjustRightInd w:val="0"/>
        <w:snapToGrid w:val="0"/>
        <w:spacing w:before="3360" w:beforeLines="1400" w:line="300" w:lineRule="auto"/>
        <w:jc w:val="both"/>
        <w:rPr>
          <w:rFonts w:eastAsiaTheme="minorEastAsia"/>
          <w:sz w:val="21"/>
          <w:szCs w:val="21"/>
          <w:lang w:eastAsia="zh-CN"/>
        </w:rPr>
      </w:pPr>
      <w:r>
        <w:rPr>
          <w:rFonts w:eastAsia="宋体" w:cs="宋体"/>
          <w:sz w:val="21"/>
        </w:rPr>
        <w:t>____________________</w:t>
      </w:r>
    </w:p>
    <w:p w14:paraId="7F5714A4">
      <w:pPr>
        <w:adjustRightInd w:val="0"/>
        <w:snapToGrid w:val="0"/>
        <w:spacing w:before="36" w:beforeLines="15" w:line="276" w:lineRule="auto"/>
        <w:jc w:val="both"/>
        <w:rPr>
          <w:sz w:val="21"/>
          <w:szCs w:val="21"/>
        </w:rPr>
      </w:pPr>
      <w:r>
        <w:rPr>
          <w:rFonts w:eastAsia="宋体" w:cs="宋体"/>
          <w:sz w:val="18"/>
          <w:vertAlign w:val="superscript"/>
        </w:rPr>
        <w:t>2</w:t>
      </w:r>
      <w:r>
        <w:rPr>
          <w:rFonts w:eastAsia="宋体" w:cs="宋体"/>
          <w:sz w:val="18"/>
        </w:rPr>
        <w:t xml:space="preserve"> 可登录以下网址获取：https://www.fda.gov/media/76812/download。另请参见电子监管申请和审查网页（网址：https://www.fda.gov/Drugs/DevelopmentApprovalProcess/FormsSubmissionRequirements/ElectronicSubmissions/d efault.htm）。</w:t>
      </w:r>
      <w:r>
        <w:rPr>
          <w:rFonts w:eastAsia="宋体" w:cs="宋体"/>
          <w:sz w:val="21"/>
        </w:rPr>
        <w:br w:type="page"/>
      </w:r>
    </w:p>
    <w:p w14:paraId="4ABFDE86">
      <w:pPr>
        <w:pStyle w:val="3"/>
        <w:adjustRightInd w:val="0"/>
        <w:snapToGrid w:val="0"/>
        <w:spacing w:before="120" w:beforeLines="50" w:line="300" w:lineRule="auto"/>
        <w:jc w:val="both"/>
        <w:rPr>
          <w:sz w:val="21"/>
          <w:szCs w:val="21"/>
          <w:lang w:eastAsia="zh-CN"/>
        </w:rPr>
      </w:pPr>
      <w:r>
        <w:rPr>
          <w:rFonts w:eastAsia="宋体" w:cs="宋体"/>
          <w:sz w:val="21"/>
          <w:lang w:eastAsia="zh-CN"/>
        </w:rPr>
        <w:t>如果对样品进行重新测序，则第一次和第二次序列运行区分如下：</w:t>
      </w:r>
    </w:p>
    <w:p w14:paraId="3DC899C4">
      <w:pPr>
        <w:adjustRightInd w:val="0"/>
        <w:snapToGrid w:val="0"/>
        <w:spacing w:before="120" w:beforeLines="50" w:line="300" w:lineRule="auto"/>
        <w:ind w:left="860" w:leftChars="200" w:hanging="420" w:hangingChars="200"/>
        <w:jc w:val="both"/>
        <w:rPr>
          <w:sz w:val="21"/>
          <w:szCs w:val="21"/>
        </w:rPr>
      </w:pPr>
      <w:r>
        <w:rPr>
          <w:rFonts w:eastAsia="宋体" w:cs="宋体"/>
          <w:sz w:val="21"/>
        </w:rPr>
        <w:t>a.</w:t>
      </w:r>
      <w:r>
        <w:rPr>
          <w:rFonts w:eastAsia="宋体" w:cs="宋体"/>
          <w:sz w:val="21"/>
        </w:rPr>
        <w:tab/>
      </w:r>
      <w:r>
        <w:rPr>
          <w:rFonts w:eastAsia="宋体" w:cs="宋体"/>
          <w:sz w:val="21"/>
        </w:rPr>
        <w:t>ABC123-0001.baseline-1.fastq</w:t>
      </w:r>
    </w:p>
    <w:p w14:paraId="53BFBAEF">
      <w:pPr>
        <w:adjustRightInd w:val="0"/>
        <w:snapToGrid w:val="0"/>
        <w:spacing w:before="120" w:beforeLines="50" w:line="300" w:lineRule="auto"/>
        <w:ind w:left="860" w:leftChars="200" w:hanging="420" w:hangingChars="200"/>
        <w:jc w:val="both"/>
        <w:rPr>
          <w:sz w:val="21"/>
          <w:szCs w:val="21"/>
        </w:rPr>
      </w:pPr>
      <w:r>
        <w:rPr>
          <w:rFonts w:eastAsia="宋体" w:cs="宋体"/>
          <w:sz w:val="21"/>
        </w:rPr>
        <w:t>b.</w:t>
      </w:r>
      <w:r>
        <w:rPr>
          <w:rFonts w:eastAsia="宋体" w:cs="宋体"/>
          <w:sz w:val="21"/>
        </w:rPr>
        <w:tab/>
      </w:r>
      <w:r>
        <w:rPr>
          <w:rFonts w:eastAsia="宋体" w:cs="宋体"/>
          <w:sz w:val="21"/>
        </w:rPr>
        <w:t>ABC123-0001.baseline-2.fastq</w:t>
      </w:r>
    </w:p>
    <w:p w14:paraId="7D734EA5">
      <w:pPr>
        <w:pStyle w:val="3"/>
        <w:adjustRightInd w:val="0"/>
        <w:snapToGrid w:val="0"/>
        <w:spacing w:before="120" w:beforeLines="50" w:line="300" w:lineRule="auto"/>
        <w:ind w:left="967" w:leftChars="200" w:hanging="527" w:hangingChars="250"/>
        <w:jc w:val="both"/>
        <w:outlineLvl w:val="1"/>
        <w:rPr>
          <w:b/>
          <w:sz w:val="21"/>
          <w:szCs w:val="21"/>
          <w:lang w:eastAsia="zh-CN"/>
        </w:rPr>
      </w:pPr>
      <w:bookmarkStart w:id="23" w:name="_Toc91865480"/>
      <w:r>
        <w:rPr>
          <w:rFonts w:eastAsia="宋体" w:cs="宋体"/>
          <w:b/>
          <w:sz w:val="21"/>
          <w:lang w:eastAsia="zh-CN"/>
        </w:rPr>
        <w:t>6.2</w:t>
      </w:r>
      <w:r>
        <w:rPr>
          <w:rFonts w:eastAsia="宋体" w:cs="宋体"/>
          <w:sz w:val="21"/>
          <w:lang w:eastAsia="zh-CN"/>
        </w:rPr>
        <w:tab/>
      </w:r>
      <w:r>
        <w:rPr>
          <w:rFonts w:eastAsia="宋体" w:cs="宋体"/>
          <w:b/>
          <w:sz w:val="21"/>
          <w:lang w:eastAsia="zh-CN"/>
        </w:rPr>
        <w:t>通过CDER电子文件网关提交的文件</w:t>
      </w:r>
      <w:bookmarkEnd w:id="23"/>
    </w:p>
    <w:p w14:paraId="4B9CF864">
      <w:pPr>
        <w:pStyle w:val="3"/>
        <w:adjustRightInd w:val="0"/>
        <w:snapToGrid w:val="0"/>
        <w:spacing w:before="120" w:beforeLines="50" w:line="300" w:lineRule="auto"/>
        <w:jc w:val="both"/>
        <w:rPr>
          <w:sz w:val="21"/>
          <w:szCs w:val="21"/>
          <w:lang w:eastAsia="zh-CN"/>
        </w:rPr>
      </w:pPr>
      <w:r>
        <w:rPr>
          <w:rFonts w:eastAsia="宋体" w:cs="宋体"/>
          <w:sz w:val="21"/>
          <w:lang w:eastAsia="zh-CN"/>
        </w:rPr>
        <w:t>应通过CDER电子文件网关提交NGS方案、分析就绪耐药性数据集和任何其他支持信息。</w:t>
      </w:r>
    </w:p>
    <w:p w14:paraId="5FF1F642">
      <w:pPr>
        <w:pStyle w:val="3"/>
        <w:adjustRightInd w:val="0"/>
        <w:snapToGrid w:val="0"/>
        <w:spacing w:before="120" w:beforeLines="50" w:line="300" w:lineRule="auto"/>
        <w:ind w:left="482" w:hanging="482" w:hangingChars="200"/>
        <w:jc w:val="both"/>
        <w:outlineLvl w:val="0"/>
        <w:rPr>
          <w:b/>
          <w:szCs w:val="21"/>
        </w:rPr>
      </w:pPr>
      <w:bookmarkStart w:id="24" w:name="_Toc91865481"/>
      <w:r>
        <w:rPr>
          <w:rFonts w:eastAsia="宋体" w:cs="宋体"/>
          <w:b/>
        </w:rPr>
        <w:t>7.0</w:t>
      </w:r>
      <w:r>
        <w:rPr>
          <w:rFonts w:eastAsia="宋体" w:cs="宋体"/>
        </w:rPr>
        <w:tab/>
      </w:r>
      <w:r>
        <w:rPr>
          <w:rFonts w:eastAsia="宋体" w:cs="宋体"/>
          <w:b/>
        </w:rPr>
        <w:t>频率表示例</w:t>
      </w:r>
      <w:bookmarkEnd w:id="24"/>
    </w:p>
    <w:tbl>
      <w:tblPr>
        <w:tblStyle w:val="14"/>
        <w:tblW w:w="5000" w:type="pct"/>
        <w:tblInd w:w="0" w:type="dxa"/>
        <w:tblLayout w:type="autofit"/>
        <w:tblCellMar>
          <w:top w:w="0" w:type="dxa"/>
          <w:left w:w="113" w:type="dxa"/>
          <w:bottom w:w="0" w:type="dxa"/>
          <w:right w:w="113" w:type="dxa"/>
        </w:tblCellMar>
      </w:tblPr>
      <w:tblGrid>
        <w:gridCol w:w="1273"/>
        <w:gridCol w:w="1060"/>
        <w:gridCol w:w="889"/>
        <w:gridCol w:w="759"/>
        <w:gridCol w:w="889"/>
        <w:gridCol w:w="898"/>
        <w:gridCol w:w="887"/>
        <w:gridCol w:w="794"/>
        <w:gridCol w:w="801"/>
        <w:gridCol w:w="1047"/>
      </w:tblGrid>
      <w:tr w14:paraId="4E5D7BC8">
        <w:tblPrEx>
          <w:tblCellMar>
            <w:top w:w="0" w:type="dxa"/>
            <w:left w:w="113" w:type="dxa"/>
            <w:bottom w:w="0" w:type="dxa"/>
            <w:right w:w="113" w:type="dxa"/>
          </w:tblCellMar>
        </w:tblPrEx>
        <w:trPr>
          <w:trHeight w:val="20" w:hRule="atLeast"/>
        </w:trPr>
        <w:tc>
          <w:tcPr>
            <w:tcW w:w="685" w:type="pct"/>
            <w:tcBorders>
              <w:bottom w:val="single" w:color="000000" w:sz="4" w:space="0"/>
            </w:tcBorders>
            <w:vAlign w:val="center"/>
          </w:tcPr>
          <w:p w14:paraId="60812B53">
            <w:pPr>
              <w:pStyle w:val="16"/>
              <w:adjustRightInd w:val="0"/>
              <w:snapToGrid w:val="0"/>
              <w:spacing w:before="36" w:beforeLines="15" w:line="276" w:lineRule="auto"/>
              <w:ind w:left="0"/>
              <w:rPr>
                <w:b/>
                <w:sz w:val="18"/>
                <w:szCs w:val="18"/>
              </w:rPr>
            </w:pPr>
            <w:r>
              <w:rPr>
                <w:rFonts w:eastAsia="宋体" w:cs="宋体"/>
                <w:b/>
                <w:sz w:val="18"/>
              </w:rPr>
              <w:t>STUDYID</w:t>
            </w:r>
          </w:p>
        </w:tc>
        <w:tc>
          <w:tcPr>
            <w:tcW w:w="570" w:type="pct"/>
            <w:tcBorders>
              <w:bottom w:val="single" w:color="000000" w:sz="4" w:space="0"/>
            </w:tcBorders>
            <w:vAlign w:val="center"/>
          </w:tcPr>
          <w:p w14:paraId="5667F7D3">
            <w:pPr>
              <w:pStyle w:val="16"/>
              <w:adjustRightInd w:val="0"/>
              <w:snapToGrid w:val="0"/>
              <w:spacing w:before="36" w:beforeLines="15" w:line="276" w:lineRule="auto"/>
              <w:ind w:left="0"/>
              <w:rPr>
                <w:b/>
                <w:sz w:val="18"/>
                <w:szCs w:val="18"/>
              </w:rPr>
            </w:pPr>
            <w:r>
              <w:rPr>
                <w:rFonts w:eastAsia="宋体" w:cs="宋体"/>
                <w:b/>
                <w:sz w:val="18"/>
              </w:rPr>
              <w:t>USUBJID</w:t>
            </w:r>
          </w:p>
        </w:tc>
        <w:tc>
          <w:tcPr>
            <w:tcW w:w="478" w:type="pct"/>
            <w:tcBorders>
              <w:bottom w:val="single" w:color="000000" w:sz="4" w:space="0"/>
            </w:tcBorders>
            <w:vAlign w:val="center"/>
          </w:tcPr>
          <w:p w14:paraId="6D9B5056">
            <w:pPr>
              <w:pStyle w:val="16"/>
              <w:adjustRightInd w:val="0"/>
              <w:snapToGrid w:val="0"/>
              <w:spacing w:before="36" w:beforeLines="15" w:line="276" w:lineRule="auto"/>
              <w:ind w:left="0"/>
              <w:rPr>
                <w:b/>
                <w:sz w:val="18"/>
                <w:szCs w:val="18"/>
              </w:rPr>
            </w:pPr>
            <w:r>
              <w:rPr>
                <w:rFonts w:eastAsia="宋体" w:cs="宋体"/>
                <w:b/>
                <w:sz w:val="18"/>
              </w:rPr>
              <w:t>NGSPL</w:t>
            </w:r>
          </w:p>
        </w:tc>
        <w:tc>
          <w:tcPr>
            <w:tcW w:w="408" w:type="pct"/>
            <w:tcBorders>
              <w:bottom w:val="single" w:color="000000" w:sz="4" w:space="0"/>
            </w:tcBorders>
            <w:vAlign w:val="center"/>
          </w:tcPr>
          <w:p w14:paraId="7A65E8A7">
            <w:pPr>
              <w:pStyle w:val="16"/>
              <w:adjustRightInd w:val="0"/>
              <w:snapToGrid w:val="0"/>
              <w:spacing w:before="36" w:beforeLines="15" w:line="276" w:lineRule="auto"/>
              <w:ind w:left="0"/>
              <w:rPr>
                <w:b/>
                <w:sz w:val="18"/>
                <w:szCs w:val="18"/>
              </w:rPr>
            </w:pPr>
            <w:r>
              <w:rPr>
                <w:rFonts w:eastAsia="宋体" w:cs="宋体"/>
                <w:b/>
                <w:sz w:val="18"/>
              </w:rPr>
              <w:t>VISIT</w:t>
            </w:r>
          </w:p>
        </w:tc>
        <w:tc>
          <w:tcPr>
            <w:tcW w:w="478" w:type="pct"/>
            <w:tcBorders>
              <w:bottom w:val="single" w:color="000000" w:sz="4" w:space="0"/>
            </w:tcBorders>
            <w:vAlign w:val="center"/>
          </w:tcPr>
          <w:p w14:paraId="329B40C9">
            <w:pPr>
              <w:pStyle w:val="16"/>
              <w:adjustRightInd w:val="0"/>
              <w:snapToGrid w:val="0"/>
              <w:spacing w:before="36" w:beforeLines="15" w:line="276" w:lineRule="auto"/>
              <w:ind w:left="0"/>
              <w:rPr>
                <w:b/>
                <w:sz w:val="18"/>
                <w:szCs w:val="18"/>
              </w:rPr>
            </w:pPr>
            <w:r>
              <w:rPr>
                <w:b/>
                <w:sz w:val="18"/>
                <w:szCs w:val="18"/>
              </w:rPr>
              <w:t>AAPOS</w:t>
            </w:r>
          </w:p>
        </w:tc>
        <w:tc>
          <w:tcPr>
            <w:tcW w:w="483" w:type="pct"/>
            <w:tcBorders>
              <w:bottom w:val="single" w:color="000000" w:sz="4" w:space="0"/>
            </w:tcBorders>
            <w:vAlign w:val="center"/>
          </w:tcPr>
          <w:p w14:paraId="09112B13">
            <w:pPr>
              <w:pStyle w:val="16"/>
              <w:adjustRightInd w:val="0"/>
              <w:snapToGrid w:val="0"/>
              <w:spacing w:before="36" w:beforeLines="15" w:line="276" w:lineRule="auto"/>
              <w:ind w:left="0"/>
              <w:rPr>
                <w:b/>
                <w:sz w:val="18"/>
                <w:szCs w:val="18"/>
              </w:rPr>
            </w:pPr>
            <w:r>
              <w:rPr>
                <w:b/>
                <w:sz w:val="18"/>
                <w:szCs w:val="18"/>
              </w:rPr>
              <w:t>AAREF</w:t>
            </w:r>
          </w:p>
        </w:tc>
        <w:tc>
          <w:tcPr>
            <w:tcW w:w="477" w:type="pct"/>
            <w:tcBorders>
              <w:bottom w:val="single" w:color="000000" w:sz="4" w:space="0"/>
            </w:tcBorders>
            <w:vAlign w:val="center"/>
          </w:tcPr>
          <w:p w14:paraId="72AE3963">
            <w:pPr>
              <w:pStyle w:val="16"/>
              <w:adjustRightInd w:val="0"/>
              <w:snapToGrid w:val="0"/>
              <w:spacing w:before="36" w:beforeLines="15" w:line="276" w:lineRule="auto"/>
              <w:ind w:left="0"/>
              <w:rPr>
                <w:b/>
                <w:sz w:val="18"/>
                <w:szCs w:val="18"/>
              </w:rPr>
            </w:pPr>
            <w:r>
              <w:rPr>
                <w:b/>
                <w:sz w:val="18"/>
                <w:szCs w:val="18"/>
              </w:rPr>
              <w:t>AASUB</w:t>
            </w:r>
          </w:p>
        </w:tc>
        <w:tc>
          <w:tcPr>
            <w:tcW w:w="427" w:type="pct"/>
            <w:tcBorders>
              <w:bottom w:val="single" w:color="000000" w:sz="4" w:space="0"/>
            </w:tcBorders>
            <w:vAlign w:val="center"/>
          </w:tcPr>
          <w:p w14:paraId="20DC81BA">
            <w:pPr>
              <w:pStyle w:val="16"/>
              <w:adjustRightInd w:val="0"/>
              <w:snapToGrid w:val="0"/>
              <w:spacing w:before="36" w:beforeLines="15" w:line="276" w:lineRule="auto"/>
              <w:ind w:left="0"/>
              <w:rPr>
                <w:b/>
                <w:sz w:val="18"/>
                <w:szCs w:val="18"/>
              </w:rPr>
            </w:pPr>
            <w:r>
              <w:rPr>
                <w:b/>
                <w:sz w:val="18"/>
                <w:szCs w:val="18"/>
              </w:rPr>
              <w:t>TCOV</w:t>
            </w:r>
          </w:p>
        </w:tc>
        <w:tc>
          <w:tcPr>
            <w:tcW w:w="431" w:type="pct"/>
            <w:tcBorders>
              <w:bottom w:val="single" w:color="000000" w:sz="4" w:space="0"/>
            </w:tcBorders>
            <w:vAlign w:val="center"/>
          </w:tcPr>
          <w:p w14:paraId="466992AA">
            <w:pPr>
              <w:pStyle w:val="16"/>
              <w:adjustRightInd w:val="0"/>
              <w:snapToGrid w:val="0"/>
              <w:spacing w:before="36" w:beforeLines="15" w:line="276" w:lineRule="auto"/>
              <w:ind w:left="0"/>
              <w:rPr>
                <w:b/>
                <w:sz w:val="18"/>
                <w:szCs w:val="18"/>
              </w:rPr>
            </w:pPr>
            <w:r>
              <w:rPr>
                <w:b/>
                <w:sz w:val="18"/>
                <w:szCs w:val="18"/>
              </w:rPr>
              <w:t>VCOV</w:t>
            </w:r>
          </w:p>
        </w:tc>
        <w:tc>
          <w:tcPr>
            <w:tcW w:w="564" w:type="pct"/>
            <w:tcBorders>
              <w:bottom w:val="single" w:color="000000" w:sz="4" w:space="0"/>
            </w:tcBorders>
            <w:vAlign w:val="center"/>
          </w:tcPr>
          <w:p w14:paraId="5B2C5248">
            <w:pPr>
              <w:pStyle w:val="16"/>
              <w:adjustRightInd w:val="0"/>
              <w:snapToGrid w:val="0"/>
              <w:spacing w:before="36" w:beforeLines="15" w:line="276" w:lineRule="auto"/>
              <w:ind w:left="0"/>
              <w:rPr>
                <w:b/>
                <w:sz w:val="18"/>
                <w:szCs w:val="18"/>
              </w:rPr>
            </w:pPr>
            <w:r>
              <w:rPr>
                <w:b/>
                <w:sz w:val="18"/>
                <w:szCs w:val="18"/>
              </w:rPr>
              <w:t>AAFREQ</w:t>
            </w:r>
          </w:p>
        </w:tc>
      </w:tr>
      <w:tr w14:paraId="49993A52">
        <w:tblPrEx>
          <w:tblCellMar>
            <w:top w:w="0" w:type="dxa"/>
            <w:left w:w="113" w:type="dxa"/>
            <w:bottom w:w="0" w:type="dxa"/>
            <w:right w:w="113" w:type="dxa"/>
          </w:tblCellMar>
        </w:tblPrEx>
        <w:trPr>
          <w:trHeight w:val="20" w:hRule="atLeast"/>
        </w:trPr>
        <w:tc>
          <w:tcPr>
            <w:tcW w:w="685" w:type="pct"/>
            <w:tcBorders>
              <w:top w:val="single" w:color="000000" w:sz="4" w:space="0"/>
            </w:tcBorders>
            <w:vAlign w:val="center"/>
          </w:tcPr>
          <w:p w14:paraId="73628983">
            <w:pPr>
              <w:pStyle w:val="16"/>
              <w:adjustRightInd w:val="0"/>
              <w:snapToGrid w:val="0"/>
              <w:spacing w:before="36" w:beforeLines="15" w:line="276" w:lineRule="auto"/>
              <w:ind w:left="0"/>
              <w:rPr>
                <w:sz w:val="18"/>
                <w:szCs w:val="18"/>
              </w:rPr>
            </w:pPr>
            <w:r>
              <w:rPr>
                <w:sz w:val="18"/>
                <w:szCs w:val="18"/>
              </w:rPr>
              <w:t>ABC123-999</w:t>
            </w:r>
          </w:p>
        </w:tc>
        <w:tc>
          <w:tcPr>
            <w:tcW w:w="570" w:type="pct"/>
            <w:tcBorders>
              <w:top w:val="single" w:color="000000" w:sz="4" w:space="0"/>
            </w:tcBorders>
            <w:vAlign w:val="center"/>
          </w:tcPr>
          <w:p w14:paraId="264248F9">
            <w:pPr>
              <w:pStyle w:val="16"/>
              <w:adjustRightInd w:val="0"/>
              <w:snapToGrid w:val="0"/>
              <w:spacing w:before="36" w:beforeLines="15" w:line="276" w:lineRule="auto"/>
              <w:ind w:left="0"/>
              <w:rPr>
                <w:sz w:val="18"/>
                <w:szCs w:val="18"/>
              </w:rPr>
            </w:pPr>
            <w:r>
              <w:rPr>
                <w:sz w:val="18"/>
                <w:szCs w:val="18"/>
              </w:rPr>
              <w:t>0123</w:t>
            </w:r>
          </w:p>
        </w:tc>
        <w:tc>
          <w:tcPr>
            <w:tcW w:w="478" w:type="pct"/>
            <w:tcBorders>
              <w:top w:val="single" w:color="000000" w:sz="4" w:space="0"/>
            </w:tcBorders>
            <w:vAlign w:val="center"/>
          </w:tcPr>
          <w:p w14:paraId="57F63EF7">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tcBorders>
              <w:top w:val="single" w:color="000000" w:sz="4" w:space="0"/>
            </w:tcBorders>
            <w:vAlign w:val="center"/>
          </w:tcPr>
          <w:p w14:paraId="1CDA60A6">
            <w:pPr>
              <w:pStyle w:val="16"/>
              <w:adjustRightInd w:val="0"/>
              <w:snapToGrid w:val="0"/>
              <w:spacing w:before="36" w:beforeLines="15" w:line="276" w:lineRule="auto"/>
              <w:ind w:left="0"/>
              <w:rPr>
                <w:sz w:val="18"/>
                <w:szCs w:val="18"/>
              </w:rPr>
            </w:pPr>
            <w:r>
              <w:rPr>
                <w:rFonts w:eastAsia="宋体" w:cs="宋体"/>
                <w:sz w:val="18"/>
              </w:rPr>
              <w:t>BL</w:t>
            </w:r>
          </w:p>
        </w:tc>
        <w:tc>
          <w:tcPr>
            <w:tcW w:w="478" w:type="pct"/>
            <w:tcBorders>
              <w:top w:val="single" w:color="000000" w:sz="4" w:space="0"/>
            </w:tcBorders>
            <w:vAlign w:val="center"/>
          </w:tcPr>
          <w:p w14:paraId="00BA8EC2">
            <w:pPr>
              <w:pStyle w:val="16"/>
              <w:adjustRightInd w:val="0"/>
              <w:snapToGrid w:val="0"/>
              <w:spacing w:before="36" w:beforeLines="15" w:line="276" w:lineRule="auto"/>
              <w:ind w:left="0"/>
              <w:rPr>
                <w:sz w:val="18"/>
                <w:szCs w:val="18"/>
              </w:rPr>
            </w:pPr>
            <w:r>
              <w:rPr>
                <w:sz w:val="18"/>
                <w:szCs w:val="18"/>
              </w:rPr>
              <w:t>81</w:t>
            </w:r>
          </w:p>
        </w:tc>
        <w:tc>
          <w:tcPr>
            <w:tcW w:w="483" w:type="pct"/>
            <w:tcBorders>
              <w:top w:val="single" w:color="000000" w:sz="4" w:space="0"/>
            </w:tcBorders>
            <w:vAlign w:val="center"/>
          </w:tcPr>
          <w:p w14:paraId="100362C6">
            <w:pPr>
              <w:pStyle w:val="16"/>
              <w:adjustRightInd w:val="0"/>
              <w:snapToGrid w:val="0"/>
              <w:spacing w:before="36" w:beforeLines="15" w:line="276" w:lineRule="auto"/>
              <w:ind w:left="0"/>
              <w:rPr>
                <w:sz w:val="18"/>
                <w:szCs w:val="18"/>
              </w:rPr>
            </w:pPr>
            <w:r>
              <w:rPr>
                <w:sz w:val="18"/>
                <w:szCs w:val="18"/>
              </w:rPr>
              <w:t>R</w:t>
            </w:r>
          </w:p>
        </w:tc>
        <w:tc>
          <w:tcPr>
            <w:tcW w:w="477" w:type="pct"/>
            <w:tcBorders>
              <w:top w:val="single" w:color="000000" w:sz="4" w:space="0"/>
            </w:tcBorders>
            <w:vAlign w:val="center"/>
          </w:tcPr>
          <w:p w14:paraId="6CF1058B">
            <w:pPr>
              <w:pStyle w:val="16"/>
              <w:adjustRightInd w:val="0"/>
              <w:snapToGrid w:val="0"/>
              <w:spacing w:before="36" w:beforeLines="15" w:line="276" w:lineRule="auto"/>
              <w:ind w:left="0"/>
              <w:rPr>
                <w:sz w:val="18"/>
                <w:szCs w:val="18"/>
              </w:rPr>
            </w:pPr>
            <w:r>
              <w:rPr>
                <w:sz w:val="18"/>
                <w:szCs w:val="18"/>
              </w:rPr>
              <w:t>K</w:t>
            </w:r>
          </w:p>
        </w:tc>
        <w:tc>
          <w:tcPr>
            <w:tcW w:w="427" w:type="pct"/>
            <w:tcBorders>
              <w:top w:val="single" w:color="000000" w:sz="4" w:space="0"/>
            </w:tcBorders>
            <w:vAlign w:val="center"/>
          </w:tcPr>
          <w:p w14:paraId="756E9300">
            <w:pPr>
              <w:pStyle w:val="16"/>
              <w:adjustRightInd w:val="0"/>
              <w:snapToGrid w:val="0"/>
              <w:spacing w:before="36" w:beforeLines="15" w:line="276" w:lineRule="auto"/>
              <w:ind w:left="0"/>
              <w:rPr>
                <w:sz w:val="18"/>
                <w:szCs w:val="18"/>
              </w:rPr>
            </w:pPr>
            <w:r>
              <w:rPr>
                <w:sz w:val="18"/>
                <w:szCs w:val="18"/>
              </w:rPr>
              <w:t>4317</w:t>
            </w:r>
          </w:p>
        </w:tc>
        <w:tc>
          <w:tcPr>
            <w:tcW w:w="431" w:type="pct"/>
            <w:tcBorders>
              <w:top w:val="single" w:color="000000" w:sz="4" w:space="0"/>
            </w:tcBorders>
            <w:vAlign w:val="center"/>
          </w:tcPr>
          <w:p w14:paraId="2E0A6601">
            <w:pPr>
              <w:pStyle w:val="16"/>
              <w:adjustRightInd w:val="0"/>
              <w:snapToGrid w:val="0"/>
              <w:spacing w:before="36" w:beforeLines="15" w:line="276" w:lineRule="auto"/>
              <w:ind w:left="0"/>
              <w:rPr>
                <w:sz w:val="18"/>
                <w:szCs w:val="18"/>
              </w:rPr>
            </w:pPr>
            <w:r>
              <w:rPr>
                <w:sz w:val="18"/>
                <w:szCs w:val="18"/>
              </w:rPr>
              <w:t>156</w:t>
            </w:r>
          </w:p>
        </w:tc>
        <w:tc>
          <w:tcPr>
            <w:tcW w:w="564" w:type="pct"/>
            <w:tcBorders>
              <w:top w:val="single" w:color="000000" w:sz="4" w:space="0"/>
            </w:tcBorders>
            <w:vAlign w:val="center"/>
          </w:tcPr>
          <w:p w14:paraId="5FF809B4">
            <w:pPr>
              <w:pStyle w:val="16"/>
              <w:adjustRightInd w:val="0"/>
              <w:snapToGrid w:val="0"/>
              <w:spacing w:before="36" w:beforeLines="15" w:line="276" w:lineRule="auto"/>
              <w:ind w:left="0"/>
              <w:rPr>
                <w:sz w:val="18"/>
                <w:szCs w:val="18"/>
              </w:rPr>
            </w:pPr>
            <w:r>
              <w:rPr>
                <w:sz w:val="18"/>
                <w:szCs w:val="18"/>
              </w:rPr>
              <w:t>0.036</w:t>
            </w:r>
          </w:p>
        </w:tc>
      </w:tr>
      <w:tr w14:paraId="4CE0CC8B">
        <w:tblPrEx>
          <w:tblCellMar>
            <w:top w:w="0" w:type="dxa"/>
            <w:left w:w="113" w:type="dxa"/>
            <w:bottom w:w="0" w:type="dxa"/>
            <w:right w:w="113" w:type="dxa"/>
          </w:tblCellMar>
        </w:tblPrEx>
        <w:trPr>
          <w:trHeight w:val="20" w:hRule="atLeast"/>
        </w:trPr>
        <w:tc>
          <w:tcPr>
            <w:tcW w:w="685" w:type="pct"/>
            <w:vAlign w:val="center"/>
          </w:tcPr>
          <w:p w14:paraId="165F4644">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60175673">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7A5C5902">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43CF9CC2">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0EBDA236">
            <w:pPr>
              <w:pStyle w:val="16"/>
              <w:adjustRightInd w:val="0"/>
              <w:snapToGrid w:val="0"/>
              <w:spacing w:before="36" w:beforeLines="15" w:line="276" w:lineRule="auto"/>
              <w:ind w:left="0"/>
              <w:rPr>
                <w:sz w:val="18"/>
                <w:szCs w:val="18"/>
              </w:rPr>
            </w:pPr>
            <w:r>
              <w:rPr>
                <w:sz w:val="18"/>
                <w:szCs w:val="18"/>
              </w:rPr>
              <w:t>98</w:t>
            </w:r>
          </w:p>
        </w:tc>
        <w:tc>
          <w:tcPr>
            <w:tcW w:w="483" w:type="pct"/>
            <w:vAlign w:val="center"/>
          </w:tcPr>
          <w:p w14:paraId="1C049C07">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77E28B09">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48FCD7F2">
            <w:pPr>
              <w:pStyle w:val="16"/>
              <w:adjustRightInd w:val="0"/>
              <w:snapToGrid w:val="0"/>
              <w:spacing w:before="36" w:beforeLines="15" w:line="276" w:lineRule="auto"/>
              <w:ind w:left="0"/>
              <w:rPr>
                <w:sz w:val="18"/>
                <w:szCs w:val="18"/>
              </w:rPr>
            </w:pPr>
            <w:r>
              <w:rPr>
                <w:sz w:val="18"/>
                <w:szCs w:val="18"/>
              </w:rPr>
              <w:t>2841</w:t>
            </w:r>
          </w:p>
        </w:tc>
        <w:tc>
          <w:tcPr>
            <w:tcW w:w="431" w:type="pct"/>
            <w:vAlign w:val="center"/>
          </w:tcPr>
          <w:p w14:paraId="26F54C89">
            <w:pPr>
              <w:pStyle w:val="16"/>
              <w:adjustRightInd w:val="0"/>
              <w:snapToGrid w:val="0"/>
              <w:spacing w:before="36" w:beforeLines="15" w:line="276" w:lineRule="auto"/>
              <w:ind w:left="0"/>
              <w:rPr>
                <w:sz w:val="18"/>
                <w:szCs w:val="18"/>
              </w:rPr>
            </w:pPr>
            <w:r>
              <w:rPr>
                <w:sz w:val="18"/>
                <w:szCs w:val="18"/>
              </w:rPr>
              <w:t>99</w:t>
            </w:r>
          </w:p>
        </w:tc>
        <w:tc>
          <w:tcPr>
            <w:tcW w:w="564" w:type="pct"/>
            <w:vAlign w:val="center"/>
          </w:tcPr>
          <w:p w14:paraId="2B85F3A5">
            <w:pPr>
              <w:pStyle w:val="16"/>
              <w:adjustRightInd w:val="0"/>
              <w:snapToGrid w:val="0"/>
              <w:spacing w:before="36" w:beforeLines="15" w:line="276" w:lineRule="auto"/>
              <w:ind w:left="0"/>
              <w:rPr>
                <w:sz w:val="18"/>
                <w:szCs w:val="18"/>
              </w:rPr>
            </w:pPr>
            <w:r>
              <w:rPr>
                <w:sz w:val="18"/>
                <w:szCs w:val="18"/>
              </w:rPr>
              <w:t>0.035</w:t>
            </w:r>
          </w:p>
        </w:tc>
      </w:tr>
      <w:tr w14:paraId="4EAD700A">
        <w:tblPrEx>
          <w:tblCellMar>
            <w:top w:w="0" w:type="dxa"/>
            <w:left w:w="113" w:type="dxa"/>
            <w:bottom w:w="0" w:type="dxa"/>
            <w:right w:w="113" w:type="dxa"/>
          </w:tblCellMar>
        </w:tblPrEx>
        <w:trPr>
          <w:trHeight w:val="20" w:hRule="atLeast"/>
        </w:trPr>
        <w:tc>
          <w:tcPr>
            <w:tcW w:w="685" w:type="pct"/>
            <w:vAlign w:val="center"/>
          </w:tcPr>
          <w:p w14:paraId="6713D4E6">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7EDB64AD">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41B23AFB">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6D8D8C04">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6A4177AD">
            <w:pPr>
              <w:pStyle w:val="16"/>
              <w:adjustRightInd w:val="0"/>
              <w:snapToGrid w:val="0"/>
              <w:spacing w:before="36" w:beforeLines="15" w:line="276" w:lineRule="auto"/>
              <w:ind w:left="0"/>
              <w:rPr>
                <w:sz w:val="18"/>
                <w:szCs w:val="18"/>
              </w:rPr>
            </w:pPr>
            <w:r>
              <w:rPr>
                <w:sz w:val="18"/>
                <w:szCs w:val="18"/>
              </w:rPr>
              <w:t>98</w:t>
            </w:r>
          </w:p>
        </w:tc>
        <w:tc>
          <w:tcPr>
            <w:tcW w:w="483" w:type="pct"/>
            <w:vAlign w:val="center"/>
          </w:tcPr>
          <w:p w14:paraId="6C991C5C">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48E1E092">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1C71114A">
            <w:pPr>
              <w:pStyle w:val="16"/>
              <w:adjustRightInd w:val="0"/>
              <w:snapToGrid w:val="0"/>
              <w:spacing w:before="36" w:beforeLines="15" w:line="276" w:lineRule="auto"/>
              <w:ind w:left="0"/>
              <w:rPr>
                <w:sz w:val="18"/>
                <w:szCs w:val="18"/>
              </w:rPr>
            </w:pPr>
            <w:r>
              <w:rPr>
                <w:sz w:val="18"/>
                <w:szCs w:val="18"/>
              </w:rPr>
              <w:t>9487</w:t>
            </w:r>
          </w:p>
        </w:tc>
        <w:tc>
          <w:tcPr>
            <w:tcW w:w="431" w:type="pct"/>
            <w:vAlign w:val="center"/>
          </w:tcPr>
          <w:p w14:paraId="38B10BF7">
            <w:pPr>
              <w:pStyle w:val="16"/>
              <w:adjustRightInd w:val="0"/>
              <w:snapToGrid w:val="0"/>
              <w:spacing w:before="36" w:beforeLines="15" w:line="276" w:lineRule="auto"/>
              <w:ind w:left="0"/>
              <w:rPr>
                <w:sz w:val="18"/>
                <w:szCs w:val="18"/>
              </w:rPr>
            </w:pPr>
            <w:r>
              <w:rPr>
                <w:sz w:val="18"/>
                <w:szCs w:val="18"/>
              </w:rPr>
              <w:t>366</w:t>
            </w:r>
          </w:p>
        </w:tc>
        <w:tc>
          <w:tcPr>
            <w:tcW w:w="564" w:type="pct"/>
            <w:vAlign w:val="center"/>
          </w:tcPr>
          <w:p w14:paraId="7B24D287">
            <w:pPr>
              <w:pStyle w:val="16"/>
              <w:adjustRightInd w:val="0"/>
              <w:snapToGrid w:val="0"/>
              <w:spacing w:before="36" w:beforeLines="15" w:line="276" w:lineRule="auto"/>
              <w:ind w:left="0"/>
              <w:rPr>
                <w:sz w:val="18"/>
                <w:szCs w:val="18"/>
              </w:rPr>
            </w:pPr>
            <w:r>
              <w:rPr>
                <w:sz w:val="18"/>
                <w:szCs w:val="18"/>
              </w:rPr>
              <w:t>0.039</w:t>
            </w:r>
          </w:p>
        </w:tc>
      </w:tr>
      <w:tr w14:paraId="79CC65ED">
        <w:tblPrEx>
          <w:tblCellMar>
            <w:top w:w="0" w:type="dxa"/>
            <w:left w:w="113" w:type="dxa"/>
            <w:bottom w:w="0" w:type="dxa"/>
            <w:right w:w="113" w:type="dxa"/>
          </w:tblCellMar>
        </w:tblPrEx>
        <w:trPr>
          <w:trHeight w:val="20" w:hRule="atLeast"/>
        </w:trPr>
        <w:tc>
          <w:tcPr>
            <w:tcW w:w="685" w:type="pct"/>
            <w:vAlign w:val="center"/>
          </w:tcPr>
          <w:p w14:paraId="6EB01828">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749B9F47">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113A649A">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08321A87">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05305176">
            <w:pPr>
              <w:pStyle w:val="16"/>
              <w:adjustRightInd w:val="0"/>
              <w:snapToGrid w:val="0"/>
              <w:spacing w:before="36" w:beforeLines="15" w:line="276" w:lineRule="auto"/>
              <w:ind w:left="0"/>
              <w:rPr>
                <w:sz w:val="18"/>
                <w:szCs w:val="18"/>
              </w:rPr>
            </w:pPr>
            <w:r>
              <w:rPr>
                <w:sz w:val="18"/>
                <w:szCs w:val="18"/>
              </w:rPr>
              <w:t>98</w:t>
            </w:r>
          </w:p>
        </w:tc>
        <w:tc>
          <w:tcPr>
            <w:tcW w:w="483" w:type="pct"/>
            <w:vAlign w:val="center"/>
          </w:tcPr>
          <w:p w14:paraId="29B1D9FC">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27046247">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6E3B0D70">
            <w:pPr>
              <w:pStyle w:val="16"/>
              <w:adjustRightInd w:val="0"/>
              <w:snapToGrid w:val="0"/>
              <w:spacing w:before="36" w:beforeLines="15" w:line="276" w:lineRule="auto"/>
              <w:ind w:left="0"/>
              <w:rPr>
                <w:sz w:val="18"/>
                <w:szCs w:val="18"/>
              </w:rPr>
            </w:pPr>
            <w:r>
              <w:rPr>
                <w:sz w:val="18"/>
                <w:szCs w:val="18"/>
              </w:rPr>
              <w:t>9474</w:t>
            </w:r>
          </w:p>
        </w:tc>
        <w:tc>
          <w:tcPr>
            <w:tcW w:w="431" w:type="pct"/>
            <w:vAlign w:val="center"/>
          </w:tcPr>
          <w:p w14:paraId="6A7F851C">
            <w:pPr>
              <w:pStyle w:val="16"/>
              <w:adjustRightInd w:val="0"/>
              <w:snapToGrid w:val="0"/>
              <w:spacing w:before="36" w:beforeLines="15" w:line="276" w:lineRule="auto"/>
              <w:ind w:left="0"/>
              <w:rPr>
                <w:sz w:val="18"/>
                <w:szCs w:val="18"/>
              </w:rPr>
            </w:pPr>
            <w:r>
              <w:rPr>
                <w:sz w:val="18"/>
                <w:szCs w:val="18"/>
              </w:rPr>
              <w:t>378</w:t>
            </w:r>
          </w:p>
        </w:tc>
        <w:tc>
          <w:tcPr>
            <w:tcW w:w="564" w:type="pct"/>
            <w:vAlign w:val="center"/>
          </w:tcPr>
          <w:p w14:paraId="39227417">
            <w:pPr>
              <w:pStyle w:val="16"/>
              <w:adjustRightInd w:val="0"/>
              <w:snapToGrid w:val="0"/>
              <w:spacing w:before="36" w:beforeLines="15" w:line="276" w:lineRule="auto"/>
              <w:ind w:left="0"/>
              <w:rPr>
                <w:sz w:val="18"/>
                <w:szCs w:val="18"/>
              </w:rPr>
            </w:pPr>
            <w:r>
              <w:rPr>
                <w:sz w:val="18"/>
                <w:szCs w:val="18"/>
              </w:rPr>
              <w:t>0.040</w:t>
            </w:r>
          </w:p>
        </w:tc>
      </w:tr>
      <w:tr w14:paraId="5748D6AB">
        <w:tblPrEx>
          <w:tblCellMar>
            <w:top w:w="0" w:type="dxa"/>
            <w:left w:w="113" w:type="dxa"/>
            <w:bottom w:w="0" w:type="dxa"/>
            <w:right w:w="113" w:type="dxa"/>
          </w:tblCellMar>
        </w:tblPrEx>
        <w:trPr>
          <w:trHeight w:val="20" w:hRule="atLeast"/>
        </w:trPr>
        <w:tc>
          <w:tcPr>
            <w:tcW w:w="685" w:type="pct"/>
            <w:vAlign w:val="center"/>
          </w:tcPr>
          <w:p w14:paraId="316F318E">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11CCE330">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7C3470AA">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02D32DDC">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7A930D63">
            <w:pPr>
              <w:pStyle w:val="16"/>
              <w:adjustRightInd w:val="0"/>
              <w:snapToGrid w:val="0"/>
              <w:spacing w:before="36" w:beforeLines="15" w:line="276" w:lineRule="auto"/>
              <w:ind w:left="0"/>
              <w:rPr>
                <w:sz w:val="18"/>
                <w:szCs w:val="18"/>
              </w:rPr>
            </w:pPr>
            <w:r>
              <w:rPr>
                <w:sz w:val="18"/>
                <w:szCs w:val="18"/>
              </w:rPr>
              <w:t>120</w:t>
            </w:r>
          </w:p>
        </w:tc>
        <w:tc>
          <w:tcPr>
            <w:tcW w:w="483" w:type="pct"/>
            <w:vAlign w:val="center"/>
          </w:tcPr>
          <w:p w14:paraId="76757F35">
            <w:pPr>
              <w:pStyle w:val="16"/>
              <w:adjustRightInd w:val="0"/>
              <w:snapToGrid w:val="0"/>
              <w:spacing w:before="36" w:beforeLines="15" w:line="276" w:lineRule="auto"/>
              <w:ind w:left="0"/>
              <w:rPr>
                <w:sz w:val="18"/>
                <w:szCs w:val="18"/>
              </w:rPr>
            </w:pPr>
            <w:r>
              <w:rPr>
                <w:sz w:val="18"/>
                <w:szCs w:val="18"/>
              </w:rPr>
              <w:t>R</w:t>
            </w:r>
          </w:p>
        </w:tc>
        <w:tc>
          <w:tcPr>
            <w:tcW w:w="477" w:type="pct"/>
            <w:vAlign w:val="center"/>
          </w:tcPr>
          <w:p w14:paraId="149E08EC">
            <w:pPr>
              <w:pStyle w:val="16"/>
              <w:adjustRightInd w:val="0"/>
              <w:snapToGrid w:val="0"/>
              <w:spacing w:before="36" w:beforeLines="15" w:line="276" w:lineRule="auto"/>
              <w:ind w:left="0"/>
              <w:rPr>
                <w:sz w:val="18"/>
                <w:szCs w:val="18"/>
              </w:rPr>
            </w:pPr>
            <w:r>
              <w:rPr>
                <w:sz w:val="18"/>
                <w:szCs w:val="18"/>
              </w:rPr>
              <w:t>Q</w:t>
            </w:r>
          </w:p>
        </w:tc>
        <w:tc>
          <w:tcPr>
            <w:tcW w:w="427" w:type="pct"/>
            <w:vAlign w:val="center"/>
          </w:tcPr>
          <w:p w14:paraId="0DC8F22C">
            <w:pPr>
              <w:pStyle w:val="16"/>
              <w:adjustRightInd w:val="0"/>
              <w:snapToGrid w:val="0"/>
              <w:spacing w:before="36" w:beforeLines="15" w:line="276" w:lineRule="auto"/>
              <w:ind w:left="0"/>
              <w:rPr>
                <w:sz w:val="18"/>
                <w:szCs w:val="18"/>
              </w:rPr>
            </w:pPr>
            <w:r>
              <w:rPr>
                <w:sz w:val="18"/>
                <w:szCs w:val="18"/>
              </w:rPr>
              <w:t>4310</w:t>
            </w:r>
          </w:p>
        </w:tc>
        <w:tc>
          <w:tcPr>
            <w:tcW w:w="431" w:type="pct"/>
            <w:vAlign w:val="center"/>
          </w:tcPr>
          <w:p w14:paraId="70FF2A71">
            <w:pPr>
              <w:pStyle w:val="16"/>
              <w:adjustRightInd w:val="0"/>
              <w:snapToGrid w:val="0"/>
              <w:spacing w:before="36" w:beforeLines="15" w:line="276" w:lineRule="auto"/>
              <w:ind w:left="0"/>
              <w:rPr>
                <w:sz w:val="18"/>
                <w:szCs w:val="18"/>
              </w:rPr>
            </w:pPr>
            <w:r>
              <w:rPr>
                <w:sz w:val="18"/>
                <w:szCs w:val="18"/>
              </w:rPr>
              <w:t>200</w:t>
            </w:r>
          </w:p>
        </w:tc>
        <w:tc>
          <w:tcPr>
            <w:tcW w:w="564" w:type="pct"/>
            <w:vAlign w:val="center"/>
          </w:tcPr>
          <w:p w14:paraId="080C348E">
            <w:pPr>
              <w:pStyle w:val="16"/>
              <w:adjustRightInd w:val="0"/>
              <w:snapToGrid w:val="0"/>
              <w:spacing w:before="36" w:beforeLines="15" w:line="276" w:lineRule="auto"/>
              <w:ind w:left="0"/>
              <w:rPr>
                <w:sz w:val="18"/>
                <w:szCs w:val="18"/>
              </w:rPr>
            </w:pPr>
            <w:r>
              <w:rPr>
                <w:sz w:val="18"/>
                <w:szCs w:val="18"/>
              </w:rPr>
              <w:t>0.046</w:t>
            </w:r>
          </w:p>
        </w:tc>
      </w:tr>
      <w:tr w14:paraId="4FD0AD21">
        <w:tblPrEx>
          <w:tblCellMar>
            <w:top w:w="0" w:type="dxa"/>
            <w:left w:w="113" w:type="dxa"/>
            <w:bottom w:w="0" w:type="dxa"/>
            <w:right w:w="113" w:type="dxa"/>
          </w:tblCellMar>
        </w:tblPrEx>
        <w:trPr>
          <w:trHeight w:val="20" w:hRule="atLeast"/>
        </w:trPr>
        <w:tc>
          <w:tcPr>
            <w:tcW w:w="685" w:type="pct"/>
            <w:vAlign w:val="center"/>
          </w:tcPr>
          <w:p w14:paraId="206048F9">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28DC2CAF">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21AB0034">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3833A16F">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2FC4F14C">
            <w:pPr>
              <w:pStyle w:val="16"/>
              <w:adjustRightInd w:val="0"/>
              <w:snapToGrid w:val="0"/>
              <w:spacing w:before="36" w:beforeLines="15" w:line="276" w:lineRule="auto"/>
              <w:ind w:left="0"/>
              <w:rPr>
                <w:sz w:val="18"/>
                <w:szCs w:val="18"/>
              </w:rPr>
            </w:pPr>
            <w:r>
              <w:rPr>
                <w:sz w:val="18"/>
                <w:szCs w:val="18"/>
              </w:rPr>
              <w:t>120</w:t>
            </w:r>
          </w:p>
        </w:tc>
        <w:tc>
          <w:tcPr>
            <w:tcW w:w="483" w:type="pct"/>
            <w:vAlign w:val="center"/>
          </w:tcPr>
          <w:p w14:paraId="3169BF83">
            <w:pPr>
              <w:pStyle w:val="16"/>
              <w:adjustRightInd w:val="0"/>
              <w:snapToGrid w:val="0"/>
              <w:spacing w:before="36" w:beforeLines="15" w:line="276" w:lineRule="auto"/>
              <w:ind w:left="0"/>
              <w:rPr>
                <w:sz w:val="18"/>
                <w:szCs w:val="18"/>
              </w:rPr>
            </w:pPr>
            <w:r>
              <w:rPr>
                <w:sz w:val="18"/>
                <w:szCs w:val="18"/>
              </w:rPr>
              <w:t>R</w:t>
            </w:r>
          </w:p>
        </w:tc>
        <w:tc>
          <w:tcPr>
            <w:tcW w:w="477" w:type="pct"/>
            <w:vAlign w:val="center"/>
          </w:tcPr>
          <w:p w14:paraId="40E4C255">
            <w:pPr>
              <w:pStyle w:val="16"/>
              <w:adjustRightInd w:val="0"/>
              <w:snapToGrid w:val="0"/>
              <w:spacing w:before="36" w:beforeLines="15" w:line="276" w:lineRule="auto"/>
              <w:ind w:left="0"/>
              <w:rPr>
                <w:sz w:val="18"/>
                <w:szCs w:val="18"/>
              </w:rPr>
            </w:pPr>
            <w:r>
              <w:rPr>
                <w:sz w:val="18"/>
                <w:szCs w:val="18"/>
              </w:rPr>
              <w:t>Q</w:t>
            </w:r>
          </w:p>
        </w:tc>
        <w:tc>
          <w:tcPr>
            <w:tcW w:w="427" w:type="pct"/>
            <w:vAlign w:val="center"/>
          </w:tcPr>
          <w:p w14:paraId="23000422">
            <w:pPr>
              <w:pStyle w:val="16"/>
              <w:adjustRightInd w:val="0"/>
              <w:snapToGrid w:val="0"/>
              <w:spacing w:before="36" w:beforeLines="15" w:line="276" w:lineRule="auto"/>
              <w:ind w:left="0"/>
              <w:rPr>
                <w:sz w:val="18"/>
                <w:szCs w:val="18"/>
              </w:rPr>
            </w:pPr>
            <w:r>
              <w:rPr>
                <w:sz w:val="18"/>
                <w:szCs w:val="18"/>
              </w:rPr>
              <w:t>12722</w:t>
            </w:r>
          </w:p>
        </w:tc>
        <w:tc>
          <w:tcPr>
            <w:tcW w:w="431" w:type="pct"/>
            <w:vAlign w:val="center"/>
          </w:tcPr>
          <w:p w14:paraId="52AB4A3E">
            <w:pPr>
              <w:pStyle w:val="16"/>
              <w:adjustRightInd w:val="0"/>
              <w:snapToGrid w:val="0"/>
              <w:spacing w:before="36" w:beforeLines="15" w:line="276" w:lineRule="auto"/>
              <w:ind w:left="0"/>
              <w:rPr>
                <w:sz w:val="18"/>
                <w:szCs w:val="18"/>
              </w:rPr>
            </w:pPr>
            <w:r>
              <w:rPr>
                <w:sz w:val="18"/>
                <w:szCs w:val="18"/>
              </w:rPr>
              <w:t>470</w:t>
            </w:r>
          </w:p>
        </w:tc>
        <w:tc>
          <w:tcPr>
            <w:tcW w:w="564" w:type="pct"/>
            <w:vAlign w:val="center"/>
          </w:tcPr>
          <w:p w14:paraId="104C07B7">
            <w:pPr>
              <w:pStyle w:val="16"/>
              <w:adjustRightInd w:val="0"/>
              <w:snapToGrid w:val="0"/>
              <w:spacing w:before="36" w:beforeLines="15" w:line="276" w:lineRule="auto"/>
              <w:ind w:left="0"/>
              <w:rPr>
                <w:sz w:val="18"/>
                <w:szCs w:val="18"/>
              </w:rPr>
            </w:pPr>
            <w:r>
              <w:rPr>
                <w:sz w:val="18"/>
                <w:szCs w:val="18"/>
              </w:rPr>
              <w:t>0.037</w:t>
            </w:r>
          </w:p>
        </w:tc>
      </w:tr>
      <w:tr w14:paraId="17DE3FDC">
        <w:tblPrEx>
          <w:tblCellMar>
            <w:top w:w="0" w:type="dxa"/>
            <w:left w:w="113" w:type="dxa"/>
            <w:bottom w:w="0" w:type="dxa"/>
            <w:right w:w="113" w:type="dxa"/>
          </w:tblCellMar>
        </w:tblPrEx>
        <w:trPr>
          <w:trHeight w:val="20" w:hRule="atLeast"/>
        </w:trPr>
        <w:tc>
          <w:tcPr>
            <w:tcW w:w="685" w:type="pct"/>
            <w:vAlign w:val="center"/>
          </w:tcPr>
          <w:p w14:paraId="138EA6EE">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62A6A711">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2E641044">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4FD0D96B">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1A31BA1C">
            <w:pPr>
              <w:pStyle w:val="16"/>
              <w:adjustRightInd w:val="0"/>
              <w:snapToGrid w:val="0"/>
              <w:spacing w:before="36" w:beforeLines="15" w:line="276" w:lineRule="auto"/>
              <w:ind w:left="0"/>
              <w:rPr>
                <w:sz w:val="18"/>
                <w:szCs w:val="18"/>
              </w:rPr>
            </w:pPr>
            <w:r>
              <w:rPr>
                <w:sz w:val="18"/>
                <w:szCs w:val="18"/>
              </w:rPr>
              <w:t>120</w:t>
            </w:r>
          </w:p>
        </w:tc>
        <w:tc>
          <w:tcPr>
            <w:tcW w:w="483" w:type="pct"/>
            <w:vAlign w:val="center"/>
          </w:tcPr>
          <w:p w14:paraId="00BD8EA8">
            <w:pPr>
              <w:pStyle w:val="16"/>
              <w:adjustRightInd w:val="0"/>
              <w:snapToGrid w:val="0"/>
              <w:spacing w:before="36" w:beforeLines="15" w:line="276" w:lineRule="auto"/>
              <w:ind w:left="0"/>
              <w:rPr>
                <w:sz w:val="18"/>
                <w:szCs w:val="18"/>
              </w:rPr>
            </w:pPr>
            <w:r>
              <w:rPr>
                <w:sz w:val="18"/>
                <w:szCs w:val="18"/>
              </w:rPr>
              <w:t>R</w:t>
            </w:r>
          </w:p>
        </w:tc>
        <w:tc>
          <w:tcPr>
            <w:tcW w:w="477" w:type="pct"/>
            <w:vAlign w:val="center"/>
          </w:tcPr>
          <w:p w14:paraId="03166547">
            <w:pPr>
              <w:pStyle w:val="16"/>
              <w:adjustRightInd w:val="0"/>
              <w:snapToGrid w:val="0"/>
              <w:spacing w:before="36" w:beforeLines="15" w:line="276" w:lineRule="auto"/>
              <w:ind w:left="0"/>
              <w:rPr>
                <w:sz w:val="18"/>
                <w:szCs w:val="18"/>
              </w:rPr>
            </w:pPr>
            <w:r>
              <w:rPr>
                <w:sz w:val="18"/>
                <w:szCs w:val="18"/>
              </w:rPr>
              <w:t>Q</w:t>
            </w:r>
          </w:p>
        </w:tc>
        <w:tc>
          <w:tcPr>
            <w:tcW w:w="427" w:type="pct"/>
            <w:vAlign w:val="center"/>
          </w:tcPr>
          <w:p w14:paraId="0D3808A6">
            <w:pPr>
              <w:pStyle w:val="16"/>
              <w:adjustRightInd w:val="0"/>
              <w:snapToGrid w:val="0"/>
              <w:spacing w:before="36" w:beforeLines="15" w:line="276" w:lineRule="auto"/>
              <w:ind w:left="0"/>
              <w:rPr>
                <w:sz w:val="18"/>
                <w:szCs w:val="18"/>
              </w:rPr>
            </w:pPr>
            <w:r>
              <w:rPr>
                <w:sz w:val="18"/>
                <w:szCs w:val="18"/>
              </w:rPr>
              <w:t>12466</w:t>
            </w:r>
          </w:p>
        </w:tc>
        <w:tc>
          <w:tcPr>
            <w:tcW w:w="431" w:type="pct"/>
            <w:vAlign w:val="center"/>
          </w:tcPr>
          <w:p w14:paraId="39B07B97">
            <w:pPr>
              <w:pStyle w:val="16"/>
              <w:adjustRightInd w:val="0"/>
              <w:snapToGrid w:val="0"/>
              <w:spacing w:before="36" w:beforeLines="15" w:line="276" w:lineRule="auto"/>
              <w:ind w:left="0"/>
              <w:rPr>
                <w:sz w:val="18"/>
                <w:szCs w:val="18"/>
              </w:rPr>
            </w:pPr>
            <w:r>
              <w:rPr>
                <w:sz w:val="18"/>
                <w:szCs w:val="18"/>
              </w:rPr>
              <w:t>489</w:t>
            </w:r>
          </w:p>
        </w:tc>
        <w:tc>
          <w:tcPr>
            <w:tcW w:w="564" w:type="pct"/>
            <w:vAlign w:val="center"/>
          </w:tcPr>
          <w:p w14:paraId="428232A8">
            <w:pPr>
              <w:pStyle w:val="16"/>
              <w:adjustRightInd w:val="0"/>
              <w:snapToGrid w:val="0"/>
              <w:spacing w:before="36" w:beforeLines="15" w:line="276" w:lineRule="auto"/>
              <w:ind w:left="0"/>
              <w:rPr>
                <w:sz w:val="18"/>
                <w:szCs w:val="18"/>
              </w:rPr>
            </w:pPr>
            <w:r>
              <w:rPr>
                <w:sz w:val="18"/>
                <w:szCs w:val="18"/>
              </w:rPr>
              <w:t>0.039</w:t>
            </w:r>
          </w:p>
        </w:tc>
      </w:tr>
      <w:tr w14:paraId="6F57C7C6">
        <w:tblPrEx>
          <w:tblCellMar>
            <w:top w:w="0" w:type="dxa"/>
            <w:left w:w="113" w:type="dxa"/>
            <w:bottom w:w="0" w:type="dxa"/>
            <w:right w:w="113" w:type="dxa"/>
          </w:tblCellMar>
        </w:tblPrEx>
        <w:trPr>
          <w:trHeight w:val="20" w:hRule="atLeast"/>
        </w:trPr>
        <w:tc>
          <w:tcPr>
            <w:tcW w:w="685" w:type="pct"/>
            <w:vAlign w:val="center"/>
          </w:tcPr>
          <w:p w14:paraId="444492D2">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15C14919">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331E1083">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236C2F8F">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08693CBF">
            <w:pPr>
              <w:pStyle w:val="16"/>
              <w:adjustRightInd w:val="0"/>
              <w:snapToGrid w:val="0"/>
              <w:spacing w:before="36" w:beforeLines="15" w:line="276" w:lineRule="auto"/>
              <w:ind w:left="0"/>
              <w:rPr>
                <w:sz w:val="18"/>
                <w:szCs w:val="18"/>
              </w:rPr>
            </w:pPr>
            <w:r>
              <w:rPr>
                <w:sz w:val="18"/>
                <w:szCs w:val="18"/>
              </w:rPr>
              <w:t>147</w:t>
            </w:r>
          </w:p>
        </w:tc>
        <w:tc>
          <w:tcPr>
            <w:tcW w:w="483" w:type="pct"/>
            <w:vAlign w:val="center"/>
          </w:tcPr>
          <w:p w14:paraId="484C1CEA">
            <w:pPr>
              <w:pStyle w:val="16"/>
              <w:adjustRightInd w:val="0"/>
              <w:snapToGrid w:val="0"/>
              <w:spacing w:before="36" w:beforeLines="15" w:line="276" w:lineRule="auto"/>
              <w:ind w:left="0"/>
              <w:rPr>
                <w:sz w:val="18"/>
                <w:szCs w:val="18"/>
              </w:rPr>
            </w:pPr>
            <w:r>
              <w:rPr>
                <w:sz w:val="18"/>
                <w:szCs w:val="18"/>
              </w:rPr>
              <w:t>I</w:t>
            </w:r>
          </w:p>
        </w:tc>
        <w:tc>
          <w:tcPr>
            <w:tcW w:w="477" w:type="pct"/>
            <w:vAlign w:val="center"/>
          </w:tcPr>
          <w:p w14:paraId="2AFE1952">
            <w:pPr>
              <w:pStyle w:val="16"/>
              <w:adjustRightInd w:val="0"/>
              <w:snapToGrid w:val="0"/>
              <w:spacing w:before="36" w:beforeLines="15" w:line="276" w:lineRule="auto"/>
              <w:ind w:left="0"/>
              <w:rPr>
                <w:sz w:val="18"/>
                <w:szCs w:val="18"/>
              </w:rPr>
            </w:pPr>
            <w:r>
              <w:rPr>
                <w:sz w:val="18"/>
                <w:szCs w:val="18"/>
              </w:rPr>
              <w:t>V</w:t>
            </w:r>
          </w:p>
        </w:tc>
        <w:tc>
          <w:tcPr>
            <w:tcW w:w="427" w:type="pct"/>
            <w:vAlign w:val="center"/>
          </w:tcPr>
          <w:p w14:paraId="711E303C">
            <w:pPr>
              <w:pStyle w:val="16"/>
              <w:adjustRightInd w:val="0"/>
              <w:snapToGrid w:val="0"/>
              <w:spacing w:before="36" w:beforeLines="15" w:line="276" w:lineRule="auto"/>
              <w:ind w:left="0"/>
              <w:rPr>
                <w:sz w:val="18"/>
                <w:szCs w:val="18"/>
              </w:rPr>
            </w:pPr>
            <w:r>
              <w:rPr>
                <w:sz w:val="18"/>
                <w:szCs w:val="18"/>
              </w:rPr>
              <w:t>3456</w:t>
            </w:r>
          </w:p>
        </w:tc>
        <w:tc>
          <w:tcPr>
            <w:tcW w:w="431" w:type="pct"/>
            <w:vAlign w:val="center"/>
          </w:tcPr>
          <w:p w14:paraId="2E2D58A5">
            <w:pPr>
              <w:pStyle w:val="16"/>
              <w:adjustRightInd w:val="0"/>
              <w:snapToGrid w:val="0"/>
              <w:spacing w:before="36" w:beforeLines="15" w:line="276" w:lineRule="auto"/>
              <w:ind w:left="0"/>
              <w:rPr>
                <w:sz w:val="18"/>
                <w:szCs w:val="18"/>
              </w:rPr>
            </w:pPr>
            <w:r>
              <w:rPr>
                <w:sz w:val="18"/>
                <w:szCs w:val="18"/>
              </w:rPr>
              <w:t>742</w:t>
            </w:r>
          </w:p>
        </w:tc>
        <w:tc>
          <w:tcPr>
            <w:tcW w:w="564" w:type="pct"/>
            <w:vAlign w:val="center"/>
          </w:tcPr>
          <w:p w14:paraId="1CAE8CAF">
            <w:pPr>
              <w:pStyle w:val="16"/>
              <w:adjustRightInd w:val="0"/>
              <w:snapToGrid w:val="0"/>
              <w:spacing w:before="36" w:beforeLines="15" w:line="276" w:lineRule="auto"/>
              <w:ind w:left="0"/>
              <w:rPr>
                <w:sz w:val="18"/>
                <w:szCs w:val="18"/>
              </w:rPr>
            </w:pPr>
            <w:r>
              <w:rPr>
                <w:sz w:val="18"/>
                <w:szCs w:val="18"/>
              </w:rPr>
              <w:t>0.215</w:t>
            </w:r>
          </w:p>
        </w:tc>
      </w:tr>
      <w:tr w14:paraId="60454CF7">
        <w:tblPrEx>
          <w:tblCellMar>
            <w:top w:w="0" w:type="dxa"/>
            <w:left w:w="113" w:type="dxa"/>
            <w:bottom w:w="0" w:type="dxa"/>
            <w:right w:w="113" w:type="dxa"/>
          </w:tblCellMar>
        </w:tblPrEx>
        <w:trPr>
          <w:trHeight w:val="20" w:hRule="atLeast"/>
        </w:trPr>
        <w:tc>
          <w:tcPr>
            <w:tcW w:w="685" w:type="pct"/>
            <w:vAlign w:val="center"/>
          </w:tcPr>
          <w:p w14:paraId="1597EB99">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0035F905">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319EDD47">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369BC9EE">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119E8F39">
            <w:pPr>
              <w:pStyle w:val="16"/>
              <w:adjustRightInd w:val="0"/>
              <w:snapToGrid w:val="0"/>
              <w:spacing w:before="36" w:beforeLines="15" w:line="276" w:lineRule="auto"/>
              <w:ind w:left="0"/>
              <w:rPr>
                <w:sz w:val="18"/>
                <w:szCs w:val="18"/>
              </w:rPr>
            </w:pPr>
            <w:r>
              <w:rPr>
                <w:sz w:val="18"/>
                <w:szCs w:val="18"/>
              </w:rPr>
              <w:t>147</w:t>
            </w:r>
          </w:p>
        </w:tc>
        <w:tc>
          <w:tcPr>
            <w:tcW w:w="483" w:type="pct"/>
            <w:vAlign w:val="center"/>
          </w:tcPr>
          <w:p w14:paraId="0AE9366E">
            <w:pPr>
              <w:pStyle w:val="16"/>
              <w:adjustRightInd w:val="0"/>
              <w:snapToGrid w:val="0"/>
              <w:spacing w:before="36" w:beforeLines="15" w:line="276" w:lineRule="auto"/>
              <w:ind w:left="0"/>
              <w:rPr>
                <w:sz w:val="18"/>
                <w:szCs w:val="18"/>
              </w:rPr>
            </w:pPr>
            <w:r>
              <w:rPr>
                <w:sz w:val="18"/>
                <w:szCs w:val="18"/>
              </w:rPr>
              <w:t>I</w:t>
            </w:r>
          </w:p>
        </w:tc>
        <w:tc>
          <w:tcPr>
            <w:tcW w:w="477" w:type="pct"/>
            <w:vAlign w:val="center"/>
          </w:tcPr>
          <w:p w14:paraId="2FD9E0B2">
            <w:pPr>
              <w:pStyle w:val="16"/>
              <w:adjustRightInd w:val="0"/>
              <w:snapToGrid w:val="0"/>
              <w:spacing w:before="36" w:beforeLines="15" w:line="276" w:lineRule="auto"/>
              <w:ind w:left="0"/>
              <w:rPr>
                <w:sz w:val="18"/>
                <w:szCs w:val="18"/>
              </w:rPr>
            </w:pPr>
            <w:r>
              <w:rPr>
                <w:sz w:val="18"/>
                <w:szCs w:val="18"/>
              </w:rPr>
              <w:t>V</w:t>
            </w:r>
          </w:p>
        </w:tc>
        <w:tc>
          <w:tcPr>
            <w:tcW w:w="427" w:type="pct"/>
            <w:vAlign w:val="center"/>
          </w:tcPr>
          <w:p w14:paraId="548DD21F">
            <w:pPr>
              <w:pStyle w:val="16"/>
              <w:adjustRightInd w:val="0"/>
              <w:snapToGrid w:val="0"/>
              <w:spacing w:before="36" w:beforeLines="15" w:line="276" w:lineRule="auto"/>
              <w:ind w:left="0"/>
              <w:rPr>
                <w:sz w:val="18"/>
                <w:szCs w:val="18"/>
              </w:rPr>
            </w:pPr>
            <w:r>
              <w:rPr>
                <w:sz w:val="18"/>
                <w:szCs w:val="18"/>
              </w:rPr>
              <w:t>13456</w:t>
            </w:r>
          </w:p>
        </w:tc>
        <w:tc>
          <w:tcPr>
            <w:tcW w:w="431" w:type="pct"/>
            <w:vAlign w:val="center"/>
          </w:tcPr>
          <w:p w14:paraId="5FC2D7B6">
            <w:pPr>
              <w:pStyle w:val="16"/>
              <w:adjustRightInd w:val="0"/>
              <w:snapToGrid w:val="0"/>
              <w:spacing w:before="36" w:beforeLines="15" w:line="276" w:lineRule="auto"/>
              <w:ind w:left="0"/>
              <w:rPr>
                <w:sz w:val="18"/>
                <w:szCs w:val="18"/>
              </w:rPr>
            </w:pPr>
            <w:r>
              <w:rPr>
                <w:sz w:val="18"/>
                <w:szCs w:val="18"/>
              </w:rPr>
              <w:t>2709</w:t>
            </w:r>
          </w:p>
        </w:tc>
        <w:tc>
          <w:tcPr>
            <w:tcW w:w="564" w:type="pct"/>
            <w:vAlign w:val="center"/>
          </w:tcPr>
          <w:p w14:paraId="50DA42E6">
            <w:pPr>
              <w:pStyle w:val="16"/>
              <w:adjustRightInd w:val="0"/>
              <w:snapToGrid w:val="0"/>
              <w:spacing w:before="36" w:beforeLines="15" w:line="276" w:lineRule="auto"/>
              <w:ind w:left="0"/>
              <w:rPr>
                <w:sz w:val="18"/>
                <w:szCs w:val="18"/>
              </w:rPr>
            </w:pPr>
            <w:r>
              <w:rPr>
                <w:sz w:val="18"/>
                <w:szCs w:val="18"/>
              </w:rPr>
              <w:t>0.201</w:t>
            </w:r>
          </w:p>
        </w:tc>
      </w:tr>
      <w:tr w14:paraId="01C7D39D">
        <w:tblPrEx>
          <w:tblCellMar>
            <w:top w:w="0" w:type="dxa"/>
            <w:left w:w="113" w:type="dxa"/>
            <w:bottom w:w="0" w:type="dxa"/>
            <w:right w:w="113" w:type="dxa"/>
          </w:tblCellMar>
        </w:tblPrEx>
        <w:trPr>
          <w:trHeight w:val="20" w:hRule="atLeast"/>
        </w:trPr>
        <w:tc>
          <w:tcPr>
            <w:tcW w:w="685" w:type="pct"/>
            <w:vAlign w:val="center"/>
          </w:tcPr>
          <w:p w14:paraId="5DA690A5">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5A07FFE1">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7FF030D4">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3C8E29E7">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34EA6A8B">
            <w:pPr>
              <w:pStyle w:val="16"/>
              <w:adjustRightInd w:val="0"/>
              <w:snapToGrid w:val="0"/>
              <w:spacing w:before="36" w:beforeLines="15" w:line="276" w:lineRule="auto"/>
              <w:ind w:left="0"/>
              <w:rPr>
                <w:sz w:val="18"/>
                <w:szCs w:val="18"/>
              </w:rPr>
            </w:pPr>
            <w:r>
              <w:rPr>
                <w:sz w:val="18"/>
                <w:szCs w:val="18"/>
              </w:rPr>
              <w:t>147</w:t>
            </w:r>
          </w:p>
        </w:tc>
        <w:tc>
          <w:tcPr>
            <w:tcW w:w="483" w:type="pct"/>
            <w:vAlign w:val="center"/>
          </w:tcPr>
          <w:p w14:paraId="2006385B">
            <w:pPr>
              <w:pStyle w:val="16"/>
              <w:adjustRightInd w:val="0"/>
              <w:snapToGrid w:val="0"/>
              <w:spacing w:before="36" w:beforeLines="15" w:line="276" w:lineRule="auto"/>
              <w:ind w:left="0"/>
              <w:rPr>
                <w:sz w:val="18"/>
                <w:szCs w:val="18"/>
              </w:rPr>
            </w:pPr>
            <w:r>
              <w:rPr>
                <w:sz w:val="18"/>
                <w:szCs w:val="18"/>
              </w:rPr>
              <w:t>I</w:t>
            </w:r>
          </w:p>
        </w:tc>
        <w:tc>
          <w:tcPr>
            <w:tcW w:w="477" w:type="pct"/>
            <w:vAlign w:val="center"/>
          </w:tcPr>
          <w:p w14:paraId="29ACB714">
            <w:pPr>
              <w:pStyle w:val="16"/>
              <w:adjustRightInd w:val="0"/>
              <w:snapToGrid w:val="0"/>
              <w:spacing w:before="36" w:beforeLines="15" w:line="276" w:lineRule="auto"/>
              <w:ind w:left="0"/>
              <w:rPr>
                <w:sz w:val="18"/>
                <w:szCs w:val="18"/>
              </w:rPr>
            </w:pPr>
            <w:r>
              <w:rPr>
                <w:sz w:val="18"/>
                <w:szCs w:val="18"/>
              </w:rPr>
              <w:t>V</w:t>
            </w:r>
          </w:p>
        </w:tc>
        <w:tc>
          <w:tcPr>
            <w:tcW w:w="427" w:type="pct"/>
            <w:vAlign w:val="center"/>
          </w:tcPr>
          <w:p w14:paraId="61F840B2">
            <w:pPr>
              <w:pStyle w:val="16"/>
              <w:adjustRightInd w:val="0"/>
              <w:snapToGrid w:val="0"/>
              <w:spacing w:before="36" w:beforeLines="15" w:line="276" w:lineRule="auto"/>
              <w:ind w:left="0"/>
              <w:rPr>
                <w:sz w:val="18"/>
                <w:szCs w:val="18"/>
              </w:rPr>
            </w:pPr>
            <w:r>
              <w:rPr>
                <w:sz w:val="18"/>
                <w:szCs w:val="18"/>
              </w:rPr>
              <w:t>13297</w:t>
            </w:r>
          </w:p>
        </w:tc>
        <w:tc>
          <w:tcPr>
            <w:tcW w:w="431" w:type="pct"/>
            <w:vAlign w:val="center"/>
          </w:tcPr>
          <w:p w14:paraId="0BD6E2FB">
            <w:pPr>
              <w:pStyle w:val="16"/>
              <w:adjustRightInd w:val="0"/>
              <w:snapToGrid w:val="0"/>
              <w:spacing w:before="36" w:beforeLines="15" w:line="276" w:lineRule="auto"/>
              <w:ind w:left="0"/>
              <w:rPr>
                <w:sz w:val="18"/>
                <w:szCs w:val="18"/>
              </w:rPr>
            </w:pPr>
            <w:r>
              <w:rPr>
                <w:sz w:val="18"/>
                <w:szCs w:val="18"/>
              </w:rPr>
              <w:t>1934</w:t>
            </w:r>
          </w:p>
        </w:tc>
        <w:tc>
          <w:tcPr>
            <w:tcW w:w="564" w:type="pct"/>
            <w:vAlign w:val="center"/>
          </w:tcPr>
          <w:p w14:paraId="4DCE6364">
            <w:pPr>
              <w:pStyle w:val="16"/>
              <w:adjustRightInd w:val="0"/>
              <w:snapToGrid w:val="0"/>
              <w:spacing w:before="36" w:beforeLines="15" w:line="276" w:lineRule="auto"/>
              <w:ind w:left="0"/>
              <w:rPr>
                <w:sz w:val="18"/>
                <w:szCs w:val="18"/>
              </w:rPr>
            </w:pPr>
            <w:r>
              <w:rPr>
                <w:sz w:val="18"/>
                <w:szCs w:val="18"/>
              </w:rPr>
              <w:t>0.145</w:t>
            </w:r>
          </w:p>
        </w:tc>
      </w:tr>
      <w:tr w14:paraId="14E5A3B2">
        <w:tblPrEx>
          <w:tblCellMar>
            <w:top w:w="0" w:type="dxa"/>
            <w:left w:w="113" w:type="dxa"/>
            <w:bottom w:w="0" w:type="dxa"/>
            <w:right w:w="113" w:type="dxa"/>
          </w:tblCellMar>
        </w:tblPrEx>
        <w:trPr>
          <w:trHeight w:val="20" w:hRule="atLeast"/>
        </w:trPr>
        <w:tc>
          <w:tcPr>
            <w:tcW w:w="685" w:type="pct"/>
            <w:vAlign w:val="center"/>
          </w:tcPr>
          <w:p w14:paraId="6A0DF12B">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33E9F53C">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3171DDE2">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7859EDD5">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2D05F034">
            <w:pPr>
              <w:pStyle w:val="16"/>
              <w:adjustRightInd w:val="0"/>
              <w:snapToGrid w:val="0"/>
              <w:spacing w:before="36" w:beforeLines="15" w:line="276" w:lineRule="auto"/>
              <w:ind w:left="0"/>
              <w:rPr>
                <w:sz w:val="18"/>
                <w:szCs w:val="18"/>
              </w:rPr>
            </w:pPr>
            <w:r>
              <w:rPr>
                <w:sz w:val="18"/>
                <w:szCs w:val="18"/>
              </w:rPr>
              <w:t>150</w:t>
            </w:r>
          </w:p>
        </w:tc>
        <w:tc>
          <w:tcPr>
            <w:tcW w:w="483" w:type="pct"/>
            <w:vAlign w:val="center"/>
          </w:tcPr>
          <w:p w14:paraId="57DCBD0D">
            <w:pPr>
              <w:pStyle w:val="16"/>
              <w:adjustRightInd w:val="0"/>
              <w:snapToGrid w:val="0"/>
              <w:spacing w:before="36" w:beforeLines="15" w:line="276" w:lineRule="auto"/>
              <w:ind w:left="0"/>
              <w:rPr>
                <w:sz w:val="18"/>
                <w:szCs w:val="18"/>
              </w:rPr>
            </w:pPr>
            <w:r>
              <w:rPr>
                <w:sz w:val="18"/>
                <w:szCs w:val="18"/>
              </w:rPr>
              <w:t>A</w:t>
            </w:r>
          </w:p>
        </w:tc>
        <w:tc>
          <w:tcPr>
            <w:tcW w:w="477" w:type="pct"/>
            <w:vAlign w:val="center"/>
          </w:tcPr>
          <w:p w14:paraId="4A4D8479">
            <w:pPr>
              <w:pStyle w:val="16"/>
              <w:adjustRightInd w:val="0"/>
              <w:snapToGrid w:val="0"/>
              <w:spacing w:before="36" w:beforeLines="15" w:line="276" w:lineRule="auto"/>
              <w:ind w:left="0"/>
              <w:rPr>
                <w:sz w:val="18"/>
                <w:szCs w:val="18"/>
              </w:rPr>
            </w:pPr>
            <w:r>
              <w:rPr>
                <w:sz w:val="18"/>
                <w:szCs w:val="18"/>
              </w:rPr>
              <w:t>V</w:t>
            </w:r>
          </w:p>
        </w:tc>
        <w:tc>
          <w:tcPr>
            <w:tcW w:w="427" w:type="pct"/>
            <w:vAlign w:val="center"/>
          </w:tcPr>
          <w:p w14:paraId="1ADFED40">
            <w:pPr>
              <w:pStyle w:val="16"/>
              <w:adjustRightInd w:val="0"/>
              <w:snapToGrid w:val="0"/>
              <w:spacing w:before="36" w:beforeLines="15" w:line="276" w:lineRule="auto"/>
              <w:ind w:left="0"/>
              <w:rPr>
                <w:sz w:val="18"/>
                <w:szCs w:val="18"/>
              </w:rPr>
            </w:pPr>
            <w:r>
              <w:rPr>
                <w:sz w:val="18"/>
                <w:szCs w:val="18"/>
              </w:rPr>
              <w:t>3107</w:t>
            </w:r>
          </w:p>
        </w:tc>
        <w:tc>
          <w:tcPr>
            <w:tcW w:w="431" w:type="pct"/>
            <w:vAlign w:val="center"/>
          </w:tcPr>
          <w:p w14:paraId="1B9D7B2E">
            <w:pPr>
              <w:pStyle w:val="16"/>
              <w:adjustRightInd w:val="0"/>
              <w:snapToGrid w:val="0"/>
              <w:spacing w:before="36" w:beforeLines="15" w:line="276" w:lineRule="auto"/>
              <w:ind w:left="0"/>
              <w:rPr>
                <w:sz w:val="18"/>
                <w:szCs w:val="18"/>
              </w:rPr>
            </w:pPr>
            <w:r>
              <w:rPr>
                <w:sz w:val="18"/>
                <w:szCs w:val="18"/>
              </w:rPr>
              <w:t>43</w:t>
            </w:r>
          </w:p>
        </w:tc>
        <w:tc>
          <w:tcPr>
            <w:tcW w:w="564" w:type="pct"/>
            <w:vAlign w:val="center"/>
          </w:tcPr>
          <w:p w14:paraId="038B5FC4">
            <w:pPr>
              <w:pStyle w:val="16"/>
              <w:adjustRightInd w:val="0"/>
              <w:snapToGrid w:val="0"/>
              <w:spacing w:before="36" w:beforeLines="15" w:line="276" w:lineRule="auto"/>
              <w:ind w:left="0"/>
              <w:rPr>
                <w:sz w:val="18"/>
                <w:szCs w:val="18"/>
              </w:rPr>
            </w:pPr>
            <w:r>
              <w:rPr>
                <w:sz w:val="18"/>
                <w:szCs w:val="18"/>
              </w:rPr>
              <w:t>0.014</w:t>
            </w:r>
          </w:p>
        </w:tc>
      </w:tr>
      <w:tr w14:paraId="4ECC799C">
        <w:tblPrEx>
          <w:tblCellMar>
            <w:top w:w="0" w:type="dxa"/>
            <w:left w:w="113" w:type="dxa"/>
            <w:bottom w:w="0" w:type="dxa"/>
            <w:right w:w="113" w:type="dxa"/>
          </w:tblCellMar>
        </w:tblPrEx>
        <w:trPr>
          <w:trHeight w:val="20" w:hRule="atLeast"/>
        </w:trPr>
        <w:tc>
          <w:tcPr>
            <w:tcW w:w="685" w:type="pct"/>
            <w:vAlign w:val="center"/>
          </w:tcPr>
          <w:p w14:paraId="48C58DB3">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5DD9E20B">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0AC1ADEB">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4339D5C1">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1CCA2E99">
            <w:pPr>
              <w:pStyle w:val="16"/>
              <w:adjustRightInd w:val="0"/>
              <w:snapToGrid w:val="0"/>
              <w:spacing w:before="36" w:beforeLines="15" w:line="276" w:lineRule="auto"/>
              <w:ind w:left="0"/>
              <w:rPr>
                <w:sz w:val="18"/>
                <w:szCs w:val="18"/>
              </w:rPr>
            </w:pPr>
            <w:r>
              <w:rPr>
                <w:sz w:val="18"/>
                <w:szCs w:val="18"/>
              </w:rPr>
              <w:t>150</w:t>
            </w:r>
          </w:p>
        </w:tc>
        <w:tc>
          <w:tcPr>
            <w:tcW w:w="483" w:type="pct"/>
            <w:vAlign w:val="center"/>
          </w:tcPr>
          <w:p w14:paraId="136A6320">
            <w:pPr>
              <w:pStyle w:val="16"/>
              <w:adjustRightInd w:val="0"/>
              <w:snapToGrid w:val="0"/>
              <w:spacing w:before="36" w:beforeLines="15" w:line="276" w:lineRule="auto"/>
              <w:ind w:left="0"/>
              <w:rPr>
                <w:sz w:val="18"/>
                <w:szCs w:val="18"/>
              </w:rPr>
            </w:pPr>
            <w:r>
              <w:rPr>
                <w:sz w:val="18"/>
                <w:szCs w:val="18"/>
              </w:rPr>
              <w:t>A</w:t>
            </w:r>
          </w:p>
        </w:tc>
        <w:tc>
          <w:tcPr>
            <w:tcW w:w="477" w:type="pct"/>
            <w:vAlign w:val="center"/>
          </w:tcPr>
          <w:p w14:paraId="7369774C">
            <w:pPr>
              <w:pStyle w:val="16"/>
              <w:adjustRightInd w:val="0"/>
              <w:snapToGrid w:val="0"/>
              <w:spacing w:before="36" w:beforeLines="15" w:line="276" w:lineRule="auto"/>
              <w:ind w:left="0"/>
              <w:rPr>
                <w:sz w:val="18"/>
                <w:szCs w:val="18"/>
              </w:rPr>
            </w:pPr>
            <w:r>
              <w:rPr>
                <w:sz w:val="18"/>
                <w:szCs w:val="18"/>
              </w:rPr>
              <w:t>T</w:t>
            </w:r>
          </w:p>
        </w:tc>
        <w:tc>
          <w:tcPr>
            <w:tcW w:w="427" w:type="pct"/>
            <w:vAlign w:val="center"/>
          </w:tcPr>
          <w:p w14:paraId="3012930D">
            <w:pPr>
              <w:pStyle w:val="16"/>
              <w:adjustRightInd w:val="0"/>
              <w:snapToGrid w:val="0"/>
              <w:spacing w:before="36" w:beforeLines="15" w:line="276" w:lineRule="auto"/>
              <w:ind w:left="0"/>
              <w:rPr>
                <w:sz w:val="18"/>
                <w:szCs w:val="18"/>
              </w:rPr>
            </w:pPr>
            <w:r>
              <w:rPr>
                <w:sz w:val="18"/>
                <w:szCs w:val="18"/>
              </w:rPr>
              <w:t>13116</w:t>
            </w:r>
          </w:p>
        </w:tc>
        <w:tc>
          <w:tcPr>
            <w:tcW w:w="431" w:type="pct"/>
            <w:vAlign w:val="center"/>
          </w:tcPr>
          <w:p w14:paraId="53A017B0">
            <w:pPr>
              <w:pStyle w:val="16"/>
              <w:adjustRightInd w:val="0"/>
              <w:snapToGrid w:val="0"/>
              <w:spacing w:before="36" w:beforeLines="15" w:line="276" w:lineRule="auto"/>
              <w:ind w:left="0"/>
              <w:rPr>
                <w:sz w:val="18"/>
                <w:szCs w:val="18"/>
              </w:rPr>
            </w:pPr>
            <w:r>
              <w:rPr>
                <w:sz w:val="18"/>
                <w:szCs w:val="18"/>
              </w:rPr>
              <w:t>167</w:t>
            </w:r>
          </w:p>
        </w:tc>
        <w:tc>
          <w:tcPr>
            <w:tcW w:w="564" w:type="pct"/>
            <w:vAlign w:val="center"/>
          </w:tcPr>
          <w:p w14:paraId="3FB99D18">
            <w:pPr>
              <w:pStyle w:val="16"/>
              <w:adjustRightInd w:val="0"/>
              <w:snapToGrid w:val="0"/>
              <w:spacing w:before="36" w:beforeLines="15" w:line="276" w:lineRule="auto"/>
              <w:ind w:left="0"/>
              <w:rPr>
                <w:sz w:val="18"/>
                <w:szCs w:val="18"/>
              </w:rPr>
            </w:pPr>
            <w:r>
              <w:rPr>
                <w:sz w:val="18"/>
                <w:szCs w:val="18"/>
              </w:rPr>
              <w:t>0.013</w:t>
            </w:r>
          </w:p>
        </w:tc>
      </w:tr>
      <w:tr w14:paraId="5C50B227">
        <w:tblPrEx>
          <w:tblCellMar>
            <w:top w:w="0" w:type="dxa"/>
            <w:left w:w="113" w:type="dxa"/>
            <w:bottom w:w="0" w:type="dxa"/>
            <w:right w:w="113" w:type="dxa"/>
          </w:tblCellMar>
        </w:tblPrEx>
        <w:trPr>
          <w:trHeight w:val="20" w:hRule="atLeast"/>
        </w:trPr>
        <w:tc>
          <w:tcPr>
            <w:tcW w:w="685" w:type="pct"/>
            <w:vAlign w:val="center"/>
          </w:tcPr>
          <w:p w14:paraId="156231FD">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732461FE">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55D0381F">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3005D800">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6B3C5090">
            <w:pPr>
              <w:pStyle w:val="16"/>
              <w:adjustRightInd w:val="0"/>
              <w:snapToGrid w:val="0"/>
              <w:spacing w:before="36" w:beforeLines="15" w:line="276" w:lineRule="auto"/>
              <w:ind w:left="0"/>
              <w:rPr>
                <w:sz w:val="18"/>
                <w:szCs w:val="18"/>
              </w:rPr>
            </w:pPr>
            <w:r>
              <w:rPr>
                <w:sz w:val="18"/>
                <w:szCs w:val="18"/>
              </w:rPr>
              <w:t>154</w:t>
            </w:r>
          </w:p>
        </w:tc>
        <w:tc>
          <w:tcPr>
            <w:tcW w:w="483" w:type="pct"/>
            <w:vAlign w:val="center"/>
          </w:tcPr>
          <w:p w14:paraId="03EB98FB">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0058819F">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5E715939">
            <w:pPr>
              <w:pStyle w:val="16"/>
              <w:adjustRightInd w:val="0"/>
              <w:snapToGrid w:val="0"/>
              <w:spacing w:before="36" w:beforeLines="15" w:line="276" w:lineRule="auto"/>
              <w:ind w:left="0"/>
              <w:rPr>
                <w:sz w:val="18"/>
                <w:szCs w:val="18"/>
              </w:rPr>
            </w:pPr>
            <w:r>
              <w:rPr>
                <w:sz w:val="18"/>
                <w:szCs w:val="18"/>
              </w:rPr>
              <w:t>2987</w:t>
            </w:r>
          </w:p>
        </w:tc>
        <w:tc>
          <w:tcPr>
            <w:tcW w:w="431" w:type="pct"/>
            <w:vAlign w:val="center"/>
          </w:tcPr>
          <w:p w14:paraId="3D78BCD8">
            <w:pPr>
              <w:pStyle w:val="16"/>
              <w:adjustRightInd w:val="0"/>
              <w:snapToGrid w:val="0"/>
              <w:spacing w:before="36" w:beforeLines="15" w:line="276" w:lineRule="auto"/>
              <w:ind w:left="0"/>
              <w:rPr>
                <w:sz w:val="18"/>
                <w:szCs w:val="18"/>
              </w:rPr>
            </w:pPr>
            <w:r>
              <w:rPr>
                <w:sz w:val="18"/>
                <w:szCs w:val="18"/>
              </w:rPr>
              <w:t>124</w:t>
            </w:r>
          </w:p>
        </w:tc>
        <w:tc>
          <w:tcPr>
            <w:tcW w:w="564" w:type="pct"/>
            <w:vAlign w:val="center"/>
          </w:tcPr>
          <w:p w14:paraId="5BF18A3A">
            <w:pPr>
              <w:pStyle w:val="16"/>
              <w:adjustRightInd w:val="0"/>
              <w:snapToGrid w:val="0"/>
              <w:spacing w:before="36" w:beforeLines="15" w:line="276" w:lineRule="auto"/>
              <w:ind w:left="0"/>
              <w:rPr>
                <w:sz w:val="18"/>
                <w:szCs w:val="18"/>
              </w:rPr>
            </w:pPr>
            <w:r>
              <w:rPr>
                <w:sz w:val="18"/>
                <w:szCs w:val="18"/>
              </w:rPr>
              <w:t>0.042</w:t>
            </w:r>
          </w:p>
        </w:tc>
      </w:tr>
      <w:tr w14:paraId="10648484">
        <w:tblPrEx>
          <w:tblCellMar>
            <w:top w:w="0" w:type="dxa"/>
            <w:left w:w="113" w:type="dxa"/>
            <w:bottom w:w="0" w:type="dxa"/>
            <w:right w:w="113" w:type="dxa"/>
          </w:tblCellMar>
        </w:tblPrEx>
        <w:trPr>
          <w:trHeight w:val="20" w:hRule="atLeast"/>
        </w:trPr>
        <w:tc>
          <w:tcPr>
            <w:tcW w:w="685" w:type="pct"/>
            <w:vAlign w:val="center"/>
          </w:tcPr>
          <w:p w14:paraId="1ECF6F44">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16EC492A">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01BF9259">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2D5E1BC0">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0E5B702B">
            <w:pPr>
              <w:pStyle w:val="16"/>
              <w:adjustRightInd w:val="0"/>
              <w:snapToGrid w:val="0"/>
              <w:spacing w:before="36" w:beforeLines="15" w:line="276" w:lineRule="auto"/>
              <w:ind w:left="0"/>
              <w:rPr>
                <w:sz w:val="18"/>
                <w:szCs w:val="18"/>
              </w:rPr>
            </w:pPr>
            <w:r>
              <w:rPr>
                <w:sz w:val="18"/>
                <w:szCs w:val="18"/>
              </w:rPr>
              <w:t>154</w:t>
            </w:r>
          </w:p>
        </w:tc>
        <w:tc>
          <w:tcPr>
            <w:tcW w:w="483" w:type="pct"/>
            <w:vAlign w:val="center"/>
          </w:tcPr>
          <w:p w14:paraId="64EADCD0">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2126046F">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4A84ED3E">
            <w:pPr>
              <w:pStyle w:val="16"/>
              <w:adjustRightInd w:val="0"/>
              <w:snapToGrid w:val="0"/>
              <w:spacing w:before="36" w:beforeLines="15" w:line="276" w:lineRule="auto"/>
              <w:ind w:left="0"/>
              <w:rPr>
                <w:sz w:val="18"/>
                <w:szCs w:val="18"/>
              </w:rPr>
            </w:pPr>
            <w:r>
              <w:rPr>
                <w:sz w:val="18"/>
                <w:szCs w:val="18"/>
              </w:rPr>
              <w:t>13434</w:t>
            </w:r>
          </w:p>
        </w:tc>
        <w:tc>
          <w:tcPr>
            <w:tcW w:w="431" w:type="pct"/>
            <w:vAlign w:val="center"/>
          </w:tcPr>
          <w:p w14:paraId="688E31F9">
            <w:pPr>
              <w:pStyle w:val="16"/>
              <w:adjustRightInd w:val="0"/>
              <w:snapToGrid w:val="0"/>
              <w:spacing w:before="36" w:beforeLines="15" w:line="276" w:lineRule="auto"/>
              <w:ind w:left="0"/>
              <w:rPr>
                <w:sz w:val="18"/>
                <w:szCs w:val="18"/>
              </w:rPr>
            </w:pPr>
            <w:r>
              <w:rPr>
                <w:sz w:val="18"/>
                <w:szCs w:val="18"/>
              </w:rPr>
              <w:t>1350</w:t>
            </w:r>
          </w:p>
        </w:tc>
        <w:tc>
          <w:tcPr>
            <w:tcW w:w="564" w:type="pct"/>
            <w:vAlign w:val="center"/>
          </w:tcPr>
          <w:p w14:paraId="321FFE1E">
            <w:pPr>
              <w:pStyle w:val="16"/>
              <w:adjustRightInd w:val="0"/>
              <w:snapToGrid w:val="0"/>
              <w:spacing w:before="36" w:beforeLines="15" w:line="276" w:lineRule="auto"/>
              <w:ind w:left="0"/>
              <w:rPr>
                <w:sz w:val="18"/>
                <w:szCs w:val="18"/>
              </w:rPr>
            </w:pPr>
            <w:r>
              <w:rPr>
                <w:sz w:val="18"/>
                <w:szCs w:val="18"/>
              </w:rPr>
              <w:t>0.101</w:t>
            </w:r>
          </w:p>
        </w:tc>
      </w:tr>
      <w:tr w14:paraId="50E5B4BB">
        <w:tblPrEx>
          <w:tblCellMar>
            <w:top w:w="0" w:type="dxa"/>
            <w:left w:w="113" w:type="dxa"/>
            <w:bottom w:w="0" w:type="dxa"/>
            <w:right w:w="113" w:type="dxa"/>
          </w:tblCellMar>
        </w:tblPrEx>
        <w:trPr>
          <w:trHeight w:val="20" w:hRule="atLeast"/>
        </w:trPr>
        <w:tc>
          <w:tcPr>
            <w:tcW w:w="685" w:type="pct"/>
            <w:vAlign w:val="center"/>
          </w:tcPr>
          <w:p w14:paraId="7B3C7798">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59C4F289">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73995665">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5C945EB8">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4302A6C4">
            <w:pPr>
              <w:pStyle w:val="16"/>
              <w:adjustRightInd w:val="0"/>
              <w:snapToGrid w:val="0"/>
              <w:spacing w:before="36" w:beforeLines="15" w:line="276" w:lineRule="auto"/>
              <w:ind w:left="0"/>
              <w:rPr>
                <w:sz w:val="18"/>
                <w:szCs w:val="18"/>
              </w:rPr>
            </w:pPr>
            <w:r>
              <w:rPr>
                <w:sz w:val="18"/>
                <w:szCs w:val="18"/>
              </w:rPr>
              <w:t>154</w:t>
            </w:r>
          </w:p>
        </w:tc>
        <w:tc>
          <w:tcPr>
            <w:tcW w:w="483" w:type="pct"/>
            <w:vAlign w:val="center"/>
          </w:tcPr>
          <w:p w14:paraId="57C47296">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266CC5FA">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35F3C75C">
            <w:pPr>
              <w:pStyle w:val="16"/>
              <w:adjustRightInd w:val="0"/>
              <w:snapToGrid w:val="0"/>
              <w:spacing w:before="36" w:beforeLines="15" w:line="276" w:lineRule="auto"/>
              <w:ind w:left="0"/>
              <w:rPr>
                <w:sz w:val="18"/>
                <w:szCs w:val="18"/>
              </w:rPr>
            </w:pPr>
            <w:r>
              <w:rPr>
                <w:sz w:val="18"/>
                <w:szCs w:val="18"/>
              </w:rPr>
              <w:t>13077</w:t>
            </w:r>
          </w:p>
        </w:tc>
        <w:tc>
          <w:tcPr>
            <w:tcW w:w="431" w:type="pct"/>
            <w:vAlign w:val="center"/>
          </w:tcPr>
          <w:p w14:paraId="6433EF75">
            <w:pPr>
              <w:pStyle w:val="16"/>
              <w:adjustRightInd w:val="0"/>
              <w:snapToGrid w:val="0"/>
              <w:spacing w:before="36" w:beforeLines="15" w:line="276" w:lineRule="auto"/>
              <w:ind w:left="0"/>
              <w:rPr>
                <w:sz w:val="18"/>
                <w:szCs w:val="18"/>
              </w:rPr>
            </w:pPr>
            <w:r>
              <w:rPr>
                <w:sz w:val="18"/>
                <w:szCs w:val="18"/>
              </w:rPr>
              <w:t>1206</w:t>
            </w:r>
          </w:p>
        </w:tc>
        <w:tc>
          <w:tcPr>
            <w:tcW w:w="564" w:type="pct"/>
            <w:vAlign w:val="center"/>
          </w:tcPr>
          <w:p w14:paraId="37764FF1">
            <w:pPr>
              <w:pStyle w:val="16"/>
              <w:adjustRightInd w:val="0"/>
              <w:snapToGrid w:val="0"/>
              <w:spacing w:before="36" w:beforeLines="15" w:line="276" w:lineRule="auto"/>
              <w:ind w:left="0"/>
              <w:rPr>
                <w:sz w:val="18"/>
                <w:szCs w:val="18"/>
              </w:rPr>
            </w:pPr>
            <w:r>
              <w:rPr>
                <w:sz w:val="18"/>
                <w:szCs w:val="18"/>
              </w:rPr>
              <w:t>0.092</w:t>
            </w:r>
          </w:p>
        </w:tc>
      </w:tr>
      <w:tr w14:paraId="58C34F6F">
        <w:tblPrEx>
          <w:tblCellMar>
            <w:top w:w="0" w:type="dxa"/>
            <w:left w:w="113" w:type="dxa"/>
            <w:bottom w:w="0" w:type="dxa"/>
            <w:right w:w="113" w:type="dxa"/>
          </w:tblCellMar>
        </w:tblPrEx>
        <w:trPr>
          <w:trHeight w:val="20" w:hRule="atLeast"/>
        </w:trPr>
        <w:tc>
          <w:tcPr>
            <w:tcW w:w="685" w:type="pct"/>
            <w:vAlign w:val="center"/>
          </w:tcPr>
          <w:p w14:paraId="17533E28">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6F843E4C">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3F56EB89">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0496BF6A">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2639F46A">
            <w:pPr>
              <w:pStyle w:val="16"/>
              <w:adjustRightInd w:val="0"/>
              <w:snapToGrid w:val="0"/>
              <w:spacing w:before="36" w:beforeLines="15" w:line="276" w:lineRule="auto"/>
              <w:ind w:left="0"/>
              <w:rPr>
                <w:sz w:val="18"/>
                <w:szCs w:val="18"/>
              </w:rPr>
            </w:pPr>
            <w:r>
              <w:rPr>
                <w:sz w:val="18"/>
                <w:szCs w:val="18"/>
              </w:rPr>
              <w:t>155</w:t>
            </w:r>
          </w:p>
        </w:tc>
        <w:tc>
          <w:tcPr>
            <w:tcW w:w="483" w:type="pct"/>
            <w:vAlign w:val="center"/>
          </w:tcPr>
          <w:p w14:paraId="1862551C">
            <w:pPr>
              <w:pStyle w:val="16"/>
              <w:adjustRightInd w:val="0"/>
              <w:snapToGrid w:val="0"/>
              <w:spacing w:before="36" w:beforeLines="15" w:line="276" w:lineRule="auto"/>
              <w:ind w:left="0"/>
              <w:rPr>
                <w:sz w:val="18"/>
                <w:szCs w:val="18"/>
              </w:rPr>
            </w:pPr>
            <w:r>
              <w:rPr>
                <w:sz w:val="18"/>
                <w:szCs w:val="18"/>
              </w:rPr>
              <w:t>R</w:t>
            </w:r>
          </w:p>
        </w:tc>
        <w:tc>
          <w:tcPr>
            <w:tcW w:w="477" w:type="pct"/>
            <w:vAlign w:val="center"/>
          </w:tcPr>
          <w:p w14:paraId="0F67DB68">
            <w:pPr>
              <w:pStyle w:val="16"/>
              <w:adjustRightInd w:val="0"/>
              <w:snapToGrid w:val="0"/>
              <w:spacing w:before="36" w:beforeLines="15" w:line="276" w:lineRule="auto"/>
              <w:ind w:left="0"/>
              <w:rPr>
                <w:sz w:val="18"/>
                <w:szCs w:val="18"/>
              </w:rPr>
            </w:pPr>
            <w:r>
              <w:rPr>
                <w:sz w:val="18"/>
                <w:szCs w:val="18"/>
              </w:rPr>
              <w:t>K</w:t>
            </w:r>
          </w:p>
        </w:tc>
        <w:tc>
          <w:tcPr>
            <w:tcW w:w="427" w:type="pct"/>
            <w:vAlign w:val="center"/>
          </w:tcPr>
          <w:p w14:paraId="1E58DC28">
            <w:pPr>
              <w:pStyle w:val="16"/>
              <w:adjustRightInd w:val="0"/>
              <w:snapToGrid w:val="0"/>
              <w:spacing w:before="36" w:beforeLines="15" w:line="276" w:lineRule="auto"/>
              <w:ind w:left="0"/>
              <w:rPr>
                <w:sz w:val="18"/>
                <w:szCs w:val="18"/>
              </w:rPr>
            </w:pPr>
            <w:r>
              <w:rPr>
                <w:sz w:val="18"/>
                <w:szCs w:val="18"/>
              </w:rPr>
              <w:t>12459</w:t>
            </w:r>
          </w:p>
        </w:tc>
        <w:tc>
          <w:tcPr>
            <w:tcW w:w="431" w:type="pct"/>
            <w:vAlign w:val="center"/>
          </w:tcPr>
          <w:p w14:paraId="5202A6EC">
            <w:pPr>
              <w:pStyle w:val="16"/>
              <w:adjustRightInd w:val="0"/>
              <w:snapToGrid w:val="0"/>
              <w:spacing w:before="36" w:beforeLines="15" w:line="276" w:lineRule="auto"/>
              <w:ind w:left="0"/>
              <w:rPr>
                <w:sz w:val="18"/>
                <w:szCs w:val="18"/>
              </w:rPr>
            </w:pPr>
            <w:r>
              <w:rPr>
                <w:sz w:val="18"/>
                <w:szCs w:val="18"/>
              </w:rPr>
              <w:t>9837</w:t>
            </w:r>
          </w:p>
        </w:tc>
        <w:tc>
          <w:tcPr>
            <w:tcW w:w="564" w:type="pct"/>
            <w:vAlign w:val="center"/>
          </w:tcPr>
          <w:p w14:paraId="4ACA9502">
            <w:pPr>
              <w:pStyle w:val="16"/>
              <w:adjustRightInd w:val="0"/>
              <w:snapToGrid w:val="0"/>
              <w:spacing w:before="36" w:beforeLines="15" w:line="276" w:lineRule="auto"/>
              <w:ind w:left="0"/>
              <w:rPr>
                <w:sz w:val="18"/>
                <w:szCs w:val="18"/>
              </w:rPr>
            </w:pPr>
            <w:r>
              <w:rPr>
                <w:sz w:val="18"/>
                <w:szCs w:val="18"/>
              </w:rPr>
              <w:t>0.781</w:t>
            </w:r>
          </w:p>
        </w:tc>
      </w:tr>
      <w:tr w14:paraId="3D40587E">
        <w:tblPrEx>
          <w:tblCellMar>
            <w:top w:w="0" w:type="dxa"/>
            <w:left w:w="113" w:type="dxa"/>
            <w:bottom w:w="0" w:type="dxa"/>
            <w:right w:w="113" w:type="dxa"/>
          </w:tblCellMar>
        </w:tblPrEx>
        <w:trPr>
          <w:trHeight w:val="20" w:hRule="atLeast"/>
        </w:trPr>
        <w:tc>
          <w:tcPr>
            <w:tcW w:w="685" w:type="pct"/>
            <w:vAlign w:val="center"/>
          </w:tcPr>
          <w:p w14:paraId="57CB29C4">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280E393E">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44B6CEB9">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342568D3">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1A33236C">
            <w:pPr>
              <w:pStyle w:val="16"/>
              <w:adjustRightInd w:val="0"/>
              <w:snapToGrid w:val="0"/>
              <w:spacing w:before="36" w:beforeLines="15" w:line="276" w:lineRule="auto"/>
              <w:ind w:left="0"/>
              <w:rPr>
                <w:sz w:val="18"/>
                <w:szCs w:val="18"/>
              </w:rPr>
            </w:pPr>
            <w:r>
              <w:rPr>
                <w:sz w:val="18"/>
                <w:szCs w:val="18"/>
              </w:rPr>
              <w:t>156</w:t>
            </w:r>
          </w:p>
        </w:tc>
        <w:tc>
          <w:tcPr>
            <w:tcW w:w="483" w:type="pct"/>
            <w:vAlign w:val="center"/>
          </w:tcPr>
          <w:p w14:paraId="36E2A5A0">
            <w:pPr>
              <w:pStyle w:val="16"/>
              <w:adjustRightInd w:val="0"/>
              <w:snapToGrid w:val="0"/>
              <w:spacing w:before="36" w:beforeLines="15" w:line="276" w:lineRule="auto"/>
              <w:ind w:left="0"/>
              <w:rPr>
                <w:sz w:val="18"/>
                <w:szCs w:val="18"/>
              </w:rPr>
            </w:pPr>
            <w:r>
              <w:rPr>
                <w:sz w:val="18"/>
                <w:szCs w:val="18"/>
              </w:rPr>
              <w:t>P</w:t>
            </w:r>
          </w:p>
        </w:tc>
        <w:tc>
          <w:tcPr>
            <w:tcW w:w="477" w:type="pct"/>
            <w:vAlign w:val="center"/>
          </w:tcPr>
          <w:p w14:paraId="2FF8B83A">
            <w:pPr>
              <w:pStyle w:val="16"/>
              <w:adjustRightInd w:val="0"/>
              <w:snapToGrid w:val="0"/>
              <w:spacing w:before="36" w:beforeLines="15" w:line="276" w:lineRule="auto"/>
              <w:ind w:left="0"/>
              <w:rPr>
                <w:sz w:val="18"/>
                <w:szCs w:val="18"/>
              </w:rPr>
            </w:pPr>
            <w:r>
              <w:rPr>
                <w:sz w:val="18"/>
                <w:szCs w:val="18"/>
              </w:rPr>
              <w:t>S</w:t>
            </w:r>
          </w:p>
        </w:tc>
        <w:tc>
          <w:tcPr>
            <w:tcW w:w="427" w:type="pct"/>
            <w:vAlign w:val="center"/>
          </w:tcPr>
          <w:p w14:paraId="73C05F63">
            <w:pPr>
              <w:pStyle w:val="16"/>
              <w:adjustRightInd w:val="0"/>
              <w:snapToGrid w:val="0"/>
              <w:spacing w:before="36" w:beforeLines="15" w:line="276" w:lineRule="auto"/>
              <w:ind w:left="0"/>
              <w:rPr>
                <w:sz w:val="18"/>
                <w:szCs w:val="18"/>
              </w:rPr>
            </w:pPr>
            <w:r>
              <w:rPr>
                <w:sz w:val="18"/>
                <w:szCs w:val="18"/>
              </w:rPr>
              <w:t>13385</w:t>
            </w:r>
          </w:p>
        </w:tc>
        <w:tc>
          <w:tcPr>
            <w:tcW w:w="431" w:type="pct"/>
            <w:vAlign w:val="center"/>
          </w:tcPr>
          <w:p w14:paraId="36183C65">
            <w:pPr>
              <w:pStyle w:val="16"/>
              <w:adjustRightInd w:val="0"/>
              <w:snapToGrid w:val="0"/>
              <w:spacing w:before="36" w:beforeLines="15" w:line="276" w:lineRule="auto"/>
              <w:ind w:left="0"/>
              <w:rPr>
                <w:sz w:val="18"/>
                <w:szCs w:val="18"/>
              </w:rPr>
            </w:pPr>
            <w:r>
              <w:rPr>
                <w:sz w:val="18"/>
                <w:szCs w:val="18"/>
              </w:rPr>
              <w:t>172</w:t>
            </w:r>
          </w:p>
        </w:tc>
        <w:tc>
          <w:tcPr>
            <w:tcW w:w="564" w:type="pct"/>
            <w:vAlign w:val="center"/>
          </w:tcPr>
          <w:p w14:paraId="5AD1CA07">
            <w:pPr>
              <w:pStyle w:val="16"/>
              <w:adjustRightInd w:val="0"/>
              <w:snapToGrid w:val="0"/>
              <w:spacing w:before="36" w:beforeLines="15" w:line="276" w:lineRule="auto"/>
              <w:ind w:left="0"/>
              <w:rPr>
                <w:sz w:val="18"/>
                <w:szCs w:val="18"/>
              </w:rPr>
            </w:pPr>
            <w:r>
              <w:rPr>
                <w:sz w:val="18"/>
                <w:szCs w:val="18"/>
              </w:rPr>
              <w:t>0.013</w:t>
            </w:r>
          </w:p>
        </w:tc>
      </w:tr>
      <w:tr w14:paraId="54B3AD76">
        <w:tblPrEx>
          <w:tblCellMar>
            <w:top w:w="0" w:type="dxa"/>
            <w:left w:w="113" w:type="dxa"/>
            <w:bottom w:w="0" w:type="dxa"/>
            <w:right w:w="113" w:type="dxa"/>
          </w:tblCellMar>
        </w:tblPrEx>
        <w:trPr>
          <w:trHeight w:val="20" w:hRule="atLeast"/>
        </w:trPr>
        <w:tc>
          <w:tcPr>
            <w:tcW w:w="685" w:type="pct"/>
            <w:vAlign w:val="center"/>
          </w:tcPr>
          <w:p w14:paraId="688FAD77">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6AFEAA4F">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46D8911C">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7D43B51C">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2988007D">
            <w:pPr>
              <w:pStyle w:val="16"/>
              <w:adjustRightInd w:val="0"/>
              <w:snapToGrid w:val="0"/>
              <w:spacing w:before="36" w:beforeLines="15" w:line="276" w:lineRule="auto"/>
              <w:ind w:left="0"/>
              <w:rPr>
                <w:sz w:val="18"/>
                <w:szCs w:val="18"/>
              </w:rPr>
            </w:pPr>
            <w:r>
              <w:rPr>
                <w:sz w:val="18"/>
                <w:szCs w:val="18"/>
              </w:rPr>
              <w:t>186</w:t>
            </w:r>
          </w:p>
        </w:tc>
        <w:tc>
          <w:tcPr>
            <w:tcW w:w="483" w:type="pct"/>
            <w:vAlign w:val="center"/>
          </w:tcPr>
          <w:p w14:paraId="61878510">
            <w:pPr>
              <w:pStyle w:val="16"/>
              <w:adjustRightInd w:val="0"/>
              <w:snapToGrid w:val="0"/>
              <w:spacing w:before="36" w:beforeLines="15" w:line="276" w:lineRule="auto"/>
              <w:ind w:left="0"/>
              <w:rPr>
                <w:sz w:val="18"/>
                <w:szCs w:val="18"/>
              </w:rPr>
            </w:pPr>
            <w:r>
              <w:rPr>
                <w:sz w:val="18"/>
                <w:szCs w:val="18"/>
              </w:rPr>
              <w:t>V</w:t>
            </w:r>
          </w:p>
        </w:tc>
        <w:tc>
          <w:tcPr>
            <w:tcW w:w="477" w:type="pct"/>
            <w:vAlign w:val="center"/>
          </w:tcPr>
          <w:p w14:paraId="2708A5DC">
            <w:pPr>
              <w:pStyle w:val="16"/>
              <w:adjustRightInd w:val="0"/>
              <w:snapToGrid w:val="0"/>
              <w:spacing w:before="36" w:beforeLines="15" w:line="276" w:lineRule="auto"/>
              <w:ind w:left="0"/>
              <w:rPr>
                <w:sz w:val="18"/>
                <w:szCs w:val="18"/>
              </w:rPr>
            </w:pPr>
            <w:r>
              <w:rPr>
                <w:sz w:val="18"/>
                <w:szCs w:val="18"/>
              </w:rPr>
              <w:t>I</w:t>
            </w:r>
          </w:p>
        </w:tc>
        <w:tc>
          <w:tcPr>
            <w:tcW w:w="427" w:type="pct"/>
            <w:vAlign w:val="center"/>
          </w:tcPr>
          <w:p w14:paraId="11CFA3BE">
            <w:pPr>
              <w:pStyle w:val="16"/>
              <w:adjustRightInd w:val="0"/>
              <w:snapToGrid w:val="0"/>
              <w:spacing w:before="36" w:beforeLines="15" w:line="276" w:lineRule="auto"/>
              <w:ind w:left="0"/>
              <w:rPr>
                <w:sz w:val="18"/>
                <w:szCs w:val="18"/>
              </w:rPr>
            </w:pPr>
            <w:r>
              <w:rPr>
                <w:sz w:val="18"/>
                <w:szCs w:val="18"/>
              </w:rPr>
              <w:t>6155</w:t>
            </w:r>
          </w:p>
        </w:tc>
        <w:tc>
          <w:tcPr>
            <w:tcW w:w="431" w:type="pct"/>
            <w:vAlign w:val="center"/>
          </w:tcPr>
          <w:p w14:paraId="65C97A0D">
            <w:pPr>
              <w:pStyle w:val="16"/>
              <w:adjustRightInd w:val="0"/>
              <w:snapToGrid w:val="0"/>
              <w:spacing w:before="36" w:beforeLines="15" w:line="276" w:lineRule="auto"/>
              <w:ind w:left="0"/>
              <w:rPr>
                <w:sz w:val="18"/>
                <w:szCs w:val="18"/>
              </w:rPr>
            </w:pPr>
            <w:r>
              <w:rPr>
                <w:sz w:val="18"/>
                <w:szCs w:val="18"/>
              </w:rPr>
              <w:t>129</w:t>
            </w:r>
          </w:p>
        </w:tc>
        <w:tc>
          <w:tcPr>
            <w:tcW w:w="564" w:type="pct"/>
            <w:vAlign w:val="center"/>
          </w:tcPr>
          <w:p w14:paraId="7D5C303E">
            <w:pPr>
              <w:pStyle w:val="16"/>
              <w:adjustRightInd w:val="0"/>
              <w:snapToGrid w:val="0"/>
              <w:spacing w:before="36" w:beforeLines="15" w:line="276" w:lineRule="auto"/>
              <w:ind w:left="0"/>
              <w:rPr>
                <w:sz w:val="18"/>
                <w:szCs w:val="18"/>
              </w:rPr>
            </w:pPr>
            <w:r>
              <w:rPr>
                <w:sz w:val="18"/>
                <w:szCs w:val="18"/>
              </w:rPr>
              <w:t>0.021</w:t>
            </w:r>
          </w:p>
        </w:tc>
      </w:tr>
      <w:tr w14:paraId="632E3716">
        <w:tblPrEx>
          <w:tblCellMar>
            <w:top w:w="0" w:type="dxa"/>
            <w:left w:w="113" w:type="dxa"/>
            <w:bottom w:w="0" w:type="dxa"/>
            <w:right w:w="113" w:type="dxa"/>
          </w:tblCellMar>
        </w:tblPrEx>
        <w:trPr>
          <w:trHeight w:val="20" w:hRule="atLeast"/>
        </w:trPr>
        <w:tc>
          <w:tcPr>
            <w:tcW w:w="685" w:type="pct"/>
            <w:vAlign w:val="center"/>
          </w:tcPr>
          <w:p w14:paraId="0C127A49">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3BEA0402">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1BA89121">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2CD44EA5">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67D9D77F">
            <w:pPr>
              <w:pStyle w:val="16"/>
              <w:adjustRightInd w:val="0"/>
              <w:snapToGrid w:val="0"/>
              <w:spacing w:before="36" w:beforeLines="15" w:line="276" w:lineRule="auto"/>
              <w:ind w:left="0"/>
              <w:rPr>
                <w:sz w:val="18"/>
                <w:szCs w:val="18"/>
              </w:rPr>
            </w:pPr>
            <w:r>
              <w:rPr>
                <w:sz w:val="18"/>
                <w:szCs w:val="18"/>
              </w:rPr>
              <w:t>186</w:t>
            </w:r>
          </w:p>
        </w:tc>
        <w:tc>
          <w:tcPr>
            <w:tcW w:w="483" w:type="pct"/>
            <w:vAlign w:val="center"/>
          </w:tcPr>
          <w:p w14:paraId="2B2D0EE3">
            <w:pPr>
              <w:pStyle w:val="16"/>
              <w:adjustRightInd w:val="0"/>
              <w:snapToGrid w:val="0"/>
              <w:spacing w:before="36" w:beforeLines="15" w:line="276" w:lineRule="auto"/>
              <w:ind w:left="0"/>
              <w:rPr>
                <w:sz w:val="18"/>
                <w:szCs w:val="18"/>
              </w:rPr>
            </w:pPr>
            <w:r>
              <w:rPr>
                <w:sz w:val="18"/>
                <w:szCs w:val="18"/>
              </w:rPr>
              <w:t>V</w:t>
            </w:r>
          </w:p>
        </w:tc>
        <w:tc>
          <w:tcPr>
            <w:tcW w:w="477" w:type="pct"/>
            <w:vAlign w:val="center"/>
          </w:tcPr>
          <w:p w14:paraId="7AA0D594">
            <w:pPr>
              <w:pStyle w:val="16"/>
              <w:adjustRightInd w:val="0"/>
              <w:snapToGrid w:val="0"/>
              <w:spacing w:before="36" w:beforeLines="15" w:line="276" w:lineRule="auto"/>
              <w:ind w:left="0"/>
              <w:rPr>
                <w:sz w:val="18"/>
                <w:szCs w:val="18"/>
              </w:rPr>
            </w:pPr>
            <w:r>
              <w:rPr>
                <w:sz w:val="18"/>
                <w:szCs w:val="18"/>
              </w:rPr>
              <w:t>I</w:t>
            </w:r>
          </w:p>
        </w:tc>
        <w:tc>
          <w:tcPr>
            <w:tcW w:w="427" w:type="pct"/>
            <w:vAlign w:val="center"/>
          </w:tcPr>
          <w:p w14:paraId="072E9B09">
            <w:pPr>
              <w:pStyle w:val="16"/>
              <w:adjustRightInd w:val="0"/>
              <w:snapToGrid w:val="0"/>
              <w:spacing w:before="36" w:beforeLines="15" w:line="276" w:lineRule="auto"/>
              <w:ind w:left="0"/>
              <w:rPr>
                <w:sz w:val="18"/>
                <w:szCs w:val="18"/>
              </w:rPr>
            </w:pPr>
            <w:r>
              <w:rPr>
                <w:sz w:val="18"/>
                <w:szCs w:val="18"/>
              </w:rPr>
              <w:t>17698</w:t>
            </w:r>
          </w:p>
        </w:tc>
        <w:tc>
          <w:tcPr>
            <w:tcW w:w="431" w:type="pct"/>
            <w:vAlign w:val="center"/>
          </w:tcPr>
          <w:p w14:paraId="21FE5CF2">
            <w:pPr>
              <w:pStyle w:val="16"/>
              <w:adjustRightInd w:val="0"/>
              <w:snapToGrid w:val="0"/>
              <w:spacing w:before="36" w:beforeLines="15" w:line="276" w:lineRule="auto"/>
              <w:ind w:left="0"/>
              <w:rPr>
                <w:sz w:val="18"/>
                <w:szCs w:val="18"/>
              </w:rPr>
            </w:pPr>
            <w:r>
              <w:rPr>
                <w:sz w:val="18"/>
                <w:szCs w:val="18"/>
              </w:rPr>
              <w:t>269</w:t>
            </w:r>
          </w:p>
        </w:tc>
        <w:tc>
          <w:tcPr>
            <w:tcW w:w="564" w:type="pct"/>
            <w:vAlign w:val="center"/>
          </w:tcPr>
          <w:p w14:paraId="36407DFE">
            <w:pPr>
              <w:pStyle w:val="16"/>
              <w:adjustRightInd w:val="0"/>
              <w:snapToGrid w:val="0"/>
              <w:spacing w:before="36" w:beforeLines="15" w:line="276" w:lineRule="auto"/>
              <w:ind w:left="0"/>
              <w:rPr>
                <w:sz w:val="18"/>
                <w:szCs w:val="18"/>
              </w:rPr>
            </w:pPr>
            <w:r>
              <w:rPr>
                <w:sz w:val="18"/>
                <w:szCs w:val="18"/>
              </w:rPr>
              <w:t>0.015</w:t>
            </w:r>
          </w:p>
        </w:tc>
      </w:tr>
      <w:tr w14:paraId="7E35A35C">
        <w:tblPrEx>
          <w:tblCellMar>
            <w:top w:w="0" w:type="dxa"/>
            <w:left w:w="113" w:type="dxa"/>
            <w:bottom w:w="0" w:type="dxa"/>
            <w:right w:w="113" w:type="dxa"/>
          </w:tblCellMar>
        </w:tblPrEx>
        <w:trPr>
          <w:trHeight w:val="20" w:hRule="atLeast"/>
        </w:trPr>
        <w:tc>
          <w:tcPr>
            <w:tcW w:w="685" w:type="pct"/>
            <w:vAlign w:val="center"/>
          </w:tcPr>
          <w:p w14:paraId="7F044192">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61548489">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026D5769">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37BF103E">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37DEDDBD">
            <w:pPr>
              <w:pStyle w:val="16"/>
              <w:adjustRightInd w:val="0"/>
              <w:snapToGrid w:val="0"/>
              <w:spacing w:before="36" w:beforeLines="15" w:line="276" w:lineRule="auto"/>
              <w:ind w:left="0"/>
              <w:rPr>
                <w:sz w:val="18"/>
                <w:szCs w:val="18"/>
              </w:rPr>
            </w:pPr>
            <w:r>
              <w:rPr>
                <w:sz w:val="18"/>
                <w:szCs w:val="18"/>
              </w:rPr>
              <w:t>186</w:t>
            </w:r>
          </w:p>
        </w:tc>
        <w:tc>
          <w:tcPr>
            <w:tcW w:w="483" w:type="pct"/>
            <w:vAlign w:val="center"/>
          </w:tcPr>
          <w:p w14:paraId="7BED6383">
            <w:pPr>
              <w:pStyle w:val="16"/>
              <w:adjustRightInd w:val="0"/>
              <w:snapToGrid w:val="0"/>
              <w:spacing w:before="36" w:beforeLines="15" w:line="276" w:lineRule="auto"/>
              <w:ind w:left="0"/>
              <w:rPr>
                <w:sz w:val="18"/>
                <w:szCs w:val="18"/>
              </w:rPr>
            </w:pPr>
            <w:r>
              <w:rPr>
                <w:sz w:val="18"/>
                <w:szCs w:val="18"/>
              </w:rPr>
              <w:t>V</w:t>
            </w:r>
          </w:p>
        </w:tc>
        <w:tc>
          <w:tcPr>
            <w:tcW w:w="477" w:type="pct"/>
            <w:vAlign w:val="center"/>
          </w:tcPr>
          <w:p w14:paraId="5D0FA035">
            <w:pPr>
              <w:pStyle w:val="16"/>
              <w:adjustRightInd w:val="0"/>
              <w:snapToGrid w:val="0"/>
              <w:spacing w:before="36" w:beforeLines="15" w:line="276" w:lineRule="auto"/>
              <w:ind w:left="0"/>
              <w:rPr>
                <w:sz w:val="18"/>
                <w:szCs w:val="18"/>
              </w:rPr>
            </w:pPr>
            <w:r>
              <w:rPr>
                <w:sz w:val="18"/>
                <w:szCs w:val="18"/>
              </w:rPr>
              <w:t>I</w:t>
            </w:r>
          </w:p>
        </w:tc>
        <w:tc>
          <w:tcPr>
            <w:tcW w:w="427" w:type="pct"/>
            <w:vAlign w:val="center"/>
          </w:tcPr>
          <w:p w14:paraId="3B8208C4">
            <w:pPr>
              <w:pStyle w:val="16"/>
              <w:adjustRightInd w:val="0"/>
              <w:snapToGrid w:val="0"/>
              <w:spacing w:before="36" w:beforeLines="15" w:line="276" w:lineRule="auto"/>
              <w:ind w:left="0"/>
              <w:rPr>
                <w:sz w:val="18"/>
                <w:szCs w:val="18"/>
              </w:rPr>
            </w:pPr>
            <w:r>
              <w:rPr>
                <w:sz w:val="18"/>
                <w:szCs w:val="18"/>
              </w:rPr>
              <w:t>16474</w:t>
            </w:r>
          </w:p>
        </w:tc>
        <w:tc>
          <w:tcPr>
            <w:tcW w:w="431" w:type="pct"/>
            <w:vAlign w:val="center"/>
          </w:tcPr>
          <w:p w14:paraId="0697162E">
            <w:pPr>
              <w:pStyle w:val="16"/>
              <w:adjustRightInd w:val="0"/>
              <w:snapToGrid w:val="0"/>
              <w:spacing w:before="36" w:beforeLines="15" w:line="276" w:lineRule="auto"/>
              <w:ind w:left="0"/>
              <w:rPr>
                <w:sz w:val="18"/>
                <w:szCs w:val="18"/>
              </w:rPr>
            </w:pPr>
            <w:r>
              <w:rPr>
                <w:sz w:val="18"/>
                <w:szCs w:val="18"/>
              </w:rPr>
              <w:t>460</w:t>
            </w:r>
          </w:p>
        </w:tc>
        <w:tc>
          <w:tcPr>
            <w:tcW w:w="564" w:type="pct"/>
            <w:vAlign w:val="center"/>
          </w:tcPr>
          <w:p w14:paraId="6D3AA76B">
            <w:pPr>
              <w:pStyle w:val="16"/>
              <w:adjustRightInd w:val="0"/>
              <w:snapToGrid w:val="0"/>
              <w:spacing w:before="36" w:beforeLines="15" w:line="276" w:lineRule="auto"/>
              <w:ind w:left="0"/>
              <w:rPr>
                <w:sz w:val="18"/>
                <w:szCs w:val="18"/>
              </w:rPr>
            </w:pPr>
            <w:r>
              <w:rPr>
                <w:sz w:val="18"/>
                <w:szCs w:val="18"/>
              </w:rPr>
              <w:t>0.028</w:t>
            </w:r>
          </w:p>
        </w:tc>
      </w:tr>
      <w:tr w14:paraId="7CC72F9E">
        <w:tblPrEx>
          <w:tblCellMar>
            <w:top w:w="0" w:type="dxa"/>
            <w:left w:w="113" w:type="dxa"/>
            <w:bottom w:w="0" w:type="dxa"/>
            <w:right w:w="113" w:type="dxa"/>
          </w:tblCellMar>
        </w:tblPrEx>
        <w:trPr>
          <w:trHeight w:val="20" w:hRule="atLeast"/>
        </w:trPr>
        <w:tc>
          <w:tcPr>
            <w:tcW w:w="685" w:type="pct"/>
            <w:vAlign w:val="center"/>
          </w:tcPr>
          <w:p w14:paraId="6AC90B69">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3DC7B940">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321A9AB3">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41ADA5AF">
            <w:pPr>
              <w:pStyle w:val="16"/>
              <w:adjustRightInd w:val="0"/>
              <w:snapToGrid w:val="0"/>
              <w:spacing w:before="36" w:beforeLines="15" w:line="276" w:lineRule="auto"/>
              <w:ind w:left="0"/>
              <w:rPr>
                <w:sz w:val="18"/>
                <w:szCs w:val="18"/>
              </w:rPr>
            </w:pPr>
            <w:r>
              <w:rPr>
                <w:rFonts w:eastAsia="宋体" w:cs="宋体"/>
                <w:sz w:val="18"/>
              </w:rPr>
              <w:t>BL</w:t>
            </w:r>
          </w:p>
        </w:tc>
        <w:tc>
          <w:tcPr>
            <w:tcW w:w="478" w:type="pct"/>
            <w:vAlign w:val="center"/>
          </w:tcPr>
          <w:p w14:paraId="3DBA108D">
            <w:pPr>
              <w:pStyle w:val="16"/>
              <w:adjustRightInd w:val="0"/>
              <w:snapToGrid w:val="0"/>
              <w:spacing w:before="36" w:beforeLines="15" w:line="276" w:lineRule="auto"/>
              <w:ind w:left="0"/>
              <w:rPr>
                <w:sz w:val="18"/>
                <w:szCs w:val="18"/>
              </w:rPr>
            </w:pPr>
            <w:r>
              <w:rPr>
                <w:sz w:val="18"/>
                <w:szCs w:val="18"/>
              </w:rPr>
              <w:t>206</w:t>
            </w:r>
          </w:p>
        </w:tc>
        <w:tc>
          <w:tcPr>
            <w:tcW w:w="483" w:type="pct"/>
            <w:vAlign w:val="center"/>
          </w:tcPr>
          <w:p w14:paraId="2619D33B">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47C94863">
            <w:pPr>
              <w:pStyle w:val="16"/>
              <w:adjustRightInd w:val="0"/>
              <w:snapToGrid w:val="0"/>
              <w:spacing w:before="36" w:beforeLines="15" w:line="276" w:lineRule="auto"/>
              <w:ind w:left="0"/>
              <w:rPr>
                <w:sz w:val="18"/>
                <w:szCs w:val="18"/>
              </w:rPr>
            </w:pPr>
            <w:r>
              <w:rPr>
                <w:sz w:val="18"/>
                <w:szCs w:val="18"/>
              </w:rPr>
              <w:t>H</w:t>
            </w:r>
          </w:p>
        </w:tc>
        <w:tc>
          <w:tcPr>
            <w:tcW w:w="427" w:type="pct"/>
            <w:vAlign w:val="center"/>
          </w:tcPr>
          <w:p w14:paraId="0FEAE286">
            <w:pPr>
              <w:pStyle w:val="16"/>
              <w:adjustRightInd w:val="0"/>
              <w:snapToGrid w:val="0"/>
              <w:spacing w:before="36" w:beforeLines="15" w:line="276" w:lineRule="auto"/>
              <w:ind w:left="0"/>
              <w:rPr>
                <w:sz w:val="18"/>
                <w:szCs w:val="18"/>
              </w:rPr>
            </w:pPr>
            <w:r>
              <w:rPr>
                <w:sz w:val="18"/>
                <w:szCs w:val="18"/>
              </w:rPr>
              <w:t>9698</w:t>
            </w:r>
          </w:p>
        </w:tc>
        <w:tc>
          <w:tcPr>
            <w:tcW w:w="431" w:type="pct"/>
            <w:vAlign w:val="center"/>
          </w:tcPr>
          <w:p w14:paraId="4100D904">
            <w:pPr>
              <w:pStyle w:val="16"/>
              <w:adjustRightInd w:val="0"/>
              <w:snapToGrid w:val="0"/>
              <w:spacing w:before="36" w:beforeLines="15" w:line="276" w:lineRule="auto"/>
              <w:ind w:left="0"/>
              <w:rPr>
                <w:sz w:val="18"/>
                <w:szCs w:val="18"/>
              </w:rPr>
            </w:pPr>
            <w:r>
              <w:rPr>
                <w:sz w:val="18"/>
                <w:szCs w:val="18"/>
              </w:rPr>
              <w:t>165</w:t>
            </w:r>
          </w:p>
        </w:tc>
        <w:tc>
          <w:tcPr>
            <w:tcW w:w="564" w:type="pct"/>
            <w:vAlign w:val="center"/>
          </w:tcPr>
          <w:p w14:paraId="589239FB">
            <w:pPr>
              <w:pStyle w:val="16"/>
              <w:adjustRightInd w:val="0"/>
              <w:snapToGrid w:val="0"/>
              <w:spacing w:before="36" w:beforeLines="15" w:line="276" w:lineRule="auto"/>
              <w:ind w:left="0"/>
              <w:rPr>
                <w:sz w:val="18"/>
                <w:szCs w:val="18"/>
              </w:rPr>
            </w:pPr>
            <w:r>
              <w:rPr>
                <w:sz w:val="18"/>
                <w:szCs w:val="18"/>
              </w:rPr>
              <w:t>0.017</w:t>
            </w:r>
          </w:p>
        </w:tc>
      </w:tr>
      <w:tr w14:paraId="36A52C2C">
        <w:tblPrEx>
          <w:tblCellMar>
            <w:top w:w="0" w:type="dxa"/>
            <w:left w:w="113" w:type="dxa"/>
            <w:bottom w:w="0" w:type="dxa"/>
            <w:right w:w="113" w:type="dxa"/>
          </w:tblCellMar>
        </w:tblPrEx>
        <w:trPr>
          <w:trHeight w:val="20" w:hRule="atLeast"/>
        </w:trPr>
        <w:tc>
          <w:tcPr>
            <w:tcW w:w="685" w:type="pct"/>
            <w:vAlign w:val="center"/>
          </w:tcPr>
          <w:p w14:paraId="007AADA6">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7D64667C">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0FBC9132">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501AEAA1">
            <w:pPr>
              <w:pStyle w:val="16"/>
              <w:adjustRightInd w:val="0"/>
              <w:snapToGrid w:val="0"/>
              <w:spacing w:before="36" w:beforeLines="15" w:line="276" w:lineRule="auto"/>
              <w:ind w:left="0"/>
              <w:rPr>
                <w:sz w:val="18"/>
                <w:szCs w:val="18"/>
              </w:rPr>
            </w:pPr>
            <w:r>
              <w:rPr>
                <w:rFonts w:eastAsia="宋体" w:cs="宋体"/>
                <w:sz w:val="18"/>
              </w:rPr>
              <w:t>第2天</w:t>
            </w:r>
          </w:p>
        </w:tc>
        <w:tc>
          <w:tcPr>
            <w:tcW w:w="478" w:type="pct"/>
            <w:vAlign w:val="center"/>
          </w:tcPr>
          <w:p w14:paraId="33A7F68F">
            <w:pPr>
              <w:pStyle w:val="16"/>
              <w:adjustRightInd w:val="0"/>
              <w:snapToGrid w:val="0"/>
              <w:spacing w:before="36" w:beforeLines="15" w:line="276" w:lineRule="auto"/>
              <w:ind w:left="0"/>
              <w:rPr>
                <w:sz w:val="18"/>
                <w:szCs w:val="18"/>
              </w:rPr>
            </w:pPr>
            <w:r>
              <w:rPr>
                <w:sz w:val="18"/>
                <w:szCs w:val="18"/>
              </w:rPr>
              <w:t>206</w:t>
            </w:r>
          </w:p>
        </w:tc>
        <w:tc>
          <w:tcPr>
            <w:tcW w:w="483" w:type="pct"/>
            <w:vAlign w:val="center"/>
          </w:tcPr>
          <w:p w14:paraId="4DAA9E25">
            <w:pPr>
              <w:pStyle w:val="16"/>
              <w:adjustRightInd w:val="0"/>
              <w:snapToGrid w:val="0"/>
              <w:spacing w:before="36" w:beforeLines="15" w:line="276" w:lineRule="auto"/>
              <w:ind w:left="0"/>
              <w:rPr>
                <w:sz w:val="18"/>
                <w:szCs w:val="18"/>
              </w:rPr>
            </w:pPr>
            <w:r>
              <w:rPr>
                <w:sz w:val="18"/>
                <w:szCs w:val="18"/>
              </w:rPr>
              <w:t>K</w:t>
            </w:r>
          </w:p>
        </w:tc>
        <w:tc>
          <w:tcPr>
            <w:tcW w:w="477" w:type="pct"/>
            <w:vAlign w:val="center"/>
          </w:tcPr>
          <w:p w14:paraId="2581D53F">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00DEA9A2">
            <w:pPr>
              <w:pStyle w:val="16"/>
              <w:adjustRightInd w:val="0"/>
              <w:snapToGrid w:val="0"/>
              <w:spacing w:before="36" w:beforeLines="15" w:line="276" w:lineRule="auto"/>
              <w:ind w:left="0"/>
              <w:rPr>
                <w:sz w:val="18"/>
                <w:szCs w:val="18"/>
              </w:rPr>
            </w:pPr>
            <w:r>
              <w:rPr>
                <w:sz w:val="18"/>
                <w:szCs w:val="18"/>
              </w:rPr>
              <w:t>24601</w:t>
            </w:r>
          </w:p>
        </w:tc>
        <w:tc>
          <w:tcPr>
            <w:tcW w:w="431" w:type="pct"/>
            <w:vAlign w:val="center"/>
          </w:tcPr>
          <w:p w14:paraId="791E53DC">
            <w:pPr>
              <w:pStyle w:val="16"/>
              <w:adjustRightInd w:val="0"/>
              <w:snapToGrid w:val="0"/>
              <w:spacing w:before="36" w:beforeLines="15" w:line="276" w:lineRule="auto"/>
              <w:ind w:left="0"/>
              <w:rPr>
                <w:sz w:val="18"/>
                <w:szCs w:val="18"/>
              </w:rPr>
            </w:pPr>
            <w:r>
              <w:rPr>
                <w:sz w:val="18"/>
                <w:szCs w:val="18"/>
              </w:rPr>
              <w:t>292</w:t>
            </w:r>
          </w:p>
        </w:tc>
        <w:tc>
          <w:tcPr>
            <w:tcW w:w="564" w:type="pct"/>
            <w:vAlign w:val="center"/>
          </w:tcPr>
          <w:p w14:paraId="1B841EFA">
            <w:pPr>
              <w:pStyle w:val="16"/>
              <w:adjustRightInd w:val="0"/>
              <w:snapToGrid w:val="0"/>
              <w:spacing w:before="36" w:beforeLines="15" w:line="276" w:lineRule="auto"/>
              <w:ind w:left="0"/>
              <w:rPr>
                <w:sz w:val="18"/>
                <w:szCs w:val="18"/>
              </w:rPr>
            </w:pPr>
            <w:r>
              <w:rPr>
                <w:sz w:val="18"/>
                <w:szCs w:val="18"/>
              </w:rPr>
              <w:t>0.012</w:t>
            </w:r>
          </w:p>
        </w:tc>
      </w:tr>
      <w:tr w14:paraId="4D5B6F7C">
        <w:tblPrEx>
          <w:tblCellMar>
            <w:top w:w="0" w:type="dxa"/>
            <w:left w:w="113" w:type="dxa"/>
            <w:bottom w:w="0" w:type="dxa"/>
            <w:right w:w="113" w:type="dxa"/>
          </w:tblCellMar>
        </w:tblPrEx>
        <w:trPr>
          <w:trHeight w:val="20" w:hRule="atLeast"/>
        </w:trPr>
        <w:tc>
          <w:tcPr>
            <w:tcW w:w="685" w:type="pct"/>
            <w:vAlign w:val="center"/>
          </w:tcPr>
          <w:p w14:paraId="799C552B">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7D7C53DE">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25AA7897">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17E105F6">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2EAE5E53">
            <w:pPr>
              <w:pStyle w:val="16"/>
              <w:adjustRightInd w:val="0"/>
              <w:snapToGrid w:val="0"/>
              <w:spacing w:before="36" w:beforeLines="15" w:line="276" w:lineRule="auto"/>
              <w:ind w:left="0"/>
              <w:rPr>
                <w:sz w:val="18"/>
                <w:szCs w:val="18"/>
              </w:rPr>
            </w:pPr>
            <w:r>
              <w:rPr>
                <w:sz w:val="18"/>
                <w:szCs w:val="18"/>
              </w:rPr>
              <w:t>210</w:t>
            </w:r>
          </w:p>
        </w:tc>
        <w:tc>
          <w:tcPr>
            <w:tcW w:w="483" w:type="pct"/>
            <w:vAlign w:val="center"/>
          </w:tcPr>
          <w:p w14:paraId="72655337">
            <w:pPr>
              <w:pStyle w:val="16"/>
              <w:adjustRightInd w:val="0"/>
              <w:snapToGrid w:val="0"/>
              <w:spacing w:before="36" w:beforeLines="15" w:line="276" w:lineRule="auto"/>
              <w:ind w:left="0"/>
              <w:rPr>
                <w:sz w:val="18"/>
                <w:szCs w:val="18"/>
              </w:rPr>
            </w:pPr>
            <w:r>
              <w:rPr>
                <w:sz w:val="18"/>
                <w:szCs w:val="18"/>
              </w:rPr>
              <w:t>S</w:t>
            </w:r>
          </w:p>
        </w:tc>
        <w:tc>
          <w:tcPr>
            <w:tcW w:w="477" w:type="pct"/>
            <w:vAlign w:val="center"/>
          </w:tcPr>
          <w:p w14:paraId="3436669C">
            <w:pPr>
              <w:pStyle w:val="16"/>
              <w:adjustRightInd w:val="0"/>
              <w:snapToGrid w:val="0"/>
              <w:spacing w:before="36" w:beforeLines="15" w:line="276" w:lineRule="auto"/>
              <w:ind w:left="0"/>
              <w:rPr>
                <w:sz w:val="18"/>
                <w:szCs w:val="18"/>
              </w:rPr>
            </w:pPr>
            <w:r>
              <w:rPr>
                <w:sz w:val="18"/>
                <w:szCs w:val="18"/>
              </w:rPr>
              <w:t>N</w:t>
            </w:r>
          </w:p>
        </w:tc>
        <w:tc>
          <w:tcPr>
            <w:tcW w:w="427" w:type="pct"/>
            <w:vAlign w:val="center"/>
          </w:tcPr>
          <w:p w14:paraId="260B2B71">
            <w:pPr>
              <w:pStyle w:val="16"/>
              <w:adjustRightInd w:val="0"/>
              <w:snapToGrid w:val="0"/>
              <w:spacing w:before="36" w:beforeLines="15" w:line="276" w:lineRule="auto"/>
              <w:ind w:left="0"/>
              <w:rPr>
                <w:sz w:val="18"/>
                <w:szCs w:val="18"/>
              </w:rPr>
            </w:pPr>
            <w:r>
              <w:rPr>
                <w:sz w:val="18"/>
                <w:szCs w:val="18"/>
              </w:rPr>
              <w:t>23001</w:t>
            </w:r>
          </w:p>
        </w:tc>
        <w:tc>
          <w:tcPr>
            <w:tcW w:w="431" w:type="pct"/>
            <w:vAlign w:val="center"/>
          </w:tcPr>
          <w:p w14:paraId="158E4D71">
            <w:pPr>
              <w:pStyle w:val="16"/>
              <w:adjustRightInd w:val="0"/>
              <w:snapToGrid w:val="0"/>
              <w:spacing w:before="36" w:beforeLines="15" w:line="276" w:lineRule="auto"/>
              <w:ind w:left="0"/>
              <w:rPr>
                <w:sz w:val="18"/>
                <w:szCs w:val="18"/>
              </w:rPr>
            </w:pPr>
            <w:r>
              <w:rPr>
                <w:sz w:val="18"/>
                <w:szCs w:val="18"/>
              </w:rPr>
              <w:t>255</w:t>
            </w:r>
          </w:p>
        </w:tc>
        <w:tc>
          <w:tcPr>
            <w:tcW w:w="564" w:type="pct"/>
            <w:vAlign w:val="center"/>
          </w:tcPr>
          <w:p w14:paraId="0F3DB528">
            <w:pPr>
              <w:pStyle w:val="16"/>
              <w:adjustRightInd w:val="0"/>
              <w:snapToGrid w:val="0"/>
              <w:spacing w:before="36" w:beforeLines="15" w:line="276" w:lineRule="auto"/>
              <w:ind w:left="0"/>
              <w:rPr>
                <w:sz w:val="18"/>
                <w:szCs w:val="18"/>
              </w:rPr>
            </w:pPr>
            <w:r>
              <w:rPr>
                <w:sz w:val="18"/>
                <w:szCs w:val="18"/>
              </w:rPr>
              <w:t>0.011</w:t>
            </w:r>
          </w:p>
        </w:tc>
      </w:tr>
      <w:tr w14:paraId="2D715766">
        <w:tblPrEx>
          <w:tblCellMar>
            <w:top w:w="0" w:type="dxa"/>
            <w:left w:w="113" w:type="dxa"/>
            <w:bottom w:w="0" w:type="dxa"/>
            <w:right w:w="113" w:type="dxa"/>
          </w:tblCellMar>
        </w:tblPrEx>
        <w:trPr>
          <w:trHeight w:val="20" w:hRule="atLeast"/>
        </w:trPr>
        <w:tc>
          <w:tcPr>
            <w:tcW w:w="685" w:type="pct"/>
            <w:vAlign w:val="center"/>
          </w:tcPr>
          <w:p w14:paraId="47D0CB7A">
            <w:pPr>
              <w:pStyle w:val="16"/>
              <w:adjustRightInd w:val="0"/>
              <w:snapToGrid w:val="0"/>
              <w:spacing w:before="36" w:beforeLines="15" w:line="276" w:lineRule="auto"/>
              <w:ind w:left="0"/>
              <w:rPr>
                <w:sz w:val="18"/>
                <w:szCs w:val="18"/>
              </w:rPr>
            </w:pPr>
            <w:r>
              <w:rPr>
                <w:sz w:val="18"/>
                <w:szCs w:val="18"/>
              </w:rPr>
              <w:t>ABC123-999</w:t>
            </w:r>
          </w:p>
        </w:tc>
        <w:tc>
          <w:tcPr>
            <w:tcW w:w="570" w:type="pct"/>
            <w:vAlign w:val="center"/>
          </w:tcPr>
          <w:p w14:paraId="301AE296">
            <w:pPr>
              <w:pStyle w:val="16"/>
              <w:adjustRightInd w:val="0"/>
              <w:snapToGrid w:val="0"/>
              <w:spacing w:before="36" w:beforeLines="15" w:line="276" w:lineRule="auto"/>
              <w:ind w:left="0"/>
              <w:rPr>
                <w:sz w:val="18"/>
                <w:szCs w:val="18"/>
              </w:rPr>
            </w:pPr>
            <w:r>
              <w:rPr>
                <w:sz w:val="18"/>
                <w:szCs w:val="18"/>
              </w:rPr>
              <w:t>0123</w:t>
            </w:r>
          </w:p>
        </w:tc>
        <w:tc>
          <w:tcPr>
            <w:tcW w:w="478" w:type="pct"/>
            <w:vAlign w:val="center"/>
          </w:tcPr>
          <w:p w14:paraId="1273511D">
            <w:pPr>
              <w:pStyle w:val="16"/>
              <w:adjustRightInd w:val="0"/>
              <w:snapToGrid w:val="0"/>
              <w:spacing w:before="36" w:beforeLines="15" w:line="276" w:lineRule="auto"/>
              <w:ind w:left="0"/>
              <w:rPr>
                <w:sz w:val="18"/>
                <w:szCs w:val="18"/>
              </w:rPr>
            </w:pPr>
            <w:r>
              <w:rPr>
                <w:rFonts w:eastAsia="宋体" w:cs="宋体"/>
                <w:sz w:val="18"/>
              </w:rPr>
              <w:t>Illumina</w:t>
            </w:r>
          </w:p>
        </w:tc>
        <w:tc>
          <w:tcPr>
            <w:tcW w:w="408" w:type="pct"/>
            <w:vAlign w:val="center"/>
          </w:tcPr>
          <w:p w14:paraId="6CFB76FC">
            <w:pPr>
              <w:pStyle w:val="16"/>
              <w:adjustRightInd w:val="0"/>
              <w:snapToGrid w:val="0"/>
              <w:spacing w:before="36" w:beforeLines="15" w:line="276" w:lineRule="auto"/>
              <w:ind w:left="0"/>
              <w:rPr>
                <w:sz w:val="18"/>
                <w:szCs w:val="18"/>
              </w:rPr>
            </w:pPr>
            <w:r>
              <w:rPr>
                <w:rFonts w:eastAsia="宋体" w:cs="宋体"/>
                <w:sz w:val="18"/>
              </w:rPr>
              <w:t>第3天</w:t>
            </w:r>
          </w:p>
        </w:tc>
        <w:tc>
          <w:tcPr>
            <w:tcW w:w="478" w:type="pct"/>
            <w:vAlign w:val="center"/>
          </w:tcPr>
          <w:p w14:paraId="06109D42">
            <w:pPr>
              <w:pStyle w:val="16"/>
              <w:adjustRightInd w:val="0"/>
              <w:snapToGrid w:val="0"/>
              <w:spacing w:before="36" w:beforeLines="15" w:line="276" w:lineRule="auto"/>
              <w:ind w:left="0"/>
              <w:rPr>
                <w:sz w:val="18"/>
                <w:szCs w:val="18"/>
              </w:rPr>
            </w:pPr>
            <w:r>
              <w:rPr>
                <w:sz w:val="18"/>
                <w:szCs w:val="18"/>
              </w:rPr>
              <w:t>254</w:t>
            </w:r>
          </w:p>
        </w:tc>
        <w:tc>
          <w:tcPr>
            <w:tcW w:w="483" w:type="pct"/>
            <w:vAlign w:val="center"/>
          </w:tcPr>
          <w:p w14:paraId="466D9C42">
            <w:pPr>
              <w:pStyle w:val="16"/>
              <w:adjustRightInd w:val="0"/>
              <w:snapToGrid w:val="0"/>
              <w:spacing w:before="36" w:beforeLines="15" w:line="276" w:lineRule="auto"/>
              <w:ind w:left="0"/>
              <w:rPr>
                <w:sz w:val="18"/>
                <w:szCs w:val="18"/>
              </w:rPr>
            </w:pPr>
            <w:r>
              <w:rPr>
                <w:sz w:val="18"/>
                <w:szCs w:val="18"/>
              </w:rPr>
              <w:t>H</w:t>
            </w:r>
          </w:p>
        </w:tc>
        <w:tc>
          <w:tcPr>
            <w:tcW w:w="477" w:type="pct"/>
            <w:vAlign w:val="center"/>
          </w:tcPr>
          <w:p w14:paraId="76105B0D">
            <w:pPr>
              <w:pStyle w:val="16"/>
              <w:adjustRightInd w:val="0"/>
              <w:snapToGrid w:val="0"/>
              <w:spacing w:before="36" w:beforeLines="15" w:line="276" w:lineRule="auto"/>
              <w:ind w:left="0"/>
              <w:rPr>
                <w:sz w:val="18"/>
                <w:szCs w:val="18"/>
              </w:rPr>
            </w:pPr>
            <w:r>
              <w:rPr>
                <w:sz w:val="18"/>
                <w:szCs w:val="18"/>
              </w:rPr>
              <w:t>R</w:t>
            </w:r>
          </w:p>
        </w:tc>
        <w:tc>
          <w:tcPr>
            <w:tcW w:w="427" w:type="pct"/>
            <w:vAlign w:val="center"/>
          </w:tcPr>
          <w:p w14:paraId="6C820213">
            <w:pPr>
              <w:pStyle w:val="16"/>
              <w:adjustRightInd w:val="0"/>
              <w:snapToGrid w:val="0"/>
              <w:spacing w:before="36" w:beforeLines="15" w:line="276" w:lineRule="auto"/>
              <w:ind w:left="0"/>
              <w:rPr>
                <w:sz w:val="18"/>
                <w:szCs w:val="18"/>
              </w:rPr>
            </w:pPr>
            <w:r>
              <w:rPr>
                <w:sz w:val="18"/>
                <w:szCs w:val="18"/>
              </w:rPr>
              <w:t>25145</w:t>
            </w:r>
          </w:p>
        </w:tc>
        <w:tc>
          <w:tcPr>
            <w:tcW w:w="431" w:type="pct"/>
            <w:vAlign w:val="center"/>
          </w:tcPr>
          <w:p w14:paraId="52967296">
            <w:pPr>
              <w:pStyle w:val="16"/>
              <w:adjustRightInd w:val="0"/>
              <w:snapToGrid w:val="0"/>
              <w:spacing w:before="36" w:beforeLines="15" w:line="276" w:lineRule="auto"/>
              <w:ind w:left="0"/>
              <w:rPr>
                <w:sz w:val="18"/>
                <w:szCs w:val="18"/>
              </w:rPr>
            </w:pPr>
            <w:r>
              <w:rPr>
                <w:sz w:val="18"/>
                <w:szCs w:val="18"/>
              </w:rPr>
              <w:t>290</w:t>
            </w:r>
          </w:p>
        </w:tc>
        <w:tc>
          <w:tcPr>
            <w:tcW w:w="564" w:type="pct"/>
            <w:vAlign w:val="center"/>
          </w:tcPr>
          <w:p w14:paraId="70B6BCAE">
            <w:pPr>
              <w:pStyle w:val="16"/>
              <w:adjustRightInd w:val="0"/>
              <w:snapToGrid w:val="0"/>
              <w:spacing w:before="36" w:beforeLines="15" w:line="276" w:lineRule="auto"/>
              <w:ind w:left="0"/>
              <w:rPr>
                <w:sz w:val="18"/>
                <w:szCs w:val="18"/>
              </w:rPr>
            </w:pPr>
            <w:r>
              <w:rPr>
                <w:sz w:val="18"/>
                <w:szCs w:val="18"/>
              </w:rPr>
              <w:t>0.012</w:t>
            </w:r>
          </w:p>
        </w:tc>
      </w:tr>
    </w:tbl>
    <w:p w14:paraId="7032A504">
      <w:pPr>
        <w:adjustRightInd w:val="0"/>
        <w:snapToGrid w:val="0"/>
        <w:spacing w:before="120" w:beforeLines="50" w:line="300" w:lineRule="auto"/>
        <w:jc w:val="both"/>
        <w:rPr>
          <w:sz w:val="21"/>
          <w:szCs w:val="21"/>
          <w:lang w:eastAsia="zh-CN"/>
        </w:rPr>
      </w:pPr>
      <w:r>
        <w:rPr>
          <w:rFonts w:eastAsia="宋体" w:cs="宋体"/>
          <w:b/>
          <w:sz w:val="21"/>
          <w:lang w:eastAsia="zh-CN"/>
        </w:rPr>
        <w:t xml:space="preserve">STUDYID </w:t>
      </w:r>
      <w:r>
        <w:rPr>
          <w:rFonts w:eastAsia="宋体" w:cs="宋体"/>
          <w:sz w:val="21"/>
          <w:lang w:eastAsia="zh-CN"/>
        </w:rPr>
        <w:t>=研究方案编号；</w:t>
      </w:r>
      <w:r>
        <w:rPr>
          <w:rFonts w:eastAsia="宋体" w:cs="宋体"/>
          <w:b/>
          <w:sz w:val="21"/>
          <w:lang w:eastAsia="zh-CN"/>
        </w:rPr>
        <w:t xml:space="preserve">USUBJID </w:t>
      </w:r>
      <w:r>
        <w:rPr>
          <w:rFonts w:eastAsia="宋体" w:cs="宋体"/>
          <w:sz w:val="21"/>
          <w:lang w:eastAsia="zh-CN"/>
        </w:rPr>
        <w:t>=受试者唯一ID；</w:t>
      </w:r>
      <w:r>
        <w:rPr>
          <w:rFonts w:eastAsia="宋体" w:cs="宋体"/>
          <w:b/>
          <w:sz w:val="21"/>
          <w:lang w:eastAsia="zh-CN"/>
        </w:rPr>
        <w:t xml:space="preserve">NGSPL </w:t>
      </w:r>
      <w:r>
        <w:rPr>
          <w:rFonts w:eastAsia="宋体" w:cs="宋体"/>
          <w:sz w:val="21"/>
          <w:lang w:eastAsia="zh-CN"/>
        </w:rPr>
        <w:t>= 用于测序的下一代测序平台；</w:t>
      </w:r>
      <w:r>
        <w:rPr>
          <w:rFonts w:eastAsia="宋体" w:cs="宋体"/>
          <w:b/>
          <w:sz w:val="21"/>
          <w:lang w:eastAsia="zh-CN"/>
        </w:rPr>
        <w:t xml:space="preserve">VISIT </w:t>
      </w:r>
      <w:r>
        <w:rPr>
          <w:rFonts w:eastAsia="宋体" w:cs="宋体"/>
          <w:sz w:val="21"/>
          <w:lang w:eastAsia="zh-CN"/>
        </w:rPr>
        <w:t>=期间采集样品的研究访视；</w:t>
      </w:r>
      <w:r>
        <w:rPr>
          <w:rFonts w:eastAsia="宋体" w:cs="宋体"/>
          <w:b/>
          <w:sz w:val="21"/>
          <w:lang w:eastAsia="zh-CN"/>
        </w:rPr>
        <w:t xml:space="preserve">AAPOS </w:t>
      </w:r>
      <w:r>
        <w:rPr>
          <w:rFonts w:eastAsia="宋体" w:cs="宋体"/>
          <w:sz w:val="21"/>
          <w:lang w:eastAsia="zh-CN"/>
        </w:rPr>
        <w:t>=氨基酸在靶基因中的位置；</w:t>
      </w:r>
      <w:r>
        <w:rPr>
          <w:rFonts w:eastAsia="宋体" w:cs="宋体"/>
          <w:b/>
          <w:sz w:val="21"/>
          <w:lang w:eastAsia="zh-CN"/>
        </w:rPr>
        <w:t xml:space="preserve">AAREF </w:t>
      </w:r>
      <w:r>
        <w:rPr>
          <w:rFonts w:eastAsia="宋体" w:cs="宋体"/>
          <w:sz w:val="21"/>
          <w:lang w:eastAsia="zh-CN"/>
        </w:rPr>
        <w:t>= 参考序列中该位置的氨基酸；</w:t>
      </w:r>
      <w:r>
        <w:rPr>
          <w:rFonts w:eastAsia="宋体" w:cs="宋体"/>
          <w:b/>
          <w:sz w:val="21"/>
          <w:lang w:eastAsia="zh-CN"/>
        </w:rPr>
        <w:t xml:space="preserve">AASUB </w:t>
      </w:r>
      <w:r>
        <w:rPr>
          <w:rFonts w:eastAsia="宋体" w:cs="宋体"/>
          <w:sz w:val="21"/>
          <w:lang w:eastAsia="zh-CN"/>
        </w:rPr>
        <w:t>=通过测序检测到的氨基酸置换；</w:t>
      </w:r>
      <w:r>
        <w:rPr>
          <w:rFonts w:eastAsia="宋体" w:cs="宋体"/>
          <w:b/>
          <w:sz w:val="21"/>
          <w:lang w:eastAsia="zh-CN"/>
        </w:rPr>
        <w:t xml:space="preserve">TCOV </w:t>
      </w:r>
      <w:r>
        <w:rPr>
          <w:rFonts w:eastAsia="宋体" w:cs="宋体"/>
          <w:sz w:val="21"/>
          <w:lang w:eastAsia="zh-CN"/>
        </w:rPr>
        <w:t>=核苷酸位点的总覆盖率；</w:t>
      </w:r>
      <w:r>
        <w:rPr>
          <w:rFonts w:eastAsia="宋体" w:cs="宋体"/>
          <w:b/>
          <w:sz w:val="21"/>
          <w:lang w:eastAsia="zh-CN"/>
        </w:rPr>
        <w:t xml:space="preserve">VCOV </w:t>
      </w:r>
      <w:r>
        <w:rPr>
          <w:rFonts w:eastAsia="宋体" w:cs="宋体"/>
          <w:sz w:val="21"/>
          <w:lang w:eastAsia="zh-CN"/>
        </w:rPr>
        <w:t>=变体核苷酸位点的总覆盖率；</w:t>
      </w:r>
      <w:r>
        <w:rPr>
          <w:rFonts w:eastAsia="宋体" w:cs="宋体"/>
          <w:b/>
          <w:sz w:val="21"/>
          <w:lang w:eastAsia="zh-CN"/>
        </w:rPr>
        <w:t xml:space="preserve">AAFREQ </w:t>
      </w:r>
      <w:r>
        <w:rPr>
          <w:rFonts w:eastAsia="宋体" w:cs="宋体"/>
          <w:sz w:val="21"/>
          <w:lang w:eastAsia="zh-CN"/>
        </w:rPr>
        <w:t>=检测到的置换频率；</w:t>
      </w:r>
      <w:r>
        <w:rPr>
          <w:rFonts w:eastAsia="宋体" w:cs="宋体"/>
          <w:b/>
          <w:sz w:val="21"/>
          <w:lang w:eastAsia="zh-CN"/>
        </w:rPr>
        <w:t xml:space="preserve">BL </w:t>
      </w:r>
      <w:r>
        <w:rPr>
          <w:rFonts w:eastAsia="宋体" w:cs="宋体"/>
          <w:sz w:val="21"/>
          <w:lang w:eastAsia="zh-CN"/>
        </w:rPr>
        <w:t>=基线。</w:t>
      </w:r>
    </w:p>
    <w:p w14:paraId="25E84996">
      <w:pPr>
        <w:pStyle w:val="3"/>
        <w:pBdr>
          <w:top w:val="single" w:color="auto" w:sz="12" w:space="1"/>
        </w:pBdr>
        <w:adjustRightInd w:val="0"/>
        <w:snapToGrid w:val="0"/>
        <w:spacing w:before="120" w:beforeLines="50" w:line="300" w:lineRule="auto"/>
        <w:jc w:val="center"/>
        <w:rPr>
          <w:rFonts w:hint="eastAsia" w:eastAsia="宋体"/>
          <w:lang w:eastAsia="zh-CN"/>
        </w:rPr>
      </w:pPr>
    </w:p>
    <w:p w14:paraId="7097BDA9">
      <w:pPr>
        <w:pStyle w:val="3"/>
        <w:pBdr>
          <w:top w:val="single" w:color="auto" w:sz="12" w:space="1"/>
        </w:pBdr>
        <w:adjustRightInd w:val="0"/>
        <w:snapToGrid w:val="0"/>
        <w:spacing w:before="120" w:beforeLines="50" w:line="300" w:lineRule="auto"/>
        <w:jc w:val="center"/>
        <w:rPr>
          <w:rFonts w:hint="eastAsia" w:eastAsia="宋体"/>
          <w:lang w:eastAsia="zh-CN"/>
        </w:rPr>
      </w:pPr>
    </w:p>
    <w:p w14:paraId="701EFBD8">
      <w:pPr>
        <w:pStyle w:val="3"/>
        <w:pBdr>
          <w:top w:val="single" w:color="auto" w:sz="12"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783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3D5D">
    <w:pPr>
      <w:pStyle w:val="7"/>
      <w:adjustRightInd w:val="0"/>
      <w:jc w:val="center"/>
    </w:pPr>
    <w:r>
      <w:fldChar w:fldCharType="begin"/>
    </w:r>
    <w:r>
      <w:instrText xml:space="preserve">PAGE   \* MERGEFORMAT</w:instrText>
    </w:r>
    <w:r>
      <w:fldChar w:fldCharType="separate"/>
    </w:r>
    <w:r>
      <w:rPr>
        <w:lang w:val="zh-CN" w:eastAsia="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F13E">
    <w:pPr>
      <w:adjustRightInd w:val="0"/>
      <w:snapToGrid w:val="0"/>
      <w:jc w:val="center"/>
      <w:rPr>
        <w:sz w:val="21"/>
        <w:lang w:eastAsia="zh-CN"/>
      </w:rPr>
    </w:pPr>
    <w:r>
      <w:rPr>
        <w:rFonts w:hint="eastAsia" w:eastAsia="宋体" w:cs="宋体"/>
        <w:b/>
        <w:i/>
        <w:sz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62"/>
    <w:rsid w:val="000855CC"/>
    <w:rsid w:val="00100703"/>
    <w:rsid w:val="00104DE3"/>
    <w:rsid w:val="00173160"/>
    <w:rsid w:val="001D5FBB"/>
    <w:rsid w:val="0021111A"/>
    <w:rsid w:val="00233D49"/>
    <w:rsid w:val="0029572E"/>
    <w:rsid w:val="002D2E60"/>
    <w:rsid w:val="002E04BE"/>
    <w:rsid w:val="002F591A"/>
    <w:rsid w:val="00301267"/>
    <w:rsid w:val="00325B62"/>
    <w:rsid w:val="003340D0"/>
    <w:rsid w:val="00373DBF"/>
    <w:rsid w:val="00373DF6"/>
    <w:rsid w:val="0038723E"/>
    <w:rsid w:val="004538B7"/>
    <w:rsid w:val="004B2580"/>
    <w:rsid w:val="00504A56"/>
    <w:rsid w:val="00534848"/>
    <w:rsid w:val="005632CC"/>
    <w:rsid w:val="005D2B60"/>
    <w:rsid w:val="005D34F2"/>
    <w:rsid w:val="005E1152"/>
    <w:rsid w:val="005F1084"/>
    <w:rsid w:val="00631417"/>
    <w:rsid w:val="006E10AC"/>
    <w:rsid w:val="0072575B"/>
    <w:rsid w:val="00784AA8"/>
    <w:rsid w:val="007F245E"/>
    <w:rsid w:val="00815D84"/>
    <w:rsid w:val="008C5764"/>
    <w:rsid w:val="0095186E"/>
    <w:rsid w:val="009B0A71"/>
    <w:rsid w:val="00B44646"/>
    <w:rsid w:val="00C119B3"/>
    <w:rsid w:val="00C8671F"/>
    <w:rsid w:val="00CF3F89"/>
    <w:rsid w:val="00D11366"/>
    <w:rsid w:val="00D45D2F"/>
    <w:rsid w:val="00DA6356"/>
    <w:rsid w:val="00E110C0"/>
    <w:rsid w:val="00E37769"/>
    <w:rsid w:val="00ED3687"/>
    <w:rsid w:val="00F0660C"/>
    <w:rsid w:val="00F072F1"/>
    <w:rsid w:val="00F735D6"/>
    <w:rsid w:val="00F73AC8"/>
    <w:rsid w:val="00FF4D13"/>
    <w:rsid w:val="4CE2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960" w:hanging="720"/>
      <w:outlineLvl w:val="0"/>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toc 3"/>
    <w:basedOn w:val="1"/>
    <w:qFormat/>
    <w:uiPriority w:val="39"/>
    <w:pPr>
      <w:spacing w:before="100"/>
      <w:ind w:left="1560" w:hanging="874"/>
    </w:pPr>
    <w:rPr>
      <w:sz w:val="24"/>
      <w:szCs w:val="24"/>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39"/>
    <w:pPr>
      <w:spacing w:before="100"/>
      <w:ind w:left="900" w:hanging="660"/>
    </w:pPr>
    <w:rPr>
      <w:sz w:val="24"/>
      <w:szCs w:val="24"/>
    </w:rPr>
  </w:style>
  <w:style w:type="paragraph" w:styleId="10">
    <w:name w:val="toc 2"/>
    <w:basedOn w:val="1"/>
    <w:qFormat/>
    <w:uiPriority w:val="39"/>
    <w:pPr>
      <w:spacing w:before="99"/>
      <w:ind w:left="1119" w:hanging="661"/>
    </w:pPr>
    <w:rPr>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960" w:hanging="360"/>
    </w:pPr>
  </w:style>
  <w:style w:type="paragraph" w:customStyle="1" w:styleId="16">
    <w:name w:val="Table Paragraph"/>
    <w:basedOn w:val="1"/>
    <w:qFormat/>
    <w:uiPriority w:val="1"/>
    <w:pPr>
      <w:spacing w:line="187" w:lineRule="exact"/>
      <w:ind w:left="87"/>
      <w:jc w:val="center"/>
    </w:pPr>
  </w:style>
  <w:style w:type="character" w:customStyle="1" w:styleId="17">
    <w:name w:val="页眉 Char"/>
    <w:basedOn w:val="12"/>
    <w:link w:val="8"/>
    <w:qFormat/>
    <w:uiPriority w:val="99"/>
    <w:rPr>
      <w:rFonts w:ascii="Times New Roman" w:hAnsi="Times New Roman" w:eastAsia="Times New Roman" w:cs="Times New Roman"/>
      <w:sz w:val="18"/>
      <w:szCs w:val="18"/>
      <w:lang w:bidi="en-US"/>
    </w:rPr>
  </w:style>
  <w:style w:type="character" w:customStyle="1" w:styleId="18">
    <w:name w:val="页脚 Char"/>
    <w:basedOn w:val="12"/>
    <w:link w:val="7"/>
    <w:qFormat/>
    <w:uiPriority w:val="99"/>
    <w:rPr>
      <w:rFonts w:ascii="Times New Roman" w:hAnsi="Times New Roman" w:eastAsia="Times New Roman" w:cs="Times New Roman"/>
      <w:sz w:val="18"/>
      <w:szCs w:val="18"/>
      <w:lang w:bidi="en-US"/>
    </w:rPr>
  </w:style>
  <w:style w:type="character" w:customStyle="1" w:styleId="19">
    <w:name w:val="批注框文本 Char"/>
    <w:basedOn w:val="12"/>
    <w:link w:val="6"/>
    <w:semiHidden/>
    <w:qFormat/>
    <w:uiPriority w:val="99"/>
    <w:rPr>
      <w:rFonts w:ascii="Times New Roman" w:hAnsi="Times New Roman" w:eastAsia="Times New Roman" w:cs="Times New Roman"/>
      <w:sz w:val="18"/>
      <w:szCs w:val="18"/>
      <w:lang w:bidi="en-US"/>
    </w:rPr>
  </w:style>
  <w:style w:type="character" w:customStyle="1" w:styleId="20">
    <w:name w:val="日期 Char"/>
    <w:basedOn w:val="12"/>
    <w:link w:val="5"/>
    <w:semiHidden/>
    <w:qFormat/>
    <w:uiPriority w:val="99"/>
    <w:rPr>
      <w:rFonts w:ascii="Times New Roman" w:hAnsi="Times New Roman" w:eastAsia="Times New Roman" w:cs="Times New Roman"/>
      <w:lang w:bidi="en-US"/>
    </w:rPr>
  </w:style>
  <w:style w:type="paragraph" w:customStyle="1" w:styleId="21">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69AA-9E52-42B4-8782-A746634A18B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5163</Words>
  <Characters>6832</Characters>
  <Lines>63</Lines>
  <Paragraphs>17</Paragraphs>
  <TotalTime>95</TotalTime>
  <ScaleCrop>false</ScaleCrop>
  <LinksUpToDate>false</LinksUpToDate>
  <CharactersWithSpaces>6969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2021-11-10T08:56:00Z</dcterms:created>
  <dc:creator>FDA/CDER/"Harrington, Patrick"</dc:creator>
  <cp:keywords>Submitting Next Generation Sequencing Data to the Division of Antiviral Products Guidance for Industry Technical Specifications Document</cp:keywords>
  <cp:lastModifiedBy>太极箫客</cp:lastModifiedBy>
  <dcterms:modified xsi:type="dcterms:W3CDTF">2025-08-14T06:45:12Z</dcterms:modified>
  <dc:subject>Guidance for Industry</dc:subject>
  <dc:title>Submitting Next Generation Sequencing Data to the Division of Antiviral Products Guidance for Industry Technical Specifications Document</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Acrobat PDFMaker 11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2510AEA2C0204C5AA8BD73BADE2291EE_12</vt:lpwstr>
  </property>
</Properties>
</file>