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620AE">
      <w:pPr>
        <w:pBdr>
          <w:bottom w:val="single" w:color="auto" w:sz="6" w:space="1"/>
        </w:pBdr>
        <w:spacing w:before="187"/>
        <w:jc w:val="center"/>
        <w:rPr>
          <w:rFonts w:eastAsia="宋体" w:cs="Arial"/>
          <w:b/>
          <w:sz w:val="48"/>
          <w:szCs w:val="48"/>
        </w:rPr>
      </w:pPr>
      <w:bookmarkStart w:id="3" w:name="_GoBack"/>
      <w:bookmarkEnd w:id="3"/>
      <w:r>
        <w:rPr>
          <w:rFonts w:eastAsia="宋体" w:cs="Arial"/>
          <w:b/>
          <w:sz w:val="48"/>
          <w:szCs w:val="48"/>
        </w:rPr>
        <w:t>FDA工作人员指南</w:t>
      </w:r>
    </w:p>
    <w:p w14:paraId="2B077E71">
      <w:pPr>
        <w:spacing w:before="187"/>
        <w:jc w:val="center"/>
        <w:rPr>
          <w:rFonts w:eastAsia="宋体" w:cs="Arial"/>
          <w:b/>
          <w:sz w:val="48"/>
          <w:szCs w:val="48"/>
        </w:rPr>
      </w:pPr>
      <w:r>
        <w:rPr>
          <w:rFonts w:eastAsia="宋体" w:cs="Arial"/>
          <w:b/>
          <w:sz w:val="48"/>
          <w:szCs w:val="48"/>
        </w:rPr>
        <w:t>合规计划指南手册</w:t>
      </w:r>
    </w:p>
    <w:p w14:paraId="79DA013D">
      <w:pPr>
        <w:spacing w:before="187"/>
        <w:jc w:val="center"/>
        <w:rPr>
          <w:rFonts w:eastAsia="宋体" w:cs="Arial"/>
          <w:b/>
          <w:sz w:val="48"/>
          <w:szCs w:val="48"/>
        </w:rPr>
      </w:pPr>
      <w:r>
        <w:rPr>
          <w:rFonts w:eastAsia="宋体" w:cs="Arial"/>
          <w:b/>
          <w:sz w:val="48"/>
          <w:szCs w:val="48"/>
        </w:rPr>
        <w:t>CP 7386.003</w:t>
      </w:r>
    </w:p>
    <w:p w14:paraId="69671FC9">
      <w:pPr>
        <w:spacing w:before="187"/>
        <w:jc w:val="center"/>
        <w:rPr>
          <w:rFonts w:eastAsia="宋体" w:cs="Arial"/>
          <w:b/>
          <w:sz w:val="48"/>
          <w:szCs w:val="48"/>
        </w:rPr>
      </w:pPr>
      <w:r>
        <w:rPr>
          <w:rFonts w:eastAsia="宋体" w:cs="Arial"/>
          <w:b/>
          <w:sz w:val="48"/>
          <w:szCs w:val="48"/>
        </w:rPr>
        <w:t>诊断用（医用）X射线设备现场合规测试</w:t>
      </w:r>
    </w:p>
    <w:p w14:paraId="0061ABFB">
      <w:pPr>
        <w:spacing w:before="187"/>
        <w:jc w:val="center"/>
        <w:rPr>
          <w:rFonts w:eastAsia="宋体" w:cs="Arial"/>
          <w:b/>
          <w:sz w:val="28"/>
          <w:szCs w:val="28"/>
        </w:rPr>
      </w:pPr>
      <w:r>
        <w:rPr>
          <w:rFonts w:eastAsia="宋体" w:cs="Arial"/>
          <w:b/>
          <w:sz w:val="28"/>
          <w:szCs w:val="28"/>
        </w:rPr>
        <w:t>文件发布日期：2006年2月8日</w:t>
      </w:r>
    </w:p>
    <w:p w14:paraId="616836C8">
      <w:pPr>
        <w:spacing w:before="187"/>
        <w:rPr>
          <w:rFonts w:eastAsia="宋体" w:cs="Arial"/>
        </w:rPr>
      </w:pPr>
    </w:p>
    <w:p w14:paraId="65858366">
      <w:pPr>
        <w:spacing w:before="187"/>
        <w:jc w:val="center"/>
        <w:rPr>
          <w:rFonts w:eastAsia="宋体" w:cs="Arial"/>
          <w:b/>
          <w:sz w:val="28"/>
          <w:szCs w:val="28"/>
        </w:rPr>
      </w:pPr>
      <w:r>
        <w:rPr>
          <w:rFonts w:eastAsia="宋体" w:cs="Arial"/>
          <w:b/>
          <w:sz w:val="28"/>
          <w:szCs w:val="28"/>
        </w:rPr>
        <w:t>本文件取代2000年10月1日发布的</w:t>
      </w:r>
      <w:r>
        <w:rPr>
          <w:rFonts w:ascii="宋体" w:hAnsi="宋体" w:eastAsia="宋体" w:cs="Arial"/>
          <w:b/>
          <w:sz w:val="28"/>
          <w:szCs w:val="28"/>
        </w:rPr>
        <w:t>“</w:t>
      </w:r>
      <w:r>
        <w:rPr>
          <w:rFonts w:eastAsia="宋体" w:cs="Arial"/>
          <w:b/>
          <w:sz w:val="28"/>
          <w:szCs w:val="28"/>
        </w:rPr>
        <w:t>诊断用（医用）X射线设备现场合规测试</w:t>
      </w:r>
      <w:r>
        <w:rPr>
          <w:rFonts w:ascii="宋体" w:hAnsi="宋体" w:eastAsia="宋体" w:cs="Arial"/>
          <w:b/>
          <w:sz w:val="28"/>
          <w:szCs w:val="28"/>
        </w:rPr>
        <w:t>”</w:t>
      </w:r>
    </w:p>
    <w:p w14:paraId="735A9060">
      <w:pPr>
        <w:spacing w:before="187"/>
        <w:rPr>
          <w:rFonts w:eastAsia="宋体" w:cs="Arial"/>
        </w:rPr>
      </w:pPr>
      <w:r>
        <w:rPr>
          <w:rFonts w:eastAsia="宋体" w:cs="Arial"/>
        </w:rPr>
        <w:t>本指南中的信息采集条款已获批，其OMB控制码为0910-0564。该批准有效期至2006年12月31日。除非显示当前有效的OMB控制编号，否则机构可能不会执行或发起信息采集，也不会要求人员参与。</w:t>
      </w:r>
    </w:p>
    <w:p w14:paraId="0BB43504">
      <w:pPr>
        <w:spacing w:before="187"/>
        <w:rPr>
          <w:rFonts w:eastAsia="宋体" w:cs="Arial"/>
        </w:rPr>
      </w:pPr>
      <w:r>
        <w:rPr>
          <w:rFonts w:eastAsia="宋体" w:cs="Arial"/>
        </w:rPr>
        <w:t>与本文件相关的问题，请致电240-276-3283或发送邮件至heywardrourk@fda.hhs.gov与Heyward Rourk联系。</w:t>
      </w:r>
    </w:p>
    <w:p w14:paraId="45D4C206">
      <w:pPr>
        <w:spacing w:before="187"/>
        <w:rPr>
          <w:rFonts w:eastAsia="宋体" w:cs="Arial"/>
        </w:rPr>
      </w:pPr>
      <w:r>
        <w:rPr>
          <w:rFonts w:eastAsia="宋体" w:cs="Arial"/>
        </w:rPr>
        <w:drawing>
          <wp:anchor distT="0" distB="0" distL="114300" distR="114300" simplePos="0" relativeHeight="251659264" behindDoc="0" locked="0" layoutInCell="1" allowOverlap="1">
            <wp:simplePos x="0" y="0"/>
            <wp:positionH relativeFrom="column">
              <wp:posOffset>-23495</wp:posOffset>
            </wp:positionH>
            <wp:positionV relativeFrom="paragraph">
              <wp:posOffset>100965</wp:posOffset>
            </wp:positionV>
            <wp:extent cx="762000" cy="869315"/>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62000" cy="869367"/>
                    </a:xfrm>
                    <a:prstGeom prst="rect">
                      <a:avLst/>
                    </a:prstGeom>
                  </pic:spPr>
                </pic:pic>
              </a:graphicData>
            </a:graphic>
          </wp:anchor>
        </w:drawing>
      </w:r>
    </w:p>
    <w:p w14:paraId="53223603">
      <w:pPr>
        <w:spacing w:before="187"/>
        <w:rPr>
          <w:rFonts w:eastAsia="宋体" w:cs="Arial"/>
        </w:rPr>
      </w:pPr>
    </w:p>
    <w:p w14:paraId="01FBA160">
      <w:pPr>
        <w:spacing w:before="187"/>
        <w:jc w:val="right"/>
        <w:rPr>
          <w:rFonts w:eastAsia="宋体" w:cs="Arial"/>
          <w:b/>
        </w:rPr>
      </w:pPr>
      <w:r>
        <w:rPr>
          <w:rFonts w:eastAsia="宋体" w:cs="Arial"/>
          <w:b/>
        </w:rPr>
        <w:t>美国卫生和人类服务署</w:t>
      </w:r>
      <w:r>
        <w:rPr>
          <w:rFonts w:eastAsia="宋体" w:cs="Arial"/>
          <w:b/>
        </w:rPr>
        <w:br w:type="textWrapping"/>
      </w:r>
      <w:r>
        <w:rPr>
          <w:rFonts w:eastAsia="宋体" w:cs="Arial"/>
          <w:b/>
        </w:rPr>
        <w:t>食品药品监督管理局</w:t>
      </w:r>
      <w:r>
        <w:rPr>
          <w:rFonts w:eastAsia="宋体" w:cs="Arial"/>
          <w:b/>
        </w:rPr>
        <w:br w:type="textWrapping"/>
      </w:r>
      <w:r>
        <w:rPr>
          <w:rFonts w:eastAsia="宋体" w:cs="Arial"/>
          <w:b/>
        </w:rPr>
        <w:t>器械和放射卫生中心</w:t>
      </w:r>
      <w:r>
        <w:rPr>
          <w:rFonts w:eastAsia="宋体" w:cs="Arial"/>
          <w:b/>
        </w:rPr>
        <w:br w:type="textWrapping"/>
      </w:r>
      <w:r>
        <w:rPr>
          <w:rFonts w:eastAsia="宋体" w:cs="Arial"/>
          <w:b/>
        </w:rPr>
        <w:t>诊断器械分部</w:t>
      </w:r>
      <w:r>
        <w:rPr>
          <w:rFonts w:eastAsia="宋体" w:cs="Arial"/>
          <w:b/>
        </w:rPr>
        <w:br w:type="textWrapping"/>
      </w:r>
      <w:r>
        <w:rPr>
          <w:rFonts w:eastAsia="宋体" w:cs="Arial"/>
          <w:b/>
        </w:rPr>
        <w:t>乳房摄影和辐射计划处</w:t>
      </w:r>
      <w:r>
        <w:rPr>
          <w:rFonts w:eastAsia="宋体" w:cs="Arial"/>
          <w:b/>
        </w:rPr>
        <w:br w:type="textWrapping"/>
      </w:r>
      <w:r>
        <w:rPr>
          <w:rFonts w:eastAsia="宋体" w:cs="Arial"/>
          <w:b/>
        </w:rPr>
        <w:t>通讯、教育和辐射办公室</w:t>
      </w:r>
    </w:p>
    <w:p w14:paraId="63C8F9D0">
      <w:pPr>
        <w:spacing w:before="187"/>
        <w:rPr>
          <w:rFonts w:eastAsia="宋体" w:cs="Arial"/>
        </w:rPr>
      </w:pPr>
      <w:r>
        <w:rPr>
          <w:rFonts w:eastAsia="宋体" w:cs="Arial"/>
        </w:rPr>
        <w:br w:type="page"/>
      </w:r>
    </w:p>
    <w:p w14:paraId="7849B5C1">
      <w:pPr>
        <w:spacing w:before="187"/>
        <w:jc w:val="center"/>
        <w:rPr>
          <w:rFonts w:eastAsia="宋体" w:cs="Arial"/>
          <w:b/>
          <w:sz w:val="36"/>
          <w:szCs w:val="36"/>
        </w:rPr>
      </w:pPr>
      <w:r>
        <w:rPr>
          <w:rFonts w:eastAsia="宋体" w:cs="Arial"/>
          <w:b/>
          <w:sz w:val="36"/>
          <w:szCs w:val="36"/>
        </w:rPr>
        <w:t>序言</w:t>
      </w:r>
    </w:p>
    <w:p w14:paraId="78AF5AE2">
      <w:pPr>
        <w:spacing w:before="187"/>
        <w:rPr>
          <w:rFonts w:eastAsia="宋体" w:cs="Arial"/>
          <w:b/>
          <w:sz w:val="30"/>
          <w:szCs w:val="30"/>
        </w:rPr>
      </w:pPr>
      <w:r>
        <w:rPr>
          <w:rFonts w:eastAsia="宋体" w:cs="Arial"/>
          <w:b/>
          <w:sz w:val="30"/>
          <w:szCs w:val="30"/>
        </w:rPr>
        <w:t>公共评论</w:t>
      </w:r>
    </w:p>
    <w:p w14:paraId="5D8EDC87">
      <w:pPr>
        <w:spacing w:before="187"/>
        <w:rPr>
          <w:rFonts w:eastAsia="宋体" w:cs="Arial"/>
        </w:rPr>
      </w:pPr>
      <w:r>
        <w:rPr>
          <w:rFonts w:eastAsia="宋体" w:cs="Arial"/>
        </w:rPr>
        <w:t>书面评论和建议可以随时提交至食品药品监督管理局案卷管理科（5630 Fishers Lane，R</w:t>
      </w:r>
      <w:r>
        <w:rPr>
          <w:rFonts w:eastAsia="宋体" w:cs="Arial"/>
          <w:kern w:val="0"/>
          <w:sz w:val="24"/>
          <w:szCs w:val="24"/>
        </w:rPr>
        <w:t>oom</w:t>
      </w:r>
      <w:r>
        <w:rPr>
          <w:rFonts w:eastAsia="宋体" w:cs="Arial"/>
        </w:rPr>
        <w:t xml:space="preserve"> 1061（HFA-305），Rockville，MD，20852）。</w:t>
      </w:r>
    </w:p>
    <w:p w14:paraId="6BAAF0BB">
      <w:pPr>
        <w:spacing w:before="187"/>
        <w:rPr>
          <w:rFonts w:eastAsia="宋体" w:cs="Arial"/>
        </w:rPr>
      </w:pPr>
      <w:r>
        <w:rPr>
          <w:rFonts w:eastAsia="宋体" w:cs="Arial"/>
        </w:rPr>
        <w:t>提交评论时，请注明本指导性文件的确切标题。再次进行文件修订或更新之前，本机构可能不会针对评论采取行动。</w:t>
      </w:r>
    </w:p>
    <w:p w14:paraId="678950E4">
      <w:pPr>
        <w:spacing w:before="187"/>
        <w:rPr>
          <w:rFonts w:eastAsia="宋体" w:cs="Arial"/>
          <w:b/>
          <w:sz w:val="30"/>
          <w:szCs w:val="30"/>
        </w:rPr>
      </w:pPr>
      <w:r>
        <w:rPr>
          <w:rFonts w:eastAsia="宋体" w:cs="Arial"/>
          <w:b/>
          <w:sz w:val="30"/>
          <w:szCs w:val="30"/>
        </w:rPr>
        <w:t>其他副本</w:t>
      </w:r>
    </w:p>
    <w:p w14:paraId="748D010C">
      <w:pPr>
        <w:spacing w:before="187"/>
        <w:rPr>
          <w:rFonts w:eastAsia="宋体" w:cs="Arial"/>
        </w:rPr>
      </w:pPr>
      <w:r>
        <w:rPr>
          <w:rFonts w:eastAsia="宋体" w:cs="Arial"/>
        </w:rPr>
        <w:t>其他副本可从互联网获得，网址：</w:t>
      </w:r>
      <w:r>
        <w:rPr>
          <w:rFonts w:eastAsia="宋体" w:cs="Arial"/>
          <w:color w:val="0000FF"/>
          <w:u w:val="single"/>
        </w:rPr>
        <w:t>http://www.fda.gov/cdrh/ocer/ guidance/1600.pdf</w:t>
      </w:r>
      <w:r>
        <w:rPr>
          <w:rFonts w:eastAsia="宋体" w:cs="Arial"/>
        </w:rPr>
        <w:t>，您还可以向（301）443-8818发送传真请求以接收副本，或向dsmica@fda.hhs.gov 发送电子邮件请求以接收本指南的纸质版或电子副本。请使用文件编号（1600）来注明您所要求获得的指南。</w:t>
      </w:r>
    </w:p>
    <w:p w14:paraId="7B9AB03D">
      <w:pPr>
        <w:spacing w:before="187"/>
        <w:rPr>
          <w:rFonts w:eastAsia="宋体" w:cs="Arial"/>
        </w:rPr>
      </w:pPr>
    </w:p>
    <w:p w14:paraId="31873607">
      <w:pPr>
        <w:widowControl/>
        <w:adjustRightInd/>
        <w:snapToGrid/>
        <w:spacing w:before="0" w:beforeLines="0" w:line="240" w:lineRule="auto"/>
        <w:jc w:val="left"/>
        <w:rPr>
          <w:rFonts w:eastAsia="宋体" w:cs="Arial"/>
          <w:b/>
          <w:sz w:val="36"/>
          <w:szCs w:val="36"/>
        </w:rPr>
      </w:pPr>
      <w:r>
        <w:rPr>
          <w:rFonts w:eastAsia="宋体" w:cs="Arial"/>
          <w:b/>
          <w:sz w:val="36"/>
          <w:szCs w:val="36"/>
        </w:rPr>
        <w:br w:type="page"/>
      </w:r>
    </w:p>
    <w:p w14:paraId="2BF0AAEE">
      <w:pPr>
        <w:spacing w:before="187"/>
        <w:jc w:val="center"/>
        <w:rPr>
          <w:rFonts w:eastAsia="宋体" w:cs="Arial"/>
          <w:b/>
          <w:sz w:val="36"/>
          <w:szCs w:val="36"/>
        </w:rPr>
      </w:pPr>
      <w:r>
        <w:rPr>
          <w:rFonts w:eastAsia="宋体" w:cs="Arial"/>
          <w:b/>
          <w:sz w:val="36"/>
          <w:szCs w:val="36"/>
        </w:rPr>
        <w:t>目录</w:t>
      </w:r>
    </w:p>
    <w:p w14:paraId="2B83ACCE">
      <w:pPr>
        <w:spacing w:before="187"/>
        <w:rPr>
          <w:rFonts w:eastAsia="宋体" w:cs="Arial"/>
        </w:rPr>
      </w:pPr>
      <w:r>
        <w:rPr>
          <w:rFonts w:eastAsia="宋体" w:cs="Arial"/>
        </w:rPr>
        <w:t>可按下</w:t>
      </w:r>
      <w:r>
        <w:rPr>
          <w:rFonts w:ascii="宋体" w:hAnsi="宋体" w:eastAsia="宋体" w:cs="Arial"/>
        </w:rPr>
        <w:t>“</w:t>
      </w:r>
      <w:r>
        <w:rPr>
          <w:rFonts w:eastAsia="宋体" w:cs="Arial"/>
        </w:rPr>
        <w:t>CTRL</w:t>
      </w:r>
      <w:r>
        <w:rPr>
          <w:rFonts w:ascii="宋体" w:hAnsi="宋体" w:eastAsia="宋体" w:cs="Arial"/>
        </w:rPr>
        <w:t>”</w:t>
      </w:r>
      <w:r>
        <w:rPr>
          <w:rFonts w:eastAsia="宋体" w:cs="Arial"/>
        </w:rPr>
        <w:t>键并点击下列部分和附件目录的任何位置直接去往所列页面：</w:t>
      </w:r>
    </w:p>
    <w:p w14:paraId="475DD17E">
      <w:pPr>
        <w:spacing w:before="187"/>
        <w:ind w:left="440" w:leftChars="200"/>
        <w:rPr>
          <w:rFonts w:eastAsia="宋体" w:cs="Arial"/>
          <w:b/>
        </w:rPr>
      </w:pPr>
      <w:r>
        <w:rPr>
          <w:rFonts w:eastAsia="宋体" w:cs="Arial"/>
          <w:b/>
        </w:rPr>
        <w:t>部分</w:t>
      </w:r>
    </w:p>
    <w:p w14:paraId="0FD39986">
      <w:pPr>
        <w:spacing w:before="62" w:beforeLines="20" w:line="276" w:lineRule="auto"/>
        <w:rPr>
          <w:rFonts w:eastAsia="宋体" w:cs="Arial"/>
          <w:color w:val="0000FF"/>
          <w:u w:val="single"/>
        </w:rPr>
      </w:pPr>
      <w:r>
        <w:rPr>
          <w:rFonts w:eastAsia="宋体" w:cs="Arial"/>
          <w:color w:val="0000FF"/>
          <w:u w:val="single"/>
        </w:rPr>
        <w:t>封面</w:t>
      </w:r>
    </w:p>
    <w:p w14:paraId="58C1D023">
      <w:pPr>
        <w:spacing w:before="62" w:beforeLines="20" w:line="276" w:lineRule="auto"/>
        <w:rPr>
          <w:rFonts w:eastAsia="宋体" w:cs="Arial"/>
          <w:color w:val="0000FF"/>
          <w:u w:val="single"/>
        </w:rPr>
      </w:pPr>
      <w:r>
        <w:rPr>
          <w:rFonts w:eastAsia="宋体" w:cs="Arial"/>
          <w:color w:val="0000FF"/>
          <w:u w:val="single"/>
        </w:rPr>
        <w:t>第I部分－背景</w:t>
      </w:r>
    </w:p>
    <w:p w14:paraId="285C91D9">
      <w:pPr>
        <w:spacing w:before="62" w:beforeLines="20" w:line="276" w:lineRule="auto"/>
        <w:rPr>
          <w:rFonts w:eastAsia="宋体" w:cs="Arial"/>
          <w:color w:val="0000FF"/>
          <w:u w:val="single"/>
        </w:rPr>
      </w:pPr>
      <w:r>
        <w:rPr>
          <w:rFonts w:eastAsia="宋体" w:cs="Arial"/>
          <w:color w:val="0000FF"/>
          <w:u w:val="single"/>
        </w:rPr>
        <w:t>第II部分－实施</w:t>
      </w:r>
    </w:p>
    <w:p w14:paraId="0D9DFD8C">
      <w:pPr>
        <w:spacing w:before="62" w:beforeLines="20" w:line="276" w:lineRule="auto"/>
        <w:rPr>
          <w:rFonts w:eastAsia="宋体" w:cs="Arial"/>
          <w:color w:val="0000FF"/>
          <w:u w:val="single"/>
        </w:rPr>
      </w:pPr>
      <w:r>
        <w:rPr>
          <w:rFonts w:eastAsia="宋体" w:cs="Arial"/>
          <w:color w:val="0000FF"/>
          <w:u w:val="single"/>
        </w:rPr>
        <w:t>第III部分－检查</w:t>
      </w:r>
    </w:p>
    <w:p w14:paraId="79023F57">
      <w:pPr>
        <w:spacing w:before="62" w:beforeLines="20" w:line="276" w:lineRule="auto"/>
        <w:rPr>
          <w:rFonts w:eastAsia="宋体" w:cs="Arial"/>
          <w:color w:val="0000FF"/>
          <w:u w:val="single"/>
        </w:rPr>
      </w:pPr>
      <w:r>
        <w:rPr>
          <w:rFonts w:eastAsia="宋体" w:cs="Arial"/>
          <w:color w:val="0000FF"/>
          <w:u w:val="single"/>
        </w:rPr>
        <w:t>第IV部分－分析（空白）</w:t>
      </w:r>
    </w:p>
    <w:p w14:paraId="65888847">
      <w:pPr>
        <w:spacing w:before="62" w:beforeLines="20" w:line="276" w:lineRule="auto"/>
        <w:rPr>
          <w:rFonts w:eastAsia="宋体" w:cs="Arial"/>
          <w:color w:val="0000FF"/>
          <w:u w:val="single"/>
        </w:rPr>
      </w:pPr>
      <w:r>
        <w:rPr>
          <w:rFonts w:eastAsia="宋体" w:cs="Arial"/>
          <w:color w:val="0000FF"/>
          <w:u w:val="single"/>
        </w:rPr>
        <w:t>第V部分－监管/管理策略</w:t>
      </w:r>
    </w:p>
    <w:p w14:paraId="510F471C">
      <w:pPr>
        <w:spacing w:before="62" w:beforeLines="20" w:line="276" w:lineRule="auto"/>
        <w:rPr>
          <w:rFonts w:eastAsia="宋体" w:cs="Arial"/>
          <w:color w:val="0000FF"/>
          <w:u w:val="single"/>
        </w:rPr>
      </w:pPr>
      <w:r>
        <w:rPr>
          <w:rFonts w:eastAsia="宋体" w:cs="Arial"/>
          <w:color w:val="0000FF"/>
          <w:u w:val="single"/>
        </w:rPr>
        <w:t>第VI部分－参考文件、附件和计划联系方式</w:t>
      </w:r>
    </w:p>
    <w:p w14:paraId="54AB7EB0">
      <w:pPr>
        <w:spacing w:before="62" w:beforeLines="20" w:line="276" w:lineRule="auto"/>
        <w:rPr>
          <w:rFonts w:eastAsia="宋体" w:cs="Arial"/>
          <w:color w:val="0000FF"/>
          <w:u w:val="single"/>
        </w:rPr>
      </w:pPr>
      <w:r>
        <w:rPr>
          <w:rFonts w:eastAsia="宋体" w:cs="Arial"/>
          <w:color w:val="0000FF"/>
          <w:u w:val="single"/>
        </w:rPr>
        <w:t>第VII部分－中心责任</w:t>
      </w:r>
    </w:p>
    <w:p w14:paraId="13B8B980">
      <w:pPr>
        <w:spacing w:before="187"/>
        <w:ind w:left="440" w:leftChars="200"/>
        <w:rPr>
          <w:rFonts w:eastAsia="宋体" w:cs="Arial"/>
          <w:b/>
        </w:rPr>
      </w:pPr>
      <w:r>
        <w:rPr>
          <w:rFonts w:eastAsia="宋体" w:cs="Arial"/>
          <w:b/>
        </w:rPr>
        <w:t>附件</w:t>
      </w:r>
    </w:p>
    <w:p w14:paraId="1D716624">
      <w:pPr>
        <w:spacing w:before="62" w:beforeLines="20" w:line="276" w:lineRule="auto"/>
        <w:ind w:left="660" w:hanging="660" w:hangingChars="300"/>
        <w:rPr>
          <w:rFonts w:eastAsia="宋体" w:cs="Arial"/>
          <w:color w:val="0000FF"/>
          <w:u w:val="single"/>
        </w:rPr>
      </w:pPr>
      <w:r>
        <w:rPr>
          <w:rFonts w:eastAsia="宋体" w:cs="Arial"/>
          <w:color w:val="0000FF"/>
          <w:u w:val="single"/>
        </w:rPr>
        <w:t>A－</w:t>
      </w:r>
      <w:r>
        <w:rPr>
          <w:rFonts w:eastAsia="宋体" w:cs="Arial"/>
          <w:color w:val="0000FF"/>
          <w:u w:val="single"/>
        </w:rPr>
        <w:tab/>
      </w:r>
      <w:r>
        <w:rPr>
          <w:rFonts w:eastAsia="宋体" w:cs="Arial"/>
          <w:color w:val="0000FF"/>
          <w:u w:val="single"/>
        </w:rPr>
        <w:t>器械和放射卫生中心负责联系器械采购、维护和修理的工作人员名单</w:t>
      </w:r>
    </w:p>
    <w:p w14:paraId="7E13DF67">
      <w:pPr>
        <w:spacing w:before="62" w:beforeLines="20" w:line="276" w:lineRule="auto"/>
        <w:ind w:left="660" w:hanging="660" w:hangingChars="300"/>
        <w:rPr>
          <w:rFonts w:eastAsia="宋体" w:cs="Arial"/>
          <w:color w:val="0000FF"/>
          <w:u w:val="single"/>
        </w:rPr>
      </w:pPr>
      <w:r>
        <w:rPr>
          <w:rFonts w:eastAsia="宋体" w:cs="Arial"/>
          <w:color w:val="0000FF"/>
          <w:u w:val="single"/>
        </w:rPr>
        <w:t>B－</w:t>
      </w:r>
      <w:r>
        <w:rPr>
          <w:rFonts w:eastAsia="宋体" w:cs="Arial"/>
          <w:color w:val="0000FF"/>
          <w:u w:val="single"/>
        </w:rPr>
        <w:tab/>
      </w:r>
      <w:r>
        <w:rPr>
          <w:rFonts w:eastAsia="宋体" w:cs="Arial"/>
          <w:color w:val="0000FF"/>
          <w:u w:val="single"/>
        </w:rPr>
        <w:t>器械和放射卫生中心负责联系测试规程、器械使用和数据输入问题的工作人员名单</w:t>
      </w:r>
    </w:p>
    <w:p w14:paraId="4A1363B5">
      <w:pPr>
        <w:spacing w:before="62" w:beforeLines="20" w:line="276" w:lineRule="auto"/>
        <w:ind w:left="660" w:hanging="660" w:hangingChars="300"/>
        <w:rPr>
          <w:rFonts w:eastAsia="宋体" w:cs="Arial"/>
          <w:color w:val="0000FF"/>
          <w:u w:val="single"/>
        </w:rPr>
      </w:pPr>
      <w:r>
        <w:rPr>
          <w:rFonts w:eastAsia="宋体" w:cs="Arial"/>
          <w:color w:val="0000FF"/>
          <w:u w:val="single"/>
        </w:rPr>
        <w:t>C－</w:t>
      </w:r>
      <w:r>
        <w:rPr>
          <w:rFonts w:eastAsia="宋体" w:cs="Arial"/>
          <w:color w:val="0000FF"/>
          <w:u w:val="single"/>
        </w:rPr>
        <w:tab/>
      </w:r>
      <w:r>
        <w:rPr>
          <w:rFonts w:eastAsia="宋体" w:cs="Arial"/>
          <w:color w:val="0000FF"/>
          <w:u w:val="single"/>
        </w:rPr>
        <w:t>总通讯录</w:t>
      </w:r>
    </w:p>
    <w:p w14:paraId="7E251E0B">
      <w:pPr>
        <w:spacing w:before="62" w:beforeLines="20" w:line="276" w:lineRule="auto"/>
        <w:ind w:left="660" w:hanging="660" w:hangingChars="300"/>
        <w:rPr>
          <w:rFonts w:eastAsia="宋体" w:cs="Arial"/>
          <w:color w:val="0000FF"/>
          <w:u w:val="single"/>
        </w:rPr>
      </w:pPr>
      <w:r>
        <w:rPr>
          <w:rFonts w:eastAsia="宋体" w:cs="Arial"/>
          <w:color w:val="0000FF"/>
          <w:u w:val="single"/>
        </w:rPr>
        <w:t>D－</w:t>
      </w:r>
      <w:r>
        <w:rPr>
          <w:rFonts w:eastAsia="宋体" w:cs="Arial"/>
          <w:color w:val="0000FF"/>
          <w:u w:val="single"/>
        </w:rPr>
        <w:tab/>
      </w:r>
      <w:r>
        <w:rPr>
          <w:rFonts w:eastAsia="宋体" w:cs="Arial"/>
          <w:color w:val="0000FF"/>
          <w:u w:val="single"/>
        </w:rPr>
        <w:t>不合规和瑕疵事项分类</w:t>
      </w:r>
    </w:p>
    <w:p w14:paraId="40BF0AC1">
      <w:pPr>
        <w:spacing w:before="62" w:beforeLines="20" w:line="276" w:lineRule="auto"/>
        <w:ind w:left="660" w:hanging="660" w:hangingChars="300"/>
        <w:rPr>
          <w:rFonts w:eastAsia="宋体" w:cs="Arial"/>
          <w:color w:val="0000FF"/>
          <w:u w:val="single"/>
        </w:rPr>
      </w:pPr>
      <w:r>
        <w:rPr>
          <w:rFonts w:eastAsia="宋体" w:cs="Arial"/>
          <w:color w:val="0000FF"/>
          <w:u w:val="single"/>
        </w:rPr>
        <w:t>E－</w:t>
      </w:r>
      <w:r>
        <w:rPr>
          <w:rFonts w:eastAsia="宋体" w:cs="Arial"/>
          <w:color w:val="0000FF"/>
          <w:u w:val="single"/>
        </w:rPr>
        <w:tab/>
      </w:r>
      <w:r>
        <w:rPr>
          <w:rFonts w:eastAsia="宋体" w:cs="Arial"/>
          <w:color w:val="0000FF"/>
          <w:u w:val="single"/>
        </w:rPr>
        <w:t>诊断用X射线系统装配报告模板（FDA-2579）</w:t>
      </w:r>
    </w:p>
    <w:p w14:paraId="5A79A70D">
      <w:pPr>
        <w:spacing w:before="62" w:beforeLines="20" w:line="276" w:lineRule="auto"/>
        <w:ind w:left="660" w:hanging="660" w:hangingChars="300"/>
        <w:rPr>
          <w:rFonts w:eastAsia="宋体" w:cs="Arial"/>
          <w:color w:val="0000FF"/>
          <w:u w:val="single"/>
        </w:rPr>
      </w:pPr>
      <w:r>
        <w:rPr>
          <w:rFonts w:eastAsia="宋体" w:cs="Arial"/>
          <w:color w:val="0000FF"/>
          <w:u w:val="single"/>
        </w:rPr>
        <w:t>F－</w:t>
      </w:r>
      <w:r>
        <w:rPr>
          <w:rFonts w:eastAsia="宋体" w:cs="Arial"/>
          <w:color w:val="0000FF"/>
          <w:u w:val="single"/>
        </w:rPr>
        <w:tab/>
      </w:r>
      <w:r>
        <w:rPr>
          <w:rFonts w:eastAsia="宋体" w:cs="Arial"/>
          <w:color w:val="0000FF"/>
          <w:u w:val="single"/>
        </w:rPr>
        <w:t>电子产品损害赔偿FD-2766表</w:t>
      </w:r>
    </w:p>
    <w:p w14:paraId="0D9C52E6">
      <w:pPr>
        <w:spacing w:before="62" w:beforeLines="20" w:line="276" w:lineRule="auto"/>
        <w:ind w:left="660" w:hanging="660" w:hangingChars="300"/>
        <w:rPr>
          <w:rFonts w:eastAsia="宋体" w:cs="Arial"/>
          <w:color w:val="0000FF"/>
          <w:u w:val="single"/>
        </w:rPr>
      </w:pPr>
      <w:r>
        <w:rPr>
          <w:rFonts w:eastAsia="宋体" w:cs="Arial"/>
          <w:color w:val="0000FF"/>
          <w:u w:val="single"/>
        </w:rPr>
        <w:t>G－</w:t>
      </w:r>
      <w:r>
        <w:rPr>
          <w:rFonts w:eastAsia="宋体" w:cs="Arial"/>
          <w:color w:val="0000FF"/>
          <w:u w:val="single"/>
        </w:rPr>
        <w:tab/>
      </w:r>
      <w:r>
        <w:rPr>
          <w:rFonts w:eastAsia="宋体" w:cs="Arial"/>
          <w:color w:val="0000FF"/>
          <w:u w:val="single"/>
        </w:rPr>
        <w:t>诊断用X射线系统控制装置制造商联系方式</w:t>
      </w:r>
    </w:p>
    <w:p w14:paraId="292F0CE5">
      <w:pPr>
        <w:spacing w:before="62" w:beforeLines="20" w:line="276" w:lineRule="auto"/>
        <w:ind w:left="660" w:hanging="660" w:hangingChars="300"/>
        <w:rPr>
          <w:rFonts w:eastAsia="宋体" w:cs="Arial"/>
          <w:color w:val="0000FF"/>
          <w:u w:val="single"/>
        </w:rPr>
      </w:pPr>
      <w:r>
        <w:rPr>
          <w:rFonts w:eastAsia="宋体" w:cs="Arial"/>
          <w:color w:val="0000FF"/>
          <w:u w:val="single"/>
        </w:rPr>
        <w:t>H－</w:t>
      </w:r>
      <w:r>
        <w:rPr>
          <w:rFonts w:eastAsia="宋体" w:cs="Arial"/>
          <w:color w:val="0000FF"/>
          <w:u w:val="single"/>
        </w:rPr>
        <w:tab/>
      </w:r>
      <w:r>
        <w:rPr>
          <w:rFonts w:eastAsia="宋体" w:cs="Arial"/>
          <w:color w:val="0000FF"/>
          <w:u w:val="single"/>
        </w:rPr>
        <w:t>致装配商的通知函（FDA-2579装配报告不完整或不正确）</w:t>
      </w:r>
    </w:p>
    <w:p w14:paraId="15328FD4">
      <w:pPr>
        <w:spacing w:before="62" w:beforeLines="20" w:line="276" w:lineRule="auto"/>
        <w:ind w:left="660" w:hanging="660" w:hangingChars="300"/>
        <w:rPr>
          <w:rFonts w:eastAsia="宋体" w:cs="Arial"/>
          <w:color w:val="0000FF"/>
          <w:u w:val="single"/>
        </w:rPr>
      </w:pPr>
      <w:r>
        <w:rPr>
          <w:rFonts w:eastAsia="宋体" w:cs="Arial"/>
          <w:color w:val="0000FF"/>
          <w:u w:val="single"/>
        </w:rPr>
        <w:t>I－</w:t>
      </w:r>
      <w:r>
        <w:rPr>
          <w:rFonts w:eastAsia="宋体" w:cs="Arial"/>
          <w:color w:val="0000FF"/>
          <w:u w:val="single"/>
        </w:rPr>
        <w:tab/>
      </w:r>
      <w:r>
        <w:rPr>
          <w:rFonts w:eastAsia="宋体" w:cs="Arial"/>
          <w:color w:val="0000FF"/>
          <w:u w:val="single"/>
        </w:rPr>
        <w:t>致装配商的通知函－对FDA-2579进行审核或在装配商处对记录进行审核的过程中发现的标准违规情况</w:t>
      </w:r>
    </w:p>
    <w:p w14:paraId="14E65BB0">
      <w:pPr>
        <w:spacing w:before="62" w:beforeLines="20" w:line="276" w:lineRule="auto"/>
        <w:ind w:left="660" w:hanging="660" w:hangingChars="300"/>
        <w:rPr>
          <w:rFonts w:eastAsia="宋体" w:cs="Arial"/>
          <w:color w:val="0000FF"/>
          <w:u w:val="single"/>
        </w:rPr>
      </w:pPr>
      <w:r>
        <w:rPr>
          <w:rFonts w:eastAsia="宋体" w:cs="Arial"/>
          <w:color w:val="0000FF"/>
          <w:u w:val="single"/>
        </w:rPr>
        <w:t>J－</w:t>
      </w:r>
      <w:r>
        <w:rPr>
          <w:rFonts w:eastAsia="宋体" w:cs="Arial"/>
          <w:color w:val="0000FF"/>
          <w:u w:val="single"/>
        </w:rPr>
        <w:tab/>
      </w:r>
      <w:r>
        <w:rPr>
          <w:rFonts w:eastAsia="宋体" w:cs="Arial"/>
          <w:color w:val="0000FF"/>
          <w:u w:val="single"/>
        </w:rPr>
        <w:t>致装配商的通知函（未将FDA-2579装配报告归档）</w:t>
      </w:r>
    </w:p>
    <w:p w14:paraId="368712B1">
      <w:pPr>
        <w:spacing w:before="62" w:beforeLines="20" w:line="276" w:lineRule="auto"/>
        <w:ind w:left="660" w:hanging="660" w:hangingChars="300"/>
        <w:rPr>
          <w:rFonts w:eastAsia="宋体" w:cs="Arial"/>
          <w:color w:val="0000FF"/>
          <w:u w:val="single"/>
        </w:rPr>
      </w:pPr>
      <w:r>
        <w:rPr>
          <w:rFonts w:eastAsia="宋体" w:cs="Arial"/>
          <w:color w:val="0000FF"/>
          <w:u w:val="single"/>
        </w:rPr>
        <w:t>K－</w:t>
      </w:r>
      <w:r>
        <w:rPr>
          <w:rFonts w:eastAsia="宋体" w:cs="Arial"/>
          <w:color w:val="0000FF"/>
          <w:u w:val="single"/>
        </w:rPr>
        <w:tab/>
      </w:r>
      <w:r>
        <w:rPr>
          <w:rFonts w:eastAsia="宋体" w:cs="Arial"/>
          <w:color w:val="0000FF"/>
          <w:u w:val="single"/>
        </w:rPr>
        <w:t>致装配商的通知函（FD-2786现场测试瑕疵或不合规通知）</w:t>
      </w:r>
    </w:p>
    <w:p w14:paraId="63DE5332">
      <w:pPr>
        <w:spacing w:before="62" w:beforeLines="20" w:line="276" w:lineRule="auto"/>
        <w:ind w:left="660" w:hanging="660" w:hangingChars="300"/>
        <w:rPr>
          <w:rFonts w:eastAsia="宋体" w:cs="Arial"/>
          <w:color w:val="0000FF"/>
          <w:u w:val="single"/>
        </w:rPr>
      </w:pPr>
      <w:r>
        <w:rPr>
          <w:rFonts w:eastAsia="宋体" w:cs="Arial"/>
          <w:color w:val="0000FF"/>
          <w:u w:val="single"/>
        </w:rPr>
        <w:t>L－</w:t>
      </w:r>
      <w:r>
        <w:rPr>
          <w:rFonts w:eastAsia="宋体" w:cs="Arial"/>
          <w:color w:val="0000FF"/>
          <w:u w:val="single"/>
        </w:rPr>
        <w:tab/>
      </w:r>
      <w:r>
        <w:rPr>
          <w:rFonts w:eastAsia="宋体" w:cs="Arial"/>
          <w:color w:val="0000FF"/>
          <w:u w:val="single"/>
        </w:rPr>
        <w:t>现场纠正状况报告</w:t>
      </w:r>
    </w:p>
    <w:p w14:paraId="35821BBD">
      <w:pPr>
        <w:spacing w:before="62" w:beforeLines="20" w:line="276" w:lineRule="auto"/>
        <w:ind w:left="660" w:hanging="660" w:hangingChars="300"/>
        <w:rPr>
          <w:rFonts w:eastAsia="宋体" w:cs="Arial"/>
          <w:color w:val="0000FF"/>
          <w:u w:val="single"/>
        </w:rPr>
      </w:pPr>
      <w:r>
        <w:rPr>
          <w:rFonts w:eastAsia="宋体" w:cs="Arial"/>
          <w:color w:val="0000FF"/>
          <w:u w:val="single"/>
        </w:rPr>
        <w:t>M－</w:t>
      </w:r>
      <w:r>
        <w:rPr>
          <w:rFonts w:eastAsia="宋体" w:cs="Arial"/>
          <w:color w:val="0000FF"/>
          <w:u w:val="single"/>
        </w:rPr>
        <w:tab/>
      </w:r>
      <w:r>
        <w:rPr>
          <w:rFonts w:eastAsia="宋体" w:cs="Arial"/>
          <w:color w:val="0000FF"/>
          <w:u w:val="single"/>
        </w:rPr>
        <w:t>致用户的通知函（通知不合规源于用户行为或用户不作为）</w:t>
      </w:r>
    </w:p>
    <w:p w14:paraId="3075CAFD">
      <w:pPr>
        <w:spacing w:before="62" w:beforeLines="20" w:line="276" w:lineRule="auto"/>
        <w:ind w:left="660" w:hanging="660" w:hangingChars="300"/>
        <w:rPr>
          <w:rFonts w:eastAsia="宋体" w:cs="Arial"/>
          <w:color w:val="0000FF"/>
          <w:u w:val="single"/>
        </w:rPr>
      </w:pPr>
      <w:r>
        <w:rPr>
          <w:rFonts w:eastAsia="宋体" w:cs="Arial"/>
          <w:color w:val="0000FF"/>
          <w:u w:val="single"/>
        </w:rPr>
        <w:t>N－</w:t>
      </w:r>
      <w:r>
        <w:rPr>
          <w:rFonts w:eastAsia="宋体" w:cs="Arial"/>
          <w:color w:val="0000FF"/>
          <w:u w:val="single"/>
        </w:rPr>
        <w:tab/>
      </w:r>
      <w:r>
        <w:rPr>
          <w:rFonts w:eastAsia="宋体" w:cs="Arial"/>
          <w:color w:val="0000FF"/>
          <w:u w:val="single"/>
        </w:rPr>
        <w:t>瑕疵或不合规的责任</w:t>
      </w:r>
    </w:p>
    <w:p w14:paraId="0A0D00B2">
      <w:pPr>
        <w:spacing w:before="62" w:beforeLines="20" w:line="276" w:lineRule="auto"/>
        <w:ind w:left="660" w:hanging="660" w:hangingChars="300"/>
        <w:rPr>
          <w:rFonts w:eastAsia="宋体" w:cs="Arial"/>
          <w:color w:val="0000FF"/>
          <w:u w:val="single"/>
        </w:rPr>
      </w:pPr>
      <w:r>
        <w:rPr>
          <w:rFonts w:eastAsia="宋体" w:cs="Arial"/>
          <w:color w:val="0000FF"/>
          <w:u w:val="single"/>
        </w:rPr>
        <w:t>O－</w:t>
      </w:r>
      <w:r>
        <w:rPr>
          <w:rFonts w:eastAsia="宋体" w:cs="Arial"/>
          <w:color w:val="0000FF"/>
          <w:u w:val="single"/>
        </w:rPr>
        <w:tab/>
      </w:r>
      <w:r>
        <w:rPr>
          <w:rFonts w:eastAsia="宋体" w:cs="Arial"/>
          <w:color w:val="0000FF"/>
          <w:u w:val="single"/>
        </w:rPr>
        <w:t>有资质的X射线审计员名单</w:t>
      </w:r>
    </w:p>
    <w:p w14:paraId="36F26424">
      <w:pPr>
        <w:spacing w:before="62" w:beforeLines="20" w:line="276" w:lineRule="auto"/>
        <w:ind w:left="660" w:hanging="660" w:hangingChars="300"/>
        <w:rPr>
          <w:rFonts w:eastAsia="宋体" w:cs="Arial"/>
          <w:color w:val="0000FF"/>
          <w:u w:val="single"/>
        </w:rPr>
      </w:pPr>
      <w:r>
        <w:rPr>
          <w:rFonts w:eastAsia="宋体" w:cs="Arial"/>
          <w:color w:val="0000FF"/>
          <w:u w:val="single"/>
        </w:rPr>
        <w:t>P－</w:t>
      </w:r>
      <w:r>
        <w:rPr>
          <w:rFonts w:eastAsia="宋体" w:cs="Arial"/>
          <w:color w:val="0000FF"/>
          <w:u w:val="single"/>
        </w:rPr>
        <w:tab/>
      </w:r>
      <w:r>
        <w:rPr>
          <w:rFonts w:eastAsia="宋体" w:cs="Arial"/>
          <w:color w:val="0000FF"/>
          <w:u w:val="single"/>
        </w:rPr>
        <w:t>警告函模板－不合规公告，附带管理区发布的致X射线装配商的装配商召回函</w:t>
      </w:r>
    </w:p>
    <w:p w14:paraId="2096CAA3">
      <w:pPr>
        <w:spacing w:before="62" w:beforeLines="20" w:line="276" w:lineRule="auto"/>
        <w:ind w:left="660" w:hanging="660" w:hangingChars="300"/>
        <w:rPr>
          <w:rFonts w:eastAsia="宋体" w:cs="Arial"/>
          <w:color w:val="0000FF"/>
          <w:u w:val="single"/>
        </w:rPr>
      </w:pPr>
      <w:r>
        <w:rPr>
          <w:rFonts w:eastAsia="宋体" w:cs="Arial"/>
          <w:color w:val="0000FF"/>
          <w:u w:val="single"/>
        </w:rPr>
        <w:t>Q－</w:t>
      </w:r>
      <w:r>
        <w:rPr>
          <w:rFonts w:eastAsia="宋体" w:cs="Arial"/>
          <w:color w:val="0000FF"/>
          <w:u w:val="single"/>
        </w:rPr>
        <w:tab/>
      </w:r>
      <w:r>
        <w:rPr>
          <w:rFonts w:eastAsia="宋体" w:cs="Arial"/>
          <w:color w:val="0000FF"/>
          <w:u w:val="single"/>
        </w:rPr>
        <w:t>装配商对不合规公告（附带管理区发布的致X射线装配商的装配商召回函）反应评价指南</w:t>
      </w:r>
    </w:p>
    <w:p w14:paraId="4BB6E195">
      <w:pPr>
        <w:spacing w:before="62" w:beforeLines="20" w:line="276" w:lineRule="auto"/>
        <w:ind w:left="660" w:hanging="660" w:hangingChars="300"/>
        <w:rPr>
          <w:rFonts w:eastAsia="宋体" w:cs="Arial"/>
          <w:color w:val="0000FF"/>
          <w:u w:val="single"/>
        </w:rPr>
      </w:pPr>
      <w:r>
        <w:rPr>
          <w:rFonts w:eastAsia="宋体" w:cs="Arial"/>
          <w:color w:val="0000FF"/>
          <w:u w:val="single"/>
        </w:rPr>
        <w:t>R－</w:t>
      </w:r>
      <w:r>
        <w:rPr>
          <w:rFonts w:eastAsia="宋体" w:cs="Arial"/>
          <w:color w:val="0000FF"/>
          <w:u w:val="single"/>
        </w:rPr>
        <w:tab/>
      </w:r>
      <w:r>
        <w:rPr>
          <w:rFonts w:eastAsia="宋体" w:cs="Arial"/>
          <w:color w:val="0000FF"/>
          <w:u w:val="single"/>
        </w:rPr>
        <w:t>用于管理区发布的装配商召回和纠正行动计划的致用户通知函模板</w:t>
      </w:r>
    </w:p>
    <w:p w14:paraId="45C8605F">
      <w:pPr>
        <w:spacing w:before="62" w:beforeLines="20" w:line="276" w:lineRule="auto"/>
        <w:ind w:left="660" w:hanging="660" w:hangingChars="300"/>
        <w:rPr>
          <w:rFonts w:eastAsia="宋体" w:cs="Arial"/>
          <w:color w:val="0000FF"/>
          <w:u w:val="single"/>
        </w:rPr>
      </w:pPr>
      <w:r>
        <w:rPr>
          <w:rFonts w:eastAsia="宋体" w:cs="Arial"/>
          <w:color w:val="0000FF"/>
          <w:u w:val="single"/>
        </w:rPr>
        <w:t>S－</w:t>
      </w:r>
      <w:r>
        <w:rPr>
          <w:rFonts w:eastAsia="宋体" w:cs="Arial"/>
          <w:color w:val="0000FF"/>
          <w:u w:val="single"/>
        </w:rPr>
        <w:tab/>
      </w:r>
      <w:r>
        <w:rPr>
          <w:rFonts w:eastAsia="宋体" w:cs="Arial"/>
          <w:color w:val="0000FF"/>
          <w:u w:val="single"/>
        </w:rPr>
        <w:t>致X射线装配商的纠正行动计划批准函模板</w:t>
      </w:r>
    </w:p>
    <w:p w14:paraId="05DBC94D">
      <w:pPr>
        <w:spacing w:before="187"/>
        <w:rPr>
          <w:rFonts w:eastAsia="宋体" w:cs="Arial"/>
        </w:rPr>
      </w:pPr>
      <w:r>
        <w:rPr>
          <w:rFonts w:eastAsia="宋体" w:cs="Arial"/>
        </w:rPr>
        <w:br w:type="page"/>
      </w:r>
    </w:p>
    <w:p w14:paraId="0991DA96">
      <w:pPr>
        <w:pBdr>
          <w:bottom w:val="single" w:color="auto" w:sz="6" w:space="1"/>
        </w:pBdr>
        <w:spacing w:before="187"/>
        <w:jc w:val="center"/>
        <w:rPr>
          <w:rFonts w:eastAsia="宋体" w:cs="Arial"/>
          <w:b/>
          <w:sz w:val="44"/>
          <w:szCs w:val="44"/>
        </w:rPr>
      </w:pPr>
      <w:r>
        <w:rPr>
          <w:rFonts w:eastAsia="宋体" w:cs="Arial"/>
          <w:b/>
          <w:sz w:val="44"/>
          <w:szCs w:val="44"/>
        </w:rPr>
        <w:t>FDA工作人员指南</w:t>
      </w:r>
    </w:p>
    <w:p w14:paraId="1DCE62E1">
      <w:pPr>
        <w:spacing w:before="187"/>
        <w:jc w:val="center"/>
        <w:rPr>
          <w:rFonts w:eastAsia="宋体" w:cs="Arial"/>
          <w:b/>
          <w:sz w:val="52"/>
          <w:szCs w:val="52"/>
        </w:rPr>
      </w:pPr>
      <w:r>
        <w:rPr>
          <w:rFonts w:eastAsia="宋体" w:cs="Arial"/>
          <w:b/>
          <w:sz w:val="52"/>
          <w:szCs w:val="52"/>
        </w:rPr>
        <w:t>合规计划指南手册</w:t>
      </w:r>
    </w:p>
    <w:p w14:paraId="6E4DF518">
      <w:pPr>
        <w:spacing w:before="0" w:beforeLines="0"/>
        <w:jc w:val="center"/>
        <w:rPr>
          <w:rFonts w:eastAsia="宋体" w:cs="Arial"/>
          <w:b/>
          <w:sz w:val="52"/>
          <w:szCs w:val="52"/>
        </w:rPr>
      </w:pPr>
      <w:r>
        <w:rPr>
          <w:rFonts w:eastAsia="宋体" w:cs="Arial"/>
          <w:b/>
          <w:sz w:val="52"/>
          <w:szCs w:val="52"/>
        </w:rPr>
        <w:t>CP 7386.003</w:t>
      </w:r>
    </w:p>
    <w:p w14:paraId="101D16A4">
      <w:pPr>
        <w:spacing w:before="0" w:beforeLines="0"/>
        <w:jc w:val="center"/>
        <w:rPr>
          <w:rFonts w:eastAsia="宋体" w:cs="Arial"/>
          <w:b/>
          <w:sz w:val="52"/>
          <w:szCs w:val="52"/>
        </w:rPr>
      </w:pPr>
      <w:r>
        <w:rPr>
          <w:rFonts w:eastAsia="宋体" w:cs="Arial"/>
          <w:b/>
          <w:sz w:val="52"/>
          <w:szCs w:val="52"/>
        </w:rPr>
        <w:t>诊断用（医用）X射线设备现场合</w:t>
      </w:r>
      <w:r>
        <w:rPr>
          <w:rFonts w:eastAsia="宋体" w:cs="Arial"/>
          <w:b/>
          <w:sz w:val="52"/>
          <w:szCs w:val="52"/>
        </w:rPr>
        <w:br w:type="textWrapping"/>
      </w:r>
      <w:r>
        <w:rPr>
          <w:rFonts w:eastAsia="宋体" w:cs="Arial"/>
          <w:b/>
          <w:sz w:val="52"/>
          <w:szCs w:val="52"/>
        </w:rPr>
        <w:t>规测试</w:t>
      </w:r>
    </w:p>
    <w:p w14:paraId="3E2470E2">
      <w:pPr>
        <w:spacing w:before="187"/>
        <w:rPr>
          <w:rFonts w:eastAsia="宋体" w:cs="Arial"/>
        </w:rPr>
      </w:pPr>
    </w:p>
    <w:tbl>
      <w:tblPr>
        <w:tblStyle w:val="8"/>
        <w:tblW w:w="9322" w:type="dxa"/>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322"/>
      </w:tblGrid>
      <w:tr w14:paraId="587A045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322" w:type="dxa"/>
          </w:tcPr>
          <w:p w14:paraId="38ABF9A5">
            <w:pPr>
              <w:spacing w:before="187"/>
              <w:rPr>
                <w:rFonts w:eastAsia="宋体" w:cs="Arial"/>
                <w:b/>
                <w:i/>
              </w:rPr>
            </w:pPr>
            <w:r>
              <w:rPr>
                <w:rFonts w:eastAsia="宋体" w:cs="Arial"/>
                <w:b/>
                <w:i/>
              </w:rPr>
              <w:t>本指南代表FDA目前关于该主题的思考。其不会为任何人创造或赋予任何权利，也不会对FDA或公众产生约束。如果替代方法满足适用法律法规的要求，则可使用该方法。如果您想讨论另一种方法，请联系FDA负责实施本指南的人员。如果您无法确定适当的FDA工作人员，请拨打本指南标题页上列出的适当号码</w:t>
            </w:r>
          </w:p>
        </w:tc>
      </w:tr>
    </w:tbl>
    <w:p w14:paraId="7249E37B">
      <w:pPr>
        <w:spacing w:before="187"/>
        <w:rPr>
          <w:rFonts w:eastAsia="宋体" w:cs="Arial"/>
        </w:rPr>
      </w:pPr>
    </w:p>
    <w:p w14:paraId="5A115B65">
      <w:pPr>
        <w:tabs>
          <w:tab w:val="left" w:pos="1320"/>
        </w:tabs>
        <w:spacing w:before="187"/>
        <w:rPr>
          <w:rFonts w:eastAsia="宋体" w:cs="Arial"/>
          <w:b/>
          <w:sz w:val="28"/>
          <w:szCs w:val="28"/>
        </w:rPr>
      </w:pPr>
      <w:r>
        <w:rPr>
          <w:rFonts w:eastAsia="宋体" w:cs="Arial"/>
          <w:b/>
          <w:sz w:val="28"/>
          <w:szCs w:val="28"/>
        </w:rPr>
        <w:t xml:space="preserve">第I条. </w:t>
      </w:r>
      <w:r>
        <w:rPr>
          <w:rFonts w:eastAsia="宋体" w:cs="Arial"/>
          <w:b/>
          <w:sz w:val="28"/>
          <w:szCs w:val="28"/>
        </w:rPr>
        <w:tab/>
      </w:r>
      <w:r>
        <w:rPr>
          <w:rFonts w:eastAsia="宋体" w:cs="Arial"/>
          <w:b/>
          <w:sz w:val="28"/>
          <w:szCs w:val="28"/>
        </w:rPr>
        <w:t>前言</w:t>
      </w:r>
    </w:p>
    <w:p w14:paraId="7C7565A8">
      <w:pPr>
        <w:spacing w:before="187"/>
        <w:rPr>
          <w:rFonts w:eastAsia="宋体" w:cs="Arial"/>
        </w:rPr>
      </w:pPr>
      <w:r>
        <w:rPr>
          <w:rFonts w:eastAsia="宋体" w:cs="Arial"/>
        </w:rPr>
        <w:t>本文件旨在向FDA现场工作人员提供指南。它代表FDA对实施联邦食品、药品及化妆品法案第C分章－电子产品辐射控制－最终法规的最新见解。本文件对2000年10月1日发布的同名指导文件进行了修订并应对了：</w:t>
      </w:r>
    </w:p>
    <w:p w14:paraId="1FB3B666">
      <w:pPr>
        <w:pStyle w:val="15"/>
        <w:numPr>
          <w:ilvl w:val="0"/>
          <w:numId w:val="1"/>
        </w:numPr>
        <w:spacing w:before="187"/>
        <w:ind w:left="440" w:hanging="440" w:hangingChars="200"/>
        <w:rPr>
          <w:rFonts w:eastAsia="宋体" w:cs="Arial"/>
        </w:rPr>
      </w:pPr>
      <w:r>
        <w:rPr>
          <w:rFonts w:eastAsia="宋体" w:cs="Arial"/>
        </w:rPr>
        <w:t>计划成效的报告要求</w:t>
      </w:r>
    </w:p>
    <w:p w14:paraId="6C7A655E">
      <w:pPr>
        <w:pStyle w:val="15"/>
        <w:numPr>
          <w:ilvl w:val="0"/>
          <w:numId w:val="1"/>
        </w:numPr>
        <w:spacing w:before="187"/>
        <w:ind w:left="440" w:hanging="440" w:hangingChars="200"/>
        <w:rPr>
          <w:rFonts w:eastAsia="宋体" w:cs="Arial"/>
        </w:rPr>
      </w:pPr>
      <w:r>
        <w:rPr>
          <w:rFonts w:eastAsia="宋体" w:cs="Arial"/>
        </w:rPr>
        <w:t>检查计划指南和程序</w:t>
      </w:r>
    </w:p>
    <w:p w14:paraId="10170B96">
      <w:pPr>
        <w:pStyle w:val="15"/>
        <w:numPr>
          <w:ilvl w:val="0"/>
          <w:numId w:val="1"/>
        </w:numPr>
        <w:spacing w:before="187"/>
        <w:ind w:left="440" w:hanging="440" w:hangingChars="200"/>
        <w:rPr>
          <w:rFonts w:eastAsia="宋体" w:cs="Arial"/>
        </w:rPr>
      </w:pPr>
      <w:r>
        <w:rPr>
          <w:rFonts w:eastAsia="宋体" w:cs="Arial"/>
        </w:rPr>
        <w:t>监管行动建议指南和程序</w:t>
      </w:r>
    </w:p>
    <w:p w14:paraId="018CAF64">
      <w:pPr>
        <w:pStyle w:val="15"/>
        <w:numPr>
          <w:ilvl w:val="0"/>
          <w:numId w:val="1"/>
        </w:numPr>
        <w:spacing w:before="187"/>
        <w:ind w:left="480" w:hanging="480" w:hangingChars="200"/>
        <w:rPr>
          <w:rFonts w:eastAsia="宋体" w:cs="Arial"/>
        </w:rPr>
      </w:pPr>
      <w:r>
        <w:rPr>
          <w:rFonts w:eastAsia="宋体" w:cs="Arial"/>
          <w:kern w:val="0"/>
          <w:sz w:val="24"/>
          <w:szCs w:val="24"/>
        </w:rPr>
        <w:t>CDRH</w:t>
      </w:r>
      <w:r>
        <w:rPr>
          <w:rFonts w:eastAsia="宋体" w:cs="Arial"/>
        </w:rPr>
        <w:t>联系人姓名及信息</w:t>
      </w:r>
    </w:p>
    <w:p w14:paraId="314DF663">
      <w:pPr>
        <w:pStyle w:val="15"/>
        <w:numPr>
          <w:ilvl w:val="0"/>
          <w:numId w:val="1"/>
        </w:numPr>
        <w:spacing w:before="187"/>
        <w:ind w:left="440" w:hanging="440" w:hangingChars="200"/>
        <w:rPr>
          <w:rFonts w:eastAsia="宋体" w:cs="Arial"/>
        </w:rPr>
      </w:pPr>
      <w:r>
        <w:rPr>
          <w:rFonts w:eastAsia="宋体" w:cs="Arial"/>
        </w:rPr>
        <w:t>检查计划参考信息</w:t>
      </w:r>
    </w:p>
    <w:p w14:paraId="3190E4BD">
      <w:pPr>
        <w:spacing w:before="187"/>
        <w:rPr>
          <w:rFonts w:eastAsia="宋体" w:cs="Arial"/>
        </w:rPr>
      </w:pPr>
      <w:r>
        <w:rPr>
          <w:rFonts w:eastAsia="宋体" w:cs="Arial"/>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eastAsia="宋体" w:cs="Arial"/>
        </w:rPr>
        <w:t>“</w:t>
      </w:r>
      <w:r>
        <w:rPr>
          <w:rFonts w:eastAsia="宋体" w:cs="Arial"/>
        </w:rPr>
        <w:t>应当</w:t>
      </w:r>
      <w:r>
        <w:rPr>
          <w:rFonts w:ascii="宋体" w:hAnsi="宋体" w:eastAsia="宋体" w:cs="Arial"/>
        </w:rPr>
        <w:t>”</w:t>
      </w:r>
      <w:r>
        <w:rPr>
          <w:rFonts w:eastAsia="宋体" w:cs="Arial"/>
        </w:rPr>
        <w:t>是指建议或推荐进行某一事项，并非强制要求。</w:t>
      </w:r>
    </w:p>
    <w:p w14:paraId="2723BE69">
      <w:pPr>
        <w:widowControl/>
        <w:adjustRightInd/>
        <w:snapToGrid/>
        <w:spacing w:before="0" w:beforeLines="0" w:line="240" w:lineRule="auto"/>
        <w:jc w:val="left"/>
        <w:rPr>
          <w:rFonts w:eastAsia="宋体" w:cs="Arial"/>
        </w:rPr>
      </w:pPr>
      <w:r>
        <w:rPr>
          <w:rFonts w:eastAsia="宋体" w:cs="Arial"/>
        </w:rPr>
        <w:br w:type="page"/>
      </w:r>
    </w:p>
    <w:p w14:paraId="3D6AA354">
      <w:pPr>
        <w:spacing w:before="187"/>
        <w:rPr>
          <w:rFonts w:eastAsia="宋体" w:cs="Arial"/>
        </w:rPr>
      </w:pPr>
      <w:r>
        <w:rPr>
          <w:rFonts w:eastAsia="宋体" w:cs="Arial"/>
        </w:rPr>
        <w:t>最小负担手段原则</w:t>
      </w:r>
    </w:p>
    <w:p w14:paraId="2CADA0D4">
      <w:pPr>
        <w:spacing w:before="187"/>
        <w:rPr>
          <w:rFonts w:eastAsia="宋体" w:cs="Arial"/>
        </w:rPr>
      </w:pPr>
      <w:r>
        <w:rPr>
          <w:rFonts w:eastAsia="宋体" w:cs="Arial"/>
        </w:rPr>
        <w:t>我们认为对所有领域的医疗器械法规均应考虑采用最小负担手段原则。本指南反映了我们对与科学和法律要求相关问题的仔细审核以及我们认为遵从这些要求的最小负担手段原则。但如果您认为存在可替代的负担更小的方法，请与我们联系，便于我们对其加以考虑。可将书面评论送达本指南前言中列出的联系人或</w:t>
      </w:r>
      <w:r>
        <w:rPr>
          <w:rFonts w:eastAsia="宋体" w:cs="Arial"/>
          <w:kern w:val="0"/>
          <w:sz w:val="24"/>
          <w:szCs w:val="24"/>
        </w:rPr>
        <w:t>CDRH</w:t>
      </w:r>
      <w:r>
        <w:rPr>
          <w:rFonts w:eastAsia="宋体" w:cs="Arial"/>
        </w:rPr>
        <w:t>调查专员。</w:t>
      </w:r>
      <w:r>
        <w:rPr>
          <w:rFonts w:eastAsia="宋体" w:cs="Arial"/>
          <w:kern w:val="0"/>
          <w:sz w:val="24"/>
          <w:szCs w:val="24"/>
        </w:rPr>
        <w:t>CDRH</w:t>
      </w:r>
      <w:r>
        <w:rPr>
          <w:rFonts w:eastAsia="宋体" w:cs="Arial"/>
        </w:rPr>
        <w:t>调查专员的详尽信息（包括联系方式）可在互联网上找到，网址：</w:t>
      </w:r>
      <w:r>
        <w:fldChar w:fldCharType="begin"/>
      </w:r>
      <w:r>
        <w:instrText xml:space="preserve"> HYPERLINK "http://www.fda.gov/cdrh/ombudsman/" </w:instrText>
      </w:r>
      <w:r>
        <w:fldChar w:fldCharType="separate"/>
      </w:r>
      <w:r>
        <w:rPr>
          <w:rStyle w:val="10"/>
          <w:rFonts w:eastAsia="宋体" w:cs="Arial"/>
        </w:rPr>
        <w:t>http://www.fda.gov/cdrh/ombudsman/</w:t>
      </w:r>
      <w:r>
        <w:rPr>
          <w:rStyle w:val="10"/>
          <w:rFonts w:eastAsia="宋体" w:cs="Arial"/>
        </w:rPr>
        <w:fldChar w:fldCharType="end"/>
      </w:r>
      <w:r>
        <w:rPr>
          <w:rFonts w:eastAsia="宋体" w:cs="Arial"/>
        </w:rPr>
        <w:t>。</w:t>
      </w:r>
    </w:p>
    <w:p w14:paraId="45426ADD">
      <w:pPr>
        <w:spacing w:before="187"/>
        <w:rPr>
          <w:rFonts w:eastAsia="宋体" w:cs="Arial"/>
        </w:rPr>
      </w:pPr>
    </w:p>
    <w:p w14:paraId="10644471">
      <w:pPr>
        <w:spacing w:before="187"/>
        <w:rPr>
          <w:rFonts w:eastAsia="宋体" w:cs="Aria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12" w:charSpace="0"/>
        </w:sect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2126"/>
        <w:gridCol w:w="2835"/>
      </w:tblGrid>
      <w:tr w14:paraId="78249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345" w:type="dxa"/>
            <w:gridSpan w:val="2"/>
            <w:vMerge w:val="restart"/>
          </w:tcPr>
          <w:p w14:paraId="203FB82D">
            <w:pPr>
              <w:spacing w:before="93" w:beforeLines="30" w:after="93" w:afterLines="30" w:line="240" w:lineRule="exact"/>
              <w:rPr>
                <w:rFonts w:eastAsia="宋体" w:cs="Arial"/>
                <w:sz w:val="20"/>
                <w:szCs w:val="20"/>
              </w:rPr>
            </w:pPr>
            <w:r>
              <w:rPr>
                <w:rFonts w:eastAsia="宋体" w:cs="Arial"/>
                <w:sz w:val="20"/>
                <w:szCs w:val="20"/>
              </w:rPr>
              <w:t>主题：</w:t>
            </w:r>
          </w:p>
          <w:p w14:paraId="6C04101E">
            <w:pPr>
              <w:spacing w:before="93" w:beforeLines="30" w:after="93" w:afterLines="30" w:line="240" w:lineRule="exact"/>
              <w:rPr>
                <w:rFonts w:eastAsia="宋体" w:cs="Arial"/>
                <w:sz w:val="20"/>
                <w:szCs w:val="20"/>
              </w:rPr>
            </w:pPr>
            <w:r>
              <w:rPr>
                <w:rFonts w:eastAsia="宋体" w:cs="Arial"/>
                <w:sz w:val="20"/>
                <w:szCs w:val="20"/>
              </w:rPr>
              <w:t>诊断用（医用）X射线设备现场合规测试</w:t>
            </w:r>
          </w:p>
        </w:tc>
        <w:tc>
          <w:tcPr>
            <w:tcW w:w="2835" w:type="dxa"/>
          </w:tcPr>
          <w:p w14:paraId="035692AE">
            <w:pPr>
              <w:spacing w:before="93" w:beforeLines="30" w:after="93" w:afterLines="30" w:line="240" w:lineRule="exact"/>
              <w:rPr>
                <w:rFonts w:eastAsia="宋体" w:cs="Arial"/>
                <w:sz w:val="20"/>
                <w:szCs w:val="20"/>
              </w:rPr>
            </w:pPr>
            <w:r>
              <w:rPr>
                <w:rFonts w:eastAsia="宋体" w:cs="Arial"/>
                <w:sz w:val="20"/>
                <w:szCs w:val="20"/>
              </w:rPr>
              <w:t>实施日期</w:t>
            </w:r>
          </w:p>
          <w:p w14:paraId="09FE9D14">
            <w:pPr>
              <w:spacing w:before="93" w:beforeLines="30" w:after="93" w:afterLines="30" w:line="240" w:lineRule="exact"/>
              <w:rPr>
                <w:rFonts w:eastAsia="宋体" w:cs="Arial"/>
                <w:sz w:val="20"/>
                <w:szCs w:val="20"/>
              </w:rPr>
            </w:pPr>
            <w:r>
              <w:rPr>
                <w:rFonts w:eastAsia="宋体" w:cs="Arial"/>
                <w:sz w:val="20"/>
                <w:szCs w:val="20"/>
              </w:rPr>
              <w:t>2006年2月8日</w:t>
            </w:r>
          </w:p>
        </w:tc>
      </w:tr>
      <w:tr w14:paraId="64BEE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45" w:type="dxa"/>
            <w:gridSpan w:val="2"/>
            <w:vMerge w:val="continue"/>
          </w:tcPr>
          <w:p w14:paraId="685AE7DC">
            <w:pPr>
              <w:spacing w:before="93" w:beforeLines="30" w:after="93" w:afterLines="30" w:line="240" w:lineRule="exact"/>
              <w:rPr>
                <w:rFonts w:eastAsia="宋体" w:cs="Arial"/>
                <w:sz w:val="20"/>
                <w:szCs w:val="20"/>
              </w:rPr>
            </w:pPr>
          </w:p>
        </w:tc>
        <w:tc>
          <w:tcPr>
            <w:tcW w:w="2835" w:type="dxa"/>
          </w:tcPr>
          <w:p w14:paraId="0F24A4FE">
            <w:pPr>
              <w:spacing w:before="93" w:beforeLines="30" w:after="93" w:afterLines="30" w:line="240" w:lineRule="exact"/>
              <w:rPr>
                <w:rFonts w:eastAsia="宋体" w:cs="Arial"/>
                <w:sz w:val="20"/>
                <w:szCs w:val="20"/>
              </w:rPr>
            </w:pPr>
            <w:r>
              <w:rPr>
                <w:rFonts w:eastAsia="宋体" w:cs="Arial"/>
                <w:sz w:val="20"/>
                <w:szCs w:val="20"/>
              </w:rPr>
              <w:t>完成日期</w:t>
            </w:r>
          </w:p>
          <w:p w14:paraId="136D6409">
            <w:pPr>
              <w:spacing w:before="93" w:beforeLines="30" w:after="93" w:afterLines="30" w:line="240" w:lineRule="exact"/>
              <w:rPr>
                <w:rFonts w:eastAsia="宋体" w:cs="Arial"/>
                <w:sz w:val="20"/>
                <w:szCs w:val="20"/>
              </w:rPr>
            </w:pPr>
            <w:r>
              <w:rPr>
                <w:rFonts w:eastAsia="宋体" w:cs="Arial"/>
                <w:sz w:val="20"/>
                <w:szCs w:val="20"/>
              </w:rPr>
              <w:t>2006年9月30日</w:t>
            </w:r>
          </w:p>
        </w:tc>
      </w:tr>
      <w:tr w14:paraId="5BFDB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0" w:type="dxa"/>
            <w:gridSpan w:val="3"/>
          </w:tcPr>
          <w:p w14:paraId="396F1CA7">
            <w:pPr>
              <w:spacing w:before="93" w:beforeLines="30" w:after="93" w:afterLines="30" w:line="240" w:lineRule="exact"/>
              <w:jc w:val="center"/>
              <w:rPr>
                <w:rFonts w:eastAsia="宋体" w:cs="Arial"/>
                <w:b/>
                <w:sz w:val="20"/>
                <w:szCs w:val="20"/>
              </w:rPr>
            </w:pPr>
            <w:r>
              <w:rPr>
                <w:rFonts w:eastAsia="宋体" w:cs="Arial"/>
                <w:b/>
                <w:sz w:val="20"/>
                <w:szCs w:val="20"/>
              </w:rPr>
              <w:t>数据报告</w:t>
            </w:r>
          </w:p>
        </w:tc>
      </w:tr>
      <w:tr w14:paraId="24D3E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19" w:type="dxa"/>
          </w:tcPr>
          <w:p w14:paraId="0AFBA894">
            <w:pPr>
              <w:spacing w:before="93" w:beforeLines="30" w:after="93" w:afterLines="30" w:line="240" w:lineRule="exact"/>
              <w:jc w:val="center"/>
              <w:rPr>
                <w:rFonts w:eastAsia="宋体" w:cs="Arial"/>
                <w:b/>
                <w:sz w:val="20"/>
                <w:szCs w:val="20"/>
              </w:rPr>
            </w:pPr>
            <w:r>
              <w:rPr>
                <w:rFonts w:eastAsia="宋体" w:cs="Arial"/>
                <w:b/>
                <w:sz w:val="20"/>
                <w:szCs w:val="20"/>
              </w:rPr>
              <w:t>产品代码</w:t>
            </w:r>
          </w:p>
        </w:tc>
        <w:tc>
          <w:tcPr>
            <w:tcW w:w="4961" w:type="dxa"/>
            <w:gridSpan w:val="2"/>
          </w:tcPr>
          <w:p w14:paraId="6C497B68">
            <w:pPr>
              <w:spacing w:before="93" w:beforeLines="30" w:after="93" w:afterLines="30" w:line="240" w:lineRule="exact"/>
              <w:jc w:val="center"/>
              <w:rPr>
                <w:rFonts w:eastAsia="宋体" w:cs="Arial"/>
                <w:b/>
                <w:sz w:val="20"/>
                <w:szCs w:val="20"/>
              </w:rPr>
            </w:pPr>
            <w:r>
              <w:rPr>
                <w:rFonts w:eastAsia="宋体" w:cs="Arial"/>
                <w:b/>
                <w:sz w:val="20"/>
                <w:szCs w:val="20"/>
              </w:rPr>
              <w:t>产品/分配代码</w:t>
            </w:r>
          </w:p>
        </w:tc>
      </w:tr>
      <w:tr w14:paraId="135F0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19" w:type="dxa"/>
          </w:tcPr>
          <w:p w14:paraId="4BF79CEF">
            <w:pPr>
              <w:tabs>
                <w:tab w:val="left" w:pos="1320"/>
              </w:tabs>
              <w:spacing w:before="93" w:beforeLines="30" w:after="93" w:afterLines="30" w:line="240" w:lineRule="exact"/>
              <w:rPr>
                <w:rFonts w:eastAsia="宋体" w:cs="Arial"/>
                <w:sz w:val="20"/>
                <w:szCs w:val="20"/>
              </w:rPr>
            </w:pPr>
            <w:r>
              <w:rPr>
                <w:rFonts w:eastAsia="宋体" w:cs="Arial"/>
                <w:sz w:val="20"/>
                <w:szCs w:val="20"/>
              </w:rPr>
              <w:t>90IZF</w:t>
            </w:r>
            <w:r>
              <w:rPr>
                <w:rFonts w:eastAsia="宋体" w:cs="Arial"/>
                <w:sz w:val="20"/>
                <w:szCs w:val="20"/>
              </w:rPr>
              <w:tab/>
            </w:r>
            <w:r>
              <w:rPr>
                <w:rFonts w:eastAsia="宋体" w:cs="Arial"/>
                <w:sz w:val="20"/>
                <w:szCs w:val="20"/>
              </w:rPr>
              <w:t xml:space="preserve">90IZL        90KPR </w:t>
            </w:r>
          </w:p>
          <w:p w14:paraId="58F49365">
            <w:pPr>
              <w:tabs>
                <w:tab w:val="left" w:pos="1320"/>
              </w:tabs>
              <w:spacing w:before="93" w:beforeLines="30" w:after="93" w:afterLines="30" w:line="240" w:lineRule="exact"/>
              <w:rPr>
                <w:rFonts w:eastAsia="宋体" w:cs="Arial"/>
                <w:sz w:val="20"/>
                <w:szCs w:val="20"/>
              </w:rPr>
            </w:pPr>
            <w:r>
              <w:rPr>
                <w:rFonts w:eastAsia="宋体" w:cs="Arial"/>
                <w:sz w:val="20"/>
                <w:szCs w:val="20"/>
              </w:rPr>
              <w:t>90IZG</w:t>
            </w:r>
            <w:r>
              <w:rPr>
                <w:rFonts w:eastAsia="宋体" w:cs="Arial"/>
                <w:sz w:val="20"/>
                <w:szCs w:val="20"/>
              </w:rPr>
              <w:tab/>
            </w:r>
            <w:r>
              <w:rPr>
                <w:rFonts w:eastAsia="宋体" w:cs="Arial"/>
                <w:sz w:val="20"/>
                <w:szCs w:val="20"/>
              </w:rPr>
              <w:t xml:space="preserve">90JAA </w:t>
            </w:r>
          </w:p>
          <w:p w14:paraId="2A4E24C4">
            <w:pPr>
              <w:tabs>
                <w:tab w:val="left" w:pos="1320"/>
              </w:tabs>
              <w:spacing w:before="93" w:beforeLines="30" w:after="93" w:afterLines="30" w:line="240" w:lineRule="exact"/>
              <w:rPr>
                <w:rFonts w:eastAsia="宋体" w:cs="Arial"/>
                <w:sz w:val="20"/>
                <w:szCs w:val="20"/>
              </w:rPr>
            </w:pPr>
            <w:r>
              <w:rPr>
                <w:rFonts w:eastAsia="宋体" w:cs="Arial"/>
                <w:sz w:val="20"/>
                <w:szCs w:val="20"/>
              </w:rPr>
              <w:t>90IZH</w:t>
            </w:r>
            <w:r>
              <w:rPr>
                <w:rFonts w:eastAsia="宋体" w:cs="Arial"/>
                <w:sz w:val="20"/>
                <w:szCs w:val="20"/>
              </w:rPr>
              <w:tab/>
            </w:r>
            <w:r>
              <w:rPr>
                <w:rFonts w:eastAsia="宋体" w:cs="Arial"/>
                <w:sz w:val="20"/>
                <w:szCs w:val="20"/>
              </w:rPr>
              <w:t xml:space="preserve">90JAB </w:t>
            </w:r>
          </w:p>
          <w:p w14:paraId="4F68084A">
            <w:pPr>
              <w:tabs>
                <w:tab w:val="left" w:pos="1320"/>
              </w:tabs>
              <w:spacing w:before="93" w:beforeLines="30" w:after="93" w:afterLines="30" w:line="240" w:lineRule="exact"/>
              <w:rPr>
                <w:rFonts w:eastAsia="宋体" w:cs="Arial"/>
                <w:sz w:val="20"/>
                <w:szCs w:val="20"/>
              </w:rPr>
            </w:pPr>
            <w:r>
              <w:rPr>
                <w:rFonts w:eastAsia="宋体" w:cs="Arial"/>
                <w:sz w:val="20"/>
                <w:szCs w:val="20"/>
              </w:rPr>
              <w:t>90IZI</w:t>
            </w:r>
            <w:r>
              <w:rPr>
                <w:rFonts w:eastAsia="宋体" w:cs="Arial"/>
                <w:sz w:val="20"/>
                <w:szCs w:val="20"/>
              </w:rPr>
              <w:tab/>
            </w:r>
            <w:r>
              <w:rPr>
                <w:rFonts w:eastAsia="宋体" w:cs="Arial"/>
                <w:sz w:val="20"/>
                <w:szCs w:val="20"/>
              </w:rPr>
              <w:t xml:space="preserve">90JAC </w:t>
            </w:r>
          </w:p>
          <w:p w14:paraId="0947AFD7">
            <w:pPr>
              <w:tabs>
                <w:tab w:val="left" w:pos="1320"/>
              </w:tabs>
              <w:spacing w:before="93" w:beforeLines="30" w:after="93" w:afterLines="30" w:line="240" w:lineRule="exact"/>
              <w:rPr>
                <w:rFonts w:eastAsia="宋体" w:cs="Arial"/>
                <w:sz w:val="20"/>
                <w:szCs w:val="20"/>
              </w:rPr>
            </w:pPr>
            <w:r>
              <w:rPr>
                <w:rFonts w:eastAsia="宋体" w:cs="Arial"/>
                <w:sz w:val="20"/>
                <w:szCs w:val="20"/>
              </w:rPr>
              <w:t>90IZJ</w:t>
            </w:r>
            <w:r>
              <w:rPr>
                <w:rFonts w:eastAsia="宋体" w:cs="Arial"/>
                <w:sz w:val="20"/>
                <w:szCs w:val="20"/>
              </w:rPr>
              <w:tab/>
            </w:r>
            <w:r>
              <w:rPr>
                <w:rFonts w:eastAsia="宋体" w:cs="Arial"/>
                <w:sz w:val="20"/>
                <w:szCs w:val="20"/>
              </w:rPr>
              <w:t>90KPQ</w:t>
            </w:r>
          </w:p>
        </w:tc>
        <w:tc>
          <w:tcPr>
            <w:tcW w:w="4961" w:type="dxa"/>
            <w:gridSpan w:val="2"/>
          </w:tcPr>
          <w:p w14:paraId="22629BF8">
            <w:pPr>
              <w:spacing w:before="93" w:beforeLines="30" w:after="93" w:afterLines="30" w:line="240" w:lineRule="exact"/>
              <w:rPr>
                <w:rFonts w:eastAsia="宋体" w:cs="Arial"/>
                <w:sz w:val="20"/>
                <w:szCs w:val="20"/>
              </w:rPr>
            </w:pPr>
            <w:r>
              <w:rPr>
                <w:rFonts w:eastAsia="宋体" w:cs="Arial"/>
                <w:sz w:val="20"/>
                <w:szCs w:val="20"/>
              </w:rPr>
              <w:t>86003</w:t>
            </w:r>
          </w:p>
        </w:tc>
      </w:tr>
    </w:tbl>
    <w:p w14:paraId="37B8E987">
      <w:pPr>
        <w:spacing w:before="187"/>
        <w:rPr>
          <w:rFonts w:eastAsia="宋体" w:cs="Arial"/>
        </w:rPr>
      </w:pPr>
    </w:p>
    <w:p w14:paraId="27469F70">
      <w:pPr>
        <w:spacing w:before="187"/>
        <w:rPr>
          <w:rFonts w:eastAsia="宋体" w:cs="Arial"/>
          <w:u w:val="single"/>
        </w:rPr>
      </w:pPr>
      <w:r>
        <w:rPr>
          <w:rFonts w:eastAsia="宋体" w:cs="Arial"/>
          <w:u w:val="single"/>
        </w:rPr>
        <w:t>现场报告要求</w:t>
      </w:r>
    </w:p>
    <w:p w14:paraId="669575AA">
      <w:pPr>
        <w:spacing w:before="187"/>
        <w:rPr>
          <w:rFonts w:eastAsia="宋体" w:cs="Arial"/>
        </w:rPr>
      </w:pPr>
    </w:p>
    <w:p w14:paraId="4D9BE76D">
      <w:pPr>
        <w:pStyle w:val="15"/>
        <w:numPr>
          <w:ilvl w:val="0"/>
          <w:numId w:val="2"/>
        </w:numPr>
        <w:tabs>
          <w:tab w:val="left" w:pos="660"/>
        </w:tabs>
        <w:spacing w:before="187"/>
        <w:ind w:left="0" w:firstLine="0" w:firstLineChars="0"/>
        <w:rPr>
          <w:rFonts w:eastAsia="宋体" w:cs="Arial"/>
          <w:u w:val="single"/>
        </w:rPr>
      </w:pPr>
      <w:r>
        <w:rPr>
          <w:rFonts w:eastAsia="宋体" w:cs="Arial"/>
          <w:u w:val="single"/>
        </w:rPr>
        <w:t>一般要求</w:t>
      </w:r>
    </w:p>
    <w:p w14:paraId="51314463">
      <w:pPr>
        <w:spacing w:before="187"/>
        <w:ind w:left="660" w:leftChars="300"/>
        <w:rPr>
          <w:rFonts w:eastAsia="宋体" w:cs="Arial"/>
        </w:rPr>
      </w:pPr>
      <w:r>
        <w:rPr>
          <w:rFonts w:eastAsia="宋体" w:cs="Arial"/>
        </w:rPr>
        <w:t>常规合规测试－经完工管理区审计员审核后，将会分发下列现场测试记录表：</w:t>
      </w:r>
    </w:p>
    <w:p w14:paraId="77D4847E">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原始记录（白色副本）</w:t>
      </w:r>
      <w:r>
        <w:rPr>
          <w:rFonts w:eastAsia="宋体" w:cs="Arial"/>
        </w:rPr>
        <w:tab/>
      </w:r>
      <w:r>
        <w:rPr>
          <w:rFonts w:eastAsia="宋体" w:cs="Arial"/>
        </w:rPr>
        <w:t>信息加工和办公室自动化HFZ-307</w:t>
      </w:r>
    </w:p>
    <w:p w14:paraId="7CD356C6">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第1副本（白色副本）</w:t>
      </w:r>
      <w:r>
        <w:rPr>
          <w:rFonts w:eastAsia="宋体" w:cs="Arial"/>
        </w:rPr>
        <w:tab/>
      </w:r>
      <w:r>
        <w:rPr>
          <w:rFonts w:eastAsia="宋体" w:cs="Arial"/>
        </w:rPr>
        <w:t>供产地管理区审计员用于审核与归档</w:t>
      </w:r>
    </w:p>
    <w:p w14:paraId="087C6082">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蓝色副本</w:t>
      </w:r>
      <w:r>
        <w:rPr>
          <w:rFonts w:eastAsia="宋体" w:cs="Arial"/>
        </w:rPr>
        <w:tab/>
      </w:r>
      <w:r>
        <w:rPr>
          <w:rFonts w:eastAsia="宋体" w:cs="Arial"/>
        </w:rPr>
        <w:t>供地区放射卫生代表（RRHR）用于制作州档案</w:t>
      </w:r>
    </w:p>
    <w:p w14:paraId="2FCEE4F7">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黄色副本</w:t>
      </w:r>
      <w:r>
        <w:rPr>
          <w:rFonts w:eastAsia="宋体" w:cs="Arial"/>
        </w:rPr>
        <w:tab/>
      </w:r>
      <w:r>
        <w:rPr>
          <w:rFonts w:eastAsia="宋体" w:cs="Arial"/>
        </w:rPr>
        <w:t>供检验员用</w:t>
      </w:r>
    </w:p>
    <w:p w14:paraId="1D325B77">
      <w:pPr>
        <w:spacing w:before="187"/>
        <w:ind w:left="660" w:leftChars="300"/>
        <w:rPr>
          <w:rFonts w:eastAsia="宋体" w:cs="Arial"/>
        </w:rPr>
      </w:pPr>
      <w:r>
        <w:rPr>
          <w:rFonts w:eastAsia="宋体" w:cs="Arial"/>
        </w:rPr>
        <w:t>按现场测试的优先顺序列出下列现场测试记录：</w:t>
      </w:r>
    </w:p>
    <w:p w14:paraId="3B21E2C3">
      <w:pPr>
        <w:tabs>
          <w:tab w:val="left" w:pos="1980"/>
        </w:tabs>
        <w:spacing w:before="187"/>
        <w:ind w:left="660" w:leftChars="300"/>
        <w:rPr>
          <w:rFonts w:eastAsia="宋体" w:cs="Arial"/>
        </w:rPr>
      </w:pPr>
      <w:r>
        <w:rPr>
          <w:rFonts w:eastAsia="宋体" w:cs="Arial"/>
        </w:rPr>
        <w:t>FDA 3071</w:t>
      </w:r>
      <w:r>
        <w:rPr>
          <w:rFonts w:eastAsia="宋体" w:cs="Arial"/>
        </w:rPr>
        <w:tab/>
      </w:r>
      <w:r>
        <w:rPr>
          <w:rFonts w:eastAsia="宋体" w:cs="Arial"/>
        </w:rPr>
        <w:t>一般信息</w:t>
      </w:r>
    </w:p>
    <w:p w14:paraId="187F41F2">
      <w:pPr>
        <w:tabs>
          <w:tab w:val="left" w:pos="1980"/>
        </w:tabs>
        <w:spacing w:before="0" w:beforeLines="0"/>
        <w:ind w:left="660" w:leftChars="300"/>
        <w:rPr>
          <w:rFonts w:eastAsia="宋体" w:cs="Arial"/>
        </w:rPr>
      </w:pPr>
      <w:r>
        <w:rPr>
          <w:rFonts w:eastAsia="宋体" w:cs="Arial"/>
        </w:rPr>
        <w:t>FDA 2784</w:t>
      </w:r>
      <w:r>
        <w:rPr>
          <w:rFonts w:eastAsia="宋体" w:cs="Arial"/>
        </w:rPr>
        <w:tab/>
      </w:r>
      <w:r>
        <w:rPr>
          <w:rFonts w:eastAsia="宋体" w:cs="Arial"/>
        </w:rPr>
        <w:t>台上X射线源放射摄影系统</w:t>
      </w:r>
    </w:p>
    <w:p w14:paraId="72DFD181">
      <w:pPr>
        <w:tabs>
          <w:tab w:val="left" w:pos="1980"/>
        </w:tabs>
        <w:spacing w:before="0" w:beforeLines="0"/>
        <w:ind w:left="660" w:leftChars="300"/>
        <w:rPr>
          <w:rFonts w:eastAsia="宋体" w:cs="Arial"/>
        </w:rPr>
      </w:pPr>
      <w:r>
        <w:rPr>
          <w:rFonts w:eastAsia="宋体" w:cs="Arial"/>
        </w:rPr>
        <w:t>FDA 2786</w:t>
      </w:r>
      <w:r>
        <w:rPr>
          <w:rFonts w:eastAsia="宋体" w:cs="Arial"/>
        </w:rPr>
        <w:tab/>
      </w:r>
      <w:r>
        <w:rPr>
          <w:rFonts w:eastAsia="宋体" w:cs="Arial"/>
        </w:rPr>
        <w:t>台下X射线源透视点片系统</w:t>
      </w:r>
    </w:p>
    <w:p w14:paraId="1E5F880E">
      <w:pPr>
        <w:tabs>
          <w:tab w:val="left" w:pos="1980"/>
        </w:tabs>
        <w:spacing w:before="0" w:beforeLines="0"/>
        <w:ind w:left="660" w:leftChars="300"/>
        <w:rPr>
          <w:rFonts w:eastAsia="宋体" w:cs="Arial"/>
        </w:rPr>
      </w:pPr>
      <w:r>
        <w:rPr>
          <w:rFonts w:eastAsia="宋体" w:cs="Arial"/>
        </w:rPr>
        <w:t>FDA 3260</w:t>
      </w:r>
      <w:r>
        <w:rPr>
          <w:rFonts w:eastAsia="宋体" w:cs="Arial"/>
        </w:rPr>
        <w:tab/>
      </w:r>
      <w:r>
        <w:rPr>
          <w:rFonts w:eastAsia="宋体" w:cs="Arial"/>
        </w:rPr>
        <w:t>千伏电压峰值测定</w:t>
      </w:r>
    </w:p>
    <w:p w14:paraId="25FF571B">
      <w:pPr>
        <w:tabs>
          <w:tab w:val="left" w:pos="1980"/>
        </w:tabs>
        <w:spacing w:before="0" w:beforeLines="0"/>
        <w:ind w:left="660" w:leftChars="300"/>
        <w:rPr>
          <w:rFonts w:eastAsia="宋体" w:cs="Arial"/>
        </w:rPr>
      </w:pPr>
      <w:r>
        <w:rPr>
          <w:rFonts w:eastAsia="宋体" w:cs="Arial"/>
        </w:rPr>
        <w:t>FDA 3069</w:t>
      </w:r>
      <w:r>
        <w:rPr>
          <w:rFonts w:eastAsia="宋体" w:cs="Arial"/>
        </w:rPr>
        <w:tab/>
      </w:r>
      <w:r>
        <w:rPr>
          <w:rFonts w:eastAsia="宋体" w:cs="Arial"/>
        </w:rPr>
        <w:t>C臂透视点片系统</w:t>
      </w:r>
    </w:p>
    <w:p w14:paraId="185385E2">
      <w:pPr>
        <w:tabs>
          <w:tab w:val="left" w:pos="1980"/>
        </w:tabs>
        <w:spacing w:before="0" w:beforeLines="0"/>
        <w:ind w:left="660" w:leftChars="300"/>
        <w:rPr>
          <w:rFonts w:eastAsia="宋体" w:cs="Arial"/>
        </w:rPr>
      </w:pPr>
      <w:r>
        <w:rPr>
          <w:rFonts w:eastAsia="宋体" w:cs="Arial"/>
        </w:rPr>
        <w:t>FDA 3068</w:t>
      </w:r>
      <w:r>
        <w:rPr>
          <w:rFonts w:eastAsia="宋体" w:cs="Arial"/>
        </w:rPr>
        <w:tab/>
      </w:r>
      <w:r>
        <w:rPr>
          <w:rFonts w:eastAsia="宋体" w:cs="Arial"/>
        </w:rPr>
        <w:t>台上X射线源透视点片系统</w:t>
      </w:r>
    </w:p>
    <w:p w14:paraId="79DA5EE5">
      <w:pPr>
        <w:tabs>
          <w:tab w:val="left" w:pos="1980"/>
        </w:tabs>
        <w:spacing w:before="0" w:beforeLines="0"/>
        <w:ind w:left="660" w:leftChars="300"/>
        <w:rPr>
          <w:rFonts w:eastAsia="宋体" w:cs="Arial"/>
        </w:rPr>
      </w:pPr>
      <w:r>
        <w:rPr>
          <w:rFonts w:eastAsia="宋体" w:cs="Arial"/>
        </w:rPr>
        <w:t>FDA 3261</w:t>
      </w:r>
      <w:r>
        <w:rPr>
          <w:rFonts w:eastAsia="宋体" w:cs="Arial"/>
        </w:rPr>
        <w:tab/>
      </w:r>
      <w:r>
        <w:rPr>
          <w:rFonts w:eastAsia="宋体" w:cs="Arial"/>
        </w:rPr>
        <w:t>垂直安装盒架放射摄影系统</w:t>
      </w:r>
    </w:p>
    <w:p w14:paraId="25ABC981">
      <w:pPr>
        <w:tabs>
          <w:tab w:val="left" w:pos="1980"/>
        </w:tabs>
        <w:spacing w:before="0" w:beforeLines="0"/>
        <w:ind w:left="660" w:leftChars="300"/>
        <w:rPr>
          <w:rFonts w:eastAsia="宋体" w:cs="Arial"/>
        </w:rPr>
      </w:pPr>
      <w:r>
        <w:rPr>
          <w:rFonts w:eastAsia="宋体" w:cs="Arial"/>
        </w:rPr>
        <w:t>FDA 2783</w:t>
      </w:r>
      <w:r>
        <w:rPr>
          <w:rFonts w:eastAsia="宋体" w:cs="Arial"/>
        </w:rPr>
        <w:tab/>
      </w:r>
      <w:r>
        <w:rPr>
          <w:rFonts w:eastAsia="宋体" w:cs="Arial"/>
        </w:rPr>
        <w:t>移动放射摄影系统</w:t>
      </w:r>
    </w:p>
    <w:p w14:paraId="513965E4">
      <w:pPr>
        <w:tabs>
          <w:tab w:val="left" w:pos="1980"/>
        </w:tabs>
        <w:spacing w:before="0" w:beforeLines="0"/>
        <w:ind w:left="660" w:leftChars="300"/>
        <w:rPr>
          <w:rFonts w:eastAsia="宋体" w:cs="Arial"/>
        </w:rPr>
      </w:pPr>
      <w:r>
        <w:rPr>
          <w:rFonts w:eastAsia="宋体" w:cs="Arial"/>
        </w:rPr>
        <w:t>FDA 3297</w:t>
      </w:r>
      <w:r>
        <w:rPr>
          <w:rFonts w:eastAsia="宋体" w:cs="Arial"/>
        </w:rPr>
        <w:tab/>
      </w:r>
      <w:r>
        <w:rPr>
          <w:rFonts w:eastAsia="宋体" w:cs="Arial"/>
        </w:rPr>
        <w:t>头颈放射摄影系统</w:t>
      </w:r>
    </w:p>
    <w:p w14:paraId="5D6E7EB3">
      <w:pPr>
        <w:tabs>
          <w:tab w:val="left" w:pos="1980"/>
        </w:tabs>
        <w:spacing w:before="187"/>
        <w:ind w:left="660" w:leftChars="300"/>
        <w:rPr>
          <w:rFonts w:eastAsia="宋体" w:cs="Arial"/>
        </w:rPr>
      </w:pPr>
      <w:r>
        <w:rPr>
          <w:rFonts w:eastAsia="宋体" w:cs="Arial"/>
        </w:rPr>
        <w:t>FDA 2785</w:t>
      </w:r>
      <w:r>
        <w:rPr>
          <w:rFonts w:eastAsia="宋体" w:cs="Arial"/>
        </w:rPr>
        <w:tab/>
      </w:r>
      <w:r>
        <w:rPr>
          <w:rFonts w:eastAsia="宋体" w:cs="Arial"/>
        </w:rPr>
        <w:t>牙科放射摄影系统</w:t>
      </w:r>
    </w:p>
    <w:p w14:paraId="2539F672">
      <w:pPr>
        <w:tabs>
          <w:tab w:val="left" w:pos="1980"/>
        </w:tabs>
        <w:spacing w:before="187"/>
        <w:ind w:left="660" w:leftChars="300"/>
        <w:rPr>
          <w:rFonts w:eastAsia="宋体" w:cs="Arial"/>
        </w:rPr>
      </w:pPr>
      <w:r>
        <w:rPr>
          <w:rFonts w:eastAsia="宋体" w:cs="Arial"/>
        </w:rPr>
        <w:t>FDA 3070</w:t>
      </w:r>
      <w:r>
        <w:rPr>
          <w:rFonts w:eastAsia="宋体" w:cs="Arial"/>
        </w:rPr>
        <w:tab/>
      </w:r>
      <w:r>
        <w:rPr>
          <w:rFonts w:eastAsia="宋体" w:cs="Arial"/>
        </w:rPr>
        <w:t>乳房摄影系统</w:t>
      </w:r>
    </w:p>
    <w:p w14:paraId="33EB04BE">
      <w:pPr>
        <w:tabs>
          <w:tab w:val="left" w:pos="1980"/>
        </w:tabs>
        <w:spacing w:before="0" w:beforeLines="0"/>
        <w:ind w:left="660" w:leftChars="300"/>
        <w:rPr>
          <w:rFonts w:eastAsia="宋体" w:cs="Arial"/>
        </w:rPr>
      </w:pPr>
      <w:r>
        <w:rPr>
          <w:rFonts w:eastAsia="宋体" w:cs="Arial"/>
        </w:rPr>
        <w:t>FDA 2782</w:t>
      </w:r>
      <w:r>
        <w:rPr>
          <w:rFonts w:eastAsia="宋体" w:cs="Arial"/>
        </w:rPr>
        <w:tab/>
      </w:r>
      <w:r>
        <w:rPr>
          <w:rFonts w:eastAsia="宋体" w:cs="Arial"/>
        </w:rPr>
        <w:t>现场测试记录续页</w:t>
      </w:r>
    </w:p>
    <w:p w14:paraId="45842E64">
      <w:pPr>
        <w:tabs>
          <w:tab w:val="left" w:pos="660"/>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1994年10月1日以来，该合规计划已不再进行乳房摄影设备的常规合规测试。然而，根据地区放射卫生代表的特殊考虑，可批准进行该测试。地区放射卫生代表会与器械和放射卫生中心（CDRH）联系获取进行此类测试的授权。设备所有人需知道该测试并非乳房摄影质量标准法案（MQSA）规定的测试，而且合规行动是针对制造商而非设施。此外，不会对牙科综合治疗装置进行常规测试。应与地区放射卫生代表联系要求批准对牙科综合治疗装置进行特殊测试。</w:t>
      </w:r>
      <w:r>
        <w:rPr>
          <w:rFonts w:eastAsia="宋体" w:cs="Arial"/>
        </w:rPr>
        <w:tab/>
      </w:r>
      <w:r>
        <w:rPr>
          <w:rFonts w:eastAsia="宋体" w:cs="Arial"/>
        </w:rPr>
        <w:t>*</w:t>
      </w:r>
    </w:p>
    <w:p w14:paraId="4E8BDAE1">
      <w:pPr>
        <w:tabs>
          <w:tab w:val="left" w:pos="660"/>
          <w:tab w:val="left" w:pos="1100"/>
          <w:tab w:val="left" w:pos="8800"/>
        </w:tabs>
        <w:spacing w:before="187"/>
        <w:ind w:left="1100" w:hanging="1100" w:hangingChars="5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注：完工管理区是对诊断用X射线设备安装地点（根据安装地址）拥有监管权的FDA管理区。产地管理区是对装配商拥有监管权的管理区（基于装配商的业务地址）。</w:t>
      </w:r>
      <w:r>
        <w:rPr>
          <w:rFonts w:eastAsia="宋体" w:cs="Arial"/>
        </w:rPr>
        <w:tab/>
      </w:r>
      <w:r>
        <w:rPr>
          <w:rFonts w:eastAsia="宋体" w:cs="Arial"/>
        </w:rPr>
        <w:t>*</w:t>
      </w:r>
    </w:p>
    <w:p w14:paraId="6F84B2DF">
      <w:pPr>
        <w:tabs>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完工管理区将核实纠正行动，审核现场纠正行动报告（FCAR）的</w:t>
      </w:r>
      <w:r>
        <w:rPr>
          <w:rFonts w:eastAsia="宋体" w:cs="Arial"/>
          <w:kern w:val="0"/>
          <w:sz w:val="24"/>
          <w:szCs w:val="24"/>
        </w:rPr>
        <w:t>CDRH</w:t>
      </w:r>
      <w:r>
        <w:rPr>
          <w:rFonts w:eastAsia="宋体" w:cs="Arial"/>
        </w:rPr>
        <w:t>状态报告，并确保已将补充材料添加到</w:t>
      </w:r>
      <w:r>
        <w:rPr>
          <w:rFonts w:eastAsia="宋体" w:cs="Arial"/>
          <w:kern w:val="0"/>
          <w:sz w:val="24"/>
          <w:szCs w:val="24"/>
        </w:rPr>
        <w:t>CDRH</w:t>
      </w:r>
      <w:r>
        <w:rPr>
          <w:rFonts w:eastAsia="宋体" w:cs="Arial"/>
        </w:rPr>
        <w:t>计算机中。完工管理区还将对不正确或不完整的装配报告（FDA 2579）进行审核，从装配商处获取任何必要纠正信息，并公布纠正行动的HFZ-307文件。当完工管理区并非产地管理区时，将寄给装配商的信件副本送至产地管理区。产地管理区将对警告函和针对装配商启动的任何监管行动负责。</w:t>
      </w:r>
      <w:r>
        <w:rPr>
          <w:rFonts w:eastAsia="宋体" w:cs="Arial"/>
        </w:rPr>
        <w:tab/>
      </w:r>
      <w:r>
        <w:rPr>
          <w:rFonts w:eastAsia="宋体" w:cs="Arial"/>
        </w:rPr>
        <w:t>*</w:t>
      </w:r>
    </w:p>
    <w:p w14:paraId="21C856B2">
      <w:pPr>
        <w:tabs>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将违规装配商的所有检查报告提交给管理区合规部门供审核、评价和分类，然后由管理区合规部门转呈</w:t>
      </w:r>
      <w:r>
        <w:rPr>
          <w:rFonts w:eastAsia="宋体" w:cs="Arial"/>
          <w:kern w:val="0"/>
          <w:sz w:val="24"/>
          <w:szCs w:val="24"/>
        </w:rPr>
        <w:t>CDRH</w:t>
      </w:r>
      <w:r>
        <w:rPr>
          <w:rFonts w:eastAsia="宋体" w:cs="Arial"/>
        </w:rPr>
        <w:t>乳房摄影和辐射计划处（HFZ-240）。不要将行政非诉性检查报告发送至HFZ-240。</w:t>
      </w:r>
      <w:r>
        <w:rPr>
          <w:rFonts w:eastAsia="宋体" w:cs="Arial"/>
        </w:rPr>
        <w:tab/>
      </w:r>
      <w:r>
        <w:rPr>
          <w:rFonts w:eastAsia="宋体" w:cs="Arial"/>
        </w:rPr>
        <w:t>*</w:t>
      </w:r>
    </w:p>
    <w:p w14:paraId="65023AB6">
      <w:pPr>
        <w:pStyle w:val="15"/>
        <w:numPr>
          <w:ilvl w:val="0"/>
          <w:numId w:val="2"/>
        </w:numPr>
        <w:tabs>
          <w:tab w:val="left" w:pos="660"/>
        </w:tabs>
        <w:spacing w:before="187"/>
        <w:ind w:left="0" w:firstLine="0" w:firstLineChars="0"/>
        <w:rPr>
          <w:rFonts w:eastAsia="宋体" w:cs="Arial"/>
          <w:u w:val="single"/>
        </w:rPr>
      </w:pPr>
      <w:r>
        <w:rPr>
          <w:rFonts w:eastAsia="宋体" w:cs="Arial"/>
          <w:u w:val="single"/>
        </w:rPr>
        <w:t>FACTS报告</w:t>
      </w:r>
    </w:p>
    <w:p w14:paraId="21EFEB8D">
      <w:pPr>
        <w:pStyle w:val="15"/>
        <w:numPr>
          <w:ilvl w:val="0"/>
          <w:numId w:val="4"/>
        </w:numPr>
        <w:spacing w:before="187"/>
        <w:ind w:left="660" w:hanging="660" w:hangingChars="300"/>
        <w:rPr>
          <w:rFonts w:eastAsia="宋体" w:cs="Arial"/>
        </w:rPr>
      </w:pPr>
      <w:r>
        <w:rPr>
          <w:rFonts w:eastAsia="宋体" w:cs="Arial"/>
        </w:rPr>
        <w:t>每个操作码下的活动报告规则未随FACTS（4.6版）的实施而发生变更。因此，应继续采用下列指南：</w:t>
      </w:r>
    </w:p>
    <w:p w14:paraId="4044852C">
      <w:pPr>
        <w:pStyle w:val="15"/>
        <w:numPr>
          <w:ilvl w:val="0"/>
          <w:numId w:val="4"/>
        </w:numPr>
        <w:spacing w:before="187"/>
        <w:ind w:left="660" w:hanging="660" w:hangingChars="300"/>
        <w:rPr>
          <w:rFonts w:eastAsia="宋体" w:cs="Arial"/>
        </w:rPr>
      </w:pPr>
      <w:r>
        <w:rPr>
          <w:rFonts w:eastAsia="宋体" w:cs="Arial"/>
        </w:rPr>
        <w:t>在FACTS</w:t>
      </w:r>
      <w:r>
        <w:rPr>
          <w:rFonts w:ascii="宋体" w:hAnsi="宋体" w:eastAsia="宋体" w:cs="Arial"/>
        </w:rPr>
        <w:t>“</w:t>
      </w:r>
      <w:r>
        <w:rPr>
          <w:rFonts w:eastAsia="宋体" w:cs="Arial"/>
        </w:rPr>
        <w:t>维持调查</w:t>
      </w:r>
      <w:r>
        <w:rPr>
          <w:rFonts w:ascii="宋体" w:hAnsi="宋体" w:eastAsia="宋体" w:cs="Arial"/>
        </w:rPr>
        <w:t>”</w:t>
      </w:r>
      <w:r>
        <w:rPr>
          <w:rFonts w:eastAsia="宋体" w:cs="Arial"/>
        </w:rPr>
        <w:t>屏幕的操作码13（调查）下报告对FDA 2579文件（装配报告）进行审核和纠正花费的全部时间。花费在FDA 2579文件通讯（口头/书面）上的时间也应在此操作码下予以报告。</w:t>
      </w:r>
    </w:p>
    <w:p w14:paraId="383332FB">
      <w:pPr>
        <w:pStyle w:val="15"/>
        <w:numPr>
          <w:ilvl w:val="0"/>
          <w:numId w:val="5"/>
        </w:numPr>
        <w:spacing w:before="187"/>
        <w:ind w:left="660" w:hanging="660" w:hangingChars="300"/>
        <w:rPr>
          <w:rFonts w:eastAsia="宋体" w:cs="Arial"/>
        </w:rPr>
      </w:pPr>
      <w:r>
        <w:rPr>
          <w:rFonts w:eastAsia="宋体" w:cs="Arial"/>
        </w:rPr>
        <w:t>作为现场考核，FDA工作人员将在FACTS中报告准备、实施和报告现场测试花费的全部时间。在FACTS中，去往</w:t>
      </w:r>
      <w:r>
        <w:rPr>
          <w:rFonts w:ascii="宋体" w:hAnsi="宋体" w:eastAsia="宋体" w:cs="Arial"/>
        </w:rPr>
        <w:t>“</w:t>
      </w:r>
      <w:r>
        <w:rPr>
          <w:rFonts w:eastAsia="宋体" w:cs="Arial"/>
        </w:rPr>
        <w:t>调查运作</w:t>
      </w:r>
      <w:r>
        <w:rPr>
          <w:rFonts w:ascii="宋体" w:hAnsi="宋体" w:eastAsia="宋体" w:cs="Arial"/>
        </w:rPr>
        <w:t>”</w:t>
      </w:r>
      <w:r>
        <w:rPr>
          <w:rFonts w:eastAsia="宋体" w:cs="Arial"/>
        </w:rPr>
        <w:t>，然后去往</w:t>
      </w:r>
      <w:r>
        <w:rPr>
          <w:rFonts w:ascii="宋体" w:hAnsi="宋体" w:eastAsia="宋体" w:cs="Arial"/>
        </w:rPr>
        <w:t>“</w:t>
      </w:r>
      <w:r>
        <w:rPr>
          <w:rFonts w:eastAsia="宋体" w:cs="Arial"/>
        </w:rPr>
        <w:t>现场考核</w:t>
      </w:r>
      <w:r>
        <w:rPr>
          <w:rFonts w:ascii="宋体" w:hAnsi="宋体" w:eastAsia="宋体" w:cs="Arial"/>
        </w:rPr>
        <w:t>”</w:t>
      </w:r>
      <w:r>
        <w:rPr>
          <w:rFonts w:eastAsia="宋体" w:cs="Arial"/>
        </w:rPr>
        <w:t>。点击</w:t>
      </w:r>
      <w:r>
        <w:rPr>
          <w:rFonts w:ascii="宋体" w:hAnsi="宋体" w:eastAsia="宋体" w:cs="Arial"/>
        </w:rPr>
        <w:t>“</w:t>
      </w:r>
      <w:r>
        <w:rPr>
          <w:rFonts w:eastAsia="宋体" w:cs="Arial"/>
        </w:rPr>
        <w:t>新考核</w:t>
      </w:r>
      <w:r>
        <w:rPr>
          <w:rFonts w:ascii="宋体" w:hAnsi="宋体" w:eastAsia="宋体" w:cs="Arial"/>
        </w:rPr>
        <w:t>”</w:t>
      </w:r>
      <w:r>
        <w:rPr>
          <w:rFonts w:eastAsia="宋体" w:cs="Arial"/>
        </w:rPr>
        <w:t>并用装配商FEI码、现场测试日期、PAC码86003和X射线系统被测类型的产品代码完成屏幕操作。在考核类型下，点击</w:t>
      </w:r>
      <w:r>
        <w:rPr>
          <w:rFonts w:ascii="宋体" w:hAnsi="宋体" w:eastAsia="宋体" w:cs="Arial"/>
        </w:rPr>
        <w:t>“</w:t>
      </w:r>
      <w:r>
        <w:rPr>
          <w:rFonts w:eastAsia="宋体" w:cs="Arial"/>
        </w:rPr>
        <w:t>X射线现场测试</w:t>
      </w:r>
      <w:r>
        <w:rPr>
          <w:rFonts w:ascii="宋体" w:hAnsi="宋体" w:eastAsia="宋体" w:cs="Arial"/>
        </w:rPr>
        <w:t>”</w:t>
      </w:r>
      <w:r>
        <w:rPr>
          <w:rFonts w:eastAsia="宋体" w:cs="Arial"/>
        </w:rPr>
        <w:t>。在批号下输入现场测试代码（即AR12345A）。在</w:t>
      </w:r>
      <w:r>
        <w:rPr>
          <w:rFonts w:ascii="宋体" w:hAnsi="宋体" w:eastAsia="宋体" w:cs="Arial"/>
        </w:rPr>
        <w:t>“</w:t>
      </w:r>
      <w:r>
        <w:rPr>
          <w:rFonts w:eastAsia="宋体" w:cs="Arial"/>
        </w:rPr>
        <w:t>被测装置代码</w:t>
      </w:r>
      <w:r>
        <w:rPr>
          <w:rFonts w:ascii="宋体" w:hAnsi="宋体" w:eastAsia="宋体" w:cs="Arial"/>
        </w:rPr>
        <w:t>”</w:t>
      </w:r>
      <w:r>
        <w:rPr>
          <w:rFonts w:eastAsia="宋体" w:cs="Arial"/>
        </w:rPr>
        <w:t>下输入</w:t>
      </w:r>
      <w:r>
        <w:rPr>
          <w:rFonts w:ascii="宋体" w:hAnsi="宋体" w:eastAsia="宋体" w:cs="Arial"/>
        </w:rPr>
        <w:t>“</w:t>
      </w:r>
      <w:r>
        <w:rPr>
          <w:rFonts w:eastAsia="宋体" w:cs="Arial"/>
        </w:rPr>
        <w:t>1</w:t>
      </w:r>
      <w:r>
        <w:rPr>
          <w:rFonts w:ascii="宋体" w:hAnsi="宋体" w:eastAsia="宋体" w:cs="Arial"/>
        </w:rPr>
        <w:t>”</w:t>
      </w:r>
      <w:r>
        <w:rPr>
          <w:rFonts w:eastAsia="宋体" w:cs="Arial"/>
        </w:rPr>
        <w:t>。点击代表不良结果的</w:t>
      </w:r>
      <w:r>
        <w:rPr>
          <w:rFonts w:ascii="宋体" w:hAnsi="宋体" w:eastAsia="宋体" w:cs="Arial"/>
        </w:rPr>
        <w:t>“</w:t>
      </w:r>
      <w:r>
        <w:rPr>
          <w:rFonts w:eastAsia="宋体" w:cs="Arial"/>
        </w:rPr>
        <w:t>无</w:t>
      </w:r>
      <w:r>
        <w:rPr>
          <w:rFonts w:ascii="宋体" w:hAnsi="宋体" w:eastAsia="宋体" w:cs="Arial"/>
        </w:rPr>
        <w:t>”</w:t>
      </w:r>
      <w:r>
        <w:rPr>
          <w:rFonts w:eastAsia="宋体" w:cs="Arial"/>
        </w:rPr>
        <w:t>。如果知道的话，您可在评论中输入现场测试的最终分类（A、B、C和D类）。必须输入一个独立行用于存放每个现场测试编号，这样做的目的是为所做的所有测试获得授权。例如，AR12345A和UF12345B在现场考核屏幕上位于独立行。由不同装配商安装的系统和在不同日期测试的系统可作为不同的现场考核输入计算机。</w:t>
      </w:r>
    </w:p>
    <w:p w14:paraId="7B99560A">
      <w:pPr>
        <w:widowControl/>
        <w:adjustRightInd/>
        <w:snapToGrid/>
        <w:spacing w:before="0" w:beforeLines="0" w:line="240" w:lineRule="auto"/>
        <w:jc w:val="left"/>
        <w:rPr>
          <w:rFonts w:eastAsia="宋体" w:cs="Arial"/>
        </w:rPr>
      </w:pPr>
      <w:r>
        <w:rPr>
          <w:rFonts w:eastAsia="宋体" w:cs="Arial"/>
        </w:rPr>
        <w:br w:type="page"/>
      </w:r>
    </w:p>
    <w:p w14:paraId="65561C55">
      <w:pPr>
        <w:pStyle w:val="15"/>
        <w:numPr>
          <w:ilvl w:val="0"/>
          <w:numId w:val="5"/>
        </w:numPr>
        <w:tabs>
          <w:tab w:val="left" w:pos="8800"/>
        </w:tabs>
        <w:spacing w:before="187"/>
        <w:ind w:left="660" w:hanging="660" w:hangingChars="300"/>
        <w:rPr>
          <w:rFonts w:eastAsia="宋体" w:cs="Arial"/>
        </w:rPr>
      </w:pPr>
      <w:r>
        <w:rPr>
          <w:rFonts w:eastAsia="宋体" w:cs="Arial"/>
          <w:u w:val="single"/>
        </w:rPr>
        <w:t>审计员特殊说明：</w:t>
      </w:r>
      <w:r>
        <w:rPr>
          <w:rFonts w:eastAsia="宋体" w:cs="Arial"/>
        </w:rPr>
        <w:t>作为X射线检验员进行现场审核时，在FACTS中必须制作一个特别条目。FDA审计员将按一次审查记录时间，被审查人员（如果是FDA工作人员的话）将按一次现场测试记录时间。审计员记录的时间将按一次现场测试（操作码53）予以报告，其包括准备时间、现场时间、测试评价时间和审查结果报告时间。在描述字段中，输入词语</w:t>
      </w:r>
      <w:r>
        <w:rPr>
          <w:rFonts w:ascii="宋体" w:hAnsi="宋体" w:eastAsia="宋体" w:cs="Arial"/>
        </w:rPr>
        <w:t>“</w:t>
      </w:r>
      <w:r>
        <w:rPr>
          <w:rFonts w:eastAsia="宋体" w:cs="Arial"/>
        </w:rPr>
        <w:t>联合测试</w:t>
      </w:r>
      <w:r>
        <w:rPr>
          <w:rFonts w:ascii="宋体" w:hAnsi="宋体" w:eastAsia="宋体" w:cs="Arial"/>
        </w:rPr>
        <w:t>”</w:t>
      </w:r>
      <w:r>
        <w:rPr>
          <w:rFonts w:eastAsia="宋体" w:cs="Arial"/>
        </w:rPr>
        <w:t>，后跟州代码或正在接受审查人员所在FDA管理区的代码。还要输入GI测试标识符用于该测试。</w:t>
      </w:r>
      <w:r>
        <w:rPr>
          <w:rFonts w:eastAsia="宋体" w:cs="Arial"/>
        </w:rPr>
        <w:tab/>
      </w:r>
      <w:r>
        <w:rPr>
          <w:rFonts w:eastAsia="宋体" w:cs="Arial"/>
        </w:rPr>
        <w:t>*</w:t>
      </w:r>
    </w:p>
    <w:p w14:paraId="0A60BEDC">
      <w:pPr>
        <w:spacing w:before="187"/>
        <w:ind w:left="1100" w:leftChars="500"/>
        <w:rPr>
          <w:rFonts w:eastAsia="宋体" w:cs="Arial"/>
        </w:rPr>
      </w:pPr>
      <w:r>
        <w:rPr>
          <w:rFonts w:eastAsia="宋体" w:cs="Arial"/>
        </w:rPr>
        <w:t>例证：联合测试NJ GI12344</w:t>
      </w:r>
    </w:p>
    <w:p w14:paraId="27CDAA2E">
      <w:pPr>
        <w:spacing w:before="187"/>
        <w:ind w:left="1100" w:leftChars="500" w:firstLine="660" w:firstLineChars="300"/>
        <w:rPr>
          <w:rFonts w:eastAsia="宋体" w:cs="Arial"/>
        </w:rPr>
      </w:pPr>
      <w:r>
        <w:rPr>
          <w:rFonts w:eastAsia="宋体" w:cs="Arial"/>
        </w:rPr>
        <w:t>联合测试DET GI12345</w:t>
      </w:r>
    </w:p>
    <w:p w14:paraId="48B9D256">
      <w:pPr>
        <w:spacing w:before="187"/>
        <w:ind w:left="660" w:leftChars="300"/>
        <w:rPr>
          <w:rFonts w:eastAsia="宋体" w:cs="Arial"/>
        </w:rPr>
      </w:pPr>
      <w:r>
        <w:rPr>
          <w:rFonts w:eastAsia="宋体" w:cs="Arial"/>
        </w:rPr>
        <w:t>另外，在FACTS的</w:t>
      </w:r>
      <w:r>
        <w:rPr>
          <w:rFonts w:ascii="宋体" w:hAnsi="宋体" w:eastAsia="宋体" w:cs="Arial"/>
        </w:rPr>
        <w:t>“</w:t>
      </w:r>
      <w:r>
        <w:rPr>
          <w:rFonts w:eastAsia="宋体" w:cs="Arial"/>
        </w:rPr>
        <w:t>各种操作完成时间</w:t>
      </w:r>
      <w:r>
        <w:rPr>
          <w:rFonts w:ascii="宋体" w:hAnsi="宋体" w:eastAsia="宋体" w:cs="Arial"/>
        </w:rPr>
        <w:t>”</w:t>
      </w:r>
      <w:r>
        <w:rPr>
          <w:rFonts w:eastAsia="宋体" w:cs="Arial"/>
        </w:rPr>
        <w:t>屏幕上还要按操作码92（协调/技术援助）报告作为审计员为现场测试记录（FTR）审核、通知函或警告函通讯、提交现场纠正行动报告相关材料与</w:t>
      </w:r>
      <w:r>
        <w:rPr>
          <w:rFonts w:eastAsia="宋体" w:cs="Arial"/>
          <w:kern w:val="0"/>
          <w:sz w:val="24"/>
          <w:szCs w:val="24"/>
        </w:rPr>
        <w:t>CDRH</w:t>
      </w:r>
      <w:r>
        <w:rPr>
          <w:rFonts w:eastAsia="宋体" w:cs="Arial"/>
        </w:rPr>
        <w:t>数据库更新、现场测试记录数据输入、</w:t>
      </w:r>
      <w:r>
        <w:rPr>
          <w:rFonts w:eastAsia="宋体" w:cs="Arial"/>
          <w:kern w:val="0"/>
          <w:sz w:val="24"/>
          <w:szCs w:val="24"/>
        </w:rPr>
        <w:t>FTR</w:t>
      </w:r>
      <w:r>
        <w:rPr>
          <w:rFonts w:eastAsia="宋体" w:cs="Arial"/>
        </w:rPr>
        <w:t>合规问题的答复所花费的时间。在描述字段应列出</w:t>
      </w:r>
      <w:r>
        <w:rPr>
          <w:rFonts w:ascii="宋体" w:hAnsi="宋体" w:eastAsia="宋体" w:cs="Arial"/>
        </w:rPr>
        <w:t>“</w:t>
      </w:r>
      <w:r>
        <w:rPr>
          <w:rFonts w:eastAsia="宋体" w:cs="Arial"/>
        </w:rPr>
        <w:t>诊断用X射线协调</w:t>
      </w:r>
      <w:r>
        <w:rPr>
          <w:rFonts w:ascii="宋体" w:hAnsi="宋体" w:eastAsia="宋体" w:cs="Arial"/>
        </w:rPr>
        <w:t>”</w:t>
      </w:r>
      <w:r>
        <w:rPr>
          <w:rFonts w:eastAsia="宋体" w:cs="Arial"/>
        </w:rPr>
        <w:t>。应按常规记录时间（根据容量按周或季度记录），且可将时间按时间段予以合并。</w:t>
      </w:r>
    </w:p>
    <w:p w14:paraId="307C5370">
      <w:pPr>
        <w:pStyle w:val="15"/>
        <w:numPr>
          <w:ilvl w:val="0"/>
          <w:numId w:val="2"/>
        </w:numPr>
        <w:tabs>
          <w:tab w:val="left" w:pos="660"/>
        </w:tabs>
        <w:spacing w:before="187"/>
        <w:ind w:left="0" w:firstLine="0" w:firstLineChars="0"/>
        <w:rPr>
          <w:rFonts w:eastAsia="宋体" w:cs="Arial"/>
          <w:u w:val="single"/>
        </w:rPr>
      </w:pPr>
      <w:r>
        <w:rPr>
          <w:rFonts w:eastAsia="宋体" w:cs="Arial"/>
          <w:u w:val="single"/>
        </w:rPr>
        <w:t>特殊要求</w:t>
      </w:r>
    </w:p>
    <w:p w14:paraId="3C17A865">
      <w:pPr>
        <w:spacing w:before="187"/>
        <w:ind w:left="660" w:leftChars="300"/>
        <w:rPr>
          <w:rFonts w:eastAsia="宋体" w:cs="Arial"/>
        </w:rPr>
      </w:pPr>
      <w:r>
        <w:rPr>
          <w:rFonts w:eastAsia="宋体" w:cs="Arial"/>
        </w:rPr>
        <w:t>当X射线系统或组件不符合联邦标准时，报告现场测试有必要采取特殊规程。在第III部分A.1.d.7和8的操作指南项下对这些规程做出了详细描述。</w:t>
      </w:r>
    </w:p>
    <w:p w14:paraId="0C1B4D09">
      <w:pPr>
        <w:spacing w:before="187"/>
        <w:ind w:left="660" w:leftChars="300"/>
        <w:rPr>
          <w:rFonts w:eastAsia="宋体" w:cs="Arial"/>
        </w:rPr>
      </w:pPr>
      <w:r>
        <w:rPr>
          <w:rFonts w:eastAsia="宋体" w:cs="Arial"/>
        </w:rPr>
        <w:t>特殊合规测试－向诊断器械分部HFZ-240报告特殊测试结果的数据格式由</w:t>
      </w:r>
      <w:r>
        <w:rPr>
          <w:rFonts w:eastAsia="宋体" w:cs="Arial"/>
          <w:kern w:val="0"/>
          <w:sz w:val="24"/>
          <w:szCs w:val="24"/>
        </w:rPr>
        <w:t>CDRH</w:t>
      </w:r>
      <w:r>
        <w:rPr>
          <w:rFonts w:eastAsia="宋体" w:cs="Arial"/>
        </w:rPr>
        <w:t>按任务予以提供。</w:t>
      </w:r>
    </w:p>
    <w:p w14:paraId="3CAF4A9D">
      <w:pPr>
        <w:pStyle w:val="15"/>
        <w:numPr>
          <w:ilvl w:val="0"/>
          <w:numId w:val="5"/>
        </w:numPr>
        <w:tabs>
          <w:tab w:val="left" w:pos="8800"/>
        </w:tabs>
        <w:spacing w:before="187"/>
        <w:ind w:left="660" w:hanging="660" w:hangingChars="300"/>
        <w:rPr>
          <w:rFonts w:eastAsia="宋体" w:cs="Arial"/>
        </w:rPr>
      </w:pPr>
      <w:r>
        <w:rPr>
          <w:rFonts w:eastAsia="宋体" w:cs="Arial"/>
        </w:rPr>
        <w:t>将该计划产生的所有信件的副本发送至HFZ-240，其中包括警告函、无标题信函、涉及有争议不合规事项的装配商答复函与装配商声称原始设备制造商应对不合规事项负责的答复函。为了支持关于制造商责任的主张，应包括所有证据。此外，应将警告函的副本发送至HFC- 210。</w:t>
      </w:r>
      <w:r>
        <w:rPr>
          <w:rFonts w:eastAsia="宋体" w:cs="Arial"/>
        </w:rPr>
        <w:tab/>
      </w:r>
      <w:r>
        <w:rPr>
          <w:rFonts w:eastAsia="宋体" w:cs="Arial"/>
        </w:rPr>
        <w:t>*</w:t>
      </w:r>
    </w:p>
    <w:p w14:paraId="4BEE8C92">
      <w:pPr>
        <w:spacing w:before="187"/>
        <w:rPr>
          <w:rFonts w:eastAsia="宋体" w:cs="Arial"/>
        </w:rPr>
      </w:pPr>
    </w:p>
    <w:p w14:paraId="6A5D0455">
      <w:pPr>
        <w:spacing w:before="187"/>
        <w:rPr>
          <w:rFonts w:eastAsia="宋体" w:cs="Arial"/>
        </w:rPr>
        <w:sectPr>
          <w:headerReference r:id="rId12" w:type="first"/>
          <w:headerReference r:id="rId11" w:type="default"/>
          <w:pgSz w:w="11906" w:h="16838"/>
          <w:pgMar w:top="1418" w:right="1418" w:bottom="1418" w:left="1418" w:header="720" w:footer="720" w:gutter="0"/>
          <w:cols w:space="425" w:num="1"/>
          <w:titlePg/>
          <w:docGrid w:type="lines" w:linePitch="312" w:charSpace="0"/>
        </w:sectPr>
      </w:pPr>
    </w:p>
    <w:p w14:paraId="1D170CCF">
      <w:pPr>
        <w:spacing w:before="187"/>
        <w:jc w:val="center"/>
        <w:rPr>
          <w:rFonts w:eastAsia="宋体" w:cs="Arial"/>
          <w:u w:val="single"/>
        </w:rPr>
      </w:pPr>
      <w:r>
        <w:rPr>
          <w:rFonts w:eastAsia="宋体" w:cs="Arial"/>
          <w:u w:val="single"/>
        </w:rPr>
        <w:t>第I部分－背景</w:t>
      </w:r>
    </w:p>
    <w:p w14:paraId="4E8690A4">
      <w:pPr>
        <w:spacing w:before="187"/>
        <w:jc w:val="center"/>
        <w:rPr>
          <w:rFonts w:eastAsia="宋体" w:cs="Arial"/>
        </w:rPr>
      </w:pPr>
    </w:p>
    <w:p w14:paraId="5EFE7601">
      <w:pPr>
        <w:pStyle w:val="15"/>
        <w:numPr>
          <w:ilvl w:val="0"/>
          <w:numId w:val="5"/>
        </w:numPr>
        <w:spacing w:before="187"/>
        <w:ind w:left="-20" w:leftChars="-200" w:hangingChars="191"/>
        <w:rPr>
          <w:rFonts w:eastAsia="宋体" w:cs="Arial"/>
        </w:rPr>
      </w:pPr>
      <w:r>
        <w:rPr>
          <w:rFonts w:eastAsia="宋体" w:cs="Arial"/>
        </w:rPr>
        <w:t>诊断用X射线性能标准（参考文件1）于1974年8月颁布，其目的是保护公众免受诊断用X射线设备产生的不必要辐射危害。1974年以来，FDA和州行政机关工作人员已对获证诊断用X射线系统遵从标准的情况进行了72,000多次现场测试。</w:t>
      </w:r>
    </w:p>
    <w:p w14:paraId="41381272">
      <w:pPr>
        <w:spacing w:before="187"/>
        <w:rPr>
          <w:rFonts w:eastAsia="宋体" w:cs="Arial"/>
        </w:rPr>
      </w:pPr>
      <w:r>
        <w:rPr>
          <w:rFonts w:eastAsia="宋体" w:cs="Arial"/>
        </w:rPr>
        <w:t>本计划确认的过去5年最常见的主要不合规事项是：</w:t>
      </w:r>
    </w:p>
    <w:p w14:paraId="7CDF8BCB">
      <w:pPr>
        <w:pStyle w:val="15"/>
        <w:numPr>
          <w:ilvl w:val="0"/>
          <w:numId w:val="6"/>
        </w:numPr>
        <w:spacing w:before="187"/>
        <w:ind w:left="860" w:leftChars="200" w:hangingChars="191"/>
        <w:rPr>
          <w:rFonts w:eastAsia="宋体" w:cs="Arial"/>
        </w:rPr>
      </w:pPr>
      <w:r>
        <w:rPr>
          <w:rFonts w:eastAsia="宋体" w:cs="Arial"/>
        </w:rPr>
        <w:t>X射线源与影像接收器的距离指示错误。</w:t>
      </w:r>
    </w:p>
    <w:p w14:paraId="4A08F445">
      <w:pPr>
        <w:pStyle w:val="15"/>
        <w:numPr>
          <w:ilvl w:val="0"/>
          <w:numId w:val="6"/>
        </w:numPr>
        <w:spacing w:before="187"/>
        <w:ind w:left="860" w:leftChars="200" w:hangingChars="191"/>
        <w:rPr>
          <w:rFonts w:eastAsia="宋体" w:cs="Arial"/>
        </w:rPr>
      </w:pPr>
      <w:r>
        <w:rPr>
          <w:rFonts w:eastAsia="宋体" w:cs="Arial"/>
        </w:rPr>
        <w:t>PBL系统测定的X射线射束尺寸偏差过大。</w:t>
      </w:r>
    </w:p>
    <w:p w14:paraId="151B4B62">
      <w:pPr>
        <w:pStyle w:val="15"/>
        <w:numPr>
          <w:ilvl w:val="0"/>
          <w:numId w:val="6"/>
        </w:numPr>
        <w:spacing w:before="187"/>
        <w:ind w:left="860" w:leftChars="200" w:hangingChars="191"/>
        <w:rPr>
          <w:rFonts w:eastAsia="宋体" w:cs="Arial"/>
        </w:rPr>
      </w:pPr>
      <w:r>
        <w:rPr>
          <w:rFonts w:eastAsia="宋体" w:cs="Arial"/>
        </w:rPr>
        <w:t>透视进口照射量率过高。</w:t>
      </w:r>
    </w:p>
    <w:p w14:paraId="378CE21A">
      <w:pPr>
        <w:pStyle w:val="15"/>
        <w:numPr>
          <w:ilvl w:val="0"/>
          <w:numId w:val="6"/>
        </w:numPr>
        <w:spacing w:before="187"/>
        <w:ind w:left="860" w:leftChars="200" w:hangingChars="191"/>
        <w:rPr>
          <w:rFonts w:eastAsia="宋体" w:cs="Arial"/>
        </w:rPr>
      </w:pPr>
      <w:r>
        <w:rPr>
          <w:rFonts w:eastAsia="宋体" w:cs="Arial"/>
        </w:rPr>
        <w:t>X射线透视视野与影像增强器对准偏差过大。</w:t>
      </w:r>
    </w:p>
    <w:p w14:paraId="104F1D24">
      <w:pPr>
        <w:pStyle w:val="15"/>
        <w:numPr>
          <w:ilvl w:val="0"/>
          <w:numId w:val="6"/>
        </w:numPr>
        <w:spacing w:before="187"/>
        <w:ind w:left="860" w:leftChars="200" w:hangingChars="191"/>
        <w:rPr>
          <w:rFonts w:eastAsia="宋体" w:cs="Arial"/>
        </w:rPr>
      </w:pPr>
      <w:r>
        <w:rPr>
          <w:rFonts w:eastAsia="宋体" w:cs="Arial"/>
        </w:rPr>
        <w:t>X射线视野与点片影像接收器对准偏差过大。</w:t>
      </w:r>
    </w:p>
    <w:p w14:paraId="2142AC21">
      <w:pPr>
        <w:pStyle w:val="15"/>
        <w:numPr>
          <w:ilvl w:val="0"/>
          <w:numId w:val="6"/>
        </w:numPr>
        <w:spacing w:before="187"/>
        <w:ind w:left="860" w:leftChars="200" w:hangingChars="191"/>
        <w:rPr>
          <w:rFonts w:eastAsia="宋体" w:cs="Arial"/>
        </w:rPr>
      </w:pPr>
      <w:r>
        <w:rPr>
          <w:rFonts w:eastAsia="宋体" w:cs="Arial"/>
        </w:rPr>
        <w:t>放射摄影准直仪的光线定位仪照明不足。</w:t>
      </w:r>
    </w:p>
    <w:p w14:paraId="7F734A27">
      <w:pPr>
        <w:spacing w:before="187"/>
        <w:rPr>
          <w:rFonts w:eastAsia="宋体" w:cs="Arial"/>
        </w:rPr>
      </w:pPr>
      <w:r>
        <w:rPr>
          <w:rFonts w:eastAsia="宋体" w:cs="Arial"/>
        </w:rPr>
        <w:t>这些不合规事项还代表了某些重大辐射危害。</w:t>
      </w:r>
    </w:p>
    <w:p w14:paraId="6F431E17">
      <w:pPr>
        <w:spacing w:before="187"/>
        <w:rPr>
          <w:rFonts w:eastAsia="宋体" w:cs="Arial"/>
        </w:rPr>
      </w:pPr>
      <w:r>
        <w:rPr>
          <w:rFonts w:eastAsia="宋体" w:cs="Arial"/>
        </w:rPr>
        <w:t>不合规系统（即拥有一个或多个主要不合规事项的系统）的最高发生率一直见于更复杂的放射摄影和X射线透视系统。该系统需要装配商进行大量校准和调整工作。移动和牙科X射线系统只需制造商进行极少的调整工作，它们的不合规发生率很低，已从常规测试中排除。对乳房摄影系统的测试已于1994年10月终止，此时已启动根据乳房摄影质量标准法案实施的合规测试。</w:t>
      </w:r>
    </w:p>
    <w:p w14:paraId="40ECC731">
      <w:pPr>
        <w:tabs>
          <w:tab w:val="left" w:pos="8800"/>
        </w:tabs>
        <w:spacing w:before="187"/>
        <w:rPr>
          <w:rFonts w:eastAsia="宋体" w:cs="Arial"/>
        </w:rPr>
      </w:pPr>
      <w:r>
        <w:rPr>
          <w:rFonts w:eastAsia="宋体" w:cs="Arial"/>
        </w:rPr>
        <w:t>在现场测试确认一般不合规或设计相关性不合规的情况下，器械和放射卫生中心要求组件制造商启动召回程序对违规产品进行纠正。1974年以来，全部或部分基于本合规计划的现场活动启动了65次以上此类召回行动。通过本计划确认的大多数不合规事项是由X射线装配商的不完全或不正确安装所致。不合规事项的首次减少主要来自X射线行业的自发努力。行业的目的是想更好地培训和武装装配商并要求进行系统合规最终测试。为防止连续出现违规安装和进一步减少不合规发生率，有必要采取更强大的监管手段。</w:t>
      </w:r>
      <w:r>
        <w:rPr>
          <w:rFonts w:eastAsia="宋体" w:cs="Arial"/>
        </w:rPr>
        <w:tab/>
      </w:r>
      <w:r>
        <w:rPr>
          <w:rFonts w:eastAsia="宋体" w:cs="Arial"/>
        </w:rPr>
        <w:t>*</w:t>
      </w:r>
    </w:p>
    <w:p w14:paraId="24DC2775">
      <w:pPr>
        <w:spacing w:before="187"/>
        <w:rPr>
          <w:rFonts w:eastAsia="宋体" w:cs="Arial"/>
        </w:rPr>
      </w:pPr>
    </w:p>
    <w:p w14:paraId="6F6C9216">
      <w:pPr>
        <w:spacing w:before="187"/>
        <w:rPr>
          <w:rFonts w:eastAsia="宋体" w:cs="Arial"/>
        </w:rPr>
      </w:pPr>
      <w:r>
        <w:rPr>
          <w:rFonts w:eastAsia="宋体" w:cs="Arial"/>
        </w:rPr>
        <w:br w:type="page"/>
      </w:r>
    </w:p>
    <w:p w14:paraId="01E0C234">
      <w:pPr>
        <w:autoSpaceDE w:val="0"/>
        <w:autoSpaceDN w:val="0"/>
        <w:spacing w:before="0" w:beforeLines="0"/>
        <w:rPr>
          <w:rFonts w:eastAsia="宋体" w:cs="Arial"/>
        </w:rPr>
      </w:pPr>
      <w:r>
        <w:rPr>
          <w:rFonts w:eastAsia="宋体" w:cs="Arial"/>
        </w:rPr>
        <w:t>每次进行常规性合规现场测试时发现存在不合规情况，则会向装配商发出通知函。在通知函中会就每个不合规事项给装配商提出建议并要求逐例采取纠正措施，但不要求提交任何正式召回或纠正行动计划。当制造商继续实施一种模式的违规装配或拒绝纠正援引的违规行为时，可启动监管行动（民事处罚和/或发布禁令）。民事处罚/发布禁令行动所必需的文件编制和检查耗时且增加FDA的资源负担，因此设计了一种可选策略。该策略可单独使用，亦可与民事处罚和/或发布禁令联合使用。该附加策略是一封带有管理区发布之装配商召回令的关于装配商不合规公告的警告函（NC/DOAR）。经过这个过程，装配商的安装计划被FDA视为不合规。根据</w:t>
      </w:r>
      <w:r>
        <w:rPr>
          <w:rFonts w:eastAsia="宋体" w:cs="Arial"/>
          <w:kern w:val="0"/>
          <w:sz w:val="24"/>
          <w:szCs w:val="24"/>
        </w:rPr>
        <w:t>21 CFR 1000.3（n）</w:t>
      </w:r>
      <w:r>
        <w:rPr>
          <w:rFonts w:eastAsia="宋体" w:cs="Arial"/>
        </w:rPr>
        <w:t>，认为装配商即制造商，因此，关于公告不合规的所有法规均适用于装配商。这些法规包括正式的纠正行动计划（CAP）和召回令（</w:t>
      </w:r>
      <w:r>
        <w:rPr>
          <w:rFonts w:eastAsia="宋体" w:cs="Arial"/>
          <w:kern w:val="0"/>
          <w:sz w:val="24"/>
          <w:szCs w:val="24"/>
        </w:rPr>
        <w:t>21 CFR 第1003部和第1004部</w:t>
      </w:r>
      <w:r>
        <w:rPr>
          <w:rFonts w:eastAsia="宋体" w:cs="Arial"/>
        </w:rPr>
        <w:t>）。如果装配商未遵从NC/DOAR，可以未通知和纠正为理由对其处以其它民事处罚（联邦食品、药品及化妆品法案（FFDCA）第538节（a）（2）条款和第539节）。</w:t>
      </w:r>
    </w:p>
    <w:p w14:paraId="770E8D54">
      <w:pPr>
        <w:spacing w:before="187"/>
        <w:rPr>
          <w:rFonts w:eastAsia="宋体" w:cs="Arial"/>
        </w:rPr>
      </w:pPr>
      <w:r>
        <w:rPr>
          <w:rFonts w:eastAsia="宋体" w:cs="Arial"/>
        </w:rPr>
        <w:t>过去仅对FDA拥有现场测试数据或证明文件的系统处以民事处罚。然而，不合规公告过程包括了特定时间范围内适用于进行数据分析和装配商为所有装配活动提供纠正行动计划申请的装配活动。</w:t>
      </w:r>
    </w:p>
    <w:p w14:paraId="271B526A">
      <w:pPr>
        <w:spacing w:before="187"/>
        <w:rPr>
          <w:rFonts w:eastAsia="宋体" w:cs="Arial"/>
        </w:rPr>
      </w:pPr>
      <w:r>
        <w:rPr>
          <w:rFonts w:eastAsia="宋体" w:cs="Arial"/>
        </w:rPr>
        <w:t>该策略是根据装配商所安装系统的一个样本而制订的，因此，对安装少量系统的公司来说，民事处罚仍是首选强制措施。</w:t>
      </w:r>
    </w:p>
    <w:p w14:paraId="4FDCF7C7">
      <w:pPr>
        <w:spacing w:before="187"/>
        <w:rPr>
          <w:rFonts w:eastAsia="宋体" w:cs="Arial"/>
        </w:rPr>
      </w:pPr>
    </w:p>
    <w:p w14:paraId="4A0F2FCC">
      <w:pPr>
        <w:spacing w:before="187"/>
        <w:rPr>
          <w:rFonts w:eastAsia="宋体" w:cs="Arial"/>
        </w:rPr>
        <w:sectPr>
          <w:headerReference r:id="rId13" w:type="first"/>
          <w:footerReference r:id="rId15" w:type="first"/>
          <w:footerReference r:id="rId14" w:type="default"/>
          <w:pgSz w:w="11906" w:h="16838"/>
          <w:pgMar w:top="1418" w:right="1418" w:bottom="1418" w:left="1418" w:header="720" w:footer="720" w:gutter="0"/>
          <w:cols w:space="425" w:num="1"/>
          <w:titlePg/>
          <w:docGrid w:type="lines" w:linePitch="312" w:charSpace="0"/>
        </w:sectPr>
      </w:pPr>
    </w:p>
    <w:p w14:paraId="3698D174">
      <w:pPr>
        <w:spacing w:before="187"/>
        <w:jc w:val="center"/>
        <w:rPr>
          <w:rFonts w:eastAsia="宋体" w:cs="Arial"/>
          <w:u w:val="single"/>
        </w:rPr>
      </w:pPr>
      <w:r>
        <w:rPr>
          <w:rFonts w:eastAsia="宋体" w:cs="Arial"/>
          <w:u w:val="single"/>
        </w:rPr>
        <w:t>第II部分－实施</w:t>
      </w:r>
    </w:p>
    <w:p w14:paraId="0A11DD27">
      <w:pPr>
        <w:spacing w:before="187"/>
        <w:rPr>
          <w:rFonts w:eastAsia="宋体" w:cs="Arial"/>
        </w:rPr>
      </w:pPr>
    </w:p>
    <w:p w14:paraId="7F9DE0C4">
      <w:pPr>
        <w:pStyle w:val="15"/>
        <w:numPr>
          <w:ilvl w:val="0"/>
          <w:numId w:val="7"/>
        </w:numPr>
        <w:tabs>
          <w:tab w:val="left" w:pos="660"/>
        </w:tabs>
        <w:spacing w:before="187"/>
        <w:ind w:left="0" w:firstLine="0" w:firstLineChars="0"/>
        <w:rPr>
          <w:rFonts w:eastAsia="宋体" w:cs="Arial"/>
          <w:u w:val="single"/>
        </w:rPr>
      </w:pPr>
      <w:r>
        <w:rPr>
          <w:rFonts w:eastAsia="宋体" w:cs="Arial"/>
          <w:u w:val="single"/>
        </w:rPr>
        <w:t>目标</w:t>
      </w:r>
    </w:p>
    <w:p w14:paraId="2FC4BEDB">
      <w:pPr>
        <w:spacing w:before="187"/>
        <w:ind w:left="660" w:leftChars="300"/>
        <w:rPr>
          <w:rFonts w:eastAsia="宋体" w:cs="Arial"/>
        </w:rPr>
      </w:pPr>
      <w:r>
        <w:rPr>
          <w:rFonts w:eastAsia="宋体" w:cs="Arial"/>
        </w:rPr>
        <w:t>该连续性、非统计性合规计划旨在：</w:t>
      </w:r>
    </w:p>
    <w:p w14:paraId="1F6BC584">
      <w:pPr>
        <w:pStyle w:val="15"/>
        <w:numPr>
          <w:ilvl w:val="1"/>
          <w:numId w:val="8"/>
        </w:numPr>
        <w:spacing w:before="187"/>
        <w:ind w:left="1320" w:leftChars="300" w:hanging="660" w:hangingChars="300"/>
        <w:rPr>
          <w:rFonts w:eastAsia="宋体" w:cs="Arial"/>
        </w:rPr>
      </w:pPr>
      <w:r>
        <w:rPr>
          <w:rFonts w:eastAsia="宋体" w:cs="Arial"/>
        </w:rPr>
        <w:t>确认未遵从适用性能标准要求的获证诊断用X射线系统。</w:t>
      </w:r>
    </w:p>
    <w:p w14:paraId="7964DC0A">
      <w:pPr>
        <w:pStyle w:val="15"/>
        <w:numPr>
          <w:ilvl w:val="1"/>
          <w:numId w:val="8"/>
        </w:numPr>
        <w:spacing w:before="187"/>
        <w:ind w:left="1320" w:leftChars="300" w:hanging="660" w:hangingChars="300"/>
        <w:rPr>
          <w:rFonts w:eastAsia="宋体" w:cs="Arial"/>
        </w:rPr>
      </w:pPr>
      <w:r>
        <w:rPr>
          <w:rFonts w:eastAsia="宋体" w:cs="Arial"/>
        </w:rPr>
        <w:t>纠正上述（1）确认的不合规系统。</w:t>
      </w:r>
    </w:p>
    <w:p w14:paraId="584AEC9D">
      <w:pPr>
        <w:pStyle w:val="15"/>
        <w:numPr>
          <w:ilvl w:val="1"/>
          <w:numId w:val="8"/>
        </w:numPr>
        <w:spacing w:before="187"/>
        <w:ind w:left="1320" w:leftChars="300" w:hanging="660" w:hangingChars="300"/>
        <w:rPr>
          <w:rFonts w:eastAsia="宋体" w:cs="Arial"/>
        </w:rPr>
      </w:pPr>
      <w:r>
        <w:rPr>
          <w:rFonts w:eastAsia="宋体" w:cs="Arial"/>
        </w:rPr>
        <w:t>确认装配商和制造商对违规X射线安装负责，并适当采取必要的管理/强制措施阻止继续安装不合规产品。</w:t>
      </w:r>
    </w:p>
    <w:p w14:paraId="26CF8384">
      <w:pPr>
        <w:spacing w:before="187"/>
        <w:ind w:left="660" w:leftChars="300"/>
        <w:rPr>
          <w:rFonts w:eastAsia="宋体" w:cs="Arial"/>
        </w:rPr>
      </w:pPr>
      <w:r>
        <w:rPr>
          <w:rFonts w:eastAsia="宋体" w:cs="Arial"/>
        </w:rPr>
        <w:t>本计划主要基于对旨在确认安装地点之装配商认证报告（FDA 2579）的监督与在用户中心对X射线系统所做的现场测试（由FDA和州行政机关工作人员予以实施）。对装配公司的检查主要依靠对现场测试与FDA 2579文件审核所确认的违规事项的随访而得以实施，其目的是记录报告的违规事项并支持诉讼建议。</w:t>
      </w:r>
    </w:p>
    <w:p w14:paraId="3026E3DA">
      <w:pPr>
        <w:pStyle w:val="15"/>
        <w:numPr>
          <w:ilvl w:val="0"/>
          <w:numId w:val="7"/>
        </w:numPr>
        <w:tabs>
          <w:tab w:val="left" w:pos="660"/>
        </w:tabs>
        <w:spacing w:before="187"/>
        <w:ind w:left="0" w:firstLine="0" w:firstLineChars="0"/>
        <w:rPr>
          <w:rFonts w:eastAsia="宋体" w:cs="Arial"/>
          <w:u w:val="single"/>
        </w:rPr>
      </w:pPr>
      <w:r>
        <w:rPr>
          <w:rFonts w:eastAsia="宋体" w:cs="Arial"/>
          <w:u w:val="single"/>
        </w:rPr>
        <w:t>计划管理说明</w:t>
      </w:r>
    </w:p>
    <w:p w14:paraId="307B0708">
      <w:pPr>
        <w:pStyle w:val="15"/>
        <w:numPr>
          <w:ilvl w:val="1"/>
          <w:numId w:val="9"/>
        </w:numPr>
        <w:spacing w:before="187"/>
        <w:ind w:left="1320" w:leftChars="300" w:hanging="660" w:hangingChars="300"/>
        <w:rPr>
          <w:rFonts w:eastAsia="宋体" w:cs="Arial"/>
          <w:u w:val="single"/>
        </w:rPr>
      </w:pPr>
      <w:r>
        <w:rPr>
          <w:rFonts w:eastAsia="宋体" w:cs="Arial"/>
          <w:u w:val="single"/>
        </w:rPr>
        <w:t>资源说明</w:t>
      </w:r>
    </w:p>
    <w:p w14:paraId="5D893CCE">
      <w:pPr>
        <w:spacing w:before="187"/>
        <w:ind w:left="1320" w:leftChars="600"/>
        <w:rPr>
          <w:rFonts w:eastAsia="宋体" w:cs="Arial"/>
        </w:rPr>
      </w:pPr>
      <w:r>
        <w:rPr>
          <w:rFonts w:eastAsia="宋体" w:cs="Arial"/>
        </w:rPr>
        <w:t>管理区办公室与</w:t>
      </w:r>
      <w:r>
        <w:rPr>
          <w:rFonts w:eastAsia="宋体" w:cs="Arial"/>
          <w:kern w:val="0"/>
          <w:sz w:val="24"/>
          <w:szCs w:val="24"/>
        </w:rPr>
        <w:t>CDRH</w:t>
      </w:r>
      <w:r>
        <w:rPr>
          <w:rFonts w:eastAsia="宋体" w:cs="Arial"/>
        </w:rPr>
        <w:t>维护的自动化数据系统间建立了连接。X射线审计员是负责计划有效实施的决定性因素。所有管理区办公室均有直接将现场测试数据输入</w:t>
      </w:r>
      <w:r>
        <w:rPr>
          <w:rFonts w:eastAsia="宋体" w:cs="Arial"/>
          <w:kern w:val="0"/>
          <w:sz w:val="24"/>
          <w:szCs w:val="24"/>
        </w:rPr>
        <w:t>CDRH</w:t>
      </w:r>
      <w:r>
        <w:rPr>
          <w:rFonts w:eastAsia="宋体" w:cs="Arial"/>
        </w:rPr>
        <w:t>数据库的能力并负责及时将数据输入该数据库。如果在数据直接输入方面有任何问题，请与</w:t>
      </w:r>
      <w:r>
        <w:rPr>
          <w:rFonts w:eastAsia="宋体" w:cs="Arial"/>
          <w:kern w:val="0"/>
          <w:sz w:val="24"/>
          <w:szCs w:val="24"/>
        </w:rPr>
        <w:t>CDRH</w:t>
      </w:r>
      <w:r>
        <w:rPr>
          <w:rFonts w:eastAsia="宋体" w:cs="Arial"/>
        </w:rPr>
        <w:t>联系（见附件B）。</w:t>
      </w:r>
    </w:p>
    <w:p w14:paraId="001BC3F0">
      <w:pPr>
        <w:spacing w:before="187"/>
        <w:ind w:left="1320" w:leftChars="600"/>
        <w:rPr>
          <w:rFonts w:eastAsia="宋体" w:cs="Arial"/>
        </w:rPr>
      </w:pPr>
      <w:r>
        <w:rPr>
          <w:rFonts w:eastAsia="宋体" w:cs="Arial"/>
        </w:rPr>
        <w:t>完工管理区审计员负责维护工作人员在本计划框架内开展工作的能力。第III部分A.2节对这些审计员和其它X射线审计员的职能进行了描述。</w:t>
      </w:r>
      <w:r>
        <w:rPr>
          <w:rFonts w:eastAsia="宋体" w:cs="Arial"/>
          <w:u w:val="single"/>
        </w:rPr>
        <w:t>只有依据现场管理指令第125号获得资质的工作人员可以行使审计员职能</w:t>
      </w:r>
      <w:r>
        <w:rPr>
          <w:rFonts w:eastAsia="宋体" w:cs="Arial"/>
        </w:rPr>
        <w:t>（见附件O）。缺乏合格审计员的管理区必须与地区办公室协商从其它管理区借调一位审计员行使审查职能，直至本地的管理区审计员取得资质。可采用在职培训（OJT）方式培训审计员。</w:t>
      </w:r>
    </w:p>
    <w:p w14:paraId="3E93AB5B">
      <w:pPr>
        <w:pStyle w:val="15"/>
        <w:numPr>
          <w:ilvl w:val="0"/>
          <w:numId w:val="5"/>
        </w:numPr>
        <w:spacing w:before="187"/>
        <w:ind w:left="1320" w:leftChars="300" w:hanging="660" w:hangingChars="300"/>
        <w:rPr>
          <w:rFonts w:eastAsia="宋体" w:cs="Arial"/>
        </w:rPr>
      </w:pPr>
      <w:r>
        <w:rPr>
          <w:rFonts w:eastAsia="宋体" w:cs="Arial"/>
        </w:rPr>
        <w:t>诊断用X射线设备的所有现场测试将根据CDRH提供的测试规程予以实施。这些规程均在包含最新补充材料的FDA</w:t>
      </w:r>
      <w:r>
        <w:rPr>
          <w:rFonts w:ascii="宋体" w:hAnsi="宋体" w:eastAsia="宋体" w:cs="Arial"/>
        </w:rPr>
        <w:t>“</w:t>
      </w:r>
      <w:r>
        <w:rPr>
          <w:rFonts w:eastAsia="宋体" w:cs="Arial"/>
        </w:rPr>
        <w:t>适用于</w:t>
      </w:r>
      <w:r>
        <w:rPr>
          <w:rFonts w:eastAsia="宋体" w:cs="Arial"/>
          <w:kern w:val="0"/>
          <w:sz w:val="24"/>
          <w:szCs w:val="24"/>
        </w:rPr>
        <w:t>21 CFRJ分章之</w:t>
      </w:r>
      <w:r>
        <w:rPr>
          <w:rFonts w:eastAsia="宋体" w:cs="Arial"/>
        </w:rPr>
        <w:t>诊断用X射线系统或其组件的常规合规测试</w:t>
      </w:r>
      <w:r>
        <w:rPr>
          <w:rFonts w:ascii="宋体" w:hAnsi="宋体" w:eastAsia="宋体" w:cs="Arial"/>
        </w:rPr>
        <w:t>”</w:t>
      </w:r>
      <w:r>
        <w:rPr>
          <w:rFonts w:eastAsia="宋体" w:cs="Arial"/>
        </w:rPr>
        <w:t>手册（参考文件4）中。只有经过专门培训的现场检验员才能从事X射线现场测试。此类培训可包括一个X射线测量技术正式课程或地区放射卫生代表安排的内部培训，但此类培训必须包括由1名有资质审计员提供的在职培训，其中最少应包括3个台上放射摄影测试规程、3个台下透视测试规程和4个其它类型系统的附加测试。</w:t>
      </w:r>
      <w:r>
        <w:rPr>
          <w:rFonts w:eastAsia="宋体" w:cs="Arial"/>
        </w:rPr>
        <w:br w:type="page"/>
      </w:r>
    </w:p>
    <w:p w14:paraId="31B6598A">
      <w:pPr>
        <w:spacing w:before="187"/>
        <w:ind w:left="1320" w:leftChars="600"/>
        <w:rPr>
          <w:rFonts w:eastAsia="宋体" w:cs="Arial"/>
        </w:rPr>
      </w:pPr>
      <w:r>
        <w:rPr>
          <w:rFonts w:eastAsia="宋体" w:cs="Arial"/>
        </w:rPr>
        <w:t>FDA从事或参与现场测试的所有工作人员均应佩戴由WEAC的现场卫生物理学家签发的工作人员辐射剂量计。州行政机关工作人员应使用其州计划提供的工作人员辐射剂量计。</w:t>
      </w:r>
    </w:p>
    <w:p w14:paraId="70825809">
      <w:pPr>
        <w:spacing w:before="187"/>
        <w:ind w:left="1320" w:leftChars="600"/>
        <w:rPr>
          <w:rFonts w:eastAsia="宋体" w:cs="Arial"/>
        </w:rPr>
      </w:pPr>
      <w:r>
        <w:rPr>
          <w:rFonts w:eastAsia="宋体" w:cs="Arial"/>
        </w:rPr>
        <w:t>CDRH要求采用XRAYAPSY系统直接输入现场测试数据并强烈支持适用于所有管理区的在线交互式计算机存取。CDRH提供常规和/或特殊报告（要求）支持本合规计划。关于潜在测试位置、装配商不合规倾向和装配商报告之信息便于查阅，应通过X射线审计员获取这些信息。</w:t>
      </w:r>
    </w:p>
    <w:p w14:paraId="31E3743C">
      <w:pPr>
        <w:pStyle w:val="15"/>
        <w:numPr>
          <w:ilvl w:val="1"/>
          <w:numId w:val="9"/>
        </w:numPr>
        <w:spacing w:before="187"/>
        <w:ind w:left="1320" w:leftChars="300" w:hanging="660" w:hangingChars="300"/>
        <w:rPr>
          <w:rFonts w:eastAsia="宋体" w:cs="Arial"/>
          <w:u w:val="single"/>
        </w:rPr>
      </w:pPr>
      <w:r>
        <w:rPr>
          <w:rFonts w:eastAsia="宋体" w:cs="Arial"/>
          <w:u w:val="single"/>
        </w:rPr>
        <w:t>方案说明</w:t>
      </w:r>
    </w:p>
    <w:p w14:paraId="21E0DD1A">
      <w:pPr>
        <w:spacing w:before="187"/>
        <w:ind w:left="1320" w:leftChars="600"/>
        <w:rPr>
          <w:rFonts w:eastAsia="宋体" w:cs="Arial"/>
        </w:rPr>
      </w:pPr>
      <w:r>
        <w:rPr>
          <w:rFonts w:eastAsia="宋体" w:cs="Arial"/>
        </w:rPr>
        <w:t>每个管理区应制定一个策略：</w:t>
      </w:r>
    </w:p>
    <w:p w14:paraId="5415B0E8">
      <w:pPr>
        <w:pStyle w:val="15"/>
        <w:numPr>
          <w:ilvl w:val="2"/>
          <w:numId w:val="10"/>
        </w:numPr>
        <w:spacing w:before="187"/>
        <w:ind w:left="1980" w:leftChars="600" w:hanging="660" w:hangingChars="300"/>
        <w:rPr>
          <w:rFonts w:eastAsia="宋体" w:cs="Arial"/>
        </w:rPr>
      </w:pPr>
      <w:r>
        <w:rPr>
          <w:rFonts w:eastAsia="宋体" w:cs="Arial"/>
        </w:rPr>
        <w:t>对拥有最大数量不合规安装事项和最高不合规事项发生率（即具有最大的负面公共卫生影响）的装配商以及怀疑存在未报告安装的装配商，集中精力开展与其问题相当的更多现场测试和特殊监督。</w:t>
      </w:r>
    </w:p>
    <w:p w14:paraId="76C53846">
      <w:pPr>
        <w:pStyle w:val="15"/>
        <w:numPr>
          <w:ilvl w:val="2"/>
          <w:numId w:val="10"/>
        </w:numPr>
        <w:spacing w:before="187"/>
        <w:ind w:left="1980" w:leftChars="600" w:hanging="660" w:hangingChars="300"/>
        <w:rPr>
          <w:rFonts w:eastAsia="宋体" w:cs="Arial"/>
        </w:rPr>
      </w:pPr>
      <w:r>
        <w:rPr>
          <w:rFonts w:eastAsia="宋体" w:cs="Arial"/>
        </w:rPr>
        <w:t>必要时，根据</w:t>
      </w:r>
      <w:r>
        <w:rPr>
          <w:rFonts w:eastAsia="宋体" w:cs="Arial"/>
          <w:kern w:val="0"/>
          <w:sz w:val="24"/>
          <w:szCs w:val="24"/>
        </w:rPr>
        <w:t>CPG 7133.12</w:t>
      </w:r>
      <w:r>
        <w:rPr>
          <w:rFonts w:eastAsia="宋体" w:cs="Arial"/>
        </w:rPr>
        <w:t>编制诉讼案例，指导此类违规装配商达到合规要求。</w:t>
      </w:r>
    </w:p>
    <w:p w14:paraId="4C736FD2">
      <w:pPr>
        <w:spacing w:before="187"/>
        <w:ind w:left="1320" w:leftChars="600"/>
        <w:rPr>
          <w:rFonts w:eastAsia="宋体" w:cs="Arial"/>
        </w:rPr>
      </w:pPr>
      <w:r>
        <w:rPr>
          <w:rFonts w:eastAsia="宋体" w:cs="Arial"/>
        </w:rPr>
        <w:t>对于在其产地管理区之外从事安装的装配商，FDA的产地管理区和完工管理区必须建立强有力的联系，以便对装配商进行监督并收集证据。FDA的完工管理区将准备和签发所有无标题信函、审核对无标题信函的回复并针对这些回复更新现场纠正行动报告数据库。FDA的产地管理区将准备所有警告函和监管行动建议。FDA的产地管理区将审核对警告函的回复并针对这些回复更新现场纠正行动报告数据库。</w:t>
      </w:r>
    </w:p>
    <w:p w14:paraId="71F8AE6D">
      <w:pPr>
        <w:spacing w:before="187"/>
        <w:ind w:left="1320" w:leftChars="600"/>
        <w:rPr>
          <w:rFonts w:eastAsia="宋体" w:cs="Arial"/>
        </w:rPr>
      </w:pPr>
      <w:r>
        <w:rPr>
          <w:rFonts w:eastAsia="宋体" w:cs="Arial"/>
        </w:rPr>
        <w:t>对于持有与州行政机关签订的合同或存在合作测试关系的管理区，适当情况下，管理区办公室将通过</w:t>
      </w:r>
      <w:r>
        <w:rPr>
          <w:rFonts w:eastAsia="宋体" w:cs="Arial"/>
          <w:kern w:val="0"/>
          <w:sz w:val="24"/>
          <w:szCs w:val="24"/>
        </w:rPr>
        <w:t>RRHR对</w:t>
      </w:r>
      <w:r>
        <w:rPr>
          <w:rFonts w:eastAsia="宋体" w:cs="Arial"/>
        </w:rPr>
        <w:t>问题装配商开展州行政测试工作（参考第II部分B.5－</w:t>
      </w:r>
      <w:r>
        <w:rPr>
          <w:rFonts w:eastAsia="宋体" w:cs="Arial"/>
          <w:kern w:val="0"/>
          <w:sz w:val="24"/>
          <w:szCs w:val="24"/>
        </w:rPr>
        <w:t>RRHR</w:t>
      </w:r>
      <w:r>
        <w:rPr>
          <w:rFonts w:eastAsia="宋体" w:cs="Arial"/>
        </w:rPr>
        <w:t>管理活动）。</w:t>
      </w:r>
    </w:p>
    <w:p w14:paraId="4F0F9361">
      <w:pPr>
        <w:spacing w:before="187"/>
        <w:ind w:left="1320" w:leftChars="600"/>
        <w:rPr>
          <w:rFonts w:eastAsia="宋体" w:cs="Arial"/>
        </w:rPr>
      </w:pPr>
      <w:r>
        <w:rPr>
          <w:rFonts w:eastAsia="宋体" w:cs="Arial"/>
        </w:rPr>
        <w:t>现场测试的优先顺序是：</w:t>
      </w:r>
    </w:p>
    <w:p w14:paraId="4AA1E9B6">
      <w:pPr>
        <w:spacing w:before="187"/>
        <w:ind w:left="1980" w:leftChars="600" w:hanging="660" w:hangingChars="300"/>
        <w:rPr>
          <w:rFonts w:eastAsia="宋体" w:cs="Arial"/>
        </w:rPr>
      </w:pPr>
      <w:r>
        <w:rPr>
          <w:rFonts w:eastAsia="宋体" w:cs="Arial"/>
        </w:rPr>
        <w:t>（1）</w:t>
      </w:r>
      <w:r>
        <w:rPr>
          <w:rFonts w:eastAsia="宋体" w:cs="Arial"/>
        </w:rPr>
        <w:tab/>
      </w:r>
      <w:r>
        <w:rPr>
          <w:rFonts w:eastAsia="宋体" w:cs="Arial"/>
        </w:rPr>
        <w:t>在CDRH的常规报告中确认的不合规事项发生率最高的问题装配商。</w:t>
      </w:r>
    </w:p>
    <w:p w14:paraId="68D02281">
      <w:pPr>
        <w:spacing w:before="187"/>
        <w:rPr>
          <w:rFonts w:eastAsia="宋体" w:cs="Arial"/>
        </w:rPr>
      </w:pPr>
      <w:r>
        <w:rPr>
          <w:rFonts w:eastAsia="宋体" w:cs="Arial"/>
        </w:rPr>
        <w:br w:type="page"/>
      </w:r>
    </w:p>
    <w:p w14:paraId="7CEF053F">
      <w:pPr>
        <w:spacing w:before="187"/>
        <w:ind w:left="1980" w:leftChars="600" w:hanging="660" w:hangingChars="300"/>
        <w:rPr>
          <w:rFonts w:eastAsia="宋体" w:cs="Arial"/>
        </w:rPr>
      </w:pPr>
      <w:r>
        <w:rPr>
          <w:rFonts w:eastAsia="宋体" w:cs="Arial"/>
        </w:rPr>
        <w:t>（2）</w:t>
      </w:r>
      <w:r>
        <w:rPr>
          <w:rFonts w:eastAsia="宋体" w:cs="Arial"/>
        </w:rPr>
        <w:tab/>
      </w:r>
      <w:r>
        <w:rPr>
          <w:rFonts w:eastAsia="宋体" w:cs="Arial"/>
        </w:rPr>
        <w:t>该管理区已知的其它问题装配商。</w:t>
      </w:r>
    </w:p>
    <w:p w14:paraId="197CD2EF">
      <w:pPr>
        <w:spacing w:before="187"/>
        <w:ind w:left="1980" w:leftChars="600" w:hanging="660" w:hangingChars="300"/>
        <w:rPr>
          <w:rFonts w:eastAsia="宋体" w:cs="Arial"/>
        </w:rPr>
      </w:pPr>
      <w:r>
        <w:rPr>
          <w:rFonts w:eastAsia="宋体" w:cs="Arial"/>
        </w:rPr>
        <w:t>（3）</w:t>
      </w:r>
      <w:r>
        <w:rPr>
          <w:rFonts w:eastAsia="宋体" w:cs="Arial"/>
        </w:rPr>
        <w:tab/>
      </w:r>
      <w:r>
        <w:rPr>
          <w:rFonts w:eastAsia="宋体" w:cs="Arial"/>
        </w:rPr>
        <w:t>放射摄影和透视系统安装量较大但已测试系统较少的装配商。</w:t>
      </w:r>
    </w:p>
    <w:p w14:paraId="25EAAEA9">
      <w:pPr>
        <w:tabs>
          <w:tab w:val="left" w:pos="1320"/>
          <w:tab w:val="left" w:pos="1980"/>
        </w:tabs>
        <w:spacing w:before="187"/>
        <w:rPr>
          <w:rFonts w:eastAsia="宋体" w:cs="Arial"/>
        </w:rPr>
      </w:pPr>
      <w:r>
        <w:rPr>
          <w:rFonts w:eastAsia="宋体" w:cs="Arial"/>
        </w:rPr>
        <w:t>*</w:t>
      </w:r>
      <w:r>
        <w:rPr>
          <w:rFonts w:eastAsia="宋体" w:cs="Arial"/>
        </w:rPr>
        <w:tab/>
      </w:r>
      <w:r>
        <w:rPr>
          <w:rFonts w:eastAsia="宋体" w:cs="Arial"/>
        </w:rPr>
        <w:t>（4）</w:t>
      </w:r>
      <w:r>
        <w:rPr>
          <w:rFonts w:eastAsia="宋体" w:cs="Arial"/>
        </w:rPr>
        <w:tab/>
      </w:r>
      <w:r>
        <w:rPr>
          <w:rFonts w:eastAsia="宋体" w:cs="Arial"/>
        </w:rPr>
        <w:t>放射摄影和透视系统的新装配商。</w:t>
      </w:r>
    </w:p>
    <w:p w14:paraId="6528C263">
      <w:pPr>
        <w:spacing w:before="187"/>
        <w:ind w:left="1980" w:leftChars="600" w:hanging="660" w:hangingChars="300"/>
        <w:rPr>
          <w:rFonts w:eastAsia="宋体" w:cs="Arial"/>
        </w:rPr>
      </w:pPr>
      <w:r>
        <w:rPr>
          <w:rFonts w:eastAsia="宋体" w:cs="Arial"/>
        </w:rPr>
        <w:t>（5）</w:t>
      </w:r>
      <w:r>
        <w:rPr>
          <w:rFonts w:eastAsia="宋体" w:cs="Arial"/>
        </w:rPr>
        <w:tab/>
      </w:r>
      <w:r>
        <w:rPr>
          <w:rFonts w:eastAsia="宋体" w:cs="Arial"/>
          <w:spacing w:val="-2"/>
        </w:rPr>
        <w:t>对随机选择的放射摄影和透视系统的常规测试（包括重新安装的系统）。*</w:t>
      </w:r>
    </w:p>
    <w:p w14:paraId="0DE9EC51">
      <w:pPr>
        <w:spacing w:before="187"/>
        <w:ind w:left="1980" w:leftChars="600" w:hanging="660" w:hangingChars="300"/>
        <w:rPr>
          <w:rFonts w:eastAsia="宋体" w:cs="Arial"/>
        </w:rPr>
      </w:pPr>
      <w:r>
        <w:rPr>
          <w:rFonts w:eastAsia="宋体" w:cs="Arial"/>
        </w:rPr>
        <w:t>（6）</w:t>
      </w:r>
      <w:r>
        <w:rPr>
          <w:rFonts w:eastAsia="宋体" w:cs="Arial"/>
        </w:rPr>
        <w:tab/>
      </w:r>
      <w:r>
        <w:rPr>
          <w:rFonts w:eastAsia="宋体" w:cs="Arial"/>
        </w:rPr>
        <w:t>因培训或CDRH要求，偶尔对牙科和移动X射线系统进行的测试。除获得CDRH授权外，本计划将不对乳房摄影设备进行测试。乳房摄影质量标准法案的测试计划将覆盖乳房摄影设备。</w:t>
      </w:r>
    </w:p>
    <w:p w14:paraId="572CBFF5">
      <w:pPr>
        <w:pStyle w:val="15"/>
        <w:numPr>
          <w:ilvl w:val="1"/>
          <w:numId w:val="9"/>
        </w:numPr>
        <w:spacing w:before="187"/>
        <w:ind w:left="1320" w:leftChars="300" w:hanging="660" w:hangingChars="300"/>
        <w:rPr>
          <w:rFonts w:eastAsia="宋体" w:cs="Arial"/>
          <w:u w:val="single"/>
        </w:rPr>
      </w:pPr>
      <w:r>
        <w:rPr>
          <w:rFonts w:eastAsia="宋体" w:cs="Arial"/>
          <w:u w:val="single"/>
        </w:rPr>
        <w:t>诉讼案例编制</w:t>
      </w:r>
    </w:p>
    <w:p w14:paraId="612E5548">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针对X射线装配商的主要强制机制是民事处罚，该处罚是管理区或地区要求装配商召回不合规公告（NC/DOAR）的备选强制机制。在合规政策指南第7133.12节（包含经过修订的备选强制机制）和第7133.23节以及监管规程手册（RPM）第6章中为编制案例建议提供了指南。尽管RPM指出所有性能标准违规行为中均存在不明显的健康危害，但此次仅对证明不仅只有一项低健康危害的现场测试批准此类诉讼（见附件D）。如果违规事项继续发生，装配商在收到NC/DOAR警告函或被迫接受民事处罚后，将会考虑对其采取进一步的诉讼行动（即发布禁令和进一步的民事处罚）。</w:t>
      </w:r>
      <w:r>
        <w:rPr>
          <w:rFonts w:eastAsia="宋体" w:cs="Arial"/>
        </w:rPr>
        <w:tab/>
      </w:r>
      <w:r>
        <w:rPr>
          <w:rFonts w:eastAsia="宋体" w:cs="Arial"/>
        </w:rPr>
        <w:t>*</w:t>
      </w:r>
    </w:p>
    <w:p w14:paraId="749AF1C5">
      <w:pPr>
        <w:spacing w:before="187"/>
        <w:ind w:left="1320" w:leftChars="600"/>
        <w:rPr>
          <w:rFonts w:eastAsia="宋体" w:cs="Arial"/>
        </w:rPr>
      </w:pPr>
      <w:r>
        <w:rPr>
          <w:rFonts w:eastAsia="宋体" w:cs="Arial"/>
        </w:rPr>
        <w:t>与单一违规检查报告或样品即可触发诉讼需求的某些FDA计划不同，针对X射线装配商的诉讼最常被一种模式的违规现场测试触发。对具体现场测试或通知函进行监督通常不能发现此种模式的违规事项。为监督装配商的不合规倾向，需由X射线审计员实施特别管理区记录保管或使用CDRH的计算机数据库。</w:t>
      </w:r>
    </w:p>
    <w:p w14:paraId="51121D97">
      <w:pPr>
        <w:spacing w:before="187"/>
        <w:ind w:left="1320" w:leftChars="600"/>
        <w:rPr>
          <w:rFonts w:eastAsia="宋体" w:cs="Arial"/>
        </w:rPr>
      </w:pPr>
      <w:r>
        <w:rPr>
          <w:rFonts w:eastAsia="宋体" w:cs="Arial"/>
        </w:rPr>
        <w:t>CDRH（HFZ-240）将对NC/DOAR警告函提出的建议进行审核。对在列举的时间框架内（不超过2年）安装系统数少于16个的装配商来说，当符合CPG 7133.12的条件时，民事处罚是强制性选项。下面列出的表I将用作不合规公告的标准。</w:t>
      </w:r>
    </w:p>
    <w:p w14:paraId="386B3E40">
      <w:pPr>
        <w:spacing w:before="187"/>
        <w:ind w:left="1320" w:leftChars="600"/>
        <w:jc w:val="center"/>
        <w:rPr>
          <w:rFonts w:eastAsia="宋体" w:cs="Arial"/>
          <w:u w:val="single"/>
        </w:rPr>
      </w:pPr>
      <w:r>
        <w:rPr>
          <w:rFonts w:eastAsia="宋体" w:cs="Arial"/>
          <w:u w:val="single"/>
        </w:rPr>
        <w:t>表I</w:t>
      </w:r>
    </w:p>
    <w:tbl>
      <w:tblPr>
        <w:tblStyle w:val="8"/>
        <w:tblW w:w="8080"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2693"/>
        <w:gridCol w:w="1560"/>
        <w:gridCol w:w="2551"/>
      </w:tblGrid>
      <w:tr w14:paraId="6948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08B71E0A">
            <w:pPr>
              <w:spacing w:before="187"/>
              <w:jc w:val="center"/>
              <w:rPr>
                <w:rFonts w:eastAsia="宋体" w:cs="Arial"/>
                <w:u w:val="single"/>
              </w:rPr>
            </w:pPr>
            <w:r>
              <w:rPr>
                <w:rFonts w:eastAsia="宋体" w:cs="Arial"/>
                <w:u w:val="single"/>
              </w:rPr>
              <w:t>安装数</w:t>
            </w:r>
          </w:p>
        </w:tc>
        <w:tc>
          <w:tcPr>
            <w:tcW w:w="2693" w:type="dxa"/>
          </w:tcPr>
          <w:p w14:paraId="43A51683">
            <w:pPr>
              <w:spacing w:before="187"/>
              <w:jc w:val="center"/>
              <w:rPr>
                <w:rFonts w:eastAsia="宋体" w:cs="Arial"/>
                <w:u w:val="single"/>
              </w:rPr>
            </w:pPr>
            <w:r>
              <w:rPr>
                <w:rFonts w:eastAsia="宋体" w:cs="Arial"/>
                <w:u w:val="single"/>
              </w:rPr>
              <w:t>被测数</w:t>
            </w:r>
          </w:p>
        </w:tc>
        <w:tc>
          <w:tcPr>
            <w:tcW w:w="1560" w:type="dxa"/>
          </w:tcPr>
          <w:p w14:paraId="3E67458D">
            <w:pPr>
              <w:spacing w:before="187"/>
              <w:jc w:val="center"/>
              <w:rPr>
                <w:rFonts w:eastAsia="宋体" w:cs="Arial"/>
                <w:u w:val="single"/>
              </w:rPr>
            </w:pPr>
            <w:r>
              <w:rPr>
                <w:rFonts w:eastAsia="宋体" w:cs="Arial"/>
                <w:u w:val="single"/>
              </w:rPr>
              <w:t>不合规数</w:t>
            </w:r>
          </w:p>
        </w:tc>
        <w:tc>
          <w:tcPr>
            <w:tcW w:w="2551" w:type="dxa"/>
          </w:tcPr>
          <w:p w14:paraId="5FAEA8CE">
            <w:pPr>
              <w:spacing w:before="187"/>
              <w:jc w:val="center"/>
              <w:rPr>
                <w:rFonts w:eastAsia="宋体" w:cs="Arial"/>
                <w:u w:val="single"/>
              </w:rPr>
            </w:pPr>
            <w:r>
              <w:rPr>
                <w:rFonts w:eastAsia="宋体" w:cs="Arial"/>
                <w:u w:val="single"/>
              </w:rPr>
              <w:t>不合规率（％）</w:t>
            </w:r>
          </w:p>
        </w:tc>
      </w:tr>
      <w:tr w14:paraId="78B7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7774AE04">
            <w:pPr>
              <w:spacing w:before="187"/>
              <w:jc w:val="center"/>
              <w:rPr>
                <w:rFonts w:eastAsia="宋体" w:cs="Arial"/>
              </w:rPr>
            </w:pPr>
            <w:r>
              <w:rPr>
                <w:rFonts w:eastAsia="宋体" w:cs="Arial"/>
              </w:rPr>
              <w:t>＜16</w:t>
            </w:r>
          </w:p>
        </w:tc>
        <w:tc>
          <w:tcPr>
            <w:tcW w:w="2693" w:type="dxa"/>
          </w:tcPr>
          <w:p w14:paraId="79C5C592">
            <w:pPr>
              <w:spacing w:before="187"/>
              <w:jc w:val="center"/>
              <w:rPr>
                <w:rFonts w:eastAsia="宋体" w:cs="Arial"/>
              </w:rPr>
            </w:pPr>
            <w:r>
              <w:rPr>
                <w:rFonts w:eastAsia="宋体" w:cs="Arial"/>
              </w:rPr>
              <w:t>参考CPG 7133.12 B段</w:t>
            </w:r>
          </w:p>
        </w:tc>
        <w:tc>
          <w:tcPr>
            <w:tcW w:w="1560" w:type="dxa"/>
          </w:tcPr>
          <w:p w14:paraId="46708CE2">
            <w:pPr>
              <w:spacing w:before="187"/>
              <w:jc w:val="center"/>
              <w:rPr>
                <w:rFonts w:eastAsia="宋体" w:cs="Arial"/>
              </w:rPr>
            </w:pPr>
          </w:p>
        </w:tc>
        <w:tc>
          <w:tcPr>
            <w:tcW w:w="2551" w:type="dxa"/>
          </w:tcPr>
          <w:p w14:paraId="7EEF5113">
            <w:pPr>
              <w:spacing w:before="187"/>
              <w:jc w:val="center"/>
              <w:rPr>
                <w:rFonts w:eastAsia="宋体" w:cs="Arial"/>
              </w:rPr>
            </w:pPr>
          </w:p>
        </w:tc>
      </w:tr>
      <w:tr w14:paraId="41A2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260AC497">
            <w:pPr>
              <w:spacing w:before="187"/>
              <w:jc w:val="center"/>
              <w:rPr>
                <w:rFonts w:eastAsia="宋体" w:cs="Arial"/>
              </w:rPr>
            </w:pPr>
            <w:r>
              <w:rPr>
                <w:rFonts w:eastAsia="宋体" w:cs="Arial"/>
              </w:rPr>
              <w:t>16-25</w:t>
            </w:r>
          </w:p>
        </w:tc>
        <w:tc>
          <w:tcPr>
            <w:tcW w:w="2693" w:type="dxa"/>
          </w:tcPr>
          <w:p w14:paraId="3746F8D8">
            <w:pPr>
              <w:spacing w:before="187"/>
              <w:jc w:val="center"/>
              <w:rPr>
                <w:rFonts w:eastAsia="宋体" w:cs="Arial"/>
              </w:rPr>
            </w:pPr>
            <w:r>
              <w:rPr>
                <w:rFonts w:eastAsia="宋体" w:cs="Arial"/>
              </w:rPr>
              <w:t>5</w:t>
            </w:r>
          </w:p>
        </w:tc>
        <w:tc>
          <w:tcPr>
            <w:tcW w:w="1560" w:type="dxa"/>
          </w:tcPr>
          <w:p w14:paraId="0290BD96">
            <w:pPr>
              <w:spacing w:before="187"/>
              <w:jc w:val="center"/>
              <w:rPr>
                <w:rFonts w:eastAsia="宋体" w:cs="Arial"/>
              </w:rPr>
            </w:pPr>
            <w:r>
              <w:rPr>
                <w:rFonts w:eastAsia="宋体" w:cs="Arial"/>
              </w:rPr>
              <w:t>≥2</w:t>
            </w:r>
          </w:p>
        </w:tc>
        <w:tc>
          <w:tcPr>
            <w:tcW w:w="2551" w:type="dxa"/>
          </w:tcPr>
          <w:p w14:paraId="0586D414">
            <w:pPr>
              <w:spacing w:before="187"/>
              <w:jc w:val="center"/>
              <w:rPr>
                <w:rFonts w:eastAsia="宋体" w:cs="Arial"/>
              </w:rPr>
            </w:pPr>
            <w:r>
              <w:rPr>
                <w:rFonts w:eastAsia="宋体" w:cs="Arial"/>
              </w:rPr>
              <w:t>40</w:t>
            </w:r>
          </w:p>
        </w:tc>
      </w:tr>
      <w:tr w14:paraId="307A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4B38E295">
            <w:pPr>
              <w:spacing w:before="187"/>
              <w:jc w:val="center"/>
              <w:rPr>
                <w:rFonts w:eastAsia="宋体" w:cs="Arial"/>
              </w:rPr>
            </w:pPr>
            <w:r>
              <w:rPr>
                <w:rFonts w:eastAsia="宋体" w:cs="Arial"/>
              </w:rPr>
              <w:t>26-50</w:t>
            </w:r>
          </w:p>
        </w:tc>
        <w:tc>
          <w:tcPr>
            <w:tcW w:w="2693" w:type="dxa"/>
          </w:tcPr>
          <w:p w14:paraId="014D80A7">
            <w:pPr>
              <w:spacing w:before="187"/>
              <w:jc w:val="center"/>
              <w:rPr>
                <w:rFonts w:eastAsia="宋体" w:cs="Arial"/>
              </w:rPr>
            </w:pPr>
            <w:r>
              <w:rPr>
                <w:rFonts w:eastAsia="宋体" w:cs="Arial"/>
              </w:rPr>
              <w:t>8</w:t>
            </w:r>
          </w:p>
        </w:tc>
        <w:tc>
          <w:tcPr>
            <w:tcW w:w="1560" w:type="dxa"/>
          </w:tcPr>
          <w:p w14:paraId="623DB609">
            <w:pPr>
              <w:spacing w:before="187"/>
              <w:jc w:val="center"/>
              <w:rPr>
                <w:rFonts w:eastAsia="宋体" w:cs="Arial"/>
              </w:rPr>
            </w:pPr>
            <w:r>
              <w:rPr>
                <w:rFonts w:eastAsia="宋体" w:cs="Arial"/>
              </w:rPr>
              <w:t>≥3</w:t>
            </w:r>
          </w:p>
        </w:tc>
        <w:tc>
          <w:tcPr>
            <w:tcW w:w="2551" w:type="dxa"/>
          </w:tcPr>
          <w:p w14:paraId="7D449C60">
            <w:pPr>
              <w:spacing w:before="187"/>
              <w:jc w:val="center"/>
              <w:rPr>
                <w:rFonts w:eastAsia="宋体" w:cs="Arial"/>
              </w:rPr>
            </w:pPr>
            <w:r>
              <w:rPr>
                <w:rFonts w:eastAsia="宋体" w:cs="Arial"/>
              </w:rPr>
              <w:t>37.5</w:t>
            </w:r>
          </w:p>
        </w:tc>
      </w:tr>
      <w:tr w14:paraId="7C7D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2E69FF46">
            <w:pPr>
              <w:spacing w:before="187"/>
              <w:jc w:val="center"/>
              <w:rPr>
                <w:rFonts w:eastAsia="宋体" w:cs="Arial"/>
              </w:rPr>
            </w:pPr>
            <w:r>
              <w:rPr>
                <w:rFonts w:eastAsia="宋体" w:cs="Arial"/>
              </w:rPr>
              <w:t>51-90</w:t>
            </w:r>
          </w:p>
        </w:tc>
        <w:tc>
          <w:tcPr>
            <w:tcW w:w="2693" w:type="dxa"/>
          </w:tcPr>
          <w:p w14:paraId="27299144">
            <w:pPr>
              <w:spacing w:before="187"/>
              <w:jc w:val="center"/>
              <w:rPr>
                <w:rFonts w:eastAsia="宋体" w:cs="Arial"/>
              </w:rPr>
            </w:pPr>
            <w:r>
              <w:rPr>
                <w:rFonts w:eastAsia="宋体" w:cs="Arial"/>
              </w:rPr>
              <w:t>13</w:t>
            </w:r>
          </w:p>
        </w:tc>
        <w:tc>
          <w:tcPr>
            <w:tcW w:w="1560" w:type="dxa"/>
          </w:tcPr>
          <w:p w14:paraId="34C3C790">
            <w:pPr>
              <w:spacing w:before="187"/>
              <w:jc w:val="center"/>
              <w:rPr>
                <w:rFonts w:eastAsia="宋体" w:cs="Arial"/>
              </w:rPr>
            </w:pPr>
            <w:r>
              <w:rPr>
                <w:rFonts w:eastAsia="宋体" w:cs="Arial"/>
              </w:rPr>
              <w:t>≥4</w:t>
            </w:r>
          </w:p>
        </w:tc>
        <w:tc>
          <w:tcPr>
            <w:tcW w:w="2551" w:type="dxa"/>
          </w:tcPr>
          <w:p w14:paraId="732A2251">
            <w:pPr>
              <w:spacing w:before="187"/>
              <w:jc w:val="center"/>
              <w:rPr>
                <w:rFonts w:eastAsia="宋体" w:cs="Arial"/>
              </w:rPr>
            </w:pPr>
            <w:r>
              <w:rPr>
                <w:rFonts w:eastAsia="宋体" w:cs="Arial"/>
              </w:rPr>
              <w:t>30.8</w:t>
            </w:r>
          </w:p>
        </w:tc>
      </w:tr>
      <w:tr w14:paraId="2ED6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5CD73C8B">
            <w:pPr>
              <w:spacing w:before="187"/>
              <w:jc w:val="center"/>
              <w:rPr>
                <w:rFonts w:eastAsia="宋体" w:cs="Arial"/>
              </w:rPr>
            </w:pPr>
            <w:r>
              <w:rPr>
                <w:rFonts w:eastAsia="宋体" w:cs="Arial"/>
              </w:rPr>
              <w:t>91-150</w:t>
            </w:r>
          </w:p>
        </w:tc>
        <w:tc>
          <w:tcPr>
            <w:tcW w:w="2693" w:type="dxa"/>
          </w:tcPr>
          <w:p w14:paraId="4E179843">
            <w:pPr>
              <w:spacing w:before="187"/>
              <w:jc w:val="center"/>
              <w:rPr>
                <w:rFonts w:eastAsia="宋体" w:cs="Arial"/>
              </w:rPr>
            </w:pPr>
            <w:r>
              <w:rPr>
                <w:rFonts w:eastAsia="宋体" w:cs="Arial"/>
              </w:rPr>
              <w:t>20</w:t>
            </w:r>
          </w:p>
        </w:tc>
        <w:tc>
          <w:tcPr>
            <w:tcW w:w="1560" w:type="dxa"/>
          </w:tcPr>
          <w:p w14:paraId="7C45A70F">
            <w:pPr>
              <w:spacing w:before="187"/>
              <w:jc w:val="center"/>
              <w:rPr>
                <w:rFonts w:eastAsia="宋体" w:cs="Arial"/>
              </w:rPr>
            </w:pPr>
            <w:r>
              <w:rPr>
                <w:rFonts w:eastAsia="宋体" w:cs="Arial"/>
              </w:rPr>
              <w:t>≥6</w:t>
            </w:r>
          </w:p>
        </w:tc>
        <w:tc>
          <w:tcPr>
            <w:tcW w:w="2551" w:type="dxa"/>
          </w:tcPr>
          <w:p w14:paraId="090FFEF4">
            <w:pPr>
              <w:spacing w:before="187"/>
              <w:jc w:val="center"/>
              <w:rPr>
                <w:rFonts w:eastAsia="宋体" w:cs="Arial"/>
              </w:rPr>
            </w:pPr>
            <w:r>
              <w:rPr>
                <w:rFonts w:eastAsia="宋体" w:cs="Arial"/>
              </w:rPr>
              <w:t>30</w:t>
            </w:r>
          </w:p>
        </w:tc>
      </w:tr>
      <w:tr w14:paraId="0A30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0E28123D">
            <w:pPr>
              <w:spacing w:before="187"/>
              <w:jc w:val="center"/>
              <w:rPr>
                <w:rFonts w:eastAsia="宋体" w:cs="Arial"/>
              </w:rPr>
            </w:pPr>
            <w:r>
              <w:rPr>
                <w:rFonts w:eastAsia="宋体" w:cs="Arial"/>
              </w:rPr>
              <w:t>151-280</w:t>
            </w:r>
          </w:p>
        </w:tc>
        <w:tc>
          <w:tcPr>
            <w:tcW w:w="2693" w:type="dxa"/>
          </w:tcPr>
          <w:p w14:paraId="2BAD0E1E">
            <w:pPr>
              <w:spacing w:before="187"/>
              <w:jc w:val="center"/>
              <w:rPr>
                <w:rFonts w:eastAsia="宋体" w:cs="Arial"/>
              </w:rPr>
            </w:pPr>
            <w:r>
              <w:rPr>
                <w:rFonts w:eastAsia="宋体" w:cs="Arial"/>
              </w:rPr>
              <w:t>32</w:t>
            </w:r>
          </w:p>
        </w:tc>
        <w:tc>
          <w:tcPr>
            <w:tcW w:w="1560" w:type="dxa"/>
          </w:tcPr>
          <w:p w14:paraId="5242DE9A">
            <w:pPr>
              <w:spacing w:before="187"/>
              <w:jc w:val="center"/>
              <w:rPr>
                <w:rFonts w:eastAsia="宋体" w:cs="Arial"/>
              </w:rPr>
            </w:pPr>
            <w:r>
              <w:rPr>
                <w:rFonts w:eastAsia="宋体" w:cs="Arial"/>
              </w:rPr>
              <w:t>≥8</w:t>
            </w:r>
          </w:p>
        </w:tc>
        <w:tc>
          <w:tcPr>
            <w:tcW w:w="2551" w:type="dxa"/>
          </w:tcPr>
          <w:p w14:paraId="742E66B0">
            <w:pPr>
              <w:spacing w:before="187"/>
              <w:jc w:val="center"/>
              <w:rPr>
                <w:rFonts w:eastAsia="宋体" w:cs="Arial"/>
              </w:rPr>
            </w:pPr>
            <w:r>
              <w:rPr>
                <w:rFonts w:eastAsia="宋体" w:cs="Arial"/>
              </w:rPr>
              <w:t>25</w:t>
            </w:r>
          </w:p>
        </w:tc>
      </w:tr>
    </w:tbl>
    <w:p w14:paraId="4251BF4B">
      <w:pPr>
        <w:spacing w:before="187"/>
        <w:ind w:left="1320" w:leftChars="600"/>
        <w:rPr>
          <w:rFonts w:eastAsia="宋体" w:cs="Arial"/>
        </w:rPr>
      </w:pPr>
      <w:r>
        <w:rPr>
          <w:rFonts w:eastAsia="宋体" w:cs="Arial"/>
        </w:rPr>
        <w:t>如果被测数超过表I所列数字，那么不合规率必须等于或超过上表所列不合规率。如果被测数超过安装数的50％，民事处罚可能是更有利的处罚办法。关于该指南的任何疑问均应提交至诊断器械分部。</w:t>
      </w:r>
    </w:p>
    <w:p w14:paraId="58E9FF13">
      <w:pPr>
        <w:pStyle w:val="15"/>
        <w:numPr>
          <w:ilvl w:val="1"/>
          <w:numId w:val="9"/>
        </w:numPr>
        <w:spacing w:before="187"/>
        <w:ind w:left="1320" w:leftChars="300" w:hanging="660" w:hangingChars="300"/>
        <w:rPr>
          <w:rFonts w:eastAsia="宋体" w:cs="Arial"/>
          <w:u w:val="single"/>
        </w:rPr>
      </w:pPr>
      <w:r>
        <w:rPr>
          <w:rFonts w:eastAsia="宋体" w:cs="Arial"/>
          <w:u w:val="single"/>
        </w:rPr>
        <w:t>检查优先顺序</w:t>
      </w:r>
    </w:p>
    <w:p w14:paraId="2FB3B940">
      <w:pPr>
        <w:spacing w:before="187"/>
        <w:ind w:left="1320" w:leftChars="600"/>
        <w:rPr>
          <w:rFonts w:eastAsia="宋体" w:cs="Arial"/>
        </w:rPr>
      </w:pPr>
      <w:r>
        <w:rPr>
          <w:rFonts w:eastAsia="宋体" w:cs="Arial"/>
        </w:rPr>
        <w:t>应针对下列原因启动对诊断用X射线装配商的检查：</w:t>
      </w:r>
    </w:p>
    <w:p w14:paraId="6C2DD4A2">
      <w:pPr>
        <w:pStyle w:val="15"/>
        <w:numPr>
          <w:ilvl w:val="0"/>
          <w:numId w:val="11"/>
        </w:numPr>
        <w:spacing w:before="187"/>
        <w:ind w:left="1740" w:leftChars="600" w:hangingChars="191"/>
        <w:rPr>
          <w:rFonts w:eastAsia="宋体" w:cs="Arial"/>
        </w:rPr>
      </w:pPr>
      <w:r>
        <w:rPr>
          <w:rFonts w:eastAsia="宋体" w:cs="Arial"/>
        </w:rPr>
        <w:t>已签发不合规公告时，记录公司纠正行动计划（CAP）要求覆盖的系统数和位置。</w:t>
      </w:r>
    </w:p>
    <w:p w14:paraId="7099CEF6">
      <w:pPr>
        <w:pStyle w:val="15"/>
        <w:numPr>
          <w:ilvl w:val="0"/>
          <w:numId w:val="11"/>
        </w:numPr>
        <w:spacing w:before="187"/>
        <w:ind w:left="1740" w:leftChars="600" w:hangingChars="191"/>
        <w:rPr>
          <w:rFonts w:eastAsia="宋体" w:cs="Arial"/>
        </w:rPr>
      </w:pPr>
      <w:r>
        <w:rPr>
          <w:rFonts w:eastAsia="宋体" w:cs="Arial"/>
        </w:rPr>
        <w:t>针对装配商准备采取民事处罚行动时，记录违规责任。</w:t>
      </w:r>
    </w:p>
    <w:p w14:paraId="4C6D8538">
      <w:pPr>
        <w:pStyle w:val="15"/>
        <w:numPr>
          <w:ilvl w:val="0"/>
          <w:numId w:val="11"/>
        </w:numPr>
        <w:spacing w:before="187"/>
        <w:ind w:left="1740" w:leftChars="600" w:hangingChars="191"/>
        <w:rPr>
          <w:rFonts w:eastAsia="宋体" w:cs="Arial"/>
        </w:rPr>
      </w:pPr>
      <w:r>
        <w:rPr>
          <w:rFonts w:eastAsia="宋体" w:cs="Arial"/>
        </w:rPr>
        <w:t>编制民事处罚案例时，取得获照X射线设备的最新安装清单。</w:t>
      </w:r>
    </w:p>
    <w:p w14:paraId="66D78D4C">
      <w:pPr>
        <w:pStyle w:val="15"/>
        <w:numPr>
          <w:ilvl w:val="0"/>
          <w:numId w:val="11"/>
        </w:numPr>
        <w:spacing w:before="187"/>
        <w:ind w:left="1740" w:leftChars="600" w:hangingChars="191"/>
        <w:rPr>
          <w:rFonts w:eastAsia="宋体" w:cs="Arial"/>
        </w:rPr>
      </w:pPr>
      <w:r>
        <w:rPr>
          <w:rFonts w:eastAsia="宋体" w:cs="Arial"/>
        </w:rPr>
        <w:t>调查产品瑕疵或意外辐射事件时。</w:t>
      </w:r>
    </w:p>
    <w:p w14:paraId="0D7A99A7">
      <w:pPr>
        <w:pStyle w:val="15"/>
        <w:numPr>
          <w:ilvl w:val="0"/>
          <w:numId w:val="11"/>
        </w:numPr>
        <w:spacing w:before="187"/>
        <w:ind w:left="1740" w:leftChars="600" w:hangingChars="191"/>
        <w:rPr>
          <w:rFonts w:eastAsia="宋体" w:cs="Arial"/>
        </w:rPr>
      </w:pPr>
      <w:r>
        <w:rPr>
          <w:rFonts w:eastAsia="宋体" w:cs="Arial"/>
        </w:rPr>
        <w:t>调查装配商报告（FDA 2579表）归档失败时。</w:t>
      </w:r>
    </w:p>
    <w:p w14:paraId="31B3756C">
      <w:pPr>
        <w:pStyle w:val="15"/>
        <w:numPr>
          <w:ilvl w:val="0"/>
          <w:numId w:val="11"/>
        </w:numPr>
        <w:spacing w:before="187"/>
        <w:ind w:left="1740" w:leftChars="600" w:hangingChars="191"/>
        <w:rPr>
          <w:rFonts w:eastAsia="宋体" w:cs="Arial"/>
        </w:rPr>
      </w:pPr>
      <w:r>
        <w:rPr>
          <w:rFonts w:eastAsia="宋体" w:cs="Arial"/>
        </w:rPr>
        <w:t>装配商报告（FDA 2579表）再三延迟或再三包含关键性错误时。</w:t>
      </w:r>
    </w:p>
    <w:p w14:paraId="79293B2F">
      <w:pPr>
        <w:pStyle w:val="15"/>
        <w:numPr>
          <w:ilvl w:val="1"/>
          <w:numId w:val="9"/>
        </w:numPr>
        <w:spacing w:before="187"/>
        <w:ind w:left="1320" w:leftChars="300" w:hanging="660" w:hangingChars="300"/>
        <w:rPr>
          <w:rFonts w:eastAsia="宋体" w:cs="Arial"/>
          <w:u w:val="single"/>
        </w:rPr>
      </w:pPr>
      <w:r>
        <w:rPr>
          <w:rFonts w:eastAsia="宋体" w:cs="Arial"/>
          <w:u w:val="single"/>
        </w:rPr>
        <w:t>RRHR管理活动</w:t>
      </w:r>
    </w:p>
    <w:p w14:paraId="429F981C">
      <w:pPr>
        <w:spacing w:before="187"/>
        <w:ind w:left="1320" w:leftChars="600"/>
        <w:rPr>
          <w:rFonts w:eastAsia="宋体" w:cs="Arial"/>
        </w:rPr>
      </w:pPr>
      <w:r>
        <w:rPr>
          <w:rFonts w:eastAsia="宋体" w:cs="Arial"/>
          <w:kern w:val="0"/>
          <w:sz w:val="24"/>
          <w:szCs w:val="24"/>
        </w:rPr>
        <w:t>RRHR</w:t>
      </w:r>
      <w:r>
        <w:rPr>
          <w:rFonts w:eastAsia="宋体" w:cs="Arial"/>
        </w:rPr>
        <w:t>将协调和监督自发签署的工作协议和本局与州行政机关签订的实施诊断用X射线现场测试的合同，其中包括：</w:t>
      </w:r>
    </w:p>
    <w:p w14:paraId="6DB65B9C">
      <w:pPr>
        <w:pStyle w:val="15"/>
        <w:numPr>
          <w:ilvl w:val="0"/>
          <w:numId w:val="11"/>
        </w:numPr>
        <w:spacing w:before="187"/>
        <w:ind w:left="1740" w:leftChars="600" w:hangingChars="191"/>
        <w:rPr>
          <w:rFonts w:eastAsia="宋体" w:cs="Arial"/>
        </w:rPr>
      </w:pPr>
      <w:r>
        <w:rPr>
          <w:rFonts w:eastAsia="宋体" w:cs="Arial"/>
        </w:rPr>
        <w:t>根据第III部分A.1.f的要求，安排各州将测试数据提交管理区审计员供审核、计算和分类。</w:t>
      </w:r>
    </w:p>
    <w:p w14:paraId="0272DE4E">
      <w:pPr>
        <w:pStyle w:val="15"/>
        <w:numPr>
          <w:ilvl w:val="0"/>
          <w:numId w:val="11"/>
        </w:numPr>
        <w:spacing w:before="187"/>
        <w:ind w:left="1740" w:leftChars="600" w:hangingChars="191"/>
        <w:rPr>
          <w:rFonts w:eastAsia="宋体" w:cs="Arial"/>
        </w:rPr>
      </w:pPr>
      <w:r>
        <w:rPr>
          <w:rFonts w:eastAsia="宋体" w:cs="Arial"/>
        </w:rPr>
        <w:t>安排各州通过电话尽快与审计员联系，讨论所有A类缺陷。</w:t>
      </w:r>
    </w:p>
    <w:p w14:paraId="7E6BD520">
      <w:pPr>
        <w:pStyle w:val="15"/>
        <w:numPr>
          <w:ilvl w:val="0"/>
          <w:numId w:val="11"/>
        </w:numPr>
        <w:spacing w:before="187"/>
        <w:ind w:left="1740" w:leftChars="600" w:hangingChars="191"/>
        <w:rPr>
          <w:rFonts w:eastAsia="宋体" w:cs="Arial"/>
        </w:rPr>
      </w:pPr>
      <w:r>
        <w:rPr>
          <w:rFonts w:eastAsia="宋体" w:cs="Arial"/>
        </w:rPr>
        <w:t>审核审计员在测试表</w:t>
      </w:r>
      <w:r>
        <w:rPr>
          <w:rFonts w:ascii="宋体" w:hAnsi="宋体" w:eastAsia="宋体" w:cs="Arial"/>
        </w:rPr>
        <w:t>“</w:t>
      </w:r>
      <w:r>
        <w:rPr>
          <w:rFonts w:eastAsia="宋体" w:cs="Arial"/>
        </w:rPr>
        <w:t>蓝色副本</w:t>
      </w:r>
      <w:r>
        <w:rPr>
          <w:rFonts w:ascii="宋体" w:hAnsi="宋体" w:eastAsia="宋体" w:cs="Arial"/>
        </w:rPr>
        <w:t>”</w:t>
      </w:r>
      <w:r>
        <w:rPr>
          <w:rFonts w:eastAsia="宋体" w:cs="Arial"/>
        </w:rPr>
        <w:t>上报告的任何问题并酌情通知受影响的州。</w:t>
      </w:r>
    </w:p>
    <w:p w14:paraId="74BDFD24">
      <w:pPr>
        <w:pStyle w:val="15"/>
        <w:numPr>
          <w:ilvl w:val="0"/>
          <w:numId w:val="11"/>
        </w:numPr>
        <w:spacing w:before="187"/>
        <w:ind w:left="1740" w:leftChars="600" w:hangingChars="191"/>
        <w:rPr>
          <w:rFonts w:eastAsia="宋体" w:cs="Arial"/>
        </w:rPr>
      </w:pPr>
      <w:r>
        <w:rPr>
          <w:rFonts w:eastAsia="宋体" w:cs="Arial"/>
        </w:rPr>
        <w:t>在州档案中维护测试表的</w:t>
      </w:r>
      <w:r>
        <w:rPr>
          <w:rFonts w:ascii="宋体" w:hAnsi="宋体" w:eastAsia="宋体" w:cs="Arial"/>
        </w:rPr>
        <w:t>“</w:t>
      </w:r>
      <w:r>
        <w:rPr>
          <w:rFonts w:eastAsia="宋体" w:cs="Arial"/>
        </w:rPr>
        <w:t>蓝色副本</w:t>
      </w:r>
      <w:r>
        <w:rPr>
          <w:rFonts w:ascii="宋体" w:hAnsi="宋体" w:eastAsia="宋体" w:cs="Arial"/>
        </w:rPr>
        <w:t>”</w:t>
      </w:r>
      <w:r>
        <w:rPr>
          <w:rFonts w:eastAsia="宋体" w:cs="Arial"/>
        </w:rPr>
        <w:t>。</w:t>
      </w:r>
    </w:p>
    <w:p w14:paraId="2C4EB8CD">
      <w:pPr>
        <w:spacing w:before="187"/>
        <w:rPr>
          <w:rFonts w:eastAsia="宋体" w:cs="Arial"/>
        </w:rPr>
      </w:pPr>
      <w:r>
        <w:rPr>
          <w:rFonts w:eastAsia="宋体" w:cs="Arial"/>
        </w:rPr>
        <w:br w:type="page"/>
      </w:r>
    </w:p>
    <w:p w14:paraId="0475EACC">
      <w:pPr>
        <w:pStyle w:val="15"/>
        <w:numPr>
          <w:ilvl w:val="0"/>
          <w:numId w:val="11"/>
        </w:numPr>
        <w:spacing w:before="187"/>
        <w:ind w:left="1740" w:leftChars="600" w:hangingChars="191"/>
        <w:rPr>
          <w:rFonts w:eastAsia="宋体" w:cs="Arial"/>
        </w:rPr>
      </w:pPr>
      <w:r>
        <w:rPr>
          <w:rFonts w:eastAsia="宋体" w:cs="Arial"/>
        </w:rPr>
        <w:t>起草、补充或提供对合作协议（PA）的变更供地区食品药品主管（RFDD）签字。建议将提供给联邦-州关系处HFC-150和HFZ-240。还要将签过名的最终协议副本提供给HFC-150和HFZ-240。未通过FDA审查的现场测试将不能获得协议编号。</w:t>
      </w:r>
    </w:p>
    <w:p w14:paraId="314CFACB">
      <w:pPr>
        <w:pStyle w:val="15"/>
        <w:numPr>
          <w:ilvl w:val="0"/>
          <w:numId w:val="11"/>
        </w:numPr>
        <w:spacing w:before="187"/>
        <w:ind w:left="1740" w:leftChars="600" w:hangingChars="191"/>
        <w:rPr>
          <w:rFonts w:eastAsia="宋体" w:cs="Arial"/>
        </w:rPr>
      </w:pPr>
      <w:r>
        <w:rPr>
          <w:rFonts w:eastAsia="宋体" w:cs="Arial"/>
        </w:rPr>
        <w:t>一旦收到管理区办公室的申请，即安排合同州或关系州对经FDA确认的问题装配商所做的安装项目进行重点测试并加快提交这些装配商的测试结果，以确保FDA及时采取随访行动。</w:t>
      </w:r>
    </w:p>
    <w:p w14:paraId="46DC3A02">
      <w:pPr>
        <w:pStyle w:val="15"/>
        <w:numPr>
          <w:ilvl w:val="0"/>
          <w:numId w:val="11"/>
        </w:numPr>
        <w:spacing w:before="187"/>
        <w:ind w:left="1740" w:leftChars="600" w:hangingChars="191"/>
        <w:rPr>
          <w:rFonts w:eastAsia="宋体" w:cs="Arial"/>
        </w:rPr>
      </w:pPr>
      <w:r>
        <w:rPr>
          <w:rFonts w:eastAsia="宋体" w:cs="Arial"/>
        </w:rPr>
        <w:t>在州行政机关的现场测试报告已确定违规X射线系统需采取纠正行动且管理区不能实施所要求随访的州，安排州行政机关进行随访性现场测试。</w:t>
      </w:r>
    </w:p>
    <w:p w14:paraId="3240D411">
      <w:pPr>
        <w:pStyle w:val="15"/>
        <w:numPr>
          <w:ilvl w:val="0"/>
          <w:numId w:val="11"/>
        </w:numPr>
        <w:spacing w:before="187"/>
        <w:ind w:left="1740" w:leftChars="600" w:hangingChars="191"/>
        <w:rPr>
          <w:rFonts w:eastAsia="宋体" w:cs="Arial"/>
        </w:rPr>
      </w:pPr>
      <w:r>
        <w:rPr>
          <w:rFonts w:eastAsia="宋体" w:cs="Arial"/>
        </w:rPr>
        <w:t>对确定为用户责任所致不合规X射线系统安排进行州行政机关随访。如果州行政机关不能让用户纠正A类计时器不终止违规事项，地区放射卫生代表将安排管理区随访，记录违规事项，供可能采取扣押/没收措施时加以考虑。</w:t>
      </w:r>
    </w:p>
    <w:p w14:paraId="2F6BB88F">
      <w:pPr>
        <w:pStyle w:val="15"/>
        <w:numPr>
          <w:ilvl w:val="0"/>
          <w:numId w:val="11"/>
        </w:numPr>
        <w:spacing w:before="187"/>
        <w:ind w:left="1740" w:leftChars="600" w:hangingChars="191"/>
        <w:rPr>
          <w:rFonts w:eastAsia="宋体" w:cs="Arial"/>
        </w:rPr>
      </w:pPr>
      <w:r>
        <w:rPr>
          <w:rFonts w:eastAsia="宋体" w:cs="Arial"/>
        </w:rPr>
        <w:t>安排有资质的审计员对州行政机关和FDA的工作人员进行培训，以便实施常规现场测试。</w:t>
      </w:r>
    </w:p>
    <w:p w14:paraId="67264651">
      <w:pPr>
        <w:pStyle w:val="15"/>
        <w:numPr>
          <w:ilvl w:val="0"/>
          <w:numId w:val="11"/>
        </w:numPr>
        <w:spacing w:before="187"/>
        <w:ind w:left="1740" w:leftChars="600" w:hangingChars="191"/>
        <w:rPr>
          <w:rFonts w:eastAsia="宋体" w:cs="Arial"/>
        </w:rPr>
      </w:pPr>
      <w:r>
        <w:rPr>
          <w:rFonts w:hint="eastAsia" w:eastAsia="宋体" w:cs="Arial"/>
        </w:rPr>
        <w:t>由有资质的审计员安排审计员对州行政机关或</w:t>
      </w:r>
      <w:r>
        <w:rPr>
          <w:rFonts w:eastAsia="宋体" w:cs="Arial"/>
        </w:rPr>
        <w:t>FDA</w:t>
      </w:r>
      <w:r>
        <w:rPr>
          <w:rFonts w:hint="eastAsia" w:eastAsia="宋体" w:cs="Arial"/>
        </w:rPr>
        <w:t>工作人员定期进行联合现场测试审查，确保在采集测试数据过程中采用正确规程和技巧</w:t>
      </w:r>
      <w:r>
        <w:rPr>
          <w:rFonts w:eastAsia="宋体" w:cs="Arial"/>
        </w:rPr>
        <w:t>。</w:t>
      </w:r>
    </w:p>
    <w:p w14:paraId="55B1E2A9">
      <w:pPr>
        <w:spacing w:before="187"/>
        <w:rPr>
          <w:rFonts w:eastAsia="宋体" w:cs="Arial"/>
        </w:rPr>
      </w:pPr>
    </w:p>
    <w:p w14:paraId="183463B1">
      <w:pPr>
        <w:spacing w:before="187"/>
        <w:rPr>
          <w:rFonts w:eastAsia="宋体" w:cs="Arial"/>
        </w:rPr>
        <w:sectPr>
          <w:footerReference r:id="rId17" w:type="first"/>
          <w:footerReference r:id="rId16" w:type="default"/>
          <w:pgSz w:w="11906" w:h="16838"/>
          <w:pgMar w:top="1418" w:right="1418" w:bottom="1418" w:left="1418" w:header="720" w:footer="720" w:gutter="0"/>
          <w:pgNumType w:start="1"/>
          <w:cols w:space="425" w:num="1"/>
          <w:titlePg/>
          <w:docGrid w:type="lines" w:linePitch="312" w:charSpace="0"/>
        </w:sectPr>
      </w:pPr>
    </w:p>
    <w:p w14:paraId="32FED689">
      <w:pPr>
        <w:spacing w:before="187"/>
        <w:jc w:val="center"/>
        <w:rPr>
          <w:rFonts w:eastAsia="宋体" w:cs="Arial"/>
          <w:u w:val="single"/>
        </w:rPr>
      </w:pPr>
      <w:r>
        <w:rPr>
          <w:rFonts w:eastAsia="宋体" w:cs="Arial"/>
          <w:u w:val="single"/>
        </w:rPr>
        <w:t>第III部分－检查</w:t>
      </w:r>
    </w:p>
    <w:p w14:paraId="59240524">
      <w:pPr>
        <w:spacing w:before="187"/>
        <w:rPr>
          <w:rFonts w:eastAsia="宋体" w:cs="Arial"/>
        </w:rPr>
      </w:pPr>
    </w:p>
    <w:p w14:paraId="2965B36B">
      <w:pPr>
        <w:pStyle w:val="15"/>
        <w:numPr>
          <w:ilvl w:val="4"/>
          <w:numId w:val="12"/>
        </w:numPr>
        <w:spacing w:before="187"/>
        <w:ind w:left="660" w:hanging="660" w:hangingChars="300"/>
        <w:rPr>
          <w:rFonts w:eastAsia="宋体" w:cs="Arial"/>
          <w:u w:val="single"/>
        </w:rPr>
      </w:pPr>
      <w:r>
        <w:rPr>
          <w:rFonts w:eastAsia="宋体" w:cs="Arial"/>
          <w:u w:val="single"/>
        </w:rPr>
        <w:t>操作</w:t>
      </w:r>
    </w:p>
    <w:p w14:paraId="5270B1A9">
      <w:pPr>
        <w:pStyle w:val="15"/>
        <w:numPr>
          <w:ilvl w:val="1"/>
          <w:numId w:val="13"/>
        </w:numPr>
        <w:spacing w:before="187"/>
        <w:ind w:left="1320" w:leftChars="300" w:hanging="660" w:hangingChars="300"/>
        <w:rPr>
          <w:rFonts w:eastAsia="宋体" w:cs="Arial"/>
          <w:u w:val="single"/>
        </w:rPr>
      </w:pPr>
      <w:r>
        <w:rPr>
          <w:rFonts w:eastAsia="宋体" w:cs="Arial"/>
          <w:u w:val="single"/>
        </w:rPr>
        <w:t>现场测试</w:t>
      </w:r>
    </w:p>
    <w:p w14:paraId="446F699D">
      <w:pPr>
        <w:tabs>
          <w:tab w:val="left" w:pos="1320"/>
          <w:tab w:val="left" w:pos="1980"/>
        </w:tabs>
        <w:spacing w:before="187"/>
        <w:ind w:left="1980" w:hanging="1980" w:hangingChars="900"/>
        <w:rPr>
          <w:rFonts w:eastAsia="宋体" w:cs="Arial"/>
        </w:rPr>
      </w:pPr>
      <w:r>
        <w:rPr>
          <w:rFonts w:eastAsia="宋体" w:cs="Arial"/>
        </w:rPr>
        <w:t>*</w:t>
      </w:r>
      <w:r>
        <w:rPr>
          <w:rFonts w:eastAsia="宋体" w:cs="Arial"/>
        </w:rPr>
        <w:tab/>
      </w:r>
      <w:r>
        <w:rPr>
          <w:rFonts w:eastAsia="宋体" w:cs="Arial"/>
        </w:rPr>
        <w:t>a.</w:t>
      </w:r>
      <w:r>
        <w:rPr>
          <w:rFonts w:eastAsia="宋体" w:cs="Arial"/>
        </w:rPr>
        <w:tab/>
      </w:r>
      <w:r>
        <w:rPr>
          <w:rFonts w:eastAsia="宋体" w:cs="Arial"/>
        </w:rPr>
        <w:t xml:space="preserve">最好在安装后3个月且不超过1年的时间范围内根据CDRH明确规定的测试规程对获证X射线系统进行充分测试（参考文件4）。如果未对系统性能进行充分验证或在安装后超过1年进行验证，请与地区放射卫生代表或CDRH联系，申请批准对其进行测试。 </w:t>
      </w:r>
      <w:r>
        <w:rPr>
          <w:rFonts w:eastAsia="宋体" w:cs="Arial"/>
        </w:rPr>
        <w:tab/>
      </w:r>
      <w:r>
        <w:rPr>
          <w:rFonts w:eastAsia="宋体" w:cs="Arial"/>
        </w:rPr>
        <w:t>*</w:t>
      </w:r>
    </w:p>
    <w:p w14:paraId="47EE8C3D">
      <w:pPr>
        <w:tabs>
          <w:tab w:val="left" w:pos="1980"/>
        </w:tabs>
        <w:spacing w:before="187"/>
        <w:ind w:left="1320" w:leftChars="600"/>
        <w:rPr>
          <w:rFonts w:eastAsia="宋体" w:cs="Arial"/>
        </w:rPr>
      </w:pPr>
      <w:r>
        <w:rPr>
          <w:rFonts w:eastAsia="宋体" w:cs="Arial"/>
        </w:rPr>
        <w:t>b.</w:t>
      </w:r>
      <w:r>
        <w:rPr>
          <w:rFonts w:eastAsia="宋体" w:cs="Arial"/>
        </w:rPr>
        <w:tab/>
      </w:r>
      <w:r>
        <w:rPr>
          <w:rFonts w:eastAsia="宋体" w:cs="Arial"/>
        </w:rPr>
        <w:t>根据下列资源所提供的信息选择测试地点（集中于问题装配商）：</w:t>
      </w:r>
    </w:p>
    <w:p w14:paraId="0BC355ED">
      <w:pPr>
        <w:pStyle w:val="15"/>
        <w:numPr>
          <w:ilvl w:val="3"/>
          <w:numId w:val="14"/>
        </w:numPr>
        <w:spacing w:before="187"/>
        <w:ind w:left="2400" w:leftChars="900" w:hangingChars="191"/>
        <w:rPr>
          <w:rFonts w:eastAsia="宋体" w:cs="Arial"/>
        </w:rPr>
      </w:pPr>
      <w:r>
        <w:rPr>
          <w:rFonts w:eastAsia="宋体" w:cs="Arial"/>
        </w:rPr>
        <w:t>CDRH的计算机数据库。</w:t>
      </w:r>
    </w:p>
    <w:p w14:paraId="21026B86">
      <w:pPr>
        <w:pStyle w:val="15"/>
        <w:numPr>
          <w:ilvl w:val="3"/>
          <w:numId w:val="14"/>
        </w:numPr>
        <w:spacing w:before="187"/>
        <w:ind w:left="2400" w:leftChars="900" w:hangingChars="191"/>
        <w:rPr>
          <w:rFonts w:eastAsia="宋体" w:cs="Arial"/>
        </w:rPr>
      </w:pPr>
      <w:r>
        <w:rPr>
          <w:rFonts w:eastAsia="宋体" w:cs="Arial"/>
        </w:rPr>
        <w:t>送至管理区或州行政机关的FDA 2579文件副本。</w:t>
      </w:r>
    </w:p>
    <w:p w14:paraId="5C42AB01">
      <w:pPr>
        <w:pStyle w:val="15"/>
        <w:numPr>
          <w:ilvl w:val="3"/>
          <w:numId w:val="14"/>
        </w:numPr>
        <w:spacing w:before="187"/>
        <w:ind w:left="2400" w:leftChars="900" w:hangingChars="191"/>
        <w:rPr>
          <w:rFonts w:eastAsia="宋体" w:cs="Arial"/>
        </w:rPr>
      </w:pPr>
      <w:r>
        <w:rPr>
          <w:rFonts w:eastAsia="宋体" w:cs="Arial"/>
        </w:rPr>
        <w:t>在用户机构遇到的经过充分验证的系统。</w:t>
      </w:r>
    </w:p>
    <w:p w14:paraId="5264B8B0">
      <w:pPr>
        <w:tabs>
          <w:tab w:val="left" w:pos="1980"/>
        </w:tabs>
        <w:spacing w:before="187"/>
        <w:ind w:left="1980" w:leftChars="600" w:hanging="660" w:hangingChars="300"/>
        <w:rPr>
          <w:rFonts w:eastAsia="宋体" w:cs="Arial"/>
        </w:rPr>
      </w:pPr>
      <w:r>
        <w:rPr>
          <w:rFonts w:eastAsia="宋体" w:cs="Arial"/>
        </w:rPr>
        <w:t>c.</w:t>
      </w:r>
      <w:r>
        <w:rPr>
          <w:rFonts w:eastAsia="宋体" w:cs="Arial"/>
        </w:rPr>
        <w:tab/>
      </w:r>
      <w:r>
        <w:rPr>
          <w:rFonts w:eastAsia="宋体" w:cs="Arial"/>
        </w:rPr>
        <w:t>为确保X射线系统可用于测试，提前做出时间安排。安排人员熟悉待测X射线系统，在测试过程中帮助维持系统运行。</w:t>
      </w:r>
    </w:p>
    <w:p w14:paraId="1F6738FC">
      <w:pPr>
        <w:tabs>
          <w:tab w:val="left" w:pos="1980"/>
        </w:tabs>
        <w:spacing w:before="187"/>
        <w:ind w:left="1980" w:leftChars="600" w:hanging="660" w:hangingChars="300"/>
        <w:rPr>
          <w:rFonts w:eastAsia="宋体" w:cs="Arial"/>
        </w:rPr>
      </w:pPr>
      <w:r>
        <w:rPr>
          <w:rFonts w:eastAsia="宋体" w:cs="Arial"/>
        </w:rPr>
        <w:t>d.</w:t>
      </w:r>
      <w:r>
        <w:rPr>
          <w:rFonts w:eastAsia="宋体" w:cs="Arial"/>
        </w:rPr>
        <w:tab/>
      </w:r>
      <w:r>
        <w:rPr>
          <w:rFonts w:eastAsia="宋体" w:cs="Arial"/>
        </w:rPr>
        <w:t>在测试地点：</w:t>
      </w:r>
    </w:p>
    <w:p w14:paraId="5A0ABD2F">
      <w:pPr>
        <w:spacing w:before="187"/>
        <w:ind w:left="2640" w:leftChars="900" w:hanging="660" w:hangingChars="300"/>
        <w:rPr>
          <w:rFonts w:eastAsia="宋体" w:cs="Arial"/>
        </w:rPr>
      </w:pPr>
      <w:r>
        <w:rPr>
          <w:rFonts w:eastAsia="宋体" w:cs="Arial"/>
        </w:rPr>
        <w:t>（1）</w:t>
      </w:r>
      <w:r>
        <w:rPr>
          <w:rFonts w:eastAsia="宋体" w:cs="Arial"/>
        </w:rPr>
        <w:tab/>
      </w:r>
      <w:r>
        <w:rPr>
          <w:rFonts w:eastAsia="宋体" w:cs="Arial"/>
        </w:rPr>
        <w:t>进行测试时佩戴工作人员辐射剂量计。</w:t>
      </w:r>
    </w:p>
    <w:p w14:paraId="063D3592">
      <w:pPr>
        <w:spacing w:before="187"/>
        <w:ind w:left="2640" w:leftChars="900" w:hanging="660" w:hangingChars="300"/>
        <w:rPr>
          <w:rFonts w:eastAsia="宋体" w:cs="Arial"/>
        </w:rPr>
      </w:pPr>
      <w:r>
        <w:rPr>
          <w:rFonts w:eastAsia="宋体" w:cs="Arial"/>
        </w:rPr>
        <w:t>（2）</w:t>
      </w:r>
      <w:r>
        <w:rPr>
          <w:rFonts w:eastAsia="宋体" w:cs="Arial"/>
        </w:rPr>
        <w:tab/>
      </w:r>
      <w:r>
        <w:rPr>
          <w:rFonts w:eastAsia="宋体" w:cs="Arial"/>
        </w:rPr>
        <w:t>用户要求时签发FDA 482文件（仅适用于FDA工作人员）。</w:t>
      </w:r>
    </w:p>
    <w:p w14:paraId="6FDFF69E">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（3）</w:t>
      </w:r>
      <w:r>
        <w:rPr>
          <w:rFonts w:eastAsia="宋体" w:cs="Arial"/>
        </w:rPr>
        <w:tab/>
      </w:r>
      <w:r>
        <w:rPr>
          <w:rFonts w:eastAsia="宋体" w:cs="Arial"/>
        </w:rPr>
        <w:t>视觉核实已对系统进行充分验证。如果未充分验证，不应进行测试，除非获得地区放射卫生代表或CDRH批准。</w:t>
      </w:r>
      <w:r>
        <w:rPr>
          <w:rFonts w:eastAsia="宋体" w:cs="Arial"/>
        </w:rPr>
        <w:tab/>
      </w:r>
      <w:r>
        <w:rPr>
          <w:rFonts w:eastAsia="宋体" w:cs="Arial"/>
        </w:rPr>
        <w:t>*</w:t>
      </w:r>
    </w:p>
    <w:p w14:paraId="0B2AE92C">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（4）</w:t>
      </w:r>
      <w:r>
        <w:rPr>
          <w:rFonts w:eastAsia="宋体" w:cs="Arial"/>
        </w:rPr>
        <w:tab/>
      </w:r>
      <w:r>
        <w:rPr>
          <w:rFonts w:eastAsia="宋体" w:cs="Arial"/>
        </w:rPr>
        <w:t>按</w:t>
      </w:r>
      <w:r>
        <w:rPr>
          <w:rFonts w:ascii="宋体" w:hAnsi="宋体" w:eastAsia="宋体" w:cs="Arial"/>
        </w:rPr>
        <w:t>“</w:t>
      </w:r>
      <w:r>
        <w:rPr>
          <w:rFonts w:eastAsia="宋体" w:cs="Arial"/>
        </w:rPr>
        <w:t>适用联邦法规第21</w:t>
      </w:r>
      <w:r>
        <w:rPr>
          <w:rFonts w:eastAsia="宋体" w:cs="Arial"/>
          <w:kern w:val="0"/>
          <w:sz w:val="24"/>
          <w:szCs w:val="24"/>
        </w:rPr>
        <w:t>CFR</w:t>
      </w:r>
      <w:r>
        <w:rPr>
          <w:rFonts w:eastAsia="宋体" w:cs="Arial"/>
        </w:rPr>
        <w:t>分章J之诊断用X射线系统或其组件的常规合规测试</w:t>
      </w:r>
      <w:r>
        <w:rPr>
          <w:rFonts w:ascii="宋体" w:hAnsi="宋体" w:eastAsia="宋体" w:cs="Arial"/>
        </w:rPr>
        <w:t>”</w:t>
      </w:r>
      <w:r>
        <w:rPr>
          <w:rFonts w:eastAsia="宋体" w:cs="Arial"/>
        </w:rPr>
        <w:t>手册内容实施现场测试并完成相应的现场测试记录（FTR）。</w:t>
      </w:r>
      <w:r>
        <w:rPr>
          <w:rFonts w:eastAsia="宋体" w:cs="Arial"/>
        </w:rPr>
        <w:tab/>
      </w:r>
      <w:r>
        <w:rPr>
          <w:rFonts w:eastAsia="宋体" w:cs="Arial"/>
        </w:rPr>
        <w:t>*</w:t>
      </w:r>
    </w:p>
    <w:p w14:paraId="09F60409">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（5）</w:t>
      </w:r>
      <w:r>
        <w:rPr>
          <w:rFonts w:eastAsia="宋体" w:cs="Arial"/>
        </w:rPr>
        <w:tab/>
      </w:r>
      <w:r>
        <w:rPr>
          <w:rFonts w:eastAsia="宋体" w:cs="Arial"/>
        </w:rPr>
        <w:t>借助适用于具体现场测试的现场测试记录编辑检查清单核实测试数据。</w:t>
      </w:r>
    </w:p>
    <w:p w14:paraId="223648D4">
      <w:pPr>
        <w:spacing w:before="187"/>
        <w:rPr>
          <w:rFonts w:eastAsia="宋体" w:cs="Arial"/>
        </w:rPr>
      </w:pPr>
    </w:p>
    <w:p w14:paraId="5B660041">
      <w:pPr>
        <w:spacing w:before="187"/>
        <w:rPr>
          <w:rFonts w:eastAsia="宋体" w:cs="Arial"/>
        </w:rPr>
      </w:pPr>
      <w:r>
        <w:rPr>
          <w:rFonts w:eastAsia="宋体" w:cs="Arial"/>
        </w:rPr>
        <w:br w:type="page"/>
      </w:r>
    </w:p>
    <w:p w14:paraId="6F097A44">
      <w:pPr>
        <w:spacing w:before="187"/>
        <w:ind w:left="2640" w:leftChars="900" w:hanging="660" w:hangingChars="300"/>
        <w:rPr>
          <w:rFonts w:eastAsia="宋体" w:cs="Arial"/>
        </w:rPr>
      </w:pPr>
      <w:r>
        <w:rPr>
          <w:rFonts w:eastAsia="宋体" w:cs="Arial"/>
        </w:rPr>
        <w:t>（6）</w:t>
      </w:r>
      <w:r>
        <w:rPr>
          <w:rFonts w:eastAsia="宋体" w:cs="Arial"/>
        </w:rPr>
        <w:tab/>
      </w:r>
      <w:r>
        <w:rPr>
          <w:rFonts w:eastAsia="宋体" w:cs="Arial"/>
        </w:rPr>
        <w:t>在FD 2766表</w:t>
      </w:r>
      <w:r>
        <w:rPr>
          <w:rFonts w:ascii="宋体" w:hAnsi="宋体" w:eastAsia="宋体" w:cs="Arial"/>
        </w:rPr>
        <w:t>“</w:t>
      </w:r>
      <w:r>
        <w:rPr>
          <w:rFonts w:eastAsia="宋体" w:cs="Arial"/>
        </w:rPr>
        <w:t>电子产品损坏情况报告</w:t>
      </w:r>
      <w:r>
        <w:rPr>
          <w:rFonts w:ascii="宋体" w:hAnsi="宋体" w:eastAsia="宋体" w:cs="Arial"/>
        </w:rPr>
        <w:t>”</w:t>
      </w:r>
      <w:r>
        <w:rPr>
          <w:rFonts w:eastAsia="宋体" w:cs="Arial"/>
        </w:rPr>
        <w:t>上记录（仅适用于FDA工作人员）因现场测试所致任何X射线系统损坏情况（参考附件F）。立即通过地区放射卫生代表将该表转给通讯、教育和辐射计划办公室（HFZ-200）（不得延迟提交或企图反驳所报损坏）。应将该表的副本保存在现场测试工具包中。</w:t>
      </w:r>
    </w:p>
    <w:p w14:paraId="214B6F15">
      <w:pPr>
        <w:spacing w:before="187"/>
        <w:ind w:left="3300" w:leftChars="1200" w:hanging="660" w:hangingChars="300"/>
        <w:rPr>
          <w:rFonts w:eastAsia="宋体" w:cs="Arial"/>
        </w:rPr>
      </w:pPr>
      <w:r>
        <w:rPr>
          <w:rFonts w:eastAsia="宋体" w:cs="Arial"/>
        </w:rPr>
        <w:t>注：</w:t>
      </w:r>
      <w:r>
        <w:rPr>
          <w:rFonts w:eastAsia="宋体" w:cs="Arial"/>
        </w:rPr>
        <w:tab/>
      </w:r>
      <w:r>
        <w:rPr>
          <w:rFonts w:eastAsia="宋体" w:cs="Arial"/>
        </w:rPr>
        <w:t>州调查人员应立即将X射线系统的损坏情况报告其主管和地区放射卫生代表并追踪州行政机关采取的处理步骤。</w:t>
      </w:r>
    </w:p>
    <w:p w14:paraId="45000A1B">
      <w:pPr>
        <w:spacing w:before="187"/>
        <w:ind w:left="2640" w:leftChars="900" w:hanging="660" w:hangingChars="300"/>
        <w:rPr>
          <w:rFonts w:eastAsia="宋体" w:cs="Arial"/>
        </w:rPr>
      </w:pPr>
      <w:r>
        <w:rPr>
          <w:rFonts w:eastAsia="宋体" w:cs="Arial"/>
        </w:rPr>
        <w:t>（7）</w:t>
      </w:r>
      <w:r>
        <w:rPr>
          <w:rFonts w:eastAsia="宋体" w:cs="Arial"/>
        </w:rPr>
        <w:tab/>
      </w:r>
      <w:r>
        <w:rPr>
          <w:rFonts w:eastAsia="宋体" w:cs="Arial"/>
        </w:rPr>
        <w:t>离开测试地点前对现场测试记录进行审核，找出明显不合规项目。A类项目大多数由检验员亲自观察，应易于发现：</w:t>
      </w:r>
    </w:p>
    <w:p w14:paraId="23EBE46F">
      <w:pPr>
        <w:pStyle w:val="15"/>
        <w:numPr>
          <w:ilvl w:val="0"/>
          <w:numId w:val="15"/>
        </w:numPr>
        <w:spacing w:before="187"/>
        <w:ind w:left="3060" w:leftChars="1200" w:hangingChars="191"/>
        <w:rPr>
          <w:rFonts w:eastAsia="宋体" w:cs="Arial"/>
        </w:rPr>
      </w:pPr>
      <w:r>
        <w:rPr>
          <w:rFonts w:eastAsia="宋体" w:cs="Arial"/>
        </w:rPr>
        <w:t>主要屏障联锁装置故障</w:t>
      </w:r>
    </w:p>
    <w:p w14:paraId="5C1F40B0">
      <w:pPr>
        <w:pStyle w:val="15"/>
        <w:numPr>
          <w:ilvl w:val="0"/>
          <w:numId w:val="15"/>
        </w:numPr>
        <w:spacing w:before="187"/>
        <w:ind w:left="3060" w:leftChars="1200" w:hangingChars="191"/>
        <w:rPr>
          <w:rFonts w:eastAsia="宋体" w:cs="Arial"/>
        </w:rPr>
      </w:pPr>
      <w:r>
        <w:rPr>
          <w:rFonts w:eastAsia="宋体" w:cs="Arial"/>
        </w:rPr>
        <w:t>计时器未终止</w:t>
      </w:r>
    </w:p>
    <w:p w14:paraId="66C2B339">
      <w:pPr>
        <w:pStyle w:val="15"/>
        <w:numPr>
          <w:ilvl w:val="0"/>
          <w:numId w:val="15"/>
        </w:numPr>
        <w:spacing w:before="187"/>
        <w:ind w:left="3060" w:leftChars="1200" w:hangingChars="191"/>
        <w:rPr>
          <w:rFonts w:eastAsia="宋体" w:cs="Arial"/>
        </w:rPr>
      </w:pPr>
      <w:r>
        <w:rPr>
          <w:rFonts w:eastAsia="宋体" w:cs="Arial"/>
        </w:rPr>
        <w:t>进口照射量率过高（超过25次/分）</w:t>
      </w:r>
    </w:p>
    <w:p w14:paraId="519DF4BF">
      <w:pPr>
        <w:pStyle w:val="15"/>
        <w:numPr>
          <w:ilvl w:val="0"/>
          <w:numId w:val="15"/>
        </w:numPr>
        <w:spacing w:before="187"/>
        <w:ind w:left="3060" w:leftChars="1200" w:hangingChars="191"/>
        <w:rPr>
          <w:rFonts w:eastAsia="宋体" w:cs="Arial"/>
        </w:rPr>
      </w:pPr>
      <w:r>
        <w:rPr>
          <w:rFonts w:eastAsia="宋体" w:cs="Arial"/>
        </w:rPr>
        <w:t>主射束延伸出主要防护屏障边缘</w:t>
      </w:r>
    </w:p>
    <w:p w14:paraId="22E2B750">
      <w:pPr>
        <w:spacing w:before="187"/>
        <w:ind w:left="2640" w:leftChars="1200"/>
        <w:rPr>
          <w:rFonts w:eastAsia="宋体" w:cs="Arial"/>
        </w:rPr>
      </w:pPr>
      <w:r>
        <w:rPr>
          <w:rFonts w:eastAsia="宋体" w:cs="Arial"/>
        </w:rPr>
        <w:t>附件D提供了不合规事项的分类标准。</w:t>
      </w:r>
    </w:p>
    <w:p w14:paraId="3F10BF2F">
      <w:pPr>
        <w:spacing w:before="187"/>
        <w:ind w:left="2640" w:leftChars="900" w:hanging="660" w:hangingChars="300"/>
        <w:rPr>
          <w:rFonts w:eastAsia="宋体" w:cs="Arial"/>
        </w:rPr>
      </w:pPr>
      <w:r>
        <w:rPr>
          <w:rFonts w:eastAsia="宋体" w:cs="Arial"/>
        </w:rPr>
        <w:t>（8）</w:t>
      </w:r>
      <w:r>
        <w:rPr>
          <w:rFonts w:eastAsia="宋体" w:cs="Arial"/>
        </w:rPr>
        <w:tab/>
      </w:r>
      <w:r>
        <w:rPr>
          <w:rFonts w:eastAsia="宋体" w:cs="Arial"/>
        </w:rPr>
        <w:t>对于疑似A类违规：</w:t>
      </w:r>
    </w:p>
    <w:p w14:paraId="396C10B9">
      <w:pPr>
        <w:pStyle w:val="15"/>
        <w:numPr>
          <w:ilvl w:val="1"/>
          <w:numId w:val="16"/>
        </w:numPr>
        <w:spacing w:before="187"/>
        <w:ind w:left="3300" w:leftChars="1200" w:hanging="660" w:hangingChars="300"/>
        <w:rPr>
          <w:rFonts w:eastAsia="宋体" w:cs="Arial"/>
        </w:rPr>
      </w:pPr>
      <w:r>
        <w:rPr>
          <w:rFonts w:eastAsia="宋体" w:cs="Arial"/>
        </w:rPr>
        <w:t>立即将结果通知用户并告知用户：</w:t>
      </w:r>
    </w:p>
    <w:p w14:paraId="19C8404B">
      <w:pPr>
        <w:pStyle w:val="15"/>
        <w:numPr>
          <w:ilvl w:val="0"/>
          <w:numId w:val="17"/>
        </w:numPr>
        <w:spacing w:before="187"/>
        <w:ind w:left="3720" w:leftChars="1500" w:hangingChars="191"/>
        <w:rPr>
          <w:rFonts w:eastAsia="宋体" w:cs="Arial"/>
        </w:rPr>
      </w:pPr>
      <w:r>
        <w:rPr>
          <w:rFonts w:eastAsia="宋体" w:cs="Arial"/>
        </w:rPr>
        <w:t>应停止对系统的常规使用，直至问题得到纠正。</w:t>
      </w:r>
    </w:p>
    <w:p w14:paraId="542215C9">
      <w:pPr>
        <w:pStyle w:val="15"/>
        <w:numPr>
          <w:ilvl w:val="0"/>
          <w:numId w:val="17"/>
        </w:numPr>
        <w:spacing w:before="187"/>
        <w:ind w:left="3720" w:leftChars="1500" w:hangingChars="191"/>
        <w:rPr>
          <w:rFonts w:eastAsia="宋体" w:cs="Arial"/>
        </w:rPr>
      </w:pPr>
      <w:r>
        <w:rPr>
          <w:rFonts w:eastAsia="宋体" w:cs="Arial"/>
        </w:rPr>
        <w:t>系统运行可能对患者和/或操作者有危险。</w:t>
      </w:r>
    </w:p>
    <w:p w14:paraId="30A9F8E9">
      <w:pPr>
        <w:pStyle w:val="15"/>
        <w:numPr>
          <w:ilvl w:val="0"/>
          <w:numId w:val="17"/>
        </w:numPr>
        <w:spacing w:before="187"/>
        <w:ind w:left="3720" w:leftChars="1500" w:hangingChars="191"/>
        <w:rPr>
          <w:rFonts w:eastAsia="宋体" w:cs="Arial"/>
        </w:rPr>
      </w:pPr>
      <w:r>
        <w:rPr>
          <w:rFonts w:eastAsia="宋体" w:cs="Arial"/>
        </w:rPr>
        <w:t>FDA将确定责任归属，通知责任方和州行政机关并要求采取纠正措施。</w:t>
      </w:r>
    </w:p>
    <w:p w14:paraId="5D77161A">
      <w:pPr>
        <w:pStyle w:val="15"/>
        <w:numPr>
          <w:ilvl w:val="1"/>
          <w:numId w:val="16"/>
        </w:numPr>
        <w:spacing w:before="187"/>
        <w:ind w:left="3300" w:leftChars="1200" w:hanging="660" w:hangingChars="300"/>
        <w:rPr>
          <w:rFonts w:eastAsia="宋体" w:cs="Arial"/>
        </w:rPr>
      </w:pPr>
      <w:r>
        <w:rPr>
          <w:rFonts w:eastAsia="宋体" w:cs="Arial"/>
        </w:rPr>
        <w:t>立即致电审计员并将发现的A类问题告知审计员。</w:t>
      </w:r>
    </w:p>
    <w:p w14:paraId="1E1701DC">
      <w:pPr>
        <w:spacing w:before="187"/>
        <w:ind w:left="2640" w:leftChars="900" w:hanging="660" w:hangingChars="300"/>
        <w:rPr>
          <w:rFonts w:eastAsia="宋体" w:cs="Arial"/>
        </w:rPr>
      </w:pPr>
      <w:r>
        <w:rPr>
          <w:rFonts w:eastAsia="宋体" w:cs="Arial"/>
        </w:rPr>
        <w:t>（9）</w:t>
      </w:r>
      <w:r>
        <w:rPr>
          <w:rFonts w:eastAsia="宋体" w:cs="Arial"/>
        </w:rPr>
        <w:tab/>
      </w:r>
      <w:r>
        <w:rPr>
          <w:rFonts w:eastAsia="宋体" w:cs="Arial"/>
        </w:rPr>
        <w:t>对于疑似B类违规，将结果通知用户并告知用户：</w:t>
      </w:r>
    </w:p>
    <w:p w14:paraId="46FD8A74">
      <w:pPr>
        <w:spacing w:before="187"/>
        <w:ind w:left="3300" w:leftChars="1200" w:hanging="660" w:hangingChars="300"/>
        <w:rPr>
          <w:rFonts w:eastAsia="宋体" w:cs="Arial"/>
        </w:rPr>
      </w:pPr>
      <w:r>
        <w:rPr>
          <w:rFonts w:eastAsia="宋体" w:cs="Arial"/>
        </w:rPr>
        <w:t>（a）</w:t>
      </w:r>
      <w:r>
        <w:rPr>
          <w:rFonts w:eastAsia="宋体" w:cs="Arial"/>
        </w:rPr>
        <w:tab/>
      </w:r>
      <w:r>
        <w:rPr>
          <w:rFonts w:eastAsia="宋体" w:cs="Arial"/>
        </w:rPr>
        <w:t>系统可能未遵从联邦性能标准。</w:t>
      </w:r>
    </w:p>
    <w:p w14:paraId="1F56E1C9">
      <w:pPr>
        <w:spacing w:before="187"/>
        <w:rPr>
          <w:rFonts w:eastAsia="宋体" w:cs="Arial"/>
        </w:rPr>
      </w:pPr>
    </w:p>
    <w:p w14:paraId="20A7598D">
      <w:pPr>
        <w:spacing w:before="187"/>
        <w:rPr>
          <w:rFonts w:eastAsia="宋体" w:cs="Arial"/>
        </w:rPr>
      </w:pPr>
      <w:r>
        <w:rPr>
          <w:rFonts w:eastAsia="宋体" w:cs="Arial"/>
        </w:rPr>
        <w:br w:type="page"/>
      </w:r>
    </w:p>
    <w:p w14:paraId="64B6A48E">
      <w:pPr>
        <w:spacing w:before="187"/>
        <w:ind w:left="3300" w:leftChars="1200" w:hanging="660" w:hangingChars="300"/>
        <w:rPr>
          <w:rFonts w:eastAsia="宋体" w:cs="Arial"/>
        </w:rPr>
      </w:pPr>
      <w:r>
        <w:rPr>
          <w:rFonts w:eastAsia="宋体" w:cs="Arial"/>
        </w:rPr>
        <w:t>（b）</w:t>
      </w:r>
      <w:r>
        <w:rPr>
          <w:rFonts w:eastAsia="宋体" w:cs="Arial"/>
        </w:rPr>
        <w:tab/>
      </w:r>
      <w:r>
        <w:rPr>
          <w:rFonts w:eastAsia="宋体" w:cs="Arial"/>
        </w:rPr>
        <w:t>FDA将通过计算机数据分析确认系统的合规状态。</w:t>
      </w:r>
    </w:p>
    <w:p w14:paraId="716060FA">
      <w:pPr>
        <w:tabs>
          <w:tab w:val="left" w:pos="2640"/>
          <w:tab w:val="left" w:pos="3300"/>
          <w:tab w:val="left" w:pos="8800"/>
        </w:tabs>
        <w:spacing w:before="187"/>
        <w:ind w:left="3300" w:hanging="3300" w:hangingChars="1500"/>
        <w:rPr>
          <w:rFonts w:eastAsia="宋体" w:cs="Arial"/>
        </w:rPr>
      </w:pPr>
      <w:r>
        <w:rPr>
          <w:rFonts w:eastAsia="宋体" w:cs="Arial"/>
        </w:rPr>
        <w:t>*</w:t>
      </w:r>
      <w:r>
        <w:rPr>
          <w:rFonts w:eastAsia="宋体" w:cs="Arial"/>
        </w:rPr>
        <w:tab/>
      </w:r>
      <w:r>
        <w:rPr>
          <w:rFonts w:eastAsia="宋体" w:cs="Arial"/>
        </w:rPr>
        <w:t>（c）</w:t>
      </w:r>
      <w:r>
        <w:rPr>
          <w:rFonts w:eastAsia="宋体" w:cs="Arial"/>
        </w:rPr>
        <w:tab/>
      </w:r>
      <w:r>
        <w:rPr>
          <w:rFonts w:eastAsia="宋体" w:cs="Arial"/>
        </w:rPr>
        <w:t>FDA将确定所有不合规项目的责任归属，通知责任方并要求采取纠正措施，然后将通知副本提供给州行政机关和用户/所有人。</w:t>
      </w:r>
      <w:r>
        <w:rPr>
          <w:rFonts w:eastAsia="宋体" w:cs="Arial"/>
        </w:rPr>
        <w:tab/>
      </w:r>
      <w:r>
        <w:rPr>
          <w:rFonts w:eastAsia="宋体" w:cs="Arial"/>
        </w:rPr>
        <w:t>*</w:t>
      </w:r>
    </w:p>
    <w:p w14:paraId="5BFB1619">
      <w:pPr>
        <w:spacing w:before="187"/>
        <w:ind w:left="2640" w:leftChars="900" w:hanging="660" w:hangingChars="300"/>
        <w:rPr>
          <w:rFonts w:eastAsia="宋体" w:cs="Arial"/>
        </w:rPr>
      </w:pPr>
      <w:r>
        <w:rPr>
          <w:rFonts w:eastAsia="宋体" w:cs="Arial"/>
        </w:rPr>
        <w:t>（10）对于疑似C类结果，告知用户需进行计算机运算确定系统是否合规，而且：</w:t>
      </w:r>
    </w:p>
    <w:p w14:paraId="04F2E0EC">
      <w:pPr>
        <w:pStyle w:val="15"/>
        <w:numPr>
          <w:ilvl w:val="5"/>
          <w:numId w:val="18"/>
        </w:numPr>
        <w:spacing w:before="187"/>
        <w:ind w:left="3300" w:leftChars="1200" w:hanging="660" w:hangingChars="300"/>
        <w:rPr>
          <w:rFonts w:eastAsia="宋体" w:cs="Arial"/>
        </w:rPr>
      </w:pPr>
      <w:r>
        <w:rPr>
          <w:rFonts w:eastAsia="宋体" w:cs="Arial"/>
        </w:rPr>
        <w:t>FDA将确定系统的合规状态。</w:t>
      </w:r>
    </w:p>
    <w:p w14:paraId="128AAD84">
      <w:pPr>
        <w:pStyle w:val="15"/>
        <w:numPr>
          <w:ilvl w:val="5"/>
          <w:numId w:val="18"/>
        </w:numPr>
        <w:spacing w:before="187"/>
        <w:ind w:left="3300" w:leftChars="1200" w:hanging="660" w:hangingChars="300"/>
        <w:rPr>
          <w:rFonts w:eastAsia="宋体" w:cs="Arial"/>
        </w:rPr>
      </w:pPr>
      <w:r>
        <w:rPr>
          <w:rFonts w:eastAsia="宋体" w:cs="Arial"/>
        </w:rPr>
        <w:t>如果系统不合规，FDA将确定责任归属，通知责任方并督促采取纠正措施。</w:t>
      </w:r>
    </w:p>
    <w:p w14:paraId="05C5D339">
      <w:pPr>
        <w:spacing w:before="187"/>
        <w:ind w:left="2640" w:leftChars="900" w:hanging="660" w:hangingChars="300"/>
        <w:rPr>
          <w:rFonts w:eastAsia="宋体" w:cs="Arial"/>
        </w:rPr>
      </w:pPr>
      <w:r>
        <w:rPr>
          <w:rFonts w:eastAsia="宋体" w:cs="Arial"/>
        </w:rPr>
        <w:t>（11）对于疑似D类结果，告知用户，尽管需进行计算机运算确定合规与否，但就被测的具体参数（确认每个参数）而言，系统似乎是合规的。</w:t>
      </w:r>
    </w:p>
    <w:p w14:paraId="1D224A59">
      <w:pPr>
        <w:spacing w:before="187"/>
        <w:ind w:left="2640" w:leftChars="900" w:hanging="660" w:hangingChars="300"/>
        <w:rPr>
          <w:rFonts w:eastAsia="宋体" w:cs="Arial"/>
        </w:rPr>
      </w:pPr>
      <w:r>
        <w:rPr>
          <w:rFonts w:eastAsia="宋体" w:cs="Arial"/>
        </w:rPr>
        <w:t>（12）离开设施前，尝试确定所有不合规项目的责任归属。（参阅附件N获得进一步指导）。</w:t>
      </w:r>
    </w:p>
    <w:p w14:paraId="7200BF40">
      <w:pPr>
        <w:tabs>
          <w:tab w:val="left" w:pos="132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e.</w:t>
      </w:r>
      <w:r>
        <w:rPr>
          <w:rFonts w:eastAsia="宋体" w:cs="Arial"/>
        </w:rPr>
        <w:tab/>
      </w:r>
      <w:r>
        <w:rPr>
          <w:rFonts w:eastAsia="宋体" w:cs="Arial"/>
        </w:rPr>
        <w:t>在疑似A类和B类测试记录上做出标记。将写有</w:t>
      </w:r>
      <w:r>
        <w:rPr>
          <w:rFonts w:ascii="宋体" w:hAnsi="宋体" w:eastAsia="宋体" w:cs="Arial"/>
        </w:rPr>
        <w:t>“</w:t>
      </w:r>
      <w:r>
        <w:rPr>
          <w:rFonts w:eastAsia="宋体" w:cs="Arial"/>
        </w:rPr>
        <w:t>特别关注</w:t>
      </w:r>
      <w:r>
        <w:rPr>
          <w:rFonts w:ascii="宋体" w:hAnsi="宋体" w:eastAsia="宋体" w:cs="Arial"/>
        </w:rPr>
        <w:t>”</w:t>
      </w:r>
      <w:r>
        <w:rPr>
          <w:rFonts w:eastAsia="宋体" w:cs="Arial"/>
        </w:rPr>
        <w:t>字样的贴纸或标签贴在A类测试记录的左上角，提示审计员该记录中有疑似A类结果。带有</w:t>
      </w:r>
      <w:r>
        <w:rPr>
          <w:rFonts w:ascii="宋体" w:hAnsi="宋体" w:eastAsia="宋体" w:cs="Arial"/>
        </w:rPr>
        <w:t>“</w:t>
      </w:r>
      <w:r>
        <w:rPr>
          <w:rFonts w:eastAsia="宋体" w:cs="Arial"/>
        </w:rPr>
        <w:t>B类</w:t>
      </w:r>
      <w:r>
        <w:rPr>
          <w:rFonts w:ascii="宋体" w:hAnsi="宋体" w:eastAsia="宋体" w:cs="Arial"/>
        </w:rPr>
        <w:t>”</w:t>
      </w:r>
      <w:r>
        <w:rPr>
          <w:rFonts w:eastAsia="宋体" w:cs="Arial"/>
        </w:rPr>
        <w:t>字样的指示条或其它适当标识符可满足疑似B类结果的需要。</w:t>
      </w:r>
      <w:r>
        <w:rPr>
          <w:rFonts w:eastAsia="宋体" w:cs="Arial"/>
        </w:rPr>
        <w:tab/>
      </w:r>
      <w:r>
        <w:rPr>
          <w:rFonts w:eastAsia="宋体" w:cs="Arial"/>
        </w:rPr>
        <w:t>*</w:t>
      </w:r>
    </w:p>
    <w:p w14:paraId="148912F4">
      <w:pPr>
        <w:spacing w:before="187"/>
        <w:ind w:left="1980" w:leftChars="600" w:hanging="660" w:hangingChars="300"/>
        <w:rPr>
          <w:rFonts w:eastAsia="宋体" w:cs="Arial"/>
        </w:rPr>
      </w:pPr>
      <w:r>
        <w:rPr>
          <w:rFonts w:eastAsia="宋体" w:cs="Arial"/>
        </w:rPr>
        <w:t>f.</w:t>
      </w:r>
      <w:r>
        <w:rPr>
          <w:rFonts w:eastAsia="宋体" w:cs="Arial"/>
        </w:rPr>
        <w:tab/>
      </w:r>
      <w:r>
        <w:rPr>
          <w:rFonts w:eastAsia="宋体" w:cs="Arial"/>
        </w:rPr>
        <w:t>立即将疑似A类测试记录送达FDA完工管理区审计员，在2个工作日内将疑似B类记录送达FDA完工管理区审计员，在测试后2周内将C类或D类记录送达FDA完工管理区审计员。将原始记录、第一副本和蓝色副本送达完工管理区审计员。将黄色副本予以保留，供审计员对现场测试有疑问时用作参考文件。</w:t>
      </w:r>
    </w:p>
    <w:p w14:paraId="6134ADDC">
      <w:pPr>
        <w:pStyle w:val="15"/>
        <w:numPr>
          <w:ilvl w:val="1"/>
          <w:numId w:val="13"/>
        </w:numPr>
        <w:spacing w:before="187"/>
        <w:ind w:left="1320" w:leftChars="300" w:hanging="660" w:hangingChars="300"/>
        <w:rPr>
          <w:rFonts w:eastAsia="宋体" w:cs="Arial"/>
          <w:u w:val="single"/>
        </w:rPr>
      </w:pPr>
      <w:r>
        <w:rPr>
          <w:rFonts w:eastAsia="宋体" w:cs="Arial"/>
          <w:u w:val="single"/>
        </w:rPr>
        <w:t>审计员活动</w:t>
      </w:r>
    </w:p>
    <w:p w14:paraId="074F5DDE">
      <w:pPr>
        <w:pStyle w:val="15"/>
        <w:numPr>
          <w:ilvl w:val="2"/>
          <w:numId w:val="19"/>
        </w:numPr>
        <w:spacing w:before="187"/>
        <w:ind w:left="1980" w:leftChars="600" w:hanging="660" w:hangingChars="300"/>
        <w:rPr>
          <w:rFonts w:eastAsia="宋体" w:cs="Arial"/>
          <w:u w:val="single"/>
        </w:rPr>
      </w:pPr>
      <w:r>
        <w:rPr>
          <w:rFonts w:eastAsia="宋体" w:cs="Arial"/>
          <w:u w:val="single"/>
        </w:rPr>
        <w:t>质量保证审核</w:t>
      </w:r>
    </w:p>
    <w:p w14:paraId="526073C0">
      <w:pPr>
        <w:spacing w:before="187"/>
        <w:ind w:left="1980" w:leftChars="900"/>
        <w:rPr>
          <w:rFonts w:eastAsia="宋体" w:cs="Arial"/>
        </w:rPr>
      </w:pPr>
      <w:r>
        <w:rPr>
          <w:rFonts w:eastAsia="宋体" w:cs="Arial"/>
        </w:rPr>
        <w:t>完工管理区审计员将：</w:t>
      </w:r>
    </w:p>
    <w:p w14:paraId="1978AB48">
      <w:pPr>
        <w:pStyle w:val="15"/>
        <w:numPr>
          <w:ilvl w:val="3"/>
          <w:numId w:val="20"/>
        </w:numPr>
        <w:spacing w:before="187"/>
        <w:ind w:left="2640" w:leftChars="900" w:hanging="660" w:hangingChars="300"/>
        <w:rPr>
          <w:rFonts w:eastAsia="宋体" w:cs="Arial"/>
        </w:rPr>
      </w:pPr>
      <w:r>
        <w:rPr>
          <w:rFonts w:eastAsia="宋体" w:cs="Arial"/>
        </w:rPr>
        <w:t>按CDRH测试规程手册的规定，通过核实现场测试编辑检查清单，确保测试数据的完整性（参考文件4）。</w:t>
      </w:r>
    </w:p>
    <w:p w14:paraId="153C6F60">
      <w:pPr>
        <w:spacing w:before="187"/>
        <w:rPr>
          <w:rFonts w:eastAsia="宋体" w:cs="Arial"/>
        </w:rPr>
      </w:pPr>
    </w:p>
    <w:p w14:paraId="6C40778B">
      <w:pPr>
        <w:spacing w:before="187"/>
        <w:rPr>
          <w:rFonts w:eastAsia="宋体" w:cs="Arial"/>
        </w:rPr>
      </w:pPr>
      <w:r>
        <w:rPr>
          <w:rFonts w:eastAsia="宋体" w:cs="Arial"/>
        </w:rPr>
        <w:br w:type="page"/>
      </w:r>
    </w:p>
    <w:p w14:paraId="13F3B27E">
      <w:pPr>
        <w:pStyle w:val="15"/>
        <w:numPr>
          <w:ilvl w:val="3"/>
          <w:numId w:val="20"/>
        </w:numPr>
        <w:spacing w:before="187"/>
        <w:ind w:left="2640" w:leftChars="900" w:hanging="660" w:hangingChars="300"/>
        <w:rPr>
          <w:rFonts w:eastAsia="宋体" w:cs="Arial"/>
        </w:rPr>
      </w:pPr>
      <w:r>
        <w:rPr>
          <w:rFonts w:eastAsia="宋体" w:cs="Arial"/>
        </w:rPr>
        <w:t>负责采用XRAYAPSY系统及时输入现场测试数据供CDRH对测试结果进行计算机运算。</w:t>
      </w:r>
    </w:p>
    <w:p w14:paraId="4F3D5D0F">
      <w:pPr>
        <w:pStyle w:val="15"/>
        <w:numPr>
          <w:ilvl w:val="3"/>
          <w:numId w:val="20"/>
        </w:numPr>
        <w:spacing w:before="187"/>
        <w:ind w:left="2640" w:leftChars="900" w:hanging="660" w:hangingChars="300"/>
        <w:rPr>
          <w:rFonts w:eastAsia="宋体" w:cs="Arial"/>
        </w:rPr>
      </w:pPr>
      <w:r>
        <w:rPr>
          <w:rFonts w:eastAsia="宋体" w:cs="Arial"/>
        </w:rPr>
        <w:t>对采用CDRH的计算机输入数据计算所得的所有现场测试结果进行审核，然后，</w:t>
      </w:r>
    </w:p>
    <w:p w14:paraId="38DEAF40">
      <w:pPr>
        <w:pStyle w:val="15"/>
        <w:numPr>
          <w:ilvl w:val="0"/>
          <w:numId w:val="21"/>
        </w:numPr>
        <w:spacing w:before="187"/>
        <w:ind w:left="3080" w:leftChars="1200" w:hanging="440" w:hangingChars="200"/>
        <w:rPr>
          <w:rFonts w:eastAsia="宋体" w:cs="Arial"/>
        </w:rPr>
      </w:pPr>
      <w:r>
        <w:rPr>
          <w:rFonts w:eastAsia="宋体" w:cs="Arial"/>
        </w:rPr>
        <w:t>将被拒绝的FDA测试返回检验员的主管处供采取适当行动。</w:t>
      </w:r>
    </w:p>
    <w:p w14:paraId="15A897CD">
      <w:pPr>
        <w:pStyle w:val="15"/>
        <w:numPr>
          <w:ilvl w:val="0"/>
          <w:numId w:val="21"/>
        </w:numPr>
        <w:spacing w:before="187"/>
        <w:ind w:left="3080" w:leftChars="1200" w:hanging="440" w:hangingChars="200"/>
        <w:rPr>
          <w:rFonts w:eastAsia="宋体" w:cs="Arial"/>
        </w:rPr>
      </w:pPr>
      <w:r>
        <w:rPr>
          <w:rFonts w:eastAsia="宋体" w:cs="Arial"/>
        </w:rPr>
        <w:t>将被拒绝的州行政机关的测试通过地区放射卫生代表返回州行政机关。地区放射卫生代表将与州行政机关一起使测试达到可接受水平。被拒绝的测试将不计入州的协议数中。</w:t>
      </w:r>
    </w:p>
    <w:p w14:paraId="6A9D1E51">
      <w:pPr>
        <w:pStyle w:val="15"/>
        <w:numPr>
          <w:ilvl w:val="3"/>
          <w:numId w:val="20"/>
        </w:numPr>
        <w:spacing w:before="187"/>
        <w:ind w:left="2640" w:leftChars="900" w:hanging="660" w:hangingChars="300"/>
        <w:rPr>
          <w:rFonts w:eastAsia="宋体" w:cs="Arial"/>
        </w:rPr>
      </w:pPr>
      <w:r>
        <w:rPr>
          <w:rFonts w:eastAsia="宋体" w:cs="Arial"/>
        </w:rPr>
        <w:t>根据测试结果按附件D的标准对所有现场测试记录进行分类。</w:t>
      </w:r>
    </w:p>
    <w:p w14:paraId="40B9604A">
      <w:pPr>
        <w:pStyle w:val="15"/>
        <w:numPr>
          <w:ilvl w:val="3"/>
          <w:numId w:val="20"/>
        </w:numPr>
        <w:spacing w:before="187"/>
        <w:ind w:left="2640" w:leftChars="900" w:hanging="660" w:hangingChars="300"/>
        <w:rPr>
          <w:rFonts w:eastAsia="宋体" w:cs="Arial"/>
        </w:rPr>
      </w:pPr>
      <w:r>
        <w:rPr>
          <w:rFonts w:eastAsia="宋体" w:cs="Arial"/>
        </w:rPr>
        <w:t>完成记录审计且现场测试记录为A类时，将现场测试记录副本传真给FDA产地管理区审计员并通过电子邮件将A类现场测试记录事宜通知产地管理区审计员。产地管理区审计员将准备并发送一封警告函。如果现场测试记录为B类，完工管理区审计员将准备一封无标题信函并将其送达装配商。此时无需考虑装配商属于哪个产地管理区。对于B类违规，完工管理区审计员将进行随访并保证对现场纠正行动报告（FCAR）进行计算机更新。</w:t>
      </w:r>
    </w:p>
    <w:p w14:paraId="2C99BF38">
      <w:pPr>
        <w:pStyle w:val="15"/>
        <w:numPr>
          <w:ilvl w:val="2"/>
          <w:numId w:val="19"/>
        </w:numPr>
        <w:spacing w:before="187"/>
        <w:ind w:left="1980" w:leftChars="600" w:hanging="660" w:hangingChars="300"/>
        <w:rPr>
          <w:rFonts w:eastAsia="宋体" w:cs="Arial"/>
          <w:u w:val="single"/>
        </w:rPr>
      </w:pPr>
      <w:r>
        <w:rPr>
          <w:rFonts w:eastAsia="宋体" w:cs="Arial"/>
          <w:u w:val="single"/>
        </w:rPr>
        <w:t>证据收集</w:t>
      </w:r>
    </w:p>
    <w:p w14:paraId="6A305663">
      <w:pPr>
        <w:spacing w:before="187"/>
        <w:ind w:left="1980" w:leftChars="900"/>
        <w:rPr>
          <w:rFonts w:eastAsia="宋体" w:cs="Arial"/>
        </w:rPr>
      </w:pPr>
      <w:r>
        <w:rPr>
          <w:rFonts w:eastAsia="宋体" w:cs="Arial"/>
        </w:rPr>
        <w:t>产地管理区审计员将：</w:t>
      </w:r>
    </w:p>
    <w:p w14:paraId="75C87865">
      <w:pPr>
        <w:spacing w:before="187"/>
        <w:ind w:left="2640" w:leftChars="900" w:hanging="660" w:hangingChars="300"/>
        <w:rPr>
          <w:rFonts w:eastAsia="宋体" w:cs="Arial"/>
        </w:rPr>
      </w:pPr>
      <w:r>
        <w:rPr>
          <w:rFonts w:eastAsia="宋体" w:cs="Arial"/>
        </w:rPr>
        <w:t>（1）</w:t>
      </w:r>
      <w:r>
        <w:rPr>
          <w:rFonts w:eastAsia="宋体" w:cs="Arial"/>
        </w:rPr>
        <w:tab/>
      </w:r>
      <w:r>
        <w:rPr>
          <w:rFonts w:eastAsia="宋体" w:cs="Arial"/>
        </w:rPr>
        <w:t>在考虑涉及装配商的监管随访建议时，对责任做出全面认定。该认定至少应包括对下列所有因素的评价：</w:t>
      </w:r>
    </w:p>
    <w:p w14:paraId="2D16290F">
      <w:pPr>
        <w:pStyle w:val="15"/>
        <w:numPr>
          <w:ilvl w:val="0"/>
          <w:numId w:val="22"/>
        </w:numPr>
        <w:spacing w:before="187"/>
        <w:ind w:left="3060" w:leftChars="1200" w:hangingChars="191"/>
        <w:rPr>
          <w:rFonts w:eastAsia="宋体" w:cs="Arial"/>
        </w:rPr>
      </w:pPr>
      <w:r>
        <w:rPr>
          <w:rFonts w:eastAsia="宋体" w:cs="Arial"/>
        </w:rPr>
        <w:t>现场测试数据和计算结果</w:t>
      </w:r>
    </w:p>
    <w:p w14:paraId="08CC82F7">
      <w:pPr>
        <w:pStyle w:val="15"/>
        <w:numPr>
          <w:ilvl w:val="0"/>
          <w:numId w:val="22"/>
        </w:numPr>
        <w:spacing w:before="187"/>
        <w:ind w:left="3060" w:leftChars="1200" w:hangingChars="191"/>
        <w:rPr>
          <w:rFonts w:eastAsia="宋体" w:cs="Arial"/>
        </w:rPr>
      </w:pPr>
      <w:r>
        <w:rPr>
          <w:rFonts w:eastAsia="宋体" w:cs="Arial"/>
        </w:rPr>
        <w:t>对所有通知函/致用户函的回复</w:t>
      </w:r>
    </w:p>
    <w:p w14:paraId="72FDE7DC">
      <w:pPr>
        <w:pStyle w:val="15"/>
        <w:numPr>
          <w:ilvl w:val="0"/>
          <w:numId w:val="22"/>
        </w:numPr>
        <w:spacing w:before="187"/>
        <w:ind w:left="3060" w:leftChars="1200" w:hangingChars="191"/>
        <w:rPr>
          <w:rFonts w:eastAsia="宋体" w:cs="Arial"/>
        </w:rPr>
      </w:pPr>
      <w:r>
        <w:rPr>
          <w:rFonts w:eastAsia="宋体" w:cs="Arial"/>
        </w:rPr>
        <w:t>为纠正违规所采取的纠正类型（调整和组件替换）</w:t>
      </w:r>
    </w:p>
    <w:p w14:paraId="160B6BDD">
      <w:pPr>
        <w:pStyle w:val="15"/>
        <w:numPr>
          <w:ilvl w:val="0"/>
          <w:numId w:val="22"/>
        </w:numPr>
        <w:spacing w:before="187"/>
        <w:ind w:left="3060" w:leftChars="1200" w:hangingChars="191"/>
        <w:rPr>
          <w:rFonts w:eastAsia="宋体" w:cs="Arial"/>
        </w:rPr>
      </w:pPr>
      <w:r>
        <w:rPr>
          <w:rFonts w:eastAsia="宋体" w:cs="Arial"/>
        </w:rPr>
        <w:t>设备维护时间安排和维护记录</w:t>
      </w:r>
    </w:p>
    <w:p w14:paraId="16603F10">
      <w:pPr>
        <w:pStyle w:val="15"/>
        <w:numPr>
          <w:ilvl w:val="0"/>
          <w:numId w:val="22"/>
        </w:numPr>
        <w:spacing w:before="187"/>
        <w:ind w:left="3060" w:leftChars="1200" w:hangingChars="191"/>
        <w:rPr>
          <w:rFonts w:eastAsia="宋体" w:cs="Arial"/>
        </w:rPr>
      </w:pPr>
      <w:r>
        <w:rPr>
          <w:rFonts w:eastAsia="宋体" w:cs="Arial"/>
        </w:rPr>
        <w:t>所有既往检修纠正记录</w:t>
      </w:r>
    </w:p>
    <w:p w14:paraId="3EB886F4">
      <w:pPr>
        <w:pStyle w:val="15"/>
        <w:numPr>
          <w:ilvl w:val="0"/>
          <w:numId w:val="22"/>
        </w:numPr>
        <w:spacing w:before="187"/>
        <w:ind w:left="3060" w:leftChars="1200" w:hangingChars="191"/>
        <w:rPr>
          <w:rFonts w:eastAsia="宋体" w:cs="Arial"/>
        </w:rPr>
      </w:pPr>
      <w:r>
        <w:rPr>
          <w:rFonts w:eastAsia="宋体" w:cs="Arial"/>
        </w:rPr>
        <w:t>对装配商的企业进行检查期间收集的信息</w:t>
      </w:r>
    </w:p>
    <w:p w14:paraId="07914805">
      <w:pPr>
        <w:spacing w:before="187"/>
        <w:rPr>
          <w:rFonts w:eastAsia="宋体" w:cs="Arial"/>
        </w:rPr>
      </w:pPr>
    </w:p>
    <w:p w14:paraId="1A0B873A">
      <w:pPr>
        <w:spacing w:before="187"/>
        <w:rPr>
          <w:rFonts w:eastAsia="宋体" w:cs="Arial"/>
        </w:rPr>
      </w:pPr>
      <w:r>
        <w:rPr>
          <w:rFonts w:eastAsia="宋体" w:cs="Arial"/>
        </w:rPr>
        <w:br w:type="page"/>
      </w:r>
    </w:p>
    <w:p w14:paraId="5DF25CD4">
      <w:pPr>
        <w:spacing w:before="187"/>
        <w:ind w:left="2640" w:leftChars="1200"/>
        <w:rPr>
          <w:rFonts w:eastAsia="宋体" w:cs="Arial"/>
        </w:rPr>
      </w:pPr>
      <w:r>
        <w:rPr>
          <w:rFonts w:eastAsia="宋体" w:cs="Arial"/>
        </w:rPr>
        <w:t>除非有明确的文书证据证明违规可归因于不当装配，否则不能由装配商负责。</w:t>
      </w:r>
    </w:p>
    <w:p w14:paraId="01D17DAE">
      <w:pPr>
        <w:spacing w:before="187"/>
        <w:ind w:left="2640" w:leftChars="1200"/>
        <w:rPr>
          <w:rFonts w:eastAsia="宋体" w:cs="Arial"/>
        </w:rPr>
      </w:pPr>
      <w:r>
        <w:rPr>
          <w:rFonts w:eastAsia="宋体" w:cs="Arial"/>
        </w:rPr>
        <w:t>如果检修报告显示仅对一个组件进行了调整，则推定有装配商安装出错的证据。然而，替换一个有缺陷组件可能预示了制造商的问题，而且这意味着缺乏装配商责任的可信证据。由审计员或CDRH工程师收集其它证据可能实属必要。</w:t>
      </w:r>
    </w:p>
    <w:p w14:paraId="6ACF33CF">
      <w:pPr>
        <w:spacing w:before="187"/>
        <w:ind w:left="2640" w:leftChars="900" w:hanging="660" w:hangingChars="300"/>
        <w:rPr>
          <w:rFonts w:eastAsia="宋体" w:cs="Arial"/>
        </w:rPr>
      </w:pPr>
      <w:r>
        <w:rPr>
          <w:rFonts w:eastAsia="宋体" w:cs="Arial"/>
        </w:rPr>
        <w:t>（2）</w:t>
      </w:r>
      <w:r>
        <w:rPr>
          <w:rFonts w:eastAsia="宋体" w:cs="Arial"/>
        </w:rPr>
        <w:tab/>
      </w:r>
      <w:r>
        <w:rPr>
          <w:rFonts w:eastAsia="宋体" w:cs="Arial"/>
        </w:rPr>
        <w:t>确保将产地管理区采取的所有现场纠正行动加入CDRH数据库，并具备正确的责任方认定。</w:t>
      </w:r>
    </w:p>
    <w:p w14:paraId="177583E9">
      <w:pPr>
        <w:spacing w:before="187"/>
        <w:ind w:left="2640" w:leftChars="900" w:hanging="660" w:hangingChars="300"/>
        <w:rPr>
          <w:rFonts w:eastAsia="宋体" w:cs="Arial"/>
        </w:rPr>
      </w:pPr>
      <w:r>
        <w:rPr>
          <w:rFonts w:eastAsia="宋体" w:cs="Arial"/>
        </w:rPr>
        <w:t>（3）</w:t>
      </w:r>
      <w:r>
        <w:rPr>
          <w:rFonts w:eastAsia="宋体" w:cs="Arial"/>
        </w:rPr>
        <w:tab/>
      </w:r>
      <w:r>
        <w:rPr>
          <w:rFonts w:eastAsia="宋体" w:cs="Arial"/>
        </w:rPr>
        <w:t>在编制证明文件和收集监管随访所需证据的过程中，请求完工管理区审计员提供援助。</w:t>
      </w:r>
    </w:p>
    <w:p w14:paraId="1614B8B1">
      <w:pPr>
        <w:spacing w:before="187"/>
        <w:ind w:left="2640" w:leftChars="900" w:hanging="660" w:hangingChars="300"/>
        <w:rPr>
          <w:rFonts w:eastAsia="宋体" w:cs="Arial"/>
        </w:rPr>
      </w:pPr>
      <w:r>
        <w:rPr>
          <w:rFonts w:eastAsia="宋体" w:cs="Arial"/>
        </w:rPr>
        <w:t>（4）</w:t>
      </w:r>
      <w:r>
        <w:rPr>
          <w:rFonts w:eastAsia="宋体" w:cs="Arial"/>
        </w:rPr>
        <w:tab/>
      </w:r>
      <w:r>
        <w:rPr>
          <w:rFonts w:eastAsia="宋体" w:cs="Arial"/>
        </w:rPr>
        <w:t>收集现场测试结果、对通知函或警告函的回复、装配商的工程指令、现场测试随访数据等并确认应考虑适用监管随访建议的装配商。审计员将根据第II部分B.3和CPG 7133.12的规定准备一个转移备忘录，对违规事项、证据和民事处罚和/或装配商召回的相应行动建议加以描述。</w:t>
      </w:r>
    </w:p>
    <w:p w14:paraId="111650B5">
      <w:pPr>
        <w:tabs>
          <w:tab w:val="left" w:pos="1980"/>
          <w:tab w:val="left" w:pos="2640"/>
          <w:tab w:val="left" w:pos="8800"/>
        </w:tabs>
        <w:spacing w:before="187"/>
        <w:rPr>
          <w:rFonts w:eastAsia="宋体" w:cs="Arial"/>
        </w:rPr>
      </w:pPr>
      <w:r>
        <w:rPr>
          <w:rFonts w:eastAsia="宋体" w:cs="Arial"/>
        </w:rPr>
        <w:t>*</w:t>
      </w:r>
      <w:r>
        <w:rPr>
          <w:rFonts w:eastAsia="宋体" w:cs="Arial"/>
        </w:rPr>
        <w:tab/>
      </w:r>
      <w:r>
        <w:rPr>
          <w:rFonts w:eastAsia="宋体" w:cs="Arial"/>
        </w:rPr>
        <w:t>（5）</w:t>
      </w:r>
      <w:r>
        <w:rPr>
          <w:rFonts w:eastAsia="宋体" w:cs="Arial"/>
        </w:rPr>
        <w:tab/>
      </w:r>
      <w:r>
        <w:rPr>
          <w:rFonts w:eastAsia="宋体" w:cs="Arial"/>
        </w:rPr>
        <w:t>签发前协助管理区确保所有通知函或警告函完整、准确。</w:t>
      </w:r>
      <w:r>
        <w:rPr>
          <w:rFonts w:eastAsia="宋体" w:cs="Arial"/>
        </w:rPr>
        <w:tab/>
      </w:r>
      <w:r>
        <w:rPr>
          <w:rFonts w:eastAsia="宋体" w:cs="Arial"/>
        </w:rPr>
        <w:t>*</w:t>
      </w:r>
    </w:p>
    <w:p w14:paraId="5E6CECE9">
      <w:pPr>
        <w:pStyle w:val="15"/>
        <w:numPr>
          <w:ilvl w:val="2"/>
          <w:numId w:val="19"/>
        </w:numPr>
        <w:spacing w:before="187"/>
        <w:ind w:left="1980" w:leftChars="600" w:hanging="660" w:hangingChars="300"/>
        <w:rPr>
          <w:rFonts w:eastAsia="宋体" w:cs="Arial"/>
          <w:u w:val="single"/>
        </w:rPr>
      </w:pPr>
      <w:r>
        <w:rPr>
          <w:rFonts w:eastAsia="宋体" w:cs="Arial"/>
          <w:u w:val="single"/>
        </w:rPr>
        <w:t>质量保证审查</w:t>
      </w:r>
    </w:p>
    <w:p w14:paraId="6BB8C0D4">
      <w:pPr>
        <w:spacing w:before="187"/>
        <w:ind w:left="1980" w:leftChars="900"/>
        <w:rPr>
          <w:rFonts w:eastAsia="宋体" w:cs="Arial"/>
        </w:rPr>
      </w:pPr>
      <w:r>
        <w:rPr>
          <w:rFonts w:eastAsia="宋体" w:cs="Arial"/>
        </w:rPr>
        <w:t>对FDA和州行政机关工作人员实施现场质量保证审查，确保他们熟练进行诊断用X射线装置的现场测试。</w:t>
      </w:r>
    </w:p>
    <w:p w14:paraId="3DDB0A65">
      <w:pPr>
        <w:spacing w:before="187"/>
        <w:ind w:left="1980" w:leftChars="900"/>
        <w:rPr>
          <w:rFonts w:eastAsia="宋体" w:cs="Arial"/>
        </w:rPr>
      </w:pPr>
      <w:r>
        <w:rPr>
          <w:rFonts w:eastAsia="宋体" w:cs="Arial"/>
        </w:rPr>
        <w:t>每人每财年至少要进行2次联合审查。对每年至少进行10次现场测试的工作人员应进行审查（可参阅现场管理指令第76号获取进一步指南）。对每年进行10次以下现场测试的工作人员将根据需要进行审查。审查应为：</w:t>
      </w:r>
    </w:p>
    <w:p w14:paraId="7B1D9B63">
      <w:pPr>
        <w:pStyle w:val="15"/>
        <w:numPr>
          <w:ilvl w:val="0"/>
          <w:numId w:val="23"/>
        </w:numPr>
        <w:spacing w:before="187"/>
        <w:ind w:left="2400" w:leftChars="900" w:hangingChars="191"/>
        <w:rPr>
          <w:rFonts w:eastAsia="宋体" w:cs="Arial"/>
        </w:rPr>
      </w:pPr>
      <w:r>
        <w:rPr>
          <w:rFonts w:eastAsia="宋体" w:cs="Arial"/>
        </w:rPr>
        <w:t>与被审查人员一起进行联合现场测试，或</w:t>
      </w:r>
    </w:p>
    <w:p w14:paraId="189C1A92">
      <w:pPr>
        <w:pStyle w:val="15"/>
        <w:numPr>
          <w:ilvl w:val="0"/>
          <w:numId w:val="23"/>
        </w:numPr>
        <w:spacing w:before="187"/>
        <w:ind w:left="2400" w:leftChars="900" w:hangingChars="191"/>
        <w:rPr>
          <w:rFonts w:eastAsia="宋体" w:cs="Arial"/>
        </w:rPr>
      </w:pPr>
      <w:r>
        <w:rPr>
          <w:rFonts w:eastAsia="宋体" w:cs="Arial"/>
        </w:rPr>
        <w:t>初次测试后30天内由被审查人员对同一装置进行随访再测试。</w:t>
      </w:r>
    </w:p>
    <w:p w14:paraId="1048EF12">
      <w:pPr>
        <w:pStyle w:val="15"/>
        <w:numPr>
          <w:ilvl w:val="2"/>
          <w:numId w:val="19"/>
        </w:numPr>
        <w:spacing w:before="187"/>
        <w:ind w:left="1980" w:leftChars="600" w:hanging="660" w:hangingChars="300"/>
        <w:rPr>
          <w:rFonts w:eastAsia="宋体" w:cs="Arial"/>
          <w:u w:val="single"/>
        </w:rPr>
      </w:pPr>
      <w:r>
        <w:rPr>
          <w:rFonts w:eastAsia="宋体" w:cs="Arial"/>
          <w:u w:val="single"/>
        </w:rPr>
        <w:t>培训</w:t>
      </w:r>
    </w:p>
    <w:p w14:paraId="374A0F50">
      <w:pPr>
        <w:spacing w:before="187"/>
        <w:rPr>
          <w:rFonts w:eastAsia="宋体" w:cs="Arial"/>
        </w:rPr>
      </w:pPr>
    </w:p>
    <w:p w14:paraId="6E584950">
      <w:pPr>
        <w:spacing w:before="187"/>
        <w:rPr>
          <w:rFonts w:eastAsia="宋体" w:cs="Arial"/>
        </w:rPr>
      </w:pPr>
      <w:r>
        <w:rPr>
          <w:rFonts w:eastAsia="宋体" w:cs="Arial"/>
        </w:rPr>
        <w:br w:type="page"/>
      </w:r>
    </w:p>
    <w:p w14:paraId="3A312467">
      <w:pPr>
        <w:spacing w:before="187"/>
        <w:ind w:left="1980" w:leftChars="900"/>
        <w:rPr>
          <w:rFonts w:eastAsia="宋体" w:cs="Arial"/>
        </w:rPr>
      </w:pPr>
      <w:r>
        <w:rPr>
          <w:rFonts w:eastAsia="宋体" w:cs="Arial"/>
        </w:rPr>
        <w:t>为FDA和州行政机关的所有新任检验员提供在职培训，其中应包含下列数量的X射线现场测试：</w:t>
      </w:r>
    </w:p>
    <w:p w14:paraId="2325818E">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在现场测试记录上可出现一个以上人员的名字，但第1个名字是获得调查授权的主检验员。</w:t>
      </w:r>
    </w:p>
    <w:p w14:paraId="2BDBB6A1">
      <w:pPr>
        <w:spacing w:before="187"/>
        <w:ind w:left="1980" w:leftChars="900"/>
        <w:rPr>
          <w:rFonts w:eastAsia="宋体" w:cs="Arial"/>
        </w:rPr>
      </w:pPr>
      <w:r>
        <w:rPr>
          <w:rFonts w:eastAsia="宋体" w:cs="Arial"/>
        </w:rPr>
        <w:t>台上X射线源放射摄影和kVp测定（至少3次）。</w:t>
      </w:r>
    </w:p>
    <w:p w14:paraId="2B9F2758">
      <w:pPr>
        <w:spacing w:before="187"/>
        <w:ind w:left="1980" w:leftChars="900"/>
        <w:rPr>
          <w:rFonts w:eastAsia="宋体" w:cs="Arial"/>
        </w:rPr>
      </w:pPr>
      <w:r>
        <w:rPr>
          <w:rFonts w:eastAsia="宋体" w:cs="Arial"/>
        </w:rPr>
        <w:t>台下X射线源透视点片系统（至少3次）。</w:t>
      </w:r>
    </w:p>
    <w:p w14:paraId="6A6BCC87">
      <w:pPr>
        <w:spacing w:before="187"/>
        <w:ind w:left="1980" w:leftChars="900"/>
        <w:rPr>
          <w:rFonts w:eastAsia="宋体" w:cs="Arial"/>
        </w:rPr>
      </w:pPr>
      <w:r>
        <w:rPr>
          <w:rFonts w:eastAsia="宋体" w:cs="Arial"/>
        </w:rPr>
        <w:t>C臂透视系统（至少1次）</w:t>
      </w:r>
    </w:p>
    <w:p w14:paraId="3F90E45A">
      <w:pPr>
        <w:spacing w:before="187"/>
        <w:ind w:left="1980" w:leftChars="900"/>
        <w:rPr>
          <w:rFonts w:eastAsia="宋体" w:cs="Arial"/>
        </w:rPr>
      </w:pPr>
      <w:r>
        <w:rPr>
          <w:rFonts w:eastAsia="宋体" w:cs="Arial"/>
        </w:rPr>
        <w:t>移动放射摄影系统（至少1次）</w:t>
      </w:r>
    </w:p>
    <w:p w14:paraId="557A82A8">
      <w:pPr>
        <w:spacing w:before="187"/>
        <w:ind w:left="1980" w:leftChars="900"/>
        <w:rPr>
          <w:rFonts w:eastAsia="宋体" w:cs="Arial"/>
        </w:rPr>
      </w:pPr>
      <w:r>
        <w:rPr>
          <w:rFonts w:eastAsia="宋体" w:cs="Arial"/>
        </w:rPr>
        <w:t>进行在职培训前，确保受训者看过CDRH关于现场测试规程的录像带或完成该中心的检验员培训课程。</w:t>
      </w:r>
    </w:p>
    <w:p w14:paraId="2D66466A">
      <w:pPr>
        <w:pStyle w:val="15"/>
        <w:numPr>
          <w:ilvl w:val="2"/>
          <w:numId w:val="19"/>
        </w:numPr>
        <w:spacing w:before="187"/>
        <w:ind w:left="1980" w:leftChars="600" w:hanging="660" w:hangingChars="300"/>
        <w:rPr>
          <w:rFonts w:eastAsia="宋体" w:cs="Arial"/>
          <w:u w:val="single"/>
        </w:rPr>
      </w:pPr>
      <w:r>
        <w:rPr>
          <w:rFonts w:eastAsia="宋体" w:cs="Arial"/>
          <w:u w:val="single"/>
        </w:rPr>
        <w:t>公众联络</w:t>
      </w:r>
    </w:p>
    <w:p w14:paraId="7A6D9E2B">
      <w:pPr>
        <w:spacing w:before="187"/>
        <w:ind w:left="1980" w:leftChars="900"/>
        <w:rPr>
          <w:rFonts w:eastAsia="宋体" w:cs="Arial"/>
        </w:rPr>
      </w:pPr>
      <w:r>
        <w:rPr>
          <w:rFonts w:eastAsia="宋体" w:cs="Arial"/>
        </w:rPr>
        <w:t>在数组放射专业人员（如放射科医生、技术专家和物理学家）面前介绍诊断用X射线标准的各个方面。</w:t>
      </w:r>
    </w:p>
    <w:p w14:paraId="523D5981">
      <w:pPr>
        <w:pStyle w:val="15"/>
        <w:numPr>
          <w:ilvl w:val="1"/>
          <w:numId w:val="13"/>
        </w:numPr>
        <w:spacing w:before="187"/>
        <w:ind w:left="1320" w:leftChars="300" w:hanging="660" w:hangingChars="300"/>
        <w:rPr>
          <w:rFonts w:eastAsia="宋体" w:cs="Arial"/>
          <w:u w:val="single"/>
        </w:rPr>
      </w:pPr>
      <w:r>
        <w:rPr>
          <w:rFonts w:eastAsia="宋体" w:cs="Arial"/>
          <w:u w:val="single"/>
        </w:rPr>
        <w:t>对FDA 2579文件</w:t>
      </w:r>
      <w:r>
        <w:rPr>
          <w:rFonts w:ascii="宋体" w:hAnsi="宋体" w:eastAsia="宋体" w:cs="Arial"/>
          <w:u w:val="single"/>
        </w:rPr>
        <w:t>“</w:t>
      </w:r>
      <w:r>
        <w:rPr>
          <w:rFonts w:eastAsia="宋体" w:cs="Arial"/>
          <w:u w:val="single"/>
        </w:rPr>
        <w:t>诊断用（医用）X射线系统装配报告</w:t>
      </w:r>
      <w:r>
        <w:rPr>
          <w:rFonts w:ascii="宋体" w:hAnsi="宋体" w:eastAsia="宋体" w:cs="Arial"/>
          <w:u w:val="single"/>
        </w:rPr>
        <w:t>”</w:t>
      </w:r>
      <w:r>
        <w:rPr>
          <w:rFonts w:eastAsia="宋体" w:cs="Arial"/>
          <w:u w:val="single"/>
        </w:rPr>
        <w:t>的审核/维护</w:t>
      </w:r>
    </w:p>
    <w:p w14:paraId="3B9CFABC">
      <w:pPr>
        <w:spacing w:before="187"/>
        <w:ind w:left="1320" w:leftChars="600"/>
        <w:rPr>
          <w:rFonts w:eastAsia="宋体" w:cs="Arial"/>
        </w:rPr>
      </w:pPr>
      <w:r>
        <w:rPr>
          <w:rFonts w:eastAsia="宋体" w:cs="Arial"/>
        </w:rPr>
        <w:t>装配商所在的产地管理区将：</w:t>
      </w:r>
    </w:p>
    <w:p w14:paraId="4BA2C64F">
      <w:pPr>
        <w:pStyle w:val="15"/>
        <w:numPr>
          <w:ilvl w:val="2"/>
          <w:numId w:val="24"/>
        </w:numPr>
        <w:spacing w:before="187"/>
        <w:ind w:left="1980" w:leftChars="600" w:hanging="660" w:hangingChars="300"/>
        <w:rPr>
          <w:rFonts w:eastAsia="宋体" w:cs="Arial"/>
        </w:rPr>
      </w:pPr>
      <w:r>
        <w:rPr>
          <w:rFonts w:eastAsia="宋体" w:cs="Arial"/>
        </w:rPr>
        <w:t>于安装后对FDA 2579表的所有原件至少维护3年。此后可根据FDA的记录维护时间表将这些文件转移至国家档案处。获批FDA记录维护时间表可在</w:t>
      </w:r>
      <w:r>
        <w:fldChar w:fldCharType="begin"/>
      </w:r>
      <w:r>
        <w:instrText xml:space="preserve"> HYPERLINK "http://intranet.fda.gov/omp/records/fdarcs_htm/titlepage.htm" </w:instrText>
      </w:r>
      <w:r>
        <w:fldChar w:fldCharType="separate"/>
      </w:r>
      <w:r>
        <w:rPr>
          <w:rStyle w:val="10"/>
          <w:rFonts w:eastAsia="宋体" w:cs="Arial"/>
        </w:rPr>
        <w:t>http://intranet.fda.gov/omp/records/fdarcs_htm/titlepage.htm</w:t>
      </w:r>
      <w:r>
        <w:rPr>
          <w:rStyle w:val="10"/>
          <w:rFonts w:eastAsia="宋体" w:cs="Arial"/>
        </w:rPr>
        <w:fldChar w:fldCharType="end"/>
      </w:r>
      <w:r>
        <w:rPr>
          <w:rFonts w:eastAsia="宋体" w:cs="Arial"/>
        </w:rPr>
        <w:t>查询。</w:t>
      </w:r>
    </w:p>
    <w:p w14:paraId="0D6191D5">
      <w:pPr>
        <w:pStyle w:val="15"/>
        <w:numPr>
          <w:ilvl w:val="2"/>
          <w:numId w:val="24"/>
        </w:numPr>
        <w:spacing w:before="187"/>
        <w:ind w:left="1980" w:leftChars="600" w:hanging="660" w:hangingChars="300"/>
        <w:rPr>
          <w:rFonts w:eastAsia="宋体" w:cs="Arial"/>
        </w:rPr>
      </w:pPr>
      <w:r>
        <w:rPr>
          <w:rFonts w:eastAsia="宋体" w:cs="Arial"/>
        </w:rPr>
        <w:t>当持有问题装配商的证据时，可安排进行装配商检查原因，审核FDA 2579表查找错误。对需要纠正的项目应标示出来供检查时讨论。</w:t>
      </w:r>
    </w:p>
    <w:p w14:paraId="0856E0CD">
      <w:pPr>
        <w:pStyle w:val="15"/>
        <w:numPr>
          <w:ilvl w:val="3"/>
          <w:numId w:val="25"/>
        </w:numPr>
        <w:spacing w:before="187"/>
        <w:ind w:left="2640" w:leftChars="900" w:hanging="660" w:hangingChars="300"/>
        <w:rPr>
          <w:rFonts w:eastAsia="宋体" w:cs="Arial"/>
        </w:rPr>
      </w:pPr>
      <w:r>
        <w:rPr>
          <w:rFonts w:eastAsia="宋体" w:cs="Arial"/>
          <w:u w:val="single"/>
        </w:rPr>
        <w:t>小幅纠正</w:t>
      </w:r>
      <w:r>
        <w:rPr>
          <w:rFonts w:eastAsia="宋体" w:cs="Arial"/>
        </w:rPr>
        <w:t>涉及不影响合规性的项目（如遗漏装配日期或装配日期错误（3e模块）或组件型号标识符错误）且可经装配商核实后直接在表上纠正。</w:t>
      </w:r>
    </w:p>
    <w:p w14:paraId="5D837ED0">
      <w:pPr>
        <w:pStyle w:val="15"/>
        <w:numPr>
          <w:ilvl w:val="0"/>
          <w:numId w:val="26"/>
        </w:numPr>
        <w:spacing w:before="187"/>
        <w:ind w:left="3080" w:leftChars="1200" w:hanging="440" w:hangingChars="200"/>
        <w:rPr>
          <w:rFonts w:eastAsia="宋体" w:cs="Arial"/>
        </w:rPr>
      </w:pPr>
      <w:r>
        <w:rPr>
          <w:rFonts w:eastAsia="宋体" w:cs="Arial"/>
        </w:rPr>
        <w:t>用红墨水进行纠正。</w:t>
      </w:r>
    </w:p>
    <w:p w14:paraId="28454454">
      <w:pPr>
        <w:spacing w:before="187"/>
        <w:rPr>
          <w:rFonts w:eastAsia="宋体" w:cs="Arial"/>
        </w:rPr>
      </w:pPr>
    </w:p>
    <w:p w14:paraId="299FA409">
      <w:pPr>
        <w:spacing w:before="187"/>
        <w:rPr>
          <w:rFonts w:eastAsia="宋体" w:cs="Arial"/>
        </w:rPr>
      </w:pPr>
      <w:r>
        <w:rPr>
          <w:rFonts w:eastAsia="宋体" w:cs="Arial"/>
        </w:rPr>
        <w:br w:type="page"/>
      </w:r>
    </w:p>
    <w:p w14:paraId="380A5294">
      <w:pPr>
        <w:pStyle w:val="15"/>
        <w:numPr>
          <w:ilvl w:val="0"/>
          <w:numId w:val="26"/>
        </w:numPr>
        <w:spacing w:before="187"/>
        <w:ind w:left="3080" w:leftChars="1200" w:hanging="440" w:hangingChars="200"/>
        <w:rPr>
          <w:rFonts w:eastAsia="宋体" w:cs="Arial"/>
        </w:rPr>
      </w:pPr>
      <w:r>
        <w:rPr>
          <w:rFonts w:eastAsia="宋体" w:cs="Arial"/>
        </w:rPr>
        <w:t>在右上角注明日期和表格首字母。</w:t>
      </w:r>
    </w:p>
    <w:p w14:paraId="07D6EACE">
      <w:pPr>
        <w:pStyle w:val="15"/>
        <w:numPr>
          <w:ilvl w:val="3"/>
          <w:numId w:val="25"/>
        </w:numPr>
        <w:spacing w:before="187"/>
        <w:ind w:left="2640" w:leftChars="900" w:hanging="660" w:hangingChars="300"/>
        <w:rPr>
          <w:rFonts w:eastAsia="宋体" w:cs="Arial"/>
        </w:rPr>
      </w:pPr>
      <w:r>
        <w:rPr>
          <w:rFonts w:hint="eastAsia" w:eastAsia="宋体" w:cs="Arial"/>
          <w:u w:val="single"/>
        </w:rPr>
        <w:t>重大纠正</w:t>
      </w:r>
      <w:r>
        <w:rPr>
          <w:rFonts w:eastAsia="宋体" w:cs="Arial"/>
        </w:rPr>
        <w:t>涉及：</w:t>
      </w:r>
    </w:p>
    <w:p w14:paraId="0A06193C">
      <w:pPr>
        <w:pStyle w:val="15"/>
        <w:numPr>
          <w:ilvl w:val="0"/>
          <w:numId w:val="26"/>
        </w:numPr>
        <w:spacing w:before="187"/>
        <w:ind w:left="3080" w:leftChars="1200" w:hanging="440" w:hangingChars="200"/>
        <w:rPr>
          <w:rFonts w:eastAsia="宋体" w:cs="Arial"/>
        </w:rPr>
      </w:pPr>
      <w:r>
        <w:rPr>
          <w:rFonts w:eastAsia="宋体" w:cs="Arial"/>
        </w:rPr>
        <w:t>装配商未在表格上签名。</w:t>
      </w:r>
    </w:p>
    <w:p w14:paraId="011EB14E">
      <w:pPr>
        <w:pStyle w:val="15"/>
        <w:numPr>
          <w:ilvl w:val="0"/>
          <w:numId w:val="26"/>
        </w:numPr>
        <w:spacing w:before="187"/>
        <w:ind w:left="3080" w:leftChars="1200" w:hanging="440" w:hangingChars="200"/>
        <w:rPr>
          <w:rFonts w:eastAsia="宋体" w:cs="Arial"/>
        </w:rPr>
      </w:pPr>
      <w:r>
        <w:rPr>
          <w:rFonts w:eastAsia="宋体" w:cs="Arial"/>
        </w:rPr>
        <w:t>未输入设施名、城市名或州名（模块1）。</w:t>
      </w:r>
    </w:p>
    <w:p w14:paraId="47686975">
      <w:pPr>
        <w:pStyle w:val="15"/>
        <w:numPr>
          <w:ilvl w:val="0"/>
          <w:numId w:val="26"/>
        </w:numPr>
        <w:spacing w:before="187"/>
        <w:ind w:left="3080" w:leftChars="1200" w:hanging="440" w:hangingChars="200"/>
        <w:rPr>
          <w:rFonts w:eastAsia="宋体" w:cs="Arial"/>
        </w:rPr>
      </w:pPr>
      <w:r>
        <w:rPr>
          <w:rFonts w:eastAsia="宋体" w:cs="Arial"/>
        </w:rPr>
        <w:t>未标明安装什么组件（模块4g和4h）。</w:t>
      </w:r>
    </w:p>
    <w:p w14:paraId="7CEAF030">
      <w:pPr>
        <w:pStyle w:val="15"/>
        <w:numPr>
          <w:ilvl w:val="2"/>
          <w:numId w:val="24"/>
        </w:numPr>
        <w:spacing w:before="187"/>
        <w:ind w:left="1980" w:leftChars="600" w:hanging="660" w:hangingChars="300"/>
        <w:rPr>
          <w:rFonts w:eastAsia="宋体" w:cs="Arial"/>
        </w:rPr>
      </w:pPr>
      <w:r>
        <w:rPr>
          <w:rFonts w:eastAsia="宋体" w:cs="Arial"/>
        </w:rPr>
        <w:t>对装配商表格进行重大纠正时，要让装配商按下列事项的相关说明填写新表格：</w:t>
      </w:r>
    </w:p>
    <w:p w14:paraId="710716DF">
      <w:pPr>
        <w:pStyle w:val="15"/>
        <w:numPr>
          <w:ilvl w:val="0"/>
          <w:numId w:val="26"/>
        </w:numPr>
        <w:spacing w:before="187"/>
        <w:ind w:left="2420" w:leftChars="900" w:hanging="440" w:hangingChars="200"/>
        <w:rPr>
          <w:rFonts w:eastAsia="宋体" w:cs="Arial"/>
        </w:rPr>
      </w:pPr>
      <w:r>
        <w:rPr>
          <w:rFonts w:eastAsia="宋体" w:cs="Arial"/>
        </w:rPr>
        <w:t>完成全部表格。</w:t>
      </w:r>
    </w:p>
    <w:p w14:paraId="4F6DD195">
      <w:pPr>
        <w:pStyle w:val="15"/>
        <w:numPr>
          <w:ilvl w:val="0"/>
          <w:numId w:val="26"/>
        </w:numPr>
        <w:spacing w:before="187"/>
        <w:ind w:left="2420" w:leftChars="900" w:hanging="440" w:hangingChars="200"/>
        <w:rPr>
          <w:rFonts w:eastAsia="宋体" w:cs="Arial"/>
        </w:rPr>
      </w:pPr>
      <w:r>
        <w:rPr>
          <w:rFonts w:eastAsia="宋体" w:cs="Arial"/>
        </w:rPr>
        <w:t>将白色原始表格返回管理区。</w:t>
      </w:r>
    </w:p>
    <w:p w14:paraId="1B29A1CB">
      <w:pPr>
        <w:pStyle w:val="15"/>
        <w:numPr>
          <w:ilvl w:val="0"/>
          <w:numId w:val="26"/>
        </w:numPr>
        <w:spacing w:before="187"/>
        <w:ind w:left="2420" w:leftChars="900" w:hanging="440" w:hangingChars="200"/>
        <w:rPr>
          <w:rFonts w:eastAsia="宋体" w:cs="Arial"/>
        </w:rPr>
      </w:pPr>
      <w:r>
        <w:rPr>
          <w:rFonts w:eastAsia="宋体" w:cs="Arial"/>
        </w:rPr>
        <w:t>通常在15天内分发其它副本。</w:t>
      </w:r>
    </w:p>
    <w:p w14:paraId="061F322C">
      <w:pPr>
        <w:pStyle w:val="15"/>
        <w:numPr>
          <w:ilvl w:val="0"/>
          <w:numId w:val="26"/>
        </w:numPr>
        <w:spacing w:before="187"/>
        <w:ind w:left="2420" w:leftChars="900" w:hanging="440" w:hangingChars="200"/>
        <w:rPr>
          <w:rFonts w:eastAsia="宋体" w:cs="Arial"/>
        </w:rPr>
      </w:pPr>
      <w:r>
        <w:rPr>
          <w:rFonts w:eastAsia="宋体" w:cs="Arial"/>
        </w:rPr>
        <w:t>在评论中指出该表格为</w:t>
      </w:r>
      <w:bookmarkStart w:id="0" w:name="OLE_LINK3"/>
      <w:bookmarkStart w:id="1" w:name="OLE_LINK2"/>
      <w:r>
        <w:rPr>
          <w:rFonts w:eastAsia="宋体" w:cs="Arial"/>
        </w:rPr>
        <w:t>替代件</w:t>
      </w:r>
      <w:bookmarkEnd w:id="0"/>
      <w:bookmarkEnd w:id="1"/>
      <w:r>
        <w:rPr>
          <w:rFonts w:eastAsia="宋体" w:cs="Arial"/>
        </w:rPr>
        <w:t>，用于纠正编号为××××的原始装配商表格。</w:t>
      </w:r>
    </w:p>
    <w:p w14:paraId="03B83548">
      <w:pPr>
        <w:pStyle w:val="15"/>
        <w:numPr>
          <w:ilvl w:val="2"/>
          <w:numId w:val="24"/>
        </w:numPr>
        <w:spacing w:before="187"/>
        <w:ind w:left="1980" w:leftChars="600" w:hanging="660" w:hangingChars="300"/>
        <w:rPr>
          <w:rFonts w:eastAsia="宋体" w:cs="Arial"/>
        </w:rPr>
      </w:pPr>
      <w:r>
        <w:rPr>
          <w:rFonts w:eastAsia="宋体" w:cs="Arial"/>
        </w:rPr>
        <w:t>收到装配商提供的原始表格替代件时，对白色原始表格进行审核。如果该表格是正确的：</w:t>
      </w:r>
    </w:p>
    <w:p w14:paraId="7FCECEB1">
      <w:pPr>
        <w:pStyle w:val="15"/>
        <w:numPr>
          <w:ilvl w:val="0"/>
          <w:numId w:val="26"/>
        </w:numPr>
        <w:spacing w:before="187"/>
        <w:ind w:left="2420" w:leftChars="900" w:hanging="440" w:hangingChars="200"/>
        <w:rPr>
          <w:rFonts w:eastAsia="宋体" w:cs="Arial"/>
        </w:rPr>
      </w:pPr>
      <w:r>
        <w:rPr>
          <w:rFonts w:eastAsia="宋体" w:cs="Arial"/>
        </w:rPr>
        <w:t>在右上角注明表格首字母和日期。</w:t>
      </w:r>
    </w:p>
    <w:p w14:paraId="42037DD0">
      <w:pPr>
        <w:pStyle w:val="15"/>
        <w:numPr>
          <w:ilvl w:val="0"/>
          <w:numId w:val="26"/>
        </w:numPr>
        <w:spacing w:before="187"/>
        <w:ind w:left="2420" w:leftChars="900" w:hanging="440" w:hangingChars="200"/>
        <w:rPr>
          <w:rFonts w:eastAsia="宋体" w:cs="Arial"/>
        </w:rPr>
      </w:pPr>
      <w:r>
        <w:rPr>
          <w:rFonts w:eastAsia="宋体" w:cs="Arial"/>
        </w:rPr>
        <w:t>将一个红色贴纸置于白色原件顶部，其中包括旧重复表格的登录号。（该步骤对CDRH定位与删除数据库中的原重复信息具有重要意义。）</w:t>
      </w:r>
    </w:p>
    <w:p w14:paraId="351E0ADE">
      <w:pPr>
        <w:pStyle w:val="15"/>
        <w:numPr>
          <w:ilvl w:val="0"/>
          <w:numId w:val="26"/>
        </w:numPr>
        <w:spacing w:before="187"/>
        <w:ind w:left="2420" w:leftChars="900" w:hanging="440" w:hangingChars="200"/>
        <w:rPr>
          <w:rFonts w:eastAsia="宋体" w:cs="Arial"/>
        </w:rPr>
      </w:pPr>
      <w:r>
        <w:rPr>
          <w:rFonts w:eastAsia="宋体" w:cs="Arial"/>
        </w:rPr>
        <w:t>将原件送至CDRHHFZ-307（CDRH将对计算机数据库进行更新并将白色原件放到相应安装管理区的资料上面。）</w:t>
      </w:r>
    </w:p>
    <w:p w14:paraId="5AD21962">
      <w:pPr>
        <w:pStyle w:val="15"/>
        <w:numPr>
          <w:ilvl w:val="2"/>
          <w:numId w:val="24"/>
        </w:numPr>
        <w:spacing w:before="187"/>
        <w:ind w:left="1980" w:leftChars="600" w:hanging="660" w:hangingChars="300"/>
        <w:rPr>
          <w:rFonts w:eastAsia="宋体" w:cs="Arial"/>
        </w:rPr>
      </w:pPr>
      <w:r>
        <w:rPr>
          <w:rFonts w:eastAsia="宋体" w:cs="Arial"/>
        </w:rPr>
        <w:t>对于装配商表格的小幅纠正：</w:t>
      </w:r>
    </w:p>
    <w:p w14:paraId="046461B6">
      <w:pPr>
        <w:pStyle w:val="15"/>
        <w:numPr>
          <w:ilvl w:val="0"/>
          <w:numId w:val="26"/>
        </w:numPr>
        <w:spacing w:before="187"/>
        <w:ind w:left="2420" w:leftChars="900" w:hanging="440" w:hangingChars="200"/>
        <w:rPr>
          <w:rFonts w:eastAsia="宋体" w:cs="Arial"/>
        </w:rPr>
      </w:pPr>
      <w:r>
        <w:rPr>
          <w:rFonts w:eastAsia="宋体" w:cs="Arial"/>
        </w:rPr>
        <w:t>将表格副本转发给CDRHHFZ-307</w:t>
      </w:r>
    </w:p>
    <w:p w14:paraId="597573CA">
      <w:pPr>
        <w:pStyle w:val="15"/>
        <w:numPr>
          <w:ilvl w:val="0"/>
          <w:numId w:val="26"/>
        </w:numPr>
        <w:spacing w:before="187"/>
        <w:ind w:left="2420" w:leftChars="900" w:hanging="440" w:hangingChars="200"/>
        <w:rPr>
          <w:rFonts w:eastAsia="宋体" w:cs="Arial"/>
        </w:rPr>
      </w:pPr>
      <w:r>
        <w:rPr>
          <w:rFonts w:eastAsia="宋体" w:cs="Arial"/>
        </w:rPr>
        <w:t>用红笔标出纠正处</w:t>
      </w:r>
    </w:p>
    <w:p w14:paraId="520ABB7E">
      <w:pPr>
        <w:pStyle w:val="15"/>
        <w:numPr>
          <w:ilvl w:val="0"/>
          <w:numId w:val="26"/>
        </w:numPr>
        <w:spacing w:before="187"/>
        <w:ind w:left="2420" w:leftChars="900" w:hanging="440" w:hangingChars="200"/>
        <w:rPr>
          <w:rFonts w:eastAsia="宋体" w:cs="Arial"/>
        </w:rPr>
      </w:pPr>
      <w:r>
        <w:rPr>
          <w:rFonts w:eastAsia="宋体" w:cs="Arial"/>
        </w:rPr>
        <w:t>放一个便笺或贴纸，注明表格有纠正之处。</w:t>
      </w:r>
    </w:p>
    <w:p w14:paraId="6CE26348">
      <w:pPr>
        <w:spacing w:before="187"/>
        <w:ind w:left="1320" w:leftChars="600"/>
        <w:rPr>
          <w:rFonts w:eastAsia="宋体" w:cs="Arial"/>
        </w:rPr>
      </w:pPr>
      <w:r>
        <w:rPr>
          <w:rFonts w:eastAsia="宋体" w:cs="Arial"/>
        </w:rPr>
        <w:t>安装（完工）管理区将：</w:t>
      </w:r>
    </w:p>
    <w:p w14:paraId="0CC64515">
      <w:pPr>
        <w:pStyle w:val="15"/>
        <w:numPr>
          <w:ilvl w:val="0"/>
          <w:numId w:val="27"/>
        </w:numPr>
        <w:spacing w:before="187"/>
        <w:ind w:left="1980" w:leftChars="600" w:hanging="660" w:hangingChars="300"/>
        <w:rPr>
          <w:rFonts w:eastAsia="宋体" w:cs="Arial"/>
        </w:rPr>
      </w:pPr>
      <w:r>
        <w:rPr>
          <w:rFonts w:eastAsia="宋体" w:cs="Arial"/>
        </w:rPr>
        <w:t>为选择测试地点，从安装之日起，对FDA 2579表的所有原件维护1年。1年后，如果装配商所在产地管理区与安装管理区不同，应将表格寄给装配商所在产地管理区，这些表格在此处将从安装后算起保存3年。</w:t>
      </w:r>
    </w:p>
    <w:p w14:paraId="0CD3E1C5">
      <w:pPr>
        <w:pStyle w:val="15"/>
        <w:numPr>
          <w:ilvl w:val="0"/>
          <w:numId w:val="27"/>
        </w:numPr>
        <w:spacing w:before="187"/>
        <w:ind w:left="1980" w:leftChars="600" w:hanging="660" w:hangingChars="300"/>
        <w:rPr>
          <w:rFonts w:eastAsia="宋体" w:cs="Arial"/>
        </w:rPr>
      </w:pPr>
      <w:r>
        <w:rPr>
          <w:rFonts w:eastAsia="宋体" w:cs="Arial"/>
        </w:rPr>
        <w:t>在一个安装地点进行现场测试时，将FDA 2579表原件附到所有现场测试记录的产地管理区副本中。现场测试记录通过审查/编辑标准的审核后，将现场测试记录与所附FDA 2579表一起发送至相应的产地管理区办公室。对于B类现场测试，现场纠正行动报告解决了所有违规事项后，将文件转至产地管理区审计员。</w:t>
      </w:r>
    </w:p>
    <w:p w14:paraId="69392E26">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对于牙科X射线设备的装配商报告，装配商应将其原始白色副本直接寄给负责该安装地点的FDA管理区。</w:t>
      </w:r>
    </w:p>
    <w:p w14:paraId="5BE692B4">
      <w:pPr>
        <w:spacing w:before="187"/>
        <w:ind w:left="1980" w:leftChars="900"/>
        <w:rPr>
          <w:rFonts w:eastAsia="宋体" w:cs="Arial"/>
        </w:rPr>
      </w:pPr>
      <w:r>
        <w:rPr>
          <w:rFonts w:eastAsia="宋体" w:cs="Arial"/>
        </w:rPr>
        <w:t>装配商错寄给CDRH的任何牙科表格将被转至安装管理区。管理区对其在办公室错收的任何表格同样应转至正确的安装管理区。CDRH不在集中管理的数据库中维护牙科系统的装配商表格。</w:t>
      </w:r>
    </w:p>
    <w:p w14:paraId="7A56A21D">
      <w:pPr>
        <w:spacing w:before="187"/>
        <w:ind w:left="1980" w:leftChars="900"/>
        <w:rPr>
          <w:rFonts w:eastAsia="宋体" w:cs="Arial"/>
        </w:rPr>
      </w:pPr>
      <w:r>
        <w:rPr>
          <w:rFonts w:eastAsia="宋体" w:cs="Arial"/>
        </w:rPr>
        <w:t>所有X射线装配报告将由负有责任的产地管理区办公室继续维护至少3年。</w:t>
      </w:r>
    </w:p>
    <w:p w14:paraId="081DCC97">
      <w:pPr>
        <w:pStyle w:val="15"/>
        <w:numPr>
          <w:ilvl w:val="1"/>
          <w:numId w:val="13"/>
        </w:numPr>
        <w:spacing w:before="187"/>
        <w:ind w:left="1320" w:leftChars="300" w:hanging="660" w:hangingChars="300"/>
        <w:rPr>
          <w:rFonts w:eastAsia="宋体" w:cs="Arial"/>
          <w:u w:val="single"/>
        </w:rPr>
      </w:pPr>
      <w:r>
        <w:rPr>
          <w:rFonts w:eastAsia="宋体" w:cs="Arial"/>
          <w:u w:val="single"/>
        </w:rPr>
        <w:t>装配商检查</w:t>
      </w:r>
    </w:p>
    <w:p w14:paraId="154775F6">
      <w:pPr>
        <w:spacing w:before="187"/>
        <w:ind w:left="1320" w:leftChars="600"/>
        <w:rPr>
          <w:rFonts w:eastAsia="宋体" w:cs="Arial"/>
        </w:rPr>
      </w:pPr>
      <w:r>
        <w:rPr>
          <w:rFonts w:eastAsia="宋体" w:cs="Arial"/>
        </w:rPr>
        <w:t>根据调查工作手册（IOM）第5章的规定进行检查并对装配商运营的下列具体方面进行调查：</w:t>
      </w:r>
    </w:p>
    <w:p w14:paraId="3171F62B">
      <w:pPr>
        <w:spacing w:before="187"/>
        <w:ind w:left="1980" w:leftChars="600" w:hanging="660" w:hangingChars="300"/>
        <w:rPr>
          <w:rFonts w:eastAsia="宋体" w:cs="Arial"/>
        </w:rPr>
      </w:pPr>
      <w:r>
        <w:rPr>
          <w:rFonts w:eastAsia="宋体" w:cs="Arial"/>
        </w:rPr>
        <w:t>a.</w:t>
      </w:r>
      <w:r>
        <w:rPr>
          <w:rFonts w:eastAsia="宋体" w:cs="Arial"/>
        </w:rPr>
        <w:tab/>
      </w:r>
      <w:r>
        <w:rPr>
          <w:rFonts w:eastAsia="宋体" w:cs="Arial"/>
        </w:rPr>
        <w:t>装配和销售记录－进行全面审核，确定所有安装是否均已报告。</w:t>
      </w:r>
    </w:p>
    <w:p w14:paraId="47206D2B">
      <w:pPr>
        <w:spacing w:before="187"/>
        <w:ind w:left="1980" w:leftChars="600" w:hanging="660" w:hangingChars="300"/>
        <w:rPr>
          <w:rFonts w:eastAsia="宋体" w:cs="Arial"/>
        </w:rPr>
      </w:pPr>
      <w:r>
        <w:rPr>
          <w:rFonts w:eastAsia="宋体" w:cs="Arial"/>
        </w:rPr>
        <w:t>b.</w:t>
      </w:r>
      <w:r>
        <w:rPr>
          <w:rFonts w:eastAsia="宋体" w:cs="Arial"/>
        </w:rPr>
        <w:tab/>
      </w:r>
      <w:r>
        <w:rPr>
          <w:rFonts w:eastAsia="宋体" w:cs="Arial"/>
        </w:rPr>
        <w:t>投诉文件－寻找意外辐射事件、辐射缺陷和不符合标准的证据。</w:t>
      </w:r>
    </w:p>
    <w:p w14:paraId="05BCDE27">
      <w:pPr>
        <w:tabs>
          <w:tab w:val="left" w:pos="1320"/>
          <w:tab w:val="left" w:pos="198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c.</w:t>
      </w:r>
      <w:r>
        <w:rPr>
          <w:rFonts w:eastAsia="宋体" w:cs="Arial"/>
        </w:rPr>
        <w:tab/>
      </w:r>
      <w:r>
        <w:rPr>
          <w:rFonts w:eastAsia="宋体" w:cs="Arial"/>
        </w:rPr>
        <w:t>纠正记录－确定装配商是否授权用户纠正经FDA测试确认的不合规项目。此外还要寻找纠正或问题的模式，这可能表明存在设计问题。</w:t>
      </w:r>
      <w:r>
        <w:rPr>
          <w:rFonts w:eastAsia="宋体" w:cs="Arial"/>
        </w:rPr>
        <w:tab/>
      </w:r>
      <w:r>
        <w:rPr>
          <w:rFonts w:eastAsia="宋体" w:cs="Arial"/>
        </w:rPr>
        <w:t>*</w:t>
      </w:r>
    </w:p>
    <w:p w14:paraId="4B769B4E">
      <w:pPr>
        <w:spacing w:before="187"/>
        <w:ind w:left="1980" w:leftChars="600" w:hanging="660" w:hangingChars="300"/>
        <w:rPr>
          <w:rFonts w:eastAsia="宋体" w:cs="Arial"/>
        </w:rPr>
      </w:pPr>
      <w:r>
        <w:rPr>
          <w:rFonts w:eastAsia="宋体" w:cs="Arial"/>
        </w:rPr>
        <w:t>d.</w:t>
      </w:r>
      <w:r>
        <w:rPr>
          <w:rFonts w:eastAsia="宋体" w:cs="Arial"/>
        </w:rPr>
        <w:tab/>
      </w:r>
      <w:r>
        <w:rPr>
          <w:rFonts w:eastAsia="宋体" w:cs="Arial"/>
        </w:rPr>
        <w:t>测试设备和校准－不合规系统的装配可归因于使用了不正确的测试设备或未校准设备。</w:t>
      </w:r>
    </w:p>
    <w:p w14:paraId="63722E1F">
      <w:pPr>
        <w:spacing w:before="187"/>
        <w:ind w:left="1980" w:leftChars="600" w:hanging="660" w:hangingChars="300"/>
        <w:rPr>
          <w:rFonts w:eastAsia="宋体" w:cs="Arial"/>
        </w:rPr>
      </w:pPr>
      <w:r>
        <w:rPr>
          <w:rFonts w:eastAsia="宋体" w:cs="Arial"/>
        </w:rPr>
        <w:t>e.</w:t>
      </w:r>
      <w:r>
        <w:rPr>
          <w:rFonts w:eastAsia="宋体" w:cs="Arial"/>
        </w:rPr>
        <w:tab/>
      </w:r>
      <w:r>
        <w:rPr>
          <w:rFonts w:eastAsia="宋体" w:cs="Arial"/>
        </w:rPr>
        <w:t>如果检查是对差错或未提交FDA 2579表的一次随访：</w:t>
      </w:r>
    </w:p>
    <w:p w14:paraId="20D2F854">
      <w:pPr>
        <w:pStyle w:val="15"/>
        <w:numPr>
          <w:ilvl w:val="0"/>
          <w:numId w:val="28"/>
        </w:numPr>
        <w:spacing w:before="187"/>
        <w:ind w:left="2400" w:leftChars="900" w:hangingChars="191"/>
        <w:rPr>
          <w:rFonts w:eastAsia="宋体" w:cs="Arial"/>
        </w:rPr>
      </w:pPr>
      <w:r>
        <w:rPr>
          <w:rFonts w:eastAsia="宋体" w:cs="Arial"/>
        </w:rPr>
        <w:t>与装配商讨论报告要求。</w:t>
      </w:r>
    </w:p>
    <w:p w14:paraId="3ED445A9">
      <w:pPr>
        <w:pStyle w:val="15"/>
        <w:numPr>
          <w:ilvl w:val="0"/>
          <w:numId w:val="28"/>
        </w:numPr>
        <w:spacing w:before="187"/>
        <w:ind w:left="2400" w:leftChars="900" w:hangingChars="191"/>
        <w:rPr>
          <w:rFonts w:eastAsia="宋体" w:cs="Arial"/>
        </w:rPr>
      </w:pPr>
      <w:r>
        <w:rPr>
          <w:rFonts w:eastAsia="宋体" w:cs="Arial"/>
        </w:rPr>
        <w:t>说明如何正确填写表格。</w:t>
      </w:r>
    </w:p>
    <w:p w14:paraId="4835549D">
      <w:pPr>
        <w:spacing w:before="187"/>
        <w:rPr>
          <w:rFonts w:eastAsia="宋体" w:cs="Arial"/>
        </w:rPr>
      </w:pPr>
    </w:p>
    <w:p w14:paraId="509D46BB">
      <w:pPr>
        <w:spacing w:before="187"/>
        <w:rPr>
          <w:rFonts w:eastAsia="宋体" w:cs="Arial"/>
        </w:rPr>
      </w:pPr>
      <w:r>
        <w:rPr>
          <w:rFonts w:eastAsia="宋体" w:cs="Arial"/>
        </w:rPr>
        <w:br w:type="page"/>
      </w:r>
    </w:p>
    <w:p w14:paraId="31A394CB">
      <w:pPr>
        <w:pStyle w:val="15"/>
        <w:numPr>
          <w:ilvl w:val="0"/>
          <w:numId w:val="28"/>
        </w:numPr>
        <w:spacing w:before="187"/>
        <w:ind w:left="2400" w:leftChars="900" w:hangingChars="191"/>
        <w:rPr>
          <w:rFonts w:eastAsia="宋体" w:cs="Arial"/>
        </w:rPr>
      </w:pPr>
      <w:r>
        <w:rPr>
          <w:rFonts w:eastAsia="宋体" w:cs="Arial"/>
        </w:rPr>
        <w:t>指出在表格上发现的矛盾之处并留下副本供纠正。</w:t>
      </w:r>
    </w:p>
    <w:p w14:paraId="09E12257">
      <w:pPr>
        <w:pStyle w:val="15"/>
        <w:numPr>
          <w:ilvl w:val="0"/>
          <w:numId w:val="28"/>
        </w:numPr>
        <w:spacing w:before="187"/>
        <w:ind w:left="2400" w:leftChars="900" w:hangingChars="191"/>
        <w:rPr>
          <w:rFonts w:eastAsia="宋体" w:cs="Arial"/>
        </w:rPr>
      </w:pPr>
      <w:r>
        <w:rPr>
          <w:rFonts w:eastAsia="宋体" w:cs="Arial"/>
        </w:rPr>
        <w:t>指导装配商在10天内将纠正过的表格重新提交给管理区。</w:t>
      </w:r>
    </w:p>
    <w:p w14:paraId="0B9EED10">
      <w:pPr>
        <w:spacing w:before="187"/>
        <w:ind w:left="1980" w:leftChars="600" w:hanging="660" w:hangingChars="300"/>
        <w:rPr>
          <w:rFonts w:eastAsia="宋体" w:cs="Arial"/>
        </w:rPr>
      </w:pPr>
      <w:r>
        <w:rPr>
          <w:rFonts w:eastAsia="宋体" w:cs="Arial"/>
        </w:rPr>
        <w:t>f.</w:t>
      </w:r>
      <w:r>
        <w:rPr>
          <w:rFonts w:eastAsia="宋体" w:cs="Arial"/>
        </w:rPr>
        <w:tab/>
      </w:r>
      <w:r>
        <w:rPr>
          <w:rFonts w:eastAsia="宋体" w:cs="Arial"/>
        </w:rPr>
        <w:t>通过审核安装和修理记录判定现场测试不合规的责任归属。</w:t>
      </w:r>
    </w:p>
    <w:p w14:paraId="10D00830">
      <w:pPr>
        <w:pStyle w:val="15"/>
        <w:numPr>
          <w:ilvl w:val="1"/>
          <w:numId w:val="13"/>
        </w:numPr>
        <w:spacing w:before="187"/>
        <w:ind w:left="1320" w:leftChars="300" w:hanging="660" w:hangingChars="300"/>
        <w:rPr>
          <w:rFonts w:eastAsia="宋体" w:cs="Arial"/>
          <w:u w:val="single"/>
        </w:rPr>
      </w:pPr>
      <w:r>
        <w:rPr>
          <w:rFonts w:eastAsia="宋体" w:cs="Arial"/>
          <w:u w:val="single"/>
        </w:rPr>
        <w:t>样品采集</w:t>
      </w:r>
      <w:r>
        <w:rPr>
          <w:rFonts w:eastAsia="宋体" w:cs="Arial"/>
        </w:rPr>
        <w:t>－怀疑存在不合规事项时，采集文件样品。需要文件证据支持监管行动（见调查工作手册第405.02节）。本计划不采集实物样品。</w:t>
      </w:r>
    </w:p>
    <w:p w14:paraId="6C4DF021">
      <w:pPr>
        <w:pStyle w:val="15"/>
        <w:numPr>
          <w:ilvl w:val="4"/>
          <w:numId w:val="12"/>
        </w:numPr>
        <w:spacing w:before="187"/>
        <w:ind w:left="660" w:hanging="660" w:hangingChars="300"/>
        <w:rPr>
          <w:rFonts w:eastAsia="宋体" w:cs="Arial"/>
          <w:u w:val="single"/>
        </w:rPr>
      </w:pPr>
      <w:r>
        <w:rPr>
          <w:rFonts w:eastAsia="宋体" w:cs="Arial"/>
          <w:u w:val="single"/>
        </w:rPr>
        <w:t>完工管理区审计员报告</w:t>
      </w:r>
    </w:p>
    <w:p w14:paraId="16683F23">
      <w:pPr>
        <w:pStyle w:val="15"/>
        <w:numPr>
          <w:ilvl w:val="1"/>
          <w:numId w:val="29"/>
        </w:numPr>
        <w:spacing w:before="187"/>
        <w:ind w:left="1320" w:leftChars="300" w:hanging="660" w:hangingChars="300"/>
        <w:rPr>
          <w:rFonts w:eastAsia="宋体" w:cs="Arial"/>
        </w:rPr>
      </w:pPr>
      <w:r>
        <w:rPr>
          <w:rFonts w:eastAsia="宋体" w:cs="Arial"/>
        </w:rPr>
        <w:t>疑似A类违规的现场测试</w:t>
      </w:r>
    </w:p>
    <w:p w14:paraId="0861D3D1">
      <w:pPr>
        <w:pStyle w:val="15"/>
        <w:numPr>
          <w:ilvl w:val="2"/>
          <w:numId w:val="30"/>
        </w:numPr>
        <w:spacing w:before="187"/>
        <w:ind w:left="1980" w:leftChars="600" w:hanging="660" w:hangingChars="300"/>
        <w:rPr>
          <w:rFonts w:eastAsia="宋体" w:cs="Arial"/>
        </w:rPr>
      </w:pPr>
      <w:r>
        <w:rPr>
          <w:rFonts w:eastAsia="宋体" w:cs="Arial"/>
        </w:rPr>
        <w:t>查阅本合规计划附件D，确认疑似不合规属于A类违规。</w:t>
      </w:r>
    </w:p>
    <w:p w14:paraId="565CF09E">
      <w:pPr>
        <w:pStyle w:val="15"/>
        <w:numPr>
          <w:ilvl w:val="2"/>
          <w:numId w:val="30"/>
        </w:numPr>
        <w:spacing w:before="187"/>
        <w:ind w:left="1980" w:leftChars="600" w:hanging="660" w:hangingChars="300"/>
        <w:rPr>
          <w:rFonts w:eastAsia="宋体" w:cs="Arial"/>
        </w:rPr>
      </w:pPr>
      <w:r>
        <w:rPr>
          <w:rFonts w:eastAsia="宋体" w:cs="Arial"/>
        </w:rPr>
        <w:t>核实检验员发出的用户通知函正确无误。如果未做核实，要立即警告用户，他们使用的系统有危险。</w:t>
      </w:r>
    </w:p>
    <w:p w14:paraId="2D2F9796">
      <w:pPr>
        <w:pStyle w:val="15"/>
        <w:numPr>
          <w:ilvl w:val="2"/>
          <w:numId w:val="30"/>
        </w:numPr>
        <w:spacing w:before="187"/>
        <w:ind w:left="1980" w:leftChars="600" w:hanging="660" w:hangingChars="300"/>
        <w:rPr>
          <w:rFonts w:eastAsia="宋体" w:cs="Arial"/>
        </w:rPr>
      </w:pPr>
      <w:r>
        <w:rPr>
          <w:rFonts w:eastAsia="宋体" w:cs="Arial"/>
        </w:rPr>
        <w:t>如果怀疑装配商对违规负有责任，应通过电话将不合规事项通知装配商，并要求他们采取纠正措施。用文件记录已通知装配商。</w:t>
      </w:r>
    </w:p>
    <w:p w14:paraId="59AE4F60">
      <w:pPr>
        <w:pStyle w:val="15"/>
        <w:numPr>
          <w:ilvl w:val="2"/>
          <w:numId w:val="30"/>
        </w:numPr>
        <w:spacing w:before="187"/>
        <w:ind w:left="1980" w:leftChars="600" w:hanging="660" w:hangingChars="300"/>
        <w:rPr>
          <w:rFonts w:eastAsia="宋体" w:cs="Arial"/>
        </w:rPr>
      </w:pPr>
      <w:r>
        <w:rPr>
          <w:rFonts w:eastAsia="宋体" w:cs="Arial"/>
        </w:rPr>
        <w:t>在2个工作日内通知CDRH（见第IV部分和附件C）、产地管理区审计员和</w:t>
      </w:r>
      <w:r>
        <w:rPr>
          <w:rFonts w:eastAsia="宋体" w:cs="Arial"/>
          <w:kern w:val="0"/>
          <w:sz w:val="24"/>
          <w:szCs w:val="24"/>
        </w:rPr>
        <w:t>RRHR</w:t>
      </w:r>
      <w:r>
        <w:rPr>
          <w:rFonts w:eastAsia="宋体" w:cs="Arial"/>
        </w:rPr>
        <w:t>。</w:t>
      </w:r>
    </w:p>
    <w:p w14:paraId="28AA4972">
      <w:pPr>
        <w:pStyle w:val="15"/>
        <w:numPr>
          <w:ilvl w:val="2"/>
          <w:numId w:val="30"/>
        </w:numPr>
        <w:spacing w:before="187"/>
        <w:ind w:left="1980" w:leftChars="600" w:hanging="660" w:hangingChars="300"/>
        <w:rPr>
          <w:rFonts w:eastAsia="宋体" w:cs="Arial"/>
        </w:rPr>
      </w:pPr>
      <w:r>
        <w:rPr>
          <w:rFonts w:eastAsia="宋体" w:cs="Arial"/>
        </w:rPr>
        <w:t>通过电话回复获得上述信息时，要进行随访，确保尽快提供现场测试记录收据。</w:t>
      </w:r>
    </w:p>
    <w:p w14:paraId="68E22F90">
      <w:pPr>
        <w:pStyle w:val="15"/>
        <w:numPr>
          <w:ilvl w:val="1"/>
          <w:numId w:val="29"/>
        </w:numPr>
        <w:spacing w:before="187"/>
        <w:ind w:left="1320" w:leftChars="300" w:hanging="660" w:hangingChars="300"/>
        <w:rPr>
          <w:rFonts w:eastAsia="宋体" w:cs="Arial"/>
        </w:rPr>
      </w:pPr>
      <w:r>
        <w:rPr>
          <w:rFonts w:eastAsia="宋体" w:cs="Arial"/>
        </w:rPr>
        <w:t>对CDRH的现场纠正行动报告（FCAR）进行审核并确保将所有补充资料添加到CDRH的数据库中。</w:t>
      </w:r>
    </w:p>
    <w:p w14:paraId="62E2C767">
      <w:pPr>
        <w:spacing w:before="187"/>
        <w:ind w:left="2200" w:leftChars="600" w:hanging="880" w:hangingChars="400"/>
        <w:rPr>
          <w:rFonts w:eastAsia="宋体" w:cs="Arial"/>
        </w:rPr>
      </w:pPr>
      <w:r>
        <w:rPr>
          <w:rFonts w:eastAsia="宋体" w:cs="Arial"/>
        </w:rPr>
        <w:t>警告：</w:t>
      </w:r>
      <w:r>
        <w:rPr>
          <w:rFonts w:eastAsia="宋体" w:cs="Arial"/>
        </w:rPr>
        <w:tab/>
      </w:r>
      <w:r>
        <w:rPr>
          <w:rFonts w:eastAsia="宋体" w:cs="Arial"/>
        </w:rPr>
        <w:t>除非已清楚明确责任，否则应将责任报告为</w:t>
      </w:r>
      <w:r>
        <w:rPr>
          <w:rFonts w:ascii="宋体" w:hAnsi="宋体" w:eastAsia="宋体" w:cs="Arial"/>
        </w:rPr>
        <w:t>“</w:t>
      </w:r>
      <w:r>
        <w:rPr>
          <w:rFonts w:eastAsia="宋体" w:cs="Arial"/>
        </w:rPr>
        <w:t>未确定</w:t>
      </w:r>
      <w:r>
        <w:rPr>
          <w:rFonts w:ascii="宋体" w:hAnsi="宋体" w:eastAsia="宋体" w:cs="Arial"/>
        </w:rPr>
        <w:t>”</w:t>
      </w:r>
      <w:r>
        <w:rPr>
          <w:rFonts w:eastAsia="宋体" w:cs="Arial"/>
        </w:rPr>
        <w:t>。CDRH通常不会将任何测试记录包含在诉讼中，</w:t>
      </w:r>
      <w:r>
        <w:rPr>
          <w:rFonts w:hint="eastAsia" w:eastAsia="宋体" w:cs="Arial"/>
        </w:rPr>
        <w:t>因为审计员会据此判定责任方不是装配商</w:t>
      </w:r>
      <w:r>
        <w:rPr>
          <w:rFonts w:eastAsia="宋体" w:cs="Arial"/>
        </w:rPr>
        <w:t>。</w:t>
      </w:r>
    </w:p>
    <w:p w14:paraId="46911926">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将装配商声明不合规责任在制造商的回复函转给产地管理区审计员和HFZ-240供中心随访使用。应包含支持本结论必需的所有证明文件。</w:t>
      </w:r>
      <w:r>
        <w:rPr>
          <w:rFonts w:eastAsia="宋体" w:cs="Arial"/>
        </w:rPr>
        <w:tab/>
      </w:r>
      <w:r>
        <w:rPr>
          <w:rFonts w:eastAsia="宋体" w:cs="Arial"/>
        </w:rPr>
        <w:t xml:space="preserve"> *</w:t>
      </w:r>
    </w:p>
    <w:p w14:paraId="464EB74E">
      <w:pPr>
        <w:spacing w:before="187"/>
        <w:rPr>
          <w:rFonts w:eastAsia="宋体" w:cs="Arial"/>
        </w:rPr>
      </w:pPr>
    </w:p>
    <w:p w14:paraId="1935956C">
      <w:pPr>
        <w:spacing w:before="187"/>
        <w:rPr>
          <w:rFonts w:eastAsia="宋体" w:cs="Arial"/>
        </w:rPr>
      </w:pPr>
      <w:r>
        <w:rPr>
          <w:rFonts w:eastAsia="宋体" w:cs="Arial"/>
        </w:rPr>
        <w:br w:type="page"/>
      </w:r>
    </w:p>
    <w:p w14:paraId="164ED133">
      <w:pPr>
        <w:pStyle w:val="15"/>
        <w:numPr>
          <w:ilvl w:val="4"/>
          <w:numId w:val="12"/>
        </w:numPr>
        <w:spacing w:before="187"/>
        <w:ind w:left="660" w:hanging="660" w:hangingChars="300"/>
        <w:rPr>
          <w:rFonts w:eastAsia="宋体" w:cs="Arial"/>
          <w:u w:val="single"/>
        </w:rPr>
      </w:pPr>
      <w:r>
        <w:rPr>
          <w:rFonts w:eastAsia="宋体" w:cs="Arial"/>
          <w:u w:val="single"/>
        </w:rPr>
        <w:t>产地管理区审计员报告</w:t>
      </w:r>
    </w:p>
    <w:p w14:paraId="31969470">
      <w:pPr>
        <w:spacing w:before="187"/>
        <w:ind w:left="660" w:leftChars="300"/>
        <w:rPr>
          <w:rFonts w:eastAsia="宋体" w:cs="Arial"/>
        </w:rPr>
      </w:pPr>
      <w:r>
        <w:rPr>
          <w:rFonts w:eastAsia="宋体" w:cs="Arial"/>
        </w:rPr>
        <w:t>对CDRH的现场纠正行动报告（FCAR）进行审核并确保将所有补充资料添加到CDRH的数据库中。</w:t>
      </w:r>
    </w:p>
    <w:p w14:paraId="56D89794">
      <w:pPr>
        <w:spacing w:before="187"/>
        <w:ind w:left="1540" w:leftChars="300" w:hanging="880" w:hangingChars="400"/>
        <w:rPr>
          <w:rFonts w:eastAsia="宋体" w:cs="Arial"/>
        </w:rPr>
      </w:pPr>
      <w:r>
        <w:rPr>
          <w:rFonts w:eastAsia="宋体" w:cs="Arial"/>
        </w:rPr>
        <w:t>警告：</w:t>
      </w:r>
      <w:r>
        <w:rPr>
          <w:rFonts w:eastAsia="宋体" w:cs="Arial"/>
        </w:rPr>
        <w:tab/>
      </w:r>
      <w:r>
        <w:rPr>
          <w:rFonts w:eastAsia="宋体" w:cs="Arial"/>
        </w:rPr>
        <w:t>除非已清楚明确责任，否则应将责任报告为</w:t>
      </w:r>
      <w:r>
        <w:rPr>
          <w:rFonts w:ascii="宋体" w:hAnsi="宋体" w:eastAsia="宋体" w:cs="Arial"/>
        </w:rPr>
        <w:t>“</w:t>
      </w:r>
      <w:r>
        <w:rPr>
          <w:rFonts w:eastAsia="宋体" w:cs="Arial"/>
        </w:rPr>
        <w:t>未确定</w:t>
      </w:r>
      <w:r>
        <w:rPr>
          <w:rFonts w:ascii="宋体" w:hAnsi="宋体" w:eastAsia="宋体" w:cs="Arial"/>
        </w:rPr>
        <w:t>”</w:t>
      </w:r>
      <w:r>
        <w:rPr>
          <w:rFonts w:eastAsia="宋体" w:cs="Arial"/>
        </w:rPr>
        <w:t>。CDRH通常不会将任何测试记录包含在诉讼中，</w:t>
      </w:r>
      <w:r>
        <w:rPr>
          <w:rFonts w:hint="eastAsia" w:eastAsia="宋体" w:cs="Arial"/>
        </w:rPr>
        <w:t>因为审计员会据此判定责任方不是装配商</w:t>
      </w:r>
      <w:r>
        <w:rPr>
          <w:rFonts w:eastAsia="宋体" w:cs="Arial"/>
        </w:rPr>
        <w:t>。</w:t>
      </w:r>
    </w:p>
    <w:p w14:paraId="7FFCF722">
      <w:pPr>
        <w:spacing w:before="187"/>
        <w:ind w:left="660" w:leftChars="300"/>
        <w:rPr>
          <w:rFonts w:eastAsia="宋体" w:cs="Arial"/>
        </w:rPr>
      </w:pPr>
      <w:r>
        <w:rPr>
          <w:rFonts w:eastAsia="宋体" w:cs="Arial"/>
        </w:rPr>
        <w:t>将装配商声明不合规责任在制造商的回复函转给产地管理区审计员和HFZ-240供中心随访之用。应包含支持本结论必需的所有证明文件。</w:t>
      </w:r>
    </w:p>
    <w:p w14:paraId="18299D73">
      <w:pPr>
        <w:pStyle w:val="15"/>
        <w:numPr>
          <w:ilvl w:val="4"/>
          <w:numId w:val="12"/>
        </w:numPr>
        <w:spacing w:before="187"/>
        <w:ind w:left="660" w:hanging="660" w:hangingChars="300"/>
        <w:rPr>
          <w:rFonts w:eastAsia="宋体" w:cs="Arial"/>
          <w:u w:val="single"/>
        </w:rPr>
      </w:pPr>
      <w:r>
        <w:rPr>
          <w:rFonts w:eastAsia="宋体" w:cs="Arial"/>
          <w:u w:val="single"/>
        </w:rPr>
        <w:t>对装配商纠正行动的审查</w:t>
      </w:r>
    </w:p>
    <w:p w14:paraId="49F3647E">
      <w:pPr>
        <w:tabs>
          <w:tab w:val="left" w:pos="660"/>
          <w:tab w:val="left" w:pos="8800"/>
        </w:tabs>
        <w:spacing w:before="187"/>
        <w:rPr>
          <w:rFonts w:eastAsia="宋体" w:cs="Arial"/>
        </w:rPr>
      </w:pPr>
      <w:r>
        <w:rPr>
          <w:rFonts w:eastAsia="宋体" w:cs="Arial"/>
        </w:rPr>
        <w:t>*</w:t>
      </w:r>
      <w:r>
        <w:rPr>
          <w:rFonts w:eastAsia="宋体" w:cs="Arial"/>
        </w:rPr>
        <w:tab/>
      </w:r>
      <w:r>
        <w:rPr>
          <w:rFonts w:eastAsia="宋体" w:cs="Arial"/>
        </w:rPr>
        <w:t>完工管理区审计员将安排下列现场测试随访：</w:t>
      </w:r>
    </w:p>
    <w:p w14:paraId="0BDEF218">
      <w:pPr>
        <w:tabs>
          <w:tab w:val="left" w:pos="1320"/>
        </w:tabs>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在10个工作日内对产地管理区审计员报告的对所有A类违规采取的纠正行动进行随访，核实A类违规是否已得到纠正。</w:t>
      </w:r>
    </w:p>
    <w:p w14:paraId="4B4034A7">
      <w:pPr>
        <w:tabs>
          <w:tab w:val="left" w:pos="1320"/>
          <w:tab w:val="left" w:pos="8800"/>
        </w:tabs>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在报告纠正行动后30天内，对至少10％存在B类违规的系统进行一次随访性现场测试，核实纠正行动是否已完成。</w:t>
      </w:r>
      <w:r>
        <w:rPr>
          <w:rFonts w:eastAsia="宋体" w:cs="Arial"/>
        </w:rPr>
        <w:tab/>
      </w:r>
      <w:r>
        <w:rPr>
          <w:rFonts w:eastAsia="宋体" w:cs="Arial"/>
        </w:rPr>
        <w:t>*</w:t>
      </w:r>
    </w:p>
    <w:p w14:paraId="0411BCDC">
      <w:pPr>
        <w:spacing w:before="187"/>
        <w:ind w:left="660" w:leftChars="300"/>
        <w:rPr>
          <w:rFonts w:eastAsia="宋体" w:cs="Arial"/>
        </w:rPr>
      </w:pPr>
      <w:r>
        <w:rPr>
          <w:rFonts w:eastAsia="宋体" w:cs="Arial"/>
        </w:rPr>
        <w:t>集中精力开展随访性现场测试，更多是因为：</w:t>
      </w:r>
    </w:p>
    <w:p w14:paraId="7CA2A409">
      <w:pPr>
        <w:pStyle w:val="15"/>
        <w:numPr>
          <w:ilvl w:val="1"/>
          <w:numId w:val="31"/>
        </w:numPr>
        <w:spacing w:before="187"/>
        <w:ind w:left="1320" w:leftChars="300" w:hanging="660" w:hangingChars="300"/>
        <w:rPr>
          <w:rFonts w:eastAsia="宋体" w:cs="Arial"/>
        </w:rPr>
      </w:pPr>
      <w:r>
        <w:rPr>
          <w:rFonts w:eastAsia="宋体" w:cs="Arial"/>
        </w:rPr>
        <w:t>对过去报告过违规产品的制造商，在他们实际尚未报告违规产品时采取纠正行动，以及</w:t>
      </w:r>
    </w:p>
    <w:p w14:paraId="3A2726CD">
      <w:pPr>
        <w:pStyle w:val="15"/>
        <w:numPr>
          <w:ilvl w:val="1"/>
          <w:numId w:val="31"/>
        </w:numPr>
        <w:spacing w:before="187"/>
        <w:ind w:left="1320" w:leftChars="300" w:hanging="660" w:hangingChars="300"/>
        <w:rPr>
          <w:rFonts w:eastAsia="宋体" w:cs="Arial"/>
        </w:rPr>
      </w:pPr>
      <w:r>
        <w:rPr>
          <w:rFonts w:eastAsia="宋体" w:cs="Arial"/>
        </w:rPr>
        <w:t>新装配商尚未建立正确纠正违规产品的记录。</w:t>
      </w:r>
    </w:p>
    <w:p w14:paraId="141EE357">
      <w:pPr>
        <w:spacing w:before="187"/>
        <w:rPr>
          <w:rFonts w:eastAsia="宋体" w:cs="Arial"/>
        </w:rPr>
      </w:pPr>
    </w:p>
    <w:p w14:paraId="37A1A5C4">
      <w:pPr>
        <w:spacing w:before="187"/>
        <w:rPr>
          <w:rFonts w:eastAsia="宋体" w:cs="Arial"/>
        </w:rPr>
      </w:pPr>
    </w:p>
    <w:p w14:paraId="33661F7D">
      <w:pPr>
        <w:spacing w:before="187"/>
        <w:rPr>
          <w:rFonts w:eastAsia="宋体" w:cs="Arial"/>
        </w:rPr>
        <w:sectPr>
          <w:footerReference r:id="rId19" w:type="first"/>
          <w:footerReference r:id="rId18" w:type="default"/>
          <w:pgSz w:w="11906" w:h="16838"/>
          <w:pgMar w:top="1418" w:right="1418" w:bottom="1418" w:left="1418" w:header="720" w:footer="720" w:gutter="0"/>
          <w:pgNumType w:start="1"/>
          <w:cols w:space="425" w:num="1"/>
          <w:titlePg/>
          <w:docGrid w:type="lines" w:linePitch="312" w:charSpace="0"/>
        </w:sectPr>
      </w:pPr>
    </w:p>
    <w:p w14:paraId="0C363D34">
      <w:pPr>
        <w:spacing w:before="187"/>
        <w:jc w:val="center"/>
        <w:rPr>
          <w:rFonts w:eastAsia="宋体" w:cs="Arial"/>
          <w:u w:val="single"/>
        </w:rPr>
      </w:pPr>
      <w:r>
        <w:rPr>
          <w:rFonts w:eastAsia="宋体" w:cs="Arial"/>
          <w:u w:val="single"/>
        </w:rPr>
        <w:t>第IV部分</w:t>
      </w:r>
    </w:p>
    <w:p w14:paraId="071C68BF">
      <w:pPr>
        <w:spacing w:before="187"/>
        <w:rPr>
          <w:rFonts w:eastAsia="宋体" w:cs="Arial"/>
        </w:rPr>
      </w:pPr>
    </w:p>
    <w:p w14:paraId="54A29182">
      <w:pPr>
        <w:spacing w:before="187"/>
        <w:rPr>
          <w:rFonts w:eastAsia="宋体" w:cs="Arial"/>
        </w:rPr>
      </w:pPr>
      <w:r>
        <w:rPr>
          <w:rFonts w:eastAsia="宋体" w:cs="Arial"/>
        </w:rPr>
        <w:t>本计划将不开展实验室测试。</w:t>
      </w:r>
    </w:p>
    <w:p w14:paraId="0BC48F21">
      <w:pPr>
        <w:spacing w:before="187"/>
        <w:rPr>
          <w:rFonts w:eastAsia="宋体" w:cs="Arial"/>
        </w:rPr>
      </w:pPr>
    </w:p>
    <w:p w14:paraId="024862B4">
      <w:pPr>
        <w:spacing w:before="187"/>
        <w:rPr>
          <w:rFonts w:eastAsia="宋体" w:cs="Arial"/>
        </w:rPr>
        <w:sectPr>
          <w:footerReference r:id="rId20" w:type="first"/>
          <w:pgSz w:w="11906" w:h="16838"/>
          <w:pgMar w:top="1418" w:right="1418" w:bottom="1418" w:left="1418" w:header="720" w:footer="720" w:gutter="0"/>
          <w:pgNumType w:start="1"/>
          <w:cols w:space="425" w:num="1"/>
          <w:titlePg/>
          <w:docGrid w:type="lines" w:linePitch="312" w:charSpace="0"/>
        </w:sectPr>
      </w:pPr>
    </w:p>
    <w:p w14:paraId="7E52F4BA">
      <w:pPr>
        <w:spacing w:before="187"/>
        <w:jc w:val="center"/>
        <w:rPr>
          <w:rFonts w:eastAsia="宋体" w:cs="Arial"/>
          <w:u w:val="single"/>
        </w:rPr>
      </w:pPr>
      <w:r>
        <w:rPr>
          <w:rFonts w:eastAsia="宋体" w:cs="Arial"/>
          <w:u w:val="single"/>
        </w:rPr>
        <w:t>第V部分－监管/管理策略</w:t>
      </w:r>
    </w:p>
    <w:p w14:paraId="0A2AFD80">
      <w:pPr>
        <w:spacing w:before="187"/>
        <w:rPr>
          <w:rFonts w:eastAsia="宋体" w:cs="Arial"/>
        </w:rPr>
      </w:pPr>
    </w:p>
    <w:p w14:paraId="7005AFA0">
      <w:pPr>
        <w:pStyle w:val="15"/>
        <w:numPr>
          <w:ilvl w:val="4"/>
          <w:numId w:val="32"/>
        </w:numPr>
        <w:spacing w:before="187"/>
        <w:ind w:left="660" w:hanging="660" w:hangingChars="300"/>
        <w:rPr>
          <w:rFonts w:eastAsia="宋体" w:cs="Arial"/>
          <w:u w:val="single"/>
        </w:rPr>
      </w:pPr>
      <w:r>
        <w:rPr>
          <w:rFonts w:eastAsia="宋体" w:cs="Arial"/>
          <w:u w:val="single"/>
        </w:rPr>
        <w:t>监管哲学和策略</w:t>
      </w:r>
    </w:p>
    <w:p w14:paraId="0062DE49">
      <w:pPr>
        <w:spacing w:before="187"/>
        <w:ind w:left="660" w:leftChars="300"/>
        <w:rPr>
          <w:rFonts w:eastAsia="宋体" w:cs="Arial"/>
        </w:rPr>
      </w:pPr>
      <w:r>
        <w:rPr>
          <w:rFonts w:eastAsia="宋体" w:cs="Arial"/>
        </w:rPr>
        <w:t>依照联邦食品、药品及化妆品法案（FFDCA）第V章第C分章－电子产品的辐射控制（1968年颁布的关于健康和安全的辐射控制法案）－与第A分章－药品和器械－对诊断用X射线设备进行监管。第C分章授权对排放辐射的不合规或有缺陷电子产品要求实施产品召回。另外，第A分章（医疗器械安全法案对其进行了修订）授权对可导致严重健康风险的医疗器械要求实施产品召回。（所有诊断用/医用X射线产品均为医疗器械。）存在一个选项时，根据第C分章首选采取监管/管理行动，但联邦食品、药品及化妆品法案两个分章的规定可联合使用以取得最大效力。</w:t>
      </w:r>
    </w:p>
    <w:p w14:paraId="6F77983B">
      <w:pPr>
        <w:spacing w:before="187"/>
        <w:ind w:left="660" w:leftChars="300"/>
        <w:rPr>
          <w:rFonts w:eastAsia="宋体" w:cs="Arial"/>
        </w:rPr>
      </w:pPr>
      <w:r>
        <w:rPr>
          <w:rFonts w:eastAsia="宋体" w:cs="Arial"/>
        </w:rPr>
        <w:t>对X射线配件制造商造成的属性/设计相关性违规可采取的主要强制措施是召回（详情可参考监管规程手册第7章附件E）。CDRH负责启动由X射线制造商和进口商予以执行的召回。对可归因于装配商的违规，在现场履行强制责任。</w:t>
      </w:r>
    </w:p>
    <w:p w14:paraId="6ED240BF">
      <w:pPr>
        <w:spacing w:before="187"/>
        <w:ind w:left="660" w:leftChars="300"/>
        <w:rPr>
          <w:rFonts w:eastAsia="宋体" w:cs="Arial"/>
        </w:rPr>
      </w:pPr>
      <w:r>
        <w:rPr>
          <w:rFonts w:eastAsia="宋体" w:cs="Arial"/>
        </w:rPr>
        <w:t>X射线装配在更多情况下是一种定制化运作。在这个过程中，可能发生各种各样、变化不定的违规。发现某单一系统不合规时（就我们的常规合规测试计划而言），一种产品范围的召回或民事处罚行动通常不适用。对装配商可采取的主要强制措施是签发一封通知函，要求装配商对所列发生在被测装置上的违规事项采取纠正措施，随后通过加强监督确立违规模式。一旦确定了一种违规模式（见第II部分表I和CPG 7133.12），那么，管理区应签发一份带有管理区发布的装配商召回令的不合规公告（NC/DOAR）或处以民事处罚阻止进一步发生违规。</w:t>
      </w:r>
    </w:p>
    <w:p w14:paraId="5FD5253F">
      <w:pPr>
        <w:spacing w:before="187"/>
        <w:ind w:left="660" w:leftChars="300"/>
        <w:rPr>
          <w:rFonts w:eastAsia="宋体" w:cs="Arial"/>
        </w:rPr>
      </w:pPr>
      <w:r>
        <w:rPr>
          <w:rFonts w:eastAsia="宋体" w:cs="Arial"/>
        </w:rPr>
        <w:t>当一种性能标准违规模式备有证明文件或对通知函的回复不符合要求或因连续不归档而收到书面建议后公司仍未将FD 2579表归档时，建议根据CPG 7133.12描述的规定针对装配商采取适当行动。</w:t>
      </w:r>
    </w:p>
    <w:p w14:paraId="5C0D8031">
      <w:pPr>
        <w:spacing w:before="187"/>
        <w:ind w:left="660" w:leftChars="300"/>
        <w:rPr>
          <w:rFonts w:eastAsia="宋体" w:cs="Arial"/>
        </w:rPr>
      </w:pPr>
      <w:r>
        <w:rPr>
          <w:rFonts w:eastAsia="宋体" w:cs="Arial"/>
        </w:rPr>
        <w:t>缺乏相反证据时，对于现场测试期间发现的违规X射线系统：</w:t>
      </w:r>
    </w:p>
    <w:p w14:paraId="4138DCDC">
      <w:pPr>
        <w:pStyle w:val="15"/>
        <w:numPr>
          <w:ilvl w:val="0"/>
          <w:numId w:val="33"/>
        </w:numPr>
        <w:spacing w:before="187"/>
        <w:ind w:left="1080" w:leftChars="300" w:hangingChars="191"/>
        <w:rPr>
          <w:rFonts w:eastAsia="宋体" w:cs="Arial"/>
        </w:rPr>
      </w:pPr>
      <w:r>
        <w:rPr>
          <w:rFonts w:eastAsia="宋体" w:cs="Arial"/>
        </w:rPr>
        <w:t>如果该装置在安装后1年内接受测试，通常视为装配商负有责任。</w:t>
      </w:r>
    </w:p>
    <w:p w14:paraId="2F441D2D">
      <w:pPr>
        <w:pStyle w:val="15"/>
        <w:numPr>
          <w:ilvl w:val="0"/>
          <w:numId w:val="33"/>
        </w:numPr>
        <w:spacing w:before="187"/>
        <w:ind w:left="1080" w:leftChars="300" w:hangingChars="191"/>
        <w:rPr>
          <w:rFonts w:eastAsia="宋体" w:cs="Arial"/>
        </w:rPr>
      </w:pPr>
      <w:r>
        <w:rPr>
          <w:rFonts w:eastAsia="宋体" w:cs="Arial"/>
        </w:rPr>
        <w:t>如果该装置在安装后超过1年接受测试，通常视为用户负有责任。</w:t>
      </w:r>
    </w:p>
    <w:p w14:paraId="5E35470B">
      <w:pPr>
        <w:spacing w:before="187"/>
        <w:ind w:left="660" w:leftChars="300"/>
        <w:rPr>
          <w:rFonts w:eastAsia="宋体" w:cs="Arial"/>
        </w:rPr>
      </w:pPr>
      <w:r>
        <w:rPr>
          <w:rFonts w:eastAsia="宋体" w:cs="Arial"/>
        </w:rPr>
        <w:t>其它相关合规政策、强制召回、扣押/没收和民事处罚规程包含在：</w:t>
      </w:r>
    </w:p>
    <w:p w14:paraId="211101F2">
      <w:pPr>
        <w:spacing w:before="187"/>
        <w:rPr>
          <w:rFonts w:eastAsia="宋体" w:cs="Arial"/>
        </w:rPr>
      </w:pPr>
    </w:p>
    <w:p w14:paraId="182E6FC7">
      <w:pPr>
        <w:spacing w:before="187"/>
        <w:rPr>
          <w:rFonts w:eastAsia="宋体" w:cs="Arial"/>
        </w:rPr>
      </w:pPr>
      <w:r>
        <w:rPr>
          <w:rFonts w:eastAsia="宋体" w:cs="Arial"/>
        </w:rPr>
        <w:br w:type="page"/>
      </w:r>
    </w:p>
    <w:p w14:paraId="6C7A01B9">
      <w:pPr>
        <w:pStyle w:val="15"/>
        <w:numPr>
          <w:ilvl w:val="0"/>
          <w:numId w:val="33"/>
        </w:numPr>
        <w:spacing w:before="187"/>
        <w:ind w:left="1080" w:leftChars="300" w:hangingChars="191"/>
        <w:rPr>
          <w:rFonts w:eastAsia="宋体" w:cs="Arial"/>
        </w:rPr>
      </w:pPr>
      <w:r>
        <w:rPr>
          <w:rFonts w:eastAsia="宋体" w:cs="Arial"/>
        </w:rPr>
        <w:t>CPG 7133.12（针对安装不合规诊断用X射线设备装配商的监管行动）</w:t>
      </w:r>
    </w:p>
    <w:p w14:paraId="6AE4C339">
      <w:pPr>
        <w:pStyle w:val="15"/>
        <w:numPr>
          <w:ilvl w:val="0"/>
          <w:numId w:val="33"/>
        </w:numPr>
        <w:spacing w:before="187"/>
        <w:ind w:left="1080" w:leftChars="300" w:hangingChars="191"/>
        <w:rPr>
          <w:rFonts w:eastAsia="宋体" w:cs="Arial"/>
        </w:rPr>
      </w:pPr>
      <w:r>
        <w:rPr>
          <w:rFonts w:eastAsia="宋体" w:cs="Arial"/>
        </w:rPr>
        <w:t>CPG 7133.23（针对电子产品制造商和进口商民事处罚的评估）</w:t>
      </w:r>
    </w:p>
    <w:p w14:paraId="077F487F">
      <w:pPr>
        <w:pStyle w:val="15"/>
        <w:numPr>
          <w:ilvl w:val="0"/>
          <w:numId w:val="33"/>
        </w:numPr>
        <w:spacing w:before="187"/>
        <w:ind w:left="1080" w:leftChars="300" w:hangingChars="191"/>
        <w:rPr>
          <w:rFonts w:eastAsia="宋体" w:cs="Arial"/>
        </w:rPr>
      </w:pPr>
      <w:r>
        <w:rPr>
          <w:rFonts w:eastAsia="宋体" w:cs="Arial"/>
        </w:rPr>
        <w:t>CPG 7133.25（扣押/没收－有危险的诊断用X射线系统，1983年7月1日）</w:t>
      </w:r>
    </w:p>
    <w:p w14:paraId="40B3B9E0">
      <w:pPr>
        <w:pStyle w:val="15"/>
        <w:numPr>
          <w:ilvl w:val="0"/>
          <w:numId w:val="33"/>
        </w:numPr>
        <w:spacing w:before="187"/>
        <w:ind w:left="1080" w:leftChars="300" w:hangingChars="191"/>
        <w:rPr>
          <w:rFonts w:eastAsia="宋体" w:cs="Arial"/>
        </w:rPr>
      </w:pPr>
      <w:r>
        <w:rPr>
          <w:rFonts w:eastAsia="宋体" w:cs="Arial"/>
        </w:rPr>
        <w:t>CPG 7133.27（纠正行动－诊断用X射线设备性能标准下基于工厂诊断用X射线设备制造商和装配商的责任）</w:t>
      </w:r>
    </w:p>
    <w:p w14:paraId="7E1A2C8B">
      <w:pPr>
        <w:pStyle w:val="15"/>
        <w:numPr>
          <w:ilvl w:val="0"/>
          <w:numId w:val="33"/>
        </w:numPr>
        <w:spacing w:before="187"/>
        <w:ind w:left="1080" w:leftChars="300" w:hangingChars="191"/>
        <w:rPr>
          <w:rFonts w:eastAsia="宋体" w:cs="Arial"/>
        </w:rPr>
      </w:pPr>
      <w:r>
        <w:rPr>
          <w:rFonts w:eastAsia="宋体" w:cs="Arial"/>
        </w:rPr>
        <w:t>CPG 7133.28（针对未将装配报告归档X射线设备装配商的监管行动）</w:t>
      </w:r>
    </w:p>
    <w:p w14:paraId="0AC38887">
      <w:pPr>
        <w:pStyle w:val="15"/>
        <w:numPr>
          <w:ilvl w:val="0"/>
          <w:numId w:val="33"/>
        </w:numPr>
        <w:spacing w:before="187"/>
        <w:ind w:left="1080" w:leftChars="300" w:hangingChars="191"/>
        <w:rPr>
          <w:rFonts w:eastAsia="宋体" w:cs="Arial"/>
        </w:rPr>
      </w:pPr>
      <w:r>
        <w:rPr>
          <w:rFonts w:eastAsia="宋体" w:cs="Arial"/>
        </w:rPr>
        <w:t>RPM第6章（民事处罚－电子产品的辐射控制）</w:t>
      </w:r>
    </w:p>
    <w:p w14:paraId="5101512C">
      <w:pPr>
        <w:pStyle w:val="15"/>
        <w:numPr>
          <w:ilvl w:val="0"/>
          <w:numId w:val="33"/>
        </w:numPr>
        <w:spacing w:before="187"/>
        <w:ind w:left="1080" w:leftChars="300" w:hangingChars="191"/>
        <w:rPr>
          <w:rFonts w:eastAsia="宋体" w:cs="Arial"/>
        </w:rPr>
      </w:pPr>
      <w:r>
        <w:rPr>
          <w:rFonts w:eastAsia="宋体" w:cs="Arial"/>
        </w:rPr>
        <w:t>RPM第7章附件E（电子产品的辐射控制第C分章下对排放辐射电子产品的召回）</w:t>
      </w:r>
    </w:p>
    <w:p w14:paraId="2EBF206A">
      <w:pPr>
        <w:pStyle w:val="15"/>
        <w:numPr>
          <w:ilvl w:val="4"/>
          <w:numId w:val="32"/>
        </w:numPr>
        <w:spacing w:before="187"/>
        <w:ind w:left="660" w:hanging="660" w:hangingChars="300"/>
        <w:rPr>
          <w:rFonts w:eastAsia="宋体" w:cs="Arial"/>
          <w:u w:val="single"/>
        </w:rPr>
      </w:pPr>
      <w:r>
        <w:rPr>
          <w:rFonts w:eastAsia="宋体" w:cs="Arial"/>
          <w:u w:val="single"/>
        </w:rPr>
        <w:t>案例指南</w:t>
      </w:r>
    </w:p>
    <w:p w14:paraId="0BFBFBF9">
      <w:pPr>
        <w:spacing w:before="187"/>
        <w:ind w:left="660" w:leftChars="300"/>
        <w:rPr>
          <w:rFonts w:eastAsia="宋体" w:cs="Arial"/>
        </w:rPr>
      </w:pPr>
      <w:r>
        <w:rPr>
          <w:rFonts w:eastAsia="宋体" w:cs="Arial"/>
        </w:rPr>
        <w:t>在开展监管行动的早期阶段，为促使及时采取行动，鼓励与中心进行非正式磋商。可与诊断器械分部HFZ-240主任联系，电话：240-276-3332。为帮助及时审核，所有必要样品和其它支持性文件均应贴上标签，对它们在建议中的位置应提供交叉引用。</w:t>
      </w:r>
    </w:p>
    <w:p w14:paraId="30674CFD">
      <w:pPr>
        <w:pStyle w:val="15"/>
        <w:numPr>
          <w:ilvl w:val="1"/>
          <w:numId w:val="34"/>
        </w:numPr>
        <w:spacing w:before="187"/>
        <w:ind w:left="1320" w:leftChars="300" w:hanging="660" w:hangingChars="300"/>
        <w:rPr>
          <w:rFonts w:eastAsia="宋体" w:cs="Arial"/>
          <w:u w:val="single"/>
        </w:rPr>
      </w:pPr>
      <w:r>
        <w:rPr>
          <w:rFonts w:eastAsia="宋体" w:cs="Arial"/>
          <w:u w:val="single"/>
        </w:rPr>
        <w:t>装配商违规</w:t>
      </w:r>
    </w:p>
    <w:p w14:paraId="53CE6674">
      <w:pPr>
        <w:spacing w:before="187"/>
        <w:ind w:left="1320" w:leftChars="600"/>
        <w:rPr>
          <w:rFonts w:eastAsia="宋体" w:cs="Arial"/>
        </w:rPr>
      </w:pPr>
      <w:r>
        <w:rPr>
          <w:rFonts w:eastAsia="宋体" w:cs="Arial"/>
        </w:rPr>
        <w:t>建议对下列事项处以辐射控制民事处罚（其适当性见CPG7133.12）：</w:t>
      </w:r>
    </w:p>
    <w:p w14:paraId="503B3C9C">
      <w:pPr>
        <w:pStyle w:val="15"/>
        <w:numPr>
          <w:ilvl w:val="0"/>
          <w:numId w:val="35"/>
        </w:numPr>
        <w:spacing w:before="187"/>
        <w:ind w:left="1740" w:leftChars="600" w:hangingChars="191"/>
        <w:rPr>
          <w:rFonts w:eastAsia="宋体" w:cs="Arial"/>
        </w:rPr>
      </w:pPr>
      <w:r>
        <w:rPr>
          <w:rFonts w:eastAsia="宋体" w:cs="Arial"/>
        </w:rPr>
        <w:t>依据第II部分B.3表I和CPG 7133.12认定的违规现场测试模式。</w:t>
      </w:r>
    </w:p>
    <w:p w14:paraId="3ADB58E7">
      <w:pPr>
        <w:pStyle w:val="15"/>
        <w:numPr>
          <w:ilvl w:val="0"/>
          <w:numId w:val="35"/>
        </w:numPr>
        <w:spacing w:before="187"/>
        <w:ind w:left="1740" w:leftChars="600" w:hangingChars="191"/>
        <w:rPr>
          <w:rFonts w:eastAsia="宋体" w:cs="Arial"/>
        </w:rPr>
      </w:pPr>
      <w:r>
        <w:rPr>
          <w:rFonts w:eastAsia="宋体" w:cs="Arial"/>
        </w:rPr>
        <w:t>为FDA提供符合CPG 7133.28标准所需装配商报告的失败模式。</w:t>
      </w:r>
    </w:p>
    <w:p w14:paraId="007E668C">
      <w:pPr>
        <w:pStyle w:val="15"/>
        <w:numPr>
          <w:ilvl w:val="0"/>
          <w:numId w:val="35"/>
        </w:numPr>
        <w:spacing w:before="187"/>
        <w:ind w:left="1740" w:leftChars="600" w:hangingChars="191"/>
        <w:rPr>
          <w:rFonts w:eastAsia="宋体" w:cs="Arial"/>
        </w:rPr>
      </w:pPr>
      <w:r>
        <w:rPr>
          <w:rFonts w:eastAsia="宋体" w:cs="Arial"/>
        </w:rPr>
        <w:t>对通知函的回复不符合要求或未对不合规产品进行纠正。</w:t>
      </w:r>
    </w:p>
    <w:p w14:paraId="788D08A3">
      <w:pPr>
        <w:pStyle w:val="15"/>
        <w:numPr>
          <w:ilvl w:val="0"/>
          <w:numId w:val="35"/>
        </w:numPr>
        <w:spacing w:before="187"/>
        <w:ind w:left="1740" w:leftChars="600" w:hangingChars="191"/>
        <w:rPr>
          <w:rFonts w:eastAsia="宋体" w:cs="Arial"/>
        </w:rPr>
      </w:pPr>
      <w:r>
        <w:rPr>
          <w:rFonts w:eastAsia="宋体" w:cs="Arial"/>
        </w:rPr>
        <w:t>故意和任性违规</w:t>
      </w:r>
    </w:p>
    <w:p w14:paraId="22C9311B">
      <w:pPr>
        <w:spacing w:before="187"/>
        <w:rPr>
          <w:rFonts w:eastAsia="宋体" w:cs="Arial"/>
        </w:rPr>
      </w:pPr>
    </w:p>
    <w:p w14:paraId="2ECC3735">
      <w:pPr>
        <w:spacing w:before="187"/>
        <w:rPr>
          <w:rFonts w:eastAsia="宋体" w:cs="Arial"/>
        </w:rPr>
      </w:pPr>
      <w:r>
        <w:rPr>
          <w:rFonts w:eastAsia="宋体" w:cs="Arial"/>
        </w:rPr>
        <w:br w:type="page"/>
      </w:r>
    </w:p>
    <w:p w14:paraId="04AEFD51">
      <w:pPr>
        <w:pStyle w:val="15"/>
        <w:numPr>
          <w:ilvl w:val="0"/>
          <w:numId w:val="35"/>
        </w:numPr>
        <w:spacing w:before="187"/>
        <w:ind w:left="1740" w:leftChars="600" w:hangingChars="191"/>
        <w:rPr>
          <w:rFonts w:eastAsia="宋体" w:cs="Arial"/>
        </w:rPr>
      </w:pPr>
      <w:r>
        <w:rPr>
          <w:rFonts w:eastAsia="宋体" w:cs="Arial"/>
        </w:rPr>
        <w:t>NC/DOAR行动不当或不足时发生的违规（见下述D节和第II部分B.3表I）。</w:t>
      </w:r>
    </w:p>
    <w:p w14:paraId="64ABCB75">
      <w:pPr>
        <w:pStyle w:val="15"/>
        <w:numPr>
          <w:ilvl w:val="0"/>
          <w:numId w:val="35"/>
        </w:numPr>
        <w:spacing w:before="187"/>
        <w:ind w:left="1740" w:leftChars="600" w:hangingChars="191"/>
        <w:rPr>
          <w:rFonts w:eastAsia="宋体" w:cs="Arial"/>
        </w:rPr>
      </w:pPr>
      <w:r>
        <w:rPr>
          <w:rFonts w:eastAsia="宋体" w:cs="Arial"/>
        </w:rPr>
        <w:t>违规已导致严重损伤或死亡。</w:t>
      </w:r>
    </w:p>
    <w:p w14:paraId="4A19354B">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建议酌情处以医疗器械民事处罚。如果现场测试显示每个装置存在一个或更多装配商相关性不合规，可依据联邦食品、药品及化妆品法案进行管辖。</w:t>
      </w:r>
      <w:r>
        <w:rPr>
          <w:rFonts w:eastAsia="宋体" w:cs="Arial"/>
        </w:rPr>
        <w:tab/>
      </w:r>
      <w:r>
        <w:rPr>
          <w:rFonts w:eastAsia="宋体" w:cs="Arial"/>
        </w:rPr>
        <w:t>*</w:t>
      </w:r>
    </w:p>
    <w:p w14:paraId="74573777">
      <w:pPr>
        <w:pStyle w:val="15"/>
        <w:numPr>
          <w:ilvl w:val="1"/>
          <w:numId w:val="34"/>
        </w:numPr>
        <w:spacing w:before="187"/>
        <w:ind w:left="1320" w:leftChars="300" w:hanging="660" w:hangingChars="300"/>
        <w:rPr>
          <w:rFonts w:eastAsia="宋体" w:cs="Arial"/>
          <w:u w:val="single"/>
        </w:rPr>
      </w:pPr>
      <w:r>
        <w:rPr>
          <w:rFonts w:eastAsia="宋体" w:cs="Arial"/>
          <w:u w:val="single"/>
        </w:rPr>
        <w:t>制造商违规</w:t>
      </w:r>
    </w:p>
    <w:p w14:paraId="390EA2D5">
      <w:pPr>
        <w:spacing w:before="187"/>
        <w:ind w:left="1320" w:leftChars="600"/>
        <w:rPr>
          <w:rFonts w:eastAsia="宋体" w:cs="Arial"/>
        </w:rPr>
      </w:pPr>
      <w:r>
        <w:rPr>
          <w:rFonts w:eastAsia="宋体" w:cs="Arial"/>
        </w:rPr>
        <w:t>将可归因于X射线系统或组件制造商的所有A类或B类不合规测试记录提交给CDRH（HFZ-240）供采取评价和随访行动。转移备忘录应包括：</w:t>
      </w:r>
    </w:p>
    <w:p w14:paraId="0DB6C66A">
      <w:pPr>
        <w:pStyle w:val="15"/>
        <w:numPr>
          <w:ilvl w:val="0"/>
          <w:numId w:val="35"/>
        </w:numPr>
        <w:spacing w:before="187"/>
        <w:ind w:left="1760" w:leftChars="600" w:hanging="440" w:hangingChars="200"/>
        <w:rPr>
          <w:rFonts w:eastAsia="宋体" w:cs="Arial"/>
        </w:rPr>
      </w:pPr>
      <w:r>
        <w:rPr>
          <w:rFonts w:eastAsia="宋体" w:cs="Arial"/>
        </w:rPr>
        <w:t>对不合规事项的描述。</w:t>
      </w:r>
    </w:p>
    <w:p w14:paraId="6F070813">
      <w:pPr>
        <w:pStyle w:val="15"/>
        <w:numPr>
          <w:ilvl w:val="0"/>
          <w:numId w:val="35"/>
        </w:numPr>
        <w:spacing w:before="187"/>
        <w:ind w:left="1760" w:leftChars="600" w:hanging="440" w:hangingChars="200"/>
        <w:rPr>
          <w:rFonts w:eastAsia="宋体" w:cs="Arial"/>
        </w:rPr>
      </w:pPr>
      <w:r>
        <w:rPr>
          <w:rFonts w:eastAsia="宋体" w:cs="Arial"/>
        </w:rPr>
        <w:t>所涉制造商和型号的信息。</w:t>
      </w:r>
    </w:p>
    <w:p w14:paraId="621586B9">
      <w:pPr>
        <w:pStyle w:val="15"/>
        <w:numPr>
          <w:ilvl w:val="0"/>
          <w:numId w:val="35"/>
        </w:numPr>
        <w:spacing w:before="187"/>
        <w:ind w:left="1760" w:leftChars="600" w:hanging="440" w:hangingChars="200"/>
        <w:rPr>
          <w:rFonts w:eastAsia="宋体" w:cs="Arial"/>
        </w:rPr>
      </w:pPr>
      <w:r>
        <w:rPr>
          <w:rFonts w:eastAsia="宋体" w:cs="Arial"/>
        </w:rPr>
        <w:t>怀疑存在制造商问题的理由。</w:t>
      </w:r>
    </w:p>
    <w:p w14:paraId="4B831B79">
      <w:pPr>
        <w:pStyle w:val="15"/>
        <w:numPr>
          <w:ilvl w:val="0"/>
          <w:numId w:val="35"/>
        </w:numPr>
        <w:spacing w:before="187"/>
        <w:ind w:left="1760" w:leftChars="600" w:hanging="440" w:hangingChars="200"/>
        <w:rPr>
          <w:rFonts w:eastAsia="宋体" w:cs="Arial"/>
        </w:rPr>
      </w:pPr>
      <w:r>
        <w:rPr>
          <w:rFonts w:eastAsia="宋体" w:cs="Arial"/>
        </w:rPr>
        <w:t>预先就该问题与CDRH进行电话联系的人员身份和联系日期。</w:t>
      </w:r>
    </w:p>
    <w:p w14:paraId="1A6BC042">
      <w:pPr>
        <w:pStyle w:val="15"/>
        <w:numPr>
          <w:ilvl w:val="0"/>
          <w:numId w:val="35"/>
        </w:numPr>
        <w:spacing w:before="187"/>
        <w:ind w:left="1760" w:leftChars="600" w:hanging="440" w:hangingChars="200"/>
        <w:rPr>
          <w:rFonts w:eastAsia="宋体" w:cs="Arial"/>
        </w:rPr>
      </w:pPr>
      <w:r>
        <w:rPr>
          <w:rFonts w:eastAsia="宋体" w:cs="Arial"/>
        </w:rPr>
        <w:t>是否已对该装置进行纠正。</w:t>
      </w:r>
    </w:p>
    <w:p w14:paraId="6059BE89">
      <w:pPr>
        <w:spacing w:before="187"/>
        <w:ind w:left="1320" w:leftChars="600"/>
        <w:rPr>
          <w:rFonts w:eastAsia="宋体" w:cs="Arial"/>
        </w:rPr>
      </w:pPr>
      <w:r>
        <w:rPr>
          <w:rFonts w:eastAsia="宋体" w:cs="Arial"/>
        </w:rPr>
        <w:t>如果未对该装置进行纠正，CDRH将要求制造商予以纠正。如果通过评价确认存在一个属性或设计问题，CDRH将宣布存在不合规并要求依照RPM第7章附件E采取纠正/召回措施。</w:t>
      </w:r>
    </w:p>
    <w:p w14:paraId="31CCFEF0">
      <w:pPr>
        <w:spacing w:before="187"/>
        <w:ind w:left="1320" w:leftChars="600"/>
        <w:rPr>
          <w:rFonts w:eastAsia="宋体" w:cs="Arial"/>
        </w:rPr>
      </w:pPr>
      <w:r>
        <w:rPr>
          <w:rFonts w:eastAsia="宋体" w:cs="Arial"/>
        </w:rPr>
        <w:t>产地管理区将对获批纠正行动计划（召回）实施监督。建议对不纠正不合规产品或继续违规或任性违规行为处以民事处罚可能属适当作为。</w:t>
      </w:r>
    </w:p>
    <w:p w14:paraId="593C2577">
      <w:pPr>
        <w:pStyle w:val="15"/>
        <w:numPr>
          <w:ilvl w:val="1"/>
          <w:numId w:val="34"/>
        </w:numPr>
        <w:spacing w:before="187"/>
        <w:ind w:left="1320" w:leftChars="300" w:hanging="660" w:hangingChars="300"/>
        <w:rPr>
          <w:rFonts w:eastAsia="宋体" w:cs="Arial"/>
          <w:u w:val="single"/>
        </w:rPr>
      </w:pPr>
      <w:r>
        <w:rPr>
          <w:rFonts w:eastAsia="宋体" w:cs="Arial"/>
          <w:u w:val="single"/>
        </w:rPr>
        <w:t>扣押/没收</w:t>
      </w:r>
    </w:p>
    <w:p w14:paraId="361AC7A2">
      <w:pPr>
        <w:spacing w:before="187"/>
        <w:ind w:left="1320" w:leftChars="600"/>
        <w:rPr>
          <w:rFonts w:eastAsia="宋体" w:cs="Arial"/>
        </w:rPr>
      </w:pPr>
      <w:r>
        <w:rPr>
          <w:rFonts w:eastAsia="宋体" w:cs="Arial"/>
        </w:rPr>
        <w:t>如果责任公司（制造商或装配商）拒绝纠正或不能（如破产）纠正严重辐射危害，建议对其处以扣押/没收处罚。严重辐射危害包括下列或类似状况（见CPM 7133.25）：</w:t>
      </w:r>
    </w:p>
    <w:p w14:paraId="3C62578B">
      <w:pPr>
        <w:pStyle w:val="15"/>
        <w:numPr>
          <w:ilvl w:val="0"/>
          <w:numId w:val="35"/>
        </w:numPr>
        <w:spacing w:before="187"/>
        <w:ind w:left="1740" w:leftChars="600" w:hangingChars="191"/>
        <w:rPr>
          <w:rFonts w:eastAsia="宋体" w:cs="Arial"/>
        </w:rPr>
      </w:pPr>
      <w:r>
        <w:rPr>
          <w:rFonts w:eastAsia="宋体" w:cs="Arial"/>
        </w:rPr>
        <w:t>X射线计时器未终止，</w:t>
      </w:r>
    </w:p>
    <w:p w14:paraId="195C9141">
      <w:pPr>
        <w:tabs>
          <w:tab w:val="left" w:pos="1320"/>
          <w:tab w:val="left" w:pos="1760"/>
          <w:tab w:val="left" w:pos="8800"/>
        </w:tabs>
        <w:spacing w:before="187"/>
        <w:rPr>
          <w:rFonts w:eastAsia="宋体" w:cs="Arial"/>
        </w:rPr>
      </w:pPr>
      <w:r>
        <w:rPr>
          <w:rFonts w:eastAsia="宋体" w:cs="Arial"/>
        </w:rPr>
        <w:t>*</w:t>
      </w:r>
      <w:r>
        <w:rPr>
          <w:rFonts w:eastAsia="宋体" w:cs="Arial"/>
        </w:rPr>
        <w:tab/>
      </w:r>
      <w:r>
        <w:rPr>
          <w:rFonts w:eastAsia="宋体" w:cs="Arial"/>
        </w:rPr>
        <w:t>-</w:t>
      </w:r>
      <w:r>
        <w:rPr>
          <w:rFonts w:eastAsia="宋体" w:cs="Arial"/>
        </w:rPr>
        <w:tab/>
      </w:r>
      <w:r>
        <w:rPr>
          <w:rFonts w:eastAsia="宋体" w:cs="Arial"/>
        </w:rPr>
        <w:t xml:space="preserve">荧光检查装置进口辐照量率过高（A类，见附件D）。 </w:t>
      </w:r>
      <w:r>
        <w:rPr>
          <w:rFonts w:eastAsia="宋体" w:cs="Arial"/>
        </w:rPr>
        <w:tab/>
      </w:r>
      <w:r>
        <w:rPr>
          <w:rFonts w:eastAsia="宋体" w:cs="Arial"/>
        </w:rPr>
        <w:t>*</w:t>
      </w:r>
    </w:p>
    <w:p w14:paraId="2B4F935D">
      <w:pPr>
        <w:spacing w:before="187"/>
        <w:rPr>
          <w:rFonts w:eastAsia="宋体" w:cs="Arial"/>
        </w:rPr>
      </w:pPr>
    </w:p>
    <w:p w14:paraId="07C91AC3">
      <w:pPr>
        <w:spacing w:before="187"/>
        <w:rPr>
          <w:rFonts w:eastAsia="宋体" w:cs="Arial"/>
        </w:rPr>
      </w:pPr>
      <w:r>
        <w:rPr>
          <w:rFonts w:eastAsia="宋体" w:cs="Arial"/>
        </w:rPr>
        <w:br w:type="page"/>
      </w:r>
    </w:p>
    <w:p w14:paraId="4C4731A3">
      <w:pPr>
        <w:spacing w:before="187"/>
        <w:ind w:left="1320" w:leftChars="600"/>
        <w:rPr>
          <w:rFonts w:eastAsia="宋体" w:cs="Arial"/>
        </w:rPr>
      </w:pPr>
      <w:r>
        <w:rPr>
          <w:rFonts w:eastAsia="宋体" w:cs="Arial"/>
        </w:rPr>
        <w:t>行政扣押行动预先已获批准时，可为没收行动提供直接引注授权。</w:t>
      </w:r>
    </w:p>
    <w:p w14:paraId="189F1628">
      <w:pPr>
        <w:pStyle w:val="15"/>
        <w:numPr>
          <w:ilvl w:val="4"/>
          <w:numId w:val="32"/>
        </w:numPr>
        <w:spacing w:before="187"/>
        <w:ind w:left="660" w:hanging="660" w:hangingChars="300"/>
        <w:rPr>
          <w:rFonts w:eastAsia="宋体" w:cs="Arial"/>
          <w:u w:val="single"/>
        </w:rPr>
      </w:pPr>
      <w:r>
        <w:rPr>
          <w:rFonts w:eastAsia="宋体" w:cs="Arial"/>
          <w:u w:val="single"/>
        </w:rPr>
        <w:t>怀疑装配商对不遵从标准负有责任时通知函的签发</w:t>
      </w:r>
    </w:p>
    <w:p w14:paraId="791EFA38">
      <w:pPr>
        <w:spacing w:before="187"/>
        <w:ind w:left="1320" w:leftChars="300" w:hanging="660" w:hangingChars="300"/>
        <w:rPr>
          <w:rFonts w:eastAsia="宋体" w:cs="Arial"/>
        </w:rPr>
      </w:pPr>
      <w:r>
        <w:rPr>
          <w:rFonts w:eastAsia="宋体" w:cs="Arial"/>
        </w:rPr>
        <w:t>注：</w:t>
      </w:r>
      <w:r>
        <w:rPr>
          <w:rFonts w:eastAsia="宋体" w:cs="Arial"/>
        </w:rPr>
        <w:tab/>
      </w:r>
      <w:r>
        <w:rPr>
          <w:rFonts w:eastAsia="宋体" w:cs="Arial"/>
        </w:rPr>
        <w:t>所有无标题信函在签发前应经完工管理区审计员审核。A类违规由产地管理区以警告函形式予以发布且应经产地管理区审计员审核。</w:t>
      </w:r>
    </w:p>
    <w:p w14:paraId="691996D0">
      <w:pPr>
        <w:pStyle w:val="15"/>
        <w:numPr>
          <w:ilvl w:val="1"/>
          <w:numId w:val="36"/>
        </w:numPr>
        <w:spacing w:before="187"/>
        <w:ind w:left="1320" w:leftChars="300" w:hanging="660" w:hangingChars="300"/>
        <w:rPr>
          <w:rFonts w:eastAsia="宋体" w:cs="Arial"/>
          <w:u w:val="single"/>
        </w:rPr>
      </w:pPr>
      <w:r>
        <w:rPr>
          <w:rFonts w:eastAsia="宋体" w:cs="Arial"/>
          <w:u w:val="single"/>
        </w:rPr>
        <w:t>不合规诊断用X射线系统的装配</w:t>
      </w:r>
    </w:p>
    <w:p w14:paraId="55B28BEC">
      <w:pPr>
        <w:pStyle w:val="15"/>
        <w:numPr>
          <w:ilvl w:val="2"/>
          <w:numId w:val="37"/>
        </w:numPr>
        <w:spacing w:before="187"/>
        <w:ind w:left="1980" w:leftChars="600" w:hanging="660" w:hangingChars="300"/>
        <w:rPr>
          <w:rFonts w:eastAsia="宋体" w:cs="Arial"/>
        </w:rPr>
      </w:pPr>
      <w:r>
        <w:rPr>
          <w:rFonts w:eastAsia="宋体" w:cs="Arial"/>
        </w:rPr>
        <w:t>签发一封通知函（见附件K）给装配商，该装配商对安装后1年内所得A类和B类现场测试结果负有责任。通知函应：</w:t>
      </w:r>
    </w:p>
    <w:p w14:paraId="72217866">
      <w:pPr>
        <w:pStyle w:val="15"/>
        <w:numPr>
          <w:ilvl w:val="0"/>
          <w:numId w:val="35"/>
        </w:numPr>
        <w:spacing w:before="187"/>
        <w:ind w:left="2420" w:leftChars="900" w:hanging="440" w:hangingChars="200"/>
        <w:rPr>
          <w:rFonts w:eastAsia="宋体" w:cs="Arial"/>
        </w:rPr>
      </w:pPr>
      <w:r>
        <w:rPr>
          <w:rFonts w:eastAsia="宋体" w:cs="Arial"/>
        </w:rPr>
        <w:t>发至当地装配公司主要责任人所在地址。</w:t>
      </w:r>
    </w:p>
    <w:p w14:paraId="53B1646A">
      <w:pPr>
        <w:pStyle w:val="15"/>
        <w:numPr>
          <w:ilvl w:val="0"/>
          <w:numId w:val="35"/>
        </w:numPr>
        <w:spacing w:before="187"/>
        <w:ind w:left="2420" w:leftChars="900" w:hanging="440" w:hangingChars="200"/>
        <w:rPr>
          <w:rFonts w:eastAsia="宋体" w:cs="Arial"/>
        </w:rPr>
      </w:pPr>
      <w:r>
        <w:rPr>
          <w:rFonts w:eastAsia="宋体" w:cs="Arial"/>
        </w:rPr>
        <w:t>根据监管规程手册第6章发出民事处罚警告。</w:t>
      </w:r>
    </w:p>
    <w:p w14:paraId="7B16F16E">
      <w:pPr>
        <w:pStyle w:val="15"/>
        <w:numPr>
          <w:ilvl w:val="0"/>
          <w:numId w:val="35"/>
        </w:numPr>
        <w:spacing w:before="187"/>
        <w:ind w:left="2420" w:leftChars="900" w:hanging="440" w:hangingChars="200"/>
        <w:rPr>
          <w:rFonts w:eastAsia="宋体" w:cs="Arial"/>
        </w:rPr>
      </w:pPr>
      <w:r>
        <w:rPr>
          <w:rFonts w:eastAsia="宋体" w:cs="Arial"/>
        </w:rPr>
        <w:t>在现场测试后45天内发出（由州行政机关实施的测试在60天内）。</w:t>
      </w:r>
    </w:p>
    <w:p w14:paraId="58228E3E">
      <w:pPr>
        <w:pStyle w:val="15"/>
        <w:numPr>
          <w:ilvl w:val="0"/>
          <w:numId w:val="35"/>
        </w:numPr>
        <w:spacing w:before="187"/>
        <w:ind w:left="2420" w:leftChars="900" w:hanging="440" w:hangingChars="200"/>
        <w:rPr>
          <w:rFonts w:eastAsia="宋体" w:cs="Arial"/>
        </w:rPr>
      </w:pPr>
      <w:r>
        <w:rPr>
          <w:rFonts w:eastAsia="宋体" w:cs="Arial"/>
        </w:rPr>
        <w:t>在收到显示A类违规的结果后2个工作日内发出。</w:t>
      </w:r>
    </w:p>
    <w:p w14:paraId="6464C127">
      <w:pPr>
        <w:pStyle w:val="15"/>
        <w:numPr>
          <w:ilvl w:val="0"/>
          <w:numId w:val="35"/>
        </w:numPr>
        <w:spacing w:before="187"/>
        <w:ind w:left="2420" w:leftChars="900" w:hanging="440" w:hangingChars="200"/>
        <w:rPr>
          <w:rFonts w:eastAsia="宋体" w:cs="Arial"/>
        </w:rPr>
      </w:pPr>
      <w:r>
        <w:rPr>
          <w:rFonts w:eastAsia="宋体" w:cs="Arial"/>
        </w:rPr>
        <w:t>在收到显示B类违规的结果后10个工作日内发出。</w:t>
      </w:r>
    </w:p>
    <w:p w14:paraId="716A02C7">
      <w:pPr>
        <w:pStyle w:val="15"/>
        <w:numPr>
          <w:ilvl w:val="0"/>
          <w:numId w:val="35"/>
        </w:numPr>
        <w:spacing w:before="187"/>
        <w:ind w:left="2420" w:leftChars="900" w:hanging="440" w:hangingChars="200"/>
        <w:rPr>
          <w:rFonts w:eastAsia="宋体" w:cs="Arial"/>
        </w:rPr>
      </w:pPr>
      <w:r>
        <w:rPr>
          <w:rFonts w:eastAsia="宋体" w:cs="Arial"/>
        </w:rPr>
        <w:t>要求装配商在收到所有A类违规结果后15个工作日内或收到所有B类违规结果后30个工作日内做出回复</w:t>
      </w:r>
    </w:p>
    <w:p w14:paraId="1F7756A8">
      <w:pPr>
        <w:pStyle w:val="15"/>
        <w:numPr>
          <w:ilvl w:val="0"/>
          <w:numId w:val="35"/>
        </w:numPr>
        <w:spacing w:before="187"/>
        <w:ind w:left="2420" w:leftChars="900" w:hanging="440" w:hangingChars="200"/>
        <w:rPr>
          <w:rFonts w:eastAsia="宋体" w:cs="Arial"/>
        </w:rPr>
      </w:pPr>
      <w:r>
        <w:rPr>
          <w:rFonts w:eastAsia="宋体" w:cs="Arial"/>
        </w:rPr>
        <w:t>要求提供装配商检修报告的一个副本（帮助确定违规原因，确保在不增加用户成本的情况下采取纠正措施）。</w:t>
      </w:r>
    </w:p>
    <w:p w14:paraId="2487616F">
      <w:pPr>
        <w:pStyle w:val="15"/>
        <w:numPr>
          <w:ilvl w:val="0"/>
          <w:numId w:val="35"/>
        </w:numPr>
        <w:spacing w:before="187"/>
        <w:ind w:left="2420" w:leftChars="900" w:hanging="440" w:hangingChars="200"/>
        <w:rPr>
          <w:rFonts w:eastAsia="宋体" w:cs="Arial"/>
        </w:rPr>
      </w:pPr>
      <w:r>
        <w:rPr>
          <w:rFonts w:eastAsia="宋体" w:cs="Arial"/>
        </w:rPr>
        <w:t>要求每个案例均将通知函副本发送至：</w:t>
      </w:r>
    </w:p>
    <w:p w14:paraId="657D044F">
      <w:pPr>
        <w:pStyle w:val="15"/>
        <w:numPr>
          <w:ilvl w:val="0"/>
          <w:numId w:val="38"/>
        </w:numPr>
        <w:spacing w:before="187"/>
        <w:ind w:left="2840" w:leftChars="1100" w:hangingChars="191"/>
        <w:rPr>
          <w:rFonts w:eastAsia="宋体" w:cs="Arial"/>
        </w:rPr>
      </w:pPr>
      <w:r>
        <w:rPr>
          <w:rFonts w:eastAsia="宋体" w:cs="Arial"/>
        </w:rPr>
        <w:t>用户</w:t>
      </w:r>
    </w:p>
    <w:p w14:paraId="415C9A86">
      <w:pPr>
        <w:pStyle w:val="15"/>
        <w:numPr>
          <w:ilvl w:val="0"/>
          <w:numId w:val="38"/>
        </w:numPr>
        <w:spacing w:before="187"/>
        <w:ind w:left="2840" w:leftChars="1100" w:hangingChars="191"/>
        <w:rPr>
          <w:rFonts w:eastAsia="宋体" w:cs="Arial"/>
        </w:rPr>
      </w:pPr>
      <w:r>
        <w:rPr>
          <w:rFonts w:eastAsia="宋体" w:cs="Arial"/>
        </w:rPr>
        <w:t>负责当地装配公司的X射线或医用系统总部官员</w:t>
      </w:r>
    </w:p>
    <w:p w14:paraId="7BCE2782">
      <w:pPr>
        <w:pStyle w:val="15"/>
        <w:numPr>
          <w:ilvl w:val="0"/>
          <w:numId w:val="38"/>
        </w:numPr>
        <w:spacing w:before="187"/>
        <w:ind w:left="2840" w:leftChars="1100" w:hangingChars="191"/>
        <w:rPr>
          <w:rFonts w:eastAsia="宋体" w:cs="Arial"/>
        </w:rPr>
      </w:pPr>
      <w:r>
        <w:rPr>
          <w:rFonts w:eastAsia="宋体" w:cs="Arial"/>
        </w:rPr>
        <w:t>附件G确认的X射线控制系统制造商所属公司总部官员。如果违规产品是限束器（BLD）且附件G确认的限束器制造商所属公司不同于X射线控制系统制造商所属公司的话，其总部官员应收到一个副本。</w:t>
      </w:r>
    </w:p>
    <w:p w14:paraId="40587E43">
      <w:pPr>
        <w:spacing w:before="187"/>
        <w:rPr>
          <w:rFonts w:eastAsia="宋体" w:cs="Arial"/>
        </w:rPr>
      </w:pPr>
    </w:p>
    <w:p w14:paraId="123D7948">
      <w:pPr>
        <w:spacing w:before="187"/>
        <w:rPr>
          <w:rFonts w:eastAsia="宋体" w:cs="Arial"/>
        </w:rPr>
      </w:pPr>
      <w:r>
        <w:rPr>
          <w:rFonts w:eastAsia="宋体" w:cs="Arial"/>
        </w:rPr>
        <w:br w:type="page"/>
      </w:r>
    </w:p>
    <w:p w14:paraId="0A2B370D">
      <w:pPr>
        <w:pStyle w:val="15"/>
        <w:numPr>
          <w:ilvl w:val="0"/>
          <w:numId w:val="38"/>
        </w:numPr>
        <w:spacing w:before="187"/>
        <w:ind w:left="2840" w:leftChars="1100" w:hangingChars="191"/>
        <w:rPr>
          <w:rFonts w:eastAsia="宋体" w:cs="Arial"/>
        </w:rPr>
      </w:pPr>
      <w:r>
        <w:rPr>
          <w:rFonts w:eastAsia="宋体" w:cs="Arial"/>
        </w:rPr>
        <w:t>产地管理区审计员（审计员将于签发前对所有警告函进行审核）</w:t>
      </w:r>
    </w:p>
    <w:p w14:paraId="0B33E41F">
      <w:pPr>
        <w:pStyle w:val="15"/>
        <w:numPr>
          <w:ilvl w:val="0"/>
          <w:numId w:val="38"/>
        </w:numPr>
        <w:spacing w:before="187"/>
        <w:ind w:left="2840" w:leftChars="1100" w:hangingChars="191"/>
        <w:rPr>
          <w:rFonts w:eastAsia="宋体" w:cs="Arial"/>
        </w:rPr>
      </w:pPr>
      <w:r>
        <w:rPr>
          <w:rFonts w:eastAsia="宋体" w:cs="Arial"/>
        </w:rPr>
        <w:t>完工管理区审计员（审计员将于签发前对所有无标题信函进行审核）</w:t>
      </w:r>
    </w:p>
    <w:p w14:paraId="6000536E">
      <w:pPr>
        <w:tabs>
          <w:tab w:val="left" w:pos="2420"/>
          <w:tab w:val="left" w:pos="2860"/>
          <w:tab w:val="left" w:pos="8800"/>
        </w:tabs>
        <w:spacing w:before="187"/>
        <w:rPr>
          <w:rFonts w:eastAsia="宋体" w:cs="Arial"/>
        </w:rPr>
      </w:pPr>
      <w:r>
        <w:rPr>
          <w:rFonts w:eastAsia="宋体" w:cs="Arial"/>
        </w:rPr>
        <w:t>*</w:t>
      </w:r>
      <w:r>
        <w:rPr>
          <w:rFonts w:eastAsia="宋体" w:cs="Arial"/>
        </w:rPr>
        <w:tab/>
      </w:r>
      <w:r>
        <w:rPr>
          <w:rFonts w:eastAsia="宋体" w:cs="Arial"/>
        </w:rPr>
        <w:t>f）</w:t>
      </w:r>
      <w:r>
        <w:rPr>
          <w:rFonts w:eastAsia="宋体" w:cs="Arial"/>
        </w:rPr>
        <w:tab/>
      </w:r>
      <w:r>
        <w:rPr>
          <w:rFonts w:eastAsia="宋体" w:cs="Arial"/>
        </w:rPr>
        <w:t>CDRH，HFZ-240</w:t>
      </w:r>
      <w:r>
        <w:rPr>
          <w:rFonts w:eastAsia="宋体" w:cs="Arial"/>
        </w:rPr>
        <w:tab/>
      </w:r>
      <w:r>
        <w:rPr>
          <w:rFonts w:eastAsia="宋体" w:cs="Arial"/>
        </w:rPr>
        <w:t>*</w:t>
      </w:r>
    </w:p>
    <w:p w14:paraId="58855627">
      <w:pPr>
        <w:spacing w:before="187"/>
        <w:ind w:left="2860" w:leftChars="1100" w:hanging="440" w:hangingChars="200"/>
        <w:rPr>
          <w:rFonts w:eastAsia="宋体" w:cs="Arial"/>
        </w:rPr>
      </w:pPr>
      <w:r>
        <w:rPr>
          <w:rFonts w:eastAsia="宋体" w:cs="Arial"/>
        </w:rPr>
        <w:t>g）</w:t>
      </w:r>
      <w:r>
        <w:rPr>
          <w:rFonts w:eastAsia="宋体" w:cs="Arial"/>
        </w:rPr>
        <w:tab/>
      </w:r>
      <w:r>
        <w:rPr>
          <w:rFonts w:eastAsia="宋体" w:cs="Arial"/>
        </w:rPr>
        <w:t>设施所属的州放射卫生管理局</w:t>
      </w:r>
    </w:p>
    <w:p w14:paraId="14248B39">
      <w:pPr>
        <w:pStyle w:val="15"/>
        <w:numPr>
          <w:ilvl w:val="2"/>
          <w:numId w:val="37"/>
        </w:numPr>
        <w:spacing w:before="187"/>
        <w:ind w:left="1980" w:leftChars="600" w:hanging="660" w:hangingChars="300"/>
        <w:rPr>
          <w:rFonts w:eastAsia="宋体" w:cs="Arial"/>
        </w:rPr>
      </w:pPr>
      <w:r>
        <w:rPr>
          <w:rFonts w:eastAsia="宋体" w:cs="Arial"/>
        </w:rPr>
        <w:t>对装配商的回复进行评价并将副本送达产地管理区X射线审计员用于确认责任归属、为提出民事处罚建议进行资质评估以及完成CDRH现场纠正状态报告。</w:t>
      </w:r>
    </w:p>
    <w:p w14:paraId="78EAF224">
      <w:pPr>
        <w:pStyle w:val="15"/>
        <w:numPr>
          <w:ilvl w:val="2"/>
          <w:numId w:val="37"/>
        </w:numPr>
        <w:spacing w:before="187"/>
        <w:ind w:left="1980" w:leftChars="600" w:hanging="660" w:hangingChars="300"/>
        <w:rPr>
          <w:rFonts w:eastAsia="宋体" w:cs="Arial"/>
        </w:rPr>
      </w:pPr>
      <w:r>
        <w:rPr>
          <w:rFonts w:eastAsia="宋体" w:cs="Arial"/>
        </w:rPr>
        <w:t>装配商依据21 CFR 1003.30的规定行使权利时，对反驳或豁免申请做出回应。必要时，可从附件B所列审计员或CDRH工作人员处获得技术援助。</w:t>
      </w:r>
    </w:p>
    <w:p w14:paraId="0A91BA66">
      <w:pPr>
        <w:pStyle w:val="15"/>
        <w:numPr>
          <w:ilvl w:val="2"/>
          <w:numId w:val="37"/>
        </w:numPr>
        <w:spacing w:before="187"/>
        <w:ind w:left="1980" w:leftChars="600" w:hanging="660" w:hangingChars="300"/>
        <w:rPr>
          <w:rFonts w:eastAsia="宋体" w:cs="Arial"/>
        </w:rPr>
      </w:pPr>
      <w:r>
        <w:rPr>
          <w:rFonts w:eastAsia="宋体" w:cs="Arial"/>
        </w:rPr>
        <w:t>否定装配商提出或实施的不符合要求的纠正行动。</w:t>
      </w:r>
    </w:p>
    <w:p w14:paraId="097D278B">
      <w:pPr>
        <w:pStyle w:val="15"/>
        <w:numPr>
          <w:ilvl w:val="2"/>
          <w:numId w:val="37"/>
        </w:numPr>
        <w:spacing w:before="187"/>
        <w:ind w:left="1980" w:leftChars="600" w:hanging="660" w:hangingChars="300"/>
        <w:rPr>
          <w:rFonts w:eastAsia="宋体" w:cs="Arial"/>
        </w:rPr>
      </w:pPr>
      <w:r>
        <w:rPr>
          <w:rFonts w:eastAsia="宋体" w:cs="Arial"/>
        </w:rPr>
        <w:t>如果装配商未提供符合要求或及时的回复，应签发一份随访现场测试任务单。如果违规未得到纠正，应考虑采取监管行动。</w:t>
      </w:r>
    </w:p>
    <w:p w14:paraId="6954D4ED">
      <w:pPr>
        <w:spacing w:before="187"/>
        <w:ind w:left="1980" w:leftChars="600" w:hanging="660" w:hangingChars="300"/>
        <w:rPr>
          <w:rFonts w:eastAsia="宋体" w:cs="Arial"/>
        </w:rPr>
      </w:pPr>
      <w:r>
        <w:rPr>
          <w:rFonts w:eastAsia="宋体" w:cs="Arial"/>
        </w:rPr>
        <w:t>注：</w:t>
      </w:r>
      <w:r>
        <w:rPr>
          <w:rFonts w:eastAsia="宋体" w:cs="Arial"/>
        </w:rPr>
        <w:tab/>
      </w:r>
      <w:r>
        <w:rPr>
          <w:rFonts w:eastAsia="宋体" w:cs="Arial"/>
        </w:rPr>
        <w:t>装配商不同意本局采取的行动时，可依据21 CFR 16申请召开听证会。如果管理区接受这一申请，可与HFZ-200联系，以便做出安排。HFZ-200将依据FDA工作人员手册指南第1410.29节（http://www.fda.gov/smg/1410_29.html）的规定指派一名听证官。</w:t>
      </w:r>
    </w:p>
    <w:p w14:paraId="5976705D">
      <w:pPr>
        <w:pStyle w:val="15"/>
        <w:numPr>
          <w:ilvl w:val="1"/>
          <w:numId w:val="36"/>
        </w:numPr>
        <w:spacing w:before="187"/>
        <w:ind w:left="1320" w:leftChars="300" w:hanging="660" w:hangingChars="300"/>
        <w:rPr>
          <w:rFonts w:eastAsia="宋体" w:cs="Arial"/>
          <w:u w:val="single"/>
        </w:rPr>
      </w:pPr>
      <w:r>
        <w:rPr>
          <w:rFonts w:eastAsia="宋体" w:cs="Arial"/>
          <w:u w:val="single"/>
        </w:rPr>
        <w:t>FDA 2579</w:t>
      </w:r>
      <w:r>
        <w:rPr>
          <w:rFonts w:ascii="宋体" w:hAnsi="宋体" w:eastAsia="宋体" w:cs="Arial"/>
          <w:u w:val="single"/>
        </w:rPr>
        <w:t>“</w:t>
      </w:r>
      <w:r>
        <w:rPr>
          <w:rFonts w:eastAsia="宋体" w:cs="Arial"/>
          <w:u w:val="single"/>
        </w:rPr>
        <w:t>诊断用X射线系统装配报告</w:t>
      </w:r>
      <w:r>
        <w:rPr>
          <w:rFonts w:ascii="宋体" w:hAnsi="宋体" w:eastAsia="宋体" w:cs="Arial"/>
          <w:u w:val="single"/>
        </w:rPr>
        <w:t>”</w:t>
      </w:r>
      <w:r>
        <w:rPr>
          <w:rFonts w:eastAsia="宋体" w:cs="Arial"/>
          <w:u w:val="single"/>
        </w:rPr>
        <w:t>提交失败、延迟提交或存在差错</w:t>
      </w:r>
    </w:p>
    <w:p w14:paraId="444A7600">
      <w:pPr>
        <w:spacing w:before="187"/>
        <w:ind w:left="1320" w:leftChars="600"/>
        <w:rPr>
          <w:rFonts w:eastAsia="宋体" w:cs="Arial"/>
        </w:rPr>
      </w:pPr>
      <w:r>
        <w:rPr>
          <w:rFonts w:eastAsia="宋体" w:cs="Arial"/>
        </w:rPr>
        <w:t>向当地装配商办公室主要责任人发出通知函（见附件H-J）。</w:t>
      </w:r>
    </w:p>
    <w:p w14:paraId="119649FA">
      <w:pPr>
        <w:spacing w:before="187"/>
        <w:ind w:left="1320" w:leftChars="600"/>
        <w:rPr>
          <w:rFonts w:eastAsia="宋体" w:cs="Arial"/>
        </w:rPr>
      </w:pPr>
      <w:r>
        <w:rPr>
          <w:rFonts w:eastAsia="宋体" w:cs="Arial"/>
        </w:rPr>
        <w:t>注：装配后超过30天提交FDA 2579表属重大延迟。</w:t>
      </w:r>
    </w:p>
    <w:p w14:paraId="14B5DFD1">
      <w:pPr>
        <w:pStyle w:val="15"/>
        <w:numPr>
          <w:ilvl w:val="4"/>
          <w:numId w:val="32"/>
        </w:numPr>
        <w:spacing w:before="187"/>
        <w:ind w:left="660" w:hanging="660" w:hangingChars="300"/>
        <w:rPr>
          <w:rFonts w:eastAsia="宋体" w:cs="Arial"/>
          <w:u w:val="single"/>
        </w:rPr>
      </w:pPr>
      <w:r>
        <w:rPr>
          <w:rFonts w:eastAsia="宋体" w:cs="Arial"/>
          <w:u w:val="single"/>
        </w:rPr>
        <w:t>装配商对不遵从标准负有责任时警告函、不合规公告和管理区致装配商召回令（NC/DOAR警告函）的签发</w:t>
      </w:r>
      <w:r>
        <w:rPr>
          <w:rFonts w:eastAsia="宋体" w:cs="Arial"/>
        </w:rPr>
        <w:t>（注：所有NC/DOAR警告函在签发前均应经产地管理区审计员审核）</w:t>
      </w:r>
    </w:p>
    <w:p w14:paraId="20F3471A">
      <w:pPr>
        <w:spacing w:before="187"/>
        <w:rPr>
          <w:rFonts w:eastAsia="宋体" w:cs="Arial"/>
        </w:rPr>
      </w:pPr>
    </w:p>
    <w:p w14:paraId="1853688C">
      <w:pPr>
        <w:spacing w:before="187"/>
        <w:rPr>
          <w:rFonts w:eastAsia="宋体" w:cs="Arial"/>
        </w:rPr>
      </w:pPr>
      <w:r>
        <w:rPr>
          <w:rFonts w:eastAsia="宋体" w:cs="Arial"/>
        </w:rPr>
        <w:br w:type="page"/>
      </w:r>
    </w:p>
    <w:p w14:paraId="3044FD4F">
      <w:pPr>
        <w:pStyle w:val="15"/>
        <w:numPr>
          <w:ilvl w:val="0"/>
          <w:numId w:val="39"/>
        </w:numPr>
        <w:spacing w:before="187"/>
        <w:ind w:left="1320" w:leftChars="300" w:hanging="660" w:hangingChars="300"/>
        <w:rPr>
          <w:rFonts w:eastAsia="宋体" w:cs="Arial"/>
          <w:u w:val="single"/>
        </w:rPr>
      </w:pPr>
      <w:r>
        <w:rPr>
          <w:rFonts w:eastAsia="宋体" w:cs="Arial"/>
          <w:u w:val="single"/>
        </w:rPr>
        <w:t>不合规诊断用X射线系统的装配</w:t>
      </w:r>
    </w:p>
    <w:p w14:paraId="45D50B25">
      <w:pPr>
        <w:pStyle w:val="15"/>
        <w:numPr>
          <w:ilvl w:val="2"/>
          <w:numId w:val="40"/>
        </w:numPr>
        <w:spacing w:before="187"/>
        <w:ind w:left="1980" w:leftChars="600" w:hanging="660" w:hangingChars="300"/>
        <w:rPr>
          <w:rFonts w:eastAsia="宋体" w:cs="Arial"/>
        </w:rPr>
      </w:pPr>
      <w:r>
        <w:rPr>
          <w:rFonts w:eastAsia="宋体" w:cs="Arial"/>
        </w:rPr>
        <w:t>依据CPM 7133.12和第II部分表I向责任装配商发出NC/DOAR警告函。将此函寄给当地装配公司的主要责任人。应将NC/DOAR警告函副本送达产地管理区审计员、安装管理区审计员、地区放射卫生代表和HFZ-240。</w:t>
      </w:r>
    </w:p>
    <w:p w14:paraId="25198909">
      <w:pPr>
        <w:pStyle w:val="15"/>
        <w:numPr>
          <w:ilvl w:val="2"/>
          <w:numId w:val="40"/>
        </w:numPr>
        <w:spacing w:before="187"/>
        <w:ind w:left="1980" w:leftChars="600" w:hanging="660" w:hangingChars="300"/>
        <w:rPr>
          <w:rFonts w:eastAsia="宋体" w:cs="Arial"/>
        </w:rPr>
      </w:pPr>
      <w:r>
        <w:rPr>
          <w:rFonts w:eastAsia="宋体" w:cs="Arial"/>
        </w:rPr>
        <w:t>利用附件Q指南对装配商回复进行评价。建议充分利用产地管理区审计员和诊断器械分部联系人在确定回复是否可接受的技术方面获得援助。</w:t>
      </w:r>
    </w:p>
    <w:p w14:paraId="5B0E59EF">
      <w:pPr>
        <w:pStyle w:val="15"/>
        <w:numPr>
          <w:ilvl w:val="0"/>
          <w:numId w:val="39"/>
        </w:numPr>
        <w:spacing w:before="187"/>
        <w:ind w:left="1320" w:leftChars="300" w:hanging="660" w:hangingChars="300"/>
        <w:rPr>
          <w:rFonts w:eastAsia="宋体" w:cs="Arial"/>
          <w:u w:val="single"/>
        </w:rPr>
      </w:pPr>
      <w:r>
        <w:rPr>
          <w:rFonts w:eastAsia="宋体" w:cs="Arial"/>
          <w:u w:val="single"/>
        </w:rPr>
        <w:t>对装配商纠正行动计划的监督</w:t>
      </w:r>
    </w:p>
    <w:p w14:paraId="0C1F22B3">
      <w:pPr>
        <w:spacing w:before="187"/>
        <w:ind w:left="1320" w:leftChars="600"/>
        <w:rPr>
          <w:rFonts w:eastAsia="宋体" w:cs="Arial"/>
        </w:rPr>
      </w:pPr>
      <w:r>
        <w:rPr>
          <w:rFonts w:eastAsia="宋体" w:cs="Arial"/>
        </w:rPr>
        <w:t>当作为对违规常规现场测试的随访发出通知函时，不要求装配商为纠正一个装置而提交纠正行动计划（CAP）。</w:t>
      </w:r>
    </w:p>
    <w:p w14:paraId="6AD32954">
      <w:pPr>
        <w:spacing w:before="187"/>
        <w:ind w:left="1320" w:leftChars="600"/>
        <w:rPr>
          <w:rFonts w:eastAsia="宋体" w:cs="Arial"/>
        </w:rPr>
      </w:pPr>
      <w:r>
        <w:rPr>
          <w:rFonts w:eastAsia="宋体" w:cs="Arial"/>
        </w:rPr>
        <w:t>在NC/DOAR行动中，FDA管理区将向特定装配商发出不合规公告。该公告将覆盖所述时间范围内装配的经充分认证的诊断用X射线系统。因此，将纠正行动计划提交至装配商所属产地管理区并接受其监督实属必要。当确定装配商已选择提交纠正行动计划代替反驳或豁免申请时，开始监督。对纠正行动计划技术方面的审核应是产地管理区X射线审计员的职责。如果需要援助，审计员应致电（301）-594-3332与诊断器械器械分部（HFZ-240）联系。对装配商回复进行评价的指南见附件Q。</w:t>
      </w:r>
    </w:p>
    <w:p w14:paraId="4BA61D6A">
      <w:pPr>
        <w:spacing w:before="187"/>
        <w:ind w:left="1320" w:leftChars="600"/>
        <w:rPr>
          <w:rFonts w:eastAsia="宋体" w:cs="Arial"/>
        </w:rPr>
      </w:pPr>
      <w:r>
        <w:rPr>
          <w:rFonts w:eastAsia="宋体" w:cs="Arial"/>
        </w:rPr>
        <w:t>装配商的纠正行动计划将按召回处理。监管规程手册（RPM）第7章对召回处理规程进行了详细描述。监管规程手册附件E为装配商提供了具体指南。</w:t>
      </w:r>
    </w:p>
    <w:p w14:paraId="71C081FB">
      <w:pPr>
        <w:spacing w:before="187"/>
        <w:ind w:left="1320" w:leftChars="600"/>
        <w:rPr>
          <w:rFonts w:eastAsia="宋体" w:cs="Arial"/>
        </w:rPr>
      </w:pPr>
      <w:r>
        <w:rPr>
          <w:rFonts w:eastAsia="宋体" w:cs="Arial"/>
        </w:rPr>
        <w:t>产地管理区在纠正行动计划中应包含下列步骤：</w:t>
      </w:r>
    </w:p>
    <w:p w14:paraId="644DBF8F">
      <w:pPr>
        <w:spacing w:before="187"/>
        <w:ind w:left="1980" w:leftChars="600" w:hanging="660" w:hangingChars="300"/>
        <w:rPr>
          <w:rFonts w:eastAsia="宋体" w:cs="Arial"/>
        </w:rPr>
      </w:pPr>
      <w:r>
        <w:rPr>
          <w:rFonts w:eastAsia="宋体" w:cs="Arial"/>
        </w:rPr>
        <w:t xml:space="preserve">a. </w:t>
      </w:r>
      <w:r>
        <w:rPr>
          <w:rFonts w:eastAsia="宋体" w:cs="Arial"/>
        </w:rPr>
        <w:tab/>
      </w:r>
      <w:r>
        <w:rPr>
          <w:rFonts w:eastAsia="宋体" w:cs="Arial"/>
        </w:rPr>
        <w:t>收到纠正行动计划时，准备在监管规程手册中描述召回警报。</w:t>
      </w:r>
    </w:p>
    <w:p w14:paraId="4B502C3D">
      <w:pPr>
        <w:spacing w:before="187"/>
        <w:ind w:left="1980" w:leftChars="600" w:hanging="660" w:hangingChars="300"/>
        <w:rPr>
          <w:rFonts w:eastAsia="宋体" w:cs="Arial"/>
        </w:rPr>
      </w:pPr>
      <w:r>
        <w:rPr>
          <w:rFonts w:eastAsia="宋体" w:cs="Arial"/>
        </w:rPr>
        <w:t xml:space="preserve">b. </w:t>
      </w:r>
      <w:r>
        <w:rPr>
          <w:rFonts w:eastAsia="宋体" w:cs="Arial"/>
        </w:rPr>
        <w:tab/>
      </w:r>
      <w:r>
        <w:rPr>
          <w:rFonts w:eastAsia="宋体" w:cs="Arial"/>
        </w:rPr>
        <w:t>对装配商安排一次企业检查，获得纠正行动计划的其它细节。检查期间，检验员应获取提交召回建议必需的信息。</w:t>
      </w:r>
    </w:p>
    <w:p w14:paraId="2DBAD7F0">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管理区应给装配商最多30天时间构思一个完整的纠正行动计划并以书面形式予以提交。收到该信息前应延迟提交召回建议。</w:t>
      </w:r>
    </w:p>
    <w:p w14:paraId="21EF70BB">
      <w:pPr>
        <w:spacing w:before="187"/>
        <w:rPr>
          <w:rFonts w:eastAsia="宋体" w:cs="Arial"/>
        </w:rPr>
      </w:pPr>
    </w:p>
    <w:p w14:paraId="54BA51BD">
      <w:pPr>
        <w:spacing w:before="187"/>
        <w:rPr>
          <w:rFonts w:eastAsia="宋体" w:cs="Arial"/>
        </w:rPr>
      </w:pPr>
      <w:r>
        <w:rPr>
          <w:rFonts w:eastAsia="宋体" w:cs="Arial"/>
        </w:rPr>
        <w:br w:type="page"/>
      </w:r>
    </w:p>
    <w:p w14:paraId="347237CB">
      <w:pPr>
        <w:spacing w:before="187"/>
        <w:ind w:left="1980" w:leftChars="600" w:hanging="660" w:hangingChars="300"/>
        <w:rPr>
          <w:rFonts w:eastAsia="宋体" w:cs="Arial"/>
        </w:rPr>
      </w:pPr>
      <w:r>
        <w:rPr>
          <w:rFonts w:eastAsia="宋体" w:cs="Arial"/>
        </w:rPr>
        <w:t xml:space="preserve">c. </w:t>
      </w:r>
      <w:r>
        <w:rPr>
          <w:rFonts w:eastAsia="宋体" w:cs="Arial"/>
        </w:rPr>
        <w:tab/>
      </w:r>
      <w:r>
        <w:rPr>
          <w:rFonts w:eastAsia="宋体" w:cs="Arial"/>
        </w:rPr>
        <w:t>如果获取纠正行动计划全部细节会有延迟，要告知装配商，他必须依照21 CFR 1003.21给临时买方发出通知。致买方信函模板包含在附件R中。</w:t>
      </w:r>
    </w:p>
    <w:p w14:paraId="7AA5BB91">
      <w:pPr>
        <w:spacing w:before="187"/>
        <w:ind w:left="1980" w:leftChars="600" w:hanging="660" w:hangingChars="300"/>
        <w:rPr>
          <w:rFonts w:eastAsia="宋体" w:cs="Arial"/>
        </w:rPr>
      </w:pPr>
      <w:r>
        <w:rPr>
          <w:rFonts w:eastAsia="宋体" w:cs="Arial"/>
        </w:rPr>
        <w:t xml:space="preserve">d. </w:t>
      </w:r>
      <w:r>
        <w:rPr>
          <w:rFonts w:eastAsia="宋体" w:cs="Arial"/>
        </w:rPr>
        <w:tab/>
      </w:r>
      <w:r>
        <w:rPr>
          <w:rFonts w:eastAsia="宋体" w:cs="Arial"/>
        </w:rPr>
        <w:t>收到完整纠正行动计划时，管理区X射线审计员应对该计划进行审核。如果可接受，准备一封纠正行动计划批准函（附件S）供管理区主任签字。</w:t>
      </w:r>
    </w:p>
    <w:p w14:paraId="33D7FC9E">
      <w:pPr>
        <w:spacing w:before="187"/>
        <w:ind w:left="1980" w:leftChars="600" w:hanging="660" w:hangingChars="300"/>
        <w:rPr>
          <w:rFonts w:eastAsia="宋体" w:cs="Arial"/>
        </w:rPr>
      </w:pPr>
      <w:r>
        <w:rPr>
          <w:rFonts w:eastAsia="宋体" w:cs="Arial"/>
        </w:rPr>
        <w:t xml:space="preserve">e. </w:t>
      </w:r>
      <w:r>
        <w:rPr>
          <w:rFonts w:eastAsia="宋体" w:cs="Arial"/>
        </w:rPr>
        <w:tab/>
      </w:r>
      <w:r>
        <w:rPr>
          <w:rFonts w:eastAsia="宋体" w:cs="Arial"/>
        </w:rPr>
        <w:t>应将纠正行动计划批准函副本送达诊断器械器械分部（HFZ-240）。</w:t>
      </w:r>
    </w:p>
    <w:p w14:paraId="7415C046">
      <w:pPr>
        <w:tabs>
          <w:tab w:val="left" w:pos="1320"/>
          <w:tab w:val="left" w:pos="198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 xml:space="preserve">f. </w:t>
      </w:r>
      <w:r>
        <w:rPr>
          <w:rFonts w:eastAsia="宋体" w:cs="Arial"/>
        </w:rPr>
        <w:tab/>
      </w:r>
      <w:r>
        <w:rPr>
          <w:rFonts w:eastAsia="宋体" w:cs="Arial"/>
        </w:rPr>
        <w:t>CDRH通讯、教育和辐射计划办公室乳房摄影和辐射计划处、诊断器械分部将按监管规程手册的规定分配召回号、召回策略和召回分类。</w:t>
      </w:r>
    </w:p>
    <w:p w14:paraId="023F830D">
      <w:pPr>
        <w:tabs>
          <w:tab w:val="left" w:pos="8800"/>
        </w:tabs>
        <w:spacing w:before="187"/>
        <w:ind w:left="1980" w:leftChars="600" w:hanging="660" w:hangingChars="300"/>
        <w:rPr>
          <w:rFonts w:eastAsia="宋体" w:cs="Arial"/>
        </w:rPr>
      </w:pPr>
      <w:r>
        <w:rPr>
          <w:rFonts w:eastAsia="宋体" w:cs="Arial"/>
        </w:rPr>
        <w:t>g.</w:t>
      </w:r>
      <w:r>
        <w:rPr>
          <w:rFonts w:eastAsia="宋体" w:cs="Arial"/>
        </w:rPr>
        <w:tab/>
      </w:r>
      <w:r>
        <w:rPr>
          <w:rFonts w:eastAsia="宋体" w:cs="Arial"/>
        </w:rPr>
        <w:t>收到CDRH的召回信息时，管理区还要准备一封通知函给正在实施召回的公司表明本局对召回的态度。在纠正行动计划批准函中如果未包含提交月度进展报告的说明，则应包含在此通知函中。</w:t>
      </w:r>
      <w:r>
        <w:rPr>
          <w:rFonts w:eastAsia="宋体" w:cs="Arial"/>
        </w:rPr>
        <w:tab/>
      </w:r>
      <w:r>
        <w:rPr>
          <w:rFonts w:eastAsia="宋体" w:cs="Arial"/>
        </w:rPr>
        <w:t>*</w:t>
      </w:r>
    </w:p>
    <w:p w14:paraId="225A747A">
      <w:pPr>
        <w:spacing w:before="187"/>
        <w:ind w:left="1980" w:leftChars="600" w:hanging="660" w:hangingChars="300"/>
        <w:rPr>
          <w:rFonts w:eastAsia="宋体" w:cs="Arial"/>
        </w:rPr>
      </w:pPr>
      <w:r>
        <w:rPr>
          <w:rFonts w:eastAsia="宋体" w:cs="Arial"/>
        </w:rPr>
        <w:t xml:space="preserve">h. </w:t>
      </w:r>
      <w:r>
        <w:rPr>
          <w:rFonts w:eastAsia="宋体" w:cs="Arial"/>
        </w:rPr>
        <w:tab/>
      </w:r>
      <w:r>
        <w:rPr>
          <w:rFonts w:eastAsia="宋体" w:cs="Arial"/>
        </w:rPr>
        <w:t>装配商报告完成纠正行动计划时，管理区可着手安排在CDRH于召回策略声明中指定的买方处进行审计检查。审计检查应在纠正日期后6个月内由装配商予以执行。审计检查应包括利用适当的现场测试方法对系统所做的一次全面现场测试。审计检查的重点应在原始警告函引证的不合规上。在召回需历时6个月以上的某些情况下，审计检查可在完成所有场所纠正行动计划前开始（见RPM第7章附件E）。通常对10％的待召回产品进行审计检查。</w:t>
      </w:r>
    </w:p>
    <w:p w14:paraId="10405D64">
      <w:pPr>
        <w:spacing w:before="187"/>
        <w:ind w:left="1980" w:leftChars="600" w:hanging="660" w:hangingChars="300"/>
        <w:rPr>
          <w:rFonts w:eastAsia="宋体" w:cs="Arial"/>
        </w:rPr>
      </w:pPr>
      <w:r>
        <w:rPr>
          <w:rFonts w:eastAsia="宋体" w:cs="Arial"/>
        </w:rPr>
        <w:t xml:space="preserve">i. </w:t>
      </w:r>
      <w:r>
        <w:rPr>
          <w:rFonts w:eastAsia="宋体" w:cs="Arial"/>
        </w:rPr>
        <w:tab/>
      </w:r>
      <w:r>
        <w:rPr>
          <w:rFonts w:eastAsia="宋体" w:cs="Arial"/>
        </w:rPr>
        <w:t>如果所有审计检查均显示召回完全遵从原始警告函引证的性能标准要素，则宣布召回有效。此时应准备一份召回终止建议。</w:t>
      </w:r>
    </w:p>
    <w:p w14:paraId="71FEB164">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审计检查数量通常较小，因此，在接受审计的装置中如果只有一个不合规，将不会做出有效的决定。应采用ANSI/ASQ Z1.4的抽样标准在买方处进行第2序列审计检查。在第1序列和第2序列审计检查中接受审计的装置数量应一致。如果第2序列审计检查未发现不合规，召回则是有效的。如果在第1序列审计检查中有一个以上装置未遵从原始警告函引证的性能标准，或在第2序列审计检查中有一个或多个装置未遵从上述性能标准，则将此召回视为无效。</w:t>
      </w:r>
    </w:p>
    <w:p w14:paraId="3FB512C9">
      <w:pPr>
        <w:spacing w:before="187"/>
        <w:rPr>
          <w:rFonts w:eastAsia="宋体" w:cs="Arial"/>
        </w:rPr>
      </w:pPr>
    </w:p>
    <w:p w14:paraId="0D79C2E5">
      <w:pPr>
        <w:spacing w:before="187"/>
        <w:rPr>
          <w:rFonts w:eastAsia="宋体" w:cs="Arial"/>
        </w:rPr>
      </w:pPr>
      <w:r>
        <w:rPr>
          <w:rFonts w:eastAsia="宋体" w:cs="Arial"/>
        </w:rPr>
        <w:br w:type="page"/>
      </w:r>
    </w:p>
    <w:p w14:paraId="0C6397A3">
      <w:pPr>
        <w:spacing w:before="187"/>
        <w:ind w:left="1980" w:leftChars="600" w:hanging="660" w:hangingChars="300"/>
        <w:rPr>
          <w:rFonts w:eastAsia="宋体" w:cs="Arial"/>
        </w:rPr>
      </w:pPr>
      <w:r>
        <w:rPr>
          <w:rFonts w:eastAsia="宋体" w:cs="Arial"/>
        </w:rPr>
        <w:t>j.</w:t>
      </w:r>
      <w:r>
        <w:rPr>
          <w:rFonts w:eastAsia="宋体" w:cs="Arial"/>
        </w:rPr>
        <w:tab/>
      </w:r>
      <w:r>
        <w:rPr>
          <w:rFonts w:eastAsia="宋体" w:cs="Arial"/>
        </w:rPr>
        <w:t>审计检查无论何时发现不合规事项（为纠正行动计划所覆盖）未得纠正，均应向装配商发出一封通知函。如果遇到两个或更多与装配商有关的此类不合规事项（非为用户滥用或组件故障所致），应准备一份民事处罚建议。</w:t>
      </w:r>
    </w:p>
    <w:p w14:paraId="26749E6F">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当认定不合规事项的责任方不是装配商时，CDRH将不考虑在民事处罚案例中加入任何此类不合规事项。在现场纠正行动报告中必须将装配商确认为责任方。</w:t>
      </w:r>
    </w:p>
    <w:p w14:paraId="56E06243">
      <w:pPr>
        <w:tabs>
          <w:tab w:val="left" w:pos="660"/>
          <w:tab w:val="left" w:pos="1320"/>
        </w:tabs>
        <w:spacing w:before="187"/>
        <w:rPr>
          <w:rFonts w:eastAsia="宋体" w:cs="Arial"/>
        </w:rPr>
      </w:pPr>
      <w:r>
        <w:rPr>
          <w:rFonts w:eastAsia="宋体" w:cs="Arial"/>
        </w:rPr>
        <w:t>*</w:t>
      </w:r>
      <w:r>
        <w:rPr>
          <w:rFonts w:eastAsia="宋体" w:cs="Arial"/>
        </w:rPr>
        <w:tab/>
      </w:r>
      <w:r>
        <w:rPr>
          <w:rFonts w:eastAsia="宋体" w:cs="Arial"/>
        </w:rPr>
        <w:t>3.</w:t>
      </w:r>
      <w:r>
        <w:rPr>
          <w:rFonts w:eastAsia="宋体" w:cs="Arial"/>
        </w:rPr>
        <w:tab/>
      </w:r>
      <w:r>
        <w:rPr>
          <w:rFonts w:eastAsia="宋体" w:cs="Arial"/>
          <w:u w:val="single"/>
        </w:rPr>
        <w:t>准备召回警报和召回建议</w:t>
      </w:r>
    </w:p>
    <w:p w14:paraId="3F66166E">
      <w:pPr>
        <w:tabs>
          <w:tab w:val="left" w:pos="8800"/>
        </w:tabs>
        <w:spacing w:before="187"/>
        <w:ind w:left="1320" w:leftChars="600"/>
        <w:rPr>
          <w:rFonts w:eastAsia="宋体" w:cs="Arial"/>
        </w:rPr>
      </w:pPr>
      <w:r>
        <w:rPr>
          <w:rFonts w:eastAsia="宋体" w:cs="Arial"/>
        </w:rPr>
        <w:t>在准备24小时召回警报和建议时（RPM第7章附件A和B），应遵从在下列网址提供的指导意见：http://www.fda.gov/ora/ compliance_ref/rpm_new2/ch7.html。</w:t>
      </w:r>
      <w:r>
        <w:rPr>
          <w:rFonts w:eastAsia="宋体" w:cs="Arial"/>
        </w:rPr>
        <w:tab/>
      </w:r>
      <w:r>
        <w:rPr>
          <w:rFonts w:eastAsia="宋体" w:cs="Arial"/>
        </w:rPr>
        <w:t>*</w:t>
      </w:r>
    </w:p>
    <w:p w14:paraId="08E064CA">
      <w:pPr>
        <w:pStyle w:val="15"/>
        <w:numPr>
          <w:ilvl w:val="4"/>
          <w:numId w:val="32"/>
        </w:numPr>
        <w:spacing w:before="187"/>
        <w:ind w:left="660" w:hanging="660" w:hangingChars="300"/>
        <w:rPr>
          <w:rFonts w:eastAsia="宋体" w:cs="Arial"/>
          <w:u w:val="single"/>
        </w:rPr>
      </w:pPr>
      <w:r>
        <w:rPr>
          <w:rFonts w:eastAsia="宋体" w:cs="Arial"/>
          <w:u w:val="single"/>
        </w:rPr>
        <w:t>用户所致违规信息函的签发与向州当局的转移</w:t>
      </w:r>
    </w:p>
    <w:p w14:paraId="3B9531C8">
      <w:pPr>
        <w:pStyle w:val="15"/>
        <w:numPr>
          <w:ilvl w:val="1"/>
          <w:numId w:val="41"/>
        </w:numPr>
        <w:spacing w:before="187"/>
        <w:ind w:left="1320" w:leftChars="300" w:hanging="660" w:hangingChars="300"/>
        <w:rPr>
          <w:rFonts w:eastAsia="宋体" w:cs="Arial"/>
        </w:rPr>
      </w:pPr>
      <w:r>
        <w:rPr>
          <w:rFonts w:eastAsia="宋体" w:cs="Arial"/>
        </w:rPr>
        <w:t>安装后1年以上获得现场测试结果和/或不能确定违规属制造商或装配商过错时，应签发一封信息函给用户（见附件M）。应将此函副本送达相应州的辐射控制当局、装配商、组件制造商、负责与州行政机关协调的</w:t>
      </w:r>
      <w:r>
        <w:rPr>
          <w:rFonts w:eastAsia="宋体" w:cs="Arial"/>
          <w:kern w:val="0"/>
          <w:sz w:val="24"/>
          <w:szCs w:val="24"/>
        </w:rPr>
        <w:t>RRHR</w:t>
      </w:r>
      <w:r>
        <w:rPr>
          <w:rFonts w:eastAsia="宋体" w:cs="Arial"/>
        </w:rPr>
        <w:t>、产地管理区审计员、安装管理区审计员和HFZ-240。</w:t>
      </w:r>
    </w:p>
    <w:p w14:paraId="1A88B4C3">
      <w:pPr>
        <w:pStyle w:val="15"/>
        <w:numPr>
          <w:ilvl w:val="1"/>
          <w:numId w:val="41"/>
        </w:numPr>
        <w:spacing w:before="187"/>
        <w:ind w:left="1320" w:leftChars="300" w:hanging="660" w:hangingChars="300"/>
        <w:rPr>
          <w:rFonts w:eastAsia="宋体" w:cs="Arial"/>
        </w:rPr>
      </w:pPr>
      <w:r>
        <w:rPr>
          <w:rFonts w:eastAsia="宋体" w:cs="Arial"/>
        </w:rPr>
        <w:t>如果用户未做回应，应通知州当局和</w:t>
      </w:r>
      <w:r>
        <w:rPr>
          <w:rFonts w:eastAsia="宋体" w:cs="Arial"/>
          <w:kern w:val="0"/>
          <w:sz w:val="24"/>
          <w:szCs w:val="24"/>
        </w:rPr>
        <w:t>RRHR</w:t>
      </w:r>
      <w:r>
        <w:rPr>
          <w:rFonts w:eastAsia="宋体" w:cs="Arial"/>
        </w:rPr>
        <w:t>并要求他们协助获取纠正信息。还要求州当局协助防止使用A类违规产品直至其得到纠正。如果州当局不能或不愿得到遵从：</w:t>
      </w:r>
    </w:p>
    <w:p w14:paraId="3BFA6A46">
      <w:pPr>
        <w:pStyle w:val="15"/>
        <w:numPr>
          <w:ilvl w:val="0"/>
          <w:numId w:val="42"/>
        </w:numPr>
        <w:spacing w:before="187"/>
        <w:ind w:left="1740" w:leftChars="600" w:hangingChars="191"/>
        <w:rPr>
          <w:rFonts w:eastAsia="宋体" w:cs="Arial"/>
        </w:rPr>
      </w:pPr>
      <w:r>
        <w:rPr>
          <w:rFonts w:eastAsia="宋体" w:cs="Arial"/>
        </w:rPr>
        <w:t>仅就X射线计时器不终止而言，考虑依据CPG 7133.25实施扣押/没收。</w:t>
      </w:r>
    </w:p>
    <w:p w14:paraId="5225E0E6">
      <w:pPr>
        <w:pStyle w:val="15"/>
        <w:numPr>
          <w:ilvl w:val="0"/>
          <w:numId w:val="42"/>
        </w:numPr>
        <w:spacing w:before="187"/>
        <w:ind w:left="1740" w:leftChars="600" w:hangingChars="191"/>
        <w:rPr>
          <w:rFonts w:eastAsia="宋体" w:cs="Arial"/>
        </w:rPr>
      </w:pPr>
      <w:r>
        <w:rPr>
          <w:rFonts w:eastAsia="宋体" w:cs="Arial"/>
        </w:rPr>
        <w:t>对于所有其它A类违规，可与HFZ-24联系。</w:t>
      </w:r>
    </w:p>
    <w:p w14:paraId="0118C6A1">
      <w:pPr>
        <w:pStyle w:val="15"/>
        <w:numPr>
          <w:ilvl w:val="0"/>
          <w:numId w:val="42"/>
        </w:numPr>
        <w:spacing w:before="187"/>
        <w:ind w:left="1740" w:leftChars="600" w:hangingChars="191"/>
        <w:rPr>
          <w:rFonts w:eastAsia="宋体" w:cs="Arial"/>
        </w:rPr>
      </w:pPr>
      <w:r>
        <w:rPr>
          <w:rFonts w:eastAsia="宋体" w:cs="Arial"/>
        </w:rPr>
        <w:t>对于B类违规，不要进一步追踪此事。</w:t>
      </w:r>
    </w:p>
    <w:p w14:paraId="0BD4BE46">
      <w:pPr>
        <w:pStyle w:val="15"/>
        <w:numPr>
          <w:ilvl w:val="1"/>
          <w:numId w:val="41"/>
        </w:numPr>
        <w:spacing w:before="187"/>
        <w:ind w:left="1320" w:leftChars="300" w:hanging="660" w:hangingChars="300"/>
        <w:rPr>
          <w:rFonts w:eastAsia="宋体" w:cs="Arial"/>
        </w:rPr>
      </w:pPr>
      <w:r>
        <w:rPr>
          <w:rFonts w:eastAsia="宋体" w:cs="Arial"/>
        </w:rPr>
        <w:t>将所有最后行动或纠正失败通知产地管理区审计员，以便完成现场纠正行动报告。</w:t>
      </w:r>
    </w:p>
    <w:p w14:paraId="6D014D15">
      <w:pPr>
        <w:pStyle w:val="15"/>
        <w:numPr>
          <w:ilvl w:val="4"/>
          <w:numId w:val="32"/>
        </w:numPr>
        <w:spacing w:before="187"/>
        <w:ind w:left="660" w:hanging="660" w:hangingChars="300"/>
        <w:rPr>
          <w:rFonts w:eastAsia="宋体" w:cs="Arial"/>
          <w:u w:val="single"/>
        </w:rPr>
      </w:pPr>
      <w:r>
        <w:rPr>
          <w:rFonts w:eastAsia="宋体" w:cs="Arial"/>
          <w:u w:val="single"/>
        </w:rPr>
        <w:t>联邦/州法规</w:t>
      </w:r>
    </w:p>
    <w:p w14:paraId="43A6D7F4">
      <w:pPr>
        <w:spacing w:before="187"/>
        <w:rPr>
          <w:rFonts w:eastAsia="宋体" w:cs="Arial"/>
        </w:rPr>
      </w:pPr>
    </w:p>
    <w:p w14:paraId="3C8D2A82">
      <w:pPr>
        <w:spacing w:before="187"/>
        <w:rPr>
          <w:rFonts w:eastAsia="宋体" w:cs="Arial"/>
        </w:rPr>
      </w:pPr>
      <w:r>
        <w:rPr>
          <w:rFonts w:eastAsia="宋体" w:cs="Arial"/>
        </w:rPr>
        <w:br w:type="page"/>
      </w:r>
    </w:p>
    <w:p w14:paraId="39E33B69">
      <w:pPr>
        <w:spacing w:before="187"/>
        <w:rPr>
          <w:rFonts w:eastAsia="宋体" w:cs="Arial"/>
        </w:rPr>
      </w:pPr>
      <w:r>
        <w:rPr>
          <w:rFonts w:eastAsia="宋体" w:cs="Arial"/>
          <w:kern w:val="0"/>
          <w:sz w:val="24"/>
          <w:szCs w:val="24"/>
        </w:rPr>
        <w:t>RRHR</w:t>
      </w:r>
      <w:r>
        <w:rPr>
          <w:rFonts w:eastAsia="宋体" w:cs="Arial"/>
        </w:rPr>
        <w:t>对自发工作协议、与本局签订的合同和/或与执行诊断用X射线现场测试的州行政机关签订的合作协议实施协调和监督。</w:t>
      </w:r>
    </w:p>
    <w:p w14:paraId="6E95453E">
      <w:pPr>
        <w:spacing w:before="187"/>
        <w:rPr>
          <w:rFonts w:eastAsia="宋体" w:cs="Arial"/>
        </w:rPr>
      </w:pPr>
    </w:p>
    <w:p w14:paraId="32E72860">
      <w:pPr>
        <w:spacing w:before="187"/>
        <w:rPr>
          <w:rFonts w:eastAsia="宋体" w:cs="Arial"/>
        </w:rPr>
      </w:pPr>
    </w:p>
    <w:p w14:paraId="676C6930">
      <w:pPr>
        <w:spacing w:before="187"/>
        <w:rPr>
          <w:rFonts w:eastAsia="宋体" w:cs="Arial"/>
        </w:rPr>
        <w:sectPr>
          <w:footerReference r:id="rId22" w:type="first"/>
          <w:footerReference r:id="rId21" w:type="default"/>
          <w:pgSz w:w="11906" w:h="16838"/>
          <w:pgMar w:top="1418" w:right="1418" w:bottom="1418" w:left="1418" w:header="720" w:footer="720" w:gutter="0"/>
          <w:pgNumType w:start="1"/>
          <w:cols w:space="425" w:num="1"/>
          <w:titlePg/>
          <w:docGrid w:type="lines" w:linePitch="312" w:charSpace="0"/>
        </w:sectPr>
      </w:pPr>
    </w:p>
    <w:p w14:paraId="67E7812D">
      <w:pPr>
        <w:spacing w:before="187"/>
        <w:jc w:val="center"/>
        <w:rPr>
          <w:rFonts w:eastAsia="宋体" w:cs="Arial"/>
          <w:u w:val="single"/>
        </w:rPr>
      </w:pPr>
      <w:r>
        <w:rPr>
          <w:rFonts w:eastAsia="宋体" w:cs="Arial"/>
          <w:u w:val="single"/>
        </w:rPr>
        <w:t>第VI部分－参考文件、附件和计划联系人</w:t>
      </w:r>
    </w:p>
    <w:p w14:paraId="28F55B47">
      <w:pPr>
        <w:spacing w:before="187"/>
        <w:rPr>
          <w:rFonts w:eastAsia="宋体" w:cs="Arial"/>
        </w:rPr>
      </w:pPr>
    </w:p>
    <w:p w14:paraId="5F038E36">
      <w:pPr>
        <w:pStyle w:val="15"/>
        <w:numPr>
          <w:ilvl w:val="4"/>
          <w:numId w:val="43"/>
        </w:numPr>
        <w:spacing w:before="187"/>
        <w:ind w:left="660" w:hanging="660" w:hangingChars="300"/>
        <w:rPr>
          <w:rFonts w:eastAsia="宋体" w:cs="Arial"/>
          <w:u w:val="single"/>
        </w:rPr>
      </w:pPr>
      <w:r>
        <w:rPr>
          <w:rFonts w:eastAsia="宋体" w:cs="Arial"/>
          <w:u w:val="single"/>
        </w:rPr>
        <w:t>参考文件</w:t>
      </w:r>
    </w:p>
    <w:p w14:paraId="65775A6F">
      <w:pPr>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联邦法规第21编第J分章 放射卫生</w:t>
      </w:r>
    </w:p>
    <w:p w14:paraId="70B21AC8">
      <w:pPr>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联邦食品、药品及化妆品法案第V章第C分章 电子产品的辐射控制</w:t>
      </w:r>
    </w:p>
    <w:p w14:paraId="6BB3875C">
      <w:pPr>
        <w:spacing w:before="187"/>
        <w:ind w:left="1320" w:leftChars="300" w:hanging="660" w:hangingChars="300"/>
        <w:rPr>
          <w:rFonts w:eastAsia="宋体" w:cs="Arial"/>
        </w:rPr>
      </w:pPr>
      <w:r>
        <w:rPr>
          <w:rFonts w:eastAsia="宋体" w:cs="Arial"/>
        </w:rPr>
        <w:t xml:space="preserve">3. </w:t>
      </w:r>
      <w:r>
        <w:rPr>
          <w:rFonts w:eastAsia="宋体" w:cs="Arial"/>
        </w:rPr>
        <w:tab/>
      </w:r>
      <w:r>
        <w:rPr>
          <w:rFonts w:eastAsia="宋体" w:cs="Arial"/>
        </w:rPr>
        <w:t>FDA监管规程手册第7章、附件E和第6章</w:t>
      </w:r>
    </w:p>
    <w:p w14:paraId="0566067B">
      <w:pPr>
        <w:tabs>
          <w:tab w:val="left" w:pos="66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 xml:space="preserve">4. </w:t>
      </w:r>
      <w:r>
        <w:rPr>
          <w:rFonts w:eastAsia="宋体" w:cs="Arial"/>
        </w:rPr>
        <w:tab/>
      </w:r>
      <w:r>
        <w:rPr>
          <w:rFonts w:eastAsia="宋体" w:cs="Arial"/>
        </w:rPr>
        <w:t>FDA适用联邦法规第21编J分章之诊断用X射线系统或其组件的常规合规测试，2005年2月更新</w:t>
      </w:r>
      <w:r>
        <w:rPr>
          <w:rFonts w:eastAsia="宋体" w:cs="Arial"/>
        </w:rPr>
        <w:tab/>
      </w:r>
      <w:r>
        <w:rPr>
          <w:rFonts w:eastAsia="宋体" w:cs="Arial"/>
        </w:rPr>
        <w:t xml:space="preserve"> *</w:t>
      </w:r>
    </w:p>
    <w:p w14:paraId="287C9F86">
      <w:pPr>
        <w:spacing w:before="187"/>
        <w:ind w:left="1320" w:leftChars="300" w:hanging="660" w:hangingChars="300"/>
        <w:rPr>
          <w:rFonts w:eastAsia="宋体" w:cs="Arial"/>
        </w:rPr>
      </w:pPr>
      <w:r>
        <w:rPr>
          <w:rFonts w:eastAsia="宋体" w:cs="Arial"/>
        </w:rPr>
        <w:t xml:space="preserve">5. </w:t>
      </w:r>
      <w:r>
        <w:rPr>
          <w:rFonts w:eastAsia="宋体" w:cs="Arial"/>
        </w:rPr>
        <w:tab/>
      </w:r>
      <w:r>
        <w:rPr>
          <w:rFonts w:eastAsia="宋体" w:cs="Arial"/>
        </w:rPr>
        <w:t>放射卫生办公室合规处，诊断用X射线设备装配商指南（</w:t>
      </w:r>
      <w:r>
        <w:rPr>
          <w:rFonts w:eastAsia="宋体" w:cs="Arial"/>
          <w:kern w:val="0"/>
          <w:sz w:val="24"/>
          <w:szCs w:val="24"/>
        </w:rPr>
        <w:t>Rockville，Maryland</w:t>
      </w:r>
      <w:r>
        <w:rPr>
          <w:rFonts w:eastAsia="宋体" w:cs="Arial"/>
        </w:rPr>
        <w:t>）</w:t>
      </w:r>
    </w:p>
    <w:p w14:paraId="53EA7C24">
      <w:pPr>
        <w:spacing w:before="187"/>
        <w:ind w:left="1320" w:leftChars="300" w:hanging="660" w:hangingChars="300"/>
        <w:rPr>
          <w:rFonts w:eastAsia="宋体" w:cs="Arial"/>
        </w:rPr>
      </w:pPr>
      <w:r>
        <w:rPr>
          <w:rFonts w:eastAsia="宋体" w:cs="Arial"/>
        </w:rPr>
        <w:t xml:space="preserve">6. </w:t>
      </w:r>
      <w:r>
        <w:rPr>
          <w:rFonts w:eastAsia="宋体" w:cs="Arial"/>
        </w:rPr>
        <w:tab/>
      </w:r>
      <w:r>
        <w:rPr>
          <w:rFonts w:eastAsia="宋体" w:cs="Arial"/>
        </w:rPr>
        <w:t>美国法典第21编，联邦食品、药品及化妆品法案，已修订</w:t>
      </w:r>
    </w:p>
    <w:p w14:paraId="46C65BC2">
      <w:pPr>
        <w:spacing w:before="187"/>
        <w:ind w:left="1320" w:leftChars="300" w:hanging="660" w:hangingChars="300"/>
        <w:rPr>
          <w:rFonts w:eastAsia="宋体" w:cs="Arial"/>
        </w:rPr>
      </w:pPr>
      <w:r>
        <w:rPr>
          <w:rFonts w:eastAsia="宋体" w:cs="Arial"/>
        </w:rPr>
        <w:t xml:space="preserve">7. </w:t>
      </w:r>
      <w:r>
        <w:rPr>
          <w:rFonts w:eastAsia="宋体" w:cs="Arial"/>
        </w:rPr>
        <w:tab/>
      </w:r>
      <w:r>
        <w:rPr>
          <w:rFonts w:eastAsia="宋体" w:cs="Arial"/>
        </w:rPr>
        <w:t>合规政策指南第7133.12节，针对安装不合规诊断用X射线设备装配商的监管行动</w:t>
      </w:r>
    </w:p>
    <w:p w14:paraId="38BF345B">
      <w:pPr>
        <w:spacing w:before="187"/>
        <w:ind w:left="1320" w:leftChars="300" w:hanging="660" w:hangingChars="300"/>
        <w:rPr>
          <w:rFonts w:eastAsia="宋体" w:cs="Arial"/>
        </w:rPr>
      </w:pPr>
      <w:r>
        <w:rPr>
          <w:rFonts w:eastAsia="宋体" w:cs="Arial"/>
        </w:rPr>
        <w:t xml:space="preserve">8. </w:t>
      </w:r>
      <w:r>
        <w:rPr>
          <w:rFonts w:eastAsia="宋体" w:cs="Arial"/>
        </w:rPr>
        <w:tab/>
      </w:r>
      <w:r>
        <w:rPr>
          <w:rFonts w:ascii="宋体" w:hAnsi="宋体" w:eastAsia="宋体" w:cs="Arial"/>
        </w:rPr>
        <w:t>“</w:t>
      </w:r>
      <w:r>
        <w:rPr>
          <w:rFonts w:eastAsia="宋体" w:cs="Arial"/>
        </w:rPr>
        <w:t>诊断用X射线系统常规合规测试计算程序</w:t>
      </w:r>
      <w:r>
        <w:rPr>
          <w:rFonts w:ascii="宋体" w:hAnsi="宋体" w:eastAsia="宋体" w:cs="Arial"/>
        </w:rPr>
        <w:t>”</w:t>
      </w:r>
    </w:p>
    <w:p w14:paraId="1C5DBB36">
      <w:pPr>
        <w:spacing w:before="187"/>
        <w:ind w:left="1320" w:leftChars="300" w:hanging="660" w:hangingChars="300"/>
        <w:rPr>
          <w:rFonts w:eastAsia="宋体" w:cs="Arial"/>
        </w:rPr>
      </w:pPr>
      <w:r>
        <w:rPr>
          <w:rFonts w:eastAsia="宋体" w:cs="Arial"/>
        </w:rPr>
        <w:t xml:space="preserve">9. </w:t>
      </w:r>
      <w:r>
        <w:rPr>
          <w:rFonts w:eastAsia="宋体" w:cs="Arial"/>
        </w:rPr>
        <w:tab/>
      </w:r>
      <w:r>
        <w:rPr>
          <w:rFonts w:eastAsia="宋体" w:cs="Arial"/>
        </w:rPr>
        <w:t>合规政策指南第7133.23节，对针对电子产品制造商和进口商民事处罚的评估</w:t>
      </w:r>
    </w:p>
    <w:p w14:paraId="4C4FC848">
      <w:pPr>
        <w:spacing w:before="187"/>
        <w:ind w:left="1320" w:leftChars="300" w:hanging="660" w:hangingChars="300"/>
        <w:rPr>
          <w:rFonts w:eastAsia="宋体" w:cs="Arial"/>
        </w:rPr>
      </w:pPr>
      <w:r>
        <w:rPr>
          <w:rFonts w:eastAsia="宋体" w:cs="Arial"/>
        </w:rPr>
        <w:t xml:space="preserve">10. </w:t>
      </w:r>
      <w:r>
        <w:rPr>
          <w:rFonts w:eastAsia="宋体" w:cs="Arial"/>
        </w:rPr>
        <w:tab/>
      </w:r>
      <w:r>
        <w:rPr>
          <w:rFonts w:eastAsia="宋体" w:cs="Arial"/>
        </w:rPr>
        <w:t>合规政策指南第7133.23节，有危险的诊断用X射线系统</w:t>
      </w:r>
    </w:p>
    <w:p w14:paraId="013CA041">
      <w:pPr>
        <w:spacing w:before="187"/>
        <w:ind w:left="1320" w:leftChars="300" w:hanging="660" w:hangingChars="300"/>
        <w:rPr>
          <w:rFonts w:eastAsia="宋体" w:cs="Arial"/>
        </w:rPr>
      </w:pPr>
      <w:r>
        <w:rPr>
          <w:rFonts w:eastAsia="宋体" w:cs="Arial"/>
        </w:rPr>
        <w:t xml:space="preserve">11. </w:t>
      </w:r>
      <w:r>
        <w:rPr>
          <w:rFonts w:eastAsia="宋体" w:cs="Arial"/>
        </w:rPr>
        <w:tab/>
      </w:r>
      <w:r>
        <w:rPr>
          <w:rFonts w:eastAsia="宋体" w:cs="Arial"/>
        </w:rPr>
        <w:t>调查工作手册（IOM）</w:t>
      </w:r>
    </w:p>
    <w:p w14:paraId="2BC04243">
      <w:pPr>
        <w:spacing w:before="187"/>
        <w:ind w:left="1320" w:leftChars="300" w:hanging="660" w:hangingChars="300"/>
        <w:rPr>
          <w:rFonts w:eastAsia="宋体" w:cs="Arial"/>
        </w:rPr>
      </w:pPr>
      <w:r>
        <w:rPr>
          <w:rFonts w:eastAsia="宋体" w:cs="Arial"/>
        </w:rPr>
        <w:t xml:space="preserve">12. </w:t>
      </w:r>
      <w:r>
        <w:rPr>
          <w:rFonts w:eastAsia="宋体" w:cs="Arial"/>
        </w:rPr>
        <w:tab/>
      </w:r>
      <w:r>
        <w:rPr>
          <w:rFonts w:eastAsia="宋体" w:cs="Arial"/>
        </w:rPr>
        <w:t>合规政策指南第7133.27节，诊断用X射线设备性能标准下基于工厂诊断用X射线设备制造商和装配商责任</w:t>
      </w:r>
    </w:p>
    <w:p w14:paraId="5591AADC">
      <w:pPr>
        <w:spacing w:before="187"/>
        <w:ind w:left="1320" w:leftChars="300" w:hanging="660" w:hangingChars="300"/>
        <w:rPr>
          <w:rFonts w:eastAsia="宋体" w:cs="Arial"/>
        </w:rPr>
      </w:pPr>
      <w:r>
        <w:rPr>
          <w:rFonts w:eastAsia="宋体" w:cs="Arial"/>
        </w:rPr>
        <w:t xml:space="preserve">13. </w:t>
      </w:r>
      <w:r>
        <w:rPr>
          <w:rFonts w:eastAsia="宋体" w:cs="Arial"/>
        </w:rPr>
        <w:tab/>
      </w:r>
      <w:r>
        <w:rPr>
          <w:rFonts w:eastAsia="宋体" w:cs="Arial"/>
        </w:rPr>
        <w:t>合规政策指南第7133.28节，针对未将安装报告归档X射线设备装配商的监管行动</w:t>
      </w:r>
    </w:p>
    <w:p w14:paraId="738DDE53">
      <w:pPr>
        <w:pStyle w:val="15"/>
        <w:numPr>
          <w:ilvl w:val="4"/>
          <w:numId w:val="43"/>
        </w:numPr>
        <w:spacing w:before="187"/>
        <w:ind w:left="660" w:hanging="660" w:hangingChars="300"/>
        <w:rPr>
          <w:rFonts w:eastAsia="宋体" w:cs="Arial"/>
          <w:u w:val="single"/>
        </w:rPr>
      </w:pPr>
      <w:r>
        <w:rPr>
          <w:rFonts w:eastAsia="宋体" w:cs="Arial"/>
          <w:u w:val="single"/>
        </w:rPr>
        <w:t>附件</w:t>
      </w:r>
    </w:p>
    <w:p w14:paraId="1F447583">
      <w:pPr>
        <w:pStyle w:val="15"/>
        <w:numPr>
          <w:ilvl w:val="1"/>
          <w:numId w:val="44"/>
        </w:numPr>
        <w:spacing w:before="187"/>
        <w:ind w:left="1320" w:leftChars="300" w:hanging="660" w:hangingChars="300"/>
        <w:rPr>
          <w:rFonts w:eastAsia="宋体" w:cs="Arial"/>
        </w:rPr>
      </w:pPr>
      <w:r>
        <w:rPr>
          <w:rFonts w:eastAsia="宋体" w:cs="Arial"/>
        </w:rPr>
        <w:t>附件A－CDRH负责联系器械设备采购、维护和修理的工作人员名单</w:t>
      </w:r>
    </w:p>
    <w:p w14:paraId="4FDCB1A6">
      <w:pPr>
        <w:spacing w:before="187"/>
        <w:rPr>
          <w:rFonts w:eastAsia="宋体" w:cs="Arial"/>
        </w:rPr>
      </w:pPr>
    </w:p>
    <w:p w14:paraId="4A6EBFF8">
      <w:pPr>
        <w:spacing w:before="187"/>
        <w:rPr>
          <w:rFonts w:eastAsia="宋体" w:cs="Arial"/>
        </w:rPr>
      </w:pPr>
      <w:r>
        <w:rPr>
          <w:rFonts w:eastAsia="宋体" w:cs="Arial"/>
        </w:rPr>
        <w:br w:type="page"/>
      </w:r>
    </w:p>
    <w:p w14:paraId="1B1E7965">
      <w:pPr>
        <w:pStyle w:val="15"/>
        <w:numPr>
          <w:ilvl w:val="1"/>
          <w:numId w:val="44"/>
        </w:numPr>
        <w:spacing w:before="187"/>
        <w:ind w:left="1320" w:leftChars="300" w:hanging="660" w:hangingChars="300"/>
        <w:rPr>
          <w:rFonts w:eastAsia="宋体" w:cs="Arial"/>
        </w:rPr>
      </w:pPr>
      <w:r>
        <w:rPr>
          <w:rFonts w:eastAsia="宋体" w:cs="Arial"/>
        </w:rPr>
        <w:t>附件B－CDRH负责联系测试规程、器械设备使用和数据输入问题的工作人员名单</w:t>
      </w:r>
    </w:p>
    <w:p w14:paraId="0C470DD5">
      <w:pPr>
        <w:pStyle w:val="15"/>
        <w:numPr>
          <w:ilvl w:val="1"/>
          <w:numId w:val="44"/>
        </w:numPr>
        <w:spacing w:before="187"/>
        <w:ind w:left="1320" w:leftChars="300" w:hanging="660" w:hangingChars="300"/>
        <w:rPr>
          <w:rFonts w:eastAsia="宋体" w:cs="Arial"/>
        </w:rPr>
      </w:pPr>
      <w:r>
        <w:rPr>
          <w:rFonts w:eastAsia="宋体" w:cs="Arial"/>
        </w:rPr>
        <w:t>附件C－总通讯录</w:t>
      </w:r>
    </w:p>
    <w:p w14:paraId="19A487E7">
      <w:pPr>
        <w:pStyle w:val="15"/>
        <w:numPr>
          <w:ilvl w:val="1"/>
          <w:numId w:val="44"/>
        </w:numPr>
        <w:spacing w:before="187"/>
        <w:ind w:left="1320" w:leftChars="300" w:hanging="660" w:hangingChars="300"/>
        <w:rPr>
          <w:rFonts w:eastAsia="宋体" w:cs="Arial"/>
        </w:rPr>
      </w:pPr>
      <w:r>
        <w:rPr>
          <w:rFonts w:eastAsia="宋体" w:cs="Arial"/>
        </w:rPr>
        <w:t>附件D－不合规和瑕疵事项分类</w:t>
      </w:r>
    </w:p>
    <w:p w14:paraId="6F00E549">
      <w:pPr>
        <w:pStyle w:val="15"/>
        <w:numPr>
          <w:ilvl w:val="1"/>
          <w:numId w:val="44"/>
        </w:numPr>
        <w:spacing w:before="187"/>
        <w:ind w:left="1320" w:leftChars="300" w:hanging="660" w:hangingChars="300"/>
        <w:rPr>
          <w:rFonts w:eastAsia="宋体" w:cs="Arial"/>
        </w:rPr>
      </w:pPr>
      <w:r>
        <w:rPr>
          <w:rFonts w:eastAsia="宋体" w:cs="Arial"/>
        </w:rPr>
        <w:t>附件E－诊断用X射线系统装配报告模板（FDA-2579）</w:t>
      </w:r>
    </w:p>
    <w:p w14:paraId="7BCE3C97">
      <w:pPr>
        <w:pStyle w:val="15"/>
        <w:numPr>
          <w:ilvl w:val="1"/>
          <w:numId w:val="44"/>
        </w:numPr>
        <w:spacing w:before="187"/>
        <w:ind w:left="1320" w:leftChars="300" w:hanging="660" w:hangingChars="300"/>
        <w:rPr>
          <w:rFonts w:eastAsia="宋体" w:cs="Arial"/>
        </w:rPr>
      </w:pPr>
      <w:r>
        <w:rPr>
          <w:rFonts w:eastAsia="宋体" w:cs="Arial"/>
        </w:rPr>
        <w:t>附件F－电子产品损害赔偿FD-2766表</w:t>
      </w:r>
    </w:p>
    <w:p w14:paraId="10834A6B">
      <w:pPr>
        <w:pStyle w:val="15"/>
        <w:numPr>
          <w:ilvl w:val="1"/>
          <w:numId w:val="44"/>
        </w:numPr>
        <w:spacing w:before="187"/>
        <w:ind w:left="1320" w:leftChars="300" w:hanging="660" w:hangingChars="300"/>
        <w:rPr>
          <w:rFonts w:eastAsia="宋体" w:cs="Arial"/>
        </w:rPr>
      </w:pPr>
      <w:r>
        <w:rPr>
          <w:rFonts w:eastAsia="宋体" w:cs="Arial"/>
        </w:rPr>
        <w:t>附件G－诊断用X射线系统控制装置制造商联系方式</w:t>
      </w:r>
    </w:p>
    <w:p w14:paraId="1CC04ADC">
      <w:pPr>
        <w:pStyle w:val="15"/>
        <w:numPr>
          <w:ilvl w:val="1"/>
          <w:numId w:val="44"/>
        </w:numPr>
        <w:spacing w:before="187"/>
        <w:ind w:left="1320" w:leftChars="300" w:hanging="660" w:hangingChars="300"/>
        <w:rPr>
          <w:rFonts w:eastAsia="宋体" w:cs="Arial"/>
        </w:rPr>
      </w:pPr>
      <w:r>
        <w:rPr>
          <w:rFonts w:eastAsia="宋体" w:cs="Arial"/>
        </w:rPr>
        <w:t>附件H－致装配商的通知函（FDA-2579装配报告不完整或不正确）</w:t>
      </w:r>
    </w:p>
    <w:p w14:paraId="6EB8B338">
      <w:pPr>
        <w:pStyle w:val="15"/>
        <w:numPr>
          <w:ilvl w:val="1"/>
          <w:numId w:val="44"/>
        </w:numPr>
        <w:spacing w:before="187"/>
        <w:ind w:left="1320" w:leftChars="300" w:hanging="660" w:hangingChars="300"/>
        <w:rPr>
          <w:rFonts w:eastAsia="宋体" w:cs="Arial"/>
        </w:rPr>
      </w:pPr>
      <w:r>
        <w:rPr>
          <w:rFonts w:eastAsia="宋体" w:cs="Arial"/>
        </w:rPr>
        <w:t>附件I－致装配商的通知函－对FDA-2579进行审核或在装配商处对记录进行审核的过程中发现的违背标准情况</w:t>
      </w:r>
    </w:p>
    <w:p w14:paraId="1BE6DD64">
      <w:pPr>
        <w:pStyle w:val="15"/>
        <w:numPr>
          <w:ilvl w:val="1"/>
          <w:numId w:val="44"/>
        </w:numPr>
        <w:spacing w:before="187"/>
        <w:ind w:left="1320" w:leftChars="300" w:hanging="660" w:hangingChars="300"/>
        <w:rPr>
          <w:rFonts w:eastAsia="宋体" w:cs="Arial"/>
        </w:rPr>
      </w:pPr>
      <w:r>
        <w:rPr>
          <w:rFonts w:eastAsia="宋体" w:cs="Arial"/>
        </w:rPr>
        <w:t>附件J－致装配商的通知函（未将FDA-2579装配报告归档）</w:t>
      </w:r>
    </w:p>
    <w:p w14:paraId="697F9657">
      <w:pPr>
        <w:pStyle w:val="15"/>
        <w:numPr>
          <w:ilvl w:val="1"/>
          <w:numId w:val="44"/>
        </w:numPr>
        <w:spacing w:before="187"/>
        <w:ind w:left="1320" w:leftChars="300" w:hanging="660" w:hangingChars="300"/>
        <w:rPr>
          <w:rFonts w:eastAsia="宋体" w:cs="Arial"/>
        </w:rPr>
      </w:pPr>
      <w:r>
        <w:rPr>
          <w:rFonts w:eastAsia="宋体" w:cs="Arial"/>
        </w:rPr>
        <w:t>附件K－致装配商的通知函（FD-2786现场测试瑕疵或不合规通知）</w:t>
      </w:r>
    </w:p>
    <w:p w14:paraId="60B81B1F">
      <w:pPr>
        <w:pStyle w:val="15"/>
        <w:numPr>
          <w:ilvl w:val="1"/>
          <w:numId w:val="44"/>
        </w:numPr>
        <w:spacing w:before="187"/>
        <w:ind w:left="1320" w:leftChars="300" w:hanging="660" w:hangingChars="300"/>
        <w:rPr>
          <w:rFonts w:eastAsia="宋体" w:cs="Arial"/>
        </w:rPr>
      </w:pPr>
      <w:r>
        <w:rPr>
          <w:rFonts w:eastAsia="宋体" w:cs="Arial"/>
        </w:rPr>
        <w:t>附件L－现场纠正状况报告</w:t>
      </w:r>
    </w:p>
    <w:p w14:paraId="61242FAE">
      <w:pPr>
        <w:pStyle w:val="15"/>
        <w:numPr>
          <w:ilvl w:val="1"/>
          <w:numId w:val="44"/>
        </w:numPr>
        <w:spacing w:before="187"/>
        <w:ind w:left="1320" w:leftChars="300" w:hanging="660" w:hangingChars="300"/>
        <w:rPr>
          <w:rFonts w:eastAsia="宋体" w:cs="Arial"/>
        </w:rPr>
      </w:pPr>
      <w:r>
        <w:rPr>
          <w:rFonts w:eastAsia="宋体" w:cs="Arial"/>
        </w:rPr>
        <w:t>附件M－致用户的通知函（通知不合规源于用户行为或用户不作为）</w:t>
      </w:r>
    </w:p>
    <w:p w14:paraId="2B548A22">
      <w:pPr>
        <w:pStyle w:val="15"/>
        <w:numPr>
          <w:ilvl w:val="1"/>
          <w:numId w:val="44"/>
        </w:numPr>
        <w:spacing w:before="187"/>
        <w:ind w:left="1320" w:leftChars="300" w:hanging="660" w:hangingChars="300"/>
        <w:rPr>
          <w:rFonts w:eastAsia="宋体" w:cs="Arial"/>
        </w:rPr>
      </w:pPr>
      <w:r>
        <w:rPr>
          <w:rFonts w:eastAsia="宋体" w:cs="Arial"/>
        </w:rPr>
        <w:t>附件N－瑕疵或不合规的责任</w:t>
      </w:r>
    </w:p>
    <w:p w14:paraId="12E4A158">
      <w:pPr>
        <w:pStyle w:val="15"/>
        <w:numPr>
          <w:ilvl w:val="1"/>
          <w:numId w:val="44"/>
        </w:numPr>
        <w:spacing w:before="187"/>
        <w:ind w:left="1320" w:leftChars="300" w:hanging="660" w:hangingChars="300"/>
        <w:rPr>
          <w:rFonts w:eastAsia="宋体" w:cs="Arial"/>
        </w:rPr>
      </w:pPr>
      <w:r>
        <w:rPr>
          <w:rFonts w:eastAsia="宋体" w:cs="Arial"/>
        </w:rPr>
        <w:t>附件O－有资质的X射线审计员名单</w:t>
      </w:r>
    </w:p>
    <w:p w14:paraId="71D101ED">
      <w:pPr>
        <w:pStyle w:val="15"/>
        <w:numPr>
          <w:ilvl w:val="1"/>
          <w:numId w:val="44"/>
        </w:numPr>
        <w:spacing w:before="187"/>
        <w:ind w:left="1320" w:leftChars="300" w:hanging="660" w:hangingChars="300"/>
        <w:rPr>
          <w:rFonts w:eastAsia="宋体" w:cs="Arial"/>
        </w:rPr>
      </w:pPr>
      <w:r>
        <w:rPr>
          <w:rFonts w:eastAsia="宋体" w:cs="Arial"/>
        </w:rPr>
        <w:t>附件P－警告函模板－不合规公告，附带管理区发布的致X射线装配商的装配商召回函</w:t>
      </w:r>
    </w:p>
    <w:p w14:paraId="54132EE9">
      <w:pPr>
        <w:pStyle w:val="15"/>
        <w:numPr>
          <w:ilvl w:val="1"/>
          <w:numId w:val="44"/>
        </w:numPr>
        <w:spacing w:before="187"/>
        <w:ind w:left="1320" w:leftChars="300" w:hanging="660" w:hangingChars="300"/>
        <w:rPr>
          <w:rFonts w:eastAsia="宋体" w:cs="Arial"/>
        </w:rPr>
      </w:pPr>
      <w:r>
        <w:rPr>
          <w:rFonts w:eastAsia="宋体" w:cs="Arial"/>
        </w:rPr>
        <w:t>附件Q－装配商对不合规公告（附带管理区发布的致X射线装配商的装配商召回函）反应评价指南</w:t>
      </w:r>
    </w:p>
    <w:p w14:paraId="44D61A33">
      <w:pPr>
        <w:pStyle w:val="15"/>
        <w:numPr>
          <w:ilvl w:val="1"/>
          <w:numId w:val="44"/>
        </w:numPr>
        <w:spacing w:before="187"/>
        <w:ind w:left="1320" w:leftChars="300" w:hanging="660" w:hangingChars="300"/>
        <w:rPr>
          <w:rFonts w:eastAsia="宋体" w:cs="Arial"/>
        </w:rPr>
      </w:pPr>
      <w:r>
        <w:rPr>
          <w:rFonts w:eastAsia="宋体" w:cs="Arial"/>
        </w:rPr>
        <w:t>附件R－用于管理区发布的装配商召回和纠正行动计划的致用户通知函模板</w:t>
      </w:r>
    </w:p>
    <w:p w14:paraId="07CE21CE">
      <w:pPr>
        <w:pStyle w:val="15"/>
        <w:numPr>
          <w:ilvl w:val="1"/>
          <w:numId w:val="44"/>
        </w:numPr>
        <w:spacing w:before="187"/>
        <w:ind w:left="1320" w:leftChars="300" w:hanging="660" w:hangingChars="300"/>
        <w:rPr>
          <w:rFonts w:eastAsia="宋体" w:cs="Arial"/>
        </w:rPr>
      </w:pPr>
      <w:r>
        <w:rPr>
          <w:rFonts w:eastAsia="宋体" w:cs="Arial"/>
        </w:rPr>
        <w:t>附件S－致X射线装配商的纠正行动计划批准函模板</w:t>
      </w:r>
    </w:p>
    <w:p w14:paraId="6A47F39E">
      <w:pPr>
        <w:spacing w:before="187"/>
        <w:rPr>
          <w:rFonts w:eastAsia="宋体" w:cs="Arial"/>
        </w:rPr>
      </w:pPr>
    </w:p>
    <w:p w14:paraId="09F6F3C9">
      <w:pPr>
        <w:spacing w:before="187"/>
        <w:rPr>
          <w:rFonts w:eastAsia="宋体" w:cs="Arial"/>
        </w:rPr>
      </w:pPr>
      <w:r>
        <w:rPr>
          <w:rFonts w:eastAsia="宋体" w:cs="Arial"/>
        </w:rPr>
        <w:br w:type="page"/>
      </w:r>
    </w:p>
    <w:p w14:paraId="74E95294">
      <w:pPr>
        <w:pStyle w:val="15"/>
        <w:numPr>
          <w:ilvl w:val="4"/>
          <w:numId w:val="43"/>
        </w:numPr>
        <w:spacing w:before="187"/>
        <w:ind w:left="660" w:hanging="660" w:hangingChars="300"/>
        <w:rPr>
          <w:rFonts w:eastAsia="宋体" w:cs="Arial"/>
          <w:u w:val="single"/>
        </w:rPr>
      </w:pPr>
      <w:r>
        <w:rPr>
          <w:rFonts w:eastAsia="宋体" w:cs="Arial"/>
          <w:u w:val="single"/>
        </w:rPr>
        <w:t>计划联系人</w:t>
      </w:r>
    </w:p>
    <w:p w14:paraId="6C6F7201">
      <w:pPr>
        <w:pStyle w:val="15"/>
        <w:numPr>
          <w:ilvl w:val="1"/>
          <w:numId w:val="45"/>
        </w:numPr>
        <w:spacing w:before="187"/>
        <w:ind w:left="1320" w:leftChars="300" w:hanging="660" w:hangingChars="300"/>
        <w:rPr>
          <w:rFonts w:eastAsia="宋体" w:cs="Arial"/>
        </w:rPr>
      </w:pPr>
      <w:r>
        <w:rPr>
          <w:rFonts w:eastAsia="宋体" w:cs="Arial"/>
          <w:u w:val="single"/>
        </w:rPr>
        <w:t>CDRH联系人</w:t>
      </w:r>
      <w:r>
        <w:rPr>
          <w:rFonts w:eastAsia="宋体" w:cs="Arial"/>
        </w:rPr>
        <w:t>－关于本合规计划的问题应直接提交CDRH通讯、教育和辐射计划办公室乳房摄影和辐射计划处诊断设备科。电话号码：（301）594-3332。次要联系人可从附件C所列人员中选定。</w:t>
      </w:r>
    </w:p>
    <w:p w14:paraId="73F78873">
      <w:pPr>
        <w:pStyle w:val="15"/>
        <w:numPr>
          <w:ilvl w:val="1"/>
          <w:numId w:val="45"/>
        </w:numPr>
        <w:spacing w:before="187"/>
        <w:ind w:left="1320" w:leftChars="300" w:hanging="660" w:hangingChars="300"/>
        <w:rPr>
          <w:rFonts w:eastAsia="宋体" w:cs="Arial"/>
        </w:rPr>
      </w:pPr>
      <w:r>
        <w:rPr>
          <w:rFonts w:eastAsia="宋体" w:cs="Arial"/>
          <w:u w:val="single"/>
        </w:rPr>
        <w:t>ORA</w:t>
      </w:r>
      <w:r>
        <w:rPr>
          <w:rFonts w:hint="eastAsia" w:eastAsia="宋体" w:cs="Arial"/>
          <w:u w:val="single"/>
        </w:rPr>
        <w:t>办公室</w:t>
      </w:r>
      <w:r>
        <w:rPr>
          <w:rFonts w:hint="eastAsia" w:eastAsia="宋体" w:cs="Arial"/>
        </w:rPr>
        <w:t>－本合规计划的</w:t>
      </w:r>
      <w:r>
        <w:rPr>
          <w:rFonts w:eastAsia="宋体" w:cs="Arial"/>
        </w:rPr>
        <w:t>ORA</w:t>
      </w:r>
      <w:r>
        <w:rPr>
          <w:rFonts w:hint="eastAsia" w:eastAsia="宋体" w:cs="Arial"/>
        </w:rPr>
        <w:t>总部联系人是区域工作办公室</w:t>
      </w:r>
      <w:r>
        <w:rPr>
          <w:rFonts w:eastAsia="宋体" w:cs="Arial"/>
        </w:rPr>
        <w:t>/</w:t>
      </w:r>
      <w:r>
        <w:rPr>
          <w:rFonts w:hint="eastAsia" w:eastAsia="宋体" w:cs="Arial"/>
        </w:rPr>
        <w:t>现场调查处（</w:t>
      </w:r>
      <w:r>
        <w:rPr>
          <w:rFonts w:eastAsia="宋体" w:cs="Arial"/>
        </w:rPr>
        <w:t>HFC-130</w:t>
      </w:r>
      <w:r>
        <w:rPr>
          <w:rFonts w:hint="eastAsia" w:eastAsia="宋体" w:cs="Arial"/>
        </w:rPr>
        <w:t>），电话号码：（</w:t>
      </w:r>
      <w:r>
        <w:rPr>
          <w:rFonts w:eastAsia="宋体" w:cs="Arial"/>
        </w:rPr>
        <w:t>301</w:t>
      </w:r>
      <w:r>
        <w:rPr>
          <w:rFonts w:hint="eastAsia" w:eastAsia="宋体" w:cs="Arial"/>
        </w:rPr>
        <w:t>）</w:t>
      </w:r>
      <w:r>
        <w:rPr>
          <w:rFonts w:eastAsia="宋体" w:cs="Arial"/>
        </w:rPr>
        <w:t>827-5649</w:t>
      </w:r>
      <w:r>
        <w:rPr>
          <w:rFonts w:hint="eastAsia" w:eastAsia="宋体" w:cs="Arial"/>
        </w:rPr>
        <w:t>。</w:t>
      </w:r>
    </w:p>
    <w:p w14:paraId="1FEC2AEB">
      <w:pPr>
        <w:spacing w:before="187"/>
        <w:rPr>
          <w:rFonts w:eastAsia="宋体" w:cs="Arial"/>
        </w:rPr>
      </w:pPr>
    </w:p>
    <w:p w14:paraId="364572B5">
      <w:pPr>
        <w:spacing w:before="187"/>
        <w:rPr>
          <w:rFonts w:eastAsia="宋体" w:cs="Arial"/>
        </w:rPr>
        <w:sectPr>
          <w:footerReference r:id="rId24" w:type="first"/>
          <w:footerReference r:id="rId23" w:type="default"/>
          <w:pgSz w:w="11906" w:h="16838"/>
          <w:pgMar w:top="1418" w:right="1418" w:bottom="1418" w:left="1418" w:header="720" w:footer="720" w:gutter="0"/>
          <w:pgNumType w:start="1"/>
          <w:cols w:space="425" w:num="1"/>
          <w:titlePg/>
          <w:docGrid w:type="lines" w:linePitch="312" w:charSpace="0"/>
        </w:sectPr>
      </w:pPr>
    </w:p>
    <w:p w14:paraId="32BB560D">
      <w:pPr>
        <w:spacing w:before="187"/>
        <w:jc w:val="center"/>
        <w:rPr>
          <w:rFonts w:eastAsia="宋体" w:cs="Arial"/>
          <w:u w:val="single"/>
        </w:rPr>
      </w:pPr>
      <w:r>
        <w:rPr>
          <w:rFonts w:eastAsia="宋体" w:cs="Arial"/>
          <w:u w:val="single"/>
        </w:rPr>
        <w:t>第VII部分－中心责任</w:t>
      </w:r>
    </w:p>
    <w:p w14:paraId="36FC8C21">
      <w:pPr>
        <w:spacing w:before="187"/>
        <w:rPr>
          <w:rFonts w:eastAsia="宋体" w:cs="Arial"/>
        </w:rPr>
      </w:pPr>
    </w:p>
    <w:p w14:paraId="3548AB02">
      <w:pPr>
        <w:pStyle w:val="15"/>
        <w:numPr>
          <w:ilvl w:val="4"/>
          <w:numId w:val="46"/>
        </w:numPr>
        <w:spacing w:before="187"/>
        <w:ind w:left="660" w:hanging="660" w:hangingChars="300"/>
        <w:rPr>
          <w:rFonts w:eastAsia="宋体" w:cs="Arial"/>
          <w:u w:val="single"/>
        </w:rPr>
      </w:pPr>
      <w:r>
        <w:rPr>
          <w:rFonts w:eastAsia="宋体" w:cs="Arial"/>
          <w:u w:val="single"/>
        </w:rPr>
        <w:t>CDRH旨在：</w:t>
      </w:r>
    </w:p>
    <w:p w14:paraId="15822CE2">
      <w:pPr>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监测全国范围内不同类型X射线系统和基于不同工厂X射线制造商的不合规倾向。</w:t>
      </w:r>
    </w:p>
    <w:p w14:paraId="52107913">
      <w:pPr>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在全国现场测试数据表明不合规率远超全国平均水平或设计相关属性违规得以确认时，对不合规事项予以公告并要求制造商实施产品召回。</w:t>
      </w:r>
    </w:p>
    <w:p w14:paraId="7EB50B3D">
      <w:pPr>
        <w:spacing w:before="187"/>
        <w:ind w:left="1320" w:leftChars="300" w:hanging="660" w:hangingChars="300"/>
        <w:rPr>
          <w:rFonts w:eastAsia="宋体" w:cs="Arial"/>
        </w:rPr>
      </w:pPr>
      <w:r>
        <w:rPr>
          <w:rFonts w:eastAsia="宋体" w:cs="Arial"/>
        </w:rPr>
        <w:t xml:space="preserve">3. </w:t>
      </w:r>
      <w:r>
        <w:rPr>
          <w:rFonts w:eastAsia="宋体" w:cs="Arial"/>
        </w:rPr>
        <w:tab/>
      </w:r>
      <w:r>
        <w:rPr>
          <w:rFonts w:eastAsia="宋体" w:cs="Arial"/>
        </w:rPr>
        <w:t>提供经校准的测试设备供FDA和州行政机关检查员使用。</w:t>
      </w:r>
    </w:p>
    <w:p w14:paraId="029513F1">
      <w:pPr>
        <w:spacing w:before="187"/>
        <w:ind w:left="1320" w:leftChars="300" w:hanging="660" w:hangingChars="300"/>
        <w:rPr>
          <w:rFonts w:eastAsia="宋体" w:cs="Arial"/>
        </w:rPr>
      </w:pPr>
      <w:r>
        <w:rPr>
          <w:rFonts w:eastAsia="宋体" w:cs="Arial"/>
        </w:rPr>
        <w:t xml:space="preserve">4. </w:t>
      </w:r>
      <w:r>
        <w:rPr>
          <w:rFonts w:eastAsia="宋体" w:cs="Arial"/>
        </w:rPr>
        <w:tab/>
      </w:r>
      <w:r>
        <w:rPr>
          <w:rFonts w:eastAsia="宋体" w:cs="Arial"/>
        </w:rPr>
        <w:t>编制所有获证型号诊断用X射线组件和系统的计算机清单（制造商型号清单）并将其提供给每个地区和管理区。</w:t>
      </w:r>
    </w:p>
    <w:p w14:paraId="14AD3780">
      <w:pPr>
        <w:spacing w:before="187"/>
        <w:ind w:left="1320" w:leftChars="300" w:hanging="660" w:hangingChars="300"/>
        <w:rPr>
          <w:rFonts w:eastAsia="宋体" w:cs="Arial"/>
        </w:rPr>
      </w:pPr>
      <w:r>
        <w:rPr>
          <w:rFonts w:eastAsia="宋体" w:cs="Arial"/>
        </w:rPr>
        <w:t xml:space="preserve">5. </w:t>
      </w:r>
      <w:r>
        <w:rPr>
          <w:rFonts w:eastAsia="宋体" w:cs="Arial"/>
        </w:rPr>
        <w:tab/>
      </w:r>
      <w:r>
        <w:rPr>
          <w:rFonts w:eastAsia="宋体" w:cs="Arial"/>
        </w:rPr>
        <w:t>常规提供问题装配商清单供集中进行现场测试和采取强制行动。</w:t>
      </w:r>
    </w:p>
    <w:p w14:paraId="3CACE50C">
      <w:pPr>
        <w:spacing w:before="187"/>
        <w:ind w:left="1320" w:leftChars="300" w:hanging="660" w:hangingChars="300"/>
        <w:rPr>
          <w:rFonts w:eastAsia="宋体" w:cs="Arial"/>
        </w:rPr>
      </w:pPr>
      <w:r>
        <w:rPr>
          <w:rFonts w:eastAsia="宋体" w:cs="Arial"/>
        </w:rPr>
        <w:t xml:space="preserve">6. </w:t>
      </w:r>
      <w:r>
        <w:rPr>
          <w:rFonts w:eastAsia="宋体" w:cs="Arial"/>
        </w:rPr>
        <w:tab/>
      </w:r>
      <w:r>
        <w:rPr>
          <w:rFonts w:eastAsia="宋体" w:cs="Arial"/>
        </w:rPr>
        <w:t>提供装配商不合规倾向的定期状态报告与管理区申请提供的特别报告。</w:t>
      </w:r>
    </w:p>
    <w:p w14:paraId="3F491A1A">
      <w:pPr>
        <w:spacing w:before="187"/>
        <w:ind w:left="1320" w:leftChars="300" w:hanging="660" w:hangingChars="300"/>
        <w:rPr>
          <w:rFonts w:eastAsia="宋体" w:cs="Arial"/>
        </w:rPr>
      </w:pPr>
      <w:r>
        <w:rPr>
          <w:rFonts w:eastAsia="宋体" w:cs="Arial"/>
        </w:rPr>
        <w:t xml:space="preserve">7. </w:t>
      </w:r>
      <w:r>
        <w:rPr>
          <w:rFonts w:eastAsia="宋体" w:cs="Arial"/>
        </w:rPr>
        <w:tab/>
      </w:r>
      <w:r>
        <w:rPr>
          <w:rFonts w:eastAsia="宋体" w:cs="Arial"/>
        </w:rPr>
        <w:t>维护/编制计算机软件供审计员和地区数据处理中心直接查看CDRH数据。</w:t>
      </w:r>
    </w:p>
    <w:p w14:paraId="2556329A">
      <w:pPr>
        <w:spacing w:before="187"/>
        <w:ind w:left="1320" w:leftChars="300" w:hanging="660" w:hangingChars="300"/>
        <w:rPr>
          <w:rFonts w:eastAsia="宋体" w:cs="Arial"/>
        </w:rPr>
      </w:pPr>
      <w:r>
        <w:rPr>
          <w:rFonts w:eastAsia="宋体" w:cs="Arial"/>
        </w:rPr>
        <w:t xml:space="preserve">8. </w:t>
      </w:r>
      <w:r>
        <w:rPr>
          <w:rFonts w:eastAsia="宋体" w:cs="Arial"/>
        </w:rPr>
        <w:tab/>
      </w:r>
      <w:r>
        <w:rPr>
          <w:rFonts w:eastAsia="宋体" w:cs="Arial"/>
        </w:rPr>
        <w:t>收到注明日期的装配商报告（FDA-2579）时，将数据输入数据库，并每周将表格寄给相应的完工区调查分支机构供审核并做出测试选择。</w:t>
      </w:r>
    </w:p>
    <w:p w14:paraId="0D10BC6E">
      <w:pPr>
        <w:tabs>
          <w:tab w:val="left" w:pos="660"/>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 xml:space="preserve">9. </w:t>
      </w:r>
      <w:r>
        <w:rPr>
          <w:rFonts w:eastAsia="宋体" w:cs="Arial"/>
        </w:rPr>
        <w:tab/>
      </w:r>
      <w:r>
        <w:rPr>
          <w:rFonts w:eastAsia="宋体" w:cs="Arial"/>
        </w:rPr>
        <w:t>必要时建议在特定地点进行特别测试。调查表格和特别测试规程由通讯、教育和辐射计划办公室提供。如果科学和工程实验室办公室需要，可提供便携式测试设备。</w:t>
      </w:r>
      <w:r>
        <w:rPr>
          <w:rFonts w:eastAsia="宋体" w:cs="Arial"/>
        </w:rPr>
        <w:tab/>
      </w:r>
      <w:r>
        <w:rPr>
          <w:rFonts w:eastAsia="宋体" w:cs="Arial"/>
        </w:rPr>
        <w:t>*</w:t>
      </w:r>
    </w:p>
    <w:p w14:paraId="4D944512">
      <w:pPr>
        <w:spacing w:before="187"/>
        <w:ind w:left="1320" w:leftChars="300" w:hanging="660" w:hangingChars="300"/>
        <w:rPr>
          <w:rFonts w:eastAsia="宋体" w:cs="Arial"/>
        </w:rPr>
      </w:pPr>
      <w:r>
        <w:rPr>
          <w:rFonts w:eastAsia="宋体" w:cs="Arial"/>
        </w:rPr>
        <w:t>10.</w:t>
      </w:r>
      <w:r>
        <w:rPr>
          <w:rFonts w:eastAsia="宋体" w:cs="Arial"/>
        </w:rPr>
        <w:tab/>
      </w:r>
      <w:r>
        <w:rPr>
          <w:rFonts w:eastAsia="宋体" w:cs="Arial"/>
        </w:rPr>
        <w:t>为现场提供有关系统和组件制造商纠正行动计划的信息。这些信息应包括对这些计划实施监督的规程。为现场提供法律意见，包括合规案例和咨询意见。这些意见会影响他们在应对装配商时应担负的责任。</w:t>
      </w:r>
    </w:p>
    <w:p w14:paraId="541AF3CE">
      <w:pPr>
        <w:spacing w:before="187"/>
        <w:ind w:left="1320" w:leftChars="300" w:hanging="660" w:hangingChars="300"/>
        <w:rPr>
          <w:rFonts w:eastAsia="宋体" w:cs="Arial"/>
        </w:rPr>
      </w:pPr>
      <w:r>
        <w:rPr>
          <w:rFonts w:eastAsia="宋体" w:cs="Arial"/>
        </w:rPr>
        <w:t xml:space="preserve">11. </w:t>
      </w:r>
      <w:r>
        <w:rPr>
          <w:rFonts w:eastAsia="宋体" w:cs="Arial"/>
        </w:rPr>
        <w:tab/>
      </w:r>
      <w:r>
        <w:rPr>
          <w:rFonts w:eastAsia="宋体" w:cs="Arial"/>
        </w:rPr>
        <w:t>常规为现场提供未解决不合规事项清单（现场纠正状态报告）并提供规程供每个管理区监督未解决不合规事项的状态。</w:t>
      </w:r>
    </w:p>
    <w:p w14:paraId="32652196">
      <w:pPr>
        <w:spacing w:before="187"/>
        <w:ind w:left="1320" w:leftChars="300" w:hanging="660" w:hangingChars="300"/>
        <w:rPr>
          <w:rFonts w:eastAsia="宋体" w:cs="Arial"/>
        </w:rPr>
      </w:pPr>
      <w:r>
        <w:rPr>
          <w:rFonts w:eastAsia="宋体" w:cs="Arial"/>
        </w:rPr>
        <w:t xml:space="preserve">12. </w:t>
      </w:r>
      <w:r>
        <w:rPr>
          <w:rFonts w:eastAsia="宋体" w:cs="Arial"/>
        </w:rPr>
        <w:tab/>
      </w:r>
      <w:r>
        <w:rPr>
          <w:rFonts w:eastAsia="宋体" w:cs="Arial"/>
        </w:rPr>
        <w:t>将所有FD 2579装配报告原件提供给安装管理区。</w:t>
      </w:r>
    </w:p>
    <w:p w14:paraId="4726987A">
      <w:pPr>
        <w:spacing w:before="187"/>
        <w:rPr>
          <w:rFonts w:eastAsia="宋体" w:cs="Arial"/>
        </w:rPr>
      </w:pPr>
    </w:p>
    <w:p w14:paraId="6B319900">
      <w:pPr>
        <w:spacing w:before="187"/>
        <w:rPr>
          <w:rFonts w:eastAsia="宋体" w:cs="Arial"/>
        </w:rPr>
      </w:pPr>
      <w:r>
        <w:rPr>
          <w:rFonts w:eastAsia="宋体" w:cs="Arial"/>
        </w:rPr>
        <w:br w:type="page"/>
      </w:r>
    </w:p>
    <w:p w14:paraId="6B0AAD3D">
      <w:pPr>
        <w:spacing w:before="187"/>
        <w:ind w:left="1320" w:leftChars="300" w:hanging="660" w:hangingChars="300"/>
        <w:rPr>
          <w:rFonts w:eastAsia="宋体" w:cs="Arial"/>
        </w:rPr>
      </w:pPr>
      <w:r>
        <w:rPr>
          <w:rFonts w:eastAsia="宋体" w:cs="Arial"/>
        </w:rPr>
        <w:t xml:space="preserve">13. </w:t>
      </w:r>
      <w:r>
        <w:rPr>
          <w:rFonts w:eastAsia="宋体" w:cs="Arial"/>
        </w:rPr>
        <w:tab/>
      </w:r>
      <w:r>
        <w:rPr>
          <w:rFonts w:eastAsia="宋体" w:cs="Arial"/>
        </w:rPr>
        <w:t>监督和评价与本计划有关的所有测试记录、任务和通信，确认本计划的倾向或问题。</w:t>
      </w:r>
    </w:p>
    <w:p w14:paraId="0A136DE0">
      <w:pPr>
        <w:spacing w:before="187"/>
        <w:ind w:left="1320" w:leftChars="300" w:hanging="660" w:hangingChars="300"/>
        <w:rPr>
          <w:rFonts w:eastAsia="宋体" w:cs="Arial"/>
        </w:rPr>
      </w:pPr>
      <w:r>
        <w:rPr>
          <w:rFonts w:eastAsia="宋体" w:cs="Arial"/>
        </w:rPr>
        <w:t xml:space="preserve">14. </w:t>
      </w:r>
      <w:r>
        <w:rPr>
          <w:rFonts w:eastAsia="宋体" w:cs="Arial"/>
        </w:rPr>
        <w:tab/>
      </w:r>
      <w:r>
        <w:rPr>
          <w:rFonts w:eastAsia="宋体" w:cs="Arial"/>
        </w:rPr>
        <w:t>一旦确认了本计划的具体问题，与管理区办公室或区域事务办公室一起解决这些问题。</w:t>
      </w:r>
    </w:p>
    <w:p w14:paraId="38B3E4F3">
      <w:pPr>
        <w:tabs>
          <w:tab w:val="left" w:pos="660"/>
          <w:tab w:val="left" w:pos="8800"/>
        </w:tabs>
        <w:spacing w:before="187"/>
        <w:ind w:left="660" w:hanging="660" w:hangingChars="300"/>
        <w:rPr>
          <w:rFonts w:eastAsia="宋体" w:cs="Arial"/>
        </w:rPr>
      </w:pPr>
      <w:r>
        <w:rPr>
          <w:rFonts w:eastAsia="宋体" w:cs="Arial"/>
        </w:rPr>
        <w:t xml:space="preserve">*B. </w:t>
      </w:r>
      <w:r>
        <w:rPr>
          <w:rFonts w:eastAsia="宋体" w:cs="Arial"/>
        </w:rPr>
        <w:tab/>
      </w:r>
      <w:r>
        <w:rPr>
          <w:rFonts w:eastAsia="宋体" w:cs="Arial"/>
          <w:u w:val="single"/>
        </w:rPr>
        <w:t>计划评价</w:t>
      </w:r>
      <w:r>
        <w:rPr>
          <w:rFonts w:eastAsia="宋体" w:cs="Arial"/>
        </w:rPr>
        <w:t>－收到本财年的所有文件后3个月内，应进行一次非正式评价，对本计划的结果和提高计划有效性所需改善进行审核。无需提供正式书面评价报告，除非通讯、教育和辐射计划办公室主任提出要求。</w:t>
      </w:r>
      <w:r>
        <w:rPr>
          <w:rFonts w:eastAsia="宋体" w:cs="Arial"/>
        </w:rPr>
        <w:tab/>
      </w:r>
      <w:r>
        <w:rPr>
          <w:rFonts w:eastAsia="宋体" w:cs="Arial"/>
        </w:rPr>
        <w:t>*</w:t>
      </w:r>
    </w:p>
    <w:p w14:paraId="4AD98796">
      <w:pPr>
        <w:spacing w:before="187"/>
        <w:rPr>
          <w:rFonts w:eastAsia="宋体" w:cs="Arial"/>
        </w:rPr>
      </w:pPr>
    </w:p>
    <w:p w14:paraId="0457B50E">
      <w:pPr>
        <w:spacing w:before="187"/>
        <w:rPr>
          <w:rFonts w:eastAsia="宋体" w:cs="Arial"/>
        </w:rPr>
        <w:sectPr>
          <w:footerReference r:id="rId26" w:type="first"/>
          <w:footerReference r:id="rId25" w:type="default"/>
          <w:pgSz w:w="11906" w:h="16838"/>
          <w:pgMar w:top="1418" w:right="1418" w:bottom="1418" w:left="1418" w:header="720" w:footer="720" w:gutter="0"/>
          <w:pgNumType w:start="1"/>
          <w:cols w:space="425" w:num="1"/>
          <w:titlePg/>
          <w:docGrid w:type="lines" w:linePitch="312" w:charSpace="0"/>
        </w:sectPr>
      </w:pPr>
    </w:p>
    <w:p w14:paraId="52CA9CF5">
      <w:pPr>
        <w:spacing w:before="187"/>
        <w:jc w:val="center"/>
        <w:rPr>
          <w:rFonts w:eastAsia="宋体" w:cs="Arial"/>
          <w:b/>
          <w:u w:val="single"/>
        </w:rPr>
      </w:pPr>
      <w:r>
        <w:rPr>
          <w:rFonts w:eastAsia="宋体" w:cs="Arial"/>
          <w:b/>
          <w:u w:val="single"/>
        </w:rPr>
        <w:t>CDRH负责联系器械采购、维护和修理的工作人员名单</w:t>
      </w:r>
    </w:p>
    <w:p w14:paraId="29249081">
      <w:pPr>
        <w:spacing w:before="187"/>
        <w:rPr>
          <w:rFonts w:eastAsia="宋体" w:cs="Arial"/>
        </w:rPr>
      </w:pPr>
    </w:p>
    <w:p w14:paraId="64A122BF">
      <w:pPr>
        <w:spacing w:before="187"/>
        <w:ind w:leftChars="-300" w:hanging="660" w:hangingChars="300"/>
        <w:rPr>
          <w:rFonts w:eastAsia="宋体" w:cs="Arial"/>
        </w:rPr>
      </w:pPr>
      <w:r>
        <w:rPr>
          <w:rFonts w:eastAsia="宋体" w:cs="Arial"/>
        </w:rPr>
        <w:t>*</w:t>
      </w:r>
      <w:r>
        <w:rPr>
          <w:rFonts w:eastAsia="宋体" w:cs="Arial"/>
        </w:rPr>
        <w:tab/>
      </w:r>
      <w:r>
        <w:rPr>
          <w:rFonts w:eastAsia="宋体" w:cs="Arial"/>
        </w:rPr>
        <w:t>修理或替换器械的所有申请均应通过器械</w:t>
      </w:r>
      <w:r>
        <w:rPr>
          <w:rFonts w:ascii="宋体" w:hAnsi="宋体" w:eastAsia="宋体" w:cs="Arial"/>
        </w:rPr>
        <w:t>“</w:t>
      </w:r>
      <w:r>
        <w:rPr>
          <w:rFonts w:eastAsia="宋体" w:cs="Arial"/>
        </w:rPr>
        <w:t>热线</w:t>
      </w:r>
      <w:r>
        <w:rPr>
          <w:rFonts w:ascii="宋体" w:hAnsi="宋体" w:eastAsia="宋体" w:cs="Arial"/>
        </w:rPr>
        <w:t>”</w:t>
      </w:r>
      <w:r>
        <w:rPr>
          <w:rFonts w:eastAsia="宋体" w:cs="Arial"/>
        </w:rPr>
        <w:t>（301）443-l736提出。这个电话由CDRH工作人员或录音机24小时接听。如果电话由录音机接听而且您留下了姓名和电话号码，将会给您回电。Mary Walker（部门：HFZ-143，电话：（30l）443-2536 转137分机）是现场支持工作的协调人；如果有问题不能在</w:t>
      </w:r>
      <w:r>
        <w:rPr>
          <w:rFonts w:ascii="宋体" w:hAnsi="宋体" w:eastAsia="宋体" w:cs="Arial"/>
        </w:rPr>
        <w:t>“</w:t>
      </w:r>
      <w:r>
        <w:rPr>
          <w:rFonts w:eastAsia="宋体" w:cs="Arial"/>
        </w:rPr>
        <w:t>热线电话</w:t>
      </w:r>
      <w:r>
        <w:rPr>
          <w:rFonts w:ascii="宋体" w:hAnsi="宋体" w:eastAsia="宋体" w:cs="Arial"/>
        </w:rPr>
        <w:t>”</w:t>
      </w:r>
      <w:r>
        <w:rPr>
          <w:rFonts w:eastAsia="宋体" w:cs="Arial"/>
        </w:rPr>
        <w:t>上得到解决，Mary Walker是解决这些问题的主要联系人。</w:t>
      </w:r>
    </w:p>
    <w:p w14:paraId="4F257E48">
      <w:pPr>
        <w:spacing w:before="187"/>
        <w:rPr>
          <w:rFonts w:eastAsia="宋体" w:cs="Arial"/>
        </w:rPr>
      </w:pPr>
      <w:r>
        <w:rPr>
          <w:rFonts w:eastAsia="宋体" w:cs="Arial"/>
        </w:rPr>
        <w:t>下面是最熟悉且能回答有关设备问题的人员名单。</w:t>
      </w:r>
    </w:p>
    <w:p w14:paraId="46E4500A">
      <w:pPr>
        <w:spacing w:before="187"/>
        <w:rPr>
          <w:rFonts w:eastAsia="宋体" w:cs="Arial"/>
        </w:rPr>
      </w:pPr>
      <w:r>
        <w:rPr>
          <w:rFonts w:eastAsia="宋体" w:cs="Arial"/>
        </w:rPr>
        <w:t>联系方式：</w:t>
      </w:r>
    </w:p>
    <w:p w14:paraId="64130224">
      <w:pPr>
        <w:spacing w:before="187"/>
        <w:ind w:left="440" w:hanging="440" w:hangingChars="200"/>
        <w:rPr>
          <w:rFonts w:eastAsia="宋体" w:cs="Arial"/>
        </w:rPr>
      </w:pPr>
      <w:r>
        <w:rPr>
          <w:rFonts w:eastAsia="宋体" w:cs="Arial"/>
        </w:rPr>
        <w:t>校准实验室收货地址：</w:t>
      </w:r>
      <w:r>
        <w:rPr>
          <w:rFonts w:eastAsia="宋体" w:cs="Arial"/>
        </w:rPr>
        <w:br w:type="textWrapping"/>
      </w:r>
      <w:r>
        <w:rPr>
          <w:rFonts w:eastAsia="宋体" w:cs="Arial"/>
        </w:rPr>
        <w:t xml:space="preserve">X-ray Calibration Laboratory </w:t>
      </w:r>
    </w:p>
    <w:p w14:paraId="4D9F7935">
      <w:pPr>
        <w:spacing w:before="187"/>
        <w:ind w:left="440" w:hanging="440" w:hangingChars="200"/>
        <w:rPr>
          <w:rFonts w:eastAsia="宋体" w:cs="Arial"/>
        </w:rPr>
      </w:pPr>
      <w:r>
        <w:rPr>
          <w:rFonts w:eastAsia="宋体" w:cs="Arial"/>
        </w:rPr>
        <w:t>Twinbrook Building 2</w:t>
      </w:r>
      <w:r>
        <w:rPr>
          <w:rFonts w:eastAsia="宋体" w:cs="Arial"/>
        </w:rPr>
        <w:br w:type="textWrapping"/>
      </w:r>
      <w:r>
        <w:rPr>
          <w:rFonts w:eastAsia="宋体" w:cs="Arial"/>
        </w:rPr>
        <w:t>12720 Twinbrook Parkway</w:t>
      </w:r>
      <w:r>
        <w:rPr>
          <w:rFonts w:eastAsia="宋体" w:cs="Arial"/>
        </w:rPr>
        <w:br w:type="textWrapping"/>
      </w:r>
      <w:r>
        <w:rPr>
          <w:rFonts w:eastAsia="宋体" w:cs="Arial"/>
        </w:rPr>
        <w:t>Rockville, Maryland 20857</w:t>
      </w:r>
      <w:r>
        <w:rPr>
          <w:rFonts w:eastAsia="宋体" w:cs="Arial"/>
        </w:rPr>
        <w:br w:type="textWrapping"/>
      </w:r>
      <w:r>
        <w:rPr>
          <w:rFonts w:eastAsia="宋体" w:cs="Arial"/>
        </w:rPr>
        <w:t>联系人：Jannita Ridgell</w:t>
      </w:r>
    </w:p>
    <w:p w14:paraId="4571EE43">
      <w:pPr>
        <w:spacing w:before="187"/>
        <w:rPr>
          <w:rFonts w:eastAsia="宋体" w:cs="Arial"/>
        </w:rPr>
      </w:pPr>
    </w:p>
    <w:p w14:paraId="0995AE1E">
      <w:pPr>
        <w:spacing w:before="187"/>
        <w:ind w:left="440" w:hanging="440" w:hangingChars="200"/>
        <w:rPr>
          <w:rFonts w:eastAsia="宋体" w:cs="Arial"/>
        </w:rPr>
      </w:pPr>
      <w:r>
        <w:rPr>
          <w:rFonts w:eastAsia="宋体" w:cs="Arial"/>
        </w:rPr>
        <w:t>校准实验室邮寄地址：</w:t>
      </w:r>
      <w:r>
        <w:rPr>
          <w:rFonts w:eastAsia="宋体" w:cs="Arial"/>
        </w:rPr>
        <w:br w:type="textWrapping"/>
      </w:r>
      <w:r>
        <w:rPr>
          <w:rFonts w:eastAsia="宋体" w:cs="Arial"/>
        </w:rPr>
        <w:t>X-ray Calibration Laboratory</w:t>
      </w:r>
      <w:r>
        <w:rPr>
          <w:rFonts w:eastAsia="宋体" w:cs="Arial"/>
        </w:rPr>
        <w:br w:type="textWrapping"/>
      </w:r>
      <w:r>
        <w:rPr>
          <w:rFonts w:eastAsia="宋体" w:cs="Arial"/>
        </w:rPr>
        <w:t>HFZ- 143</w:t>
      </w:r>
      <w:r>
        <w:rPr>
          <w:rFonts w:eastAsia="宋体" w:cs="Arial"/>
        </w:rPr>
        <w:br w:type="textWrapping"/>
      </w:r>
      <w:r>
        <w:rPr>
          <w:rFonts w:eastAsia="宋体" w:cs="Arial"/>
        </w:rPr>
        <w:t>12720 Twinbrook Parkway</w:t>
      </w:r>
      <w:r>
        <w:rPr>
          <w:rFonts w:eastAsia="宋体" w:cs="Arial"/>
        </w:rPr>
        <w:br w:type="textWrapping"/>
      </w:r>
      <w:r>
        <w:rPr>
          <w:rFonts w:eastAsia="宋体" w:cs="Arial"/>
        </w:rPr>
        <w:t>Rockville, Maryland 20852</w:t>
      </w:r>
    </w:p>
    <w:p w14:paraId="7AB307FC">
      <w:pPr>
        <w:spacing w:before="187"/>
        <w:rPr>
          <w:rFonts w:eastAsia="宋体" w:cs="Arial"/>
        </w:rPr>
      </w:pPr>
    </w:p>
    <w:p w14:paraId="4D052D86">
      <w:pPr>
        <w:tabs>
          <w:tab w:val="left" w:pos="3960"/>
        </w:tabs>
        <w:spacing w:before="187"/>
        <w:ind w:left="440" w:hanging="440" w:hangingChars="200"/>
        <w:rPr>
          <w:rFonts w:eastAsia="宋体" w:cs="Arial"/>
        </w:rPr>
      </w:pPr>
      <w:r>
        <w:rPr>
          <w:rFonts w:eastAsia="宋体" w:cs="Arial"/>
        </w:rPr>
        <w:t>供应和物流联系人</w:t>
      </w:r>
      <w:r>
        <w:rPr>
          <w:rFonts w:eastAsia="宋体" w:cs="Arial"/>
        </w:rPr>
        <w:br w:type="textWrapping"/>
      </w:r>
      <w:r>
        <w:rPr>
          <w:rFonts w:eastAsia="宋体" w:cs="Arial"/>
        </w:rPr>
        <w:t>Jannita Ridgell</w:t>
      </w:r>
      <w:r>
        <w:rPr>
          <w:rFonts w:eastAsia="宋体" w:cs="Arial"/>
        </w:rPr>
        <w:br w:type="textWrapping"/>
      </w:r>
      <w:r>
        <w:rPr>
          <w:rFonts w:eastAsia="宋体" w:cs="Arial"/>
        </w:rPr>
        <w:t>电话：301 443-1736</w:t>
      </w:r>
      <w:r>
        <w:rPr>
          <w:rFonts w:eastAsia="宋体" w:cs="Arial"/>
        </w:rPr>
        <w:tab/>
      </w:r>
      <w:r>
        <w:rPr>
          <w:rFonts w:eastAsia="宋体" w:cs="Arial"/>
        </w:rPr>
        <w:t>邮箱：</w:t>
      </w:r>
      <w:r>
        <w:rPr>
          <w:rFonts w:eastAsia="宋体" w:cs="Arial"/>
          <w:color w:val="0000FF"/>
          <w:u w:val="single"/>
        </w:rPr>
        <w:t>jzr@cdrh.fda.gov</w:t>
      </w:r>
    </w:p>
    <w:p w14:paraId="039B53D7">
      <w:pPr>
        <w:spacing w:before="187"/>
        <w:rPr>
          <w:rFonts w:eastAsia="宋体" w:cs="Arial"/>
        </w:rPr>
      </w:pPr>
    </w:p>
    <w:p w14:paraId="197E435F">
      <w:pPr>
        <w:tabs>
          <w:tab w:val="left" w:pos="3960"/>
          <w:tab w:val="left" w:pos="8800"/>
        </w:tabs>
        <w:spacing w:before="187"/>
        <w:ind w:left="440" w:hanging="440" w:hangingChars="200"/>
        <w:rPr>
          <w:rFonts w:eastAsia="宋体" w:cs="Arial"/>
        </w:rPr>
      </w:pPr>
      <w:r>
        <w:rPr>
          <w:rFonts w:eastAsia="宋体" w:cs="Arial"/>
        </w:rPr>
        <w:t>技术支持联系人</w:t>
      </w:r>
      <w:r>
        <w:rPr>
          <w:rFonts w:eastAsia="宋体" w:cs="Arial"/>
        </w:rPr>
        <w:br w:type="textWrapping"/>
      </w:r>
      <w:r>
        <w:rPr>
          <w:rFonts w:eastAsia="宋体" w:cs="Arial"/>
        </w:rPr>
        <w:t>Mary Walker</w:t>
      </w:r>
      <w:r>
        <w:rPr>
          <w:rFonts w:eastAsia="宋体" w:cs="Arial"/>
        </w:rPr>
        <w:br w:type="textWrapping"/>
      </w:r>
      <w:r>
        <w:rPr>
          <w:rFonts w:eastAsia="宋体" w:cs="Arial"/>
        </w:rPr>
        <w:t>电话：301 443-2536转137</w:t>
      </w:r>
      <w:r>
        <w:rPr>
          <w:rFonts w:eastAsia="宋体" w:cs="Arial"/>
        </w:rPr>
        <w:tab/>
      </w:r>
      <w:r>
        <w:rPr>
          <w:rFonts w:eastAsia="宋体" w:cs="Arial"/>
        </w:rPr>
        <w:t>邮箱：</w:t>
      </w:r>
      <w:r>
        <w:fldChar w:fldCharType="begin"/>
      </w:r>
      <w:r>
        <w:instrText xml:space="preserve"> HYPERLINK "mailto:mdw@cdrh.fda.gov" </w:instrText>
      </w:r>
      <w:r>
        <w:fldChar w:fldCharType="separate"/>
      </w:r>
      <w:r>
        <w:rPr>
          <w:rStyle w:val="10"/>
          <w:rFonts w:eastAsia="宋体" w:cs="Arial"/>
        </w:rPr>
        <w:t>mdw@cdrh.fda.gov</w:t>
      </w:r>
      <w:r>
        <w:rPr>
          <w:rStyle w:val="10"/>
          <w:rFonts w:eastAsia="宋体" w:cs="Arial"/>
        </w:rPr>
        <w:fldChar w:fldCharType="end"/>
      </w:r>
      <w:r>
        <w:rPr>
          <w:rFonts w:eastAsia="宋体" w:cs="Arial"/>
        </w:rPr>
        <w:tab/>
      </w:r>
      <w:r>
        <w:rPr>
          <w:rFonts w:eastAsia="宋体" w:cs="Arial"/>
        </w:rPr>
        <w:t>*</w:t>
      </w:r>
    </w:p>
    <w:p w14:paraId="0EDD3535">
      <w:pPr>
        <w:spacing w:before="187"/>
        <w:rPr>
          <w:rFonts w:eastAsia="宋体" w:cs="Arial"/>
        </w:rPr>
      </w:pPr>
    </w:p>
    <w:p w14:paraId="7E8E24F7">
      <w:pPr>
        <w:spacing w:before="187"/>
        <w:rPr>
          <w:rFonts w:eastAsia="宋体" w:cs="Arial"/>
        </w:rPr>
      </w:pPr>
      <w:r>
        <w:rPr>
          <w:rFonts w:eastAsia="宋体" w:cs="Arial"/>
        </w:rPr>
        <w:t>拨打</w:t>
      </w:r>
      <w:r>
        <w:rPr>
          <w:rFonts w:ascii="宋体" w:hAnsi="宋体" w:eastAsia="宋体" w:cs="Arial"/>
        </w:rPr>
        <w:t>“</w:t>
      </w:r>
      <w:r>
        <w:rPr>
          <w:rFonts w:eastAsia="宋体" w:cs="Arial"/>
        </w:rPr>
        <w:t>热线电话</w:t>
      </w:r>
      <w:r>
        <w:rPr>
          <w:rFonts w:ascii="宋体" w:hAnsi="宋体" w:eastAsia="宋体" w:cs="Arial"/>
        </w:rPr>
        <w:t>”</w:t>
      </w:r>
      <w:r>
        <w:rPr>
          <w:rFonts w:eastAsia="宋体" w:cs="Arial"/>
        </w:rPr>
        <w:t>或致电相应人员并获得送返指令前，不要将器械送返总部进行校准或修理。</w:t>
      </w:r>
    </w:p>
    <w:p w14:paraId="51A6E945">
      <w:pPr>
        <w:spacing w:before="187"/>
        <w:rPr>
          <w:rFonts w:eastAsia="宋体" w:cs="Arial"/>
        </w:rPr>
      </w:pPr>
      <w:r>
        <w:rPr>
          <w:rFonts w:eastAsia="宋体" w:cs="Arial"/>
        </w:rPr>
        <w:br w:type="page"/>
      </w:r>
    </w:p>
    <w:p w14:paraId="751B291F">
      <w:pPr>
        <w:spacing w:before="187"/>
        <w:jc w:val="center"/>
        <w:rPr>
          <w:rFonts w:eastAsia="宋体" w:cs="Arial"/>
          <w:b/>
        </w:rPr>
      </w:pPr>
      <w:r>
        <w:rPr>
          <w:rFonts w:eastAsia="宋体" w:cs="Arial"/>
          <w:b/>
        </w:rPr>
        <w:t>CDRH通讯、教育和辐射计划办公室</w:t>
      </w:r>
      <w:r>
        <w:rPr>
          <w:rFonts w:eastAsia="宋体" w:cs="Arial"/>
          <w:b/>
        </w:rPr>
        <w:br w:type="textWrapping"/>
      </w:r>
      <w:r>
        <w:rPr>
          <w:rFonts w:eastAsia="宋体" w:cs="Arial"/>
          <w:b/>
        </w:rPr>
        <w:t>负责联系测试规程和器械设备使用的工作人员</w:t>
      </w:r>
    </w:p>
    <w:p w14:paraId="73A448A1">
      <w:pPr>
        <w:spacing w:before="187"/>
        <w:rPr>
          <w:rFonts w:eastAsia="宋体" w:cs="Arial"/>
        </w:rPr>
      </w:pPr>
    </w:p>
    <w:p w14:paraId="12821553">
      <w:pPr>
        <w:tabs>
          <w:tab w:val="left" w:pos="660"/>
          <w:tab w:val="center" w:pos="4400"/>
          <w:tab w:val="center" w:pos="7040"/>
        </w:tabs>
        <w:spacing w:before="187"/>
        <w:rPr>
          <w:rFonts w:eastAsia="宋体" w:cs="Arial"/>
        </w:rPr>
      </w:pPr>
      <w:r>
        <w:rPr>
          <w:rFonts w:eastAsia="宋体" w:cs="Arial"/>
        </w:rPr>
        <w:tab/>
      </w:r>
      <w:r>
        <w:rPr>
          <w:rFonts w:eastAsia="宋体" w:cs="Arial"/>
        </w:rPr>
        <w:tab/>
      </w:r>
      <w:r>
        <w:rPr>
          <w:rFonts w:eastAsia="宋体" w:cs="Arial"/>
        </w:rPr>
        <w:t>商务电话</w:t>
      </w:r>
      <w:r>
        <w:rPr>
          <w:rFonts w:eastAsia="宋体" w:cs="Arial"/>
        </w:rPr>
        <w:tab/>
      </w:r>
      <w:r>
        <w:rPr>
          <w:rFonts w:eastAsia="宋体" w:cs="Arial"/>
        </w:rPr>
        <w:t>传真号码</w:t>
      </w:r>
    </w:p>
    <w:p w14:paraId="48192215">
      <w:pPr>
        <w:tabs>
          <w:tab w:val="left" w:pos="660"/>
          <w:tab w:val="center" w:pos="4400"/>
          <w:tab w:val="center" w:pos="7040"/>
        </w:tabs>
        <w:spacing w:before="187"/>
        <w:ind w:left="-440" w:leftChars="-200"/>
        <w:rPr>
          <w:rFonts w:eastAsia="宋体" w:cs="Arial"/>
        </w:rPr>
      </w:pPr>
      <w:r>
        <w:rPr>
          <w:rFonts w:eastAsia="宋体" w:cs="Arial"/>
        </w:rPr>
        <w:t>*</w:t>
      </w: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5129ED5E">
      <w:pPr>
        <w:tabs>
          <w:tab w:val="left" w:pos="660"/>
          <w:tab w:val="center" w:pos="4400"/>
          <w:tab w:val="center" w:pos="7040"/>
        </w:tabs>
        <w:spacing w:before="187"/>
        <w:rPr>
          <w:rFonts w:eastAsia="宋体" w:cs="Arial"/>
        </w:rPr>
      </w:pPr>
      <w:r>
        <w:rPr>
          <w:rFonts w:eastAsia="宋体" w:cs="Arial"/>
        </w:rPr>
        <w:tab/>
      </w:r>
      <w:r>
        <w:rPr>
          <w:rFonts w:eastAsia="宋体" w:cs="Arial"/>
        </w:rPr>
        <w:t>2. Tom Jakub</w:t>
      </w:r>
      <w:r>
        <w:rPr>
          <w:rFonts w:eastAsia="宋体" w:cs="Arial"/>
        </w:rPr>
        <w:tab/>
      </w:r>
      <w:r>
        <w:rPr>
          <w:rFonts w:eastAsia="宋体" w:cs="Arial"/>
        </w:rPr>
        <w:t>240-276-3332</w:t>
      </w:r>
      <w:r>
        <w:rPr>
          <w:rFonts w:eastAsia="宋体" w:cs="Arial"/>
        </w:rPr>
        <w:tab/>
      </w:r>
      <w:r>
        <w:rPr>
          <w:rFonts w:eastAsia="宋体" w:cs="Arial"/>
        </w:rPr>
        <w:t>240-276-3272</w:t>
      </w:r>
    </w:p>
    <w:p w14:paraId="5D02CD83">
      <w:pPr>
        <w:spacing w:before="187"/>
        <w:rPr>
          <w:rFonts w:eastAsia="宋体" w:cs="Arial"/>
        </w:rPr>
      </w:pPr>
    </w:p>
    <w:p w14:paraId="2D2D8DA4">
      <w:pPr>
        <w:spacing w:before="187"/>
        <w:jc w:val="center"/>
        <w:rPr>
          <w:rFonts w:eastAsia="宋体" w:cs="Arial"/>
          <w:b/>
          <w:u w:val="single"/>
        </w:rPr>
      </w:pPr>
      <w:r>
        <w:rPr>
          <w:rFonts w:eastAsia="宋体" w:cs="Arial"/>
          <w:b/>
          <w:u w:val="single"/>
        </w:rPr>
        <w:t>CDRH负责联系计算机数据输入问题的工作人员</w:t>
      </w:r>
    </w:p>
    <w:p w14:paraId="280D3D99">
      <w:pPr>
        <w:tabs>
          <w:tab w:val="left" w:pos="660"/>
          <w:tab w:val="center" w:pos="4400"/>
          <w:tab w:val="center" w:pos="7040"/>
        </w:tabs>
        <w:spacing w:before="187"/>
        <w:rPr>
          <w:rFonts w:eastAsia="宋体" w:cs="Arial"/>
        </w:rPr>
      </w:pP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1261CA0A">
      <w:pPr>
        <w:spacing w:before="187"/>
        <w:jc w:val="center"/>
        <w:rPr>
          <w:rFonts w:eastAsia="宋体" w:cs="Arial"/>
          <w:b/>
          <w:u w:val="single"/>
        </w:rPr>
      </w:pPr>
    </w:p>
    <w:p w14:paraId="2485E243">
      <w:pPr>
        <w:spacing w:before="187"/>
        <w:jc w:val="center"/>
        <w:rPr>
          <w:rFonts w:eastAsia="宋体" w:cs="Arial"/>
          <w:b/>
          <w:u w:val="single"/>
        </w:rPr>
      </w:pPr>
      <w:r>
        <w:rPr>
          <w:rFonts w:eastAsia="宋体" w:cs="Arial"/>
          <w:b/>
          <w:u w:val="single"/>
        </w:rPr>
        <w:t>区域事务办公室负责M204账户和密码的工作人员</w:t>
      </w:r>
    </w:p>
    <w:p w14:paraId="4B14356B">
      <w:pPr>
        <w:tabs>
          <w:tab w:val="left" w:pos="660"/>
          <w:tab w:val="center" w:pos="4400"/>
          <w:tab w:val="center" w:pos="8800"/>
        </w:tabs>
        <w:spacing w:before="187"/>
        <w:rPr>
          <w:rFonts w:eastAsia="宋体" w:cs="Arial"/>
        </w:rPr>
      </w:pPr>
      <w:r>
        <w:rPr>
          <w:rFonts w:eastAsia="宋体" w:cs="Arial"/>
        </w:rPr>
        <w:tab/>
      </w:r>
      <w:r>
        <w:rPr>
          <w:rFonts w:eastAsia="宋体" w:cs="Arial"/>
        </w:rPr>
        <w:t>1. Michele Bacum</w:t>
      </w:r>
      <w:r>
        <w:rPr>
          <w:rFonts w:eastAsia="宋体" w:cs="Arial"/>
        </w:rPr>
        <w:tab/>
      </w:r>
      <w:r>
        <w:rPr>
          <w:rFonts w:eastAsia="宋体" w:cs="Arial"/>
        </w:rPr>
        <w:t>301-827-1573</w:t>
      </w:r>
      <w:r>
        <w:rPr>
          <w:rFonts w:eastAsia="宋体" w:cs="Arial"/>
        </w:rPr>
        <w:tab/>
      </w:r>
      <w:r>
        <w:rPr>
          <w:rFonts w:eastAsia="宋体" w:cs="Arial"/>
        </w:rPr>
        <w:t>*</w:t>
      </w:r>
    </w:p>
    <w:p w14:paraId="107267DF">
      <w:pPr>
        <w:spacing w:before="187"/>
        <w:rPr>
          <w:rFonts w:eastAsia="宋体" w:cs="Arial"/>
        </w:rPr>
      </w:pPr>
    </w:p>
    <w:p w14:paraId="3424728D">
      <w:pPr>
        <w:spacing w:before="187"/>
        <w:rPr>
          <w:rFonts w:eastAsia="宋体" w:cs="Arial"/>
        </w:rPr>
        <w:sectPr>
          <w:headerReference r:id="rId28" w:type="first"/>
          <w:footerReference r:id="rId30" w:type="first"/>
          <w:headerReference r:id="rId27" w:type="default"/>
          <w:footerReference r:id="rId29" w:type="default"/>
          <w:pgSz w:w="11906" w:h="16838"/>
          <w:pgMar w:top="1418" w:right="1418" w:bottom="1418" w:left="1418" w:header="720" w:footer="720" w:gutter="0"/>
          <w:pgNumType w:start="1"/>
          <w:cols w:space="425" w:num="1"/>
          <w:titlePg/>
          <w:docGrid w:type="lines" w:linePitch="312" w:charSpace="0"/>
        </w:sectPr>
      </w:pPr>
    </w:p>
    <w:p w14:paraId="577ED150">
      <w:pPr>
        <w:spacing w:before="187"/>
        <w:jc w:val="center"/>
        <w:rPr>
          <w:rFonts w:eastAsia="宋体" w:cs="Arial"/>
          <w:b/>
          <w:u w:val="single"/>
        </w:rPr>
      </w:pPr>
      <w:r>
        <w:rPr>
          <w:rFonts w:eastAsia="宋体" w:cs="Arial"/>
          <w:b/>
          <w:u w:val="single"/>
        </w:rPr>
        <w:t>总通讯录</w:t>
      </w:r>
    </w:p>
    <w:p w14:paraId="47FE0F82">
      <w:pPr>
        <w:spacing w:before="187"/>
        <w:rPr>
          <w:rFonts w:eastAsia="宋体" w:cs="Arial"/>
        </w:rPr>
      </w:pPr>
    </w:p>
    <w:p w14:paraId="46530F6A">
      <w:pPr>
        <w:tabs>
          <w:tab w:val="left" w:pos="660"/>
          <w:tab w:val="left" w:pos="3960"/>
          <w:tab w:val="left" w:pos="6160"/>
        </w:tabs>
        <w:spacing w:before="187"/>
        <w:rPr>
          <w:rFonts w:eastAsia="宋体" w:cs="Arial"/>
        </w:rPr>
      </w:pPr>
      <w:r>
        <w:rPr>
          <w:rFonts w:eastAsia="宋体" w:cs="Arial"/>
        </w:rPr>
        <w:tab/>
      </w:r>
      <w:r>
        <w:rPr>
          <w:rFonts w:eastAsia="宋体" w:cs="Arial"/>
        </w:rPr>
        <w:tab/>
      </w:r>
      <w:r>
        <w:rPr>
          <w:rFonts w:eastAsia="宋体" w:cs="Arial"/>
          <w:u w:val="single"/>
        </w:rPr>
        <w:t>商务电话</w:t>
      </w:r>
      <w:r>
        <w:rPr>
          <w:rFonts w:eastAsia="宋体" w:cs="Arial"/>
        </w:rPr>
        <w:tab/>
      </w:r>
      <w:r>
        <w:rPr>
          <w:rFonts w:eastAsia="宋体" w:cs="Arial"/>
          <w:u w:val="single"/>
        </w:rPr>
        <w:t>传真号码</w:t>
      </w:r>
    </w:p>
    <w:p w14:paraId="29116081">
      <w:pPr>
        <w:tabs>
          <w:tab w:val="left" w:pos="660"/>
          <w:tab w:val="left" w:pos="3960"/>
          <w:tab w:val="left" w:pos="6160"/>
        </w:tabs>
        <w:spacing w:before="187"/>
        <w:ind w:left="-440" w:leftChars="-200"/>
        <w:rPr>
          <w:rFonts w:eastAsia="宋体" w:cs="Arial"/>
        </w:rPr>
      </w:pPr>
      <w:r>
        <w:rPr>
          <w:rFonts w:eastAsia="宋体" w:cs="Arial"/>
        </w:rPr>
        <w:t>*</w:t>
      </w: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79C4A8C4">
      <w:pPr>
        <w:tabs>
          <w:tab w:val="left" w:pos="660"/>
          <w:tab w:val="left" w:pos="3960"/>
          <w:tab w:val="left" w:pos="6160"/>
        </w:tabs>
        <w:spacing w:before="187"/>
        <w:rPr>
          <w:rFonts w:eastAsia="宋体" w:cs="Arial"/>
        </w:rPr>
      </w:pPr>
      <w:r>
        <w:rPr>
          <w:rFonts w:eastAsia="宋体" w:cs="Arial"/>
        </w:rPr>
        <w:tab/>
      </w:r>
      <w:r>
        <w:rPr>
          <w:rFonts w:eastAsia="宋体" w:cs="Arial"/>
        </w:rPr>
        <w:t>2. Tom Jakub</w:t>
      </w:r>
      <w:r>
        <w:rPr>
          <w:rFonts w:eastAsia="宋体" w:cs="Arial"/>
        </w:rPr>
        <w:tab/>
      </w:r>
      <w:r>
        <w:rPr>
          <w:rFonts w:eastAsia="宋体" w:cs="Arial"/>
        </w:rPr>
        <w:t>240-276-3332</w:t>
      </w:r>
      <w:r>
        <w:rPr>
          <w:rFonts w:eastAsia="宋体" w:cs="Arial"/>
        </w:rPr>
        <w:tab/>
      </w:r>
      <w:r>
        <w:rPr>
          <w:rFonts w:eastAsia="宋体" w:cs="Arial"/>
        </w:rPr>
        <w:t>240-276-3272</w:t>
      </w:r>
    </w:p>
    <w:p w14:paraId="00267E76">
      <w:pPr>
        <w:tabs>
          <w:tab w:val="left" w:pos="660"/>
          <w:tab w:val="left" w:pos="3960"/>
          <w:tab w:val="left" w:pos="6160"/>
          <w:tab w:val="center" w:pos="8800"/>
        </w:tabs>
        <w:spacing w:before="187"/>
        <w:rPr>
          <w:rFonts w:eastAsia="宋体" w:cs="Arial"/>
        </w:rPr>
      </w:pPr>
      <w:r>
        <w:rPr>
          <w:rFonts w:eastAsia="宋体" w:cs="Arial"/>
        </w:rPr>
        <w:tab/>
      </w:r>
      <w:r>
        <w:rPr>
          <w:rFonts w:eastAsia="宋体" w:cs="Arial"/>
        </w:rPr>
        <w:t>3.乳房摄影和辐射计划处</w:t>
      </w:r>
      <w:r>
        <w:rPr>
          <w:rFonts w:eastAsia="宋体" w:cs="Arial"/>
        </w:rPr>
        <w:tab/>
      </w:r>
      <w:r>
        <w:rPr>
          <w:rFonts w:eastAsia="宋体" w:cs="Arial"/>
        </w:rPr>
        <w:t>240-276-3332</w:t>
      </w:r>
      <w:r>
        <w:rPr>
          <w:rFonts w:eastAsia="宋体" w:cs="Arial"/>
        </w:rPr>
        <w:tab/>
      </w:r>
      <w:r>
        <w:rPr>
          <w:rFonts w:eastAsia="宋体" w:cs="Arial"/>
        </w:rPr>
        <w:t>240-276-3272</w:t>
      </w:r>
      <w:r>
        <w:rPr>
          <w:rFonts w:eastAsia="宋体" w:cs="Arial"/>
        </w:rPr>
        <w:tab/>
      </w:r>
      <w:r>
        <w:rPr>
          <w:rFonts w:eastAsia="宋体" w:cs="Arial"/>
        </w:rPr>
        <w:t>*</w:t>
      </w:r>
    </w:p>
    <w:p w14:paraId="51FF9226">
      <w:pPr>
        <w:spacing w:before="187"/>
        <w:rPr>
          <w:rFonts w:eastAsia="宋体" w:cs="Arial"/>
        </w:rPr>
      </w:pPr>
    </w:p>
    <w:p w14:paraId="5AB15982">
      <w:pPr>
        <w:spacing w:before="187"/>
        <w:rPr>
          <w:rFonts w:eastAsia="宋体" w:cs="Arial"/>
          <w:b/>
          <w:bCs/>
        </w:rPr>
      </w:pPr>
    </w:p>
    <w:p w14:paraId="063C64FF">
      <w:pPr>
        <w:spacing w:before="187"/>
        <w:rPr>
          <w:rFonts w:eastAsia="宋体" w:cs="Arial"/>
          <w:b/>
          <w:bCs/>
        </w:rPr>
        <w:sectPr>
          <w:headerReference r:id="rId31" w:type="first"/>
          <w:pgSz w:w="11906" w:h="16838"/>
          <w:pgMar w:top="1418" w:right="1418" w:bottom="1418" w:left="1418" w:header="720" w:footer="720" w:gutter="0"/>
          <w:pgNumType w:start="1"/>
          <w:cols w:space="425" w:num="1"/>
          <w:titlePg/>
          <w:docGrid w:type="lines" w:linePitch="312" w:charSpace="0"/>
        </w:sectPr>
      </w:pPr>
    </w:p>
    <w:p w14:paraId="47BB75FB">
      <w:pPr>
        <w:spacing w:before="187"/>
        <w:jc w:val="center"/>
        <w:rPr>
          <w:rFonts w:eastAsia="宋体" w:cs="Arial"/>
          <w:b/>
          <w:u w:val="single"/>
        </w:rPr>
      </w:pPr>
      <w:r>
        <w:rPr>
          <w:rFonts w:eastAsia="宋体" w:cs="Arial"/>
          <w:b/>
          <w:u w:val="single"/>
        </w:rPr>
        <w:t>不合规和瑕疵事项分类</w:t>
      </w:r>
    </w:p>
    <w:p w14:paraId="02D9D706">
      <w:pPr>
        <w:spacing w:before="187"/>
        <w:rPr>
          <w:rFonts w:eastAsia="宋体" w:cs="Arial"/>
        </w:rPr>
      </w:pPr>
    </w:p>
    <w:p w14:paraId="5E27EC3C">
      <w:pPr>
        <w:spacing w:before="187"/>
        <w:rPr>
          <w:rFonts w:eastAsia="宋体" w:cs="Arial"/>
          <w:u w:val="single"/>
        </w:rPr>
      </w:pPr>
      <w:r>
        <w:rPr>
          <w:rFonts w:eastAsia="宋体" w:cs="Arial"/>
          <w:u w:val="single"/>
        </w:rPr>
        <w:t>A类</w:t>
      </w:r>
    </w:p>
    <w:p w14:paraId="35A080E0">
      <w:pPr>
        <w:spacing w:before="187"/>
        <w:rPr>
          <w:rFonts w:eastAsia="宋体" w:cs="Arial"/>
        </w:rPr>
      </w:pPr>
      <w:r>
        <w:rPr>
          <w:rFonts w:eastAsia="宋体" w:cs="Arial"/>
        </w:rPr>
        <w:t>可对公共卫生和安全造成严重辐射危害的状况</w:t>
      </w:r>
    </w:p>
    <w:p w14:paraId="1BDEA57B">
      <w:pPr>
        <w:pStyle w:val="15"/>
        <w:numPr>
          <w:ilvl w:val="1"/>
          <w:numId w:val="47"/>
        </w:numPr>
        <w:spacing w:before="187"/>
        <w:ind w:left="660" w:hanging="660" w:hangingChars="300"/>
        <w:rPr>
          <w:rFonts w:eastAsia="宋体" w:cs="Arial"/>
        </w:rPr>
      </w:pPr>
      <w:r>
        <w:rPr>
          <w:rFonts w:eastAsia="宋体" w:cs="Arial"/>
        </w:rPr>
        <w:t>X射线系统出现故障以致于发生意外接触X射线事件，如接触开关激活时，发生不止一次而是重复接触时，或发生计时器不终止类接触时，或在不使用接触开关而启动接触时。</w:t>
      </w:r>
    </w:p>
    <w:p w14:paraId="5C4C0CD9">
      <w:pPr>
        <w:pStyle w:val="15"/>
        <w:numPr>
          <w:ilvl w:val="1"/>
          <w:numId w:val="47"/>
        </w:numPr>
        <w:spacing w:before="187"/>
        <w:ind w:left="660" w:hanging="660" w:hangingChars="300"/>
        <w:rPr>
          <w:rFonts w:eastAsia="宋体" w:cs="Arial"/>
        </w:rPr>
      </w:pPr>
      <w:r>
        <w:rPr>
          <w:rFonts w:eastAsia="宋体" w:cs="Arial"/>
        </w:rPr>
        <w:t>X射线透视系统的进口照射量率大于或等于25伦琴/分时，下列情况除外：</w:t>
      </w:r>
    </w:p>
    <w:p w14:paraId="30A542C8">
      <w:pPr>
        <w:pStyle w:val="15"/>
        <w:numPr>
          <w:ilvl w:val="5"/>
          <w:numId w:val="48"/>
        </w:numPr>
        <w:spacing w:before="187"/>
        <w:ind w:left="1320" w:leftChars="300" w:hanging="660" w:hangingChars="300"/>
        <w:rPr>
          <w:rFonts w:eastAsia="宋体" w:cs="Arial"/>
        </w:rPr>
      </w:pPr>
      <w:r>
        <w:rPr>
          <w:rFonts w:eastAsia="宋体" w:cs="Arial"/>
        </w:rPr>
        <w:t>记录透视影像期间，或</w:t>
      </w:r>
    </w:p>
    <w:p w14:paraId="26C247C4">
      <w:pPr>
        <w:pStyle w:val="15"/>
        <w:numPr>
          <w:ilvl w:val="5"/>
          <w:numId w:val="48"/>
        </w:numPr>
        <w:spacing w:before="187"/>
        <w:ind w:left="1320" w:leftChars="300" w:hanging="660" w:hangingChars="300"/>
        <w:rPr>
          <w:rFonts w:eastAsia="宋体" w:cs="Arial"/>
        </w:rPr>
      </w:pPr>
      <w:r>
        <w:rPr>
          <w:rFonts w:eastAsia="宋体" w:cs="Arial"/>
        </w:rPr>
        <w:t>选择性高水平控制装置激活时。如果控制装置是1995年5月后生产的，将高水平进口照射量率限制在20伦琴/分，超过25伦琴/分的任何读数均属A类违规。</w:t>
      </w:r>
    </w:p>
    <w:p w14:paraId="43C3D9C0">
      <w:pPr>
        <w:pStyle w:val="15"/>
        <w:numPr>
          <w:ilvl w:val="1"/>
          <w:numId w:val="47"/>
        </w:numPr>
        <w:spacing w:before="187"/>
        <w:ind w:left="660" w:hanging="660" w:hangingChars="300"/>
        <w:rPr>
          <w:rFonts w:eastAsia="宋体" w:cs="Arial"/>
        </w:rPr>
      </w:pPr>
      <w:r>
        <w:rPr>
          <w:rFonts w:eastAsia="宋体" w:cs="Arial"/>
        </w:rPr>
        <w:t>透视系统的有效射束在任何源像距离（SID）的整个横断面不能为主防护栅障拦截时。</w:t>
      </w:r>
    </w:p>
    <w:p w14:paraId="06B30787">
      <w:pPr>
        <w:pStyle w:val="15"/>
        <w:numPr>
          <w:ilvl w:val="1"/>
          <w:numId w:val="47"/>
        </w:numPr>
        <w:spacing w:before="187"/>
        <w:ind w:left="660" w:hanging="660" w:hangingChars="300"/>
        <w:rPr>
          <w:rFonts w:eastAsia="宋体" w:cs="Arial"/>
        </w:rPr>
      </w:pPr>
      <w:r>
        <w:rPr>
          <w:rFonts w:eastAsia="宋体" w:cs="Arial"/>
        </w:rPr>
        <w:t>透视系统的主防护栅障未在拦截射束的适当位置以致于可能生成X射线时。</w:t>
      </w:r>
    </w:p>
    <w:p w14:paraId="620DC689">
      <w:pPr>
        <w:spacing w:before="187"/>
        <w:rPr>
          <w:rFonts w:eastAsia="宋体" w:cs="Arial"/>
        </w:rPr>
      </w:pPr>
    </w:p>
    <w:p w14:paraId="033393C7">
      <w:pPr>
        <w:spacing w:before="187"/>
        <w:rPr>
          <w:rFonts w:eastAsia="宋体" w:cs="Arial"/>
        </w:rPr>
      </w:pPr>
    </w:p>
    <w:p w14:paraId="29176164">
      <w:pPr>
        <w:spacing w:before="187"/>
        <w:rPr>
          <w:rFonts w:eastAsia="宋体" w:cs="Arial"/>
          <w:u w:val="single"/>
        </w:rPr>
      </w:pPr>
      <w:r>
        <w:rPr>
          <w:rFonts w:eastAsia="宋体" w:cs="Arial"/>
          <w:u w:val="single"/>
        </w:rPr>
        <w:t>B类</w:t>
      </w:r>
    </w:p>
    <w:p w14:paraId="2795DA79">
      <w:pPr>
        <w:spacing w:before="187"/>
        <w:jc w:val="center"/>
        <w:rPr>
          <w:rFonts w:eastAsia="宋体" w:cs="Arial"/>
          <w:u w:val="single"/>
        </w:rPr>
      </w:pPr>
      <w:r>
        <w:rPr>
          <w:rFonts w:eastAsia="宋体" w:cs="Arial"/>
          <w:u w:val="single"/>
        </w:rPr>
        <w:t>仅限于获证系统和组件</w:t>
      </w:r>
    </w:p>
    <w:p w14:paraId="1D94BFE3">
      <w:pPr>
        <w:spacing w:before="187"/>
        <w:rPr>
          <w:rFonts w:eastAsia="宋体" w:cs="Arial"/>
        </w:rPr>
      </w:pPr>
      <w:r>
        <w:rPr>
          <w:rFonts w:eastAsia="宋体" w:cs="Arial"/>
        </w:rPr>
        <w:t>B类不合规属于下列状况：（1）常规诊断用X射线检查期间导致大量不必要辐射接触，或（2）反映了其它定义清晰的不合规事项（仅限于获证系统和组件）。这些状况可在现场做出确定，也可按参考文件4（常规合规测试手册）介绍的方法进行计算。为了监管随访，可根据这些B类状况所致健康危害的程度将其分为4组，即严重危害、中等危害、低度危害和最低危害（与完全合规X射线系统比较）。</w:t>
      </w:r>
    </w:p>
    <w:p w14:paraId="3C6D3A4B">
      <w:pPr>
        <w:spacing w:before="187"/>
        <w:rPr>
          <w:rFonts w:eastAsia="宋体" w:cs="Arial"/>
          <w:u w:val="single"/>
        </w:rPr>
      </w:pPr>
      <w:r>
        <w:rPr>
          <w:rFonts w:eastAsia="宋体" w:cs="Arial"/>
          <w:u w:val="single"/>
        </w:rPr>
        <w:t>严重危害</w:t>
      </w:r>
    </w:p>
    <w:p w14:paraId="2BAB7CA7">
      <w:pPr>
        <w:pStyle w:val="15"/>
        <w:numPr>
          <w:ilvl w:val="1"/>
          <w:numId w:val="49"/>
        </w:numPr>
        <w:spacing w:before="187"/>
        <w:ind w:left="660" w:hanging="660" w:hangingChars="300"/>
        <w:rPr>
          <w:rFonts w:eastAsia="宋体" w:cs="Arial"/>
        </w:rPr>
      </w:pPr>
      <w:r>
        <w:rPr>
          <w:rFonts w:eastAsia="宋体" w:cs="Arial"/>
        </w:rPr>
        <w:t>由于X射线穿过X射线透视系统主防护栅障（在有效射束进程中带有减缓阻块），在距透视影像装配现场任何可接近表面10厘米处测得的超出影像接收器平面的照射量率大于或等于10毫伦琴/小时。测定时以每伦琴/分的进口照射量率为参照。</w:t>
      </w:r>
    </w:p>
    <w:p w14:paraId="04059439">
      <w:pPr>
        <w:spacing w:before="187"/>
        <w:rPr>
          <w:rFonts w:eastAsia="宋体" w:cs="Arial"/>
        </w:rPr>
      </w:pPr>
      <w:r>
        <w:rPr>
          <w:rFonts w:eastAsia="宋体" w:cs="Arial"/>
        </w:rPr>
        <w:br w:type="page"/>
      </w:r>
    </w:p>
    <w:p w14:paraId="1DCCC89D">
      <w:pPr>
        <w:pStyle w:val="15"/>
        <w:numPr>
          <w:ilvl w:val="1"/>
          <w:numId w:val="49"/>
        </w:numPr>
        <w:spacing w:before="187"/>
        <w:ind w:left="660" w:hanging="660" w:hangingChars="300"/>
        <w:rPr>
          <w:rFonts w:eastAsia="宋体" w:cs="Arial"/>
        </w:rPr>
      </w:pPr>
      <w:r>
        <w:rPr>
          <w:rFonts w:eastAsia="宋体" w:cs="Arial"/>
        </w:rPr>
        <w:t>影像增强型X射线透视系统的X射线视野边缘总对不准幅度大于源像距离的10％，影像接收器平面视觉确定视野的可视区各自拥有边缘。</w:t>
      </w:r>
    </w:p>
    <w:p w14:paraId="36FC5020">
      <w:pPr>
        <w:pStyle w:val="15"/>
        <w:numPr>
          <w:ilvl w:val="1"/>
          <w:numId w:val="49"/>
        </w:numPr>
        <w:spacing w:before="187"/>
        <w:ind w:left="660" w:hanging="660" w:hangingChars="300"/>
        <w:rPr>
          <w:rFonts w:eastAsia="宋体" w:cs="Arial"/>
        </w:rPr>
      </w:pPr>
      <w:r>
        <w:rPr>
          <w:rFonts w:eastAsia="宋体" w:cs="Arial"/>
        </w:rPr>
        <w:t>点片装置的X射线视野总对不准幅度超过源像距离的10％，影像接收器选出部分在接收器平面沿X射线视野长径或宽径拥有各自边缘，此时为完全覆盖影像接收器选出部分进行了调节。</w:t>
      </w:r>
    </w:p>
    <w:p w14:paraId="0C5BDF7A">
      <w:pPr>
        <w:pStyle w:val="15"/>
        <w:numPr>
          <w:ilvl w:val="1"/>
          <w:numId w:val="49"/>
        </w:numPr>
        <w:spacing w:before="187"/>
        <w:ind w:left="660" w:hanging="660" w:hangingChars="300"/>
        <w:rPr>
          <w:rFonts w:eastAsia="宋体" w:cs="Arial"/>
        </w:rPr>
      </w:pPr>
      <w:r>
        <w:rPr>
          <w:rFonts w:eastAsia="宋体" w:cs="Arial"/>
        </w:rPr>
        <w:t>拥有正射束限制器的放射摄影X射线系统。此时，无论是自动调节还是手动调节，影像接收器平面X射线视野的尺寸均达到如此程度，即当设备显示射束轴线垂直于影像接收器平面时，无论是X射线视野的长度还是宽度均不同于影像接收器，可超过源像距离的10％。</w:t>
      </w:r>
    </w:p>
    <w:p w14:paraId="683850E6">
      <w:pPr>
        <w:pStyle w:val="15"/>
        <w:numPr>
          <w:ilvl w:val="1"/>
          <w:numId w:val="49"/>
        </w:numPr>
        <w:spacing w:before="187"/>
        <w:ind w:left="660" w:hanging="660" w:hangingChars="300"/>
        <w:rPr>
          <w:rFonts w:eastAsia="宋体" w:cs="Arial"/>
        </w:rPr>
      </w:pPr>
      <w:r>
        <w:rPr>
          <w:rFonts w:eastAsia="宋体" w:cs="Arial"/>
        </w:rPr>
        <w:t>移动式放射摄影系统光线定位器的照度在100厘米测量距离时小于96勒克斯。</w:t>
      </w:r>
    </w:p>
    <w:p w14:paraId="7901D4C5">
      <w:pPr>
        <w:spacing w:before="187"/>
        <w:rPr>
          <w:rFonts w:eastAsia="宋体" w:cs="Arial"/>
        </w:rPr>
      </w:pPr>
    </w:p>
    <w:p w14:paraId="59D427B9">
      <w:pPr>
        <w:spacing w:before="187"/>
        <w:rPr>
          <w:rFonts w:eastAsia="宋体" w:cs="Arial"/>
          <w:u w:val="single"/>
        </w:rPr>
      </w:pPr>
      <w:r>
        <w:rPr>
          <w:rFonts w:eastAsia="宋体" w:cs="Arial"/>
          <w:u w:val="single"/>
        </w:rPr>
        <w:t>中等危害</w:t>
      </w:r>
    </w:p>
    <w:p w14:paraId="26641526">
      <w:pPr>
        <w:pStyle w:val="15"/>
        <w:numPr>
          <w:ilvl w:val="1"/>
          <w:numId w:val="50"/>
        </w:numPr>
        <w:spacing w:before="187"/>
        <w:ind w:left="660" w:hanging="660" w:hangingChars="300"/>
        <w:rPr>
          <w:rFonts w:eastAsia="宋体" w:cs="Arial"/>
        </w:rPr>
      </w:pPr>
      <w:r>
        <w:rPr>
          <w:rFonts w:eastAsia="宋体" w:cs="Arial"/>
        </w:rPr>
        <w:t>对于放射摄影X射线系统：</w:t>
      </w:r>
    </w:p>
    <w:p w14:paraId="6872D39A">
      <w:pPr>
        <w:pStyle w:val="15"/>
        <w:numPr>
          <w:ilvl w:val="2"/>
          <w:numId w:val="51"/>
        </w:numPr>
        <w:spacing w:before="187"/>
        <w:ind w:left="1320" w:leftChars="300" w:hanging="660" w:hangingChars="300"/>
        <w:rPr>
          <w:rFonts w:eastAsia="宋体" w:cs="Arial"/>
        </w:rPr>
      </w:pPr>
      <w:r>
        <w:rPr>
          <w:rFonts w:eastAsia="宋体" w:cs="Arial"/>
        </w:rPr>
        <w:t>拥有正射束限制器的放射摄影X射线系统。此时，无论是自动调节还是手动调节，影像接收器平面X射线视野的尺寸均达到如此程度，即当设备显示射束轴线垂直于源像接收器平面时，X射线视野的长度或宽度均不同于影像接收器，可超过源像距离的5％；不考虑标志时，长度和宽度差值的和大于源像距离7％。</w:t>
      </w:r>
    </w:p>
    <w:p w14:paraId="0E5F3F58">
      <w:pPr>
        <w:pStyle w:val="15"/>
        <w:numPr>
          <w:ilvl w:val="2"/>
          <w:numId w:val="51"/>
        </w:numPr>
        <w:spacing w:before="187"/>
        <w:ind w:left="1320" w:leftChars="300" w:hanging="660" w:hangingChars="300"/>
        <w:rPr>
          <w:rFonts w:eastAsia="宋体" w:cs="Arial"/>
        </w:rPr>
      </w:pPr>
      <w:r>
        <w:rPr>
          <w:rFonts w:eastAsia="宋体" w:cs="Arial"/>
        </w:rPr>
        <w:t>提供使X射线视野中心与影像接收器中心对齐且对不准幅度大于或等于源像距离5％所需方法的放射摄影X射线系统。</w:t>
      </w:r>
    </w:p>
    <w:p w14:paraId="620FE4A8">
      <w:pPr>
        <w:pStyle w:val="15"/>
        <w:numPr>
          <w:ilvl w:val="2"/>
          <w:numId w:val="51"/>
        </w:numPr>
        <w:spacing w:before="187"/>
        <w:ind w:left="1320" w:leftChars="300" w:hanging="660" w:hangingChars="300"/>
        <w:rPr>
          <w:rFonts w:eastAsia="宋体" w:cs="Arial"/>
        </w:rPr>
      </w:pPr>
      <w:r>
        <w:rPr>
          <w:rFonts w:eastAsia="宋体" w:cs="Arial"/>
        </w:rPr>
        <w:t>提供视觉确定X射线视野周长所需方法的放射摄影X射线系统。当显示X射线所出现的表面垂直于X射线射束的轴线时，视觉确定视野边缘总对不准幅度大于从射线源至视觉确定视野中心距离的5％。</w:t>
      </w:r>
    </w:p>
    <w:p w14:paraId="4E43F1E8">
      <w:pPr>
        <w:spacing w:before="187"/>
        <w:rPr>
          <w:rFonts w:eastAsia="宋体" w:cs="Arial"/>
        </w:rPr>
      </w:pPr>
    </w:p>
    <w:p w14:paraId="797E1ADD">
      <w:pPr>
        <w:spacing w:before="187"/>
        <w:jc w:val="right"/>
        <w:rPr>
          <w:rFonts w:eastAsia="宋体" w:cs="Arial"/>
        </w:rPr>
      </w:pPr>
      <w:r>
        <w:rPr>
          <w:rFonts w:eastAsia="宋体" w:cs="Arial"/>
        </w:rPr>
        <w:t>第2/10页</w:t>
      </w:r>
    </w:p>
    <w:p w14:paraId="190889CB">
      <w:pPr>
        <w:spacing w:before="187"/>
        <w:rPr>
          <w:rFonts w:eastAsia="宋体" w:cs="Arial"/>
        </w:rPr>
      </w:pPr>
    </w:p>
    <w:p w14:paraId="47D1C2F7">
      <w:pPr>
        <w:spacing w:before="187"/>
        <w:rPr>
          <w:rFonts w:eastAsia="宋体" w:cs="Arial"/>
        </w:rPr>
      </w:pPr>
      <w:r>
        <w:rPr>
          <w:rFonts w:eastAsia="宋体" w:cs="Arial"/>
        </w:rPr>
        <w:br w:type="page"/>
      </w:r>
    </w:p>
    <w:p w14:paraId="4FE847B1">
      <w:pPr>
        <w:pStyle w:val="15"/>
        <w:numPr>
          <w:ilvl w:val="2"/>
          <w:numId w:val="51"/>
        </w:numPr>
        <w:spacing w:before="187"/>
        <w:ind w:left="1320" w:leftChars="300" w:hanging="660" w:hangingChars="300"/>
        <w:rPr>
          <w:rFonts w:eastAsia="宋体" w:cs="Arial"/>
        </w:rPr>
      </w:pPr>
      <w:r>
        <w:rPr>
          <w:rFonts w:eastAsia="宋体" w:cs="Arial"/>
        </w:rPr>
        <w:t>参考文件4描述的一组10个照射样本的变异系数大于或等于0.10。</w:t>
      </w:r>
    </w:p>
    <w:p w14:paraId="3254B414">
      <w:pPr>
        <w:pStyle w:val="15"/>
        <w:numPr>
          <w:ilvl w:val="2"/>
          <w:numId w:val="51"/>
        </w:numPr>
        <w:spacing w:before="187"/>
        <w:ind w:left="1320" w:leftChars="300" w:hanging="660" w:hangingChars="300"/>
        <w:rPr>
          <w:rFonts w:eastAsia="宋体" w:cs="Arial"/>
        </w:rPr>
      </w:pPr>
      <w:r>
        <w:rPr>
          <w:rFonts w:eastAsia="宋体" w:cs="Arial"/>
        </w:rPr>
        <w:t>半价层大于1/2毫米铝板，小于21 CFR 1020.30表I所列相应数值。</w:t>
      </w:r>
    </w:p>
    <w:p w14:paraId="7D786EA0">
      <w:pPr>
        <w:pStyle w:val="15"/>
        <w:numPr>
          <w:ilvl w:val="2"/>
          <w:numId w:val="51"/>
        </w:numPr>
        <w:spacing w:before="187"/>
        <w:ind w:left="1320" w:leftChars="300" w:hanging="660" w:hangingChars="300"/>
        <w:rPr>
          <w:rFonts w:eastAsia="宋体" w:cs="Arial"/>
        </w:rPr>
      </w:pPr>
      <w:r>
        <w:rPr>
          <w:rFonts w:eastAsia="宋体" w:cs="Arial"/>
        </w:rPr>
        <w:t>装有正射束限制器系统。在装置设计的操作源像距离插入影像接收器后5秒钟内，装置不会在影像接收器平面将X射线视野自动调节至影像接收器大小；如果在大于5秒的时间间隔内自动或手动完成调节，在完成调节前不必防止产生X射线。</w:t>
      </w:r>
    </w:p>
    <w:p w14:paraId="03FE6973">
      <w:pPr>
        <w:pStyle w:val="15"/>
        <w:numPr>
          <w:ilvl w:val="2"/>
          <w:numId w:val="51"/>
        </w:numPr>
        <w:spacing w:before="187"/>
        <w:ind w:left="1320" w:leftChars="300" w:hanging="660" w:hangingChars="300"/>
        <w:rPr>
          <w:rFonts w:eastAsia="宋体" w:cs="Arial"/>
        </w:rPr>
      </w:pPr>
      <w:r>
        <w:rPr>
          <w:rFonts w:eastAsia="宋体" w:cs="Arial"/>
        </w:rPr>
        <w:t>固定系统光线定位器的平均照度高于96勒克斯，移动系统光线定位器的平均照度在96-144勒克斯之间。这些数据系采用Digiphot在100厘米测量距离或最大源像距离测得，以较大者为准。</w:t>
      </w:r>
    </w:p>
    <w:p w14:paraId="34496FD8">
      <w:pPr>
        <w:pStyle w:val="15"/>
        <w:numPr>
          <w:ilvl w:val="2"/>
          <w:numId w:val="51"/>
        </w:numPr>
        <w:spacing w:before="187"/>
        <w:ind w:left="1320" w:leftChars="300" w:hanging="660" w:hangingChars="300"/>
        <w:rPr>
          <w:rFonts w:eastAsia="宋体" w:cs="Arial"/>
        </w:rPr>
      </w:pPr>
      <w:r>
        <w:rPr>
          <w:rFonts w:eastAsia="宋体" w:cs="Arial"/>
        </w:rPr>
        <w:t>电容贮存系统的待机辐射大于或等于25毫伦琴/小时。</w:t>
      </w:r>
    </w:p>
    <w:p w14:paraId="54DC8080">
      <w:pPr>
        <w:pStyle w:val="15"/>
        <w:numPr>
          <w:ilvl w:val="2"/>
          <w:numId w:val="51"/>
        </w:numPr>
        <w:spacing w:before="187"/>
        <w:ind w:left="1320" w:leftChars="300" w:hanging="660" w:hangingChars="300"/>
        <w:rPr>
          <w:rFonts w:eastAsia="宋体" w:cs="Arial"/>
        </w:rPr>
      </w:pPr>
      <w:r>
        <w:rPr>
          <w:rFonts w:eastAsia="宋体" w:cs="Arial"/>
        </w:rPr>
        <w:t>测得千伏电压高于或低于制造商的准确度上限或下限：</w:t>
      </w:r>
    </w:p>
    <w:p w14:paraId="10E5EE87">
      <w:pPr>
        <w:pStyle w:val="15"/>
        <w:numPr>
          <w:ilvl w:val="3"/>
          <w:numId w:val="52"/>
        </w:numPr>
        <w:spacing w:before="187"/>
        <w:ind w:left="1980" w:leftChars="600" w:hanging="660" w:hangingChars="300"/>
        <w:rPr>
          <w:rFonts w:eastAsia="宋体" w:cs="Arial"/>
        </w:rPr>
      </w:pPr>
      <w:r>
        <w:rPr>
          <w:rFonts w:eastAsia="宋体" w:cs="Arial"/>
        </w:rPr>
        <w:t>测得千伏电压高于标定千伏电压：测得千伏电压高于制造商标定千伏电压准确度的上限105％。</w:t>
      </w:r>
    </w:p>
    <w:p w14:paraId="2B5A83C6">
      <w:pPr>
        <w:pStyle w:val="15"/>
        <w:numPr>
          <w:ilvl w:val="3"/>
          <w:numId w:val="52"/>
        </w:numPr>
        <w:spacing w:before="187"/>
        <w:ind w:left="1980" w:leftChars="600" w:hanging="660" w:hangingChars="300"/>
        <w:rPr>
          <w:rFonts w:eastAsia="宋体" w:cs="Arial"/>
        </w:rPr>
      </w:pPr>
      <w:r>
        <w:rPr>
          <w:rFonts w:eastAsia="宋体" w:cs="Arial"/>
        </w:rPr>
        <w:t>测得千伏电压低于标定千伏电压：测得千伏电压低于标定千伏电压下限的95％。</w:t>
      </w:r>
    </w:p>
    <w:p w14:paraId="282B3BC8">
      <w:pPr>
        <w:pStyle w:val="15"/>
        <w:numPr>
          <w:ilvl w:val="2"/>
          <w:numId w:val="51"/>
        </w:numPr>
        <w:spacing w:before="187"/>
        <w:ind w:left="1320" w:leftChars="300" w:hanging="660" w:hangingChars="300"/>
        <w:rPr>
          <w:rFonts w:eastAsia="宋体" w:cs="Arial"/>
        </w:rPr>
      </w:pPr>
      <w:r>
        <w:rPr>
          <w:rFonts w:eastAsia="宋体" w:cs="Arial"/>
        </w:rPr>
        <w:t>口腔内牙科系统能在大于50kVp范围内工作，展示了一个小于16厘米的最小X射线源-皮肤距离。</w:t>
      </w:r>
    </w:p>
    <w:p w14:paraId="05B6CCCB">
      <w:pPr>
        <w:pStyle w:val="15"/>
        <w:numPr>
          <w:ilvl w:val="2"/>
          <w:numId w:val="51"/>
        </w:numPr>
        <w:spacing w:before="187"/>
        <w:ind w:left="1320" w:leftChars="300" w:hanging="660" w:hangingChars="300"/>
        <w:rPr>
          <w:rFonts w:eastAsia="宋体" w:cs="Arial"/>
        </w:rPr>
      </w:pPr>
      <w:r>
        <w:rPr>
          <w:rFonts w:eastAsia="宋体" w:cs="Arial"/>
        </w:rPr>
        <w:t>口腔内牙科系统能在大于50kVp范围内工作，在此范围内圆锥体顶部的视野范围大于或等于9厘米。</w:t>
      </w:r>
    </w:p>
    <w:p w14:paraId="5CFAC722">
      <w:pPr>
        <w:pStyle w:val="15"/>
        <w:numPr>
          <w:ilvl w:val="2"/>
          <w:numId w:val="51"/>
        </w:numPr>
        <w:spacing w:before="187"/>
        <w:ind w:left="1320" w:leftChars="300" w:hanging="660" w:hangingChars="300"/>
        <w:rPr>
          <w:rFonts w:eastAsia="宋体" w:cs="Arial"/>
        </w:rPr>
      </w:pPr>
      <w:r>
        <w:rPr>
          <w:rFonts w:eastAsia="宋体" w:cs="Arial"/>
        </w:rPr>
        <w:t>计时器处于</w:t>
      </w:r>
      <w:r>
        <w:rPr>
          <w:rFonts w:ascii="宋体" w:hAnsi="宋体" w:eastAsia="宋体" w:cs="Arial"/>
        </w:rPr>
        <w:t>“</w:t>
      </w:r>
      <w:r>
        <w:rPr>
          <w:rFonts w:eastAsia="宋体" w:cs="Arial"/>
        </w:rPr>
        <w:t>0</w:t>
      </w:r>
      <w:r>
        <w:rPr>
          <w:rFonts w:ascii="宋体" w:hAnsi="宋体" w:eastAsia="宋体" w:cs="Arial"/>
        </w:rPr>
        <w:t>”</w:t>
      </w:r>
      <w:r>
        <w:rPr>
          <w:rFonts w:eastAsia="宋体" w:cs="Arial"/>
        </w:rPr>
        <w:t>或</w:t>
      </w:r>
      <w:r>
        <w:rPr>
          <w:rFonts w:ascii="宋体" w:hAnsi="宋体" w:eastAsia="宋体" w:cs="Arial"/>
        </w:rPr>
        <w:t>“</w:t>
      </w:r>
      <w:r>
        <w:rPr>
          <w:rFonts w:eastAsia="宋体" w:cs="Arial"/>
        </w:rPr>
        <w:t>关闭</w:t>
      </w:r>
      <w:r>
        <w:rPr>
          <w:rFonts w:ascii="宋体" w:hAnsi="宋体" w:eastAsia="宋体" w:cs="Arial"/>
        </w:rPr>
        <w:t>”</w:t>
      </w:r>
      <w:r>
        <w:rPr>
          <w:rFonts w:eastAsia="宋体" w:cs="Arial"/>
        </w:rPr>
        <w:t>位置时可能产生X射线的牙科放射摄影系统。</w:t>
      </w:r>
    </w:p>
    <w:p w14:paraId="5AFC7C46">
      <w:pPr>
        <w:pStyle w:val="15"/>
        <w:numPr>
          <w:ilvl w:val="2"/>
          <w:numId w:val="51"/>
        </w:numPr>
        <w:spacing w:before="187"/>
        <w:ind w:left="1320" w:leftChars="300" w:hanging="660" w:hangingChars="300"/>
        <w:rPr>
          <w:rFonts w:eastAsia="宋体" w:cs="Arial"/>
        </w:rPr>
      </w:pPr>
      <w:r>
        <w:rPr>
          <w:rFonts w:eastAsia="宋体" w:cs="Arial"/>
        </w:rPr>
        <w:t>胸壁X射线视野边缘延伸至影像接收器边缘之外超过X射线源至影像接收器距离5％的乳房摄影系统。</w:t>
      </w:r>
    </w:p>
    <w:p w14:paraId="416E61E1">
      <w:pPr>
        <w:spacing w:before="187"/>
        <w:rPr>
          <w:rFonts w:eastAsia="宋体" w:cs="Arial"/>
        </w:rPr>
      </w:pPr>
    </w:p>
    <w:p w14:paraId="61C0B235">
      <w:pPr>
        <w:spacing w:before="187"/>
        <w:rPr>
          <w:rFonts w:eastAsia="宋体" w:cs="Arial"/>
        </w:rPr>
      </w:pPr>
      <w:r>
        <w:rPr>
          <w:rFonts w:eastAsia="宋体" w:cs="Arial"/>
        </w:rPr>
        <w:br w:type="page"/>
      </w:r>
    </w:p>
    <w:p w14:paraId="61DE8ED5">
      <w:pPr>
        <w:pStyle w:val="15"/>
        <w:numPr>
          <w:ilvl w:val="1"/>
          <w:numId w:val="50"/>
        </w:numPr>
        <w:spacing w:before="187"/>
        <w:ind w:left="660" w:hanging="660" w:hangingChars="300"/>
        <w:rPr>
          <w:rFonts w:eastAsia="宋体" w:cs="Arial"/>
        </w:rPr>
      </w:pPr>
      <w:r>
        <w:rPr>
          <w:rFonts w:eastAsia="宋体" w:cs="Arial"/>
        </w:rPr>
        <w:t>对于X射线透视系统：</w:t>
      </w:r>
    </w:p>
    <w:p w14:paraId="0A474C7B">
      <w:pPr>
        <w:pStyle w:val="15"/>
        <w:numPr>
          <w:ilvl w:val="2"/>
          <w:numId w:val="53"/>
        </w:numPr>
        <w:spacing w:before="187"/>
        <w:ind w:left="1320" w:leftChars="300" w:hanging="660" w:hangingChars="300"/>
        <w:rPr>
          <w:rFonts w:eastAsia="宋体" w:cs="Arial"/>
        </w:rPr>
      </w:pPr>
      <w:r>
        <w:rPr>
          <w:rFonts w:eastAsia="宋体" w:cs="Arial"/>
        </w:rPr>
        <w:t>影像增强型X射线透视系统的X射线视野边缘总对不准幅度等于或大于源像距离的6％，但小于10％；在不考虑标志的情况下，沿在影像接收器可视区中心相交的任何两个相互垂直维度对不准幅度之和等于或大于源像距离的8％。</w:t>
      </w:r>
    </w:p>
    <w:p w14:paraId="406D0A0D">
      <w:pPr>
        <w:pStyle w:val="15"/>
        <w:numPr>
          <w:ilvl w:val="2"/>
          <w:numId w:val="53"/>
        </w:numPr>
        <w:spacing w:before="187"/>
        <w:ind w:left="1320" w:leftChars="300" w:hanging="660" w:hangingChars="300"/>
        <w:rPr>
          <w:rFonts w:eastAsia="宋体" w:cs="Arial"/>
        </w:rPr>
      </w:pPr>
      <w:r>
        <w:rPr>
          <w:rFonts w:eastAsia="宋体" w:cs="Arial"/>
        </w:rPr>
        <w:t>非影像增强型透视系统任何维度的X射线视野向外延伸出影像接收器可视部分大于源像距离的8％。</w:t>
      </w:r>
    </w:p>
    <w:p w14:paraId="58D68D62">
      <w:pPr>
        <w:pStyle w:val="15"/>
        <w:numPr>
          <w:ilvl w:val="2"/>
          <w:numId w:val="53"/>
        </w:numPr>
        <w:spacing w:before="187"/>
        <w:ind w:left="1320" w:leftChars="300" w:hanging="660" w:hangingChars="300"/>
        <w:rPr>
          <w:rFonts w:eastAsia="宋体" w:cs="Arial"/>
        </w:rPr>
      </w:pPr>
      <w:r>
        <w:rPr>
          <w:rFonts w:eastAsia="宋体" w:cs="Arial"/>
        </w:rPr>
        <w:t>对于21 CFR 1020.32（d）描述的状况，如果最大容许照射量率为5伦琴/分，则测试值大于或等于5.6伦琴/分，但小于25伦琴/分。相比于10伦琴/分的最大容许照射量率，则包含了大于或等于11.5伦琴/分、但小于25伦琴/分的测试值。</w:t>
      </w:r>
    </w:p>
    <w:p w14:paraId="5401B466">
      <w:pPr>
        <w:pStyle w:val="15"/>
        <w:numPr>
          <w:ilvl w:val="2"/>
          <w:numId w:val="53"/>
        </w:numPr>
        <w:spacing w:before="187"/>
        <w:ind w:left="1320" w:leftChars="300" w:hanging="660" w:hangingChars="300"/>
        <w:rPr>
          <w:rFonts w:eastAsia="宋体" w:cs="Arial"/>
        </w:rPr>
      </w:pPr>
      <w:r>
        <w:rPr>
          <w:rFonts w:eastAsia="宋体" w:cs="Arial"/>
        </w:rPr>
        <w:t>半价层厚度大于1/2毫米，小于21 CFR 1020.30表I所列相应数值</w:t>
      </w:r>
    </w:p>
    <w:p w14:paraId="22C1E25B">
      <w:pPr>
        <w:pStyle w:val="15"/>
        <w:numPr>
          <w:ilvl w:val="2"/>
          <w:numId w:val="53"/>
        </w:numPr>
        <w:spacing w:before="187"/>
        <w:ind w:left="1320" w:leftChars="300" w:hanging="660" w:hangingChars="300"/>
        <w:rPr>
          <w:rFonts w:eastAsia="宋体" w:cs="Arial"/>
        </w:rPr>
      </w:pPr>
      <w:r>
        <w:rPr>
          <w:rFonts w:eastAsia="宋体" w:cs="Arial"/>
        </w:rPr>
        <w:t>由于X射线穿过在有效射束进程中带有减缓阻块的透视系统主防护栅障，在影像接收器平面外10厘米处测得的照射量率大于或等于4毫伦琴/分，但小于10毫伦琴/分。测定时以每伦琴/分的进口照射量率为参照。</w:t>
      </w:r>
    </w:p>
    <w:p w14:paraId="468E4F8F">
      <w:pPr>
        <w:pStyle w:val="15"/>
        <w:numPr>
          <w:ilvl w:val="2"/>
          <w:numId w:val="53"/>
        </w:numPr>
        <w:spacing w:before="187"/>
        <w:ind w:left="1320" w:leftChars="300" w:hanging="660" w:hangingChars="300"/>
        <w:rPr>
          <w:rFonts w:eastAsia="宋体" w:cs="Arial"/>
        </w:rPr>
      </w:pPr>
      <w:r>
        <w:rPr>
          <w:rFonts w:eastAsia="宋体" w:cs="Arial"/>
        </w:rPr>
        <w:t>X射线视野总对不准幅度超过源像距离的6％、但小于10％的点片装置。影像接收器选出部分在影像接收器平面沿X射线视野长径或宽径拥有各自边缘，此时为完全覆盖影像接收器选出部分进行了调节。在不考虑标志的情况下，沿任何两个垂直维度对不准幅度之和超过源像距离的7％。</w:t>
      </w:r>
    </w:p>
    <w:p w14:paraId="484AB40C">
      <w:pPr>
        <w:pStyle w:val="15"/>
        <w:numPr>
          <w:ilvl w:val="2"/>
          <w:numId w:val="53"/>
        </w:numPr>
        <w:spacing w:before="187"/>
        <w:ind w:left="1320" w:leftChars="300" w:hanging="660" w:hangingChars="300"/>
        <w:rPr>
          <w:rFonts w:eastAsia="宋体" w:cs="Arial"/>
        </w:rPr>
      </w:pPr>
      <w:r>
        <w:rPr>
          <w:rFonts w:eastAsia="宋体" w:cs="Arial"/>
        </w:rPr>
        <w:t>最小X射线源-皮肤距离小于35.2厘米的固定荧光屏。</w:t>
      </w:r>
    </w:p>
    <w:p w14:paraId="0781CE17">
      <w:pPr>
        <w:pStyle w:val="15"/>
        <w:numPr>
          <w:ilvl w:val="2"/>
          <w:numId w:val="53"/>
        </w:numPr>
        <w:spacing w:before="187"/>
        <w:ind w:left="1320" w:leftChars="300" w:hanging="660" w:hangingChars="300"/>
        <w:rPr>
          <w:rFonts w:eastAsia="宋体" w:cs="Arial"/>
        </w:rPr>
      </w:pPr>
      <w:r>
        <w:rPr>
          <w:rFonts w:eastAsia="宋体" w:cs="Arial"/>
        </w:rPr>
        <w:t>为外科手术配置时（如拿掉垫片时），最小X射线源-皮肤距离小于27.2厘米或18.1厘米的移动荧光屏。</w:t>
      </w:r>
    </w:p>
    <w:p w14:paraId="69C7DFD7">
      <w:pPr>
        <w:pStyle w:val="15"/>
        <w:numPr>
          <w:ilvl w:val="2"/>
          <w:numId w:val="53"/>
        </w:numPr>
        <w:spacing w:before="187"/>
        <w:ind w:left="1320" w:leftChars="300" w:hanging="660" w:hangingChars="300"/>
        <w:rPr>
          <w:rFonts w:eastAsia="宋体" w:cs="Arial"/>
        </w:rPr>
      </w:pPr>
      <w:r>
        <w:rPr>
          <w:rFonts w:eastAsia="宋体" w:cs="Arial"/>
        </w:rPr>
        <w:t>1995年5月以后生产的控制装置具有高水平控制能力，可将照射量率限制在20伦琴/分，其测试值大于21.5伦琴/分，但小于25伦琴/分。</w:t>
      </w:r>
    </w:p>
    <w:p w14:paraId="6AA29747">
      <w:pPr>
        <w:pStyle w:val="15"/>
        <w:numPr>
          <w:ilvl w:val="2"/>
          <w:numId w:val="53"/>
        </w:numPr>
        <w:spacing w:before="187"/>
        <w:ind w:left="1320" w:leftChars="300" w:hanging="660" w:hangingChars="300"/>
        <w:rPr>
          <w:rFonts w:eastAsia="宋体" w:cs="Arial"/>
        </w:rPr>
      </w:pPr>
      <w:r>
        <w:rPr>
          <w:rFonts w:eastAsia="宋体" w:cs="Arial"/>
        </w:rPr>
        <w:t>其它类似状况。</w:t>
      </w:r>
    </w:p>
    <w:p w14:paraId="34BB13ED">
      <w:pPr>
        <w:spacing w:before="187"/>
        <w:rPr>
          <w:rFonts w:eastAsia="宋体" w:cs="Arial"/>
        </w:rPr>
      </w:pPr>
    </w:p>
    <w:p w14:paraId="19730A69">
      <w:pPr>
        <w:spacing w:before="187"/>
        <w:rPr>
          <w:rFonts w:eastAsia="宋体" w:cs="Arial"/>
        </w:rPr>
      </w:pPr>
      <w:r>
        <w:rPr>
          <w:rFonts w:eastAsia="宋体" w:cs="Arial"/>
        </w:rPr>
        <w:br w:type="page"/>
      </w:r>
    </w:p>
    <w:p w14:paraId="2CC53D24">
      <w:pPr>
        <w:spacing w:before="187"/>
        <w:rPr>
          <w:rFonts w:eastAsia="宋体" w:cs="Arial"/>
          <w:u w:val="single"/>
        </w:rPr>
      </w:pPr>
      <w:r>
        <w:rPr>
          <w:rFonts w:eastAsia="宋体" w:cs="Arial"/>
          <w:u w:val="single"/>
        </w:rPr>
        <w:t>低度危害</w:t>
      </w:r>
    </w:p>
    <w:p w14:paraId="0D1C84A1">
      <w:pPr>
        <w:pStyle w:val="15"/>
        <w:numPr>
          <w:ilvl w:val="0"/>
          <w:numId w:val="54"/>
        </w:numPr>
        <w:spacing w:before="187"/>
        <w:ind w:left="660" w:hanging="660" w:hangingChars="300"/>
        <w:rPr>
          <w:rFonts w:eastAsia="宋体" w:cs="Arial"/>
        </w:rPr>
      </w:pPr>
      <w:r>
        <w:rPr>
          <w:rFonts w:eastAsia="宋体" w:cs="Arial"/>
        </w:rPr>
        <w:t>对于放射摄影X射线系统：</w:t>
      </w:r>
    </w:p>
    <w:p w14:paraId="2E07357B">
      <w:pPr>
        <w:pStyle w:val="15"/>
        <w:numPr>
          <w:ilvl w:val="2"/>
          <w:numId w:val="55"/>
        </w:numPr>
        <w:spacing w:before="187"/>
        <w:ind w:left="1320" w:leftChars="300" w:hanging="660" w:hangingChars="300"/>
        <w:rPr>
          <w:rFonts w:eastAsia="宋体" w:cs="Arial"/>
        </w:rPr>
      </w:pPr>
      <w:r>
        <w:rPr>
          <w:rFonts w:eastAsia="宋体" w:cs="Arial"/>
        </w:rPr>
        <w:t>参考文件4描述的一组4个照射样本的变异系数大于或等于0.084或一组10个照射样本的变异系数在0.06-0.10之间。</w:t>
      </w:r>
    </w:p>
    <w:p w14:paraId="6026324C">
      <w:pPr>
        <w:pStyle w:val="15"/>
        <w:numPr>
          <w:ilvl w:val="2"/>
          <w:numId w:val="55"/>
        </w:numPr>
        <w:spacing w:before="187"/>
        <w:ind w:left="1320" w:leftChars="300" w:hanging="660" w:hangingChars="300"/>
        <w:rPr>
          <w:rFonts w:eastAsia="宋体" w:cs="Arial"/>
        </w:rPr>
      </w:pPr>
      <w:r>
        <w:rPr>
          <w:rFonts w:eastAsia="宋体" w:cs="Arial"/>
        </w:rPr>
        <w:t>线性值大于或等于0.153。根据参考文件4所述，该数值是根据两个样本组计算所得且每组至少包含4个照射样本。</w:t>
      </w:r>
    </w:p>
    <w:p w14:paraId="149A6C6F">
      <w:pPr>
        <w:pStyle w:val="15"/>
        <w:numPr>
          <w:ilvl w:val="2"/>
          <w:numId w:val="55"/>
        </w:numPr>
        <w:spacing w:before="187"/>
        <w:ind w:left="1320" w:leftChars="300" w:hanging="660" w:hangingChars="300"/>
        <w:rPr>
          <w:rFonts w:eastAsia="宋体" w:cs="Arial"/>
        </w:rPr>
      </w:pPr>
      <w:r>
        <w:rPr>
          <w:rFonts w:eastAsia="宋体" w:cs="Arial"/>
        </w:rPr>
        <w:t>具有下列特征的放射摄影X射线系统：拥有标定视野尺寸规模，孔径调节可使X射线视野规模不同于影像接收器，相差可等于或大于源像距离的5％，此时拟使射束轴线垂直于影像接收器平面。</w:t>
      </w:r>
    </w:p>
    <w:p w14:paraId="2346421D">
      <w:pPr>
        <w:pStyle w:val="15"/>
        <w:numPr>
          <w:ilvl w:val="2"/>
          <w:numId w:val="55"/>
        </w:numPr>
        <w:spacing w:before="187"/>
        <w:ind w:left="1320" w:leftChars="300" w:hanging="660" w:hangingChars="300"/>
        <w:rPr>
          <w:rFonts w:eastAsia="宋体" w:cs="Arial"/>
        </w:rPr>
      </w:pPr>
      <w:r>
        <w:rPr>
          <w:rFonts w:eastAsia="宋体" w:cs="Arial"/>
        </w:rPr>
        <w:t>实际源像距离不同于标定源像距离且相差大于标定源像距离5％的固定通用目的放射摄影X射线系统（即装有X射线视野尺寸不分级调节器的系统）。这些数值基于一个测试规程测得。测量时根据参考文件4所述采用直接测量法测量焦点至桌面与桌面至胶片平面的距离。</w:t>
      </w:r>
    </w:p>
    <w:p w14:paraId="16BF4A6D">
      <w:pPr>
        <w:pStyle w:val="15"/>
        <w:numPr>
          <w:ilvl w:val="2"/>
          <w:numId w:val="55"/>
        </w:numPr>
        <w:spacing w:before="187"/>
        <w:ind w:left="1320" w:leftChars="300" w:hanging="660" w:hangingChars="300"/>
        <w:rPr>
          <w:rFonts w:eastAsia="宋体" w:cs="Arial"/>
        </w:rPr>
      </w:pPr>
      <w:r>
        <w:rPr>
          <w:rFonts w:eastAsia="宋体" w:cs="Arial"/>
        </w:rPr>
        <w:t>仅对固定系统而言，采用Digiphot测量的光线定位器平均照度在96-144勒克斯之间。</w:t>
      </w:r>
    </w:p>
    <w:p w14:paraId="4DDBF0D1">
      <w:pPr>
        <w:pStyle w:val="15"/>
        <w:numPr>
          <w:ilvl w:val="2"/>
          <w:numId w:val="55"/>
        </w:numPr>
        <w:spacing w:before="187"/>
        <w:ind w:left="1320" w:leftChars="300" w:hanging="660" w:hangingChars="300"/>
        <w:rPr>
          <w:rFonts w:eastAsia="宋体" w:cs="Arial"/>
        </w:rPr>
      </w:pPr>
      <w:r>
        <w:rPr>
          <w:rFonts w:eastAsia="宋体" w:cs="Arial"/>
        </w:rPr>
        <w:t>待机辐射大于3.0毫伦琴/小时、但小于25毫伦琴/小时的电容贮存放射摄影系统。</w:t>
      </w:r>
    </w:p>
    <w:p w14:paraId="01EFBE80">
      <w:pPr>
        <w:pStyle w:val="15"/>
        <w:numPr>
          <w:ilvl w:val="2"/>
          <w:numId w:val="55"/>
        </w:numPr>
        <w:spacing w:before="187"/>
        <w:ind w:left="1320" w:leftChars="300" w:hanging="660" w:hangingChars="300"/>
        <w:rPr>
          <w:rFonts w:eastAsia="宋体" w:cs="Arial"/>
        </w:rPr>
      </w:pPr>
      <w:r>
        <w:rPr>
          <w:rFonts w:eastAsia="宋体" w:cs="Arial"/>
        </w:rPr>
        <w:t>装有正射束限制器的系统，该限制器不允许视野规模缩小到小于影像接收器的程度。</w:t>
      </w:r>
    </w:p>
    <w:p w14:paraId="2F3FF00D">
      <w:pPr>
        <w:pStyle w:val="15"/>
        <w:numPr>
          <w:ilvl w:val="2"/>
          <w:numId w:val="55"/>
        </w:numPr>
        <w:spacing w:before="187"/>
        <w:ind w:left="1320" w:leftChars="300" w:hanging="660" w:hangingChars="300"/>
        <w:rPr>
          <w:rFonts w:eastAsia="宋体" w:cs="Arial"/>
        </w:rPr>
      </w:pPr>
      <w:r>
        <w:rPr>
          <w:rFonts w:eastAsia="宋体" w:cs="Arial"/>
        </w:rPr>
        <w:t>系统装有正射束限制器，其未提供从缩小的视野规模自动返回正射束限制器（PBL）的功能。</w:t>
      </w:r>
    </w:p>
    <w:p w14:paraId="326DF367">
      <w:pPr>
        <w:pStyle w:val="15"/>
        <w:numPr>
          <w:ilvl w:val="2"/>
          <w:numId w:val="55"/>
        </w:numPr>
        <w:spacing w:before="187"/>
        <w:ind w:left="1320" w:leftChars="300" w:hanging="660" w:hangingChars="300"/>
        <w:rPr>
          <w:rFonts w:eastAsia="宋体" w:cs="Arial"/>
        </w:rPr>
      </w:pPr>
      <w:r>
        <w:rPr>
          <w:rFonts w:eastAsia="宋体" w:cs="Arial"/>
        </w:rPr>
        <w:t>最小X射线源-皮肤距离小于27.5厘米的移动式放射摄影系统。</w:t>
      </w:r>
    </w:p>
    <w:p w14:paraId="1A3C50C0">
      <w:pPr>
        <w:pStyle w:val="15"/>
        <w:numPr>
          <w:ilvl w:val="2"/>
          <w:numId w:val="55"/>
        </w:numPr>
        <w:spacing w:before="187"/>
        <w:ind w:left="1320" w:leftChars="300" w:hanging="660" w:hangingChars="300"/>
        <w:rPr>
          <w:rFonts w:eastAsia="宋体" w:cs="Arial"/>
        </w:rPr>
      </w:pPr>
      <w:r>
        <w:rPr>
          <w:rFonts w:eastAsia="宋体" w:cs="Arial"/>
        </w:rPr>
        <w:t>任何一侧X射线视野边缘延伸出影像接收器边缘并超过源像距离5％的乳房摄影系统。</w:t>
      </w:r>
    </w:p>
    <w:p w14:paraId="3CC3CA36">
      <w:pPr>
        <w:pStyle w:val="15"/>
        <w:numPr>
          <w:ilvl w:val="2"/>
          <w:numId w:val="55"/>
        </w:numPr>
        <w:tabs>
          <w:tab w:val="left" w:pos="1320"/>
        </w:tabs>
        <w:spacing w:before="187"/>
        <w:ind w:left="1980" w:leftChars="300" w:hanging="1320" w:hangingChars="600"/>
        <w:rPr>
          <w:rFonts w:eastAsia="宋体" w:cs="Arial"/>
        </w:rPr>
      </w:pPr>
      <w:r>
        <w:rPr>
          <w:rFonts w:eastAsia="宋体" w:cs="Arial"/>
        </w:rPr>
        <w:t>（1）</w:t>
      </w:r>
      <w:r>
        <w:rPr>
          <w:rFonts w:eastAsia="宋体" w:cs="Arial"/>
        </w:rPr>
        <w:tab/>
      </w:r>
      <w:r>
        <w:rPr>
          <w:rFonts w:eastAsia="宋体" w:cs="Arial"/>
        </w:rPr>
        <w:t>最大工作范围超过70</w:t>
      </w:r>
      <w:r>
        <w:rPr>
          <w:rFonts w:eastAsia="宋体" w:cs="Arial"/>
          <w:kern w:val="0"/>
          <w:sz w:val="24"/>
          <w:szCs w:val="24"/>
        </w:rPr>
        <w:t>kVp</w:t>
      </w:r>
      <w:r>
        <w:rPr>
          <w:rFonts w:eastAsia="宋体" w:cs="Arial"/>
        </w:rPr>
        <w:t>时：半值层（HVL）在（0.15＋0.04×HVL）毫米和0.5毫米铝板之间，低于21 CFR 1020.30表I所列相应数值。</w:t>
      </w:r>
    </w:p>
    <w:p w14:paraId="3BBAC4EB">
      <w:pPr>
        <w:spacing w:before="187"/>
        <w:rPr>
          <w:rFonts w:eastAsia="宋体" w:cs="Arial"/>
        </w:rPr>
      </w:pPr>
    </w:p>
    <w:p w14:paraId="5137D6A3">
      <w:pPr>
        <w:spacing w:before="187"/>
        <w:rPr>
          <w:rFonts w:eastAsia="宋体" w:cs="Arial"/>
        </w:rPr>
      </w:pPr>
      <w:r>
        <w:rPr>
          <w:rFonts w:eastAsia="宋体" w:cs="Arial"/>
        </w:rPr>
        <w:br w:type="page"/>
      </w:r>
    </w:p>
    <w:p w14:paraId="0CE774AD">
      <w:pPr>
        <w:spacing w:before="187"/>
        <w:ind w:left="1980" w:leftChars="600" w:hanging="660" w:hangingChars="300"/>
        <w:rPr>
          <w:rFonts w:eastAsia="宋体" w:cs="Arial"/>
        </w:rPr>
      </w:pPr>
      <w:r>
        <w:rPr>
          <w:rFonts w:eastAsia="宋体" w:cs="Arial"/>
        </w:rPr>
        <w:t>（2）</w:t>
      </w:r>
      <w:r>
        <w:rPr>
          <w:rFonts w:eastAsia="宋体" w:cs="Arial"/>
        </w:rPr>
        <w:tab/>
      </w:r>
      <w:r>
        <w:rPr>
          <w:rFonts w:eastAsia="宋体" w:cs="Arial"/>
        </w:rPr>
        <w:t>最大工作范围为50-70</w:t>
      </w:r>
      <w:r>
        <w:rPr>
          <w:rFonts w:eastAsia="宋体" w:cs="Arial"/>
          <w:kern w:val="0"/>
          <w:sz w:val="24"/>
          <w:szCs w:val="24"/>
        </w:rPr>
        <w:t>kVp</w:t>
      </w:r>
      <w:r>
        <w:rPr>
          <w:rFonts w:eastAsia="宋体" w:cs="Arial"/>
        </w:rPr>
        <w:t>时：半值层（HVL）在（0.08＋0.04×HVL）毫米和0.5毫米铝板之间，低于21 CFR 1020.30表I所列相应数值。</w:t>
      </w:r>
    </w:p>
    <w:p w14:paraId="339E4269">
      <w:pPr>
        <w:spacing w:before="187"/>
        <w:ind w:left="1980" w:leftChars="600" w:hanging="660" w:hangingChars="300"/>
        <w:rPr>
          <w:rFonts w:eastAsia="宋体" w:cs="Arial"/>
        </w:rPr>
      </w:pPr>
      <w:r>
        <w:rPr>
          <w:rFonts w:eastAsia="宋体" w:cs="Arial"/>
        </w:rPr>
        <w:t>（3）</w:t>
      </w:r>
      <w:r>
        <w:rPr>
          <w:rFonts w:eastAsia="宋体" w:cs="Arial"/>
        </w:rPr>
        <w:tab/>
      </w:r>
      <w:r>
        <w:rPr>
          <w:rFonts w:eastAsia="宋体" w:cs="Arial"/>
        </w:rPr>
        <w:t>最大工作范围小于50</w:t>
      </w:r>
      <w:r>
        <w:rPr>
          <w:rFonts w:eastAsia="宋体" w:cs="Arial"/>
          <w:kern w:val="0"/>
          <w:sz w:val="24"/>
          <w:szCs w:val="24"/>
        </w:rPr>
        <w:t>kVp</w:t>
      </w:r>
      <w:r>
        <w:rPr>
          <w:rFonts w:eastAsia="宋体" w:cs="Arial"/>
        </w:rPr>
        <w:t>时：半值层（HVL）在0.1毫米和0.5毫米铝板之间，低于21 CFR 1020.30表I所列相应数值。</w:t>
      </w:r>
    </w:p>
    <w:p w14:paraId="446FA1D8">
      <w:pPr>
        <w:pStyle w:val="15"/>
        <w:numPr>
          <w:ilvl w:val="2"/>
          <w:numId w:val="55"/>
        </w:numPr>
        <w:spacing w:before="187"/>
        <w:ind w:left="1320" w:leftChars="300" w:hanging="660" w:hangingChars="300"/>
        <w:rPr>
          <w:rFonts w:eastAsia="宋体" w:cs="Arial"/>
        </w:rPr>
      </w:pPr>
      <w:r>
        <w:rPr>
          <w:rFonts w:eastAsia="宋体" w:cs="Arial"/>
        </w:rPr>
        <w:t>装有正射束限制器的系统。该限制器在源像距离大于36英寸时不能防止产生X射线。此时不打算让正射束限制器（PBL）工作。</w:t>
      </w:r>
    </w:p>
    <w:p w14:paraId="7FFE7901">
      <w:pPr>
        <w:pStyle w:val="15"/>
        <w:numPr>
          <w:ilvl w:val="0"/>
          <w:numId w:val="54"/>
        </w:numPr>
        <w:spacing w:before="187"/>
        <w:ind w:left="660" w:hanging="660" w:hangingChars="300"/>
        <w:rPr>
          <w:rFonts w:eastAsia="宋体" w:cs="Arial"/>
        </w:rPr>
      </w:pPr>
      <w:r>
        <w:rPr>
          <w:rFonts w:eastAsia="宋体" w:cs="Arial"/>
        </w:rPr>
        <w:t>对于X射线透视系统：</w:t>
      </w:r>
    </w:p>
    <w:p w14:paraId="7EB96B01">
      <w:pPr>
        <w:pStyle w:val="15"/>
        <w:numPr>
          <w:ilvl w:val="2"/>
          <w:numId w:val="56"/>
        </w:numPr>
        <w:spacing w:before="187"/>
        <w:ind w:left="1320" w:leftChars="300" w:hanging="660" w:hangingChars="300"/>
        <w:rPr>
          <w:rFonts w:eastAsia="宋体" w:cs="Arial"/>
        </w:rPr>
      </w:pPr>
      <w:r>
        <w:rPr>
          <w:rFonts w:eastAsia="宋体" w:cs="Arial"/>
        </w:rPr>
        <w:t>装有高水平控制装置的透视系统。该控制装置不提供高水平控制装置激活的声音指示。</w:t>
      </w:r>
    </w:p>
    <w:p w14:paraId="4BECF8E4">
      <w:pPr>
        <w:pStyle w:val="15"/>
        <w:numPr>
          <w:ilvl w:val="2"/>
          <w:numId w:val="56"/>
        </w:numPr>
        <w:spacing w:before="187"/>
        <w:ind w:left="1320" w:leftChars="300" w:hanging="660" w:hangingChars="300"/>
        <w:rPr>
          <w:rFonts w:eastAsia="宋体" w:cs="Arial"/>
        </w:rPr>
      </w:pPr>
      <w:r>
        <w:rPr>
          <w:rFonts w:eastAsia="宋体" w:cs="Arial"/>
        </w:rPr>
        <w:t>半值层（见放射摄影系统下k（1）款）。</w:t>
      </w:r>
    </w:p>
    <w:p w14:paraId="72890947">
      <w:pPr>
        <w:pStyle w:val="15"/>
        <w:numPr>
          <w:ilvl w:val="2"/>
          <w:numId w:val="56"/>
        </w:numPr>
        <w:spacing w:before="187"/>
        <w:ind w:left="1320" w:leftChars="300" w:hanging="660" w:hangingChars="300"/>
        <w:rPr>
          <w:rFonts w:eastAsia="宋体" w:cs="Arial"/>
        </w:rPr>
      </w:pPr>
      <w:r>
        <w:rPr>
          <w:rFonts w:eastAsia="宋体" w:cs="Arial"/>
        </w:rPr>
        <w:t>在事先选定的时间间隔结束时，既不提供连续声音信号也不提供X射线终止信号的系统。</w:t>
      </w:r>
    </w:p>
    <w:p w14:paraId="384AD636">
      <w:pPr>
        <w:spacing w:before="187"/>
        <w:rPr>
          <w:rFonts w:eastAsia="宋体" w:cs="Arial"/>
        </w:rPr>
      </w:pPr>
    </w:p>
    <w:p w14:paraId="5EF2CDC7">
      <w:pPr>
        <w:spacing w:before="187"/>
        <w:rPr>
          <w:rFonts w:eastAsia="宋体" w:cs="Arial"/>
          <w:u w:val="single"/>
        </w:rPr>
      </w:pPr>
      <w:r>
        <w:rPr>
          <w:rFonts w:eastAsia="宋体" w:cs="Arial"/>
          <w:u w:val="single"/>
        </w:rPr>
        <w:t>B类</w:t>
      </w:r>
    </w:p>
    <w:p w14:paraId="0865092B">
      <w:pPr>
        <w:spacing w:before="187"/>
        <w:jc w:val="center"/>
        <w:rPr>
          <w:rFonts w:eastAsia="宋体" w:cs="Arial"/>
          <w:u w:val="single"/>
        </w:rPr>
      </w:pPr>
      <w:r>
        <w:rPr>
          <w:rFonts w:eastAsia="宋体" w:cs="Arial"/>
          <w:u w:val="single"/>
        </w:rPr>
        <w:t>仅限于未获证系统和组件</w:t>
      </w:r>
    </w:p>
    <w:p w14:paraId="6E8AD587">
      <w:pPr>
        <w:spacing w:before="187"/>
        <w:rPr>
          <w:rFonts w:eastAsia="宋体" w:cs="Arial"/>
        </w:rPr>
      </w:pPr>
      <w:r>
        <w:rPr>
          <w:rFonts w:eastAsia="宋体" w:cs="Arial"/>
        </w:rPr>
        <w:t>根据21 CFR 1003.2（b）的描述，审计员确定，与B类获证系统和组件的状况相近的其它状况构成了一个瑕疵。</w:t>
      </w:r>
    </w:p>
    <w:p w14:paraId="581E0FCA">
      <w:pPr>
        <w:spacing w:before="187"/>
        <w:rPr>
          <w:rFonts w:eastAsia="宋体" w:cs="Arial"/>
        </w:rPr>
      </w:pPr>
    </w:p>
    <w:p w14:paraId="391240EE">
      <w:pPr>
        <w:spacing w:before="187"/>
        <w:rPr>
          <w:rFonts w:eastAsia="宋体" w:cs="Arial"/>
          <w:u w:val="single"/>
        </w:rPr>
      </w:pPr>
      <w:r>
        <w:rPr>
          <w:rFonts w:eastAsia="宋体" w:cs="Arial"/>
          <w:u w:val="single"/>
        </w:rPr>
        <w:t>C类</w:t>
      </w:r>
    </w:p>
    <w:p w14:paraId="66FCB3A4">
      <w:pPr>
        <w:spacing w:before="187"/>
        <w:jc w:val="center"/>
        <w:rPr>
          <w:rFonts w:eastAsia="宋体" w:cs="Arial"/>
          <w:u w:val="single"/>
        </w:rPr>
      </w:pPr>
      <w:r>
        <w:rPr>
          <w:rFonts w:eastAsia="宋体" w:cs="Arial"/>
          <w:u w:val="single"/>
        </w:rPr>
        <w:t>仅限于获证系统和组件</w:t>
      </w:r>
    </w:p>
    <w:p w14:paraId="7E3A8A18">
      <w:pPr>
        <w:spacing w:before="187"/>
        <w:rPr>
          <w:rFonts w:eastAsia="宋体" w:cs="Arial"/>
        </w:rPr>
      </w:pPr>
      <w:r>
        <w:rPr>
          <w:rFonts w:eastAsia="宋体" w:cs="Arial"/>
        </w:rPr>
        <w:t>仅就获证系统和组件而言，C类不合规属于下列状况：显示了超过标准要求，但低于B类不合规的测量值。这些不合规可在现场做出确定，亦可根据参考文件4计算得出。</w:t>
      </w:r>
    </w:p>
    <w:p w14:paraId="244B1468">
      <w:pPr>
        <w:pStyle w:val="15"/>
        <w:numPr>
          <w:ilvl w:val="0"/>
          <w:numId w:val="57"/>
        </w:numPr>
        <w:spacing w:before="187"/>
        <w:ind w:left="660" w:hanging="660" w:hangingChars="300"/>
        <w:rPr>
          <w:rFonts w:eastAsia="宋体" w:cs="Arial"/>
        </w:rPr>
      </w:pPr>
      <w:r>
        <w:rPr>
          <w:rFonts w:eastAsia="宋体" w:cs="Arial"/>
        </w:rPr>
        <w:t>对于放射摄影X射线系统：</w:t>
      </w:r>
    </w:p>
    <w:p w14:paraId="3B029116">
      <w:pPr>
        <w:pStyle w:val="15"/>
        <w:numPr>
          <w:ilvl w:val="2"/>
          <w:numId w:val="58"/>
        </w:numPr>
        <w:spacing w:before="187"/>
        <w:ind w:left="1320" w:leftChars="300" w:hanging="660" w:hangingChars="300"/>
        <w:rPr>
          <w:rFonts w:eastAsia="宋体" w:cs="Arial"/>
        </w:rPr>
      </w:pPr>
      <w:r>
        <w:rPr>
          <w:rFonts w:eastAsia="宋体" w:cs="Arial"/>
        </w:rPr>
        <w:t>拥有正射束限制器的放射摄影X射线系统。此时，无论是自动调节还是手动调节，影像接收器平面的X射线视野规模均达到如此程度，即当设备显示射束轴线垂直于影像接收器平面时，无论是X射线视野的长度还是宽度都不同于影像接收器，相差达源像距离的3.00％-4.99％；在不考虑标志的情况下，长度和宽度差值之和在源像距离的4.00％-6.99％之间。</w:t>
      </w:r>
    </w:p>
    <w:p w14:paraId="5E91270A">
      <w:pPr>
        <w:pStyle w:val="15"/>
        <w:numPr>
          <w:ilvl w:val="2"/>
          <w:numId w:val="58"/>
        </w:numPr>
        <w:spacing w:before="187"/>
        <w:ind w:left="1320" w:leftChars="300" w:hanging="660" w:hangingChars="300"/>
        <w:rPr>
          <w:rFonts w:eastAsia="宋体" w:cs="Arial"/>
        </w:rPr>
      </w:pPr>
      <w:r>
        <w:rPr>
          <w:rFonts w:eastAsia="宋体" w:cs="Arial"/>
        </w:rPr>
        <w:t>提供使X射线视野中心与影像接收器中心对齐且对不准幅度在源像距离的2.00％-4.99％之间所需方法的放射摄影X射线系统。</w:t>
      </w:r>
    </w:p>
    <w:p w14:paraId="2941A785">
      <w:pPr>
        <w:pStyle w:val="15"/>
        <w:numPr>
          <w:ilvl w:val="2"/>
          <w:numId w:val="58"/>
        </w:numPr>
        <w:spacing w:before="187"/>
        <w:ind w:left="1320" w:leftChars="300" w:hanging="660" w:hangingChars="300"/>
        <w:rPr>
          <w:rFonts w:eastAsia="宋体" w:cs="Arial"/>
        </w:rPr>
      </w:pPr>
      <w:r>
        <w:rPr>
          <w:rFonts w:eastAsia="宋体" w:cs="Arial"/>
        </w:rPr>
        <w:t>提供视觉确定X射线视野周长所需方法的放射摄影X射线系统。当显示X射线所出现的表面垂直于X射线射束的轴线时，视觉确定视野边缘的总对不准幅度为X射线源至视觉确定视野中心之距离的2.00％-4.99％。</w:t>
      </w:r>
    </w:p>
    <w:p w14:paraId="63808DC2">
      <w:pPr>
        <w:pStyle w:val="15"/>
        <w:numPr>
          <w:ilvl w:val="2"/>
          <w:numId w:val="58"/>
        </w:numPr>
        <w:spacing w:before="187"/>
        <w:ind w:left="1320" w:leftChars="300" w:hanging="660" w:hangingChars="300"/>
        <w:rPr>
          <w:rFonts w:eastAsia="宋体" w:cs="Arial"/>
        </w:rPr>
      </w:pPr>
      <w:r>
        <w:rPr>
          <w:rFonts w:eastAsia="宋体" w:cs="Arial"/>
        </w:rPr>
        <w:t>显示视野尺寸规模达到以下程度的放射摄影X射线系统：当显示射束轴线垂直于影像接收器平面时，孔径调节导致X射线视野规模不同于影像接收器，相差在源像距离的2.00％-4.99％之间。</w:t>
      </w:r>
    </w:p>
    <w:p w14:paraId="4A483110">
      <w:pPr>
        <w:pStyle w:val="15"/>
        <w:numPr>
          <w:ilvl w:val="2"/>
          <w:numId w:val="58"/>
        </w:numPr>
        <w:spacing w:before="187"/>
        <w:ind w:left="1320" w:leftChars="300" w:hanging="660" w:hangingChars="300"/>
        <w:rPr>
          <w:rFonts w:eastAsia="宋体" w:cs="Arial"/>
        </w:rPr>
      </w:pPr>
      <w:r>
        <w:rPr>
          <w:rFonts w:eastAsia="宋体" w:cs="Arial"/>
        </w:rPr>
        <w:t>提供X射线视野尺寸不分级调节方法的固定放射摄影X射线系统。在此情况下，实际源像距离比标定源像距离大或小2.00％-4.99％。这些数值系基于一个测试规程而测得。测量时根据参考文件4所述采用直接测量法测量焦点至桌面与桌面至胶片平面的距离。</w:t>
      </w:r>
    </w:p>
    <w:p w14:paraId="7EDB8F6B">
      <w:pPr>
        <w:pStyle w:val="15"/>
        <w:numPr>
          <w:ilvl w:val="2"/>
          <w:numId w:val="58"/>
        </w:numPr>
        <w:spacing w:before="187"/>
        <w:ind w:left="1320" w:leftChars="300" w:hanging="660" w:hangingChars="300"/>
        <w:rPr>
          <w:rFonts w:eastAsia="宋体" w:cs="Arial"/>
        </w:rPr>
      </w:pPr>
      <w:r>
        <w:rPr>
          <w:rFonts w:eastAsia="宋体" w:cs="Arial"/>
        </w:rPr>
        <w:t>变异系数大于0.050，但小于0.084。该数值系基于一组4个照射样本而测得。对一组10个照射样本进行测量时，测量值上限从0.084降至0.06（见参考文件4）。</w:t>
      </w:r>
    </w:p>
    <w:p w14:paraId="1478DFC4">
      <w:pPr>
        <w:pStyle w:val="15"/>
        <w:numPr>
          <w:ilvl w:val="2"/>
          <w:numId w:val="58"/>
        </w:numPr>
        <w:spacing w:before="187"/>
        <w:ind w:left="1320" w:leftChars="300" w:hanging="660" w:hangingChars="300"/>
        <w:rPr>
          <w:rFonts w:eastAsia="宋体" w:cs="Arial"/>
        </w:rPr>
      </w:pPr>
      <w:r>
        <w:rPr>
          <w:rFonts w:eastAsia="宋体" w:cs="Arial"/>
        </w:rPr>
        <w:t>线性值大于0.100，但小于0.152。根据参考文件4所述，该数值系基于两个样本组而测得，且每组至少4个照射样本。</w:t>
      </w:r>
    </w:p>
    <w:p w14:paraId="36976773">
      <w:pPr>
        <w:pStyle w:val="15"/>
        <w:numPr>
          <w:ilvl w:val="2"/>
          <w:numId w:val="58"/>
        </w:numPr>
        <w:tabs>
          <w:tab w:val="left" w:pos="1320"/>
        </w:tabs>
        <w:spacing w:before="187"/>
        <w:ind w:left="1980" w:leftChars="300" w:hanging="1320" w:hangingChars="600"/>
        <w:rPr>
          <w:rFonts w:eastAsia="宋体" w:cs="Arial"/>
        </w:rPr>
      </w:pPr>
      <w:r>
        <w:rPr>
          <w:rFonts w:eastAsia="宋体" w:cs="Arial"/>
        </w:rPr>
        <w:t>（1）</w:t>
      </w:r>
      <w:r>
        <w:rPr>
          <w:rFonts w:eastAsia="宋体" w:cs="Arial"/>
        </w:rPr>
        <w:tab/>
      </w:r>
      <w:r>
        <w:rPr>
          <w:rFonts w:eastAsia="宋体" w:cs="Arial"/>
        </w:rPr>
        <w:t>最大工作范围超过70kVp时：半值层（HVL）低于21 CFR 1020.30表I所列相应数值，但在所列数值下低于（0.15＋0.04×HVL）毫米铝板。</w:t>
      </w:r>
    </w:p>
    <w:p w14:paraId="1EF0D57A">
      <w:pPr>
        <w:spacing w:before="187"/>
        <w:ind w:left="1760" w:leftChars="600" w:hanging="440" w:hangingChars="200"/>
        <w:rPr>
          <w:rFonts w:eastAsia="宋体" w:cs="Arial"/>
        </w:rPr>
      </w:pPr>
      <w:r>
        <w:rPr>
          <w:rFonts w:eastAsia="宋体" w:cs="Arial"/>
        </w:rPr>
        <w:t>（2）</w:t>
      </w:r>
      <w:r>
        <w:rPr>
          <w:rFonts w:eastAsia="宋体" w:cs="Arial"/>
        </w:rPr>
        <w:tab/>
      </w:r>
      <w:r>
        <w:rPr>
          <w:rFonts w:eastAsia="宋体" w:cs="Arial"/>
        </w:rPr>
        <w:t>最大工作范围为50-70kVp时：半值层（HVL）低于21 1020.30表I所列相应数值，但在所列数值下低于（0.08＋0.04×HVL）毫米铝板。</w:t>
      </w:r>
    </w:p>
    <w:p w14:paraId="6F153600">
      <w:pPr>
        <w:spacing w:before="187"/>
        <w:ind w:left="2200" w:leftChars="600" w:hanging="880" w:hangingChars="400"/>
        <w:rPr>
          <w:rFonts w:eastAsia="宋体" w:cs="Arial"/>
        </w:rPr>
      </w:pPr>
      <w:r>
        <w:rPr>
          <w:rFonts w:eastAsia="宋体" w:cs="Arial"/>
        </w:rPr>
        <w:t>（3）</w:t>
      </w:r>
      <w:r>
        <w:rPr>
          <w:rFonts w:eastAsia="宋体" w:cs="Arial"/>
        </w:rPr>
        <w:tab/>
      </w:r>
      <w:r>
        <w:rPr>
          <w:rFonts w:eastAsia="宋体" w:cs="Arial"/>
        </w:rPr>
        <w:t>最大工作范围小于50kVp时：半值层（HVL）低于21 CFR 1020.30表I所列相应数值，但在所列数值下低于0.1毫米铝板。</w:t>
      </w:r>
    </w:p>
    <w:p w14:paraId="2DE56B6E">
      <w:pPr>
        <w:spacing w:before="187"/>
        <w:rPr>
          <w:rFonts w:eastAsia="宋体" w:cs="Arial"/>
        </w:rPr>
      </w:pPr>
    </w:p>
    <w:p w14:paraId="12AF2CF8">
      <w:pPr>
        <w:spacing w:before="187"/>
        <w:rPr>
          <w:rFonts w:eastAsia="宋体" w:cs="Arial"/>
        </w:rPr>
      </w:pPr>
      <w:r>
        <w:rPr>
          <w:rFonts w:eastAsia="宋体" w:cs="Arial"/>
        </w:rPr>
        <w:br w:type="page"/>
      </w:r>
    </w:p>
    <w:p w14:paraId="00429EE5">
      <w:pPr>
        <w:pStyle w:val="15"/>
        <w:numPr>
          <w:ilvl w:val="2"/>
          <w:numId w:val="58"/>
        </w:numPr>
        <w:spacing w:before="187"/>
        <w:ind w:left="1320" w:leftChars="300" w:hanging="660" w:hangingChars="300"/>
        <w:rPr>
          <w:rFonts w:eastAsia="宋体" w:cs="Arial"/>
        </w:rPr>
      </w:pPr>
      <w:r>
        <w:rPr>
          <w:rFonts w:eastAsia="宋体" w:cs="Arial"/>
        </w:rPr>
        <w:t>采用Digiphot测量的光线定位器平均照度大于144勒克斯，但小于160勒克斯。</w:t>
      </w:r>
    </w:p>
    <w:p w14:paraId="0BA97128">
      <w:pPr>
        <w:pStyle w:val="15"/>
        <w:numPr>
          <w:ilvl w:val="2"/>
          <w:numId w:val="58"/>
        </w:numPr>
        <w:spacing w:before="187"/>
        <w:ind w:left="1320" w:leftChars="300" w:hanging="660" w:hangingChars="300"/>
        <w:rPr>
          <w:rFonts w:eastAsia="宋体" w:cs="Arial"/>
        </w:rPr>
      </w:pPr>
      <w:r>
        <w:rPr>
          <w:rFonts w:eastAsia="宋体" w:cs="Arial"/>
        </w:rPr>
        <w:t>电容能量贮存放射摄影系统的待机辐射大于2.0毫伦琴/小时，但小于3.0毫伦琴/小时。</w:t>
      </w:r>
    </w:p>
    <w:p w14:paraId="10236FE4">
      <w:pPr>
        <w:pStyle w:val="15"/>
        <w:numPr>
          <w:ilvl w:val="2"/>
          <w:numId w:val="58"/>
        </w:numPr>
        <w:spacing w:before="187"/>
        <w:ind w:left="1320" w:leftChars="300" w:hanging="660" w:hangingChars="300"/>
        <w:rPr>
          <w:rFonts w:eastAsia="宋体" w:cs="Arial"/>
        </w:rPr>
      </w:pPr>
      <w:r>
        <w:rPr>
          <w:rFonts w:eastAsia="宋体" w:cs="Arial"/>
        </w:rPr>
        <w:t>可测量千伏电压高于或低于制造商的准确度上限或下限。</w:t>
      </w:r>
    </w:p>
    <w:p w14:paraId="7F372006">
      <w:pPr>
        <w:pStyle w:val="15"/>
        <w:numPr>
          <w:ilvl w:val="3"/>
          <w:numId w:val="59"/>
        </w:numPr>
        <w:spacing w:before="187"/>
        <w:ind w:left="1980" w:leftChars="600" w:hanging="660" w:hangingChars="300"/>
        <w:rPr>
          <w:rFonts w:eastAsia="宋体" w:cs="Arial"/>
        </w:rPr>
      </w:pPr>
      <w:r>
        <w:rPr>
          <w:rFonts w:eastAsia="宋体" w:cs="Arial"/>
          <w:u w:val="single"/>
        </w:rPr>
        <w:t>测得千伏电压高于标定千伏电压</w:t>
      </w:r>
      <w:r>
        <w:rPr>
          <w:rFonts w:eastAsia="宋体" w:cs="Arial"/>
        </w:rPr>
        <w:t>：测得千伏电压范围自制造商的准确度上限至所测千伏电压不等，以致于95％的该数值高于准确度上限。</w:t>
      </w:r>
    </w:p>
    <w:p w14:paraId="190DEBA7">
      <w:pPr>
        <w:spacing w:before="187"/>
        <w:ind w:left="1320" w:leftChars="600"/>
        <w:rPr>
          <w:rFonts w:eastAsia="宋体" w:cs="Arial"/>
        </w:rPr>
      </w:pPr>
      <w:r>
        <w:rPr>
          <w:rFonts w:eastAsia="宋体" w:cs="Arial"/>
          <w:u w:val="single"/>
        </w:rPr>
        <w:t>例证</w:t>
      </w:r>
      <w:r>
        <w:rPr>
          <w:rFonts w:eastAsia="宋体" w:cs="Arial"/>
        </w:rPr>
        <w:t>：X射线控制装置上的标定千伏电压为100kVp。如果制造商声称准确度为±10％，则准确度的上限和下限分别为110kVp和90kVp。在这种情况下，测得千伏电压范围在110kVp至115.8kVp时，则属于C类不合规。</w:t>
      </w:r>
    </w:p>
    <w:p w14:paraId="78220B5A">
      <w:pPr>
        <w:pStyle w:val="15"/>
        <w:numPr>
          <w:ilvl w:val="3"/>
          <w:numId w:val="59"/>
        </w:numPr>
        <w:spacing w:before="187"/>
        <w:ind w:left="1980" w:leftChars="600" w:hanging="660" w:hangingChars="300"/>
        <w:rPr>
          <w:rFonts w:eastAsia="宋体" w:cs="Arial"/>
        </w:rPr>
      </w:pPr>
      <w:r>
        <w:rPr>
          <w:rFonts w:eastAsia="宋体" w:cs="Arial"/>
          <w:u w:val="single"/>
        </w:rPr>
        <w:t>测得千伏电压低于标定千伏电压</w:t>
      </w:r>
      <w:r>
        <w:rPr>
          <w:rFonts w:eastAsia="宋体" w:cs="Arial"/>
        </w:rPr>
        <w:t>：测得千伏电压范围自制造商的准确度下限至所测千伏电压不等，以致于105％的该数值低于准确度下限。</w:t>
      </w:r>
    </w:p>
    <w:p w14:paraId="5599C7E0">
      <w:pPr>
        <w:spacing w:before="187"/>
        <w:ind w:left="1320" w:leftChars="600"/>
        <w:rPr>
          <w:rFonts w:eastAsia="宋体" w:cs="Arial"/>
        </w:rPr>
      </w:pPr>
      <w:r>
        <w:rPr>
          <w:rFonts w:eastAsia="宋体" w:cs="Arial"/>
          <w:u w:val="single"/>
        </w:rPr>
        <w:t>例证</w:t>
      </w:r>
      <w:r>
        <w:rPr>
          <w:rFonts w:eastAsia="宋体" w:cs="Arial"/>
        </w:rPr>
        <w:t>：X射线控制装置上的标定千伏电压为100kVp。如果制造商声称准确度为±10％，则准确度的上限和下限分别为110kVp和90kVp。在这种情况下，测得千伏电压范围在90kVp至85.7kVp时，则属于C类不合规。</w:t>
      </w:r>
    </w:p>
    <w:p w14:paraId="6051630D">
      <w:pPr>
        <w:pStyle w:val="15"/>
        <w:numPr>
          <w:ilvl w:val="0"/>
          <w:numId w:val="57"/>
        </w:numPr>
        <w:spacing w:before="187"/>
        <w:ind w:left="660" w:hanging="660" w:hangingChars="300"/>
        <w:rPr>
          <w:rFonts w:eastAsia="宋体" w:cs="Arial"/>
        </w:rPr>
      </w:pPr>
      <w:r>
        <w:rPr>
          <w:rFonts w:eastAsia="宋体" w:cs="Arial"/>
        </w:rPr>
        <w:t>对于X射线透视系统：</w:t>
      </w:r>
    </w:p>
    <w:p w14:paraId="1AC6139A">
      <w:pPr>
        <w:pStyle w:val="15"/>
        <w:numPr>
          <w:ilvl w:val="2"/>
          <w:numId w:val="60"/>
        </w:numPr>
        <w:spacing w:before="187"/>
        <w:ind w:left="1320" w:leftChars="300" w:hanging="660" w:hangingChars="300"/>
        <w:rPr>
          <w:rFonts w:eastAsia="宋体" w:cs="Arial"/>
        </w:rPr>
      </w:pPr>
      <w:r>
        <w:rPr>
          <w:rFonts w:eastAsia="宋体" w:cs="Arial"/>
        </w:rPr>
        <w:t>影像增强型X射线透视系统的X射线视野边缘总对不准幅度大于源像距离的3％，但小于6％，在影像接收器平面视觉确定视野的可视区各自拥有边缘；在不考虑标志的情况下，沿在影像接收器可视区中心相交的任何两个相互垂直维度对不准幅度之和大于源像距离的4％，但小于8％。</w:t>
      </w:r>
    </w:p>
    <w:p w14:paraId="0498CC83">
      <w:pPr>
        <w:pStyle w:val="15"/>
        <w:numPr>
          <w:ilvl w:val="2"/>
          <w:numId w:val="60"/>
        </w:numPr>
        <w:spacing w:before="187"/>
        <w:ind w:left="1320" w:leftChars="300" w:hanging="660" w:hangingChars="300"/>
        <w:rPr>
          <w:rFonts w:eastAsia="宋体" w:cs="Arial"/>
        </w:rPr>
      </w:pPr>
      <w:r>
        <w:rPr>
          <w:rFonts w:eastAsia="宋体" w:cs="Arial"/>
        </w:rPr>
        <w:t>非影像增强型透视系统任何维度的X射线视野向外延伸出影像接收器可视部分，但小于源像距离的8％。</w:t>
      </w:r>
    </w:p>
    <w:p w14:paraId="6E0BE955">
      <w:pPr>
        <w:pStyle w:val="15"/>
        <w:numPr>
          <w:ilvl w:val="2"/>
          <w:numId w:val="60"/>
        </w:numPr>
        <w:spacing w:before="187"/>
        <w:ind w:left="1320" w:leftChars="300" w:hanging="660" w:hangingChars="300"/>
        <w:rPr>
          <w:rFonts w:eastAsia="宋体" w:cs="Arial"/>
        </w:rPr>
      </w:pPr>
      <w:r>
        <w:rPr>
          <w:rFonts w:eastAsia="宋体" w:cs="Arial"/>
        </w:rPr>
        <w:t>对于21 CFR 1020.32（d）描述的状况，如果最大容许进口照射量率为5伦琴/分，则测试值大于5.0伦琴/分，但小于5.6伦琴/分。相比而言，如果最大容许进口照射量率为10伦琴/分，则测试值中包含大于10.0伦琴/分、但小于11.5伦琴/分的测试值。</w:t>
      </w:r>
    </w:p>
    <w:p w14:paraId="4DA6BF44">
      <w:pPr>
        <w:spacing w:before="187"/>
        <w:rPr>
          <w:rFonts w:eastAsia="宋体" w:cs="Arial"/>
        </w:rPr>
      </w:pPr>
    </w:p>
    <w:p w14:paraId="699BDCED">
      <w:pPr>
        <w:spacing w:before="187"/>
        <w:rPr>
          <w:rFonts w:eastAsia="宋体" w:cs="Arial"/>
        </w:rPr>
      </w:pPr>
      <w:r>
        <w:rPr>
          <w:rFonts w:eastAsia="宋体" w:cs="Arial"/>
        </w:rPr>
        <w:br w:type="page"/>
      </w:r>
    </w:p>
    <w:p w14:paraId="377D6E10">
      <w:pPr>
        <w:pStyle w:val="15"/>
        <w:numPr>
          <w:ilvl w:val="2"/>
          <w:numId w:val="60"/>
        </w:numPr>
        <w:spacing w:before="187"/>
        <w:ind w:left="1320" w:leftChars="300" w:hanging="660" w:hangingChars="300"/>
        <w:rPr>
          <w:rFonts w:eastAsia="宋体" w:cs="Arial"/>
        </w:rPr>
      </w:pPr>
      <w:r>
        <w:rPr>
          <w:rFonts w:eastAsia="宋体" w:cs="Arial"/>
        </w:rPr>
        <w:t>半值层（见本节放射摄影X射线系统下h（1））。</w:t>
      </w:r>
    </w:p>
    <w:p w14:paraId="74F024EA">
      <w:pPr>
        <w:pStyle w:val="15"/>
        <w:numPr>
          <w:ilvl w:val="2"/>
          <w:numId w:val="60"/>
        </w:numPr>
        <w:spacing w:before="187"/>
        <w:ind w:left="1320" w:leftChars="300" w:hanging="660" w:hangingChars="300"/>
        <w:rPr>
          <w:rFonts w:eastAsia="宋体" w:cs="Arial"/>
        </w:rPr>
      </w:pPr>
      <w:r>
        <w:rPr>
          <w:rFonts w:eastAsia="宋体" w:cs="Arial"/>
        </w:rPr>
        <w:t>由于X射线穿过在有效射束进程中带有减缓阻块的透视系统主防护栅障，在影像接收器平面外10厘米处测得的照射量率大于2.0毫伦琴/分，但小于4.0毫伦琴/分。测定时以每伦琴/分的进口照射量率为参照。</w:t>
      </w:r>
    </w:p>
    <w:p w14:paraId="03E9F9B4">
      <w:pPr>
        <w:pStyle w:val="15"/>
        <w:numPr>
          <w:ilvl w:val="2"/>
          <w:numId w:val="60"/>
        </w:numPr>
        <w:spacing w:before="187"/>
        <w:ind w:left="1320" w:leftChars="300" w:hanging="660" w:hangingChars="300"/>
        <w:rPr>
          <w:rFonts w:eastAsia="宋体" w:cs="Arial"/>
        </w:rPr>
      </w:pPr>
      <w:r>
        <w:rPr>
          <w:rFonts w:eastAsia="宋体" w:cs="Arial"/>
        </w:rPr>
        <w:t>点片装置的X射线视野总对不准幅度大于源像距离的30％，但小于6％。影像接收器选出部分在接收器平面沿X射线视野长径或宽径拥有各自边缘，此时为完全覆盖影像接收器选出部分进行了调节。在不考虑标志的情况下，沿任何两个相互垂直维度的对不准幅度之和大于源像距离的4％，但小于7％。</w:t>
      </w:r>
    </w:p>
    <w:p w14:paraId="4FE7E81F">
      <w:pPr>
        <w:pStyle w:val="15"/>
        <w:numPr>
          <w:ilvl w:val="2"/>
          <w:numId w:val="60"/>
        </w:numPr>
        <w:spacing w:before="187"/>
        <w:ind w:left="1320" w:leftChars="300" w:hanging="660" w:hangingChars="300"/>
        <w:rPr>
          <w:rFonts w:eastAsia="宋体" w:cs="Arial"/>
        </w:rPr>
      </w:pPr>
      <w:r>
        <w:rPr>
          <w:rFonts w:eastAsia="宋体" w:cs="Arial"/>
        </w:rPr>
        <w:t>1995年5月以后生产的控制装置具有高水平控制能力，其最大容许照射量率为20伦琴/分，其测试值大于20伦琴/分，但小于21.5伦琴/分。</w:t>
      </w:r>
    </w:p>
    <w:p w14:paraId="3E6A0120">
      <w:pPr>
        <w:pStyle w:val="15"/>
        <w:numPr>
          <w:ilvl w:val="2"/>
          <w:numId w:val="60"/>
        </w:numPr>
        <w:spacing w:before="187"/>
        <w:ind w:left="1320" w:leftChars="300" w:hanging="660" w:hangingChars="300"/>
        <w:rPr>
          <w:rFonts w:eastAsia="宋体" w:cs="Arial"/>
        </w:rPr>
      </w:pPr>
      <w:r>
        <w:rPr>
          <w:rFonts w:eastAsia="宋体" w:cs="Arial"/>
        </w:rPr>
        <w:t>最小X射线源-皮肤距离在35.2-38厘米的固定荧光屏。</w:t>
      </w:r>
    </w:p>
    <w:p w14:paraId="76C6636D">
      <w:pPr>
        <w:pStyle w:val="15"/>
        <w:numPr>
          <w:ilvl w:val="2"/>
          <w:numId w:val="60"/>
        </w:numPr>
        <w:spacing w:before="187"/>
        <w:ind w:left="1320" w:leftChars="300" w:hanging="660" w:hangingChars="300"/>
        <w:rPr>
          <w:rFonts w:eastAsia="宋体" w:cs="Arial"/>
        </w:rPr>
      </w:pPr>
      <w:r>
        <w:rPr>
          <w:rFonts w:eastAsia="宋体" w:cs="Arial"/>
        </w:rPr>
        <w:t>为外科手术配置时（如拿掉垫片时），最小X射线源-皮肤距离在27.2-30厘米或18.1-20厘米的移动荧光屏。</w:t>
      </w:r>
    </w:p>
    <w:p w14:paraId="7779E256">
      <w:pPr>
        <w:pStyle w:val="15"/>
        <w:numPr>
          <w:ilvl w:val="2"/>
          <w:numId w:val="60"/>
        </w:numPr>
        <w:spacing w:before="187"/>
        <w:ind w:left="1320" w:leftChars="300" w:hanging="660" w:hangingChars="300"/>
        <w:rPr>
          <w:rFonts w:eastAsia="宋体" w:cs="Arial"/>
        </w:rPr>
      </w:pPr>
      <w:r>
        <w:rPr>
          <w:rFonts w:eastAsia="宋体" w:cs="Arial"/>
        </w:rPr>
        <w:t>其它类似状况。</w:t>
      </w:r>
    </w:p>
    <w:p w14:paraId="1F4F1AD0">
      <w:pPr>
        <w:spacing w:before="187"/>
        <w:rPr>
          <w:rFonts w:eastAsia="宋体" w:cs="Arial"/>
        </w:rPr>
      </w:pPr>
    </w:p>
    <w:p w14:paraId="41D7774D">
      <w:pPr>
        <w:spacing w:before="187"/>
        <w:rPr>
          <w:rFonts w:eastAsia="宋体" w:cs="Arial"/>
          <w:u w:val="single"/>
        </w:rPr>
      </w:pPr>
      <w:r>
        <w:rPr>
          <w:rFonts w:eastAsia="宋体" w:cs="Arial"/>
          <w:u w:val="single"/>
        </w:rPr>
        <w:t>C类</w:t>
      </w:r>
    </w:p>
    <w:p w14:paraId="1B5A5CC0">
      <w:pPr>
        <w:spacing w:before="187"/>
        <w:jc w:val="center"/>
        <w:rPr>
          <w:rFonts w:eastAsia="宋体" w:cs="Arial"/>
          <w:u w:val="single"/>
        </w:rPr>
      </w:pPr>
      <w:r>
        <w:rPr>
          <w:rFonts w:eastAsia="宋体" w:cs="Arial"/>
          <w:u w:val="single"/>
        </w:rPr>
        <w:t>仅限于未获证系统和组件</w:t>
      </w:r>
    </w:p>
    <w:p w14:paraId="603F51CB">
      <w:pPr>
        <w:spacing w:before="187"/>
        <w:rPr>
          <w:rFonts w:eastAsia="宋体" w:cs="Arial"/>
        </w:rPr>
      </w:pPr>
      <w:r>
        <w:rPr>
          <w:rFonts w:eastAsia="宋体" w:cs="Arial"/>
        </w:rPr>
        <w:t>审计员确定符合21 CFR 1003.2（b）定义、与C类获证系统和组件状况相近的其它状况。</w:t>
      </w:r>
    </w:p>
    <w:p w14:paraId="45A670B5">
      <w:pPr>
        <w:spacing w:before="187"/>
        <w:rPr>
          <w:rFonts w:eastAsia="宋体" w:cs="Arial"/>
        </w:rPr>
      </w:pPr>
    </w:p>
    <w:p w14:paraId="27876C1C">
      <w:pPr>
        <w:spacing w:before="187"/>
        <w:rPr>
          <w:rFonts w:eastAsia="宋体" w:cs="Arial"/>
          <w:u w:val="single"/>
        </w:rPr>
      </w:pPr>
      <w:r>
        <w:rPr>
          <w:rFonts w:eastAsia="宋体" w:cs="Arial"/>
          <w:u w:val="single"/>
        </w:rPr>
        <w:t>D类</w:t>
      </w:r>
    </w:p>
    <w:p w14:paraId="266E148C">
      <w:pPr>
        <w:spacing w:before="187"/>
        <w:rPr>
          <w:rFonts w:eastAsia="宋体" w:cs="Arial"/>
        </w:rPr>
      </w:pPr>
      <w:r>
        <w:rPr>
          <w:rFonts w:eastAsia="宋体" w:cs="Arial"/>
        </w:rPr>
        <w:t>表明系统合规的所有事项。</w:t>
      </w:r>
    </w:p>
    <w:p w14:paraId="4B8497E9">
      <w:pPr>
        <w:spacing w:before="187"/>
        <w:rPr>
          <w:rFonts w:eastAsia="宋体" w:cs="Arial"/>
        </w:rPr>
      </w:pPr>
    </w:p>
    <w:p w14:paraId="453BCF08">
      <w:pPr>
        <w:spacing w:before="187"/>
        <w:rPr>
          <w:rFonts w:eastAsia="宋体" w:cs="Arial"/>
          <w:u w:val="single"/>
        </w:rPr>
      </w:pPr>
      <w:r>
        <w:rPr>
          <w:rFonts w:eastAsia="宋体" w:cs="Arial"/>
          <w:u w:val="single"/>
        </w:rPr>
        <w:t>E类</w:t>
      </w:r>
    </w:p>
    <w:p w14:paraId="3F75C492">
      <w:pPr>
        <w:spacing w:before="187"/>
        <w:rPr>
          <w:rFonts w:eastAsia="宋体" w:cs="Arial"/>
        </w:rPr>
      </w:pPr>
    </w:p>
    <w:p w14:paraId="053773AF">
      <w:pPr>
        <w:spacing w:before="187"/>
        <w:rPr>
          <w:rFonts w:eastAsia="宋体" w:cs="Arial"/>
        </w:rPr>
      </w:pPr>
      <w:r>
        <w:rPr>
          <w:rFonts w:eastAsia="宋体" w:cs="Arial"/>
        </w:rPr>
        <w:br w:type="page"/>
      </w:r>
    </w:p>
    <w:p w14:paraId="76DD1843">
      <w:pPr>
        <w:spacing w:before="187"/>
        <w:rPr>
          <w:rFonts w:eastAsia="宋体" w:cs="Arial"/>
        </w:rPr>
      </w:pPr>
      <w:r>
        <w:rPr>
          <w:rFonts w:eastAsia="宋体" w:cs="Arial"/>
        </w:rPr>
        <w:t>这些事项是不可能与装配商有关的轻度功能不合规。这些事项不会自行批准一封通知函，但可包含在因其它违规而发出的通知函中（与C类违规的通知函相似）。</w:t>
      </w:r>
    </w:p>
    <w:p w14:paraId="1544BDCA">
      <w:pPr>
        <w:spacing w:before="187"/>
        <w:rPr>
          <w:rFonts w:eastAsia="宋体" w:cs="Arial"/>
        </w:rPr>
      </w:pPr>
    </w:p>
    <w:p w14:paraId="0829814F">
      <w:pPr>
        <w:spacing w:before="187"/>
        <w:rPr>
          <w:rFonts w:eastAsia="宋体" w:cs="Arial"/>
          <w:u w:val="single"/>
        </w:rPr>
      </w:pPr>
      <w:r>
        <w:rPr>
          <w:rFonts w:eastAsia="宋体" w:cs="Arial"/>
          <w:u w:val="single"/>
        </w:rPr>
        <w:t>最低危害</w:t>
      </w:r>
    </w:p>
    <w:p w14:paraId="4B34D7D2">
      <w:pPr>
        <w:pStyle w:val="15"/>
        <w:numPr>
          <w:ilvl w:val="1"/>
          <w:numId w:val="61"/>
        </w:numPr>
        <w:spacing w:before="187"/>
        <w:ind w:left="660" w:hanging="660" w:hangingChars="300"/>
        <w:rPr>
          <w:rFonts w:eastAsia="宋体" w:cs="Arial"/>
        </w:rPr>
      </w:pPr>
      <w:r>
        <w:rPr>
          <w:rFonts w:eastAsia="宋体" w:cs="Arial"/>
        </w:rPr>
        <w:t>对于放射摄影系统：</w:t>
      </w:r>
    </w:p>
    <w:p w14:paraId="3D85866B">
      <w:pPr>
        <w:pStyle w:val="15"/>
        <w:numPr>
          <w:ilvl w:val="2"/>
          <w:numId w:val="62"/>
        </w:numPr>
        <w:spacing w:before="187"/>
        <w:ind w:left="1320" w:leftChars="300" w:hanging="660" w:hangingChars="300"/>
        <w:rPr>
          <w:rFonts w:eastAsia="宋体" w:cs="Arial"/>
        </w:rPr>
      </w:pPr>
      <w:r>
        <w:rPr>
          <w:rFonts w:eastAsia="宋体" w:cs="Arial"/>
        </w:rPr>
        <w:t>固定系统未提供方法显示射束轴线何时垂直于影像接收器平面。</w:t>
      </w:r>
    </w:p>
    <w:p w14:paraId="2365E5C5">
      <w:pPr>
        <w:pStyle w:val="15"/>
        <w:numPr>
          <w:ilvl w:val="2"/>
          <w:numId w:val="62"/>
        </w:numPr>
        <w:spacing w:before="187"/>
        <w:ind w:left="1320" w:leftChars="300" w:hanging="660" w:hangingChars="300"/>
        <w:rPr>
          <w:rFonts w:eastAsia="宋体" w:cs="Arial"/>
        </w:rPr>
      </w:pPr>
      <w:r>
        <w:rPr>
          <w:rFonts w:hint="eastAsia" w:eastAsia="宋体" w:cs="Arial"/>
        </w:rPr>
        <w:t>固定系统未提供将诊断用</w:t>
      </w:r>
      <w:r>
        <w:rPr>
          <w:rFonts w:eastAsia="宋体" w:cs="Arial"/>
        </w:rPr>
        <w:t>X</w:t>
      </w:r>
      <w:r>
        <w:rPr>
          <w:rFonts w:hint="eastAsia" w:eastAsia="宋体" w:cs="Arial"/>
        </w:rPr>
        <w:t>射线装配活动集中于影像接收器上的方法。</w:t>
      </w:r>
    </w:p>
    <w:p w14:paraId="593E120E">
      <w:pPr>
        <w:pStyle w:val="15"/>
        <w:numPr>
          <w:ilvl w:val="2"/>
          <w:numId w:val="62"/>
        </w:numPr>
        <w:spacing w:before="187"/>
        <w:ind w:left="1320" w:leftChars="300" w:hanging="660" w:hangingChars="300"/>
        <w:rPr>
          <w:rFonts w:eastAsia="宋体" w:cs="Arial"/>
        </w:rPr>
      </w:pPr>
      <w:r>
        <w:rPr>
          <w:rFonts w:eastAsia="宋体" w:cs="Arial"/>
        </w:rPr>
        <w:t>系统在操作者位置上未标明技术因素。</w:t>
      </w:r>
    </w:p>
    <w:p w14:paraId="6737F7B3">
      <w:pPr>
        <w:pStyle w:val="15"/>
        <w:numPr>
          <w:ilvl w:val="2"/>
          <w:numId w:val="62"/>
        </w:numPr>
        <w:spacing w:before="187"/>
        <w:ind w:left="1320" w:leftChars="300" w:hanging="660" w:hangingChars="300"/>
        <w:rPr>
          <w:rFonts w:eastAsia="宋体" w:cs="Arial"/>
        </w:rPr>
      </w:pPr>
      <w:r>
        <w:rPr>
          <w:rFonts w:eastAsia="宋体" w:cs="Arial"/>
        </w:rPr>
        <w:t>系统缺乏警告标签</w:t>
      </w:r>
    </w:p>
    <w:p w14:paraId="507A4B24">
      <w:pPr>
        <w:pStyle w:val="15"/>
        <w:numPr>
          <w:ilvl w:val="1"/>
          <w:numId w:val="61"/>
        </w:numPr>
        <w:spacing w:before="187"/>
        <w:ind w:left="660" w:hanging="660" w:hangingChars="300"/>
        <w:rPr>
          <w:rFonts w:eastAsia="宋体" w:cs="Arial"/>
        </w:rPr>
      </w:pPr>
      <w:r>
        <w:rPr>
          <w:rFonts w:eastAsia="宋体" w:cs="Arial"/>
        </w:rPr>
        <w:t>对于透视系统：</w:t>
      </w:r>
    </w:p>
    <w:p w14:paraId="6AC385C8">
      <w:pPr>
        <w:pStyle w:val="15"/>
        <w:numPr>
          <w:ilvl w:val="2"/>
          <w:numId w:val="63"/>
        </w:numPr>
        <w:spacing w:before="187"/>
        <w:ind w:left="1320" w:leftChars="300" w:hanging="660" w:hangingChars="300"/>
        <w:rPr>
          <w:rFonts w:eastAsia="宋体" w:cs="Arial"/>
        </w:rPr>
      </w:pPr>
      <w:r>
        <w:rPr>
          <w:rFonts w:eastAsia="宋体" w:cs="Arial"/>
        </w:rPr>
        <w:t>X射线主控制面板上未贴警告标签。</w:t>
      </w:r>
    </w:p>
    <w:p w14:paraId="232BB469">
      <w:pPr>
        <w:pStyle w:val="15"/>
        <w:numPr>
          <w:ilvl w:val="2"/>
          <w:numId w:val="63"/>
        </w:numPr>
        <w:spacing w:before="187"/>
        <w:ind w:left="1320" w:leftChars="300" w:hanging="660" w:hangingChars="300"/>
        <w:rPr>
          <w:rFonts w:eastAsia="宋体" w:cs="Arial"/>
        </w:rPr>
      </w:pPr>
      <w:r>
        <w:rPr>
          <w:rFonts w:eastAsia="宋体" w:cs="Arial"/>
        </w:rPr>
        <w:t>系统在X射线照射期间不连续显示电子管电位和电流。</w:t>
      </w:r>
    </w:p>
    <w:p w14:paraId="0AFFED70">
      <w:pPr>
        <w:spacing w:before="187"/>
        <w:rPr>
          <w:rFonts w:eastAsia="宋体" w:cs="Arial"/>
        </w:rPr>
      </w:pPr>
    </w:p>
    <w:p w14:paraId="090BF831">
      <w:pPr>
        <w:spacing w:before="187"/>
        <w:rPr>
          <w:rFonts w:eastAsia="宋体" w:cs="Arial"/>
        </w:rPr>
        <w:sectPr>
          <w:headerReference r:id="rId33" w:type="first"/>
          <w:footerReference r:id="rId35" w:type="first"/>
          <w:headerReference r:id="rId32" w:type="default"/>
          <w:footerReference r:id="rId34" w:type="default"/>
          <w:pgSz w:w="11906" w:h="16838"/>
          <w:pgMar w:top="1418" w:right="1418" w:bottom="1418" w:left="1418" w:header="720" w:footer="720" w:gutter="0"/>
          <w:pgNumType w:start="1"/>
          <w:cols w:space="425" w:num="1"/>
          <w:titlePg/>
          <w:docGrid w:type="lines" w:linePitch="312" w:charSpace="0"/>
        </w:sectPr>
      </w:pPr>
    </w:p>
    <w:p w14:paraId="720E3086">
      <w:pPr>
        <w:spacing w:before="187"/>
        <w:jc w:val="center"/>
        <w:rPr>
          <w:rFonts w:eastAsia="宋体" w:cs="Arial"/>
          <w:u w:val="single"/>
        </w:rPr>
      </w:pPr>
      <w:r>
        <w:rPr>
          <w:rFonts w:eastAsia="宋体" w:cs="Arial"/>
          <w:u w:val="single"/>
        </w:rPr>
        <w:t>诊断用X射线系统装配报告模板（FDA-2579）</w:t>
      </w:r>
    </w:p>
    <w:p w14:paraId="2001B5D7">
      <w:pPr>
        <w:spacing w:before="187"/>
        <w:rPr>
          <w:rFonts w:eastAsia="宋体" w:cs="Arial"/>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693"/>
        <w:gridCol w:w="4111"/>
      </w:tblGrid>
      <w:tr w14:paraId="57F0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18" w:type="dxa"/>
          </w:tcPr>
          <w:p w14:paraId="16EC8812">
            <w:pPr>
              <w:spacing w:before="31" w:beforeLines="10" w:line="180" w:lineRule="exact"/>
              <w:jc w:val="center"/>
              <w:rPr>
                <w:rFonts w:eastAsia="宋体" w:cs="Arial"/>
                <w:sz w:val="13"/>
                <w:szCs w:val="13"/>
              </w:rPr>
            </w:pPr>
            <w:r>
              <w:rPr>
                <w:rFonts w:eastAsia="宋体" w:cs="Arial"/>
                <w:sz w:val="13"/>
                <w:szCs w:val="13"/>
              </w:rPr>
              <w:t>仅供FDA使用</w:t>
            </w:r>
          </w:p>
        </w:tc>
        <w:tc>
          <w:tcPr>
            <w:tcW w:w="2693" w:type="dxa"/>
            <w:vMerge w:val="restart"/>
          </w:tcPr>
          <w:p w14:paraId="6CC80375">
            <w:pPr>
              <w:spacing w:before="31" w:beforeLines="10" w:line="180" w:lineRule="exact"/>
              <w:jc w:val="center"/>
              <w:rPr>
                <w:rFonts w:eastAsia="宋体" w:cs="Arial"/>
                <w:sz w:val="13"/>
                <w:szCs w:val="13"/>
              </w:rPr>
            </w:pPr>
            <w:r>
              <w:rPr>
                <w:rFonts w:eastAsia="宋体" w:cs="Arial"/>
                <w:sz w:val="13"/>
                <w:szCs w:val="13"/>
              </w:rPr>
              <w:t>卫生和人类服务署</w:t>
            </w:r>
          </w:p>
          <w:p w14:paraId="5C79B713">
            <w:pPr>
              <w:spacing w:before="31" w:beforeLines="10" w:line="180" w:lineRule="exact"/>
              <w:jc w:val="center"/>
              <w:rPr>
                <w:rFonts w:eastAsia="宋体" w:cs="Arial"/>
                <w:sz w:val="13"/>
                <w:szCs w:val="13"/>
              </w:rPr>
            </w:pPr>
            <w:r>
              <w:rPr>
                <w:rFonts w:eastAsia="宋体" w:cs="Arial"/>
                <w:sz w:val="13"/>
                <w:szCs w:val="13"/>
              </w:rPr>
              <w:t>公共卫生服务署</w:t>
            </w:r>
          </w:p>
          <w:p w14:paraId="5C2AD3C2">
            <w:pPr>
              <w:spacing w:before="31" w:beforeLines="10" w:line="180" w:lineRule="exact"/>
              <w:jc w:val="center"/>
              <w:rPr>
                <w:rFonts w:eastAsia="宋体" w:cs="Arial"/>
                <w:sz w:val="13"/>
                <w:szCs w:val="13"/>
              </w:rPr>
            </w:pPr>
            <w:r>
              <w:rPr>
                <w:rFonts w:eastAsia="宋体" w:cs="Arial"/>
                <w:sz w:val="13"/>
                <w:szCs w:val="13"/>
              </w:rPr>
              <w:t>食品药品监督管理局</w:t>
            </w:r>
          </w:p>
          <w:p w14:paraId="474F8658">
            <w:pPr>
              <w:spacing w:before="31" w:beforeLines="10" w:line="180" w:lineRule="exact"/>
              <w:jc w:val="center"/>
              <w:rPr>
                <w:rFonts w:eastAsia="宋体" w:cs="Arial"/>
                <w:sz w:val="13"/>
                <w:szCs w:val="13"/>
              </w:rPr>
            </w:pPr>
            <w:r>
              <w:rPr>
                <w:rFonts w:eastAsia="宋体" w:cs="Arial"/>
                <w:sz w:val="13"/>
                <w:szCs w:val="13"/>
              </w:rPr>
              <w:t>诊断用X射线系统装配报告</w:t>
            </w:r>
          </w:p>
        </w:tc>
        <w:tc>
          <w:tcPr>
            <w:tcW w:w="4111" w:type="dxa"/>
          </w:tcPr>
          <w:p w14:paraId="6115E462">
            <w:pPr>
              <w:spacing w:before="31" w:beforeLines="10" w:line="180" w:lineRule="exact"/>
              <w:rPr>
                <w:rFonts w:eastAsia="宋体" w:cs="Arial"/>
                <w:sz w:val="13"/>
                <w:szCs w:val="13"/>
              </w:rPr>
            </w:pPr>
            <w:r>
              <w:rPr>
                <w:rFonts w:eastAsia="宋体" w:cs="Arial"/>
                <w:sz w:val="13"/>
                <w:szCs w:val="13"/>
              </w:rPr>
              <w:t>表格获批：OMB编号0910-0213</w:t>
            </w:r>
          </w:p>
          <w:p w14:paraId="05336C48">
            <w:pPr>
              <w:spacing w:before="31" w:beforeLines="10" w:line="180" w:lineRule="exact"/>
              <w:rPr>
                <w:rFonts w:eastAsia="宋体" w:cs="Arial"/>
                <w:sz w:val="13"/>
                <w:szCs w:val="13"/>
              </w:rPr>
            </w:pPr>
            <w:r>
              <w:rPr>
                <w:rFonts w:eastAsia="宋体" w:cs="Arial"/>
                <w:sz w:val="13"/>
                <w:szCs w:val="13"/>
              </w:rPr>
              <w:t>有效期：1998年3月31日</w:t>
            </w:r>
          </w:p>
          <w:p w14:paraId="6B56E362">
            <w:pPr>
              <w:spacing w:before="31" w:beforeLines="10" w:line="180" w:lineRule="exact"/>
              <w:rPr>
                <w:rFonts w:eastAsia="宋体" w:cs="Arial"/>
                <w:sz w:val="13"/>
                <w:szCs w:val="13"/>
              </w:rPr>
            </w:pPr>
            <w:r>
              <w:rPr>
                <w:rFonts w:eastAsia="宋体" w:cs="Arial"/>
                <w:sz w:val="13"/>
                <w:szCs w:val="13"/>
              </w:rPr>
              <w:drawing>
                <wp:inline distT="0" distB="0" distL="0" distR="0">
                  <wp:extent cx="1600200" cy="15621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78"/>
                          <a:stretch>
                            <a:fillRect/>
                          </a:stretch>
                        </pic:blipFill>
                        <pic:spPr>
                          <a:xfrm>
                            <a:off x="0" y="0"/>
                            <a:ext cx="1614330" cy="158139"/>
                          </a:xfrm>
                          <a:prstGeom prst="rect">
                            <a:avLst/>
                          </a:prstGeom>
                        </pic:spPr>
                      </pic:pic>
                    </a:graphicData>
                  </a:graphic>
                </wp:inline>
              </w:drawing>
            </w:r>
          </w:p>
        </w:tc>
      </w:tr>
      <w:tr w14:paraId="7D96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9809EDC">
            <w:pPr>
              <w:spacing w:before="31" w:beforeLines="10" w:line="180" w:lineRule="exact"/>
              <w:rPr>
                <w:rFonts w:eastAsia="宋体" w:cs="Arial"/>
                <w:sz w:val="13"/>
                <w:szCs w:val="13"/>
              </w:rPr>
            </w:pPr>
          </w:p>
        </w:tc>
        <w:tc>
          <w:tcPr>
            <w:tcW w:w="2693" w:type="dxa"/>
            <w:vMerge w:val="continue"/>
          </w:tcPr>
          <w:p w14:paraId="2E17EE9F">
            <w:pPr>
              <w:spacing w:before="31" w:beforeLines="10" w:line="180" w:lineRule="exact"/>
              <w:rPr>
                <w:rFonts w:eastAsia="宋体" w:cs="Arial"/>
                <w:sz w:val="13"/>
                <w:szCs w:val="13"/>
              </w:rPr>
            </w:pPr>
          </w:p>
        </w:tc>
        <w:tc>
          <w:tcPr>
            <w:tcW w:w="4111" w:type="dxa"/>
          </w:tcPr>
          <w:p w14:paraId="471C8DC1">
            <w:pPr>
              <w:spacing w:before="31" w:beforeLines="10" w:line="180" w:lineRule="exact"/>
              <w:rPr>
                <w:rFonts w:eastAsia="宋体" w:cs="Arial"/>
                <w:sz w:val="13"/>
                <w:szCs w:val="13"/>
              </w:rPr>
            </w:pPr>
            <w:r>
              <w:rPr>
                <w:rFonts w:eastAsia="宋体" w:cs="Arial"/>
                <w:sz w:val="13"/>
                <w:szCs w:val="13"/>
              </w:rPr>
              <w:t>D</w:t>
            </w:r>
          </w:p>
        </w:tc>
      </w:tr>
    </w:tbl>
    <w:p w14:paraId="1C612015">
      <w:pPr>
        <w:spacing w:before="31" w:beforeLines="10" w:line="180" w:lineRule="exact"/>
        <w:rPr>
          <w:rFonts w:eastAsia="宋体" w:cs="Arial"/>
          <w:sz w:val="13"/>
          <w:szCs w:val="13"/>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25"/>
        <w:gridCol w:w="1843"/>
        <w:gridCol w:w="283"/>
        <w:gridCol w:w="1985"/>
        <w:gridCol w:w="1134"/>
        <w:gridCol w:w="1559"/>
      </w:tblGrid>
      <w:tr w14:paraId="23F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Borders>
              <w:top w:val="nil"/>
              <w:left w:val="nil"/>
              <w:right w:val="nil"/>
            </w:tcBorders>
          </w:tcPr>
          <w:p w14:paraId="1A60A8B0">
            <w:pPr>
              <w:spacing w:before="31" w:beforeLines="10" w:line="180" w:lineRule="exact"/>
              <w:rPr>
                <w:rFonts w:eastAsia="宋体" w:cs="Arial"/>
                <w:b/>
                <w:sz w:val="13"/>
                <w:szCs w:val="13"/>
              </w:rPr>
            </w:pPr>
            <w:r>
              <w:rPr>
                <w:rFonts w:eastAsia="宋体" w:cs="Arial"/>
                <w:b/>
                <w:sz w:val="13"/>
                <w:szCs w:val="13"/>
              </w:rPr>
              <w:t>1. 设备位置</w:t>
            </w:r>
          </w:p>
        </w:tc>
        <w:tc>
          <w:tcPr>
            <w:tcW w:w="283" w:type="dxa"/>
            <w:tcBorders>
              <w:top w:val="nil"/>
              <w:left w:val="nil"/>
              <w:bottom w:val="nil"/>
              <w:right w:val="nil"/>
            </w:tcBorders>
          </w:tcPr>
          <w:p w14:paraId="4B7B9B13">
            <w:pPr>
              <w:spacing w:before="31" w:beforeLines="10" w:line="180" w:lineRule="exact"/>
              <w:rPr>
                <w:rFonts w:eastAsia="宋体" w:cs="Arial"/>
                <w:b/>
                <w:sz w:val="13"/>
                <w:szCs w:val="13"/>
              </w:rPr>
            </w:pPr>
          </w:p>
        </w:tc>
        <w:tc>
          <w:tcPr>
            <w:tcW w:w="4678" w:type="dxa"/>
            <w:gridSpan w:val="3"/>
            <w:tcBorders>
              <w:top w:val="nil"/>
              <w:left w:val="nil"/>
              <w:right w:val="nil"/>
            </w:tcBorders>
          </w:tcPr>
          <w:p w14:paraId="666045E0">
            <w:pPr>
              <w:spacing w:before="31" w:beforeLines="10" w:line="180" w:lineRule="exact"/>
              <w:rPr>
                <w:rFonts w:eastAsia="宋体" w:cs="Arial"/>
                <w:b/>
                <w:sz w:val="13"/>
                <w:szCs w:val="13"/>
              </w:rPr>
            </w:pPr>
            <w:r>
              <w:rPr>
                <w:rFonts w:eastAsia="宋体" w:cs="Arial"/>
                <w:b/>
                <w:sz w:val="13"/>
                <w:szCs w:val="13"/>
              </w:rPr>
              <w:t>2. 装配商信息</w:t>
            </w:r>
          </w:p>
        </w:tc>
      </w:tr>
      <w:tr w14:paraId="43B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Pr>
          <w:p w14:paraId="41675E5F">
            <w:pPr>
              <w:spacing w:before="31" w:beforeLines="10" w:line="180" w:lineRule="exact"/>
              <w:rPr>
                <w:rFonts w:eastAsia="宋体" w:cs="Arial"/>
                <w:sz w:val="13"/>
                <w:szCs w:val="13"/>
              </w:rPr>
            </w:pPr>
            <w:r>
              <w:rPr>
                <w:rFonts w:eastAsia="宋体" w:cs="Arial"/>
                <w:sz w:val="13"/>
                <w:szCs w:val="13"/>
              </w:rPr>
              <w:t>a. 医院医生或安装设备办公室名称</w:t>
            </w:r>
          </w:p>
        </w:tc>
        <w:tc>
          <w:tcPr>
            <w:tcW w:w="283" w:type="dxa"/>
            <w:tcBorders>
              <w:top w:val="nil"/>
              <w:bottom w:val="nil"/>
            </w:tcBorders>
          </w:tcPr>
          <w:p w14:paraId="303B754E">
            <w:pPr>
              <w:spacing w:before="31" w:beforeLines="10" w:line="180" w:lineRule="exact"/>
              <w:rPr>
                <w:rFonts w:eastAsia="宋体" w:cs="Arial"/>
                <w:sz w:val="13"/>
                <w:szCs w:val="13"/>
              </w:rPr>
            </w:pPr>
          </w:p>
        </w:tc>
        <w:tc>
          <w:tcPr>
            <w:tcW w:w="4678" w:type="dxa"/>
            <w:gridSpan w:val="3"/>
          </w:tcPr>
          <w:p w14:paraId="0D535C1C">
            <w:pPr>
              <w:spacing w:before="31" w:beforeLines="10" w:line="180" w:lineRule="exact"/>
              <w:rPr>
                <w:rFonts w:eastAsia="宋体" w:cs="Arial"/>
                <w:sz w:val="13"/>
                <w:szCs w:val="13"/>
              </w:rPr>
            </w:pPr>
            <w:r>
              <w:rPr>
                <w:rFonts w:eastAsia="宋体" w:cs="Arial"/>
                <w:sz w:val="13"/>
                <w:szCs w:val="13"/>
              </w:rPr>
              <w:t>a. 公司名称</w:t>
            </w:r>
          </w:p>
        </w:tc>
      </w:tr>
      <w:tr w14:paraId="0269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Pr>
          <w:p w14:paraId="68963B0A">
            <w:pPr>
              <w:spacing w:before="31" w:beforeLines="10" w:line="180" w:lineRule="exact"/>
              <w:rPr>
                <w:rFonts w:eastAsia="宋体" w:cs="Arial"/>
                <w:sz w:val="13"/>
                <w:szCs w:val="13"/>
              </w:rPr>
            </w:pPr>
            <w:r>
              <w:rPr>
                <w:rFonts w:eastAsia="宋体" w:cs="Arial"/>
                <w:sz w:val="13"/>
                <w:szCs w:val="13"/>
              </w:rPr>
              <w:t>b. 街道地址</w:t>
            </w:r>
          </w:p>
        </w:tc>
        <w:tc>
          <w:tcPr>
            <w:tcW w:w="283" w:type="dxa"/>
            <w:tcBorders>
              <w:top w:val="nil"/>
              <w:bottom w:val="nil"/>
            </w:tcBorders>
          </w:tcPr>
          <w:p w14:paraId="76A94784">
            <w:pPr>
              <w:spacing w:before="31" w:beforeLines="10" w:line="180" w:lineRule="exact"/>
              <w:rPr>
                <w:rFonts w:eastAsia="宋体" w:cs="Arial"/>
                <w:sz w:val="13"/>
                <w:szCs w:val="13"/>
              </w:rPr>
            </w:pPr>
          </w:p>
        </w:tc>
        <w:tc>
          <w:tcPr>
            <w:tcW w:w="4678" w:type="dxa"/>
            <w:gridSpan w:val="3"/>
          </w:tcPr>
          <w:p w14:paraId="4B648C30">
            <w:pPr>
              <w:spacing w:before="31" w:beforeLines="10" w:line="180" w:lineRule="exact"/>
              <w:rPr>
                <w:rFonts w:eastAsia="宋体" w:cs="Arial"/>
                <w:sz w:val="13"/>
                <w:szCs w:val="13"/>
              </w:rPr>
            </w:pPr>
            <w:r>
              <w:rPr>
                <w:rFonts w:eastAsia="宋体" w:cs="Arial"/>
                <w:sz w:val="13"/>
                <w:szCs w:val="13"/>
              </w:rPr>
              <w:t>b. 街道地址</w:t>
            </w:r>
          </w:p>
        </w:tc>
      </w:tr>
      <w:tr w14:paraId="1584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Pr>
          <w:p w14:paraId="6A03BDD2">
            <w:pPr>
              <w:spacing w:before="31" w:beforeLines="10" w:line="180" w:lineRule="exact"/>
              <w:rPr>
                <w:rFonts w:eastAsia="宋体" w:cs="Arial"/>
                <w:sz w:val="13"/>
                <w:szCs w:val="13"/>
              </w:rPr>
            </w:pPr>
            <w:r>
              <w:rPr>
                <w:rFonts w:eastAsia="宋体" w:cs="Arial"/>
                <w:sz w:val="13"/>
                <w:szCs w:val="13"/>
              </w:rPr>
              <w:t>c. 城市</w:t>
            </w:r>
          </w:p>
        </w:tc>
        <w:tc>
          <w:tcPr>
            <w:tcW w:w="1843" w:type="dxa"/>
          </w:tcPr>
          <w:p w14:paraId="56991249">
            <w:pPr>
              <w:spacing w:before="31" w:beforeLines="10" w:line="180" w:lineRule="exact"/>
              <w:rPr>
                <w:rFonts w:eastAsia="宋体" w:cs="Arial"/>
                <w:sz w:val="13"/>
                <w:szCs w:val="13"/>
              </w:rPr>
            </w:pPr>
            <w:r>
              <w:rPr>
                <w:rFonts w:eastAsia="宋体" w:cs="Arial"/>
                <w:sz w:val="13"/>
                <w:szCs w:val="13"/>
              </w:rPr>
              <w:t>d. 州</w:t>
            </w:r>
          </w:p>
        </w:tc>
        <w:tc>
          <w:tcPr>
            <w:tcW w:w="283" w:type="dxa"/>
            <w:tcBorders>
              <w:top w:val="nil"/>
              <w:bottom w:val="nil"/>
            </w:tcBorders>
          </w:tcPr>
          <w:p w14:paraId="17CB1B2B">
            <w:pPr>
              <w:spacing w:before="31" w:beforeLines="10" w:line="180" w:lineRule="exact"/>
              <w:rPr>
                <w:rFonts w:eastAsia="宋体" w:cs="Arial"/>
                <w:sz w:val="13"/>
                <w:szCs w:val="13"/>
              </w:rPr>
            </w:pPr>
          </w:p>
        </w:tc>
        <w:tc>
          <w:tcPr>
            <w:tcW w:w="3119" w:type="dxa"/>
            <w:gridSpan w:val="2"/>
          </w:tcPr>
          <w:p w14:paraId="7A1F2E4A">
            <w:pPr>
              <w:spacing w:before="31" w:beforeLines="10" w:line="180" w:lineRule="exact"/>
              <w:rPr>
                <w:rFonts w:eastAsia="宋体" w:cs="Arial"/>
                <w:sz w:val="13"/>
                <w:szCs w:val="13"/>
              </w:rPr>
            </w:pPr>
            <w:r>
              <w:rPr>
                <w:rFonts w:eastAsia="宋体" w:cs="Arial"/>
                <w:sz w:val="13"/>
                <w:szCs w:val="13"/>
              </w:rPr>
              <w:t>c. 城市</w:t>
            </w:r>
          </w:p>
        </w:tc>
        <w:tc>
          <w:tcPr>
            <w:tcW w:w="1559" w:type="dxa"/>
          </w:tcPr>
          <w:p w14:paraId="6D6DCAA7">
            <w:pPr>
              <w:spacing w:before="31" w:beforeLines="10" w:line="180" w:lineRule="exact"/>
              <w:rPr>
                <w:rFonts w:eastAsia="宋体" w:cs="Arial"/>
                <w:sz w:val="13"/>
                <w:szCs w:val="13"/>
              </w:rPr>
            </w:pPr>
            <w:r>
              <w:rPr>
                <w:rFonts w:eastAsia="宋体" w:cs="Arial"/>
                <w:sz w:val="13"/>
                <w:szCs w:val="13"/>
              </w:rPr>
              <w:t>d. 州</w:t>
            </w:r>
          </w:p>
        </w:tc>
      </w:tr>
      <w:tr w14:paraId="46AD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2398C90">
            <w:pPr>
              <w:spacing w:before="31" w:beforeLines="10" w:line="180" w:lineRule="exact"/>
              <w:rPr>
                <w:rFonts w:eastAsia="宋体" w:cs="Arial"/>
                <w:sz w:val="13"/>
                <w:szCs w:val="13"/>
              </w:rPr>
            </w:pPr>
            <w:r>
              <w:rPr>
                <w:rFonts w:eastAsia="宋体" w:cs="Arial"/>
                <w:sz w:val="13"/>
                <w:szCs w:val="13"/>
              </w:rPr>
              <w:t>e. 邮政编码</w:t>
            </w:r>
          </w:p>
        </w:tc>
        <w:tc>
          <w:tcPr>
            <w:tcW w:w="2268" w:type="dxa"/>
            <w:gridSpan w:val="2"/>
          </w:tcPr>
          <w:p w14:paraId="360104B5">
            <w:pPr>
              <w:spacing w:before="31" w:beforeLines="10" w:line="180" w:lineRule="exact"/>
              <w:rPr>
                <w:rFonts w:eastAsia="宋体" w:cs="Arial"/>
                <w:sz w:val="13"/>
                <w:szCs w:val="13"/>
              </w:rPr>
            </w:pPr>
            <w:r>
              <w:rPr>
                <w:rFonts w:eastAsia="宋体" w:cs="Arial"/>
                <w:sz w:val="13"/>
                <w:szCs w:val="13"/>
              </w:rPr>
              <w:t>f. 电话号码</w:t>
            </w:r>
          </w:p>
          <w:p w14:paraId="38CDCED4">
            <w:pPr>
              <w:spacing w:before="31" w:beforeLines="10" w:line="180" w:lineRule="exact"/>
              <w:rPr>
                <w:rFonts w:eastAsia="宋体" w:cs="Arial"/>
                <w:sz w:val="13"/>
                <w:szCs w:val="13"/>
              </w:rPr>
            </w:pPr>
            <w:r>
              <w:rPr>
                <w:rFonts w:eastAsia="宋体" w:cs="Arial"/>
                <w:sz w:val="13"/>
                <w:szCs w:val="13"/>
              </w:rPr>
              <w:t>（       ）</w:t>
            </w:r>
          </w:p>
        </w:tc>
        <w:tc>
          <w:tcPr>
            <w:tcW w:w="283" w:type="dxa"/>
            <w:tcBorders>
              <w:top w:val="nil"/>
              <w:bottom w:val="nil"/>
            </w:tcBorders>
          </w:tcPr>
          <w:p w14:paraId="66F4E43F">
            <w:pPr>
              <w:spacing w:before="31" w:beforeLines="10" w:line="180" w:lineRule="exact"/>
              <w:rPr>
                <w:rFonts w:eastAsia="宋体" w:cs="Arial"/>
                <w:sz w:val="13"/>
                <w:szCs w:val="13"/>
              </w:rPr>
            </w:pPr>
          </w:p>
        </w:tc>
        <w:tc>
          <w:tcPr>
            <w:tcW w:w="1985" w:type="dxa"/>
          </w:tcPr>
          <w:p w14:paraId="7A675312">
            <w:pPr>
              <w:spacing w:before="31" w:beforeLines="10" w:line="180" w:lineRule="exact"/>
              <w:rPr>
                <w:rFonts w:eastAsia="宋体" w:cs="Arial"/>
                <w:sz w:val="13"/>
                <w:szCs w:val="13"/>
              </w:rPr>
            </w:pPr>
            <w:r>
              <w:rPr>
                <w:rFonts w:eastAsia="宋体" w:cs="Arial"/>
                <w:sz w:val="13"/>
                <w:szCs w:val="13"/>
              </w:rPr>
              <w:t>e. 邮政编码</w:t>
            </w:r>
          </w:p>
        </w:tc>
        <w:tc>
          <w:tcPr>
            <w:tcW w:w="2693" w:type="dxa"/>
            <w:gridSpan w:val="2"/>
          </w:tcPr>
          <w:p w14:paraId="7D5C7991">
            <w:pPr>
              <w:spacing w:before="31" w:beforeLines="10" w:line="180" w:lineRule="exact"/>
              <w:rPr>
                <w:rFonts w:eastAsia="宋体" w:cs="Arial"/>
                <w:sz w:val="13"/>
                <w:szCs w:val="13"/>
              </w:rPr>
            </w:pPr>
            <w:r>
              <w:rPr>
                <w:rFonts w:eastAsia="宋体" w:cs="Arial"/>
                <w:sz w:val="13"/>
                <w:szCs w:val="13"/>
              </w:rPr>
              <w:t>f. 电话号码</w:t>
            </w:r>
          </w:p>
          <w:p w14:paraId="29B94CFC">
            <w:pPr>
              <w:spacing w:before="31" w:beforeLines="10" w:line="180" w:lineRule="exact"/>
              <w:rPr>
                <w:rFonts w:eastAsia="宋体" w:cs="Arial"/>
                <w:sz w:val="13"/>
                <w:szCs w:val="13"/>
              </w:rPr>
            </w:pPr>
            <w:r>
              <w:rPr>
                <w:rFonts w:eastAsia="宋体" w:cs="Arial"/>
                <w:sz w:val="13"/>
                <w:szCs w:val="13"/>
              </w:rPr>
              <w:t>（       ）</w:t>
            </w:r>
          </w:p>
        </w:tc>
      </w:tr>
    </w:tbl>
    <w:p w14:paraId="3C9A38E0">
      <w:pPr>
        <w:spacing w:before="31" w:beforeLines="10" w:line="180" w:lineRule="exact"/>
        <w:rPr>
          <w:rFonts w:eastAsia="宋体" w:cs="Arial"/>
          <w:b/>
          <w:sz w:val="13"/>
          <w:szCs w:val="13"/>
        </w:rPr>
      </w:pPr>
      <w:r>
        <w:rPr>
          <w:rFonts w:eastAsia="宋体" w:cs="Arial"/>
          <w:b/>
          <w:sz w:val="13"/>
          <w:szCs w:val="13"/>
        </w:rPr>
        <w:t>3. 一般信息</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5"/>
        <w:gridCol w:w="1421"/>
        <w:gridCol w:w="1420"/>
        <w:gridCol w:w="710"/>
        <w:gridCol w:w="2931"/>
      </w:tblGrid>
      <w:tr w14:paraId="31F2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tcBorders>
              <w:bottom w:val="single" w:color="auto" w:sz="4" w:space="0"/>
              <w:right w:val="nil"/>
            </w:tcBorders>
          </w:tcPr>
          <w:p w14:paraId="761431E8">
            <w:pPr>
              <w:spacing w:before="31" w:beforeLines="10" w:line="180" w:lineRule="exact"/>
              <w:rPr>
                <w:rFonts w:eastAsia="宋体" w:cs="Arial"/>
                <w:sz w:val="13"/>
                <w:szCs w:val="13"/>
              </w:rPr>
            </w:pPr>
            <w:r>
              <w:rPr>
                <w:rFonts w:eastAsia="宋体" w:cs="Arial"/>
                <w:sz w:val="13"/>
                <w:szCs w:val="13"/>
              </w:rPr>
              <w:t>a. 本报告适用于下列获证系统的安装（在合适的框上打钩）</w:t>
            </w:r>
          </w:p>
          <w:p w14:paraId="3FFCD4E0">
            <w:pPr>
              <w:spacing w:before="31" w:beforeLines="10" w:line="180" w:lineRule="exact"/>
              <w:rPr>
                <w:rFonts w:eastAsia="宋体" w:cs="Arial"/>
                <w:sz w:val="13"/>
                <w:szCs w:val="13"/>
              </w:rPr>
            </w:pPr>
            <w:r>
              <w:rPr>
                <w:rFonts w:eastAsia="宋体" w:cs="Arial"/>
                <w:sz w:val="13"/>
                <w:szCs w:val="13"/>
              </w:rPr>
              <w:t>□新安装－完全获证系统</w:t>
            </w:r>
          </w:p>
          <w:p w14:paraId="10935890">
            <w:pPr>
              <w:spacing w:before="31" w:beforeLines="10" w:line="180" w:lineRule="exact"/>
              <w:rPr>
                <w:rFonts w:eastAsia="宋体" w:cs="Arial"/>
                <w:sz w:val="13"/>
                <w:szCs w:val="13"/>
              </w:rPr>
            </w:pPr>
            <w:r>
              <w:rPr>
                <w:rFonts w:eastAsia="宋体" w:cs="Arial"/>
                <w:sz w:val="13"/>
                <w:szCs w:val="13"/>
              </w:rPr>
              <w:t>□重新安装－完全获证系统</w:t>
            </w:r>
          </w:p>
        </w:tc>
        <w:tc>
          <w:tcPr>
            <w:tcW w:w="5061" w:type="dxa"/>
            <w:gridSpan w:val="3"/>
            <w:tcBorders>
              <w:left w:val="nil"/>
              <w:bottom w:val="single" w:color="auto" w:sz="4" w:space="0"/>
            </w:tcBorders>
          </w:tcPr>
          <w:p w14:paraId="7977BCDB">
            <w:pPr>
              <w:spacing w:before="31" w:beforeLines="10" w:line="180" w:lineRule="exact"/>
              <w:rPr>
                <w:rFonts w:eastAsia="宋体" w:cs="Arial"/>
                <w:sz w:val="13"/>
                <w:szCs w:val="13"/>
              </w:rPr>
            </w:pPr>
            <w:r>
              <w:rPr>
                <w:rFonts w:eastAsia="宋体" w:cs="Arial"/>
                <w:sz w:val="13"/>
                <w:szCs w:val="13"/>
              </w:rPr>
              <w:t>□重新安装－混合系统（获证和未获证组件）</w:t>
            </w:r>
          </w:p>
          <w:p w14:paraId="5463977C">
            <w:pPr>
              <w:spacing w:before="31" w:beforeLines="10" w:line="180" w:lineRule="exact"/>
              <w:rPr>
                <w:rFonts w:eastAsia="宋体" w:cs="Arial"/>
                <w:sz w:val="13"/>
                <w:szCs w:val="13"/>
              </w:rPr>
            </w:pPr>
            <w:r>
              <w:rPr>
                <w:rFonts w:eastAsia="宋体" w:cs="Arial"/>
                <w:sz w:val="13"/>
                <w:szCs w:val="13"/>
              </w:rPr>
              <w:t>□替换现有系统中的组件</w:t>
            </w:r>
          </w:p>
          <w:p w14:paraId="0B804296">
            <w:pPr>
              <w:spacing w:before="31" w:beforeLines="10" w:line="180" w:lineRule="exact"/>
              <w:rPr>
                <w:rFonts w:eastAsia="宋体" w:cs="Arial"/>
                <w:sz w:val="13"/>
                <w:szCs w:val="13"/>
              </w:rPr>
            </w:pPr>
            <w:r>
              <w:rPr>
                <w:rFonts w:eastAsia="宋体" w:cs="Arial"/>
                <w:sz w:val="13"/>
                <w:szCs w:val="13"/>
              </w:rPr>
              <w:t>□给现有系统添加组件</w:t>
            </w:r>
          </w:p>
        </w:tc>
      </w:tr>
      <w:tr w14:paraId="5EEF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tcBorders>
              <w:bottom w:val="nil"/>
            </w:tcBorders>
          </w:tcPr>
          <w:p w14:paraId="1B967060">
            <w:pPr>
              <w:spacing w:before="31" w:beforeLines="10" w:line="180" w:lineRule="exact"/>
              <w:rPr>
                <w:rFonts w:eastAsia="宋体" w:cs="Arial"/>
                <w:sz w:val="13"/>
                <w:szCs w:val="13"/>
              </w:rPr>
            </w:pPr>
            <w:r>
              <w:rPr>
                <w:rFonts w:eastAsia="宋体" w:cs="Arial"/>
                <w:sz w:val="13"/>
                <w:szCs w:val="13"/>
              </w:rPr>
              <w:t>b. 预期用途（在合适的框上打钩）</w:t>
            </w:r>
          </w:p>
        </w:tc>
      </w:tr>
      <w:tr w14:paraId="70C0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right w:val="nil"/>
            </w:tcBorders>
          </w:tcPr>
          <w:p w14:paraId="5E41699E">
            <w:pPr>
              <w:spacing w:before="31" w:beforeLines="10" w:line="180" w:lineRule="exact"/>
              <w:rPr>
                <w:rFonts w:eastAsia="宋体" w:cs="Arial"/>
                <w:sz w:val="13"/>
                <w:szCs w:val="13"/>
              </w:rPr>
            </w:pPr>
            <w:r>
              <w:rPr>
                <w:rFonts w:eastAsia="宋体" w:cs="Arial"/>
                <w:sz w:val="13"/>
                <w:szCs w:val="13"/>
              </w:rPr>
              <w:t>□一般用途X射线摄影术</w:t>
            </w:r>
          </w:p>
          <w:p w14:paraId="544C0BAB">
            <w:pPr>
              <w:spacing w:before="31" w:beforeLines="10" w:line="180" w:lineRule="exact"/>
              <w:rPr>
                <w:rFonts w:eastAsia="宋体" w:cs="Arial"/>
                <w:sz w:val="13"/>
                <w:szCs w:val="13"/>
              </w:rPr>
            </w:pPr>
            <w:r>
              <w:rPr>
                <w:rFonts w:eastAsia="宋体" w:cs="Arial"/>
                <w:sz w:val="13"/>
                <w:szCs w:val="13"/>
              </w:rPr>
              <w:t>□一般用途X射线透视术</w:t>
            </w:r>
          </w:p>
          <w:p w14:paraId="41B7EDCB">
            <w:pPr>
              <w:spacing w:before="31" w:beforeLines="10" w:line="180" w:lineRule="exact"/>
              <w:rPr>
                <w:rFonts w:eastAsia="宋体" w:cs="Arial"/>
                <w:sz w:val="13"/>
                <w:szCs w:val="13"/>
              </w:rPr>
            </w:pPr>
            <w:r>
              <w:rPr>
                <w:rFonts w:eastAsia="宋体" w:cs="Arial"/>
                <w:sz w:val="13"/>
                <w:szCs w:val="13"/>
              </w:rPr>
              <w:t>□X射线断层摄影术（CT除外）</w:t>
            </w:r>
          </w:p>
          <w:p w14:paraId="156848BC">
            <w:pPr>
              <w:spacing w:before="31" w:beforeLines="10" w:line="180" w:lineRule="exact"/>
              <w:rPr>
                <w:rFonts w:eastAsia="宋体" w:cs="Arial"/>
                <w:sz w:val="13"/>
                <w:szCs w:val="13"/>
              </w:rPr>
            </w:pPr>
            <w:r>
              <w:rPr>
                <w:rFonts w:eastAsia="宋体" w:cs="Arial"/>
                <w:sz w:val="13"/>
                <w:szCs w:val="13"/>
              </w:rPr>
              <w:t>□血管造影术</w:t>
            </w:r>
          </w:p>
          <w:p w14:paraId="7C00CBF8">
            <w:pPr>
              <w:spacing w:before="31" w:beforeLines="10" w:line="180" w:lineRule="exact"/>
              <w:rPr>
                <w:rFonts w:eastAsia="宋体" w:cs="Arial"/>
                <w:sz w:val="13"/>
                <w:szCs w:val="13"/>
              </w:rPr>
            </w:pPr>
            <w:r>
              <w:rPr>
                <w:rFonts w:eastAsia="宋体" w:cs="Arial"/>
                <w:sz w:val="13"/>
                <w:szCs w:val="13"/>
              </w:rPr>
              <w:t>□足部医疗</w:t>
            </w:r>
          </w:p>
        </w:tc>
        <w:tc>
          <w:tcPr>
            <w:tcW w:w="2026" w:type="dxa"/>
            <w:gridSpan w:val="2"/>
            <w:tcBorders>
              <w:top w:val="nil"/>
              <w:left w:val="nil"/>
              <w:right w:val="nil"/>
            </w:tcBorders>
          </w:tcPr>
          <w:p w14:paraId="52C3E2FE">
            <w:pPr>
              <w:spacing w:before="31" w:beforeLines="10" w:line="180" w:lineRule="exact"/>
              <w:rPr>
                <w:rFonts w:eastAsia="宋体" w:cs="Arial"/>
                <w:sz w:val="13"/>
                <w:szCs w:val="13"/>
              </w:rPr>
            </w:pPr>
            <w:r>
              <w:rPr>
                <w:rFonts w:eastAsia="宋体" w:cs="Arial"/>
                <w:sz w:val="13"/>
                <w:szCs w:val="13"/>
              </w:rPr>
              <w:t>□泌尿学</w:t>
            </w:r>
          </w:p>
          <w:p w14:paraId="06EAC642">
            <w:pPr>
              <w:spacing w:before="31" w:beforeLines="10" w:line="180" w:lineRule="exact"/>
              <w:rPr>
                <w:rFonts w:eastAsia="宋体" w:cs="Arial"/>
                <w:sz w:val="13"/>
                <w:szCs w:val="13"/>
              </w:rPr>
            </w:pPr>
            <w:r>
              <w:rPr>
                <w:rFonts w:eastAsia="宋体" w:cs="Arial"/>
                <w:sz w:val="13"/>
                <w:szCs w:val="13"/>
              </w:rPr>
              <w:t>□乳房摄影术</w:t>
            </w:r>
          </w:p>
          <w:p w14:paraId="5B1E6070">
            <w:pPr>
              <w:spacing w:before="31" w:beforeLines="10" w:line="180" w:lineRule="exact"/>
              <w:rPr>
                <w:rFonts w:eastAsia="宋体" w:cs="Arial"/>
                <w:sz w:val="13"/>
                <w:szCs w:val="13"/>
              </w:rPr>
            </w:pPr>
            <w:r>
              <w:rPr>
                <w:rFonts w:eastAsia="宋体" w:cs="Arial"/>
                <w:sz w:val="13"/>
                <w:szCs w:val="13"/>
              </w:rPr>
              <w:t>□胸腔</w:t>
            </w:r>
          </w:p>
          <w:p w14:paraId="2F4A26E2">
            <w:pPr>
              <w:spacing w:before="31" w:beforeLines="10" w:line="180" w:lineRule="exact"/>
              <w:rPr>
                <w:rFonts w:eastAsia="宋体" w:cs="Arial"/>
                <w:sz w:val="13"/>
                <w:szCs w:val="13"/>
              </w:rPr>
            </w:pPr>
            <w:r>
              <w:rPr>
                <w:rFonts w:eastAsia="宋体" w:cs="Arial"/>
                <w:sz w:val="13"/>
                <w:szCs w:val="13"/>
              </w:rPr>
              <w:t>□脊柱推拿疗法</w:t>
            </w:r>
          </w:p>
          <w:p w14:paraId="3301F13B">
            <w:pPr>
              <w:spacing w:before="31" w:beforeLines="10" w:line="180" w:lineRule="exact"/>
              <w:rPr>
                <w:rFonts w:eastAsia="宋体" w:cs="Arial"/>
                <w:sz w:val="13"/>
                <w:szCs w:val="13"/>
              </w:rPr>
            </w:pPr>
            <w:r>
              <w:rPr>
                <w:rFonts w:eastAsia="宋体" w:cs="Arial"/>
                <w:sz w:val="13"/>
                <w:szCs w:val="13"/>
              </w:rPr>
              <w:t>□头部CT扫描</w:t>
            </w:r>
          </w:p>
        </w:tc>
        <w:tc>
          <w:tcPr>
            <w:tcW w:w="2130" w:type="dxa"/>
            <w:gridSpan w:val="2"/>
            <w:tcBorders>
              <w:top w:val="nil"/>
              <w:left w:val="nil"/>
              <w:right w:val="nil"/>
            </w:tcBorders>
          </w:tcPr>
          <w:p w14:paraId="31C33B69">
            <w:pPr>
              <w:spacing w:before="31" w:beforeLines="10" w:line="180" w:lineRule="exact"/>
              <w:rPr>
                <w:rFonts w:eastAsia="宋体" w:cs="Arial"/>
                <w:sz w:val="13"/>
                <w:szCs w:val="13"/>
              </w:rPr>
            </w:pPr>
            <w:r>
              <w:rPr>
                <w:rFonts w:eastAsia="宋体" w:cs="Arial"/>
                <w:sz w:val="13"/>
                <w:szCs w:val="13"/>
              </w:rPr>
              <w:t>□全身CT扫描</w:t>
            </w:r>
          </w:p>
          <w:p w14:paraId="3DEB4FAD">
            <w:pPr>
              <w:spacing w:before="31" w:beforeLines="10" w:line="180" w:lineRule="exact"/>
              <w:rPr>
                <w:rFonts w:eastAsia="宋体" w:cs="Arial"/>
                <w:sz w:val="13"/>
                <w:szCs w:val="13"/>
              </w:rPr>
            </w:pPr>
            <w:r>
              <w:rPr>
                <w:rFonts w:eastAsia="宋体" w:cs="Arial"/>
                <w:sz w:val="13"/>
                <w:szCs w:val="13"/>
              </w:rPr>
              <w:t>□头颈部（）</w:t>
            </w:r>
          </w:p>
          <w:p w14:paraId="6E723831">
            <w:pPr>
              <w:spacing w:before="31" w:beforeLines="10" w:line="180" w:lineRule="exact"/>
              <w:rPr>
                <w:rFonts w:eastAsia="宋体" w:cs="Arial"/>
                <w:sz w:val="13"/>
                <w:szCs w:val="13"/>
              </w:rPr>
            </w:pPr>
            <w:r>
              <w:rPr>
                <w:rFonts w:eastAsia="宋体" w:cs="Arial"/>
                <w:sz w:val="13"/>
                <w:szCs w:val="13"/>
              </w:rPr>
              <w:t>□牙科－口腔内</w:t>
            </w:r>
          </w:p>
          <w:p w14:paraId="0F424FA4">
            <w:pPr>
              <w:spacing w:before="31" w:beforeLines="10" w:line="180" w:lineRule="exact"/>
              <w:rPr>
                <w:rFonts w:eastAsia="宋体" w:cs="Arial"/>
                <w:sz w:val="13"/>
                <w:szCs w:val="13"/>
              </w:rPr>
            </w:pPr>
            <w:r>
              <w:rPr>
                <w:rFonts w:eastAsia="宋体" w:cs="Arial"/>
                <w:sz w:val="13"/>
                <w:szCs w:val="13"/>
              </w:rPr>
              <w:t>□牙科－头影测量</w:t>
            </w:r>
          </w:p>
          <w:p w14:paraId="468E5ED0">
            <w:pPr>
              <w:spacing w:before="31" w:beforeLines="10" w:line="180" w:lineRule="exact"/>
              <w:rPr>
                <w:rFonts w:eastAsia="宋体" w:cs="Arial"/>
                <w:sz w:val="13"/>
                <w:szCs w:val="13"/>
              </w:rPr>
            </w:pPr>
            <w:r>
              <w:rPr>
                <w:rFonts w:eastAsia="宋体" w:cs="Arial"/>
                <w:sz w:val="13"/>
                <w:szCs w:val="13"/>
              </w:rPr>
              <w:t>□牙科－全景测量</w:t>
            </w:r>
          </w:p>
        </w:tc>
        <w:tc>
          <w:tcPr>
            <w:tcW w:w="2931" w:type="dxa"/>
            <w:tcBorders>
              <w:top w:val="nil"/>
              <w:left w:val="nil"/>
            </w:tcBorders>
          </w:tcPr>
          <w:p w14:paraId="6F5110AE">
            <w:pPr>
              <w:spacing w:before="31" w:beforeLines="10" w:line="180" w:lineRule="exact"/>
              <w:rPr>
                <w:rFonts w:eastAsia="宋体" w:cs="Arial"/>
                <w:sz w:val="13"/>
                <w:szCs w:val="13"/>
              </w:rPr>
            </w:pPr>
            <w:r>
              <w:rPr>
                <w:rFonts w:eastAsia="宋体" w:cs="Arial"/>
                <w:sz w:val="13"/>
                <w:szCs w:val="13"/>
              </w:rPr>
              <w:t>□放疗模拟器</w:t>
            </w:r>
          </w:p>
          <w:p w14:paraId="2B7B1541">
            <w:pPr>
              <w:spacing w:before="31" w:beforeLines="10" w:line="180" w:lineRule="exact"/>
              <w:rPr>
                <w:rFonts w:eastAsia="宋体" w:cs="Arial"/>
                <w:sz w:val="13"/>
                <w:szCs w:val="13"/>
              </w:rPr>
            </w:pPr>
            <w:r>
              <w:rPr>
                <w:rFonts w:eastAsia="宋体" w:cs="Arial"/>
                <w:sz w:val="13"/>
                <w:szCs w:val="13"/>
              </w:rPr>
              <w:t>□C臂透视</w:t>
            </w:r>
          </w:p>
          <w:p w14:paraId="69D89B9E">
            <w:pPr>
              <w:spacing w:before="31" w:beforeLines="10" w:line="180" w:lineRule="exact"/>
              <w:rPr>
                <w:rFonts w:eastAsia="宋体" w:cs="Arial"/>
                <w:sz w:val="13"/>
                <w:szCs w:val="13"/>
              </w:rPr>
            </w:pPr>
            <w:r>
              <w:rPr>
                <w:rFonts w:eastAsia="宋体" w:cs="Arial"/>
                <w:sz w:val="13"/>
                <w:szCs w:val="13"/>
              </w:rPr>
              <w:t>□数字化摄影</w:t>
            </w:r>
          </w:p>
          <w:p w14:paraId="249004E4">
            <w:pPr>
              <w:spacing w:before="31" w:beforeLines="10" w:line="180" w:lineRule="exact"/>
              <w:rPr>
                <w:rFonts w:eastAsia="宋体" w:cs="Arial"/>
                <w:sz w:val="13"/>
                <w:szCs w:val="13"/>
              </w:rPr>
            </w:pPr>
            <w:r>
              <w:rPr>
                <w:rFonts w:eastAsia="宋体" w:cs="Arial"/>
                <w:sz w:val="13"/>
                <w:szCs w:val="13"/>
              </w:rPr>
              <w:t>□骨骼矿物质分析</w:t>
            </w:r>
          </w:p>
          <w:p w14:paraId="03C3972A">
            <w:pPr>
              <w:spacing w:before="31" w:beforeLines="10" w:line="180" w:lineRule="exact"/>
              <w:rPr>
                <w:rFonts w:eastAsia="宋体" w:cs="Arial"/>
                <w:sz w:val="13"/>
                <w:szCs w:val="13"/>
              </w:rPr>
            </w:pPr>
            <w:r>
              <w:rPr>
                <w:rFonts w:eastAsia="宋体" w:cs="Arial"/>
                <w:sz w:val="13"/>
                <w:szCs w:val="13"/>
              </w:rPr>
              <w:t>□其它（在评论中详细说明）</w:t>
            </w:r>
          </w:p>
        </w:tc>
      </w:tr>
      <w:tr w14:paraId="7272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Pr>
          <w:p w14:paraId="51835251">
            <w:pPr>
              <w:spacing w:before="31" w:beforeLines="10" w:line="180" w:lineRule="exact"/>
              <w:rPr>
                <w:rFonts w:eastAsia="宋体" w:cs="Arial"/>
                <w:sz w:val="13"/>
                <w:szCs w:val="13"/>
              </w:rPr>
            </w:pPr>
            <w:r>
              <w:rPr>
                <w:rFonts w:eastAsia="宋体" w:cs="Arial"/>
                <w:sz w:val="13"/>
                <w:szCs w:val="13"/>
              </w:rPr>
              <w:t>c. X射线系统是（在1个方框上打钩）</w:t>
            </w:r>
          </w:p>
          <w:p w14:paraId="6FC1CD14">
            <w:pPr>
              <w:spacing w:before="31" w:beforeLines="10" w:line="180" w:lineRule="exact"/>
              <w:rPr>
                <w:rFonts w:eastAsia="宋体" w:cs="Arial"/>
                <w:sz w:val="13"/>
                <w:szCs w:val="13"/>
              </w:rPr>
            </w:pPr>
            <w:r>
              <w:rPr>
                <w:rFonts w:eastAsia="宋体" w:cs="Arial"/>
                <w:sz w:val="13"/>
                <w:szCs w:val="13"/>
              </w:rPr>
              <w:t>□固定式</w:t>
            </w:r>
          </w:p>
          <w:p w14:paraId="6E368BAA">
            <w:pPr>
              <w:spacing w:before="31" w:beforeLines="10" w:line="180" w:lineRule="exact"/>
              <w:rPr>
                <w:rFonts w:eastAsia="宋体" w:cs="Arial"/>
                <w:sz w:val="13"/>
                <w:szCs w:val="13"/>
              </w:rPr>
            </w:pPr>
            <w:r>
              <w:rPr>
                <w:rFonts w:eastAsia="宋体" w:cs="Arial"/>
                <w:sz w:val="13"/>
                <w:szCs w:val="13"/>
              </w:rPr>
              <w:t>□移动式</w:t>
            </w:r>
          </w:p>
        </w:tc>
        <w:tc>
          <w:tcPr>
            <w:tcW w:w="2841" w:type="dxa"/>
            <w:gridSpan w:val="2"/>
          </w:tcPr>
          <w:p w14:paraId="4D62A348">
            <w:pPr>
              <w:spacing w:before="31" w:beforeLines="10" w:line="180" w:lineRule="exact"/>
              <w:rPr>
                <w:rFonts w:eastAsia="宋体" w:cs="Arial"/>
                <w:sz w:val="13"/>
                <w:szCs w:val="13"/>
              </w:rPr>
            </w:pPr>
            <w:r>
              <w:rPr>
                <w:rFonts w:eastAsia="宋体" w:cs="Arial"/>
                <w:sz w:val="13"/>
                <w:szCs w:val="13"/>
              </w:rPr>
              <w:t>d.主控制装置在室内</w:t>
            </w:r>
          </w:p>
        </w:tc>
        <w:tc>
          <w:tcPr>
            <w:tcW w:w="3641" w:type="dxa"/>
            <w:gridSpan w:val="2"/>
          </w:tcPr>
          <w:p w14:paraId="39882851">
            <w:pPr>
              <w:spacing w:before="31" w:beforeLines="10" w:line="180" w:lineRule="exact"/>
              <w:rPr>
                <w:rFonts w:eastAsia="宋体" w:cs="Arial"/>
                <w:sz w:val="13"/>
                <w:szCs w:val="13"/>
              </w:rPr>
            </w:pPr>
            <w:r>
              <w:rPr>
                <w:rFonts w:eastAsia="宋体" w:cs="Arial"/>
                <w:sz w:val="13"/>
                <w:szCs w:val="13"/>
              </w:rPr>
              <w:t>e. 装配日期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567"/>
              <w:gridCol w:w="567"/>
            </w:tblGrid>
            <w:tr w14:paraId="397D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7A3F5488">
                  <w:pPr>
                    <w:spacing w:before="31" w:beforeLines="10" w:line="180" w:lineRule="exact"/>
                    <w:rPr>
                      <w:rFonts w:eastAsia="宋体" w:cs="Arial"/>
                      <w:sz w:val="13"/>
                      <w:szCs w:val="13"/>
                    </w:rPr>
                  </w:pPr>
                </w:p>
              </w:tc>
              <w:tc>
                <w:tcPr>
                  <w:tcW w:w="567" w:type="dxa"/>
                </w:tcPr>
                <w:p w14:paraId="2788C891">
                  <w:pPr>
                    <w:spacing w:before="31" w:beforeLines="10" w:line="180" w:lineRule="exact"/>
                    <w:rPr>
                      <w:rFonts w:eastAsia="宋体" w:cs="Arial"/>
                      <w:sz w:val="13"/>
                      <w:szCs w:val="13"/>
                    </w:rPr>
                  </w:pPr>
                </w:p>
              </w:tc>
              <w:tc>
                <w:tcPr>
                  <w:tcW w:w="567" w:type="dxa"/>
                </w:tcPr>
                <w:p w14:paraId="3AB816AD">
                  <w:pPr>
                    <w:spacing w:before="31" w:beforeLines="10" w:line="180" w:lineRule="exact"/>
                    <w:rPr>
                      <w:rFonts w:eastAsia="宋体" w:cs="Arial"/>
                      <w:sz w:val="13"/>
                      <w:szCs w:val="13"/>
                    </w:rPr>
                  </w:pPr>
                </w:p>
              </w:tc>
            </w:tr>
          </w:tbl>
          <w:p w14:paraId="418F64C4">
            <w:pPr>
              <w:spacing w:before="31" w:beforeLines="10" w:line="180" w:lineRule="exact"/>
              <w:ind w:firstLine="260" w:firstLineChars="200"/>
              <w:rPr>
                <w:rFonts w:eastAsia="宋体" w:cs="Arial"/>
                <w:sz w:val="13"/>
                <w:szCs w:val="13"/>
              </w:rPr>
            </w:pPr>
            <w:r>
              <w:rPr>
                <w:rFonts w:eastAsia="宋体" w:cs="Arial"/>
                <w:sz w:val="13"/>
                <w:szCs w:val="13"/>
              </w:rPr>
              <w:t>月      日      年</w:t>
            </w:r>
          </w:p>
        </w:tc>
      </w:tr>
    </w:tbl>
    <w:p w14:paraId="7F0C6213">
      <w:pPr>
        <w:spacing w:before="31" w:beforeLines="10" w:line="180" w:lineRule="exact"/>
        <w:rPr>
          <w:rFonts w:eastAsia="宋体" w:cs="Arial"/>
          <w:i/>
          <w:sz w:val="13"/>
          <w:szCs w:val="13"/>
        </w:rPr>
      </w:pPr>
      <w:r>
        <w:rPr>
          <w:rFonts w:eastAsia="宋体" w:cs="Arial"/>
          <w:b/>
          <w:sz w:val="13"/>
          <w:szCs w:val="13"/>
        </w:rPr>
        <w:t>4.组件信息</w:t>
      </w:r>
      <w:r>
        <w:rPr>
          <w:rFonts w:eastAsia="宋体" w:cs="Arial"/>
          <w:i/>
          <w:sz w:val="13"/>
          <w:szCs w:val="13"/>
        </w:rPr>
        <w:t>（这部分如果需要额外空白处，请另取一张表格，用本表编号取代预印编号，并仅填写1、4和5项）</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83"/>
        <w:gridCol w:w="284"/>
        <w:gridCol w:w="1559"/>
        <w:gridCol w:w="135"/>
        <w:gridCol w:w="1184"/>
        <w:gridCol w:w="524"/>
        <w:gridCol w:w="659"/>
        <w:gridCol w:w="1184"/>
        <w:gridCol w:w="1984"/>
      </w:tblGrid>
      <w:tr w14:paraId="0245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9" w:type="dxa"/>
            <w:gridSpan w:val="2"/>
            <w:vMerge w:val="restart"/>
          </w:tcPr>
          <w:p w14:paraId="6A3AEA9E">
            <w:pPr>
              <w:spacing w:before="31" w:beforeLines="10" w:line="180" w:lineRule="exact"/>
              <w:rPr>
                <w:rFonts w:eastAsia="宋体" w:cs="Arial"/>
                <w:sz w:val="13"/>
                <w:szCs w:val="13"/>
              </w:rPr>
            </w:pPr>
            <w:r>
              <w:rPr>
                <w:rFonts w:eastAsia="宋体" w:cs="Arial"/>
                <w:sz w:val="13"/>
                <w:szCs w:val="13"/>
              </w:rPr>
              <w:t>a. 主控制装置是</w:t>
            </w:r>
          </w:p>
          <w:p w14:paraId="75FC86CD">
            <w:pPr>
              <w:spacing w:before="31" w:beforeLines="10" w:line="180" w:lineRule="exact"/>
              <w:rPr>
                <w:rFonts w:eastAsia="宋体" w:cs="Arial"/>
                <w:sz w:val="13"/>
                <w:szCs w:val="13"/>
              </w:rPr>
            </w:pPr>
            <w:r>
              <w:rPr>
                <w:rFonts w:eastAsia="宋体" w:cs="Arial"/>
                <w:sz w:val="13"/>
                <w:szCs w:val="13"/>
              </w:rPr>
              <w:t>□新安装的</w:t>
            </w:r>
          </w:p>
          <w:p w14:paraId="7DF4274F">
            <w:pPr>
              <w:spacing w:before="31" w:beforeLines="10" w:line="180" w:lineRule="exact"/>
              <w:rPr>
                <w:rFonts w:eastAsia="宋体" w:cs="Arial"/>
                <w:sz w:val="13"/>
                <w:szCs w:val="13"/>
              </w:rPr>
            </w:pPr>
            <w:r>
              <w:rPr>
                <w:rFonts w:eastAsia="宋体" w:cs="Arial"/>
                <w:sz w:val="13"/>
                <w:szCs w:val="13"/>
              </w:rPr>
              <w:t>□现有的（获证）</w:t>
            </w:r>
          </w:p>
          <w:p w14:paraId="4E900470">
            <w:pPr>
              <w:spacing w:before="31" w:beforeLines="10" w:line="180" w:lineRule="exact"/>
              <w:rPr>
                <w:rFonts w:eastAsia="宋体" w:cs="Arial"/>
                <w:sz w:val="13"/>
                <w:szCs w:val="13"/>
              </w:rPr>
            </w:pPr>
            <w:r>
              <w:rPr>
                <w:rFonts w:eastAsia="宋体" w:cs="Arial"/>
                <w:sz w:val="13"/>
                <w:szCs w:val="13"/>
              </w:rPr>
              <w:t>□现有的（未获证）</w:t>
            </w:r>
          </w:p>
        </w:tc>
        <w:tc>
          <w:tcPr>
            <w:tcW w:w="1978" w:type="dxa"/>
            <w:gridSpan w:val="3"/>
          </w:tcPr>
          <w:p w14:paraId="544342BD">
            <w:pPr>
              <w:spacing w:before="31" w:beforeLines="10" w:line="180" w:lineRule="exact"/>
              <w:rPr>
                <w:rFonts w:eastAsia="宋体" w:cs="Arial"/>
                <w:sz w:val="13"/>
                <w:szCs w:val="13"/>
              </w:rPr>
            </w:pPr>
            <w:r>
              <w:rPr>
                <w:rFonts w:eastAsia="宋体" w:cs="Arial"/>
                <w:sz w:val="13"/>
                <w:szCs w:val="13"/>
              </w:rPr>
              <w:t>b. 控制装置制造商</w:t>
            </w:r>
          </w:p>
        </w:tc>
        <w:tc>
          <w:tcPr>
            <w:tcW w:w="2367" w:type="dxa"/>
            <w:gridSpan w:val="3"/>
          </w:tcPr>
          <w:p w14:paraId="0E0C05D4">
            <w:pPr>
              <w:spacing w:before="31" w:beforeLines="10" w:line="180" w:lineRule="exact"/>
              <w:rPr>
                <w:rFonts w:eastAsia="宋体" w:cs="Arial"/>
                <w:sz w:val="13"/>
                <w:szCs w:val="13"/>
              </w:rPr>
            </w:pPr>
            <w:r>
              <w:rPr>
                <w:rFonts w:eastAsia="宋体" w:cs="Arial"/>
                <w:sz w:val="13"/>
                <w:szCs w:val="13"/>
              </w:rPr>
              <w:t>d. 控制装置序列号</w:t>
            </w:r>
          </w:p>
        </w:tc>
        <w:tc>
          <w:tcPr>
            <w:tcW w:w="3168" w:type="dxa"/>
            <w:gridSpan w:val="2"/>
          </w:tcPr>
          <w:p w14:paraId="236E5C3A">
            <w:pPr>
              <w:spacing w:before="31" w:beforeLines="10" w:line="180" w:lineRule="exact"/>
              <w:rPr>
                <w:rFonts w:eastAsia="宋体" w:cs="Arial"/>
                <w:sz w:val="13"/>
                <w:szCs w:val="13"/>
              </w:rPr>
            </w:pPr>
            <w:r>
              <w:rPr>
                <w:rFonts w:eastAsia="宋体" w:cs="Arial"/>
                <w:sz w:val="13"/>
                <w:szCs w:val="13"/>
              </w:rPr>
              <w:t>e. 生产日期</w:t>
            </w:r>
          </w:p>
        </w:tc>
      </w:tr>
      <w:tr w14:paraId="08F0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vMerge w:val="continue"/>
          </w:tcPr>
          <w:p w14:paraId="5F55687E">
            <w:pPr>
              <w:spacing w:before="31" w:beforeLines="10" w:line="180" w:lineRule="exact"/>
              <w:rPr>
                <w:rFonts w:eastAsia="宋体" w:cs="Arial"/>
                <w:sz w:val="13"/>
                <w:szCs w:val="13"/>
              </w:rPr>
            </w:pPr>
          </w:p>
        </w:tc>
        <w:tc>
          <w:tcPr>
            <w:tcW w:w="3162" w:type="dxa"/>
            <w:gridSpan w:val="4"/>
          </w:tcPr>
          <w:p w14:paraId="2B0ABFE5">
            <w:pPr>
              <w:spacing w:before="31" w:beforeLines="10" w:line="180" w:lineRule="exact"/>
              <w:rPr>
                <w:rFonts w:eastAsia="宋体" w:cs="Arial"/>
                <w:sz w:val="13"/>
                <w:szCs w:val="13"/>
              </w:rPr>
            </w:pPr>
            <w:r>
              <w:rPr>
                <w:rFonts w:eastAsia="宋体" w:cs="Arial"/>
                <w:sz w:val="13"/>
                <w:szCs w:val="13"/>
              </w:rPr>
              <w:t>c. 控制装置型号</w:t>
            </w:r>
          </w:p>
        </w:tc>
        <w:tc>
          <w:tcPr>
            <w:tcW w:w="4351" w:type="dxa"/>
            <w:gridSpan w:val="4"/>
          </w:tcPr>
          <w:p w14:paraId="504F7D35">
            <w:pPr>
              <w:spacing w:before="31" w:beforeLines="10" w:line="180" w:lineRule="exact"/>
              <w:rPr>
                <w:rFonts w:eastAsia="宋体" w:cs="Arial"/>
                <w:sz w:val="13"/>
                <w:szCs w:val="13"/>
              </w:rPr>
            </w:pPr>
            <w:r>
              <w:rPr>
                <w:rFonts w:eastAsia="宋体" w:cs="Arial"/>
                <w:sz w:val="13"/>
                <w:szCs w:val="13"/>
              </w:rPr>
              <w:t>f. 系统型号名称（仅适用于CT系统）</w:t>
            </w:r>
          </w:p>
        </w:tc>
      </w:tr>
      <w:tr w14:paraId="1722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0"/>
          </w:tcPr>
          <w:p w14:paraId="58DAEFA3">
            <w:pPr>
              <w:spacing w:before="31" w:beforeLines="10" w:line="180" w:lineRule="exact"/>
              <w:rPr>
                <w:rFonts w:eastAsia="宋体" w:cs="Arial"/>
                <w:sz w:val="13"/>
                <w:szCs w:val="13"/>
              </w:rPr>
            </w:pPr>
            <w:r>
              <w:rPr>
                <w:rFonts w:eastAsia="宋体" w:cs="Arial"/>
                <w:sz w:val="13"/>
                <w:szCs w:val="13"/>
              </w:rPr>
              <w:t>填写在您安装的获证组件下方列出的下列信息。关于射束限制器、工作台和CT台架，请在指定空白处填入制造商和型号。关于其它获证组件，请在相应方框中填入您在该系统中安装的每种组件数。</w:t>
            </w:r>
          </w:p>
        </w:tc>
      </w:tr>
      <w:tr w14:paraId="41F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7"/>
          </w:tcPr>
          <w:p w14:paraId="63843350">
            <w:pPr>
              <w:spacing w:before="31" w:beforeLines="10" w:line="180" w:lineRule="exact"/>
              <w:rPr>
                <w:rFonts w:eastAsia="宋体" w:cs="Arial"/>
                <w:sz w:val="13"/>
                <w:szCs w:val="13"/>
              </w:rPr>
            </w:pPr>
            <w:r>
              <w:rPr>
                <w:rFonts w:eastAsia="宋体" w:cs="Arial"/>
                <w:sz w:val="13"/>
                <w:szCs w:val="13"/>
              </w:rPr>
              <w:t>g.                             所选组件</w:t>
            </w:r>
          </w:p>
        </w:tc>
        <w:tc>
          <w:tcPr>
            <w:tcW w:w="3827" w:type="dxa"/>
            <w:gridSpan w:val="3"/>
            <w:tcBorders>
              <w:bottom w:val="single" w:color="auto" w:sz="4" w:space="0"/>
            </w:tcBorders>
          </w:tcPr>
          <w:p w14:paraId="1291AC1C">
            <w:pPr>
              <w:spacing w:before="31" w:beforeLines="10" w:line="180" w:lineRule="exact"/>
              <w:rPr>
                <w:rFonts w:eastAsia="宋体" w:cs="Arial"/>
                <w:sz w:val="13"/>
                <w:szCs w:val="13"/>
              </w:rPr>
            </w:pPr>
            <w:r>
              <w:rPr>
                <w:rFonts w:eastAsia="宋体" w:cs="Arial"/>
                <w:sz w:val="13"/>
                <w:szCs w:val="13"/>
              </w:rPr>
              <w:t>h.          其它获证组件</w:t>
            </w:r>
          </w:p>
          <w:p w14:paraId="42DEF985">
            <w:pPr>
              <w:spacing w:before="31" w:beforeLines="10" w:line="180" w:lineRule="exact"/>
              <w:rPr>
                <w:rFonts w:eastAsia="宋体" w:cs="Arial"/>
                <w:sz w:val="13"/>
                <w:szCs w:val="13"/>
              </w:rPr>
            </w:pPr>
            <w:r>
              <w:rPr>
                <w:rFonts w:eastAsia="宋体" w:cs="Arial"/>
                <w:sz w:val="13"/>
                <w:szCs w:val="13"/>
              </w:rPr>
              <w:t>（在相应方框中填入安装的每种组件数）</w:t>
            </w:r>
          </w:p>
        </w:tc>
      </w:tr>
      <w:tr w14:paraId="23E8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tcPr>
          <w:p w14:paraId="24A2A1C7">
            <w:pPr>
              <w:spacing w:before="31" w:beforeLines="10" w:line="180" w:lineRule="exact"/>
              <w:rPr>
                <w:rFonts w:eastAsia="宋体" w:cs="Arial"/>
                <w:sz w:val="13"/>
                <w:szCs w:val="13"/>
              </w:rPr>
            </w:pPr>
            <w:r>
              <w:rPr>
                <w:rFonts w:eastAsia="宋体" w:cs="Arial"/>
                <w:sz w:val="13"/>
                <w:szCs w:val="13"/>
              </w:rPr>
              <w:t>射束限制器</w:t>
            </w:r>
          </w:p>
        </w:tc>
        <w:tc>
          <w:tcPr>
            <w:tcW w:w="1667" w:type="dxa"/>
            <w:gridSpan w:val="2"/>
          </w:tcPr>
          <w:p w14:paraId="7A2EA407">
            <w:pPr>
              <w:spacing w:before="31" w:beforeLines="10" w:line="180" w:lineRule="exact"/>
              <w:rPr>
                <w:rFonts w:eastAsia="宋体" w:cs="Arial"/>
                <w:sz w:val="13"/>
                <w:szCs w:val="13"/>
              </w:rPr>
            </w:pPr>
            <w:r>
              <w:rPr>
                <w:rFonts w:eastAsia="宋体" w:cs="Arial"/>
                <w:sz w:val="13"/>
                <w:szCs w:val="13"/>
              </w:rPr>
              <w:t>制造商</w:t>
            </w:r>
          </w:p>
          <w:p w14:paraId="60CAD73A">
            <w:pPr>
              <w:spacing w:before="31" w:beforeLines="10" w:line="180" w:lineRule="exact"/>
              <w:rPr>
                <w:rFonts w:eastAsia="宋体" w:cs="Arial"/>
                <w:sz w:val="13"/>
                <w:szCs w:val="13"/>
              </w:rPr>
            </w:pPr>
          </w:p>
        </w:tc>
        <w:tc>
          <w:tcPr>
            <w:tcW w:w="1559" w:type="dxa"/>
          </w:tcPr>
          <w:p w14:paraId="3E22A698">
            <w:pPr>
              <w:spacing w:before="31" w:beforeLines="10" w:line="180" w:lineRule="exact"/>
              <w:rPr>
                <w:rFonts w:eastAsia="宋体" w:cs="Arial"/>
                <w:sz w:val="13"/>
                <w:szCs w:val="13"/>
              </w:rPr>
            </w:pPr>
            <w:r>
              <w:rPr>
                <w:rFonts w:eastAsia="宋体" w:cs="Arial"/>
                <w:sz w:val="13"/>
                <w:szCs w:val="13"/>
              </w:rPr>
              <w:t>型号</w:t>
            </w:r>
          </w:p>
          <w:p w14:paraId="5E46B2FF">
            <w:pPr>
              <w:spacing w:before="31" w:beforeLines="10" w:line="180" w:lineRule="exact"/>
              <w:rPr>
                <w:rFonts w:eastAsia="宋体" w:cs="Arial"/>
                <w:sz w:val="13"/>
                <w:szCs w:val="13"/>
              </w:rPr>
            </w:pPr>
          </w:p>
        </w:tc>
        <w:tc>
          <w:tcPr>
            <w:tcW w:w="1843" w:type="dxa"/>
            <w:gridSpan w:val="3"/>
          </w:tcPr>
          <w:p w14:paraId="745CB5CC">
            <w:pPr>
              <w:spacing w:before="31" w:beforeLines="10" w:line="180" w:lineRule="exact"/>
              <w:rPr>
                <w:rFonts w:eastAsia="宋体" w:cs="Arial"/>
                <w:sz w:val="13"/>
                <w:szCs w:val="13"/>
              </w:rPr>
            </w:pPr>
            <w:r>
              <w:rPr>
                <w:rFonts w:eastAsia="宋体" w:cs="Arial"/>
                <w:sz w:val="13"/>
                <w:szCs w:val="13"/>
              </w:rPr>
              <w:t>生产日期</w:t>
            </w:r>
          </w:p>
          <w:p w14:paraId="7EF01D40">
            <w:pPr>
              <w:spacing w:before="31" w:beforeLines="10" w:line="180" w:lineRule="exact"/>
              <w:rPr>
                <w:rFonts w:eastAsia="宋体" w:cs="Arial"/>
                <w:sz w:val="13"/>
                <w:szCs w:val="13"/>
              </w:rPr>
            </w:pPr>
          </w:p>
        </w:tc>
        <w:tc>
          <w:tcPr>
            <w:tcW w:w="1843" w:type="dxa"/>
            <w:gridSpan w:val="2"/>
            <w:vMerge w:val="restart"/>
            <w:tcBorders>
              <w:right w:val="nil"/>
            </w:tcBorders>
            <w:vAlign w:val="center"/>
          </w:tcPr>
          <w:p w14:paraId="5F32ECF3">
            <w:pPr>
              <w:spacing w:before="31" w:beforeLines="10" w:line="180" w:lineRule="exact"/>
              <w:rPr>
                <w:rFonts w:eastAsia="宋体" w:cs="Arial"/>
                <w:sz w:val="13"/>
                <w:szCs w:val="13"/>
              </w:rPr>
            </w:pPr>
            <w:r>
              <w:rPr>
                <w:rFonts w:eastAsia="宋体" w:cs="Arial"/>
                <w:sz w:val="13"/>
                <w:szCs w:val="13"/>
              </w:rPr>
              <w:t>□X射线控制装置</w:t>
            </w:r>
          </w:p>
          <w:p w14:paraId="75926532">
            <w:pPr>
              <w:spacing w:before="31" w:beforeLines="10" w:line="180" w:lineRule="exact"/>
              <w:rPr>
                <w:rFonts w:eastAsia="宋体" w:cs="Arial"/>
                <w:sz w:val="13"/>
                <w:szCs w:val="13"/>
              </w:rPr>
            </w:pPr>
            <w:r>
              <w:rPr>
                <w:rFonts w:eastAsia="宋体" w:cs="Arial"/>
                <w:sz w:val="13"/>
                <w:szCs w:val="13"/>
              </w:rPr>
              <w:t>□高压发生器</w:t>
            </w:r>
          </w:p>
          <w:p w14:paraId="18B9FE73">
            <w:pPr>
              <w:spacing w:before="31" w:beforeLines="10" w:line="180" w:lineRule="exact"/>
              <w:rPr>
                <w:rFonts w:eastAsia="宋体" w:cs="Arial"/>
                <w:sz w:val="13"/>
                <w:szCs w:val="13"/>
              </w:rPr>
            </w:pPr>
            <w:r>
              <w:rPr>
                <w:rFonts w:eastAsia="宋体" w:cs="Arial"/>
                <w:sz w:val="13"/>
                <w:szCs w:val="13"/>
              </w:rPr>
              <w:t>□立式储片夹架</w:t>
            </w:r>
          </w:p>
          <w:p w14:paraId="3C573B60">
            <w:pPr>
              <w:spacing w:before="31" w:beforeLines="10" w:line="180" w:lineRule="exact"/>
              <w:rPr>
                <w:rFonts w:eastAsia="宋体" w:cs="Arial"/>
                <w:sz w:val="13"/>
                <w:szCs w:val="13"/>
              </w:rPr>
            </w:pPr>
            <w:r>
              <w:rPr>
                <w:rFonts w:eastAsia="宋体" w:cs="Arial"/>
                <w:sz w:val="13"/>
                <w:szCs w:val="13"/>
              </w:rPr>
              <w:t>□X射线管套配件</w:t>
            </w:r>
          </w:p>
          <w:p w14:paraId="18CFFEC2">
            <w:pPr>
              <w:spacing w:before="31" w:beforeLines="10" w:line="180" w:lineRule="exact"/>
              <w:rPr>
                <w:rFonts w:eastAsia="宋体" w:cs="Arial"/>
                <w:sz w:val="13"/>
                <w:szCs w:val="13"/>
              </w:rPr>
            </w:pPr>
            <w:r>
              <w:rPr>
                <w:rFonts w:eastAsia="宋体" w:cs="Arial"/>
                <w:sz w:val="13"/>
                <w:szCs w:val="13"/>
              </w:rPr>
              <w:t>□牙科X射线管头</w:t>
            </w:r>
          </w:p>
        </w:tc>
        <w:tc>
          <w:tcPr>
            <w:tcW w:w="1984" w:type="dxa"/>
            <w:vMerge w:val="restart"/>
            <w:tcBorders>
              <w:left w:val="nil"/>
            </w:tcBorders>
            <w:vAlign w:val="center"/>
          </w:tcPr>
          <w:p w14:paraId="4C2937D0">
            <w:pPr>
              <w:spacing w:before="31" w:beforeLines="10" w:line="180" w:lineRule="exact"/>
              <w:rPr>
                <w:rFonts w:eastAsia="宋体" w:cs="Arial"/>
                <w:sz w:val="13"/>
                <w:szCs w:val="13"/>
              </w:rPr>
            </w:pPr>
            <w:r>
              <w:rPr>
                <w:rFonts w:eastAsia="宋体" w:cs="Arial"/>
                <w:sz w:val="13"/>
                <w:szCs w:val="13"/>
              </w:rPr>
              <w:t>□支架</w:t>
            </w:r>
          </w:p>
          <w:p w14:paraId="39B4FD1D">
            <w:pPr>
              <w:spacing w:before="31" w:beforeLines="10" w:line="180" w:lineRule="exact"/>
              <w:rPr>
                <w:rFonts w:eastAsia="宋体" w:cs="Arial"/>
                <w:sz w:val="13"/>
                <w:szCs w:val="13"/>
              </w:rPr>
            </w:pPr>
            <w:r>
              <w:rPr>
                <w:rFonts w:eastAsia="宋体" w:cs="Arial"/>
                <w:sz w:val="13"/>
                <w:szCs w:val="13"/>
              </w:rPr>
              <w:t>□软片交换器</w:t>
            </w:r>
          </w:p>
          <w:p w14:paraId="32898793">
            <w:pPr>
              <w:spacing w:before="31" w:beforeLines="10" w:line="180" w:lineRule="exact"/>
              <w:rPr>
                <w:rFonts w:eastAsia="宋体" w:cs="Arial"/>
                <w:sz w:val="13"/>
                <w:szCs w:val="13"/>
              </w:rPr>
            </w:pPr>
            <w:r>
              <w:rPr>
                <w:rFonts w:eastAsia="宋体" w:cs="Arial"/>
                <w:sz w:val="13"/>
                <w:szCs w:val="13"/>
              </w:rPr>
              <w:t>□影像增强器</w:t>
            </w:r>
          </w:p>
          <w:p w14:paraId="0B3AD830">
            <w:pPr>
              <w:spacing w:before="31" w:beforeLines="10" w:line="180" w:lineRule="exact"/>
              <w:rPr>
                <w:rFonts w:eastAsia="宋体" w:cs="Arial"/>
                <w:sz w:val="13"/>
                <w:szCs w:val="13"/>
              </w:rPr>
            </w:pPr>
            <w:r>
              <w:rPr>
                <w:rFonts w:eastAsia="宋体" w:cs="Arial"/>
                <w:sz w:val="13"/>
                <w:szCs w:val="13"/>
              </w:rPr>
              <w:t>□点片装置</w:t>
            </w:r>
          </w:p>
          <w:p w14:paraId="622B1445">
            <w:pPr>
              <w:spacing w:before="31" w:beforeLines="10" w:line="180" w:lineRule="exact"/>
              <w:rPr>
                <w:rFonts w:eastAsia="宋体" w:cs="Arial"/>
                <w:sz w:val="13"/>
                <w:szCs w:val="13"/>
              </w:rPr>
            </w:pPr>
            <w:r>
              <w:rPr>
                <w:rFonts w:eastAsia="宋体" w:cs="Arial"/>
                <w:sz w:val="13"/>
                <w:szCs w:val="13"/>
              </w:rPr>
              <w:t>□其它（请注明）</w:t>
            </w:r>
          </w:p>
        </w:tc>
      </w:tr>
      <w:tr w14:paraId="3AC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Pr>
          <w:p w14:paraId="32106D81">
            <w:pPr>
              <w:spacing w:before="31" w:beforeLines="10" w:line="180" w:lineRule="exact"/>
              <w:rPr>
                <w:rFonts w:eastAsia="宋体" w:cs="Arial"/>
                <w:sz w:val="13"/>
                <w:szCs w:val="13"/>
              </w:rPr>
            </w:pPr>
          </w:p>
        </w:tc>
        <w:tc>
          <w:tcPr>
            <w:tcW w:w="1667" w:type="dxa"/>
            <w:gridSpan w:val="2"/>
          </w:tcPr>
          <w:p w14:paraId="2B66CA6E">
            <w:pPr>
              <w:spacing w:before="31" w:beforeLines="10" w:line="180" w:lineRule="exact"/>
              <w:rPr>
                <w:rFonts w:eastAsia="宋体" w:cs="Arial"/>
                <w:sz w:val="13"/>
                <w:szCs w:val="13"/>
              </w:rPr>
            </w:pPr>
            <w:r>
              <w:rPr>
                <w:rFonts w:eastAsia="宋体" w:cs="Arial"/>
                <w:sz w:val="13"/>
                <w:szCs w:val="13"/>
              </w:rPr>
              <w:t>制造商</w:t>
            </w:r>
          </w:p>
          <w:p w14:paraId="358FD5D7">
            <w:pPr>
              <w:spacing w:before="31" w:beforeLines="10" w:line="180" w:lineRule="exact"/>
              <w:rPr>
                <w:rFonts w:eastAsia="宋体" w:cs="Arial"/>
                <w:sz w:val="13"/>
                <w:szCs w:val="13"/>
              </w:rPr>
            </w:pPr>
          </w:p>
        </w:tc>
        <w:tc>
          <w:tcPr>
            <w:tcW w:w="1559" w:type="dxa"/>
          </w:tcPr>
          <w:p w14:paraId="6B6390F4">
            <w:pPr>
              <w:spacing w:before="31" w:beforeLines="10" w:line="180" w:lineRule="exact"/>
              <w:rPr>
                <w:rFonts w:eastAsia="宋体" w:cs="Arial"/>
                <w:sz w:val="13"/>
                <w:szCs w:val="13"/>
              </w:rPr>
            </w:pPr>
            <w:r>
              <w:rPr>
                <w:rFonts w:eastAsia="宋体" w:cs="Arial"/>
                <w:sz w:val="13"/>
                <w:szCs w:val="13"/>
              </w:rPr>
              <w:t>型号</w:t>
            </w:r>
          </w:p>
          <w:p w14:paraId="5B3245FE">
            <w:pPr>
              <w:spacing w:before="31" w:beforeLines="10" w:line="180" w:lineRule="exact"/>
              <w:rPr>
                <w:rFonts w:eastAsia="宋体" w:cs="Arial"/>
                <w:sz w:val="13"/>
                <w:szCs w:val="13"/>
              </w:rPr>
            </w:pPr>
          </w:p>
        </w:tc>
        <w:tc>
          <w:tcPr>
            <w:tcW w:w="1843" w:type="dxa"/>
            <w:gridSpan w:val="3"/>
          </w:tcPr>
          <w:p w14:paraId="47A303FA">
            <w:pPr>
              <w:spacing w:before="31" w:beforeLines="10" w:line="180" w:lineRule="exact"/>
              <w:rPr>
                <w:rFonts w:eastAsia="宋体" w:cs="Arial"/>
                <w:sz w:val="13"/>
                <w:szCs w:val="13"/>
              </w:rPr>
            </w:pPr>
            <w:r>
              <w:rPr>
                <w:rFonts w:eastAsia="宋体" w:cs="Arial"/>
                <w:sz w:val="13"/>
                <w:szCs w:val="13"/>
              </w:rPr>
              <w:t>生产日期</w:t>
            </w:r>
          </w:p>
          <w:p w14:paraId="7B3DAAFD">
            <w:pPr>
              <w:spacing w:before="31" w:beforeLines="10" w:line="180" w:lineRule="exact"/>
              <w:rPr>
                <w:rFonts w:eastAsia="宋体" w:cs="Arial"/>
                <w:sz w:val="13"/>
                <w:szCs w:val="13"/>
              </w:rPr>
            </w:pPr>
          </w:p>
        </w:tc>
        <w:tc>
          <w:tcPr>
            <w:tcW w:w="1843" w:type="dxa"/>
            <w:gridSpan w:val="2"/>
            <w:vMerge w:val="continue"/>
            <w:tcBorders>
              <w:right w:val="nil"/>
            </w:tcBorders>
          </w:tcPr>
          <w:p w14:paraId="7F5BC208">
            <w:pPr>
              <w:spacing w:before="31" w:beforeLines="10" w:line="180" w:lineRule="exact"/>
              <w:rPr>
                <w:rFonts w:eastAsia="宋体" w:cs="Arial"/>
                <w:sz w:val="13"/>
                <w:szCs w:val="13"/>
              </w:rPr>
            </w:pPr>
          </w:p>
        </w:tc>
        <w:tc>
          <w:tcPr>
            <w:tcW w:w="1984" w:type="dxa"/>
            <w:vMerge w:val="continue"/>
            <w:tcBorders>
              <w:left w:val="nil"/>
            </w:tcBorders>
          </w:tcPr>
          <w:p w14:paraId="6C9B9DF6">
            <w:pPr>
              <w:spacing w:before="31" w:beforeLines="10" w:line="180" w:lineRule="exact"/>
              <w:rPr>
                <w:rFonts w:eastAsia="宋体" w:cs="Arial"/>
                <w:sz w:val="13"/>
                <w:szCs w:val="13"/>
              </w:rPr>
            </w:pPr>
          </w:p>
        </w:tc>
      </w:tr>
      <w:tr w14:paraId="659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tcPr>
          <w:p w14:paraId="3523D9BA">
            <w:pPr>
              <w:spacing w:before="31" w:beforeLines="10" w:line="180" w:lineRule="exact"/>
              <w:rPr>
                <w:rFonts w:eastAsia="宋体" w:cs="Arial"/>
                <w:sz w:val="13"/>
                <w:szCs w:val="13"/>
              </w:rPr>
            </w:pPr>
            <w:r>
              <w:rPr>
                <w:rFonts w:eastAsia="宋体" w:cs="Arial"/>
                <w:sz w:val="13"/>
                <w:szCs w:val="13"/>
              </w:rPr>
              <w:t>工作台</w:t>
            </w:r>
          </w:p>
        </w:tc>
        <w:tc>
          <w:tcPr>
            <w:tcW w:w="1667" w:type="dxa"/>
            <w:gridSpan w:val="2"/>
          </w:tcPr>
          <w:p w14:paraId="12E63109">
            <w:pPr>
              <w:spacing w:before="31" w:beforeLines="10" w:line="180" w:lineRule="exact"/>
              <w:rPr>
                <w:rFonts w:eastAsia="宋体" w:cs="Arial"/>
                <w:sz w:val="13"/>
                <w:szCs w:val="13"/>
              </w:rPr>
            </w:pPr>
            <w:r>
              <w:rPr>
                <w:rFonts w:eastAsia="宋体" w:cs="Arial"/>
                <w:sz w:val="13"/>
                <w:szCs w:val="13"/>
              </w:rPr>
              <w:t>制造商</w:t>
            </w:r>
          </w:p>
          <w:p w14:paraId="15853EA0">
            <w:pPr>
              <w:spacing w:before="31" w:beforeLines="10" w:line="180" w:lineRule="exact"/>
              <w:rPr>
                <w:rFonts w:eastAsia="宋体" w:cs="Arial"/>
                <w:sz w:val="13"/>
                <w:szCs w:val="13"/>
              </w:rPr>
            </w:pPr>
          </w:p>
        </w:tc>
        <w:tc>
          <w:tcPr>
            <w:tcW w:w="1559" w:type="dxa"/>
          </w:tcPr>
          <w:p w14:paraId="53987A35">
            <w:pPr>
              <w:spacing w:before="31" w:beforeLines="10" w:line="180" w:lineRule="exact"/>
              <w:rPr>
                <w:rFonts w:eastAsia="宋体" w:cs="Arial"/>
                <w:sz w:val="13"/>
                <w:szCs w:val="13"/>
              </w:rPr>
            </w:pPr>
            <w:r>
              <w:rPr>
                <w:rFonts w:eastAsia="宋体" w:cs="Arial"/>
                <w:sz w:val="13"/>
                <w:szCs w:val="13"/>
              </w:rPr>
              <w:t>型号</w:t>
            </w:r>
          </w:p>
          <w:p w14:paraId="12C3127E">
            <w:pPr>
              <w:spacing w:before="31" w:beforeLines="10" w:line="180" w:lineRule="exact"/>
              <w:rPr>
                <w:rFonts w:eastAsia="宋体" w:cs="Arial"/>
                <w:sz w:val="13"/>
                <w:szCs w:val="13"/>
              </w:rPr>
            </w:pPr>
          </w:p>
        </w:tc>
        <w:tc>
          <w:tcPr>
            <w:tcW w:w="1843" w:type="dxa"/>
            <w:gridSpan w:val="3"/>
          </w:tcPr>
          <w:p w14:paraId="561D9D35">
            <w:pPr>
              <w:spacing w:before="31" w:beforeLines="10" w:line="180" w:lineRule="exact"/>
              <w:rPr>
                <w:rFonts w:eastAsia="宋体" w:cs="Arial"/>
                <w:sz w:val="13"/>
                <w:szCs w:val="13"/>
              </w:rPr>
            </w:pPr>
            <w:r>
              <w:rPr>
                <w:rFonts w:eastAsia="宋体" w:cs="Arial"/>
                <w:sz w:val="13"/>
                <w:szCs w:val="13"/>
              </w:rPr>
              <w:t>生产日期</w:t>
            </w:r>
          </w:p>
          <w:p w14:paraId="6DBE6B62">
            <w:pPr>
              <w:spacing w:before="31" w:beforeLines="10" w:line="180" w:lineRule="exact"/>
              <w:rPr>
                <w:rFonts w:eastAsia="宋体" w:cs="Arial"/>
                <w:sz w:val="13"/>
                <w:szCs w:val="13"/>
              </w:rPr>
            </w:pPr>
          </w:p>
        </w:tc>
        <w:tc>
          <w:tcPr>
            <w:tcW w:w="1843" w:type="dxa"/>
            <w:gridSpan w:val="2"/>
            <w:vMerge w:val="continue"/>
            <w:tcBorders>
              <w:right w:val="nil"/>
            </w:tcBorders>
          </w:tcPr>
          <w:p w14:paraId="38EF5978">
            <w:pPr>
              <w:spacing w:before="31" w:beforeLines="10" w:line="180" w:lineRule="exact"/>
              <w:rPr>
                <w:rFonts w:eastAsia="宋体" w:cs="Arial"/>
                <w:sz w:val="13"/>
                <w:szCs w:val="13"/>
              </w:rPr>
            </w:pPr>
          </w:p>
        </w:tc>
        <w:tc>
          <w:tcPr>
            <w:tcW w:w="1984" w:type="dxa"/>
            <w:vMerge w:val="continue"/>
            <w:tcBorders>
              <w:left w:val="nil"/>
            </w:tcBorders>
          </w:tcPr>
          <w:p w14:paraId="05D3B886">
            <w:pPr>
              <w:spacing w:before="31" w:beforeLines="10" w:line="180" w:lineRule="exact"/>
              <w:rPr>
                <w:rFonts w:eastAsia="宋体" w:cs="Arial"/>
                <w:sz w:val="13"/>
                <w:szCs w:val="13"/>
              </w:rPr>
            </w:pPr>
          </w:p>
        </w:tc>
      </w:tr>
      <w:tr w14:paraId="62D3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Pr>
          <w:p w14:paraId="351E8DE3">
            <w:pPr>
              <w:spacing w:before="31" w:beforeLines="10" w:line="180" w:lineRule="exact"/>
              <w:rPr>
                <w:rFonts w:eastAsia="宋体" w:cs="Arial"/>
                <w:sz w:val="13"/>
                <w:szCs w:val="13"/>
              </w:rPr>
            </w:pPr>
          </w:p>
        </w:tc>
        <w:tc>
          <w:tcPr>
            <w:tcW w:w="1667" w:type="dxa"/>
            <w:gridSpan w:val="2"/>
          </w:tcPr>
          <w:p w14:paraId="5A7B7A9D">
            <w:pPr>
              <w:spacing w:before="31" w:beforeLines="10" w:line="180" w:lineRule="exact"/>
              <w:rPr>
                <w:rFonts w:eastAsia="宋体" w:cs="Arial"/>
                <w:sz w:val="13"/>
                <w:szCs w:val="13"/>
              </w:rPr>
            </w:pPr>
            <w:r>
              <w:rPr>
                <w:rFonts w:eastAsia="宋体" w:cs="Arial"/>
                <w:sz w:val="13"/>
                <w:szCs w:val="13"/>
              </w:rPr>
              <w:t>制造商</w:t>
            </w:r>
          </w:p>
          <w:p w14:paraId="1A381AB1">
            <w:pPr>
              <w:spacing w:before="31" w:beforeLines="10" w:line="180" w:lineRule="exact"/>
              <w:rPr>
                <w:rFonts w:eastAsia="宋体" w:cs="Arial"/>
                <w:sz w:val="13"/>
                <w:szCs w:val="13"/>
              </w:rPr>
            </w:pPr>
          </w:p>
        </w:tc>
        <w:tc>
          <w:tcPr>
            <w:tcW w:w="1559" w:type="dxa"/>
          </w:tcPr>
          <w:p w14:paraId="127E7D8F">
            <w:pPr>
              <w:spacing w:before="31" w:beforeLines="10" w:line="180" w:lineRule="exact"/>
              <w:rPr>
                <w:rFonts w:eastAsia="宋体" w:cs="Arial"/>
                <w:sz w:val="13"/>
                <w:szCs w:val="13"/>
              </w:rPr>
            </w:pPr>
            <w:r>
              <w:rPr>
                <w:rFonts w:eastAsia="宋体" w:cs="Arial"/>
                <w:sz w:val="13"/>
                <w:szCs w:val="13"/>
              </w:rPr>
              <w:t>型号</w:t>
            </w:r>
          </w:p>
          <w:p w14:paraId="2CAB14A5">
            <w:pPr>
              <w:spacing w:before="31" w:beforeLines="10" w:line="180" w:lineRule="exact"/>
              <w:rPr>
                <w:rFonts w:eastAsia="宋体" w:cs="Arial"/>
                <w:sz w:val="13"/>
                <w:szCs w:val="13"/>
              </w:rPr>
            </w:pPr>
          </w:p>
        </w:tc>
        <w:tc>
          <w:tcPr>
            <w:tcW w:w="1843" w:type="dxa"/>
            <w:gridSpan w:val="3"/>
          </w:tcPr>
          <w:p w14:paraId="32E3EE1E">
            <w:pPr>
              <w:spacing w:before="31" w:beforeLines="10" w:line="180" w:lineRule="exact"/>
              <w:rPr>
                <w:rFonts w:eastAsia="宋体" w:cs="Arial"/>
                <w:sz w:val="13"/>
                <w:szCs w:val="13"/>
              </w:rPr>
            </w:pPr>
            <w:r>
              <w:rPr>
                <w:rFonts w:eastAsia="宋体" w:cs="Arial"/>
                <w:sz w:val="13"/>
                <w:szCs w:val="13"/>
              </w:rPr>
              <w:t>生产日期</w:t>
            </w:r>
          </w:p>
          <w:p w14:paraId="663EB062">
            <w:pPr>
              <w:spacing w:before="31" w:beforeLines="10" w:line="180" w:lineRule="exact"/>
              <w:rPr>
                <w:rFonts w:eastAsia="宋体" w:cs="Arial"/>
                <w:sz w:val="13"/>
                <w:szCs w:val="13"/>
              </w:rPr>
            </w:pPr>
          </w:p>
        </w:tc>
        <w:tc>
          <w:tcPr>
            <w:tcW w:w="1843" w:type="dxa"/>
            <w:gridSpan w:val="2"/>
            <w:vMerge w:val="continue"/>
            <w:tcBorders>
              <w:right w:val="nil"/>
            </w:tcBorders>
          </w:tcPr>
          <w:p w14:paraId="5DB00878">
            <w:pPr>
              <w:spacing w:before="31" w:beforeLines="10" w:line="180" w:lineRule="exact"/>
              <w:rPr>
                <w:rFonts w:eastAsia="宋体" w:cs="Arial"/>
                <w:sz w:val="13"/>
                <w:szCs w:val="13"/>
              </w:rPr>
            </w:pPr>
          </w:p>
        </w:tc>
        <w:tc>
          <w:tcPr>
            <w:tcW w:w="1984" w:type="dxa"/>
            <w:vMerge w:val="continue"/>
            <w:tcBorders>
              <w:left w:val="nil"/>
            </w:tcBorders>
          </w:tcPr>
          <w:p w14:paraId="40BA631C">
            <w:pPr>
              <w:spacing w:before="31" w:beforeLines="10" w:line="180" w:lineRule="exact"/>
              <w:rPr>
                <w:rFonts w:eastAsia="宋体" w:cs="Arial"/>
                <w:sz w:val="13"/>
                <w:szCs w:val="13"/>
              </w:rPr>
            </w:pPr>
          </w:p>
        </w:tc>
      </w:tr>
      <w:tr w14:paraId="0C4C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3493ED2B">
            <w:pPr>
              <w:spacing w:before="31" w:beforeLines="10" w:line="180" w:lineRule="exact"/>
              <w:rPr>
                <w:rFonts w:eastAsia="宋体" w:cs="Arial"/>
                <w:sz w:val="13"/>
                <w:szCs w:val="13"/>
              </w:rPr>
            </w:pPr>
            <w:r>
              <w:rPr>
                <w:rFonts w:eastAsia="宋体" w:cs="Arial"/>
                <w:sz w:val="13"/>
                <w:szCs w:val="13"/>
              </w:rPr>
              <w:t>CT台架</w:t>
            </w:r>
          </w:p>
        </w:tc>
        <w:tc>
          <w:tcPr>
            <w:tcW w:w="1667" w:type="dxa"/>
            <w:gridSpan w:val="2"/>
          </w:tcPr>
          <w:p w14:paraId="73BC6D4A">
            <w:pPr>
              <w:spacing w:before="31" w:beforeLines="10" w:line="180" w:lineRule="exact"/>
              <w:rPr>
                <w:rFonts w:eastAsia="宋体" w:cs="Arial"/>
                <w:sz w:val="13"/>
                <w:szCs w:val="13"/>
              </w:rPr>
            </w:pPr>
            <w:r>
              <w:rPr>
                <w:rFonts w:eastAsia="宋体" w:cs="Arial"/>
                <w:sz w:val="13"/>
                <w:szCs w:val="13"/>
              </w:rPr>
              <w:t>制造商</w:t>
            </w:r>
          </w:p>
        </w:tc>
        <w:tc>
          <w:tcPr>
            <w:tcW w:w="1559" w:type="dxa"/>
          </w:tcPr>
          <w:p w14:paraId="4E38C357">
            <w:pPr>
              <w:spacing w:before="31" w:beforeLines="10" w:line="180" w:lineRule="exact"/>
              <w:rPr>
                <w:rFonts w:eastAsia="宋体" w:cs="Arial"/>
                <w:sz w:val="13"/>
                <w:szCs w:val="13"/>
              </w:rPr>
            </w:pPr>
            <w:r>
              <w:rPr>
                <w:rFonts w:eastAsia="宋体" w:cs="Arial"/>
                <w:sz w:val="13"/>
                <w:szCs w:val="13"/>
              </w:rPr>
              <w:t>型号</w:t>
            </w:r>
          </w:p>
        </w:tc>
        <w:tc>
          <w:tcPr>
            <w:tcW w:w="1843" w:type="dxa"/>
            <w:gridSpan w:val="3"/>
          </w:tcPr>
          <w:p w14:paraId="27D131E0">
            <w:pPr>
              <w:spacing w:before="31" w:beforeLines="10" w:line="180" w:lineRule="exact"/>
              <w:rPr>
                <w:rFonts w:eastAsia="宋体" w:cs="Arial"/>
                <w:sz w:val="13"/>
                <w:szCs w:val="13"/>
              </w:rPr>
            </w:pPr>
            <w:r>
              <w:rPr>
                <w:rFonts w:eastAsia="宋体" w:cs="Arial"/>
                <w:sz w:val="13"/>
                <w:szCs w:val="13"/>
              </w:rPr>
              <w:t>生产日期</w:t>
            </w:r>
          </w:p>
        </w:tc>
        <w:tc>
          <w:tcPr>
            <w:tcW w:w="1843" w:type="dxa"/>
            <w:gridSpan w:val="2"/>
            <w:vMerge w:val="continue"/>
            <w:tcBorders>
              <w:right w:val="nil"/>
            </w:tcBorders>
          </w:tcPr>
          <w:p w14:paraId="62AEC799">
            <w:pPr>
              <w:spacing w:before="31" w:beforeLines="10" w:line="180" w:lineRule="exact"/>
              <w:rPr>
                <w:rFonts w:eastAsia="宋体" w:cs="Arial"/>
                <w:sz w:val="13"/>
                <w:szCs w:val="13"/>
              </w:rPr>
            </w:pPr>
          </w:p>
        </w:tc>
        <w:tc>
          <w:tcPr>
            <w:tcW w:w="1984" w:type="dxa"/>
            <w:vMerge w:val="continue"/>
            <w:tcBorders>
              <w:left w:val="nil"/>
            </w:tcBorders>
          </w:tcPr>
          <w:p w14:paraId="241B187C">
            <w:pPr>
              <w:spacing w:before="31" w:beforeLines="10" w:line="180" w:lineRule="exact"/>
              <w:rPr>
                <w:rFonts w:eastAsia="宋体" w:cs="Arial"/>
                <w:sz w:val="13"/>
                <w:szCs w:val="13"/>
              </w:rPr>
            </w:pPr>
          </w:p>
        </w:tc>
      </w:tr>
    </w:tbl>
    <w:p w14:paraId="33FE5097">
      <w:pPr>
        <w:spacing w:before="31" w:beforeLines="10" w:line="180" w:lineRule="exact"/>
        <w:rPr>
          <w:rFonts w:eastAsia="宋体" w:cs="Arial"/>
          <w:b/>
          <w:sz w:val="13"/>
          <w:szCs w:val="13"/>
        </w:rPr>
      </w:pPr>
      <w:r>
        <w:rPr>
          <w:rFonts w:eastAsia="宋体" w:cs="Arial"/>
          <w:b/>
          <w:sz w:val="13"/>
          <w:szCs w:val="13"/>
        </w:rPr>
        <w:t>5. 装配商信息</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641"/>
      </w:tblGrid>
      <w:tr w14:paraId="7F3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30B753E4">
            <w:pPr>
              <w:spacing w:before="31" w:beforeLines="10" w:line="180" w:lineRule="exact"/>
              <w:rPr>
                <w:rFonts w:eastAsia="宋体" w:cs="Arial"/>
                <w:sz w:val="13"/>
                <w:szCs w:val="13"/>
              </w:rPr>
            </w:pPr>
            <w:r>
              <w:rPr>
                <w:rFonts w:eastAsia="宋体" w:cs="Arial"/>
                <w:sz w:val="13"/>
                <w:szCs w:val="13"/>
              </w:rPr>
              <w:t>我确认，我正在为之撰写报告的所有获证组件均为我所装配或安装。在安装或装配过程中，我均依照制造商提供的使用说明对这些组件进行了调节和测试。这些组件均为制造商所要求的固有类型，也是诊断用X射线性能标准所要求的类型（21 CFR 1020）。在装配和安装过程中，未对这些组件进行更改而对性能产生不良影响。组件安装按21 CFR 1020的规定进行。我还确认，21 CFR 1020对此类装配所要求的所有安装手册和其它信息均已提供给买方，且在装配之日起15日内，本报告的每个副本将按每个副本底部标示予以发送。</w:t>
            </w:r>
          </w:p>
        </w:tc>
      </w:tr>
      <w:tr w14:paraId="5E55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1A0EB1">
            <w:pPr>
              <w:spacing w:before="31" w:beforeLines="10" w:line="180" w:lineRule="exact"/>
              <w:rPr>
                <w:rFonts w:eastAsia="宋体" w:cs="Arial"/>
                <w:sz w:val="13"/>
                <w:szCs w:val="13"/>
              </w:rPr>
            </w:pPr>
            <w:r>
              <w:rPr>
                <w:rFonts w:eastAsia="宋体" w:cs="Arial"/>
                <w:sz w:val="13"/>
                <w:szCs w:val="13"/>
              </w:rPr>
              <w:t>a. 姓名印刷体</w:t>
            </w:r>
          </w:p>
          <w:p w14:paraId="4C01B81F">
            <w:pPr>
              <w:spacing w:before="31" w:beforeLines="10" w:line="180" w:lineRule="exact"/>
              <w:rPr>
                <w:rFonts w:eastAsia="宋体" w:cs="Arial"/>
                <w:sz w:val="13"/>
                <w:szCs w:val="13"/>
              </w:rPr>
            </w:pPr>
          </w:p>
        </w:tc>
        <w:tc>
          <w:tcPr>
            <w:tcW w:w="2841" w:type="dxa"/>
          </w:tcPr>
          <w:p w14:paraId="1A6D7126">
            <w:pPr>
              <w:spacing w:before="31" w:beforeLines="10" w:line="180" w:lineRule="exact"/>
              <w:rPr>
                <w:rFonts w:eastAsia="宋体" w:cs="Arial"/>
                <w:sz w:val="13"/>
                <w:szCs w:val="13"/>
              </w:rPr>
            </w:pPr>
            <w:r>
              <w:rPr>
                <w:rFonts w:eastAsia="宋体" w:cs="Arial"/>
                <w:sz w:val="13"/>
                <w:szCs w:val="13"/>
              </w:rPr>
              <w:t>b. 签名</w:t>
            </w:r>
          </w:p>
        </w:tc>
        <w:tc>
          <w:tcPr>
            <w:tcW w:w="3641" w:type="dxa"/>
          </w:tcPr>
          <w:p w14:paraId="3F43B8B4">
            <w:pPr>
              <w:spacing w:before="31" w:beforeLines="10" w:line="180" w:lineRule="exact"/>
              <w:rPr>
                <w:rFonts w:eastAsia="宋体" w:cs="Arial"/>
                <w:sz w:val="13"/>
                <w:szCs w:val="13"/>
              </w:rPr>
            </w:pPr>
            <w:r>
              <w:rPr>
                <w:rFonts w:eastAsia="宋体" w:cs="Arial"/>
                <w:sz w:val="13"/>
                <w:szCs w:val="13"/>
              </w:rPr>
              <w:t>c. 日期</w:t>
            </w:r>
          </w:p>
        </w:tc>
      </w:tr>
    </w:tbl>
    <w:p w14:paraId="2AA627EF">
      <w:pPr>
        <w:spacing w:before="31" w:beforeLines="10" w:line="180" w:lineRule="exact"/>
        <w:rPr>
          <w:rFonts w:eastAsia="宋体" w:cs="Arial"/>
          <w:sz w:val="13"/>
          <w:szCs w:val="13"/>
        </w:rPr>
      </w:pPr>
      <w:r>
        <w:rPr>
          <w:rFonts w:eastAsia="宋体" w:cs="Arial"/>
          <w:sz w:val="13"/>
          <w:szCs w:val="13"/>
        </w:rPr>
        <w:t>6. 评论</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14:paraId="6E2C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Pr>
          <w:p w14:paraId="3B18246B">
            <w:pPr>
              <w:spacing w:before="31" w:beforeLines="10" w:line="180" w:lineRule="exact"/>
              <w:rPr>
                <w:rFonts w:eastAsia="宋体" w:cs="Arial"/>
                <w:sz w:val="13"/>
                <w:szCs w:val="13"/>
              </w:rPr>
            </w:pPr>
          </w:p>
          <w:p w14:paraId="7F0656E7">
            <w:pPr>
              <w:spacing w:before="31" w:beforeLines="10" w:line="180" w:lineRule="exact"/>
              <w:rPr>
                <w:rFonts w:eastAsia="宋体" w:cs="Arial"/>
                <w:sz w:val="13"/>
                <w:szCs w:val="13"/>
              </w:rPr>
            </w:pPr>
          </w:p>
          <w:p w14:paraId="072027E0">
            <w:pPr>
              <w:spacing w:before="31" w:beforeLines="10" w:line="180" w:lineRule="exact"/>
              <w:rPr>
                <w:rFonts w:eastAsia="宋体" w:cs="Arial"/>
                <w:sz w:val="13"/>
                <w:szCs w:val="13"/>
              </w:rPr>
            </w:pPr>
          </w:p>
        </w:tc>
      </w:tr>
    </w:tbl>
    <w:p w14:paraId="1FA25368">
      <w:pPr>
        <w:tabs>
          <w:tab w:val="right" w:pos="9020"/>
        </w:tabs>
        <w:spacing w:before="31" w:beforeLines="10" w:line="180" w:lineRule="exact"/>
        <w:rPr>
          <w:rFonts w:eastAsia="宋体" w:cs="Arial"/>
          <w:sz w:val="13"/>
          <w:szCs w:val="13"/>
        </w:rPr>
      </w:pPr>
      <w:r>
        <w:rPr>
          <w:rFonts w:eastAsia="宋体" w:cs="Arial"/>
          <w:b/>
          <w:sz w:val="13"/>
          <w:szCs w:val="13"/>
        </w:rPr>
        <w:t xml:space="preserve">FDA 2579表（10/97）  </w:t>
      </w:r>
      <w:r>
        <w:rPr>
          <w:rFonts w:eastAsia="宋体" w:cs="Arial"/>
          <w:sz w:val="13"/>
          <w:szCs w:val="13"/>
        </w:rPr>
        <w:t xml:space="preserve">  旧版本作废 </w:t>
      </w:r>
      <w:r>
        <w:rPr>
          <w:rFonts w:eastAsia="宋体" w:cs="Arial"/>
          <w:sz w:val="13"/>
          <w:szCs w:val="13"/>
        </w:rPr>
        <w:tab/>
      </w:r>
      <w:r>
        <w:rPr>
          <w:rFonts w:eastAsia="宋体" w:cs="Arial"/>
          <w:sz w:val="13"/>
          <w:szCs w:val="13"/>
        </w:rPr>
        <w:t xml:space="preserve"> EF</w:t>
      </w:r>
    </w:p>
    <w:p w14:paraId="03A3397F">
      <w:pPr>
        <w:spacing w:before="31" w:beforeLines="10" w:line="180" w:lineRule="exact"/>
        <w:jc w:val="center"/>
        <w:rPr>
          <w:rFonts w:eastAsia="宋体" w:cs="Arial"/>
          <w:sz w:val="13"/>
          <w:szCs w:val="13"/>
        </w:rPr>
      </w:pPr>
      <w:r>
        <w:rPr>
          <w:rFonts w:eastAsia="宋体" w:cs="Arial"/>
          <w:sz w:val="13"/>
          <w:szCs w:val="13"/>
        </w:rPr>
        <w:t>白色副本－FDA，HFZ-307. Gaither Road, Rockille, MD 20850</w:t>
      </w:r>
    </w:p>
    <w:p w14:paraId="06B5BF6A">
      <w:pPr>
        <w:spacing w:before="187"/>
        <w:rPr>
          <w:rFonts w:eastAsia="宋体" w:cs="Arial"/>
        </w:rPr>
      </w:pPr>
      <w:r>
        <w:rPr>
          <w:rFonts w:eastAsia="宋体" w:cs="Arial"/>
        </w:rPr>
        <w:br w:type="page"/>
      </w:r>
    </w:p>
    <w:p w14:paraId="10ED2DC5">
      <w:pPr>
        <w:spacing w:before="187"/>
        <w:jc w:val="center"/>
        <w:rPr>
          <w:rFonts w:eastAsia="宋体" w:cs="Arial"/>
          <w:u w:val="single"/>
        </w:rPr>
      </w:pPr>
      <w:r>
        <w:rPr>
          <w:rFonts w:eastAsia="宋体" w:cs="Arial"/>
          <w:u w:val="single"/>
        </w:rPr>
        <w:t>FD-2766表 电子产品损害赔偿</w:t>
      </w:r>
    </w:p>
    <w:p w14:paraId="747FFB7A">
      <w:pPr>
        <w:spacing w:before="187"/>
        <w:rPr>
          <w:rFonts w:eastAsia="宋体" w:cs="Arial"/>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325"/>
        <w:gridCol w:w="1943"/>
        <w:gridCol w:w="425"/>
        <w:gridCol w:w="2693"/>
      </w:tblGrid>
      <w:tr w14:paraId="797B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14:paraId="4BC279B2">
            <w:pPr>
              <w:spacing w:before="31" w:beforeLines="10" w:after="31" w:afterLines="10" w:line="240" w:lineRule="exact"/>
              <w:jc w:val="center"/>
              <w:rPr>
                <w:rFonts w:eastAsia="宋体" w:cs="Arial"/>
                <w:sz w:val="18"/>
                <w:szCs w:val="18"/>
              </w:rPr>
            </w:pPr>
          </w:p>
          <w:p w14:paraId="0F017050">
            <w:pPr>
              <w:spacing w:before="31" w:beforeLines="10" w:after="31" w:afterLines="10" w:line="240" w:lineRule="exact"/>
              <w:jc w:val="center"/>
              <w:rPr>
                <w:rFonts w:eastAsia="宋体" w:cs="Arial"/>
                <w:sz w:val="18"/>
                <w:szCs w:val="18"/>
              </w:rPr>
            </w:pPr>
            <w:r>
              <w:rPr>
                <w:rFonts w:eastAsia="宋体" w:cs="Arial"/>
                <w:sz w:val="18"/>
                <w:szCs w:val="18"/>
              </w:rPr>
              <w:t>卫生和人类服务署</w:t>
            </w:r>
          </w:p>
          <w:p w14:paraId="0F3CD6CD">
            <w:pPr>
              <w:spacing w:before="31" w:beforeLines="10" w:after="31" w:afterLines="10" w:line="240" w:lineRule="exact"/>
              <w:jc w:val="center"/>
              <w:rPr>
                <w:rFonts w:eastAsia="宋体" w:cs="Arial"/>
                <w:sz w:val="18"/>
                <w:szCs w:val="18"/>
              </w:rPr>
            </w:pPr>
            <w:r>
              <w:rPr>
                <w:rFonts w:eastAsia="宋体" w:cs="Arial"/>
                <w:sz w:val="18"/>
                <w:szCs w:val="18"/>
              </w:rPr>
              <w:t>公共卫生署</w:t>
            </w:r>
          </w:p>
          <w:p w14:paraId="1B9E7F90">
            <w:pPr>
              <w:spacing w:before="31" w:beforeLines="10" w:after="31" w:afterLines="10" w:line="240" w:lineRule="exact"/>
              <w:jc w:val="center"/>
              <w:rPr>
                <w:rFonts w:eastAsia="宋体" w:cs="Arial"/>
                <w:sz w:val="18"/>
                <w:szCs w:val="18"/>
              </w:rPr>
            </w:pPr>
            <w:r>
              <w:rPr>
                <w:rFonts w:eastAsia="宋体" w:cs="Arial"/>
                <w:sz w:val="18"/>
                <w:szCs w:val="18"/>
              </w:rPr>
              <w:t>食品药品监督管理局</w:t>
            </w:r>
          </w:p>
          <w:p w14:paraId="7EF3BBDD">
            <w:pPr>
              <w:spacing w:before="31" w:beforeLines="10" w:after="31" w:afterLines="10" w:line="240" w:lineRule="exact"/>
              <w:jc w:val="center"/>
              <w:rPr>
                <w:rFonts w:eastAsia="宋体" w:cs="Arial"/>
                <w:sz w:val="18"/>
                <w:szCs w:val="18"/>
              </w:rPr>
            </w:pPr>
          </w:p>
        </w:tc>
        <w:tc>
          <w:tcPr>
            <w:tcW w:w="5061" w:type="dxa"/>
            <w:gridSpan w:val="3"/>
          </w:tcPr>
          <w:p w14:paraId="751F7F38">
            <w:pPr>
              <w:spacing w:before="31" w:beforeLines="10" w:after="31" w:afterLines="10" w:line="240" w:lineRule="exact"/>
              <w:jc w:val="center"/>
              <w:rPr>
                <w:rFonts w:eastAsia="宋体" w:cs="Arial"/>
                <w:sz w:val="18"/>
                <w:szCs w:val="18"/>
              </w:rPr>
            </w:pPr>
          </w:p>
          <w:p w14:paraId="152280DE">
            <w:pPr>
              <w:spacing w:before="31" w:beforeLines="10" w:after="31" w:afterLines="10" w:line="240" w:lineRule="exact"/>
              <w:jc w:val="center"/>
              <w:rPr>
                <w:rFonts w:eastAsia="宋体" w:cs="Arial"/>
                <w:sz w:val="18"/>
                <w:szCs w:val="18"/>
              </w:rPr>
            </w:pPr>
            <w:r>
              <w:rPr>
                <w:rFonts w:eastAsia="宋体" w:cs="Arial"/>
                <w:sz w:val="18"/>
                <w:szCs w:val="18"/>
              </w:rPr>
              <w:t>电子产品损害赔偿</w:t>
            </w:r>
          </w:p>
          <w:p w14:paraId="4AFD3C29">
            <w:pPr>
              <w:spacing w:before="31" w:beforeLines="10" w:after="31" w:afterLines="10" w:line="240" w:lineRule="exact"/>
              <w:jc w:val="center"/>
              <w:rPr>
                <w:rFonts w:eastAsia="宋体" w:cs="Arial"/>
                <w:i/>
                <w:sz w:val="18"/>
                <w:szCs w:val="18"/>
              </w:rPr>
            </w:pPr>
          </w:p>
          <w:p w14:paraId="220DD826">
            <w:pPr>
              <w:spacing w:before="31" w:beforeLines="10" w:after="31" w:afterLines="10" w:line="240" w:lineRule="exact"/>
              <w:jc w:val="center"/>
              <w:rPr>
                <w:rFonts w:eastAsia="宋体" w:cs="Arial"/>
                <w:i/>
                <w:sz w:val="18"/>
                <w:szCs w:val="18"/>
              </w:rPr>
            </w:pPr>
            <w:r>
              <w:rPr>
                <w:rFonts w:eastAsia="宋体" w:cs="Arial"/>
                <w:i/>
                <w:sz w:val="18"/>
                <w:szCs w:val="18"/>
              </w:rPr>
              <w:t>（见背面的使用说明）</w:t>
            </w:r>
          </w:p>
        </w:tc>
      </w:tr>
      <w:tr w14:paraId="3A42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1483AA67">
            <w:pPr>
              <w:spacing w:before="31" w:beforeLines="10" w:after="31" w:afterLines="10" w:line="240" w:lineRule="exact"/>
              <w:rPr>
                <w:rFonts w:eastAsia="宋体" w:cs="Arial"/>
                <w:sz w:val="18"/>
                <w:szCs w:val="18"/>
              </w:rPr>
            </w:pPr>
            <w:r>
              <w:rPr>
                <w:rFonts w:eastAsia="宋体" w:cs="Arial"/>
                <w:sz w:val="18"/>
                <w:szCs w:val="18"/>
              </w:rPr>
              <w:t>I                          由原告填写</w:t>
            </w:r>
          </w:p>
        </w:tc>
      </w:tr>
      <w:tr w14:paraId="63D9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69FFF5DC">
            <w:pPr>
              <w:spacing w:before="31" w:beforeLines="10" w:after="31" w:afterLines="10" w:line="240" w:lineRule="exact"/>
              <w:rPr>
                <w:rFonts w:eastAsia="宋体" w:cs="Arial"/>
                <w:sz w:val="18"/>
                <w:szCs w:val="18"/>
              </w:rPr>
            </w:pPr>
            <w:r>
              <w:rPr>
                <w:rFonts w:eastAsia="宋体" w:cs="Arial"/>
                <w:sz w:val="18"/>
                <w:szCs w:val="18"/>
              </w:rPr>
              <w:t>姓名和邮寄地址（包括邮政编码）</w:t>
            </w:r>
          </w:p>
          <w:p w14:paraId="66D37F87">
            <w:pPr>
              <w:spacing w:before="31" w:beforeLines="10" w:after="31" w:afterLines="10" w:line="240" w:lineRule="exact"/>
              <w:rPr>
                <w:rFonts w:eastAsia="宋体" w:cs="Arial"/>
                <w:sz w:val="18"/>
                <w:szCs w:val="18"/>
              </w:rPr>
            </w:pPr>
          </w:p>
          <w:p w14:paraId="0B17DB96">
            <w:pPr>
              <w:spacing w:before="31" w:beforeLines="10" w:after="31" w:afterLines="10" w:line="240" w:lineRule="exact"/>
              <w:rPr>
                <w:rFonts w:eastAsia="宋体" w:cs="Arial"/>
                <w:sz w:val="18"/>
                <w:szCs w:val="18"/>
              </w:rPr>
            </w:pPr>
          </w:p>
          <w:p w14:paraId="7FC4BAD7">
            <w:pPr>
              <w:spacing w:before="31" w:beforeLines="10" w:after="31" w:afterLines="10" w:line="240" w:lineRule="exact"/>
              <w:rPr>
                <w:rFonts w:eastAsia="宋体" w:cs="Arial"/>
                <w:sz w:val="18"/>
                <w:szCs w:val="18"/>
              </w:rPr>
            </w:pPr>
          </w:p>
          <w:p w14:paraId="1350EFFA">
            <w:pPr>
              <w:spacing w:before="31" w:beforeLines="10" w:after="31" w:afterLines="10" w:line="240" w:lineRule="exact"/>
              <w:rPr>
                <w:rFonts w:eastAsia="宋体" w:cs="Arial"/>
                <w:sz w:val="18"/>
                <w:szCs w:val="18"/>
              </w:rPr>
            </w:pPr>
          </w:p>
          <w:p w14:paraId="3BDF3065">
            <w:pPr>
              <w:spacing w:before="31" w:beforeLines="10" w:after="31" w:afterLines="10" w:line="240" w:lineRule="exact"/>
              <w:rPr>
                <w:rFonts w:eastAsia="宋体" w:cs="Arial"/>
                <w:sz w:val="18"/>
                <w:szCs w:val="18"/>
              </w:rPr>
            </w:pPr>
          </w:p>
          <w:p w14:paraId="737218F9">
            <w:pPr>
              <w:spacing w:before="31" w:beforeLines="10" w:after="31" w:afterLines="10" w:line="240" w:lineRule="exact"/>
              <w:rPr>
                <w:rFonts w:eastAsia="宋体" w:cs="Arial"/>
                <w:sz w:val="18"/>
                <w:szCs w:val="18"/>
              </w:rPr>
            </w:pPr>
          </w:p>
        </w:tc>
      </w:tr>
      <w:tr w14:paraId="3D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05C0CCBE">
            <w:pPr>
              <w:spacing w:before="31" w:beforeLines="10" w:after="31" w:afterLines="10" w:line="240" w:lineRule="exact"/>
              <w:rPr>
                <w:rFonts w:eastAsia="宋体" w:cs="Arial"/>
                <w:sz w:val="18"/>
                <w:szCs w:val="18"/>
              </w:rPr>
            </w:pPr>
            <w:r>
              <w:rPr>
                <w:rFonts w:eastAsia="宋体" w:cs="Arial"/>
                <w:sz w:val="18"/>
                <w:szCs w:val="18"/>
              </w:rPr>
              <w:t>因对我的___________所造成的____________损害，本人特此申请__________美元作为赔偿。</w:t>
            </w:r>
          </w:p>
          <w:p w14:paraId="6A7A70C9">
            <w:pPr>
              <w:spacing w:before="31" w:beforeLines="10" w:after="31" w:afterLines="10" w:line="240" w:lineRule="exact"/>
              <w:rPr>
                <w:rFonts w:eastAsia="宋体" w:cs="Arial"/>
                <w:sz w:val="18"/>
                <w:szCs w:val="18"/>
              </w:rPr>
            </w:pPr>
            <w:r>
              <w:rPr>
                <w:rFonts w:eastAsia="宋体" w:cs="Arial"/>
                <w:sz w:val="18"/>
                <w:szCs w:val="18"/>
              </w:rPr>
              <w:t>19___年__月___日食品药品监督管理局进行测试期间，对我的设备造成了损害。</w:t>
            </w:r>
          </w:p>
          <w:p w14:paraId="3A71DF46">
            <w:pPr>
              <w:spacing w:before="31" w:beforeLines="10" w:after="31" w:afterLines="10" w:line="240" w:lineRule="exact"/>
              <w:rPr>
                <w:rFonts w:eastAsia="宋体" w:cs="Arial"/>
                <w:sz w:val="18"/>
                <w:szCs w:val="18"/>
              </w:rPr>
            </w:pPr>
            <w:r>
              <w:rPr>
                <w:rFonts w:eastAsia="宋体" w:cs="Arial"/>
                <w:sz w:val="18"/>
                <w:szCs w:val="18"/>
              </w:rPr>
              <w:t>设备名称为___________________，型号为_____________，序列号为_____________。</w:t>
            </w:r>
          </w:p>
        </w:tc>
      </w:tr>
      <w:tr w14:paraId="7BD1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14:paraId="677886C2">
            <w:pPr>
              <w:spacing w:before="31" w:beforeLines="10" w:after="31" w:afterLines="10" w:line="240" w:lineRule="exact"/>
              <w:rPr>
                <w:rFonts w:eastAsia="宋体" w:cs="Arial"/>
                <w:sz w:val="18"/>
                <w:szCs w:val="18"/>
              </w:rPr>
            </w:pPr>
            <w:r>
              <w:rPr>
                <w:rFonts w:eastAsia="宋体" w:cs="Arial"/>
                <w:sz w:val="18"/>
                <w:szCs w:val="18"/>
              </w:rPr>
              <w:t>签名</w:t>
            </w:r>
          </w:p>
          <w:p w14:paraId="3DE2023C">
            <w:pPr>
              <w:spacing w:before="31" w:beforeLines="10" w:after="31" w:afterLines="10" w:line="240" w:lineRule="exact"/>
              <w:rPr>
                <w:rFonts w:eastAsia="宋体" w:cs="Arial"/>
                <w:sz w:val="18"/>
                <w:szCs w:val="18"/>
              </w:rPr>
            </w:pPr>
          </w:p>
          <w:p w14:paraId="745B09EA">
            <w:pPr>
              <w:spacing w:before="31" w:beforeLines="10" w:after="31" w:afterLines="10" w:line="240" w:lineRule="exact"/>
              <w:rPr>
                <w:rFonts w:eastAsia="宋体" w:cs="Arial"/>
                <w:sz w:val="18"/>
                <w:szCs w:val="18"/>
              </w:rPr>
            </w:pPr>
          </w:p>
        </w:tc>
        <w:tc>
          <w:tcPr>
            <w:tcW w:w="3118" w:type="dxa"/>
            <w:gridSpan w:val="2"/>
          </w:tcPr>
          <w:p w14:paraId="04C0305A">
            <w:pPr>
              <w:spacing w:before="31" w:beforeLines="10" w:after="31" w:afterLines="10" w:line="240" w:lineRule="exact"/>
              <w:rPr>
                <w:rFonts w:eastAsia="宋体" w:cs="Arial"/>
                <w:sz w:val="18"/>
                <w:szCs w:val="18"/>
              </w:rPr>
            </w:pPr>
            <w:r>
              <w:rPr>
                <w:rFonts w:eastAsia="宋体" w:cs="Arial"/>
                <w:sz w:val="18"/>
                <w:szCs w:val="18"/>
              </w:rPr>
              <w:t>日期</w:t>
            </w:r>
          </w:p>
        </w:tc>
      </w:tr>
      <w:tr w14:paraId="6C5A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726C59C6">
            <w:pPr>
              <w:spacing w:before="31" w:beforeLines="10" w:after="31" w:afterLines="10" w:line="240" w:lineRule="exact"/>
              <w:rPr>
                <w:rFonts w:eastAsia="宋体" w:cs="Arial"/>
                <w:sz w:val="18"/>
                <w:szCs w:val="18"/>
              </w:rPr>
            </w:pPr>
            <w:r>
              <w:rPr>
                <w:rFonts w:eastAsia="宋体" w:cs="Arial"/>
                <w:sz w:val="18"/>
                <w:szCs w:val="18"/>
              </w:rPr>
              <w:t>II                           由食品药品检查员填写</w:t>
            </w:r>
          </w:p>
        </w:tc>
      </w:tr>
      <w:tr w14:paraId="3DE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40806B09">
            <w:pPr>
              <w:spacing w:before="31" w:beforeLines="10" w:after="31" w:afterLines="10" w:line="240" w:lineRule="exact"/>
              <w:rPr>
                <w:rFonts w:eastAsia="宋体" w:cs="Arial"/>
                <w:sz w:val="18"/>
                <w:szCs w:val="18"/>
              </w:rPr>
            </w:pPr>
            <w:r>
              <w:rPr>
                <w:rFonts w:eastAsia="宋体" w:cs="Arial"/>
                <w:sz w:val="18"/>
                <w:szCs w:val="18"/>
              </w:rPr>
              <w:t>我确认，上面所列价值_______美元（修理费/更换费）的________________________________是根据公共法案90-602的规定进行官方测试期间，由我在场的情况下发生的（损害/超出修理范围的损害）。</w:t>
            </w:r>
          </w:p>
        </w:tc>
      </w:tr>
      <w:tr w14:paraId="05A8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Merge w:val="restart"/>
          </w:tcPr>
          <w:p w14:paraId="7E9C9544">
            <w:pPr>
              <w:spacing w:before="31" w:beforeLines="10" w:after="31" w:afterLines="10" w:line="240" w:lineRule="exact"/>
              <w:rPr>
                <w:rFonts w:eastAsia="宋体" w:cs="Arial"/>
                <w:sz w:val="18"/>
                <w:szCs w:val="18"/>
              </w:rPr>
            </w:pPr>
            <w:r>
              <w:rPr>
                <w:rFonts w:eastAsia="宋体" w:cs="Arial"/>
                <w:sz w:val="18"/>
                <w:szCs w:val="18"/>
              </w:rPr>
              <w:t>姓名、机构名和地址印刷体</w:t>
            </w:r>
          </w:p>
        </w:tc>
        <w:tc>
          <w:tcPr>
            <w:tcW w:w="5061" w:type="dxa"/>
            <w:gridSpan w:val="3"/>
          </w:tcPr>
          <w:p w14:paraId="034A3DB7">
            <w:pPr>
              <w:spacing w:before="31" w:beforeLines="10" w:after="31" w:afterLines="10" w:line="240" w:lineRule="exact"/>
              <w:rPr>
                <w:rFonts w:eastAsia="宋体" w:cs="Arial"/>
                <w:sz w:val="18"/>
                <w:szCs w:val="18"/>
              </w:rPr>
            </w:pPr>
            <w:r>
              <w:rPr>
                <w:rFonts w:eastAsia="宋体" w:cs="Arial"/>
                <w:sz w:val="18"/>
                <w:szCs w:val="18"/>
              </w:rPr>
              <w:t>签名</w:t>
            </w:r>
          </w:p>
          <w:p w14:paraId="68919B45">
            <w:pPr>
              <w:spacing w:before="31" w:beforeLines="10" w:after="31" w:afterLines="10" w:line="240" w:lineRule="exact"/>
              <w:rPr>
                <w:rFonts w:eastAsia="宋体" w:cs="Arial"/>
                <w:sz w:val="18"/>
                <w:szCs w:val="18"/>
              </w:rPr>
            </w:pPr>
          </w:p>
          <w:p w14:paraId="75E540B7">
            <w:pPr>
              <w:spacing w:before="31" w:beforeLines="10" w:after="31" w:afterLines="10" w:line="240" w:lineRule="exact"/>
              <w:rPr>
                <w:rFonts w:eastAsia="宋体" w:cs="Arial"/>
                <w:sz w:val="18"/>
                <w:szCs w:val="18"/>
              </w:rPr>
            </w:pPr>
          </w:p>
        </w:tc>
      </w:tr>
      <w:tr w14:paraId="27A5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Merge w:val="continue"/>
          </w:tcPr>
          <w:p w14:paraId="1603531C">
            <w:pPr>
              <w:spacing w:before="31" w:beforeLines="10" w:after="31" w:afterLines="10" w:line="240" w:lineRule="exact"/>
              <w:rPr>
                <w:rFonts w:eastAsia="宋体" w:cs="Arial"/>
                <w:sz w:val="18"/>
                <w:szCs w:val="18"/>
              </w:rPr>
            </w:pPr>
          </w:p>
        </w:tc>
        <w:tc>
          <w:tcPr>
            <w:tcW w:w="5061" w:type="dxa"/>
            <w:gridSpan w:val="3"/>
          </w:tcPr>
          <w:p w14:paraId="3C0BF589">
            <w:pPr>
              <w:spacing w:before="31" w:beforeLines="10" w:after="31" w:afterLines="10" w:line="240" w:lineRule="exact"/>
              <w:rPr>
                <w:rFonts w:eastAsia="宋体" w:cs="Arial"/>
                <w:sz w:val="18"/>
                <w:szCs w:val="18"/>
              </w:rPr>
            </w:pPr>
            <w:r>
              <w:rPr>
                <w:rFonts w:eastAsia="宋体" w:cs="Arial"/>
                <w:sz w:val="18"/>
                <w:szCs w:val="18"/>
              </w:rPr>
              <w:t>日期</w:t>
            </w:r>
          </w:p>
          <w:p w14:paraId="3621C202">
            <w:pPr>
              <w:spacing w:before="31" w:beforeLines="10" w:after="31" w:afterLines="10" w:line="240" w:lineRule="exact"/>
              <w:rPr>
                <w:rFonts w:eastAsia="宋体" w:cs="Arial"/>
                <w:sz w:val="18"/>
                <w:szCs w:val="18"/>
              </w:rPr>
            </w:pPr>
          </w:p>
          <w:p w14:paraId="4A46C18E">
            <w:pPr>
              <w:spacing w:before="31" w:beforeLines="10" w:after="31" w:afterLines="10" w:line="240" w:lineRule="exact"/>
              <w:rPr>
                <w:rFonts w:eastAsia="宋体" w:cs="Arial"/>
                <w:sz w:val="18"/>
                <w:szCs w:val="18"/>
              </w:rPr>
            </w:pPr>
          </w:p>
        </w:tc>
      </w:tr>
      <w:tr w14:paraId="5B8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54DE3754">
            <w:pPr>
              <w:spacing w:before="31" w:beforeLines="10" w:after="31" w:afterLines="10" w:line="240" w:lineRule="exact"/>
              <w:rPr>
                <w:rFonts w:eastAsia="宋体" w:cs="Arial"/>
                <w:sz w:val="18"/>
                <w:szCs w:val="18"/>
              </w:rPr>
            </w:pPr>
            <w:r>
              <w:rPr>
                <w:rFonts w:eastAsia="宋体" w:cs="Arial"/>
                <w:sz w:val="18"/>
                <w:szCs w:val="18"/>
              </w:rPr>
              <w:t>III                     由直接监督员、员工或代表填写</w:t>
            </w:r>
          </w:p>
        </w:tc>
      </w:tr>
      <w:tr w14:paraId="3BBD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40B43D3">
            <w:pPr>
              <w:spacing w:before="31" w:beforeLines="10" w:after="31" w:afterLines="10" w:line="240" w:lineRule="exact"/>
              <w:rPr>
                <w:rFonts w:eastAsia="宋体" w:cs="Arial"/>
                <w:sz w:val="18"/>
                <w:szCs w:val="18"/>
              </w:rPr>
            </w:pPr>
            <w:r>
              <w:rPr>
                <w:rFonts w:eastAsia="宋体" w:cs="Arial"/>
                <w:sz w:val="18"/>
                <w:szCs w:val="18"/>
              </w:rPr>
              <w:t>姓名印刷体和</w:t>
            </w:r>
          </w:p>
          <w:p w14:paraId="0289FB65">
            <w:pPr>
              <w:spacing w:before="31" w:beforeLines="10" w:after="31" w:afterLines="10" w:line="240" w:lineRule="exact"/>
              <w:rPr>
                <w:rFonts w:eastAsia="宋体" w:cs="Arial"/>
                <w:sz w:val="18"/>
                <w:szCs w:val="18"/>
              </w:rPr>
            </w:pPr>
          </w:p>
          <w:p w14:paraId="7C3A63A7">
            <w:pPr>
              <w:spacing w:before="31" w:beforeLines="10" w:after="31" w:afterLines="10" w:line="240" w:lineRule="exact"/>
              <w:rPr>
                <w:rFonts w:eastAsia="宋体" w:cs="Arial"/>
                <w:sz w:val="18"/>
                <w:szCs w:val="18"/>
              </w:rPr>
            </w:pPr>
          </w:p>
        </w:tc>
        <w:tc>
          <w:tcPr>
            <w:tcW w:w="2693" w:type="dxa"/>
            <w:gridSpan w:val="3"/>
          </w:tcPr>
          <w:p w14:paraId="57DA3CC8">
            <w:pPr>
              <w:spacing w:before="31" w:beforeLines="10" w:after="31" w:afterLines="10" w:line="240" w:lineRule="exact"/>
              <w:rPr>
                <w:rFonts w:eastAsia="宋体" w:cs="Arial"/>
                <w:sz w:val="18"/>
                <w:szCs w:val="18"/>
              </w:rPr>
            </w:pPr>
            <w:r>
              <w:rPr>
                <w:rFonts w:eastAsia="宋体" w:cs="Arial"/>
                <w:sz w:val="18"/>
                <w:szCs w:val="18"/>
              </w:rPr>
              <w:t>签名</w:t>
            </w:r>
          </w:p>
        </w:tc>
        <w:tc>
          <w:tcPr>
            <w:tcW w:w="2693" w:type="dxa"/>
          </w:tcPr>
          <w:p w14:paraId="6A46EA6A">
            <w:pPr>
              <w:spacing w:before="31" w:beforeLines="10" w:after="31" w:afterLines="10" w:line="240" w:lineRule="exact"/>
              <w:rPr>
                <w:rFonts w:eastAsia="宋体" w:cs="Arial"/>
                <w:sz w:val="18"/>
                <w:szCs w:val="18"/>
              </w:rPr>
            </w:pPr>
            <w:r>
              <w:rPr>
                <w:rFonts w:eastAsia="宋体" w:cs="Arial"/>
                <w:sz w:val="18"/>
                <w:szCs w:val="18"/>
              </w:rPr>
              <w:t>日期</w:t>
            </w:r>
          </w:p>
        </w:tc>
      </w:tr>
      <w:tr w14:paraId="4CBA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2E4E0807">
            <w:pPr>
              <w:spacing w:before="31" w:beforeLines="10" w:after="31" w:afterLines="10" w:line="240" w:lineRule="exact"/>
              <w:rPr>
                <w:rFonts w:eastAsia="宋体" w:cs="Arial"/>
                <w:sz w:val="18"/>
                <w:szCs w:val="18"/>
              </w:rPr>
            </w:pPr>
            <w:r>
              <w:rPr>
                <w:rFonts w:eastAsia="宋体" w:cs="Arial"/>
                <w:sz w:val="18"/>
                <w:szCs w:val="18"/>
              </w:rPr>
              <w:t>IV                     由CDRH合规办公室填写</w:t>
            </w:r>
          </w:p>
        </w:tc>
      </w:tr>
      <w:tr w14:paraId="50BA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14:paraId="1EFA0ABD">
            <w:pPr>
              <w:spacing w:before="31" w:beforeLines="10" w:after="31" w:afterLines="10" w:line="240" w:lineRule="exact"/>
              <w:rPr>
                <w:rFonts w:eastAsia="宋体" w:cs="Arial"/>
                <w:sz w:val="18"/>
                <w:szCs w:val="18"/>
              </w:rPr>
            </w:pPr>
            <w:r>
              <w:rPr>
                <w:rFonts w:eastAsia="宋体" w:cs="Arial"/>
                <w:sz w:val="18"/>
                <w:szCs w:val="18"/>
              </w:rPr>
              <w:t>公共账号</w:t>
            </w:r>
          </w:p>
          <w:p w14:paraId="4E4E3480">
            <w:pPr>
              <w:spacing w:before="31" w:beforeLines="10" w:after="31" w:afterLines="10" w:line="240" w:lineRule="exact"/>
              <w:rPr>
                <w:rFonts w:eastAsia="宋体" w:cs="Arial"/>
                <w:sz w:val="18"/>
                <w:szCs w:val="18"/>
              </w:rPr>
            </w:pPr>
          </w:p>
        </w:tc>
        <w:tc>
          <w:tcPr>
            <w:tcW w:w="5061" w:type="dxa"/>
            <w:gridSpan w:val="3"/>
          </w:tcPr>
          <w:p w14:paraId="2EC39EBA">
            <w:pPr>
              <w:spacing w:before="31" w:beforeLines="10" w:after="31" w:afterLines="10" w:line="240" w:lineRule="exact"/>
              <w:rPr>
                <w:rFonts w:eastAsia="宋体" w:cs="Arial"/>
                <w:sz w:val="18"/>
                <w:szCs w:val="18"/>
              </w:rPr>
            </w:pPr>
            <w:r>
              <w:rPr>
                <w:rFonts w:eastAsia="宋体" w:cs="Arial"/>
                <w:sz w:val="18"/>
                <w:szCs w:val="18"/>
              </w:rPr>
              <w:t>CDRH的意见</w:t>
            </w:r>
          </w:p>
          <w:p w14:paraId="0F929C8E">
            <w:pPr>
              <w:spacing w:before="31" w:beforeLines="10" w:after="31" w:afterLines="10" w:line="240" w:lineRule="exact"/>
              <w:rPr>
                <w:rFonts w:eastAsia="宋体" w:cs="Arial"/>
                <w:sz w:val="18"/>
                <w:szCs w:val="18"/>
              </w:rPr>
            </w:pPr>
          </w:p>
        </w:tc>
      </w:tr>
      <w:tr w14:paraId="7537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58EE71D9">
            <w:pPr>
              <w:spacing w:before="31" w:beforeLines="10" w:after="31" w:afterLines="10" w:line="240" w:lineRule="exact"/>
              <w:rPr>
                <w:rFonts w:eastAsia="宋体" w:cs="Arial"/>
                <w:sz w:val="18"/>
                <w:szCs w:val="18"/>
              </w:rPr>
            </w:pPr>
            <w:r>
              <w:rPr>
                <w:rFonts w:eastAsia="宋体" w:cs="Arial"/>
                <w:sz w:val="18"/>
                <w:szCs w:val="18"/>
              </w:rPr>
              <w:t>评论</w:t>
            </w:r>
          </w:p>
          <w:p w14:paraId="690251C4">
            <w:pPr>
              <w:spacing w:before="31" w:beforeLines="10" w:after="31" w:afterLines="10" w:line="240" w:lineRule="exact"/>
              <w:rPr>
                <w:rFonts w:eastAsia="宋体" w:cs="Arial"/>
                <w:sz w:val="18"/>
                <w:szCs w:val="18"/>
              </w:rPr>
            </w:pPr>
          </w:p>
          <w:p w14:paraId="1F574703">
            <w:pPr>
              <w:spacing w:before="31" w:beforeLines="10" w:after="31" w:afterLines="10" w:line="240" w:lineRule="exact"/>
              <w:rPr>
                <w:rFonts w:eastAsia="宋体" w:cs="Arial"/>
                <w:sz w:val="18"/>
                <w:szCs w:val="18"/>
              </w:rPr>
            </w:pPr>
          </w:p>
          <w:p w14:paraId="7D67447C">
            <w:pPr>
              <w:spacing w:before="31" w:beforeLines="10" w:after="31" w:afterLines="10" w:line="240" w:lineRule="exact"/>
              <w:rPr>
                <w:rFonts w:eastAsia="宋体" w:cs="Arial"/>
                <w:sz w:val="18"/>
                <w:szCs w:val="18"/>
              </w:rPr>
            </w:pPr>
          </w:p>
          <w:p w14:paraId="3436D4F6">
            <w:pPr>
              <w:spacing w:before="31" w:beforeLines="10" w:after="31" w:afterLines="10" w:line="240" w:lineRule="exact"/>
              <w:rPr>
                <w:rFonts w:eastAsia="宋体" w:cs="Arial"/>
                <w:sz w:val="18"/>
                <w:szCs w:val="18"/>
              </w:rPr>
            </w:pPr>
          </w:p>
          <w:p w14:paraId="705A7796">
            <w:pPr>
              <w:spacing w:before="31" w:beforeLines="10" w:after="31" w:afterLines="10" w:line="240" w:lineRule="exact"/>
              <w:rPr>
                <w:rFonts w:eastAsia="宋体" w:cs="Arial"/>
                <w:sz w:val="18"/>
                <w:szCs w:val="18"/>
              </w:rPr>
            </w:pPr>
          </w:p>
          <w:p w14:paraId="487CD374">
            <w:pPr>
              <w:spacing w:before="31" w:beforeLines="10" w:after="31" w:afterLines="10" w:line="240" w:lineRule="exact"/>
              <w:rPr>
                <w:rFonts w:eastAsia="宋体" w:cs="Arial"/>
                <w:sz w:val="18"/>
                <w:szCs w:val="18"/>
              </w:rPr>
            </w:pPr>
          </w:p>
        </w:tc>
      </w:tr>
    </w:tbl>
    <w:p w14:paraId="346F2B73">
      <w:pPr>
        <w:spacing w:before="31" w:beforeLines="10" w:after="31" w:afterLines="10" w:line="240" w:lineRule="exact"/>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FD 2766表（1/93）</w:t>
      </w:r>
    </w:p>
    <w:p w14:paraId="72918360">
      <w:pPr>
        <w:spacing w:before="187"/>
        <w:rPr>
          <w:rFonts w:eastAsia="宋体" w:cs="Arial"/>
          <w:color w:val="00B050"/>
        </w:rPr>
      </w:pPr>
    </w:p>
    <w:p w14:paraId="37F05D32">
      <w:pPr>
        <w:spacing w:before="187"/>
        <w:rPr>
          <w:rFonts w:eastAsia="宋体" w:cs="Arial"/>
          <w:color w:val="00B050"/>
        </w:rPr>
        <w:sectPr>
          <w:headerReference r:id="rId37" w:type="first"/>
          <w:footerReference r:id="rId39" w:type="first"/>
          <w:headerReference r:id="rId36" w:type="default"/>
          <w:footerReference r:id="rId38" w:type="default"/>
          <w:pgSz w:w="11906" w:h="16838"/>
          <w:pgMar w:top="1418" w:right="1418" w:bottom="1418" w:left="1418" w:header="720" w:footer="720" w:gutter="0"/>
          <w:pgNumType w:start="1"/>
          <w:cols w:space="425" w:num="1"/>
          <w:titlePg/>
          <w:docGrid w:type="lines" w:linePitch="312" w:charSpace="0"/>
        </w:sectPr>
      </w:pPr>
    </w:p>
    <w:p w14:paraId="535BBAAC">
      <w:pPr>
        <w:spacing w:before="187"/>
        <w:jc w:val="center"/>
        <w:rPr>
          <w:rFonts w:eastAsia="宋体" w:cs="Arial"/>
          <w:b/>
          <w:u w:val="single"/>
        </w:rPr>
      </w:pPr>
      <w:r>
        <w:rPr>
          <w:rFonts w:eastAsia="宋体" w:cs="Arial"/>
          <w:b/>
          <w:u w:val="single"/>
        </w:rPr>
        <w:t>诊断用X射线系统控制装置制造商联系方式</w:t>
      </w:r>
    </w:p>
    <w:p w14:paraId="1E5E7D78">
      <w:pPr>
        <w:spacing w:before="187"/>
        <w:rPr>
          <w:rFonts w:eastAsia="宋体" w:cs="Arial"/>
        </w:rPr>
      </w:pPr>
      <w:r>
        <w:rPr>
          <w:rFonts w:eastAsia="宋体" w:cs="Arial"/>
        </w:rPr>
        <w:t>*</w:t>
      </w:r>
    </w:p>
    <w:p w14:paraId="12B06F99">
      <w:pPr>
        <w:spacing w:before="187"/>
        <w:rPr>
          <w:rFonts w:eastAsia="宋体" w:cs="Arial"/>
        </w:rPr>
      </w:pPr>
      <w:r>
        <w:rPr>
          <w:rFonts w:eastAsia="宋体" w:cs="Arial"/>
        </w:rPr>
        <w:t>通过本计划的常规诊断用X射线现场测试发现不合规时，应将结果的副本寄给与违规有关的组件制造商。这些系统通常由主控部门予以追踪。在永久粘贴或镌刻于组件上的标签上应提供组件制造商的名称和地址。</w:t>
      </w:r>
    </w:p>
    <w:p w14:paraId="24E2B66C">
      <w:pPr>
        <w:spacing w:before="187"/>
        <w:rPr>
          <w:rFonts w:eastAsia="宋体" w:cs="Arial"/>
        </w:rPr>
      </w:pPr>
    </w:p>
    <w:p w14:paraId="35798C62">
      <w:pPr>
        <w:spacing w:before="187"/>
        <w:rPr>
          <w:rFonts w:eastAsia="宋体" w:cs="Arial"/>
        </w:rPr>
      </w:pPr>
      <w:r>
        <w:rPr>
          <w:rFonts w:eastAsia="宋体" w:cs="Arial"/>
        </w:rPr>
        <w:t>为了获得诊断用X射线组件制造商的最新地址，可在企业注册项下搜索FDA的医疗器械数据库网站。该网站可在</w:t>
      </w:r>
      <w:r>
        <w:fldChar w:fldCharType="begin"/>
      </w:r>
      <w:r>
        <w:instrText xml:space="preserve"> HYPERLINK "http://www.accessdata.fda.gov/scripts/cdrh/cfdocs/cfrl/registration.cfm" </w:instrText>
      </w:r>
      <w:r>
        <w:fldChar w:fldCharType="separate"/>
      </w:r>
      <w:r>
        <w:rPr>
          <w:rStyle w:val="10"/>
          <w:rFonts w:eastAsia="宋体" w:cs="Arial"/>
        </w:rPr>
        <w:t>http://www.accessdata.fda.gov/scripts/cdrh/cfdocs/cfrl/registration.cfm</w:t>
      </w:r>
      <w:r>
        <w:rPr>
          <w:rStyle w:val="10"/>
          <w:rFonts w:eastAsia="宋体" w:cs="Arial"/>
        </w:rPr>
        <w:fldChar w:fldCharType="end"/>
      </w:r>
      <w:r>
        <w:rPr>
          <w:rFonts w:eastAsia="宋体" w:cs="Arial"/>
        </w:rPr>
        <w:t>查询。应将副本送至所列官方联系人或美国代理人地址。此外，为了获得组件制造商的当前地址，可搜索FACTS（导航/公司/公司搜索）。旨在定位国内制造商的FACTS搜索要求您提供制造商所在的州。旨在定位国外制造商的FACTS搜索要求提供制造商所在国家和城市的前3个字母。</w:t>
      </w:r>
    </w:p>
    <w:p w14:paraId="567A27A2">
      <w:pPr>
        <w:spacing w:before="187"/>
        <w:jc w:val="right"/>
        <w:rPr>
          <w:rFonts w:eastAsia="宋体" w:cs="Arial"/>
        </w:rPr>
      </w:pPr>
      <w:r>
        <w:rPr>
          <w:rFonts w:eastAsia="宋体" w:cs="Arial"/>
        </w:rPr>
        <w:t>*</w:t>
      </w:r>
    </w:p>
    <w:p w14:paraId="0D4E6AB6">
      <w:pPr>
        <w:spacing w:before="187"/>
        <w:rPr>
          <w:rFonts w:eastAsia="宋体" w:cs="Arial"/>
        </w:rPr>
      </w:pPr>
    </w:p>
    <w:p w14:paraId="1B2BF678">
      <w:pPr>
        <w:spacing w:before="187"/>
        <w:rPr>
          <w:rFonts w:eastAsia="宋体" w:cs="Arial"/>
        </w:rPr>
      </w:pPr>
      <w:r>
        <w:rPr>
          <w:rFonts w:eastAsia="宋体" w:cs="Arial"/>
        </w:rPr>
        <w:br w:type="page"/>
      </w:r>
    </w:p>
    <w:p w14:paraId="3927589D">
      <w:pPr>
        <w:spacing w:before="187"/>
        <w:jc w:val="center"/>
        <w:rPr>
          <w:rFonts w:eastAsia="宋体" w:cs="Arial"/>
          <w:u w:val="single"/>
        </w:rPr>
      </w:pPr>
      <w:r>
        <w:rPr>
          <w:rFonts w:eastAsia="宋体" w:cs="Arial"/>
          <w:u w:val="single"/>
        </w:rPr>
        <w:t>致装配商的通知函（FDA-2579装配报告不完整或不正确）</w:t>
      </w:r>
    </w:p>
    <w:p w14:paraId="784A2402">
      <w:pPr>
        <w:spacing w:before="187"/>
        <w:rPr>
          <w:rFonts w:eastAsia="宋体" w:cs="Arial"/>
        </w:rPr>
      </w:pPr>
    </w:p>
    <w:p w14:paraId="763C21F3">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4922AD74">
      <w:pPr>
        <w:spacing w:before="187"/>
        <w:rPr>
          <w:rFonts w:eastAsia="宋体" w:cs="Arial"/>
        </w:rPr>
      </w:pPr>
    </w:p>
    <w:p w14:paraId="709330E6">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41596766">
      <w:pPr>
        <w:spacing w:before="187"/>
        <w:rPr>
          <w:rFonts w:eastAsia="宋体" w:cs="Arial"/>
        </w:rPr>
      </w:pPr>
    </w:p>
    <w:p w14:paraId="0A21ED00">
      <w:pPr>
        <w:spacing w:before="187"/>
        <w:rPr>
          <w:rFonts w:eastAsia="宋体" w:cs="Arial"/>
        </w:rPr>
      </w:pPr>
      <w:r>
        <w:rPr>
          <w:rFonts w:eastAsia="宋体" w:cs="Arial"/>
        </w:rPr>
        <w:t>致（收信人）：</w:t>
      </w:r>
    </w:p>
    <w:p w14:paraId="0225CC20">
      <w:pPr>
        <w:spacing w:before="187"/>
        <w:rPr>
          <w:rFonts w:eastAsia="宋体" w:cs="Arial"/>
        </w:rPr>
      </w:pPr>
      <w:r>
        <w:rPr>
          <w:rFonts w:eastAsia="宋体" w:cs="Arial"/>
        </w:rPr>
        <w:t>（日期），我方（地点）管理区办公室的（检验员）对（与）贵公司进行了检查/联系。当时，他（她或他们）向您（或代理人的名字和头衔）说明了贵公司作为装配商在提交报告方面应承担的责任。按有关规定，凡是经贵公司安装的获证诊断用X射线组件（系统），贵公司均有责任提交完整、准确的诊断用X射线系统装配报告（FDA 2579表）。</w:t>
      </w:r>
    </w:p>
    <w:p w14:paraId="7F711F2A">
      <w:pPr>
        <w:spacing w:before="187"/>
        <w:rPr>
          <w:rFonts w:eastAsia="宋体" w:cs="Arial"/>
        </w:rPr>
      </w:pPr>
      <w:r>
        <w:rPr>
          <w:rFonts w:eastAsia="宋体" w:cs="Arial"/>
        </w:rPr>
        <w:t>根据21 CFR l020.30（附有副本）的要求，在完成装配后15天内，应将准确、完整的诊断用X射线系统装配报告（FDA 2579表）提交给FDA。</w:t>
      </w:r>
    </w:p>
    <w:p w14:paraId="24C8F471">
      <w:pPr>
        <w:spacing w:before="187"/>
        <w:rPr>
          <w:rFonts w:eastAsia="宋体" w:cs="Arial"/>
        </w:rPr>
      </w:pPr>
      <w:r>
        <w:rPr>
          <w:rFonts w:eastAsia="宋体" w:cs="Arial"/>
        </w:rPr>
        <w:t>我们要求您在收到针对（FDA 2579编号）（关于在（地点）装配设备的报告）的本函后30个工作日内向我们提供经过修改的诊断用X射线系统装配报告（FDA 2579表）。随函附上您所提交报告的副本。</w:t>
      </w:r>
    </w:p>
    <w:p w14:paraId="0E3CAD98">
      <w:pPr>
        <w:spacing w:before="187"/>
        <w:rPr>
          <w:rFonts w:eastAsia="宋体" w:cs="Arial"/>
        </w:rPr>
      </w:pPr>
      <w:r>
        <w:rPr>
          <w:rFonts w:eastAsia="宋体" w:cs="Arial"/>
        </w:rPr>
        <w:t>收到本函后30个工作日内，在提交经过修改的FDA 2579表的同时，您应将为防止重复发生类似违规已采取的具体措施以书面形式告知该办公室。您应将回函寄给美国食品药品监督管理局的合规专员（名字）（（街道名）、（城市）、（州和邮政编码））。如有任何疑问，可致电（电话号码）与（名字）联系。</w:t>
      </w:r>
    </w:p>
    <w:p w14:paraId="0E0A8F28">
      <w:pPr>
        <w:spacing w:before="187"/>
        <w:rPr>
          <w:rFonts w:eastAsia="宋体" w:cs="Arial"/>
        </w:rPr>
      </w:pPr>
    </w:p>
    <w:p w14:paraId="2F2DFEBA">
      <w:pPr>
        <w:spacing w:before="187"/>
        <w:rPr>
          <w:rFonts w:eastAsia="宋体" w:cs="Arial"/>
        </w:rPr>
      </w:pPr>
    </w:p>
    <w:p w14:paraId="06BB2302">
      <w:pPr>
        <w:spacing w:before="187"/>
        <w:ind w:left="4840" w:leftChars="2200"/>
        <w:rPr>
          <w:rFonts w:eastAsia="宋体" w:cs="Arial"/>
        </w:rPr>
      </w:pPr>
      <w:r>
        <w:rPr>
          <w:rFonts w:eastAsia="宋体" w:cs="Arial"/>
        </w:rPr>
        <w:t>顺祝商祺，</w:t>
      </w:r>
    </w:p>
    <w:p w14:paraId="5DF0E752">
      <w:pPr>
        <w:spacing w:before="187"/>
        <w:ind w:left="4840" w:leftChars="2200"/>
        <w:rPr>
          <w:rFonts w:eastAsia="宋体" w:cs="Arial"/>
        </w:rPr>
      </w:pPr>
      <w:r>
        <w:rPr>
          <w:rFonts w:eastAsia="宋体" w:cs="Arial"/>
        </w:rPr>
        <w:t>管理区主任</w:t>
      </w:r>
    </w:p>
    <w:p w14:paraId="51BF4814">
      <w:pPr>
        <w:spacing w:before="187"/>
        <w:rPr>
          <w:rFonts w:eastAsia="宋体" w:cs="Arial"/>
        </w:rPr>
      </w:pPr>
    </w:p>
    <w:p w14:paraId="7F0C432E">
      <w:pPr>
        <w:spacing w:before="187"/>
        <w:rPr>
          <w:rFonts w:eastAsia="宋体" w:cs="Arial"/>
        </w:rPr>
        <w:sectPr>
          <w:headerReference r:id="rId41" w:type="first"/>
          <w:headerReference r:id="rId40" w:type="default"/>
          <w:pgSz w:w="11906" w:h="16838"/>
          <w:pgMar w:top="1418" w:right="1418" w:bottom="1418" w:left="1418" w:header="720" w:footer="720" w:gutter="0"/>
          <w:pgNumType w:start="1"/>
          <w:cols w:space="425" w:num="1"/>
          <w:titlePg/>
          <w:docGrid w:type="lines" w:linePitch="312" w:charSpace="0"/>
        </w:sectPr>
      </w:pPr>
    </w:p>
    <w:p w14:paraId="7DA470B6">
      <w:pPr>
        <w:spacing w:before="187"/>
        <w:jc w:val="center"/>
        <w:rPr>
          <w:rFonts w:eastAsia="宋体" w:cs="Arial"/>
          <w:b/>
        </w:rPr>
      </w:pPr>
      <w:r>
        <w:rPr>
          <w:rFonts w:eastAsia="宋体" w:cs="Arial"/>
          <w:b/>
        </w:rPr>
        <w:t>致装配商的通知函－对FDA-2579进行审核或在装配商处对记录进行审核的过程中发现的标准违规情况</w:t>
      </w:r>
    </w:p>
    <w:p w14:paraId="551BB6D9">
      <w:pPr>
        <w:spacing w:before="187"/>
        <w:rPr>
          <w:rFonts w:eastAsia="宋体" w:cs="Arial"/>
        </w:rPr>
      </w:pPr>
    </w:p>
    <w:p w14:paraId="56D74CE8">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2F6F5701">
      <w:pPr>
        <w:spacing w:before="187"/>
        <w:rPr>
          <w:rFonts w:eastAsia="宋体" w:cs="Arial"/>
        </w:rPr>
      </w:pPr>
    </w:p>
    <w:p w14:paraId="4C18560A">
      <w:pPr>
        <w:spacing w:before="187"/>
        <w:rPr>
          <w:rFonts w:eastAsia="宋体" w:cs="Arial"/>
        </w:rPr>
      </w:pPr>
      <w:r>
        <w:rPr>
          <w:rFonts w:eastAsia="宋体" w:cs="Arial"/>
        </w:rPr>
        <w:t>负责人，职位</w:t>
      </w:r>
      <w:r>
        <w:rPr>
          <w:rFonts w:eastAsia="宋体" w:cs="Arial"/>
        </w:rPr>
        <w:br w:type="textWrapping"/>
      </w:r>
      <w:r>
        <w:rPr>
          <w:rFonts w:eastAsia="宋体" w:cs="Arial"/>
        </w:rPr>
        <w:t>公司名称</w:t>
      </w:r>
      <w:r>
        <w:rPr>
          <w:rFonts w:eastAsia="宋体" w:cs="Arial"/>
        </w:rPr>
        <w:br w:type="textWrapping"/>
      </w:r>
      <w:r>
        <w:rPr>
          <w:rFonts w:eastAsia="宋体" w:cs="Arial"/>
        </w:rPr>
        <w:t>公司的完整地址</w:t>
      </w:r>
    </w:p>
    <w:p w14:paraId="7A85BC98">
      <w:pPr>
        <w:spacing w:before="187"/>
        <w:rPr>
          <w:rFonts w:eastAsia="宋体" w:cs="Arial"/>
        </w:rPr>
      </w:pPr>
      <w:r>
        <w:rPr>
          <w:rFonts w:eastAsia="宋体" w:cs="Arial"/>
        </w:rPr>
        <w:t>致（</w:t>
      </w:r>
      <w:r>
        <w:rPr>
          <w:rFonts w:eastAsia="宋体" w:cs="Arial"/>
          <w:u w:val="single"/>
        </w:rPr>
        <w:t>收信人</w:t>
      </w:r>
      <w:r>
        <w:rPr>
          <w:rFonts w:eastAsia="宋体" w:cs="Arial"/>
        </w:rPr>
        <w:t>）：</w:t>
      </w:r>
    </w:p>
    <w:p w14:paraId="067F9D38">
      <w:pPr>
        <w:spacing w:before="187"/>
        <w:rPr>
          <w:rFonts w:eastAsia="宋体" w:cs="Arial"/>
        </w:rPr>
      </w:pPr>
      <w:r>
        <w:rPr>
          <w:rFonts w:eastAsia="宋体" w:cs="Arial"/>
        </w:rPr>
        <w:t>（</w:t>
      </w:r>
      <w:r>
        <w:rPr>
          <w:rFonts w:eastAsia="宋体" w:cs="Arial"/>
          <w:u w:val="single"/>
        </w:rPr>
        <w:t>日期</w:t>
      </w:r>
      <w:r>
        <w:rPr>
          <w:rFonts w:eastAsia="宋体" w:cs="Arial"/>
        </w:rPr>
        <w:t>）对位于（</w:t>
      </w:r>
      <w:r>
        <w:rPr>
          <w:rFonts w:eastAsia="宋体" w:cs="Arial"/>
          <w:u w:val="single"/>
        </w:rPr>
        <w:t>地址</w:t>
      </w:r>
      <w:r>
        <w:rPr>
          <w:rFonts w:eastAsia="宋体" w:cs="Arial"/>
        </w:rPr>
        <w:t>）的公司进行检查期间，我们的检查员确定，贵公司为诊断用X射线设备装配商。当时，他（</w:t>
      </w:r>
      <w:r>
        <w:rPr>
          <w:rFonts w:eastAsia="宋体" w:cs="Arial"/>
          <w:u w:val="single"/>
        </w:rPr>
        <w:t>她或他们</w:t>
      </w:r>
      <w:r>
        <w:rPr>
          <w:rFonts w:eastAsia="宋体" w:cs="Arial"/>
        </w:rPr>
        <w:t>）专门讨论了您在（地点）装配的一台（</w:t>
      </w:r>
      <w:r>
        <w:rPr>
          <w:rFonts w:eastAsia="宋体" w:cs="Arial"/>
          <w:u w:val="single"/>
        </w:rPr>
        <w:t>X射线系统的类型，一般目的放射摄影</w:t>
      </w:r>
      <w:r>
        <w:rPr>
          <w:rFonts w:eastAsia="宋体" w:cs="Arial"/>
        </w:rPr>
        <w:t>）装置并向您说明贵公司安装的一个（X射线组件，如在此类装置上未提供可变射束限制功能的射束限制器）违背了（</w:t>
      </w:r>
      <w:r>
        <w:rPr>
          <w:rFonts w:eastAsia="宋体" w:cs="Arial"/>
          <w:u w:val="single"/>
        </w:rPr>
        <w:t>确认法规，如21 CFR 1020.31（d）（1）</w:t>
      </w:r>
      <w:r>
        <w:rPr>
          <w:rFonts w:eastAsia="宋体" w:cs="Arial"/>
        </w:rPr>
        <w:t>）。</w:t>
      </w:r>
    </w:p>
    <w:p w14:paraId="26214FBB">
      <w:pPr>
        <w:spacing w:before="187"/>
        <w:rPr>
          <w:rFonts w:eastAsia="宋体" w:cs="Arial"/>
        </w:rPr>
      </w:pPr>
      <w:r>
        <w:rPr>
          <w:rFonts w:eastAsia="宋体" w:cs="Arial"/>
        </w:rPr>
        <w:t>当时，您同意用标准（如要求的标准，</w:t>
      </w:r>
      <w:r>
        <w:rPr>
          <w:rFonts w:eastAsia="宋体" w:cs="Arial"/>
          <w:u w:val="single"/>
        </w:rPr>
        <w:t>即可变X射线视野限制器</w:t>
      </w:r>
      <w:r>
        <w:rPr>
          <w:rFonts w:eastAsia="宋体" w:cs="Arial"/>
        </w:rPr>
        <w:t>）要求的组件类型替代（组件，如射束限制器），并在（</w:t>
      </w:r>
      <w:r>
        <w:rPr>
          <w:rFonts w:eastAsia="宋体" w:cs="Arial"/>
          <w:u w:val="single"/>
        </w:rPr>
        <w:t>日期</w:t>
      </w:r>
      <w:r>
        <w:rPr>
          <w:rFonts w:eastAsia="宋体" w:cs="Arial"/>
        </w:rPr>
        <w:t>）前将修改过的诊断用X射线系统装配报告（FDA 2579表）提交给美国食品药品监督管理局、州辐射控制计划和买方。请使用适用的附表。我们随函附上了信封供您将原始（白色）副本直接寄回该办公室时使用。</w:t>
      </w:r>
    </w:p>
    <w:p w14:paraId="6027D3A6">
      <w:pPr>
        <w:spacing w:before="187"/>
        <w:rPr>
          <w:rFonts w:eastAsia="宋体" w:cs="Arial"/>
        </w:rPr>
      </w:pPr>
      <w:r>
        <w:rPr>
          <w:rFonts w:eastAsia="宋体" w:cs="Arial"/>
        </w:rPr>
        <w:t>在（</w:t>
      </w:r>
      <w:r>
        <w:rPr>
          <w:rFonts w:eastAsia="宋体" w:cs="Arial"/>
          <w:u w:val="single"/>
        </w:rPr>
        <w:t>商定日期</w:t>
      </w:r>
      <w:r>
        <w:rPr>
          <w:rFonts w:eastAsia="宋体" w:cs="Arial"/>
        </w:rPr>
        <w:t>）之后，美国食品药品监督管理局的一位代表可能会对您在（</w:t>
      </w:r>
      <w:r>
        <w:rPr>
          <w:rFonts w:eastAsia="宋体" w:cs="Arial"/>
          <w:u w:val="single"/>
        </w:rPr>
        <w:t>地点</w:t>
      </w:r>
      <w:r>
        <w:rPr>
          <w:rFonts w:eastAsia="宋体" w:cs="Arial"/>
        </w:rPr>
        <w:t>）的安装工作进行检查，以验证纠正行动。</w:t>
      </w:r>
    </w:p>
    <w:p w14:paraId="133F2180">
      <w:pPr>
        <w:spacing w:before="187"/>
        <w:rPr>
          <w:rFonts w:eastAsia="宋体" w:cs="Arial"/>
        </w:rPr>
      </w:pPr>
      <w:r>
        <w:rPr>
          <w:rFonts w:eastAsia="宋体" w:cs="Arial"/>
        </w:rPr>
        <w:t>对瑕疵或不合规未做纠正或未将诊断用X射线系统装配报告（FDA 2579表）归档是对联邦食品、药品及化妆品法案（简称法案）第C分章－电子产品的辐射控制（1968年颁布的原卫生安全法案辐射控制）－第538节的违规。</w:t>
      </w:r>
    </w:p>
    <w:p w14:paraId="2095F160">
      <w:pPr>
        <w:spacing w:before="187"/>
        <w:rPr>
          <w:rFonts w:eastAsia="宋体" w:cs="Arial"/>
        </w:rPr>
      </w:pPr>
      <w:r>
        <w:rPr>
          <w:rFonts w:eastAsia="宋体" w:cs="Arial"/>
        </w:rPr>
        <w:t>根据21 CFR l020.30的要求，在完成装配后15天内，应将准确、完整的诊断用X射线系统装配报告（FDA 2579表）提交给FDA。</w:t>
      </w:r>
    </w:p>
    <w:p w14:paraId="516E4B2D">
      <w:pPr>
        <w:spacing w:before="187"/>
        <w:rPr>
          <w:rFonts w:eastAsia="宋体" w:cs="Arial"/>
        </w:rPr>
      </w:pPr>
    </w:p>
    <w:p w14:paraId="30C8AAD3">
      <w:pPr>
        <w:spacing w:before="187"/>
        <w:rPr>
          <w:rFonts w:eastAsia="宋体" w:cs="Arial"/>
        </w:rPr>
      </w:pPr>
      <w:r>
        <w:rPr>
          <w:rFonts w:eastAsia="宋体" w:cs="Arial"/>
        </w:rPr>
        <w:br w:type="page"/>
      </w:r>
    </w:p>
    <w:p w14:paraId="65FE66CC">
      <w:pPr>
        <w:spacing w:before="187"/>
        <w:rPr>
          <w:rFonts w:eastAsia="宋体" w:cs="Arial"/>
        </w:rPr>
      </w:pPr>
      <w:r>
        <w:rPr>
          <w:rFonts w:eastAsia="宋体" w:cs="Arial"/>
        </w:rPr>
        <w:t>收到本函后30个工作日内，应随同修订过的FDA 2579表以书面形式将您为纠正被指违规采取的具体步骤（包括对为防止重复发生类似违规所采取的每个步骤的说明）告知该办公室。如果未能在30个工作日内完成纠正行动，应对延迟的理由与完成纠正行动的预期时间做出说明。应将回函寄给美国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0EC91879">
      <w:pPr>
        <w:spacing w:before="187"/>
        <w:rPr>
          <w:rFonts w:eastAsia="宋体" w:cs="Arial"/>
        </w:rPr>
      </w:pPr>
    </w:p>
    <w:p w14:paraId="29B481AB">
      <w:pPr>
        <w:spacing w:before="187"/>
        <w:rPr>
          <w:rFonts w:eastAsia="宋体" w:cs="Arial"/>
        </w:rPr>
      </w:pPr>
    </w:p>
    <w:p w14:paraId="4EF3CAED">
      <w:pPr>
        <w:spacing w:before="187"/>
        <w:ind w:left="4840" w:leftChars="2200"/>
        <w:rPr>
          <w:rFonts w:eastAsia="宋体" w:cs="Arial"/>
        </w:rPr>
      </w:pPr>
      <w:r>
        <w:rPr>
          <w:rFonts w:eastAsia="宋体" w:cs="Arial"/>
        </w:rPr>
        <w:t>顺祝商祺，</w:t>
      </w:r>
    </w:p>
    <w:p w14:paraId="4D7C7F76">
      <w:pPr>
        <w:spacing w:before="187"/>
        <w:ind w:left="4840" w:leftChars="2200"/>
        <w:rPr>
          <w:rFonts w:eastAsia="宋体" w:cs="Arial"/>
        </w:rPr>
      </w:pPr>
      <w:r>
        <w:rPr>
          <w:rFonts w:eastAsia="宋体" w:cs="Arial"/>
        </w:rPr>
        <w:t>管理区主任</w:t>
      </w:r>
    </w:p>
    <w:p w14:paraId="77CE044B">
      <w:pPr>
        <w:spacing w:before="187"/>
        <w:rPr>
          <w:rFonts w:eastAsia="宋体" w:cs="Arial"/>
        </w:rPr>
      </w:pPr>
    </w:p>
    <w:p w14:paraId="69AE1372">
      <w:pPr>
        <w:spacing w:before="187"/>
        <w:rPr>
          <w:rFonts w:eastAsia="宋体" w:cs="Arial"/>
        </w:rPr>
      </w:pPr>
      <w:r>
        <w:rPr>
          <w:rFonts w:eastAsia="宋体" w:cs="Arial"/>
        </w:rPr>
        <w:t>附件</w:t>
      </w:r>
    </w:p>
    <w:p w14:paraId="4BFB9BAF">
      <w:pPr>
        <w:spacing w:before="187"/>
        <w:rPr>
          <w:rFonts w:eastAsia="宋体" w:cs="Arial"/>
        </w:rPr>
      </w:pPr>
    </w:p>
    <w:p w14:paraId="03904E82">
      <w:pPr>
        <w:spacing w:before="187"/>
        <w:rPr>
          <w:rFonts w:eastAsia="宋体" w:cs="Arial"/>
        </w:rPr>
        <w:sectPr>
          <w:headerReference r:id="rId43" w:type="first"/>
          <w:footerReference r:id="rId45" w:type="first"/>
          <w:headerReference r:id="rId42" w:type="default"/>
          <w:footerReference r:id="rId44" w:type="default"/>
          <w:pgSz w:w="11906" w:h="16838"/>
          <w:pgMar w:top="1418" w:right="1418" w:bottom="1418" w:left="1418" w:header="720" w:footer="720" w:gutter="0"/>
          <w:pgNumType w:start="1"/>
          <w:cols w:space="425" w:num="1"/>
          <w:titlePg/>
          <w:docGrid w:type="lines" w:linePitch="312" w:charSpace="0"/>
        </w:sectPr>
      </w:pPr>
    </w:p>
    <w:p w14:paraId="665E0AC8">
      <w:pPr>
        <w:spacing w:before="187"/>
        <w:jc w:val="center"/>
        <w:rPr>
          <w:rFonts w:eastAsia="宋体" w:cs="Arial"/>
          <w:b/>
          <w:u w:val="single"/>
        </w:rPr>
      </w:pPr>
      <w:r>
        <w:rPr>
          <w:rFonts w:eastAsia="宋体" w:cs="Arial"/>
          <w:b/>
          <w:u w:val="single"/>
        </w:rPr>
        <w:t>致装配商的通知函（未将FDA-2579装配报告归档）</w:t>
      </w:r>
    </w:p>
    <w:p w14:paraId="5F1F3A91">
      <w:pPr>
        <w:spacing w:before="187"/>
        <w:rPr>
          <w:rFonts w:eastAsia="宋体" w:cs="Arial"/>
        </w:rPr>
      </w:pPr>
    </w:p>
    <w:p w14:paraId="5042DEF4">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377F2E02">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2D75033E">
      <w:pPr>
        <w:spacing w:before="187"/>
        <w:rPr>
          <w:rFonts w:eastAsia="宋体" w:cs="Arial"/>
        </w:rPr>
      </w:pPr>
      <w:r>
        <w:rPr>
          <w:rFonts w:eastAsia="宋体" w:cs="Arial"/>
        </w:rPr>
        <w:t>致（</w:t>
      </w:r>
      <w:r>
        <w:rPr>
          <w:rFonts w:eastAsia="宋体" w:cs="Arial"/>
          <w:u w:val="single"/>
        </w:rPr>
        <w:t>收信人</w:t>
      </w:r>
      <w:r>
        <w:rPr>
          <w:rFonts w:eastAsia="宋体" w:cs="Arial"/>
        </w:rPr>
        <w:t>）：</w:t>
      </w:r>
    </w:p>
    <w:p w14:paraId="093BF124">
      <w:pPr>
        <w:spacing w:before="187"/>
        <w:rPr>
          <w:rFonts w:eastAsia="宋体" w:cs="Arial"/>
        </w:rPr>
      </w:pPr>
      <w:r>
        <w:rPr>
          <w:rFonts w:eastAsia="宋体" w:cs="Arial"/>
        </w:rPr>
        <w:t>（</w:t>
      </w:r>
      <w:r>
        <w:rPr>
          <w:rFonts w:eastAsia="宋体" w:cs="Arial"/>
          <w:u w:val="single"/>
        </w:rPr>
        <w:t>日期</w:t>
      </w:r>
      <w:r>
        <w:rPr>
          <w:rFonts w:eastAsia="宋体" w:cs="Arial"/>
        </w:rPr>
        <w:t>）对位于（</w:t>
      </w:r>
      <w:r>
        <w:rPr>
          <w:rFonts w:eastAsia="宋体" w:cs="Arial"/>
          <w:u w:val="single"/>
        </w:rPr>
        <w:t>地址</w:t>
      </w:r>
      <w:r>
        <w:rPr>
          <w:rFonts w:eastAsia="宋体" w:cs="Arial"/>
        </w:rPr>
        <w:t>）的公司进行检查期间，我们的检查员确定，贵公司为诊断用X射线设备装配商。当时，他（</w:t>
      </w:r>
      <w:r>
        <w:rPr>
          <w:rFonts w:eastAsia="宋体" w:cs="Arial"/>
          <w:u w:val="single"/>
        </w:rPr>
        <w:t>她或他们</w:t>
      </w:r>
      <w:r>
        <w:rPr>
          <w:rFonts w:eastAsia="宋体" w:cs="Arial"/>
        </w:rPr>
        <w:t>）向您（</w:t>
      </w:r>
      <w:r>
        <w:rPr>
          <w:rFonts w:eastAsia="宋体" w:cs="Arial"/>
          <w:u w:val="single"/>
        </w:rPr>
        <w:t>或您们的代理人</w:t>
      </w:r>
      <w:r>
        <w:rPr>
          <w:rFonts w:eastAsia="宋体" w:cs="Arial"/>
        </w:rPr>
        <w:t>）说明了贵公司在归档报告方面应承担的责任。按有关规定，凡是经贵公司安装的获证诊断用X射线组件（</w:t>
      </w:r>
      <w:r>
        <w:rPr>
          <w:rFonts w:eastAsia="宋体" w:cs="Arial"/>
          <w:u w:val="single"/>
        </w:rPr>
        <w:t>系统</w:t>
      </w:r>
      <w:r>
        <w:rPr>
          <w:rFonts w:eastAsia="宋体" w:cs="Arial"/>
        </w:rPr>
        <w:t>），贵公司均有责任将诊断用X射线系统装配报告（FDA 2579表）归档（见所附相应法规副本）。我们已确认您在下列设施从事的安装工作未按21 CFR 1020.30的要求向FDA报告：</w:t>
      </w:r>
    </w:p>
    <w:p w14:paraId="36BA8651">
      <w:pPr>
        <w:spacing w:before="187"/>
        <w:ind w:left="440" w:leftChars="200"/>
        <w:rPr>
          <w:rFonts w:eastAsia="宋体" w:cs="Arial"/>
        </w:rPr>
      </w:pPr>
      <w:r>
        <w:rPr>
          <w:rFonts w:eastAsia="宋体" w:cs="Arial"/>
        </w:rPr>
        <w:t>1. （</w:t>
      </w:r>
      <w:r>
        <w:rPr>
          <w:rFonts w:eastAsia="宋体" w:cs="Arial"/>
          <w:u w:val="single"/>
        </w:rPr>
        <w:t>名称和地点</w:t>
      </w:r>
      <w:r>
        <w:rPr>
          <w:rFonts w:eastAsia="宋体" w:cs="Arial"/>
        </w:rPr>
        <w:t>）</w:t>
      </w:r>
    </w:p>
    <w:p w14:paraId="2A03900A">
      <w:pPr>
        <w:spacing w:before="187"/>
        <w:ind w:left="440" w:leftChars="200"/>
        <w:rPr>
          <w:rFonts w:eastAsia="宋体" w:cs="Arial"/>
        </w:rPr>
      </w:pPr>
      <w:r>
        <w:rPr>
          <w:rFonts w:eastAsia="宋体" w:cs="Arial"/>
        </w:rPr>
        <w:t>2. （</w:t>
      </w:r>
      <w:r>
        <w:rPr>
          <w:rFonts w:eastAsia="宋体" w:cs="Arial"/>
          <w:u w:val="single"/>
        </w:rPr>
        <w:t>名称和地点</w:t>
      </w:r>
      <w:r>
        <w:rPr>
          <w:rFonts w:eastAsia="宋体" w:cs="Arial"/>
        </w:rPr>
        <w:t>）</w:t>
      </w:r>
    </w:p>
    <w:p w14:paraId="6A8EB1FA">
      <w:pPr>
        <w:spacing w:before="187"/>
        <w:ind w:left="1320" w:leftChars="600"/>
        <w:rPr>
          <w:rFonts w:eastAsia="宋体" w:cs="Arial"/>
        </w:rPr>
      </w:pPr>
      <w:r>
        <w:rPr>
          <w:rFonts w:eastAsia="宋体" w:cs="Arial"/>
        </w:rPr>
        <w:t>等</w:t>
      </w:r>
    </w:p>
    <w:p w14:paraId="43C06E04">
      <w:pPr>
        <w:spacing w:before="187"/>
        <w:rPr>
          <w:rFonts w:eastAsia="宋体" w:cs="Arial"/>
        </w:rPr>
      </w:pPr>
      <w:r>
        <w:rPr>
          <w:rFonts w:eastAsia="宋体" w:cs="Arial"/>
        </w:rPr>
        <w:t>根据21 CFR l020.30的要求，在完成装配后15天内，应将准确、完整的诊断用X射线系统装配报告（FDA 2579表）提交给FDA、相应州的辐射控制计划和买方。</w:t>
      </w:r>
    </w:p>
    <w:p w14:paraId="5ADBEDCB">
      <w:pPr>
        <w:spacing w:before="187"/>
        <w:rPr>
          <w:rFonts w:eastAsia="宋体" w:cs="Arial"/>
        </w:rPr>
      </w:pPr>
      <w:r>
        <w:rPr>
          <w:rFonts w:eastAsia="宋体" w:cs="Arial"/>
        </w:rPr>
        <w:t>未将诊断用X射线系统装配报告（FDA 2579表）归档是对联邦食品、药品及化妆品法案（简称法案）第C分章－电子产品的辐射控制（1968年颁布的原卫生安全法案辐射控制）－第538节的违背。</w:t>
      </w:r>
    </w:p>
    <w:p w14:paraId="5E1AFDFD">
      <w:pPr>
        <w:spacing w:before="187"/>
        <w:rPr>
          <w:rFonts w:eastAsia="宋体" w:cs="Arial"/>
        </w:rPr>
      </w:pPr>
      <w:r>
        <w:rPr>
          <w:rFonts w:eastAsia="宋体" w:cs="Arial"/>
        </w:rPr>
        <w:t>收到本函后30个工作日内，应随同上列每个安装工程的FDA 2579表以书面形式将您为防止重复发生类似违规所采取的具体步骤告知该办公室。您应将回函寄给美国食品药品监督管理局的合规专员（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5A0E0E30">
      <w:pPr>
        <w:spacing w:before="187"/>
        <w:ind w:left="4840" w:leftChars="2200"/>
        <w:rPr>
          <w:rFonts w:eastAsia="宋体" w:cs="Arial"/>
        </w:rPr>
      </w:pPr>
      <w:r>
        <w:rPr>
          <w:rFonts w:eastAsia="宋体" w:cs="Arial"/>
        </w:rPr>
        <w:t>顺祝商祺，</w:t>
      </w:r>
    </w:p>
    <w:p w14:paraId="44979D32">
      <w:pPr>
        <w:spacing w:before="187"/>
        <w:ind w:left="4840" w:leftChars="2200"/>
        <w:rPr>
          <w:rFonts w:eastAsia="宋体" w:cs="Arial"/>
        </w:rPr>
      </w:pPr>
      <w:r>
        <w:rPr>
          <w:rFonts w:eastAsia="宋体" w:cs="Arial"/>
        </w:rPr>
        <w:t>管理区主任</w:t>
      </w:r>
    </w:p>
    <w:p w14:paraId="471DC53B">
      <w:pPr>
        <w:spacing w:before="187"/>
        <w:rPr>
          <w:rFonts w:eastAsia="宋体" w:cs="Arial"/>
        </w:rPr>
      </w:pPr>
      <w:r>
        <w:rPr>
          <w:rFonts w:eastAsia="宋体" w:cs="Arial"/>
        </w:rPr>
        <w:t>附件</w:t>
      </w:r>
    </w:p>
    <w:p w14:paraId="28006E16">
      <w:pPr>
        <w:spacing w:before="187"/>
        <w:jc w:val="right"/>
        <w:rPr>
          <w:rFonts w:eastAsia="宋体" w:cs="Arial"/>
        </w:rPr>
      </w:pPr>
    </w:p>
    <w:p w14:paraId="1B08545E">
      <w:pPr>
        <w:spacing w:before="187"/>
        <w:jc w:val="right"/>
        <w:rPr>
          <w:rFonts w:eastAsia="宋体" w:cs="Arial"/>
        </w:rPr>
      </w:pPr>
      <w:r>
        <w:rPr>
          <w:rFonts w:eastAsia="宋体" w:cs="Arial"/>
        </w:rPr>
        <w:t>1</w:t>
      </w:r>
    </w:p>
    <w:p w14:paraId="30A8B855">
      <w:pPr>
        <w:spacing w:before="187"/>
        <w:rPr>
          <w:rFonts w:eastAsia="宋体" w:cs="Arial"/>
        </w:rPr>
        <w:sectPr>
          <w:headerReference r:id="rId47" w:type="first"/>
          <w:footerReference r:id="rId48" w:type="first"/>
          <w:headerReference r:id="rId46" w:type="default"/>
          <w:pgSz w:w="11906" w:h="16838"/>
          <w:pgMar w:top="1418" w:right="1418" w:bottom="1418" w:left="1418" w:header="720" w:footer="720" w:gutter="0"/>
          <w:pgNumType w:start="1"/>
          <w:cols w:space="425" w:num="1"/>
          <w:titlePg/>
          <w:docGrid w:type="lines" w:linePitch="312" w:charSpace="0"/>
        </w:sectPr>
      </w:pPr>
    </w:p>
    <w:p w14:paraId="19E8B63E">
      <w:pPr>
        <w:spacing w:before="187"/>
        <w:jc w:val="center"/>
        <w:rPr>
          <w:rFonts w:eastAsia="宋体" w:cs="Arial"/>
          <w:b/>
          <w:u w:val="single"/>
        </w:rPr>
      </w:pPr>
      <w:r>
        <w:rPr>
          <w:rFonts w:eastAsia="宋体" w:cs="Arial"/>
          <w:b/>
          <w:u w:val="single"/>
        </w:rPr>
        <w:t>致装配商的通知函（现场测试瑕疵或不合规通知）</w:t>
      </w:r>
    </w:p>
    <w:p w14:paraId="491A7E71">
      <w:pPr>
        <w:spacing w:before="187"/>
        <w:rPr>
          <w:rFonts w:eastAsia="宋体" w:cs="Arial"/>
        </w:rPr>
      </w:pPr>
    </w:p>
    <w:p w14:paraId="2F6D580B">
      <w:pPr>
        <w:spacing w:before="187"/>
        <w:ind w:left="660" w:hanging="660" w:hangingChars="300"/>
        <w:rPr>
          <w:rFonts w:eastAsia="宋体" w:cs="Arial"/>
        </w:rPr>
      </w:pPr>
      <w:r>
        <w:rPr>
          <w:rFonts w:eastAsia="宋体" w:cs="Arial"/>
        </w:rPr>
        <w:t>注：</w:t>
      </w:r>
      <w:r>
        <w:rPr>
          <w:rFonts w:eastAsia="宋体" w:cs="Arial"/>
        </w:rPr>
        <w:tab/>
      </w:r>
      <w:r>
        <w:rPr>
          <w:rFonts w:eastAsia="宋体" w:cs="Arial"/>
        </w:rPr>
        <w:t>本函</w:t>
      </w:r>
      <w:r>
        <w:rPr>
          <w:rFonts w:eastAsia="宋体" w:cs="Arial"/>
          <w:b/>
        </w:rPr>
        <w:t>是供审计审核计划使用的样板信函（见监管规程手册第4章、展示品4-1、第6.4节）并登载于法规事务办公室下属强制执行办公室的</w:t>
      </w:r>
      <w:r>
        <w:rPr>
          <w:rFonts w:ascii="宋体" w:hAnsi="宋体" w:eastAsia="宋体" w:cs="Arial"/>
          <w:b/>
        </w:rPr>
        <w:t>“</w:t>
      </w:r>
      <w:r>
        <w:rPr>
          <w:rFonts w:eastAsia="宋体" w:cs="Arial"/>
          <w:b/>
        </w:rPr>
        <w:t>警告函和无标题信函主页</w:t>
      </w:r>
      <w:r>
        <w:rPr>
          <w:rFonts w:ascii="宋体" w:hAnsi="宋体" w:eastAsia="宋体" w:cs="Arial"/>
          <w:b/>
        </w:rPr>
        <w:t>”</w:t>
      </w:r>
      <w:r>
        <w:rPr>
          <w:rFonts w:eastAsia="宋体" w:cs="Arial"/>
          <w:b/>
        </w:rPr>
        <w:t>（http://web.ora.fda.gov/oe/tempdoc.htm）</w:t>
      </w:r>
      <w:r>
        <w:rPr>
          <w:rFonts w:eastAsia="宋体" w:cs="Arial"/>
        </w:rPr>
        <w:t>。</w:t>
      </w:r>
    </w:p>
    <w:p w14:paraId="38DF7F28">
      <w:pPr>
        <w:spacing w:before="187"/>
        <w:jc w:val="center"/>
        <w:rPr>
          <w:rFonts w:eastAsia="宋体" w:cs="Arial"/>
          <w:b/>
        </w:rPr>
      </w:pPr>
      <w:r>
        <w:rPr>
          <w:rFonts w:eastAsia="宋体" w:cs="Arial"/>
          <w:b/>
        </w:rPr>
        <w:t>【信函中包含A类违规时：警告函】</w:t>
      </w:r>
    </w:p>
    <w:p w14:paraId="40D6AB8C">
      <w:pPr>
        <w:spacing w:before="187"/>
        <w:jc w:val="center"/>
        <w:rPr>
          <w:rFonts w:eastAsia="宋体" w:cs="Arial"/>
          <w:b/>
        </w:rPr>
      </w:pPr>
      <w:r>
        <w:rPr>
          <w:rFonts w:eastAsia="宋体" w:cs="Arial"/>
          <w:b/>
        </w:rPr>
        <w:t>【日期】</w:t>
      </w:r>
    </w:p>
    <w:p w14:paraId="1F587658">
      <w:pPr>
        <w:spacing w:before="187"/>
        <w:rPr>
          <w:rFonts w:eastAsia="宋体" w:cs="Arial"/>
        </w:rPr>
      </w:pPr>
    </w:p>
    <w:p w14:paraId="68EF9344">
      <w:pPr>
        <w:spacing w:before="187"/>
        <w:rPr>
          <w:rFonts w:eastAsia="宋体" w:cs="Arial"/>
          <w:b/>
          <w:u w:val="single"/>
        </w:rPr>
      </w:pPr>
      <w:r>
        <w:rPr>
          <w:rFonts w:eastAsia="宋体" w:cs="Arial"/>
          <w:b/>
          <w:u w:val="single"/>
        </w:rPr>
        <w:t>经联邦快递邮寄－第二天送达</w:t>
      </w:r>
    </w:p>
    <w:p w14:paraId="2FA746C2">
      <w:pPr>
        <w:spacing w:before="187"/>
        <w:rPr>
          <w:rFonts w:eastAsia="宋体" w:cs="Arial"/>
        </w:rPr>
      </w:pPr>
      <w:r>
        <w:rPr>
          <w:rFonts w:eastAsia="宋体" w:cs="Arial"/>
        </w:rPr>
        <w:t>公司主要负责人，职务</w:t>
      </w:r>
      <w:r>
        <w:rPr>
          <w:rFonts w:eastAsia="宋体" w:cs="Arial"/>
        </w:rPr>
        <w:br w:type="textWrapping"/>
      </w:r>
      <w:r>
        <w:rPr>
          <w:rFonts w:eastAsia="宋体" w:cs="Arial"/>
        </w:rPr>
        <w:t>公司</w:t>
      </w:r>
      <w:r>
        <w:rPr>
          <w:rFonts w:eastAsia="宋体" w:cs="Arial"/>
        </w:rPr>
        <w:br w:type="textWrapping"/>
      </w:r>
      <w:r>
        <w:rPr>
          <w:rFonts w:eastAsia="宋体" w:cs="Arial"/>
        </w:rPr>
        <w:t>地址</w:t>
      </w:r>
      <w:r>
        <w:rPr>
          <w:rFonts w:eastAsia="宋体" w:cs="Arial"/>
        </w:rPr>
        <w:br w:type="textWrapping"/>
      </w:r>
      <w:r>
        <w:rPr>
          <w:rFonts w:eastAsia="宋体" w:cs="Arial"/>
        </w:rPr>
        <w:t>城市，州邮政编码</w:t>
      </w:r>
    </w:p>
    <w:p w14:paraId="14B7FE23">
      <w:pPr>
        <w:spacing w:before="187"/>
        <w:ind w:left="660" w:leftChars="300"/>
        <w:rPr>
          <w:rFonts w:eastAsia="宋体" w:cs="Arial"/>
        </w:rPr>
      </w:pPr>
      <w:r>
        <w:rPr>
          <w:rFonts w:eastAsia="宋体" w:cs="Arial"/>
        </w:rPr>
        <w:t>回复：现场测试编号GI-_______</w:t>
      </w:r>
    </w:p>
    <w:p w14:paraId="749B8A54">
      <w:pPr>
        <w:spacing w:before="187"/>
        <w:rPr>
          <w:rFonts w:eastAsia="宋体" w:cs="Arial"/>
        </w:rPr>
      </w:pPr>
      <w:r>
        <w:rPr>
          <w:rFonts w:eastAsia="宋体" w:cs="Arial"/>
        </w:rPr>
        <w:t>亲爱的________：</w:t>
      </w:r>
    </w:p>
    <w:p w14:paraId="3BD3E514">
      <w:pPr>
        <w:spacing w:before="187"/>
        <w:rPr>
          <w:rFonts w:eastAsia="宋体" w:cs="Arial"/>
        </w:rPr>
      </w:pPr>
      <w:r>
        <w:rPr>
          <w:rFonts w:eastAsia="宋体" w:cs="Arial"/>
        </w:rPr>
        <w:t>200X年________，食品药品监督管理局（FDA）的一位代表对位于下列机构的获证诊断用X射线系统进行了一次现场测试：</w:t>
      </w:r>
    </w:p>
    <w:p w14:paraId="77A899CC">
      <w:pPr>
        <w:spacing w:before="187"/>
        <w:ind w:left="1320" w:leftChars="600"/>
        <w:rPr>
          <w:rFonts w:eastAsia="宋体" w:cs="Arial"/>
        </w:rPr>
      </w:pPr>
      <w:r>
        <w:rPr>
          <w:rFonts w:eastAsia="宋体" w:cs="Arial"/>
        </w:rPr>
        <w:t>机构名称：</w:t>
      </w:r>
      <w:r>
        <w:rPr>
          <w:rFonts w:eastAsia="宋体" w:cs="Arial"/>
        </w:rPr>
        <w:br w:type="textWrapping"/>
      </w:r>
      <w:r>
        <w:rPr>
          <w:rFonts w:eastAsia="宋体" w:cs="Arial"/>
        </w:rPr>
        <w:t>地址：</w:t>
      </w:r>
      <w:r>
        <w:rPr>
          <w:rFonts w:eastAsia="宋体" w:cs="Arial"/>
        </w:rPr>
        <w:br w:type="textWrapping"/>
      </w:r>
      <w:r>
        <w:rPr>
          <w:rFonts w:eastAsia="宋体" w:cs="Arial"/>
        </w:rPr>
        <w:t>城市，州邮政编码：</w:t>
      </w:r>
    </w:p>
    <w:p w14:paraId="24112926">
      <w:pPr>
        <w:spacing w:before="187"/>
        <w:ind w:left="1320" w:leftChars="600"/>
        <w:rPr>
          <w:rFonts w:eastAsia="宋体" w:cs="Arial"/>
        </w:rPr>
      </w:pPr>
      <w:r>
        <w:rPr>
          <w:rFonts w:eastAsia="宋体" w:cs="Arial"/>
        </w:rPr>
        <w:t>X射线控制装置制造商：</w:t>
      </w:r>
      <w:r>
        <w:rPr>
          <w:rFonts w:eastAsia="宋体" w:cs="Arial"/>
        </w:rPr>
        <w:br w:type="textWrapping"/>
      </w:r>
      <w:r>
        <w:rPr>
          <w:rFonts w:eastAsia="宋体" w:cs="Arial"/>
        </w:rPr>
        <w:t>X射线控制装置型号/序列号：</w:t>
      </w:r>
      <w:r>
        <w:rPr>
          <w:rFonts w:eastAsia="宋体" w:cs="Arial"/>
        </w:rPr>
        <w:br w:type="textWrapping"/>
      </w:r>
      <w:r>
        <w:rPr>
          <w:rFonts w:eastAsia="宋体" w:cs="Arial"/>
        </w:rPr>
        <w:t>房间号：</w:t>
      </w:r>
    </w:p>
    <w:p w14:paraId="42D553A3">
      <w:pPr>
        <w:spacing w:before="187"/>
        <w:rPr>
          <w:rFonts w:eastAsia="宋体" w:cs="Arial"/>
        </w:rPr>
      </w:pPr>
      <w:r>
        <w:rPr>
          <w:rFonts w:eastAsia="宋体" w:cs="Arial"/>
        </w:rPr>
        <w:t>记录显示，贵公司于________装配了该系统（FDA-2579；______）。为了确定其对诊断用X射线设备性能标准部分（21 CFR §§1020.30-32）的合规性，我们对该系统进行了测试。诊断用X射线设备是联邦食品、药品及化妆品法案（简称法案）定义的一种器械。</w:t>
      </w:r>
    </w:p>
    <w:p w14:paraId="59AF276F">
      <w:pPr>
        <w:spacing w:before="187"/>
        <w:rPr>
          <w:rFonts w:eastAsia="宋体" w:cs="Arial"/>
          <w:b/>
        </w:rPr>
      </w:pPr>
      <w:r>
        <w:rPr>
          <w:rFonts w:eastAsia="宋体" w:cs="Arial"/>
          <w:b/>
        </w:rPr>
        <w:t>【有A类违规时，添加下列内容：】</w:t>
      </w:r>
    </w:p>
    <w:p w14:paraId="73E24794">
      <w:pPr>
        <w:spacing w:before="187"/>
        <w:rPr>
          <w:rFonts w:eastAsia="宋体" w:cs="Arial"/>
        </w:rPr>
      </w:pPr>
      <w:r>
        <w:rPr>
          <w:rFonts w:eastAsia="宋体" w:cs="Arial"/>
        </w:rPr>
        <w:t>本函确认了我们于_________给贵公司【主要负责人】先生/小姐的电话通知。在通话期间，我们要求您立即纠正下列对性能标准的严重不合规事项：</w:t>
      </w:r>
      <w:r>
        <w:rPr>
          <w:rFonts w:eastAsia="宋体" w:cs="Arial"/>
        </w:rPr>
        <w:br w:type="page"/>
      </w:r>
    </w:p>
    <w:p w14:paraId="6CAF810D">
      <w:pPr>
        <w:spacing w:before="187"/>
        <w:jc w:val="center"/>
        <w:rPr>
          <w:rFonts w:eastAsia="宋体" w:cs="Arial"/>
          <w:b/>
        </w:rPr>
      </w:pPr>
      <w:r>
        <w:rPr>
          <w:rFonts w:eastAsia="宋体" w:cs="Arial"/>
          <w:b/>
        </w:rPr>
        <w:t>【用带有编号或项目编号的段落缩排并列出A类违规】</w:t>
      </w:r>
    </w:p>
    <w:p w14:paraId="18BD66DF">
      <w:pPr>
        <w:spacing w:before="187"/>
        <w:rPr>
          <w:rFonts w:eastAsia="宋体" w:cs="Arial"/>
          <w:b/>
        </w:rPr>
      </w:pPr>
      <w:r>
        <w:rPr>
          <w:rFonts w:eastAsia="宋体" w:cs="Arial"/>
          <w:b/>
        </w:rPr>
        <w:t>【当有B类违规时，添加下列内容：】</w:t>
      </w:r>
    </w:p>
    <w:p w14:paraId="08B5D008">
      <w:pPr>
        <w:spacing w:before="187"/>
        <w:rPr>
          <w:rFonts w:eastAsia="宋体" w:cs="Arial"/>
        </w:rPr>
      </w:pPr>
      <w:r>
        <w:rPr>
          <w:rFonts w:eastAsia="宋体" w:cs="Arial"/>
        </w:rPr>
        <w:t>我们对现场测试数据的分析显示，该系统未遵从性能标准的下列条款：</w:t>
      </w:r>
    </w:p>
    <w:p w14:paraId="2AFBFE32">
      <w:pPr>
        <w:spacing w:before="187"/>
        <w:jc w:val="center"/>
        <w:rPr>
          <w:rFonts w:eastAsia="宋体" w:cs="Arial"/>
          <w:b/>
        </w:rPr>
      </w:pPr>
      <w:r>
        <w:rPr>
          <w:rFonts w:eastAsia="宋体" w:cs="Arial"/>
          <w:b/>
        </w:rPr>
        <w:t>【用带有编号或项目编号的段落缩排并列出B类违规】</w:t>
      </w:r>
    </w:p>
    <w:p w14:paraId="5057D1D4">
      <w:pPr>
        <w:spacing w:before="187"/>
        <w:rPr>
          <w:rFonts w:eastAsia="宋体" w:cs="Arial"/>
          <w:b/>
        </w:rPr>
      </w:pPr>
      <w:r>
        <w:rPr>
          <w:rFonts w:eastAsia="宋体" w:cs="Arial"/>
          <w:b/>
        </w:rPr>
        <w:t>【当有瑕疵时，应添加下列内容：】</w:t>
      </w:r>
    </w:p>
    <w:p w14:paraId="461824B4">
      <w:pPr>
        <w:spacing w:before="187"/>
        <w:rPr>
          <w:rFonts w:eastAsia="宋体" w:cs="Arial"/>
        </w:rPr>
      </w:pPr>
      <w:r>
        <w:rPr>
          <w:rFonts w:eastAsia="宋体" w:cs="Arial"/>
        </w:rPr>
        <w:t>在进行现场测试时，我们还确定该系统以下列方式运行时存在瑕疵：</w:t>
      </w:r>
    </w:p>
    <w:p w14:paraId="5E555480">
      <w:pPr>
        <w:spacing w:before="187"/>
        <w:jc w:val="center"/>
        <w:rPr>
          <w:rFonts w:eastAsia="宋体" w:cs="Arial"/>
          <w:b/>
        </w:rPr>
      </w:pPr>
      <w:r>
        <w:rPr>
          <w:rFonts w:eastAsia="宋体" w:cs="Arial"/>
          <w:b/>
        </w:rPr>
        <w:t>【按21 CFR §1003.2的规定，用带有编号或项目编号的段落缩排并列出这些瑕疵】</w:t>
      </w:r>
    </w:p>
    <w:p w14:paraId="5C48C05E">
      <w:pPr>
        <w:spacing w:before="187"/>
        <w:rPr>
          <w:rFonts w:eastAsia="宋体" w:cs="Arial"/>
          <w:b/>
        </w:rPr>
      </w:pPr>
      <w:r>
        <w:rPr>
          <w:rFonts w:eastAsia="宋体" w:cs="Arial"/>
          <w:b/>
        </w:rPr>
        <w:t>当有A类违规且您们还在申报A类和/或B类违规或瑕疵时，应添加下列内容：</w:t>
      </w:r>
    </w:p>
    <w:p w14:paraId="1145F99A">
      <w:pPr>
        <w:spacing w:before="187"/>
        <w:rPr>
          <w:rFonts w:eastAsia="宋体" w:cs="Arial"/>
        </w:rPr>
      </w:pPr>
      <w:r>
        <w:rPr>
          <w:rFonts w:eastAsia="宋体" w:cs="Arial"/>
        </w:rPr>
        <w:t>除以上问题外，我们认为下列事项的合规状态存有疑问。您在纠正事先引证的问题时，请核实这些事项的合规状态。</w:t>
      </w:r>
    </w:p>
    <w:p w14:paraId="09B61F49">
      <w:pPr>
        <w:spacing w:before="187"/>
        <w:jc w:val="center"/>
        <w:rPr>
          <w:rFonts w:eastAsia="宋体" w:cs="Arial"/>
          <w:b/>
        </w:rPr>
      </w:pPr>
      <w:r>
        <w:rPr>
          <w:rFonts w:eastAsia="宋体" w:cs="Arial"/>
          <w:b/>
        </w:rPr>
        <w:t>【用带有编号或项目编号的段落缩排并列出C类违规】</w:t>
      </w:r>
    </w:p>
    <w:p w14:paraId="0C153B10">
      <w:pPr>
        <w:spacing w:before="187"/>
        <w:rPr>
          <w:rFonts w:eastAsia="宋体" w:cs="Arial"/>
        </w:rPr>
      </w:pPr>
      <w:r>
        <w:rPr>
          <w:rFonts w:eastAsia="宋体" w:cs="Arial"/>
        </w:rPr>
        <w:t>我们要求责任装配商按21 CFR §§1003和1004的规定对上面列出的偏离性能标准事项和/或瑕疵进行调查。列举如下：</w:t>
      </w:r>
    </w:p>
    <w:p w14:paraId="4236364D">
      <w:pPr>
        <w:pStyle w:val="15"/>
        <w:numPr>
          <w:ilvl w:val="1"/>
          <w:numId w:val="64"/>
        </w:numPr>
        <w:spacing w:before="187"/>
        <w:ind w:left="880" w:leftChars="200" w:hanging="440" w:hangingChars="200"/>
        <w:rPr>
          <w:rFonts w:eastAsia="宋体" w:cs="Arial"/>
        </w:rPr>
      </w:pPr>
      <w:r>
        <w:rPr>
          <w:rFonts w:eastAsia="宋体" w:cs="Arial"/>
        </w:rPr>
        <w:t>如果确定偏离事项和/或瑕疵是由装配或安装不当所致，您应通过对系统进行修理、替换或退还成本的方式免费为用户纠正偏离事项和/或瑕疵。</w:t>
      </w:r>
    </w:p>
    <w:p w14:paraId="2624B713">
      <w:pPr>
        <w:pStyle w:val="15"/>
        <w:numPr>
          <w:ilvl w:val="1"/>
          <w:numId w:val="64"/>
        </w:numPr>
        <w:spacing w:before="187"/>
        <w:ind w:left="880" w:leftChars="200" w:hanging="440" w:hangingChars="200"/>
        <w:rPr>
          <w:rFonts w:eastAsia="宋体" w:cs="Arial"/>
        </w:rPr>
      </w:pPr>
      <w:r>
        <w:rPr>
          <w:rFonts w:eastAsia="宋体" w:cs="Arial"/>
        </w:rPr>
        <w:t>如果确定偏离事项和/或瑕疵是由基于工厂的制造商所致，您应将偏离事项和/或瑕疵告知制造商并将此类通知的证明文件送达该办公室。</w:t>
      </w:r>
    </w:p>
    <w:p w14:paraId="43D590AE">
      <w:pPr>
        <w:pStyle w:val="15"/>
        <w:numPr>
          <w:ilvl w:val="1"/>
          <w:numId w:val="64"/>
        </w:numPr>
        <w:spacing w:before="187"/>
        <w:ind w:left="880" w:leftChars="200" w:hanging="440" w:hangingChars="200"/>
        <w:rPr>
          <w:rFonts w:eastAsia="宋体" w:cs="Arial"/>
        </w:rPr>
      </w:pPr>
      <w:r>
        <w:rPr>
          <w:rFonts w:eastAsia="宋体" w:cs="Arial"/>
        </w:rPr>
        <w:t>如果能证实该系统合规，被指控的偏离事项和/或瑕疵并不存在或与产品安全无关或可直接归咎于用户滥用或缺乏维护，您可在收到本函后【如果信函中包含了A类违规：15；如果信函中未包含A类违规：30】个工作日内按21 CFR §1003.11（a）（3）的规定将此类证据提交给该办公室。</w:t>
      </w:r>
    </w:p>
    <w:p w14:paraId="36A0F3C8">
      <w:pPr>
        <w:spacing w:before="187"/>
        <w:rPr>
          <w:rFonts w:eastAsia="宋体" w:cs="Arial"/>
        </w:rPr>
      </w:pPr>
    </w:p>
    <w:p w14:paraId="1E5828A0">
      <w:pPr>
        <w:spacing w:before="187"/>
        <w:rPr>
          <w:rFonts w:eastAsia="宋体" w:cs="Arial"/>
        </w:rPr>
      </w:pPr>
      <w:r>
        <w:rPr>
          <w:rFonts w:eastAsia="宋体" w:cs="Arial"/>
        </w:rPr>
        <w:br w:type="page"/>
      </w:r>
    </w:p>
    <w:p w14:paraId="0A7DFA1C">
      <w:pPr>
        <w:spacing w:before="187"/>
        <w:rPr>
          <w:rFonts w:eastAsia="宋体" w:cs="Arial"/>
        </w:rPr>
      </w:pPr>
      <w:r>
        <w:rPr>
          <w:rFonts w:eastAsia="宋体" w:cs="Arial"/>
        </w:rPr>
        <w:t>我们要求在收到本函后【</w:t>
      </w:r>
      <w:r>
        <w:rPr>
          <w:rFonts w:eastAsia="宋体" w:cs="Arial"/>
          <w:b/>
        </w:rPr>
        <w:t>如果信函中包含了A类违规：15；如果信函中未包含A类违规：30</w:t>
      </w:r>
      <w:r>
        <w:rPr>
          <w:rFonts w:eastAsia="宋体" w:cs="Arial"/>
        </w:rPr>
        <w:t>】个工作日内将您的调查或随访结果报至该办公室。在回复中应包含纠正行动的完成日期与检修记录和/或其它支持性文件的副本。【</w:t>
      </w:r>
      <w:r>
        <w:rPr>
          <w:rFonts w:eastAsia="宋体" w:cs="Arial"/>
          <w:b/>
        </w:rPr>
        <w:t>如果信函中未包含A类违规，应添加下列内容：</w:t>
      </w:r>
      <w:r>
        <w:rPr>
          <w:rFonts w:eastAsia="宋体" w:cs="Arial"/>
        </w:rPr>
        <w:t>】不做回应可构成对法案第C分章－电子产品的辐射控制（1968年颁布的原卫生安全法案辐射控制）－第538（a）（2）节和第538（a）（4）节的违背。</w:t>
      </w:r>
    </w:p>
    <w:p w14:paraId="30CF3E53">
      <w:pPr>
        <w:spacing w:before="187"/>
        <w:rPr>
          <w:rFonts w:eastAsia="宋体" w:cs="Arial"/>
          <w:b/>
        </w:rPr>
      </w:pPr>
      <w:r>
        <w:rPr>
          <w:rFonts w:eastAsia="宋体" w:cs="Arial"/>
          <w:b/>
        </w:rPr>
        <w:t>【仅当信函中包含A类违规时应包含下列内容：】</w:t>
      </w:r>
    </w:p>
    <w:p w14:paraId="380AB10E">
      <w:pPr>
        <w:spacing w:before="187"/>
        <w:rPr>
          <w:rFonts w:eastAsia="宋体" w:cs="Arial"/>
        </w:rPr>
      </w:pPr>
      <w:r>
        <w:rPr>
          <w:rFonts w:eastAsia="宋体" w:cs="Arial"/>
        </w:rPr>
        <w:t>不做回应可构成对法案第C分章－电子产品的辐射控制（1968年颁布的原卫生安全法案辐射控制）－第538（a）（2）节和第538（a）（4）节的违背。未立即纠正该违规可导致FDA在不进一步通知的情况下启动监管行动。这些行动包括法案第539节规定的没收、发布禁令和处以民事处罚。违背法案第538节的人员常受到每件违规事项多达1,000美元和最高可达30万美元的民事处罚</w:t>
      </w:r>
    </w:p>
    <w:p w14:paraId="50B9D4A0">
      <w:pPr>
        <w:spacing w:before="187"/>
        <w:rPr>
          <w:rFonts w:eastAsia="宋体" w:cs="Arial"/>
        </w:rPr>
      </w:pPr>
      <w:r>
        <w:rPr>
          <w:rFonts w:eastAsia="宋体" w:cs="Arial"/>
        </w:rPr>
        <w:t>您应将回复送至食品药品监督管理局合规专员_________（地址）。如果有任何疑问，请与___________联系，电话号码，分机。</w:t>
      </w:r>
    </w:p>
    <w:p w14:paraId="425EE908">
      <w:pPr>
        <w:spacing w:before="187"/>
        <w:rPr>
          <w:rFonts w:eastAsia="宋体" w:cs="Arial"/>
        </w:rPr>
      </w:pPr>
    </w:p>
    <w:p w14:paraId="7882BF48">
      <w:pPr>
        <w:spacing w:before="187"/>
        <w:ind w:left="4840" w:leftChars="2200"/>
        <w:rPr>
          <w:rFonts w:eastAsia="宋体" w:cs="Arial"/>
        </w:rPr>
      </w:pPr>
      <w:r>
        <w:rPr>
          <w:rFonts w:eastAsia="宋体" w:cs="Arial"/>
        </w:rPr>
        <w:t>顺祝商祺，</w:t>
      </w:r>
    </w:p>
    <w:p w14:paraId="4B7DDF5E">
      <w:pPr>
        <w:spacing w:before="187"/>
        <w:ind w:left="4840" w:leftChars="2200"/>
        <w:rPr>
          <w:rFonts w:eastAsia="宋体" w:cs="Arial"/>
        </w:rPr>
      </w:pPr>
      <w:r>
        <w:rPr>
          <w:rFonts w:eastAsia="宋体" w:cs="Arial"/>
        </w:rPr>
        <w:t>管理区办公室合规主管</w:t>
      </w:r>
    </w:p>
    <w:p w14:paraId="69E4D9DD">
      <w:pPr>
        <w:spacing w:before="187"/>
        <w:rPr>
          <w:rFonts w:eastAsia="宋体" w:cs="Arial"/>
        </w:rPr>
      </w:pPr>
    </w:p>
    <w:p w14:paraId="3D969223">
      <w:pPr>
        <w:spacing w:before="187"/>
        <w:rPr>
          <w:rFonts w:eastAsia="宋体" w:cs="Arial"/>
        </w:rPr>
      </w:pPr>
    </w:p>
    <w:p w14:paraId="525D40D8">
      <w:pPr>
        <w:spacing w:before="187"/>
        <w:rPr>
          <w:rFonts w:eastAsia="宋体" w:cs="Arial"/>
        </w:rPr>
      </w:pPr>
    </w:p>
    <w:p w14:paraId="4467932F">
      <w:pPr>
        <w:spacing w:before="187"/>
        <w:ind w:left="880" w:hanging="880" w:hangingChars="400"/>
        <w:rPr>
          <w:rFonts w:eastAsia="宋体" w:cs="Arial"/>
        </w:rPr>
      </w:pPr>
      <w:r>
        <w:rPr>
          <w:rFonts w:eastAsia="宋体" w:cs="Arial"/>
        </w:rPr>
        <w:t>抄送：</w:t>
      </w:r>
      <w:r>
        <w:rPr>
          <w:rFonts w:eastAsia="宋体" w:cs="Arial"/>
        </w:rPr>
        <w:tab/>
      </w:r>
      <w:r>
        <w:rPr>
          <w:rFonts w:eastAsia="宋体" w:cs="Arial"/>
          <w:b/>
        </w:rPr>
        <w:t>机构代表</w:t>
      </w:r>
      <w:r>
        <w:rPr>
          <w:rFonts w:eastAsia="宋体" w:cs="Arial"/>
          <w:b/>
        </w:rPr>
        <w:br w:type="textWrapping"/>
      </w:r>
      <w:r>
        <w:rPr>
          <w:rFonts w:eastAsia="宋体" w:cs="Arial"/>
          <w:b/>
        </w:rPr>
        <w:t>机构</w:t>
      </w:r>
      <w:r>
        <w:rPr>
          <w:rFonts w:eastAsia="宋体" w:cs="Arial"/>
          <w:b/>
        </w:rPr>
        <w:br w:type="textWrapping"/>
      </w:r>
      <w:r>
        <w:rPr>
          <w:rFonts w:eastAsia="宋体" w:cs="Arial"/>
          <w:b/>
        </w:rPr>
        <w:t>地址</w:t>
      </w:r>
      <w:r>
        <w:rPr>
          <w:rFonts w:eastAsia="宋体" w:cs="Arial"/>
          <w:b/>
        </w:rPr>
        <w:br w:type="textWrapping"/>
      </w:r>
      <w:r>
        <w:rPr>
          <w:rFonts w:eastAsia="宋体" w:cs="Arial"/>
          <w:b/>
        </w:rPr>
        <w:t>城市，州邮政编码</w:t>
      </w:r>
    </w:p>
    <w:p w14:paraId="57433E52">
      <w:pPr>
        <w:spacing w:before="187"/>
        <w:rPr>
          <w:rFonts w:eastAsia="宋体" w:cs="Arial"/>
        </w:rPr>
      </w:pPr>
    </w:p>
    <w:p w14:paraId="4E1D4D9D">
      <w:pPr>
        <w:spacing w:before="187"/>
        <w:rPr>
          <w:rFonts w:eastAsia="宋体" w:cs="Arial"/>
        </w:rPr>
        <w:sectPr>
          <w:headerReference r:id="rId49" w:type="first"/>
          <w:footerReference r:id="rId51" w:type="first"/>
          <w:footerReference r:id="rId50" w:type="default"/>
          <w:pgSz w:w="11906" w:h="16838"/>
          <w:pgMar w:top="1418" w:right="1418" w:bottom="1418" w:left="1418" w:header="720" w:footer="720" w:gutter="0"/>
          <w:pgNumType w:start="1"/>
          <w:cols w:space="425" w:num="1"/>
          <w:titlePg/>
          <w:docGrid w:type="lines" w:linePitch="312" w:charSpace="0"/>
        </w:sectPr>
      </w:pPr>
    </w:p>
    <w:p w14:paraId="57706434">
      <w:pPr>
        <w:spacing w:before="187"/>
        <w:jc w:val="center"/>
        <w:rPr>
          <w:rFonts w:eastAsia="宋体" w:cs="Arial"/>
          <w:b/>
          <w:u w:val="single"/>
        </w:rPr>
      </w:pPr>
      <w:r>
        <w:rPr>
          <w:rFonts w:eastAsia="宋体" w:cs="Arial"/>
          <w:b/>
          <w:u w:val="single"/>
        </w:rPr>
        <w:t>现场纠正状态报告</w:t>
      </w:r>
    </w:p>
    <w:p w14:paraId="0A4BCAD9">
      <w:pPr>
        <w:spacing w:before="187"/>
        <w:rPr>
          <w:rFonts w:eastAsia="宋体" w:cs="Arial"/>
        </w:rPr>
      </w:pPr>
    </w:p>
    <w:p w14:paraId="3F86CFBB">
      <w:pPr>
        <w:spacing w:before="31" w:beforeLines="10" w:after="31" w:afterLines="10" w:line="220" w:lineRule="exact"/>
        <w:rPr>
          <w:rFonts w:eastAsia="宋体" w:cs="Arial"/>
          <w:sz w:val="18"/>
          <w:szCs w:val="18"/>
        </w:rPr>
      </w:pPr>
      <w:r>
        <w:rPr>
          <w:rFonts w:eastAsia="宋体" w:cs="Arial"/>
          <w:sz w:val="18"/>
          <w:szCs w:val="18"/>
        </w:rPr>
        <w:t>亚特兰大产地管理区未解决的X射线现场测试不合规</w:t>
      </w:r>
    </w:p>
    <w:tbl>
      <w:tblPr>
        <w:tblStyle w:val="8"/>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1"/>
        <w:gridCol w:w="1339"/>
        <w:gridCol w:w="1509"/>
        <w:gridCol w:w="3544"/>
        <w:gridCol w:w="1559"/>
      </w:tblGrid>
      <w:tr w14:paraId="4FEA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Align w:val="bottom"/>
          </w:tcPr>
          <w:p w14:paraId="493A8C94">
            <w:pPr>
              <w:spacing w:before="15" w:beforeLines="5" w:after="15" w:afterLines="5" w:line="240" w:lineRule="auto"/>
              <w:rPr>
                <w:rFonts w:eastAsia="宋体" w:cs="Arial"/>
                <w:sz w:val="18"/>
                <w:szCs w:val="18"/>
              </w:rPr>
            </w:pPr>
            <w:r>
              <w:rPr>
                <w:rFonts w:eastAsia="宋体" w:cs="Arial"/>
                <w:sz w:val="18"/>
                <w:szCs w:val="18"/>
              </w:rPr>
              <w:t>测试标识符</w:t>
            </w:r>
          </w:p>
          <w:p w14:paraId="08554BDB">
            <w:pPr>
              <w:spacing w:before="15" w:beforeLines="5" w:after="15" w:afterLines="5" w:line="240" w:lineRule="auto"/>
              <w:rPr>
                <w:rFonts w:eastAsia="宋体" w:cs="Arial"/>
                <w:sz w:val="18"/>
                <w:szCs w:val="18"/>
              </w:rPr>
            </w:pPr>
            <w:r>
              <w:rPr>
                <w:rFonts w:hint="eastAsia" w:eastAsia="宋体" w:cs="Arial"/>
                <w:sz w:val="18"/>
                <w:szCs w:val="18"/>
              </w:rPr>
              <w:t>--------------</w:t>
            </w:r>
          </w:p>
        </w:tc>
        <w:tc>
          <w:tcPr>
            <w:tcW w:w="1339" w:type="dxa"/>
            <w:vAlign w:val="bottom"/>
          </w:tcPr>
          <w:p w14:paraId="5D890709">
            <w:pPr>
              <w:spacing w:before="15" w:beforeLines="5" w:after="15" w:afterLines="5" w:line="240" w:lineRule="auto"/>
              <w:rPr>
                <w:rFonts w:eastAsia="宋体" w:cs="Arial"/>
                <w:sz w:val="18"/>
                <w:szCs w:val="18"/>
              </w:rPr>
            </w:pPr>
            <w:r>
              <w:rPr>
                <w:rFonts w:eastAsia="宋体" w:cs="Arial"/>
                <w:sz w:val="18"/>
                <w:szCs w:val="18"/>
              </w:rPr>
              <w:t>测试日期</w:t>
            </w:r>
          </w:p>
          <w:p w14:paraId="603184CC">
            <w:pPr>
              <w:spacing w:before="15" w:beforeLines="5" w:after="15" w:afterLines="5" w:line="240" w:lineRule="auto"/>
              <w:rPr>
                <w:rFonts w:eastAsia="宋体" w:cs="Arial"/>
                <w:sz w:val="18"/>
                <w:szCs w:val="18"/>
              </w:rPr>
            </w:pPr>
            <w:r>
              <w:rPr>
                <w:rFonts w:hint="eastAsia" w:eastAsia="宋体" w:cs="Arial"/>
                <w:sz w:val="18"/>
                <w:szCs w:val="18"/>
              </w:rPr>
              <w:t>-----------</w:t>
            </w:r>
          </w:p>
        </w:tc>
        <w:tc>
          <w:tcPr>
            <w:tcW w:w="1509" w:type="dxa"/>
            <w:vAlign w:val="bottom"/>
          </w:tcPr>
          <w:p w14:paraId="3528DDA0">
            <w:pPr>
              <w:spacing w:before="15" w:beforeLines="5" w:after="15" w:afterLines="5" w:line="240" w:lineRule="auto"/>
              <w:rPr>
                <w:rFonts w:eastAsia="宋体" w:cs="Arial"/>
                <w:sz w:val="18"/>
                <w:szCs w:val="18"/>
              </w:rPr>
            </w:pPr>
            <w:r>
              <w:rPr>
                <w:rFonts w:eastAsia="宋体" w:cs="Arial"/>
                <w:sz w:val="18"/>
                <w:szCs w:val="18"/>
              </w:rPr>
              <w:t>完工管理区</w:t>
            </w:r>
          </w:p>
          <w:p w14:paraId="0679A893">
            <w:pPr>
              <w:spacing w:before="15" w:beforeLines="5" w:after="15" w:afterLines="5" w:line="240" w:lineRule="auto"/>
              <w:rPr>
                <w:rFonts w:eastAsia="宋体" w:cs="Arial"/>
                <w:sz w:val="18"/>
                <w:szCs w:val="18"/>
              </w:rPr>
            </w:pPr>
            <w:r>
              <w:rPr>
                <w:rFonts w:hint="eastAsia" w:eastAsia="宋体" w:cs="Arial"/>
                <w:sz w:val="18"/>
                <w:szCs w:val="18"/>
              </w:rPr>
              <w:t>-------------</w:t>
            </w:r>
          </w:p>
        </w:tc>
        <w:tc>
          <w:tcPr>
            <w:tcW w:w="3544" w:type="dxa"/>
            <w:vAlign w:val="bottom"/>
          </w:tcPr>
          <w:p w14:paraId="065A3DD3">
            <w:pPr>
              <w:spacing w:before="15" w:beforeLines="5" w:after="15" w:afterLines="5" w:line="240" w:lineRule="auto"/>
              <w:rPr>
                <w:rFonts w:eastAsia="宋体" w:cs="Arial"/>
                <w:sz w:val="18"/>
                <w:szCs w:val="18"/>
              </w:rPr>
            </w:pPr>
            <w:r>
              <w:rPr>
                <w:rFonts w:eastAsia="宋体" w:cs="Arial"/>
                <w:sz w:val="18"/>
                <w:szCs w:val="18"/>
              </w:rPr>
              <w:t>机构/邮政编码</w:t>
            </w:r>
          </w:p>
          <w:p w14:paraId="7B7F9058">
            <w:pPr>
              <w:spacing w:before="15" w:beforeLines="5" w:after="15" w:afterLines="5" w:line="240" w:lineRule="auto"/>
              <w:rPr>
                <w:rFonts w:eastAsia="宋体" w:cs="Arial"/>
                <w:sz w:val="18"/>
                <w:szCs w:val="18"/>
              </w:rPr>
            </w:pPr>
            <w:r>
              <w:rPr>
                <w:rFonts w:eastAsia="宋体" w:cs="Arial"/>
                <w:sz w:val="18"/>
                <w:szCs w:val="18"/>
              </w:rPr>
              <w:t>装配商/验证码</w:t>
            </w:r>
          </w:p>
          <w:p w14:paraId="49AC987E">
            <w:pPr>
              <w:spacing w:before="15" w:beforeLines="5" w:after="15" w:afterLines="5" w:line="240" w:lineRule="auto"/>
              <w:rPr>
                <w:rFonts w:eastAsia="宋体" w:cs="Arial"/>
                <w:sz w:val="18"/>
                <w:szCs w:val="18"/>
              </w:rPr>
            </w:pPr>
            <w:r>
              <w:rPr>
                <w:rFonts w:hint="eastAsia" w:eastAsia="宋体" w:cs="Arial"/>
                <w:sz w:val="18"/>
                <w:szCs w:val="18"/>
              </w:rPr>
              <w:t>--------------</w:t>
            </w:r>
          </w:p>
        </w:tc>
        <w:tc>
          <w:tcPr>
            <w:tcW w:w="1559" w:type="dxa"/>
            <w:vAlign w:val="bottom"/>
          </w:tcPr>
          <w:p w14:paraId="0E57A027">
            <w:pPr>
              <w:spacing w:before="15" w:beforeLines="5" w:after="15" w:afterLines="5" w:line="240" w:lineRule="auto"/>
              <w:rPr>
                <w:rFonts w:eastAsia="宋体" w:cs="Arial"/>
                <w:sz w:val="18"/>
                <w:szCs w:val="18"/>
              </w:rPr>
            </w:pPr>
            <w:r>
              <w:rPr>
                <w:rFonts w:eastAsia="宋体" w:cs="Arial"/>
                <w:sz w:val="18"/>
                <w:szCs w:val="18"/>
              </w:rPr>
              <w:t>不合规</w:t>
            </w:r>
          </w:p>
          <w:p w14:paraId="4B079409">
            <w:pPr>
              <w:spacing w:before="15" w:beforeLines="5" w:after="15" w:afterLines="5" w:line="240" w:lineRule="auto"/>
              <w:rPr>
                <w:rFonts w:eastAsia="宋体" w:cs="Arial"/>
                <w:sz w:val="18"/>
                <w:szCs w:val="18"/>
              </w:rPr>
            </w:pPr>
            <w:r>
              <w:rPr>
                <w:rFonts w:hint="eastAsia" w:eastAsia="宋体" w:cs="Arial"/>
                <w:sz w:val="18"/>
                <w:szCs w:val="18"/>
              </w:rPr>
              <w:t>--------------</w:t>
            </w:r>
          </w:p>
        </w:tc>
      </w:tr>
      <w:tr w14:paraId="202B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1040C87">
            <w:pPr>
              <w:spacing w:before="15" w:beforeLines="5" w:after="15" w:afterLines="5" w:line="240" w:lineRule="auto"/>
              <w:rPr>
                <w:rFonts w:eastAsia="宋体" w:cs="Arial"/>
                <w:sz w:val="18"/>
                <w:szCs w:val="18"/>
              </w:rPr>
            </w:pPr>
            <w:r>
              <w:rPr>
                <w:rFonts w:eastAsia="宋体" w:cs="Arial"/>
                <w:sz w:val="18"/>
                <w:szCs w:val="18"/>
              </w:rPr>
              <w:t xml:space="preserve">AR56175R </w:t>
            </w:r>
          </w:p>
        </w:tc>
        <w:tc>
          <w:tcPr>
            <w:tcW w:w="1339" w:type="dxa"/>
          </w:tcPr>
          <w:p w14:paraId="568B4F3F">
            <w:pPr>
              <w:spacing w:before="15" w:beforeLines="5" w:after="15" w:afterLines="5" w:line="240" w:lineRule="auto"/>
              <w:rPr>
                <w:rFonts w:eastAsia="宋体" w:cs="Arial"/>
                <w:sz w:val="18"/>
                <w:szCs w:val="18"/>
              </w:rPr>
            </w:pPr>
            <w:r>
              <w:rPr>
                <w:rFonts w:eastAsia="宋体" w:cs="Arial"/>
                <w:sz w:val="18"/>
                <w:szCs w:val="18"/>
              </w:rPr>
              <w:t xml:space="preserve">19961009 </w:t>
            </w:r>
          </w:p>
        </w:tc>
        <w:tc>
          <w:tcPr>
            <w:tcW w:w="1509" w:type="dxa"/>
          </w:tcPr>
          <w:p w14:paraId="1F4470A1">
            <w:pPr>
              <w:spacing w:before="15" w:beforeLines="5" w:after="15" w:afterLines="5" w:line="240" w:lineRule="auto"/>
              <w:rPr>
                <w:rFonts w:eastAsia="宋体" w:cs="Arial"/>
                <w:sz w:val="18"/>
                <w:szCs w:val="18"/>
              </w:rPr>
            </w:pPr>
            <w:r>
              <w:rPr>
                <w:rFonts w:eastAsia="宋体" w:cs="Arial"/>
                <w:sz w:val="18"/>
                <w:szCs w:val="18"/>
              </w:rPr>
              <w:t>LOS</w:t>
            </w:r>
          </w:p>
        </w:tc>
        <w:tc>
          <w:tcPr>
            <w:tcW w:w="3544" w:type="dxa"/>
          </w:tcPr>
          <w:p w14:paraId="472B3487">
            <w:pPr>
              <w:spacing w:before="15" w:beforeLines="5" w:after="15" w:afterLines="5" w:line="240" w:lineRule="auto"/>
              <w:jc w:val="left"/>
              <w:rPr>
                <w:rFonts w:eastAsia="宋体" w:cs="Arial"/>
                <w:sz w:val="18"/>
                <w:szCs w:val="18"/>
              </w:rPr>
            </w:pPr>
            <w:r>
              <w:rPr>
                <w:rFonts w:eastAsia="宋体" w:cs="Arial"/>
                <w:sz w:val="18"/>
                <w:szCs w:val="18"/>
              </w:rPr>
              <w:t>MOBILE LITHOTRIPTERS/92630</w:t>
            </w:r>
          </w:p>
          <w:p w14:paraId="30C5B1BE">
            <w:pPr>
              <w:spacing w:before="15" w:beforeLines="5" w:after="15" w:afterLines="5" w:line="240" w:lineRule="auto"/>
              <w:jc w:val="left"/>
              <w:rPr>
                <w:rFonts w:eastAsia="宋体" w:cs="Arial"/>
                <w:sz w:val="18"/>
                <w:szCs w:val="18"/>
              </w:rPr>
            </w:pPr>
            <w:r>
              <w:rPr>
                <w:rFonts w:eastAsia="宋体" w:cs="Arial"/>
                <w:sz w:val="18"/>
                <w:szCs w:val="18"/>
              </w:rPr>
              <w:t>DORNIER MEDICAL SYSTEMS INC./30144</w:t>
            </w:r>
          </w:p>
        </w:tc>
        <w:tc>
          <w:tcPr>
            <w:tcW w:w="1559" w:type="dxa"/>
          </w:tcPr>
          <w:p w14:paraId="4ED91E2C">
            <w:pPr>
              <w:spacing w:before="15" w:beforeLines="5" w:after="15" w:afterLines="5" w:line="240" w:lineRule="auto"/>
              <w:rPr>
                <w:rFonts w:eastAsia="宋体" w:cs="Arial"/>
                <w:sz w:val="18"/>
                <w:szCs w:val="18"/>
              </w:rPr>
            </w:pPr>
            <w:r>
              <w:rPr>
                <w:rFonts w:eastAsia="宋体" w:cs="Arial"/>
                <w:sz w:val="18"/>
                <w:szCs w:val="18"/>
              </w:rPr>
              <w:t xml:space="preserve">Q07 Q08 Q71  </w:t>
            </w:r>
          </w:p>
        </w:tc>
      </w:tr>
      <w:tr w14:paraId="5689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0D82F956">
            <w:pPr>
              <w:spacing w:before="15" w:beforeLines="5" w:after="15" w:afterLines="5" w:line="240" w:lineRule="auto"/>
              <w:rPr>
                <w:rFonts w:eastAsia="宋体" w:cs="Arial"/>
                <w:sz w:val="18"/>
                <w:szCs w:val="18"/>
              </w:rPr>
            </w:pPr>
            <w:r>
              <w:rPr>
                <w:rFonts w:eastAsia="宋体" w:cs="Arial"/>
                <w:sz w:val="18"/>
                <w:szCs w:val="18"/>
              </w:rPr>
              <w:t xml:space="preserve">AR54497A </w:t>
            </w:r>
          </w:p>
        </w:tc>
        <w:tc>
          <w:tcPr>
            <w:tcW w:w="1339" w:type="dxa"/>
          </w:tcPr>
          <w:p w14:paraId="78044D68">
            <w:pPr>
              <w:spacing w:before="15" w:beforeLines="5" w:after="15" w:afterLines="5" w:line="240" w:lineRule="auto"/>
              <w:rPr>
                <w:rFonts w:eastAsia="宋体" w:cs="Arial"/>
                <w:sz w:val="18"/>
                <w:szCs w:val="18"/>
              </w:rPr>
            </w:pPr>
            <w:r>
              <w:rPr>
                <w:rFonts w:eastAsia="宋体" w:cs="Arial"/>
                <w:sz w:val="18"/>
                <w:szCs w:val="18"/>
              </w:rPr>
              <w:t xml:space="preserve">19961018  </w:t>
            </w:r>
          </w:p>
        </w:tc>
        <w:tc>
          <w:tcPr>
            <w:tcW w:w="1509" w:type="dxa"/>
          </w:tcPr>
          <w:p w14:paraId="79975D9E">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00FDE515">
            <w:pPr>
              <w:spacing w:before="15" w:beforeLines="5" w:after="15" w:afterLines="5" w:line="240" w:lineRule="auto"/>
              <w:jc w:val="left"/>
              <w:rPr>
                <w:rFonts w:eastAsia="宋体" w:cs="Arial"/>
                <w:sz w:val="18"/>
                <w:szCs w:val="18"/>
              </w:rPr>
            </w:pPr>
            <w:r>
              <w:rPr>
                <w:rFonts w:eastAsia="宋体" w:cs="Arial"/>
                <w:sz w:val="18"/>
                <w:szCs w:val="18"/>
              </w:rPr>
              <w:t>NORTHSIDE HOSPITALL/30342</w:t>
            </w:r>
          </w:p>
          <w:p w14:paraId="1E24B762">
            <w:pPr>
              <w:spacing w:before="15" w:beforeLines="5" w:after="15" w:afterLines="5" w:line="240" w:lineRule="auto"/>
              <w:jc w:val="left"/>
              <w:rPr>
                <w:rFonts w:eastAsia="宋体" w:cs="Arial"/>
                <w:sz w:val="18"/>
                <w:szCs w:val="18"/>
              </w:rPr>
            </w:pPr>
            <w:r>
              <w:rPr>
                <w:rFonts w:eastAsia="宋体" w:cs="Arial"/>
                <w:sz w:val="18"/>
                <w:szCs w:val="18"/>
              </w:rPr>
              <w:t>PICKER INTERNATIONAL/30071</w:t>
            </w:r>
          </w:p>
        </w:tc>
        <w:tc>
          <w:tcPr>
            <w:tcW w:w="1559" w:type="dxa"/>
          </w:tcPr>
          <w:p w14:paraId="46FF0217">
            <w:pPr>
              <w:spacing w:before="15" w:beforeLines="5" w:after="15" w:afterLines="5" w:line="240" w:lineRule="auto"/>
              <w:rPr>
                <w:rFonts w:eastAsia="宋体" w:cs="Arial"/>
                <w:sz w:val="18"/>
                <w:szCs w:val="18"/>
              </w:rPr>
            </w:pPr>
            <w:r>
              <w:rPr>
                <w:rFonts w:eastAsia="宋体" w:cs="Arial"/>
                <w:sz w:val="18"/>
                <w:szCs w:val="18"/>
              </w:rPr>
              <w:t>9</w:t>
            </w:r>
          </w:p>
        </w:tc>
      </w:tr>
      <w:tr w14:paraId="203C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4F82BE5">
            <w:pPr>
              <w:spacing w:before="15" w:beforeLines="5" w:after="15" w:afterLines="5" w:line="240" w:lineRule="auto"/>
              <w:rPr>
                <w:rFonts w:eastAsia="宋体" w:cs="Arial"/>
                <w:sz w:val="18"/>
                <w:szCs w:val="18"/>
              </w:rPr>
            </w:pPr>
            <w:r>
              <w:rPr>
                <w:rFonts w:eastAsia="宋体" w:cs="Arial"/>
                <w:sz w:val="18"/>
                <w:szCs w:val="18"/>
              </w:rPr>
              <w:t xml:space="preserve">UF55410B </w:t>
            </w:r>
          </w:p>
        </w:tc>
        <w:tc>
          <w:tcPr>
            <w:tcW w:w="1339" w:type="dxa"/>
          </w:tcPr>
          <w:p w14:paraId="5EB9C471">
            <w:pPr>
              <w:spacing w:before="15" w:beforeLines="5" w:after="15" w:afterLines="5" w:line="240" w:lineRule="auto"/>
              <w:rPr>
                <w:rFonts w:eastAsia="宋体" w:cs="Arial"/>
                <w:sz w:val="18"/>
                <w:szCs w:val="18"/>
              </w:rPr>
            </w:pPr>
            <w:r>
              <w:rPr>
                <w:rFonts w:eastAsia="宋体" w:cs="Arial"/>
                <w:sz w:val="18"/>
                <w:szCs w:val="18"/>
              </w:rPr>
              <w:t xml:space="preserve">19961029 </w:t>
            </w:r>
          </w:p>
        </w:tc>
        <w:tc>
          <w:tcPr>
            <w:tcW w:w="1509" w:type="dxa"/>
          </w:tcPr>
          <w:p w14:paraId="3FB33586">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6CD1E5BE">
            <w:pPr>
              <w:spacing w:before="15" w:beforeLines="5" w:after="15" w:afterLines="5" w:line="240" w:lineRule="auto"/>
              <w:jc w:val="left"/>
              <w:rPr>
                <w:rFonts w:eastAsia="宋体" w:cs="Arial"/>
                <w:sz w:val="18"/>
                <w:szCs w:val="18"/>
              </w:rPr>
            </w:pPr>
            <w:r>
              <w:rPr>
                <w:rFonts w:eastAsia="宋体" w:cs="Arial"/>
                <w:sz w:val="18"/>
                <w:szCs w:val="18"/>
              </w:rPr>
              <w:t>VICKSBURG MEDICAL CENTER/39180</w:t>
            </w:r>
          </w:p>
          <w:p w14:paraId="1F1DC3CE">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6F941469">
            <w:pPr>
              <w:spacing w:before="15" w:beforeLines="5" w:after="15" w:afterLines="5" w:line="240" w:lineRule="auto"/>
              <w:rPr>
                <w:rFonts w:eastAsia="宋体" w:cs="Arial"/>
                <w:sz w:val="18"/>
                <w:szCs w:val="18"/>
              </w:rPr>
            </w:pPr>
            <w:r>
              <w:rPr>
                <w:rFonts w:eastAsia="宋体" w:cs="Arial"/>
                <w:sz w:val="18"/>
                <w:szCs w:val="18"/>
              </w:rPr>
              <w:t xml:space="preserve">10  </w:t>
            </w:r>
          </w:p>
        </w:tc>
      </w:tr>
      <w:tr w14:paraId="283B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0962164">
            <w:pPr>
              <w:spacing w:before="15" w:beforeLines="5" w:after="15" w:afterLines="5" w:line="240" w:lineRule="auto"/>
              <w:rPr>
                <w:rFonts w:eastAsia="宋体" w:cs="Arial"/>
                <w:sz w:val="18"/>
                <w:szCs w:val="18"/>
              </w:rPr>
            </w:pPr>
            <w:r>
              <w:rPr>
                <w:rFonts w:eastAsia="宋体" w:cs="Arial"/>
                <w:sz w:val="18"/>
                <w:szCs w:val="18"/>
              </w:rPr>
              <w:t xml:space="preserve">UF55415B </w:t>
            </w:r>
          </w:p>
        </w:tc>
        <w:tc>
          <w:tcPr>
            <w:tcW w:w="1339" w:type="dxa"/>
          </w:tcPr>
          <w:p w14:paraId="579B98AA">
            <w:pPr>
              <w:spacing w:before="15" w:beforeLines="5" w:after="15" w:afterLines="5" w:line="240" w:lineRule="auto"/>
              <w:rPr>
                <w:rFonts w:eastAsia="宋体" w:cs="Arial"/>
                <w:sz w:val="18"/>
                <w:szCs w:val="18"/>
              </w:rPr>
            </w:pPr>
            <w:r>
              <w:rPr>
                <w:rFonts w:eastAsia="宋体" w:cs="Arial"/>
                <w:sz w:val="18"/>
                <w:szCs w:val="18"/>
              </w:rPr>
              <w:t>19970123</w:t>
            </w:r>
          </w:p>
        </w:tc>
        <w:tc>
          <w:tcPr>
            <w:tcW w:w="1509" w:type="dxa"/>
          </w:tcPr>
          <w:p w14:paraId="75AA3207">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76E4D787">
            <w:pPr>
              <w:spacing w:before="15" w:beforeLines="5" w:after="15" w:afterLines="5" w:line="240" w:lineRule="auto"/>
              <w:jc w:val="left"/>
              <w:rPr>
                <w:rFonts w:eastAsia="宋体" w:cs="Arial"/>
                <w:sz w:val="18"/>
                <w:szCs w:val="18"/>
              </w:rPr>
            </w:pPr>
            <w:r>
              <w:rPr>
                <w:rFonts w:eastAsia="宋体" w:cs="Arial"/>
                <w:sz w:val="18"/>
                <w:szCs w:val="18"/>
              </w:rPr>
              <w:t>MONFORT JONES MEMORIAL HOSPITAL/39090</w:t>
            </w:r>
          </w:p>
          <w:p w14:paraId="56EC4FA0">
            <w:pPr>
              <w:spacing w:before="15" w:beforeLines="5" w:after="15" w:afterLines="5" w:line="240" w:lineRule="auto"/>
              <w:jc w:val="left"/>
              <w:rPr>
                <w:rFonts w:eastAsia="宋体" w:cs="Arial"/>
                <w:sz w:val="18"/>
                <w:szCs w:val="18"/>
              </w:rPr>
            </w:pPr>
            <w:r>
              <w:rPr>
                <w:rFonts w:eastAsia="宋体" w:cs="Arial"/>
                <w:sz w:val="18"/>
                <w:szCs w:val="18"/>
              </w:rPr>
              <w:t>PICKER INTERNATIONAL/30071</w:t>
            </w:r>
          </w:p>
        </w:tc>
        <w:tc>
          <w:tcPr>
            <w:tcW w:w="1559" w:type="dxa"/>
          </w:tcPr>
          <w:p w14:paraId="24C2C11D">
            <w:pPr>
              <w:spacing w:before="15" w:beforeLines="5" w:after="15" w:afterLines="5" w:line="240" w:lineRule="auto"/>
              <w:rPr>
                <w:rFonts w:eastAsia="宋体" w:cs="Arial"/>
                <w:sz w:val="18"/>
                <w:szCs w:val="18"/>
              </w:rPr>
            </w:pPr>
            <w:r>
              <w:rPr>
                <w:rFonts w:eastAsia="宋体" w:cs="Arial"/>
                <w:sz w:val="18"/>
                <w:szCs w:val="18"/>
              </w:rPr>
              <w:t xml:space="preserve">8 9  </w:t>
            </w:r>
          </w:p>
        </w:tc>
      </w:tr>
      <w:tr w14:paraId="4A0A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A8558F0">
            <w:pPr>
              <w:spacing w:before="15" w:beforeLines="5" w:after="15" w:afterLines="5" w:line="240" w:lineRule="auto"/>
              <w:rPr>
                <w:rFonts w:eastAsia="宋体" w:cs="Arial"/>
                <w:sz w:val="18"/>
                <w:szCs w:val="18"/>
              </w:rPr>
            </w:pPr>
            <w:r>
              <w:rPr>
                <w:rFonts w:eastAsia="宋体" w:cs="Arial"/>
                <w:sz w:val="18"/>
                <w:szCs w:val="18"/>
              </w:rPr>
              <w:t xml:space="preserve">AR64877A </w:t>
            </w:r>
          </w:p>
        </w:tc>
        <w:tc>
          <w:tcPr>
            <w:tcW w:w="1339" w:type="dxa"/>
          </w:tcPr>
          <w:p w14:paraId="7D89C2AA">
            <w:pPr>
              <w:spacing w:before="15" w:beforeLines="5" w:after="15" w:afterLines="5" w:line="240" w:lineRule="auto"/>
              <w:rPr>
                <w:rFonts w:eastAsia="宋体" w:cs="Arial"/>
                <w:sz w:val="18"/>
                <w:szCs w:val="18"/>
              </w:rPr>
            </w:pPr>
            <w:r>
              <w:rPr>
                <w:rFonts w:eastAsia="宋体" w:cs="Arial"/>
                <w:sz w:val="18"/>
                <w:szCs w:val="18"/>
              </w:rPr>
              <w:t xml:space="preserve">19970127 </w:t>
            </w:r>
          </w:p>
        </w:tc>
        <w:tc>
          <w:tcPr>
            <w:tcW w:w="1509" w:type="dxa"/>
          </w:tcPr>
          <w:p w14:paraId="59EC2E12">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49012098">
            <w:pPr>
              <w:spacing w:before="15" w:beforeLines="5" w:after="15" w:afterLines="5" w:line="240" w:lineRule="auto"/>
              <w:jc w:val="left"/>
              <w:rPr>
                <w:rFonts w:eastAsia="宋体" w:cs="Arial"/>
                <w:sz w:val="18"/>
                <w:szCs w:val="18"/>
              </w:rPr>
            </w:pPr>
            <w:r>
              <w:rPr>
                <w:rFonts w:eastAsia="宋体" w:cs="Arial"/>
                <w:sz w:val="18"/>
                <w:szCs w:val="18"/>
              </w:rPr>
              <w:t>PROMINA PRIMARY CARE CENTER/30060</w:t>
            </w:r>
          </w:p>
          <w:p w14:paraId="155D4AE9">
            <w:pPr>
              <w:spacing w:before="15" w:beforeLines="5" w:after="15" w:afterLines="5" w:line="240" w:lineRule="auto"/>
              <w:jc w:val="left"/>
              <w:rPr>
                <w:rFonts w:eastAsia="宋体" w:cs="Arial"/>
                <w:sz w:val="18"/>
                <w:szCs w:val="18"/>
              </w:rPr>
            </w:pPr>
            <w:r>
              <w:rPr>
                <w:rFonts w:eastAsia="宋体" w:cs="Arial"/>
                <w:sz w:val="18"/>
                <w:szCs w:val="18"/>
              </w:rPr>
              <w:t>RAMSEY ENTERPRISES INC./30188</w:t>
            </w:r>
          </w:p>
        </w:tc>
        <w:tc>
          <w:tcPr>
            <w:tcW w:w="1559" w:type="dxa"/>
          </w:tcPr>
          <w:p w14:paraId="77EC8B69">
            <w:pPr>
              <w:spacing w:before="15" w:beforeLines="5" w:after="15" w:afterLines="5" w:line="240" w:lineRule="auto"/>
              <w:rPr>
                <w:rFonts w:eastAsia="宋体" w:cs="Arial"/>
                <w:sz w:val="18"/>
                <w:szCs w:val="18"/>
              </w:rPr>
            </w:pPr>
            <w:r>
              <w:rPr>
                <w:rFonts w:eastAsia="宋体" w:cs="Arial"/>
                <w:sz w:val="18"/>
                <w:szCs w:val="18"/>
              </w:rPr>
              <w:t xml:space="preserve">Q54  </w:t>
            </w:r>
          </w:p>
        </w:tc>
      </w:tr>
      <w:tr w14:paraId="2DDE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143B2395">
            <w:pPr>
              <w:spacing w:before="15" w:beforeLines="5" w:after="15" w:afterLines="5" w:line="240" w:lineRule="auto"/>
              <w:rPr>
                <w:rFonts w:eastAsia="宋体" w:cs="Arial"/>
                <w:sz w:val="18"/>
                <w:szCs w:val="18"/>
              </w:rPr>
            </w:pPr>
            <w:r>
              <w:rPr>
                <w:rFonts w:eastAsia="宋体" w:cs="Arial"/>
                <w:sz w:val="18"/>
                <w:szCs w:val="18"/>
              </w:rPr>
              <w:t xml:space="preserve">AR56372A </w:t>
            </w:r>
          </w:p>
        </w:tc>
        <w:tc>
          <w:tcPr>
            <w:tcW w:w="1339" w:type="dxa"/>
          </w:tcPr>
          <w:p w14:paraId="3412A060">
            <w:pPr>
              <w:spacing w:before="15" w:beforeLines="5" w:after="15" w:afterLines="5" w:line="240" w:lineRule="auto"/>
              <w:rPr>
                <w:rFonts w:eastAsia="宋体" w:cs="Arial"/>
                <w:sz w:val="18"/>
                <w:szCs w:val="18"/>
              </w:rPr>
            </w:pPr>
            <w:r>
              <w:rPr>
                <w:rFonts w:eastAsia="宋体" w:cs="Arial"/>
                <w:sz w:val="18"/>
                <w:szCs w:val="18"/>
              </w:rPr>
              <w:t>19970130</w:t>
            </w:r>
          </w:p>
        </w:tc>
        <w:tc>
          <w:tcPr>
            <w:tcW w:w="1509" w:type="dxa"/>
          </w:tcPr>
          <w:p w14:paraId="3E3C3A52">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346EBE42">
            <w:pPr>
              <w:spacing w:before="15" w:beforeLines="5" w:after="15" w:afterLines="5" w:line="240" w:lineRule="auto"/>
              <w:jc w:val="left"/>
              <w:rPr>
                <w:rFonts w:eastAsia="宋体" w:cs="Arial"/>
                <w:sz w:val="18"/>
                <w:szCs w:val="18"/>
              </w:rPr>
            </w:pPr>
            <w:r>
              <w:rPr>
                <w:rFonts w:eastAsia="宋体" w:cs="Arial"/>
                <w:sz w:val="18"/>
                <w:szCs w:val="18"/>
              </w:rPr>
              <w:t>THE PAPP CLINIC/30265</w:t>
            </w:r>
          </w:p>
          <w:p w14:paraId="4E8C2C1B">
            <w:pPr>
              <w:spacing w:before="15" w:beforeLines="5" w:after="15" w:afterLines="5" w:line="240" w:lineRule="auto"/>
              <w:jc w:val="left"/>
              <w:rPr>
                <w:rFonts w:eastAsia="宋体" w:cs="Arial"/>
                <w:sz w:val="18"/>
                <w:szCs w:val="18"/>
              </w:rPr>
            </w:pPr>
            <w:r>
              <w:rPr>
                <w:rFonts w:eastAsia="宋体" w:cs="Arial"/>
                <w:sz w:val="18"/>
                <w:szCs w:val="18"/>
              </w:rPr>
              <w:t>X-RAY OF GEORGIA, INC./30071</w:t>
            </w:r>
          </w:p>
        </w:tc>
        <w:tc>
          <w:tcPr>
            <w:tcW w:w="1559" w:type="dxa"/>
          </w:tcPr>
          <w:p w14:paraId="1657F581">
            <w:pPr>
              <w:spacing w:before="15" w:beforeLines="5" w:after="15" w:afterLines="5" w:line="240" w:lineRule="auto"/>
              <w:rPr>
                <w:rFonts w:eastAsia="宋体" w:cs="Arial"/>
                <w:sz w:val="18"/>
                <w:szCs w:val="18"/>
              </w:rPr>
            </w:pPr>
            <w:r>
              <w:rPr>
                <w:rFonts w:eastAsia="宋体" w:cs="Arial"/>
                <w:sz w:val="18"/>
                <w:szCs w:val="18"/>
              </w:rPr>
              <w:t xml:space="preserve">2  </w:t>
            </w:r>
          </w:p>
        </w:tc>
      </w:tr>
      <w:tr w14:paraId="7837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1C1C83C6">
            <w:pPr>
              <w:spacing w:before="15" w:beforeLines="5" w:after="15" w:afterLines="5" w:line="240" w:lineRule="auto"/>
              <w:rPr>
                <w:rFonts w:eastAsia="宋体" w:cs="Arial"/>
                <w:sz w:val="18"/>
                <w:szCs w:val="18"/>
              </w:rPr>
            </w:pPr>
            <w:r>
              <w:rPr>
                <w:rFonts w:eastAsia="宋体" w:cs="Arial"/>
                <w:sz w:val="18"/>
                <w:szCs w:val="18"/>
              </w:rPr>
              <w:t xml:space="preserve">UF56357B </w:t>
            </w:r>
          </w:p>
        </w:tc>
        <w:tc>
          <w:tcPr>
            <w:tcW w:w="1339" w:type="dxa"/>
          </w:tcPr>
          <w:p w14:paraId="73D3C5B7">
            <w:pPr>
              <w:spacing w:before="15" w:beforeLines="5" w:after="15" w:afterLines="5" w:line="240" w:lineRule="auto"/>
              <w:rPr>
                <w:rFonts w:eastAsia="宋体" w:cs="Arial"/>
                <w:sz w:val="18"/>
                <w:szCs w:val="18"/>
              </w:rPr>
            </w:pPr>
            <w:r>
              <w:rPr>
                <w:rFonts w:eastAsia="宋体" w:cs="Arial"/>
                <w:sz w:val="18"/>
                <w:szCs w:val="18"/>
              </w:rPr>
              <w:t>19970214</w:t>
            </w:r>
          </w:p>
        </w:tc>
        <w:tc>
          <w:tcPr>
            <w:tcW w:w="1509" w:type="dxa"/>
          </w:tcPr>
          <w:p w14:paraId="319BC0C7">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1A3B0AE6">
            <w:pPr>
              <w:spacing w:before="15" w:beforeLines="5" w:after="15" w:afterLines="5" w:line="240" w:lineRule="auto"/>
              <w:jc w:val="left"/>
              <w:rPr>
                <w:rFonts w:eastAsia="宋体" w:cs="Arial"/>
                <w:sz w:val="18"/>
                <w:szCs w:val="18"/>
              </w:rPr>
            </w:pPr>
            <w:bookmarkStart w:id="2" w:name="OLE_LINK1"/>
            <w:r>
              <w:rPr>
                <w:rFonts w:eastAsia="宋体" w:cs="Arial"/>
                <w:sz w:val="18"/>
                <w:szCs w:val="18"/>
              </w:rPr>
              <w:t>KAISER PERMANENTE, SPMO/28210</w:t>
            </w:r>
            <w:bookmarkEnd w:id="2"/>
          </w:p>
          <w:p w14:paraId="1C57A46D">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25BB8689">
            <w:pPr>
              <w:spacing w:before="15" w:beforeLines="5" w:after="15" w:afterLines="5" w:line="240" w:lineRule="auto"/>
              <w:rPr>
                <w:rFonts w:eastAsia="宋体" w:cs="Arial"/>
                <w:sz w:val="18"/>
                <w:szCs w:val="18"/>
              </w:rPr>
            </w:pPr>
            <w:r>
              <w:rPr>
                <w:rFonts w:eastAsia="宋体" w:cs="Arial"/>
                <w:sz w:val="18"/>
                <w:szCs w:val="18"/>
              </w:rPr>
              <w:t xml:space="preserve">16 </w:t>
            </w:r>
          </w:p>
        </w:tc>
      </w:tr>
      <w:tr w14:paraId="21A0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3356D89">
            <w:pPr>
              <w:spacing w:before="15" w:beforeLines="5" w:after="15" w:afterLines="5" w:line="240" w:lineRule="auto"/>
              <w:rPr>
                <w:rFonts w:eastAsia="宋体" w:cs="Arial"/>
                <w:sz w:val="18"/>
                <w:szCs w:val="18"/>
              </w:rPr>
            </w:pPr>
            <w:r>
              <w:rPr>
                <w:rFonts w:eastAsia="宋体" w:cs="Arial"/>
                <w:sz w:val="18"/>
                <w:szCs w:val="18"/>
              </w:rPr>
              <w:t xml:space="preserve">AR37356A </w:t>
            </w:r>
          </w:p>
        </w:tc>
        <w:tc>
          <w:tcPr>
            <w:tcW w:w="1339" w:type="dxa"/>
          </w:tcPr>
          <w:p w14:paraId="64860BE4">
            <w:pPr>
              <w:spacing w:before="15" w:beforeLines="5" w:after="15" w:afterLines="5" w:line="240" w:lineRule="auto"/>
              <w:rPr>
                <w:rFonts w:eastAsia="宋体" w:cs="Arial"/>
                <w:sz w:val="18"/>
                <w:szCs w:val="18"/>
              </w:rPr>
            </w:pPr>
            <w:r>
              <w:rPr>
                <w:rFonts w:eastAsia="宋体" w:cs="Arial"/>
                <w:sz w:val="18"/>
                <w:szCs w:val="18"/>
              </w:rPr>
              <w:t xml:space="preserve">19970305 </w:t>
            </w:r>
          </w:p>
        </w:tc>
        <w:tc>
          <w:tcPr>
            <w:tcW w:w="1509" w:type="dxa"/>
          </w:tcPr>
          <w:p w14:paraId="4659BD14">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41E3D6B0">
            <w:pPr>
              <w:spacing w:before="15" w:beforeLines="5" w:after="15" w:afterLines="5" w:line="240" w:lineRule="auto"/>
              <w:jc w:val="left"/>
              <w:rPr>
                <w:rFonts w:eastAsia="宋体" w:cs="Arial"/>
                <w:sz w:val="18"/>
                <w:szCs w:val="18"/>
              </w:rPr>
            </w:pPr>
            <w:r>
              <w:rPr>
                <w:rFonts w:eastAsia="宋体" w:cs="Arial"/>
                <w:sz w:val="18"/>
                <w:szCs w:val="18"/>
              </w:rPr>
              <w:t>HUEY P. LONG REGIONAL MED CNT/71360</w:t>
            </w:r>
          </w:p>
          <w:p w14:paraId="7FA6EE48">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05878E24">
            <w:pPr>
              <w:spacing w:before="15" w:beforeLines="5" w:after="15" w:afterLines="5" w:line="240" w:lineRule="auto"/>
              <w:rPr>
                <w:rFonts w:eastAsia="宋体" w:cs="Arial"/>
                <w:sz w:val="18"/>
                <w:szCs w:val="18"/>
              </w:rPr>
            </w:pPr>
            <w:r>
              <w:rPr>
                <w:rFonts w:eastAsia="宋体" w:cs="Arial"/>
                <w:sz w:val="18"/>
                <w:szCs w:val="18"/>
              </w:rPr>
              <w:t xml:space="preserve">3  </w:t>
            </w:r>
          </w:p>
        </w:tc>
      </w:tr>
      <w:tr w14:paraId="3F65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46A730A3">
            <w:pPr>
              <w:spacing w:before="15" w:beforeLines="5" w:after="15" w:afterLines="5" w:line="240" w:lineRule="auto"/>
              <w:rPr>
                <w:rFonts w:eastAsia="宋体" w:cs="Arial"/>
                <w:sz w:val="18"/>
                <w:szCs w:val="18"/>
              </w:rPr>
            </w:pPr>
            <w:r>
              <w:rPr>
                <w:rFonts w:eastAsia="宋体" w:cs="Arial"/>
                <w:sz w:val="18"/>
                <w:szCs w:val="18"/>
              </w:rPr>
              <w:t xml:space="preserve">AR55416 </w:t>
            </w:r>
          </w:p>
        </w:tc>
        <w:tc>
          <w:tcPr>
            <w:tcW w:w="1339" w:type="dxa"/>
          </w:tcPr>
          <w:p w14:paraId="63DF8B9F">
            <w:pPr>
              <w:spacing w:before="15" w:beforeLines="5" w:after="15" w:afterLines="5" w:line="240" w:lineRule="auto"/>
              <w:rPr>
                <w:rFonts w:eastAsia="宋体" w:cs="Arial"/>
                <w:sz w:val="18"/>
                <w:szCs w:val="18"/>
              </w:rPr>
            </w:pPr>
            <w:r>
              <w:rPr>
                <w:rFonts w:eastAsia="宋体" w:cs="Arial"/>
                <w:sz w:val="18"/>
                <w:szCs w:val="18"/>
              </w:rPr>
              <w:t xml:space="preserve">19970312 </w:t>
            </w:r>
          </w:p>
        </w:tc>
        <w:tc>
          <w:tcPr>
            <w:tcW w:w="1509" w:type="dxa"/>
          </w:tcPr>
          <w:p w14:paraId="57B9FC0B">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40D34F9D">
            <w:pPr>
              <w:spacing w:before="15" w:beforeLines="5" w:after="15" w:afterLines="5" w:line="240" w:lineRule="auto"/>
              <w:jc w:val="left"/>
              <w:rPr>
                <w:rFonts w:eastAsia="宋体" w:cs="Arial"/>
                <w:sz w:val="18"/>
                <w:szCs w:val="18"/>
              </w:rPr>
            </w:pPr>
            <w:r>
              <w:rPr>
                <w:rFonts w:eastAsia="宋体" w:cs="Arial"/>
                <w:sz w:val="18"/>
                <w:szCs w:val="18"/>
              </w:rPr>
              <w:t>BAPTIST MEMORIAL HOSPITAL/38671</w:t>
            </w:r>
          </w:p>
          <w:p w14:paraId="389C54D9">
            <w:pPr>
              <w:spacing w:before="15" w:beforeLines="5" w:after="15" w:afterLines="5" w:line="240" w:lineRule="auto"/>
              <w:jc w:val="left"/>
              <w:rPr>
                <w:rFonts w:eastAsia="宋体" w:cs="Arial"/>
                <w:sz w:val="18"/>
                <w:szCs w:val="18"/>
              </w:rPr>
            </w:pPr>
            <w:r>
              <w:rPr>
                <w:rFonts w:eastAsia="宋体" w:cs="Arial"/>
                <w:sz w:val="18"/>
                <w:szCs w:val="18"/>
              </w:rPr>
              <w:t>未知（CFN：1043749）</w:t>
            </w:r>
          </w:p>
        </w:tc>
        <w:tc>
          <w:tcPr>
            <w:tcW w:w="1559" w:type="dxa"/>
          </w:tcPr>
          <w:p w14:paraId="04433EB7">
            <w:pPr>
              <w:spacing w:before="15" w:beforeLines="5" w:after="15" w:afterLines="5" w:line="240" w:lineRule="auto"/>
              <w:rPr>
                <w:rFonts w:eastAsia="宋体" w:cs="Arial"/>
                <w:sz w:val="18"/>
                <w:szCs w:val="18"/>
              </w:rPr>
            </w:pPr>
            <w:r>
              <w:rPr>
                <w:rFonts w:eastAsia="宋体" w:cs="Arial"/>
                <w:sz w:val="18"/>
                <w:szCs w:val="18"/>
              </w:rPr>
              <w:t xml:space="preserve">3 5  </w:t>
            </w:r>
          </w:p>
        </w:tc>
      </w:tr>
      <w:tr w14:paraId="0A8E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12D5423D">
            <w:pPr>
              <w:spacing w:before="15" w:beforeLines="5" w:after="15" w:afterLines="5" w:line="240" w:lineRule="auto"/>
              <w:rPr>
                <w:rFonts w:eastAsia="宋体" w:cs="Arial"/>
                <w:sz w:val="18"/>
                <w:szCs w:val="18"/>
              </w:rPr>
            </w:pPr>
            <w:r>
              <w:rPr>
                <w:rFonts w:eastAsia="宋体" w:cs="Arial"/>
                <w:sz w:val="18"/>
                <w:szCs w:val="18"/>
              </w:rPr>
              <w:t xml:space="preserve">AR57378A </w:t>
            </w:r>
          </w:p>
        </w:tc>
        <w:tc>
          <w:tcPr>
            <w:tcW w:w="1339" w:type="dxa"/>
          </w:tcPr>
          <w:p w14:paraId="3001B05E">
            <w:pPr>
              <w:spacing w:before="15" w:beforeLines="5" w:after="15" w:afterLines="5" w:line="240" w:lineRule="auto"/>
              <w:rPr>
                <w:rFonts w:eastAsia="宋体" w:cs="Arial"/>
                <w:sz w:val="18"/>
                <w:szCs w:val="18"/>
              </w:rPr>
            </w:pPr>
            <w:r>
              <w:rPr>
                <w:rFonts w:eastAsia="宋体" w:cs="Arial"/>
                <w:sz w:val="18"/>
                <w:szCs w:val="18"/>
              </w:rPr>
              <w:t xml:space="preserve">19970318 </w:t>
            </w:r>
          </w:p>
        </w:tc>
        <w:tc>
          <w:tcPr>
            <w:tcW w:w="1509" w:type="dxa"/>
          </w:tcPr>
          <w:p w14:paraId="1751FE46">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53CEE757">
            <w:pPr>
              <w:spacing w:before="15" w:beforeLines="5" w:after="15" w:afterLines="5" w:line="240" w:lineRule="auto"/>
              <w:jc w:val="left"/>
              <w:rPr>
                <w:rFonts w:eastAsia="宋体" w:cs="Arial"/>
                <w:sz w:val="18"/>
                <w:szCs w:val="18"/>
              </w:rPr>
            </w:pPr>
            <w:r>
              <w:rPr>
                <w:rFonts w:eastAsia="宋体" w:cs="Arial"/>
                <w:sz w:val="18"/>
                <w:szCs w:val="18"/>
              </w:rPr>
              <w:t>CANDLER HOSPITAL/31405</w:t>
            </w:r>
          </w:p>
          <w:p w14:paraId="2A99405E">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0111E25B">
            <w:pPr>
              <w:spacing w:before="15" w:beforeLines="5" w:after="15" w:afterLines="5" w:line="240" w:lineRule="auto"/>
              <w:rPr>
                <w:rFonts w:eastAsia="宋体" w:cs="Arial"/>
                <w:sz w:val="18"/>
                <w:szCs w:val="18"/>
              </w:rPr>
            </w:pPr>
            <w:r>
              <w:rPr>
                <w:rFonts w:eastAsia="宋体" w:cs="Arial"/>
                <w:sz w:val="18"/>
                <w:szCs w:val="18"/>
              </w:rPr>
              <w:t xml:space="preserve">3  </w:t>
            </w:r>
          </w:p>
        </w:tc>
      </w:tr>
      <w:tr w14:paraId="2EF4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EB5CA9D">
            <w:pPr>
              <w:spacing w:before="15" w:beforeLines="5" w:after="15" w:afterLines="5" w:line="240" w:lineRule="auto"/>
              <w:rPr>
                <w:rFonts w:eastAsia="宋体" w:cs="Arial"/>
                <w:sz w:val="18"/>
                <w:szCs w:val="18"/>
              </w:rPr>
            </w:pPr>
            <w:r>
              <w:rPr>
                <w:rFonts w:eastAsia="宋体" w:cs="Arial"/>
                <w:sz w:val="18"/>
                <w:szCs w:val="18"/>
              </w:rPr>
              <w:t>AR58973A</w:t>
            </w:r>
          </w:p>
        </w:tc>
        <w:tc>
          <w:tcPr>
            <w:tcW w:w="1339" w:type="dxa"/>
          </w:tcPr>
          <w:p w14:paraId="4F9031B4">
            <w:pPr>
              <w:spacing w:before="15" w:beforeLines="5" w:after="15" w:afterLines="5" w:line="240" w:lineRule="auto"/>
              <w:rPr>
                <w:rFonts w:eastAsia="宋体" w:cs="Arial"/>
                <w:sz w:val="18"/>
                <w:szCs w:val="18"/>
              </w:rPr>
            </w:pPr>
            <w:r>
              <w:rPr>
                <w:rFonts w:eastAsia="宋体" w:cs="Arial"/>
                <w:sz w:val="18"/>
                <w:szCs w:val="18"/>
              </w:rPr>
              <w:t xml:space="preserve"> 19970319 </w:t>
            </w:r>
          </w:p>
        </w:tc>
        <w:tc>
          <w:tcPr>
            <w:tcW w:w="1509" w:type="dxa"/>
          </w:tcPr>
          <w:p w14:paraId="7362419F">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2D0FBAEC">
            <w:pPr>
              <w:spacing w:before="15" w:beforeLines="5" w:after="15" w:afterLines="5" w:line="240" w:lineRule="auto"/>
              <w:jc w:val="left"/>
              <w:rPr>
                <w:rFonts w:eastAsia="宋体" w:cs="Arial"/>
                <w:sz w:val="18"/>
                <w:szCs w:val="18"/>
              </w:rPr>
            </w:pPr>
            <w:r>
              <w:rPr>
                <w:rFonts w:eastAsia="宋体" w:cs="Arial"/>
                <w:sz w:val="18"/>
                <w:szCs w:val="18"/>
              </w:rPr>
              <w:t>CANDLERHOSPITAL/31405</w:t>
            </w:r>
          </w:p>
          <w:p w14:paraId="0512B008">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60BC4D79">
            <w:pPr>
              <w:spacing w:before="15" w:beforeLines="5" w:after="15" w:afterLines="5" w:line="240" w:lineRule="auto"/>
              <w:rPr>
                <w:rFonts w:eastAsia="宋体" w:cs="Arial"/>
                <w:sz w:val="18"/>
                <w:szCs w:val="18"/>
              </w:rPr>
            </w:pPr>
            <w:r>
              <w:rPr>
                <w:rFonts w:eastAsia="宋体" w:cs="Arial"/>
                <w:sz w:val="18"/>
                <w:szCs w:val="18"/>
              </w:rPr>
              <w:t xml:space="preserve">3 </w:t>
            </w:r>
          </w:p>
        </w:tc>
      </w:tr>
      <w:tr w14:paraId="6395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980A1CC">
            <w:pPr>
              <w:spacing w:before="15" w:beforeLines="5" w:after="15" w:afterLines="5" w:line="240" w:lineRule="auto"/>
              <w:rPr>
                <w:rFonts w:eastAsia="宋体" w:cs="Arial"/>
                <w:sz w:val="18"/>
                <w:szCs w:val="18"/>
              </w:rPr>
            </w:pPr>
            <w:r>
              <w:rPr>
                <w:rFonts w:eastAsia="宋体" w:cs="Arial"/>
                <w:sz w:val="18"/>
                <w:szCs w:val="18"/>
              </w:rPr>
              <w:t>AR58972A</w:t>
            </w:r>
          </w:p>
        </w:tc>
        <w:tc>
          <w:tcPr>
            <w:tcW w:w="1339" w:type="dxa"/>
          </w:tcPr>
          <w:p w14:paraId="1AF1A08A">
            <w:pPr>
              <w:spacing w:before="15" w:beforeLines="5" w:after="15" w:afterLines="5" w:line="240" w:lineRule="auto"/>
              <w:rPr>
                <w:rFonts w:eastAsia="宋体" w:cs="Arial"/>
                <w:sz w:val="18"/>
                <w:szCs w:val="18"/>
              </w:rPr>
            </w:pPr>
            <w:r>
              <w:rPr>
                <w:rFonts w:eastAsia="宋体" w:cs="Arial"/>
                <w:sz w:val="18"/>
                <w:szCs w:val="18"/>
              </w:rPr>
              <w:t xml:space="preserve"> 19970320 </w:t>
            </w:r>
          </w:p>
        </w:tc>
        <w:tc>
          <w:tcPr>
            <w:tcW w:w="1509" w:type="dxa"/>
          </w:tcPr>
          <w:p w14:paraId="54BD2AC2">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07CAE4E8">
            <w:pPr>
              <w:spacing w:before="15" w:beforeLines="5" w:after="15" w:afterLines="5" w:line="240" w:lineRule="auto"/>
              <w:jc w:val="left"/>
              <w:rPr>
                <w:rFonts w:eastAsia="宋体" w:cs="Arial"/>
                <w:sz w:val="18"/>
                <w:szCs w:val="18"/>
              </w:rPr>
            </w:pPr>
            <w:r>
              <w:rPr>
                <w:rFonts w:eastAsia="宋体" w:cs="Arial"/>
                <w:sz w:val="18"/>
                <w:szCs w:val="18"/>
              </w:rPr>
              <w:t>MEDICAL CENTER LLP/31021</w:t>
            </w:r>
          </w:p>
          <w:p w14:paraId="7DA510B8">
            <w:pPr>
              <w:spacing w:before="15" w:beforeLines="5" w:after="15" w:afterLines="5" w:line="240" w:lineRule="auto"/>
              <w:jc w:val="left"/>
              <w:rPr>
                <w:rFonts w:eastAsia="宋体" w:cs="Arial"/>
                <w:sz w:val="18"/>
                <w:szCs w:val="18"/>
              </w:rPr>
            </w:pPr>
            <w:r>
              <w:rPr>
                <w:rFonts w:eastAsia="宋体" w:cs="Arial"/>
                <w:sz w:val="18"/>
                <w:szCs w:val="18"/>
              </w:rPr>
              <w:t>X-RAY OF GEORGIA, INC./30071</w:t>
            </w:r>
          </w:p>
        </w:tc>
        <w:tc>
          <w:tcPr>
            <w:tcW w:w="1559" w:type="dxa"/>
          </w:tcPr>
          <w:p w14:paraId="0CF4638B">
            <w:pPr>
              <w:spacing w:before="15" w:beforeLines="5" w:after="15" w:afterLines="5" w:line="240" w:lineRule="auto"/>
              <w:rPr>
                <w:rFonts w:eastAsia="宋体" w:cs="Arial"/>
                <w:sz w:val="18"/>
                <w:szCs w:val="18"/>
              </w:rPr>
            </w:pPr>
            <w:r>
              <w:rPr>
                <w:rFonts w:eastAsia="宋体" w:cs="Arial"/>
                <w:sz w:val="18"/>
                <w:szCs w:val="18"/>
              </w:rPr>
              <w:t xml:space="preserve">9  </w:t>
            </w:r>
          </w:p>
        </w:tc>
      </w:tr>
      <w:tr w14:paraId="48D4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9C5F84F">
            <w:pPr>
              <w:spacing w:before="15" w:beforeLines="5" w:after="15" w:afterLines="5" w:line="240" w:lineRule="auto"/>
              <w:rPr>
                <w:rFonts w:eastAsia="宋体" w:cs="Arial"/>
                <w:sz w:val="18"/>
                <w:szCs w:val="18"/>
              </w:rPr>
            </w:pPr>
            <w:r>
              <w:rPr>
                <w:rFonts w:eastAsia="宋体" w:cs="Arial"/>
                <w:sz w:val="18"/>
                <w:szCs w:val="18"/>
              </w:rPr>
              <w:t xml:space="preserve">AR50490A </w:t>
            </w:r>
          </w:p>
        </w:tc>
        <w:tc>
          <w:tcPr>
            <w:tcW w:w="1339" w:type="dxa"/>
          </w:tcPr>
          <w:p w14:paraId="222D790B">
            <w:pPr>
              <w:spacing w:before="15" w:beforeLines="5" w:after="15" w:afterLines="5" w:line="240" w:lineRule="auto"/>
              <w:rPr>
                <w:rFonts w:eastAsia="宋体" w:cs="Arial"/>
                <w:sz w:val="18"/>
                <w:szCs w:val="18"/>
              </w:rPr>
            </w:pPr>
            <w:r>
              <w:rPr>
                <w:rFonts w:eastAsia="宋体" w:cs="Arial"/>
                <w:sz w:val="18"/>
                <w:szCs w:val="18"/>
              </w:rPr>
              <w:t xml:space="preserve">19970509 </w:t>
            </w:r>
          </w:p>
        </w:tc>
        <w:tc>
          <w:tcPr>
            <w:tcW w:w="1509" w:type="dxa"/>
          </w:tcPr>
          <w:p w14:paraId="554B0D49">
            <w:pPr>
              <w:spacing w:before="15" w:beforeLines="5" w:after="15" w:afterLines="5" w:line="240" w:lineRule="auto"/>
              <w:rPr>
                <w:rFonts w:eastAsia="宋体" w:cs="Arial"/>
                <w:sz w:val="18"/>
                <w:szCs w:val="18"/>
              </w:rPr>
            </w:pPr>
            <w:r>
              <w:rPr>
                <w:rFonts w:eastAsia="宋体" w:cs="Arial"/>
                <w:sz w:val="18"/>
                <w:szCs w:val="18"/>
              </w:rPr>
              <w:t>NSV</w:t>
            </w:r>
          </w:p>
        </w:tc>
        <w:tc>
          <w:tcPr>
            <w:tcW w:w="3544" w:type="dxa"/>
          </w:tcPr>
          <w:p w14:paraId="0FBE9EDD">
            <w:pPr>
              <w:spacing w:before="15" w:beforeLines="5" w:after="15" w:afterLines="5" w:line="240" w:lineRule="auto"/>
              <w:jc w:val="left"/>
              <w:rPr>
                <w:rFonts w:eastAsia="宋体" w:cs="Arial"/>
                <w:sz w:val="18"/>
                <w:szCs w:val="18"/>
              </w:rPr>
            </w:pPr>
            <w:r>
              <w:rPr>
                <w:rFonts w:eastAsia="宋体" w:cs="Arial"/>
                <w:sz w:val="18"/>
                <w:szCs w:val="18"/>
              </w:rPr>
              <w:t>ST. CLAIRE REGIONAL HOSPITAL/35125</w:t>
            </w:r>
          </w:p>
          <w:p w14:paraId="3993B301">
            <w:pPr>
              <w:spacing w:before="15" w:beforeLines="5" w:after="15" w:afterLines="5" w:line="240" w:lineRule="auto"/>
              <w:jc w:val="left"/>
              <w:rPr>
                <w:rFonts w:eastAsia="宋体" w:cs="Arial"/>
                <w:sz w:val="18"/>
                <w:szCs w:val="18"/>
              </w:rPr>
            </w:pPr>
            <w:r>
              <w:rPr>
                <w:rFonts w:eastAsia="宋体" w:cs="Arial"/>
                <w:sz w:val="18"/>
                <w:szCs w:val="18"/>
              </w:rPr>
              <w:t>未知（CFN：1056430）</w:t>
            </w:r>
          </w:p>
        </w:tc>
        <w:tc>
          <w:tcPr>
            <w:tcW w:w="1559" w:type="dxa"/>
          </w:tcPr>
          <w:p w14:paraId="5C14DC2D">
            <w:pPr>
              <w:spacing w:before="15" w:beforeLines="5" w:after="15" w:afterLines="5" w:line="240" w:lineRule="auto"/>
              <w:rPr>
                <w:rFonts w:eastAsia="宋体" w:cs="Arial"/>
                <w:sz w:val="18"/>
                <w:szCs w:val="18"/>
              </w:rPr>
            </w:pPr>
            <w:r>
              <w:rPr>
                <w:rFonts w:eastAsia="宋体" w:cs="Arial"/>
                <w:sz w:val="18"/>
                <w:szCs w:val="18"/>
              </w:rPr>
              <w:t xml:space="preserve">Q54 Q69 Q70  </w:t>
            </w:r>
          </w:p>
        </w:tc>
      </w:tr>
      <w:tr w14:paraId="448F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96411CA">
            <w:pPr>
              <w:spacing w:before="15" w:beforeLines="5" w:after="15" w:afterLines="5" w:line="240" w:lineRule="auto"/>
              <w:rPr>
                <w:rFonts w:eastAsia="宋体" w:cs="Arial"/>
                <w:sz w:val="18"/>
                <w:szCs w:val="18"/>
              </w:rPr>
            </w:pPr>
            <w:r>
              <w:rPr>
                <w:rFonts w:eastAsia="宋体" w:cs="Arial"/>
                <w:sz w:val="18"/>
                <w:szCs w:val="18"/>
              </w:rPr>
              <w:t xml:space="preserve">AR57884A </w:t>
            </w:r>
          </w:p>
        </w:tc>
        <w:tc>
          <w:tcPr>
            <w:tcW w:w="1339" w:type="dxa"/>
          </w:tcPr>
          <w:p w14:paraId="4832F5CB">
            <w:pPr>
              <w:spacing w:before="15" w:beforeLines="5" w:after="15" w:afterLines="5" w:line="240" w:lineRule="auto"/>
              <w:rPr>
                <w:rFonts w:eastAsia="宋体" w:cs="Arial"/>
                <w:sz w:val="18"/>
                <w:szCs w:val="18"/>
              </w:rPr>
            </w:pPr>
            <w:r>
              <w:rPr>
                <w:rFonts w:eastAsia="宋体" w:cs="Arial"/>
                <w:sz w:val="18"/>
                <w:szCs w:val="18"/>
              </w:rPr>
              <w:t xml:space="preserve">19970515 </w:t>
            </w:r>
          </w:p>
        </w:tc>
        <w:tc>
          <w:tcPr>
            <w:tcW w:w="1509" w:type="dxa"/>
          </w:tcPr>
          <w:p w14:paraId="179172D4">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64CE5FF0">
            <w:pPr>
              <w:spacing w:before="15" w:beforeLines="5" w:after="15" w:afterLines="5" w:line="240" w:lineRule="auto"/>
              <w:jc w:val="left"/>
              <w:rPr>
                <w:rFonts w:eastAsia="宋体" w:cs="Arial"/>
                <w:sz w:val="18"/>
                <w:szCs w:val="18"/>
              </w:rPr>
            </w:pPr>
            <w:r>
              <w:rPr>
                <w:rFonts w:eastAsia="宋体" w:cs="Arial"/>
                <w:sz w:val="18"/>
                <w:szCs w:val="18"/>
              </w:rPr>
              <w:t>MORTON PLANT MEASE HOSPITAL/34698</w:t>
            </w:r>
          </w:p>
          <w:p w14:paraId="05468998">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0906BD48">
            <w:pPr>
              <w:spacing w:before="15" w:beforeLines="5" w:after="15" w:afterLines="5" w:line="240" w:lineRule="auto"/>
              <w:rPr>
                <w:rFonts w:eastAsia="宋体" w:cs="Arial"/>
                <w:sz w:val="18"/>
                <w:szCs w:val="18"/>
              </w:rPr>
            </w:pPr>
            <w:r>
              <w:rPr>
                <w:rFonts w:eastAsia="宋体" w:cs="Arial"/>
                <w:sz w:val="18"/>
                <w:szCs w:val="18"/>
              </w:rPr>
              <w:t xml:space="preserve">Q71  </w:t>
            </w:r>
          </w:p>
        </w:tc>
      </w:tr>
      <w:tr w14:paraId="275B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1C19183">
            <w:pPr>
              <w:spacing w:before="15" w:beforeLines="5" w:after="15" w:afterLines="5" w:line="240" w:lineRule="auto"/>
              <w:rPr>
                <w:rFonts w:eastAsia="宋体" w:cs="Arial"/>
                <w:sz w:val="18"/>
                <w:szCs w:val="18"/>
              </w:rPr>
            </w:pPr>
            <w:r>
              <w:rPr>
                <w:rFonts w:eastAsia="宋体" w:cs="Arial"/>
                <w:sz w:val="18"/>
                <w:szCs w:val="18"/>
              </w:rPr>
              <w:t xml:space="preserve">UF57943B </w:t>
            </w:r>
          </w:p>
        </w:tc>
        <w:tc>
          <w:tcPr>
            <w:tcW w:w="1339" w:type="dxa"/>
          </w:tcPr>
          <w:p w14:paraId="480C8C1D">
            <w:pPr>
              <w:spacing w:before="15" w:beforeLines="5" w:after="15" w:afterLines="5" w:line="240" w:lineRule="auto"/>
              <w:rPr>
                <w:rFonts w:eastAsia="宋体" w:cs="Arial"/>
                <w:sz w:val="18"/>
                <w:szCs w:val="18"/>
              </w:rPr>
            </w:pPr>
            <w:r>
              <w:rPr>
                <w:rFonts w:eastAsia="宋体" w:cs="Arial"/>
                <w:sz w:val="18"/>
                <w:szCs w:val="18"/>
              </w:rPr>
              <w:t xml:space="preserve">19970611 </w:t>
            </w:r>
          </w:p>
        </w:tc>
        <w:tc>
          <w:tcPr>
            <w:tcW w:w="1509" w:type="dxa"/>
          </w:tcPr>
          <w:p w14:paraId="0CA32134">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7563F3B5">
            <w:pPr>
              <w:spacing w:before="15" w:beforeLines="5" w:after="15" w:afterLines="5" w:line="240" w:lineRule="auto"/>
              <w:jc w:val="left"/>
              <w:rPr>
                <w:rFonts w:eastAsia="宋体" w:cs="Arial"/>
                <w:sz w:val="18"/>
                <w:szCs w:val="18"/>
              </w:rPr>
            </w:pPr>
            <w:r>
              <w:rPr>
                <w:rFonts w:eastAsia="宋体" w:cs="Arial"/>
                <w:sz w:val="18"/>
                <w:szCs w:val="18"/>
              </w:rPr>
              <w:t>MIAMI CHILDRENS HOSPITAL/33155</w:t>
            </w:r>
          </w:p>
          <w:p w14:paraId="2A660E6A">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7442C9C7">
            <w:pPr>
              <w:spacing w:before="15" w:beforeLines="5" w:after="15" w:afterLines="5" w:line="240" w:lineRule="auto"/>
              <w:rPr>
                <w:rFonts w:eastAsia="宋体" w:cs="Arial"/>
                <w:sz w:val="18"/>
                <w:szCs w:val="18"/>
              </w:rPr>
            </w:pPr>
            <w:r>
              <w:rPr>
                <w:rFonts w:eastAsia="宋体" w:cs="Arial"/>
                <w:sz w:val="18"/>
                <w:szCs w:val="18"/>
              </w:rPr>
              <w:t xml:space="preserve">12  </w:t>
            </w:r>
          </w:p>
        </w:tc>
      </w:tr>
      <w:tr w14:paraId="7B2A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017CF08">
            <w:pPr>
              <w:spacing w:before="15" w:beforeLines="5" w:after="15" w:afterLines="5" w:line="240" w:lineRule="auto"/>
              <w:rPr>
                <w:rFonts w:eastAsia="宋体" w:cs="Arial"/>
                <w:sz w:val="18"/>
                <w:szCs w:val="18"/>
              </w:rPr>
            </w:pPr>
            <w:r>
              <w:rPr>
                <w:rFonts w:eastAsia="宋体" w:cs="Arial"/>
                <w:sz w:val="18"/>
                <w:szCs w:val="18"/>
              </w:rPr>
              <w:t xml:space="preserve">AR43600A </w:t>
            </w:r>
          </w:p>
        </w:tc>
        <w:tc>
          <w:tcPr>
            <w:tcW w:w="1339" w:type="dxa"/>
          </w:tcPr>
          <w:p w14:paraId="61D82604">
            <w:pPr>
              <w:spacing w:before="15" w:beforeLines="5" w:after="15" w:afterLines="5" w:line="240" w:lineRule="auto"/>
              <w:rPr>
                <w:rFonts w:eastAsia="宋体" w:cs="Arial"/>
                <w:sz w:val="18"/>
                <w:szCs w:val="18"/>
              </w:rPr>
            </w:pPr>
            <w:r>
              <w:rPr>
                <w:rFonts w:eastAsia="宋体" w:cs="Arial"/>
                <w:sz w:val="18"/>
                <w:szCs w:val="18"/>
              </w:rPr>
              <w:t xml:space="preserve">19970616 </w:t>
            </w:r>
          </w:p>
        </w:tc>
        <w:tc>
          <w:tcPr>
            <w:tcW w:w="1509" w:type="dxa"/>
          </w:tcPr>
          <w:p w14:paraId="3BEF87F3">
            <w:pPr>
              <w:spacing w:before="15" w:beforeLines="5" w:after="15" w:afterLines="5" w:line="240" w:lineRule="auto"/>
              <w:rPr>
                <w:rFonts w:eastAsia="宋体" w:cs="Arial"/>
                <w:sz w:val="18"/>
                <w:szCs w:val="18"/>
              </w:rPr>
            </w:pPr>
            <w:r>
              <w:rPr>
                <w:rFonts w:eastAsia="宋体" w:cs="Arial"/>
                <w:sz w:val="18"/>
                <w:szCs w:val="18"/>
              </w:rPr>
              <w:t>NSV</w:t>
            </w:r>
          </w:p>
        </w:tc>
        <w:tc>
          <w:tcPr>
            <w:tcW w:w="3544" w:type="dxa"/>
          </w:tcPr>
          <w:p w14:paraId="36B98AE1">
            <w:pPr>
              <w:spacing w:before="15" w:beforeLines="5" w:after="15" w:afterLines="5" w:line="240" w:lineRule="auto"/>
              <w:jc w:val="left"/>
              <w:rPr>
                <w:rFonts w:eastAsia="宋体" w:cs="Arial"/>
                <w:sz w:val="18"/>
                <w:szCs w:val="18"/>
              </w:rPr>
            </w:pPr>
            <w:r>
              <w:rPr>
                <w:rFonts w:eastAsia="宋体" w:cs="Arial"/>
                <w:sz w:val="18"/>
                <w:szCs w:val="18"/>
              </w:rPr>
              <w:t>QUANTUM IMAGING/37203</w:t>
            </w:r>
          </w:p>
          <w:p w14:paraId="0C8A4440">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164B4DEF">
            <w:pPr>
              <w:spacing w:before="15" w:beforeLines="5" w:after="15" w:afterLines="5" w:line="240" w:lineRule="auto"/>
              <w:rPr>
                <w:rFonts w:eastAsia="宋体" w:cs="Arial"/>
                <w:sz w:val="18"/>
                <w:szCs w:val="18"/>
              </w:rPr>
            </w:pPr>
            <w:r>
              <w:rPr>
                <w:rFonts w:eastAsia="宋体" w:cs="Arial"/>
                <w:sz w:val="18"/>
                <w:szCs w:val="18"/>
              </w:rPr>
              <w:t xml:space="preserve">9 33 35  </w:t>
            </w:r>
          </w:p>
        </w:tc>
      </w:tr>
      <w:tr w14:paraId="37F5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5284D8DC">
            <w:pPr>
              <w:spacing w:before="15" w:beforeLines="5" w:after="15" w:afterLines="5" w:line="240" w:lineRule="auto"/>
              <w:rPr>
                <w:rFonts w:eastAsia="宋体" w:cs="Arial"/>
                <w:sz w:val="18"/>
                <w:szCs w:val="18"/>
              </w:rPr>
            </w:pPr>
            <w:r>
              <w:rPr>
                <w:rFonts w:eastAsia="宋体" w:cs="Arial"/>
                <w:sz w:val="18"/>
                <w:szCs w:val="18"/>
              </w:rPr>
              <w:t xml:space="preserve">UF64654C </w:t>
            </w:r>
          </w:p>
        </w:tc>
        <w:tc>
          <w:tcPr>
            <w:tcW w:w="1339" w:type="dxa"/>
          </w:tcPr>
          <w:p w14:paraId="26949D58">
            <w:pPr>
              <w:spacing w:before="15" w:beforeLines="5" w:after="15" w:afterLines="5" w:line="240" w:lineRule="auto"/>
              <w:rPr>
                <w:rFonts w:eastAsia="宋体" w:cs="Arial"/>
                <w:sz w:val="18"/>
                <w:szCs w:val="18"/>
              </w:rPr>
            </w:pPr>
            <w:r>
              <w:rPr>
                <w:rFonts w:eastAsia="宋体" w:cs="Arial"/>
                <w:sz w:val="18"/>
                <w:szCs w:val="18"/>
              </w:rPr>
              <w:t xml:space="preserve">19970909 </w:t>
            </w:r>
          </w:p>
        </w:tc>
        <w:tc>
          <w:tcPr>
            <w:tcW w:w="1509" w:type="dxa"/>
          </w:tcPr>
          <w:p w14:paraId="6C994288">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459AB683">
            <w:pPr>
              <w:spacing w:before="15" w:beforeLines="5" w:after="15" w:afterLines="5" w:line="240" w:lineRule="auto"/>
              <w:jc w:val="left"/>
              <w:rPr>
                <w:rFonts w:eastAsia="宋体" w:cs="Arial"/>
                <w:sz w:val="18"/>
                <w:szCs w:val="18"/>
              </w:rPr>
            </w:pPr>
            <w:r>
              <w:rPr>
                <w:rFonts w:eastAsia="宋体" w:cs="Arial"/>
                <w:sz w:val="18"/>
                <w:szCs w:val="18"/>
              </w:rPr>
              <w:t>CEDARS MEDICAL CENTER/33136</w:t>
            </w:r>
          </w:p>
          <w:p w14:paraId="607E8316">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7ED88750">
            <w:pPr>
              <w:spacing w:before="15" w:beforeLines="5" w:after="15" w:afterLines="5" w:line="240" w:lineRule="auto"/>
              <w:rPr>
                <w:rFonts w:eastAsia="宋体" w:cs="Arial"/>
                <w:sz w:val="18"/>
                <w:szCs w:val="18"/>
              </w:rPr>
            </w:pPr>
            <w:r>
              <w:rPr>
                <w:rFonts w:eastAsia="宋体" w:cs="Arial"/>
                <w:sz w:val="18"/>
                <w:szCs w:val="18"/>
              </w:rPr>
              <w:t xml:space="preserve">10  </w:t>
            </w:r>
          </w:p>
        </w:tc>
      </w:tr>
      <w:tr w14:paraId="4853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04468BB4">
            <w:pPr>
              <w:spacing w:before="15" w:beforeLines="5" w:after="15" w:afterLines="5" w:line="240" w:lineRule="auto"/>
              <w:rPr>
                <w:rFonts w:eastAsia="宋体" w:cs="Arial"/>
                <w:sz w:val="18"/>
                <w:szCs w:val="18"/>
              </w:rPr>
            </w:pPr>
            <w:r>
              <w:rPr>
                <w:rFonts w:eastAsia="宋体" w:cs="Arial"/>
                <w:sz w:val="18"/>
                <w:szCs w:val="18"/>
              </w:rPr>
              <w:t>AR64057A</w:t>
            </w:r>
          </w:p>
        </w:tc>
        <w:tc>
          <w:tcPr>
            <w:tcW w:w="1339" w:type="dxa"/>
          </w:tcPr>
          <w:p w14:paraId="4AF613AC">
            <w:pPr>
              <w:spacing w:before="15" w:beforeLines="5" w:after="15" w:afterLines="5" w:line="240" w:lineRule="auto"/>
              <w:rPr>
                <w:rFonts w:eastAsia="宋体" w:cs="Arial"/>
                <w:sz w:val="18"/>
                <w:szCs w:val="18"/>
              </w:rPr>
            </w:pPr>
            <w:r>
              <w:rPr>
                <w:rFonts w:eastAsia="宋体" w:cs="Arial"/>
                <w:sz w:val="18"/>
                <w:szCs w:val="18"/>
              </w:rPr>
              <w:t xml:space="preserve"> 19971030</w:t>
            </w:r>
          </w:p>
        </w:tc>
        <w:tc>
          <w:tcPr>
            <w:tcW w:w="1509" w:type="dxa"/>
          </w:tcPr>
          <w:p w14:paraId="0801CB88">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26ED2ED5">
            <w:pPr>
              <w:spacing w:before="15" w:beforeLines="5" w:after="15" w:afterLines="5" w:line="240" w:lineRule="auto"/>
              <w:jc w:val="left"/>
              <w:rPr>
                <w:rFonts w:eastAsia="宋体" w:cs="Arial"/>
                <w:sz w:val="18"/>
                <w:szCs w:val="18"/>
              </w:rPr>
            </w:pPr>
            <w:r>
              <w:rPr>
                <w:rFonts w:eastAsia="宋体" w:cs="Arial"/>
                <w:sz w:val="18"/>
                <w:szCs w:val="18"/>
              </w:rPr>
              <w:t>FOREST GENERAL HOSPITAL/30401</w:t>
            </w:r>
          </w:p>
          <w:p w14:paraId="1CD06771">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3154D4D5">
            <w:pPr>
              <w:spacing w:before="15" w:beforeLines="5" w:after="15" w:afterLines="5" w:line="240" w:lineRule="auto"/>
              <w:rPr>
                <w:rFonts w:eastAsia="宋体" w:cs="Arial"/>
                <w:sz w:val="18"/>
                <w:szCs w:val="18"/>
              </w:rPr>
            </w:pPr>
            <w:r>
              <w:rPr>
                <w:rFonts w:eastAsia="宋体" w:cs="Arial"/>
                <w:sz w:val="18"/>
                <w:szCs w:val="18"/>
              </w:rPr>
              <w:t xml:space="preserve">35  </w:t>
            </w:r>
          </w:p>
        </w:tc>
      </w:tr>
      <w:tr w14:paraId="1595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48360C59">
            <w:pPr>
              <w:spacing w:before="15" w:beforeLines="5" w:after="15" w:afterLines="5" w:line="240" w:lineRule="auto"/>
              <w:rPr>
                <w:rFonts w:eastAsia="宋体" w:cs="Arial"/>
                <w:sz w:val="18"/>
                <w:szCs w:val="18"/>
              </w:rPr>
            </w:pPr>
            <w:r>
              <w:rPr>
                <w:rFonts w:eastAsia="宋体" w:cs="Arial"/>
                <w:sz w:val="18"/>
                <w:szCs w:val="18"/>
              </w:rPr>
              <w:t xml:space="preserve">AR57336A </w:t>
            </w:r>
          </w:p>
        </w:tc>
        <w:tc>
          <w:tcPr>
            <w:tcW w:w="1339" w:type="dxa"/>
          </w:tcPr>
          <w:p w14:paraId="34CF75CE">
            <w:pPr>
              <w:spacing w:before="15" w:beforeLines="5" w:after="15" w:afterLines="5" w:line="240" w:lineRule="auto"/>
              <w:rPr>
                <w:rFonts w:eastAsia="宋体" w:cs="Arial"/>
                <w:sz w:val="18"/>
                <w:szCs w:val="18"/>
              </w:rPr>
            </w:pPr>
            <w:r>
              <w:rPr>
                <w:rFonts w:eastAsia="宋体" w:cs="Arial"/>
                <w:sz w:val="18"/>
                <w:szCs w:val="18"/>
              </w:rPr>
              <w:t xml:space="preserve">19971112 </w:t>
            </w:r>
          </w:p>
        </w:tc>
        <w:tc>
          <w:tcPr>
            <w:tcW w:w="1509" w:type="dxa"/>
          </w:tcPr>
          <w:p w14:paraId="6653EA04">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76FF79AA">
            <w:pPr>
              <w:spacing w:before="15" w:beforeLines="5" w:after="15" w:afterLines="5" w:line="240" w:lineRule="auto"/>
              <w:jc w:val="left"/>
              <w:rPr>
                <w:rFonts w:eastAsia="宋体" w:cs="Arial"/>
                <w:sz w:val="18"/>
                <w:szCs w:val="18"/>
              </w:rPr>
            </w:pPr>
            <w:r>
              <w:rPr>
                <w:rFonts w:eastAsia="宋体" w:cs="Arial"/>
                <w:sz w:val="18"/>
                <w:szCs w:val="18"/>
              </w:rPr>
              <w:t>OCONEE MEMORIAL HOSPITAL/29679</w:t>
            </w:r>
          </w:p>
          <w:p w14:paraId="77E24831">
            <w:pPr>
              <w:spacing w:before="15" w:beforeLines="5" w:after="15" w:afterLines="5" w:line="240" w:lineRule="auto"/>
              <w:jc w:val="left"/>
              <w:rPr>
                <w:rFonts w:eastAsia="宋体" w:cs="Arial"/>
                <w:sz w:val="18"/>
                <w:szCs w:val="18"/>
              </w:rPr>
            </w:pPr>
            <w:r>
              <w:rPr>
                <w:rFonts w:eastAsia="宋体" w:cs="Arial"/>
                <w:sz w:val="18"/>
                <w:szCs w:val="18"/>
              </w:rPr>
              <w:t>PHILIPS MEDICAL SYSTEMS, INC./28217</w:t>
            </w:r>
          </w:p>
        </w:tc>
        <w:tc>
          <w:tcPr>
            <w:tcW w:w="1559" w:type="dxa"/>
          </w:tcPr>
          <w:p w14:paraId="0EC7670D">
            <w:pPr>
              <w:spacing w:before="15" w:beforeLines="5" w:after="15" w:afterLines="5" w:line="240" w:lineRule="auto"/>
              <w:rPr>
                <w:rFonts w:eastAsia="宋体" w:cs="Arial"/>
                <w:sz w:val="18"/>
                <w:szCs w:val="18"/>
              </w:rPr>
            </w:pPr>
            <w:r>
              <w:rPr>
                <w:rFonts w:eastAsia="宋体" w:cs="Arial"/>
                <w:sz w:val="18"/>
                <w:szCs w:val="18"/>
              </w:rPr>
              <w:t xml:space="preserve">29 31 </w:t>
            </w:r>
          </w:p>
        </w:tc>
      </w:tr>
      <w:tr w14:paraId="0DD8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89D2074">
            <w:pPr>
              <w:spacing w:before="15" w:beforeLines="5" w:after="15" w:afterLines="5" w:line="240" w:lineRule="auto"/>
              <w:rPr>
                <w:rFonts w:eastAsia="宋体" w:cs="Arial"/>
                <w:sz w:val="18"/>
                <w:szCs w:val="18"/>
              </w:rPr>
            </w:pPr>
            <w:r>
              <w:rPr>
                <w:rFonts w:eastAsia="宋体" w:cs="Arial"/>
                <w:sz w:val="18"/>
                <w:szCs w:val="18"/>
              </w:rPr>
              <w:t xml:space="preserve">AR57337A </w:t>
            </w:r>
          </w:p>
        </w:tc>
        <w:tc>
          <w:tcPr>
            <w:tcW w:w="1339" w:type="dxa"/>
          </w:tcPr>
          <w:p w14:paraId="1DDC1687">
            <w:pPr>
              <w:spacing w:before="15" w:beforeLines="5" w:after="15" w:afterLines="5" w:line="240" w:lineRule="auto"/>
              <w:rPr>
                <w:rFonts w:eastAsia="宋体" w:cs="Arial"/>
                <w:sz w:val="18"/>
                <w:szCs w:val="18"/>
              </w:rPr>
            </w:pPr>
            <w:r>
              <w:rPr>
                <w:rFonts w:eastAsia="宋体" w:cs="Arial"/>
                <w:sz w:val="18"/>
                <w:szCs w:val="18"/>
              </w:rPr>
              <w:t xml:space="preserve">19971112 </w:t>
            </w:r>
          </w:p>
        </w:tc>
        <w:tc>
          <w:tcPr>
            <w:tcW w:w="1509" w:type="dxa"/>
          </w:tcPr>
          <w:p w14:paraId="5BCC459A">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2494CEDF">
            <w:pPr>
              <w:spacing w:before="15" w:beforeLines="5" w:after="15" w:afterLines="5" w:line="240" w:lineRule="auto"/>
              <w:rPr>
                <w:rFonts w:eastAsia="宋体" w:cs="Arial"/>
                <w:sz w:val="18"/>
                <w:szCs w:val="18"/>
              </w:rPr>
            </w:pPr>
            <w:r>
              <w:rPr>
                <w:rFonts w:eastAsia="宋体" w:cs="Arial"/>
                <w:sz w:val="18"/>
                <w:szCs w:val="18"/>
              </w:rPr>
              <w:t>OCONEE MEMORIAL HOSPITAL/29672</w:t>
            </w:r>
          </w:p>
          <w:p w14:paraId="79256694">
            <w:pPr>
              <w:spacing w:before="15" w:beforeLines="5" w:after="15" w:afterLines="5" w:line="240" w:lineRule="auto"/>
              <w:jc w:val="left"/>
              <w:rPr>
                <w:rFonts w:eastAsia="宋体" w:cs="Arial"/>
                <w:sz w:val="18"/>
                <w:szCs w:val="18"/>
              </w:rPr>
            </w:pPr>
            <w:r>
              <w:rPr>
                <w:rFonts w:eastAsia="宋体" w:cs="Arial"/>
                <w:sz w:val="18"/>
                <w:szCs w:val="18"/>
              </w:rPr>
              <w:t>PHILIPS MEDICAL SYSTEMS, INC./28217</w:t>
            </w:r>
          </w:p>
        </w:tc>
        <w:tc>
          <w:tcPr>
            <w:tcW w:w="1559" w:type="dxa"/>
          </w:tcPr>
          <w:p w14:paraId="7612C67A">
            <w:pPr>
              <w:spacing w:before="15" w:beforeLines="5" w:after="15" w:afterLines="5" w:line="240" w:lineRule="auto"/>
              <w:rPr>
                <w:rFonts w:eastAsia="宋体" w:cs="Arial"/>
                <w:sz w:val="18"/>
                <w:szCs w:val="18"/>
              </w:rPr>
            </w:pPr>
            <w:r>
              <w:rPr>
                <w:rFonts w:eastAsia="宋体" w:cs="Arial"/>
                <w:sz w:val="18"/>
                <w:szCs w:val="18"/>
              </w:rPr>
              <w:t>17 19 2</w:t>
            </w:r>
          </w:p>
        </w:tc>
      </w:tr>
    </w:tbl>
    <w:p w14:paraId="7A152451">
      <w:pPr>
        <w:spacing w:before="31" w:beforeLines="10" w:after="31" w:afterLines="10" w:line="220" w:lineRule="exact"/>
        <w:rPr>
          <w:rFonts w:eastAsia="宋体" w:cs="Arial"/>
          <w:sz w:val="18"/>
          <w:szCs w:val="18"/>
        </w:rPr>
      </w:pPr>
    </w:p>
    <w:p w14:paraId="21F882F3">
      <w:pPr>
        <w:spacing w:before="31" w:beforeLines="10" w:after="31" w:afterLines="10" w:line="220" w:lineRule="exact"/>
        <w:rPr>
          <w:rFonts w:eastAsia="宋体" w:cs="Arial"/>
        </w:rPr>
      </w:pPr>
      <w:r>
        <w:rPr>
          <w:rFonts w:eastAsia="宋体" w:cs="Arial"/>
          <w:sz w:val="18"/>
          <w:szCs w:val="18"/>
        </w:rPr>
        <w:t>亚特兰大产地管理区现场测试记录总数为：21</w:t>
      </w:r>
      <w:r>
        <w:rPr>
          <w:rFonts w:eastAsia="宋体" w:cs="Arial"/>
        </w:rPr>
        <w:br w:type="page"/>
      </w:r>
    </w:p>
    <w:p w14:paraId="14719F52">
      <w:pPr>
        <w:spacing w:before="187"/>
        <w:jc w:val="center"/>
        <w:rPr>
          <w:rFonts w:eastAsia="宋体" w:cs="Arial"/>
          <w:b/>
          <w:u w:val="single"/>
        </w:rPr>
      </w:pPr>
      <w:r>
        <w:rPr>
          <w:rFonts w:eastAsia="宋体" w:cs="Arial"/>
          <w:b/>
          <w:u w:val="single"/>
        </w:rPr>
        <w:t>致用户的通知函（通知不合规源于用户行为或用户不作为）</w:t>
      </w:r>
    </w:p>
    <w:p w14:paraId="29324A10">
      <w:pPr>
        <w:spacing w:before="187"/>
        <w:rPr>
          <w:rFonts w:eastAsia="宋体" w:cs="Arial"/>
        </w:rPr>
      </w:pPr>
    </w:p>
    <w:p w14:paraId="68A56A41">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3E322E7F">
      <w:pPr>
        <w:spacing w:before="187"/>
        <w:rPr>
          <w:rFonts w:eastAsia="宋体" w:cs="Arial"/>
        </w:rPr>
      </w:pPr>
    </w:p>
    <w:p w14:paraId="6467733D">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3A6DD1AB">
      <w:pPr>
        <w:spacing w:before="187"/>
        <w:rPr>
          <w:rFonts w:eastAsia="宋体" w:cs="Arial"/>
        </w:rPr>
      </w:pPr>
    </w:p>
    <w:p w14:paraId="23FA8AD5">
      <w:pPr>
        <w:spacing w:before="187"/>
        <w:rPr>
          <w:rFonts w:eastAsia="宋体" w:cs="Arial"/>
        </w:rPr>
      </w:pPr>
      <w:r>
        <w:rPr>
          <w:rFonts w:eastAsia="宋体" w:cs="Arial"/>
        </w:rPr>
        <w:t>致（</w:t>
      </w:r>
      <w:r>
        <w:rPr>
          <w:rFonts w:eastAsia="宋体" w:cs="Arial"/>
          <w:u w:val="single"/>
        </w:rPr>
        <w:t>收信人</w:t>
      </w:r>
      <w:r>
        <w:rPr>
          <w:rFonts w:eastAsia="宋体" w:cs="Arial"/>
        </w:rPr>
        <w:t>）：</w:t>
      </w:r>
    </w:p>
    <w:p w14:paraId="3FB77023">
      <w:pPr>
        <w:spacing w:before="187"/>
        <w:rPr>
          <w:rFonts w:eastAsia="宋体" w:cs="Arial"/>
        </w:rPr>
      </w:pPr>
      <w:r>
        <w:rPr>
          <w:rFonts w:eastAsia="宋体" w:cs="Arial"/>
        </w:rPr>
        <w:t>（</w:t>
      </w:r>
      <w:r>
        <w:rPr>
          <w:rFonts w:eastAsia="宋体" w:cs="Arial"/>
          <w:u w:val="single"/>
        </w:rPr>
        <w:t>日期</w:t>
      </w:r>
      <w:r>
        <w:rPr>
          <w:rFonts w:eastAsia="宋体" w:cs="Arial"/>
        </w:rPr>
        <w:t>），我们对位于贵机构（</w:t>
      </w:r>
      <w:r>
        <w:rPr>
          <w:rFonts w:eastAsia="宋体" w:cs="Arial"/>
          <w:u w:val="single"/>
        </w:rPr>
        <w:t>号码</w:t>
      </w:r>
      <w:r>
        <w:rPr>
          <w:rFonts w:eastAsia="宋体" w:cs="Arial"/>
        </w:rPr>
        <w:t>）房间的（</w:t>
      </w:r>
      <w:r>
        <w:rPr>
          <w:rFonts w:eastAsia="宋体" w:cs="Arial"/>
          <w:u w:val="single"/>
        </w:rPr>
        <w:t>制造商名称</w:t>
      </w:r>
      <w:r>
        <w:rPr>
          <w:rFonts w:eastAsia="宋体" w:cs="Arial"/>
        </w:rPr>
        <w:t>）诊断用X射线系统进行了现场测试，其控制装置型号为（</w:t>
      </w:r>
      <w:r>
        <w:rPr>
          <w:rFonts w:eastAsia="宋体" w:cs="Arial"/>
          <w:u w:val="single"/>
        </w:rPr>
        <w:t>型号</w:t>
      </w:r>
      <w:r>
        <w:rPr>
          <w:rFonts w:eastAsia="宋体" w:cs="Arial"/>
        </w:rPr>
        <w:t>）。为了确定该系统对诊断用X射线设备性能标准若干部分（21 CFR 1020.30-32）的合规性，我们对其进行了测试。</w:t>
      </w:r>
    </w:p>
    <w:p w14:paraId="50CC8355">
      <w:pPr>
        <w:spacing w:before="187"/>
        <w:rPr>
          <w:rFonts w:eastAsia="宋体" w:cs="Arial"/>
        </w:rPr>
      </w:pPr>
      <w:r>
        <w:rPr>
          <w:rFonts w:eastAsia="宋体" w:cs="Arial"/>
        </w:rPr>
        <w:t>对现场测试所得数据的分析显示，该系统未遵从联邦诊断用X射线系统性能标准的下列要求：</w:t>
      </w:r>
    </w:p>
    <w:p w14:paraId="1179F8EB">
      <w:pPr>
        <w:spacing w:before="187"/>
        <w:ind w:firstLine="883" w:firstLineChars="400"/>
        <w:rPr>
          <w:rFonts w:eastAsia="宋体" w:cs="Arial"/>
          <w:b/>
        </w:rPr>
      </w:pPr>
      <w:r>
        <w:rPr>
          <w:rFonts w:eastAsia="宋体" w:cs="Arial"/>
          <w:b/>
        </w:rPr>
        <w:t>（对每个不合规事项加以描述）</w:t>
      </w:r>
    </w:p>
    <w:p w14:paraId="75A246BC">
      <w:pPr>
        <w:spacing w:before="187"/>
        <w:rPr>
          <w:rFonts w:eastAsia="宋体" w:cs="Arial"/>
        </w:rPr>
      </w:pPr>
      <w:r>
        <w:rPr>
          <w:rFonts w:eastAsia="宋体" w:cs="Arial"/>
        </w:rPr>
        <w:t>调查显示，根据法规，制造商和装配商都不可能对这些不合规负责。使用不合规X射线系统可对患者或操作者造成不必要的辐射照射。因此，我们鼓励您为纠正不合规做出安排。</w:t>
      </w:r>
    </w:p>
    <w:p w14:paraId="3B142667">
      <w:pPr>
        <w:spacing w:before="187"/>
        <w:ind w:firstLine="883" w:firstLineChars="400"/>
        <w:rPr>
          <w:rFonts w:eastAsia="宋体" w:cs="Arial"/>
          <w:b/>
        </w:rPr>
      </w:pPr>
      <w:r>
        <w:rPr>
          <w:rFonts w:eastAsia="宋体" w:cs="Arial"/>
          <w:b/>
        </w:rPr>
        <w:t>（如果涉及A类问题，换成下列内容）</w:t>
      </w:r>
    </w:p>
    <w:p w14:paraId="1E7ACC9A">
      <w:pPr>
        <w:spacing w:before="187"/>
        <w:rPr>
          <w:rFonts w:eastAsia="宋体" w:cs="Arial"/>
        </w:rPr>
      </w:pPr>
      <w:r>
        <w:rPr>
          <w:rFonts w:eastAsia="宋体" w:cs="Arial"/>
        </w:rPr>
        <w:t>调查显示，根据法规，制造商和装配商都不可能对这些不合规负责。这些问题可对患者或操作者造成严重的健康危害。我们极力鼓励您停止使用该系统并立即安排修理。</w:t>
      </w:r>
    </w:p>
    <w:p w14:paraId="4ED4D0BD">
      <w:pPr>
        <w:tabs>
          <w:tab w:val="left" w:pos="6215"/>
        </w:tabs>
        <w:spacing w:before="187"/>
        <w:rPr>
          <w:rFonts w:eastAsia="宋体" w:cs="Arial"/>
        </w:rPr>
      </w:pPr>
      <w:r>
        <w:rPr>
          <w:rFonts w:eastAsia="宋体" w:cs="Arial"/>
        </w:rPr>
        <w:t>谨此要求在收到本函后30个工作日内将您为纠正被指不合规事项已采取的具体步骤以书面形式告知该办公室。如果未能在30个工作日内完成纠正行动，应对延迟的理由与完成纠正行动的预期时间做出说明。应将回函寄给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3B15C726">
      <w:pPr>
        <w:spacing w:before="187"/>
        <w:rPr>
          <w:rFonts w:eastAsia="宋体" w:cs="Arial"/>
        </w:rPr>
      </w:pPr>
    </w:p>
    <w:p w14:paraId="3769B3B5">
      <w:pPr>
        <w:spacing w:before="187"/>
        <w:ind w:left="4400" w:leftChars="2000"/>
        <w:rPr>
          <w:rFonts w:eastAsia="宋体" w:cs="Arial"/>
        </w:rPr>
      </w:pPr>
      <w:r>
        <w:rPr>
          <w:rFonts w:eastAsia="宋体" w:cs="Arial"/>
        </w:rPr>
        <w:t>顺祝商祺，</w:t>
      </w:r>
    </w:p>
    <w:p w14:paraId="1DA4E8B0">
      <w:pPr>
        <w:spacing w:before="187"/>
        <w:ind w:left="4400" w:leftChars="2000"/>
        <w:rPr>
          <w:rFonts w:eastAsia="宋体" w:cs="Arial"/>
        </w:rPr>
      </w:pPr>
      <w:r>
        <w:rPr>
          <w:rFonts w:eastAsia="宋体" w:cs="Arial"/>
        </w:rPr>
        <w:t>管理区主任</w:t>
      </w:r>
    </w:p>
    <w:p w14:paraId="16515867">
      <w:pPr>
        <w:spacing w:before="187"/>
        <w:rPr>
          <w:rFonts w:eastAsia="宋体" w:cs="Arial"/>
        </w:rPr>
      </w:pPr>
      <w:r>
        <w:rPr>
          <w:rFonts w:eastAsia="宋体" w:cs="Arial"/>
        </w:rPr>
        <w:t>注：在信函原件底部注明州辐射控制计划已收到该信函的副本。</w:t>
      </w:r>
    </w:p>
    <w:p w14:paraId="7614D890">
      <w:pPr>
        <w:spacing w:before="187"/>
        <w:rPr>
          <w:rFonts w:eastAsia="宋体" w:cs="Arial"/>
        </w:rPr>
      </w:pPr>
    </w:p>
    <w:p w14:paraId="79C4A6F3">
      <w:pPr>
        <w:spacing w:before="187"/>
        <w:rPr>
          <w:rFonts w:eastAsia="宋体" w:cs="Arial"/>
        </w:rPr>
        <w:sectPr>
          <w:headerReference r:id="rId53" w:type="first"/>
          <w:footerReference r:id="rId55" w:type="first"/>
          <w:headerReference r:id="rId52" w:type="default"/>
          <w:footerReference r:id="rId54" w:type="default"/>
          <w:pgSz w:w="11906" w:h="16838"/>
          <w:pgMar w:top="1418" w:right="1418" w:bottom="1418" w:left="1418" w:header="720" w:footer="720" w:gutter="0"/>
          <w:pgNumType w:start="1"/>
          <w:cols w:space="425" w:num="1"/>
          <w:titlePg/>
          <w:docGrid w:type="lines" w:linePitch="312" w:charSpace="0"/>
        </w:sectPr>
      </w:pPr>
    </w:p>
    <w:p w14:paraId="2FD286A3">
      <w:pPr>
        <w:spacing w:before="187"/>
        <w:jc w:val="center"/>
        <w:rPr>
          <w:rFonts w:eastAsia="宋体" w:cs="Arial"/>
          <w:b/>
          <w:u w:val="single"/>
        </w:rPr>
      </w:pPr>
      <w:r>
        <w:rPr>
          <w:rFonts w:eastAsia="宋体" w:cs="Arial"/>
          <w:b/>
          <w:u w:val="single"/>
        </w:rPr>
        <w:t>瑕疵和不合规的责任</w:t>
      </w:r>
    </w:p>
    <w:p w14:paraId="1D94E484">
      <w:pPr>
        <w:spacing w:before="187"/>
        <w:rPr>
          <w:rFonts w:eastAsia="宋体" w:cs="Arial"/>
        </w:rPr>
      </w:pPr>
    </w:p>
    <w:p w14:paraId="7C1D56BE">
      <w:pPr>
        <w:spacing w:before="187"/>
        <w:rPr>
          <w:rFonts w:eastAsia="宋体" w:cs="Arial"/>
        </w:rPr>
      </w:pPr>
      <w:r>
        <w:rPr>
          <w:rFonts w:eastAsia="宋体" w:cs="Arial"/>
        </w:rPr>
        <w:t>诊断用X射线性能标准详细描述了X射线设备制造商和装配商的特定责任范围。装配商负责纯粹归因于装配或安装不当或因不当遵从制造商提供的操作指南所致的不合规。如果制造商未向装配商提供适当的操作指南，制造商应负责不当装配所致不合规（21 CFR 1020.30（c））。性能标准未明确应对与设备寿命或用户责任有关的责任范围。</w:t>
      </w:r>
    </w:p>
    <w:p w14:paraId="6DF73675">
      <w:pPr>
        <w:spacing w:before="187"/>
        <w:rPr>
          <w:rFonts w:eastAsia="宋体" w:cs="Arial"/>
        </w:rPr>
      </w:pPr>
      <w:r>
        <w:rPr>
          <w:rFonts w:eastAsia="宋体" w:cs="Arial"/>
        </w:rPr>
        <w:t>性能标准要求制造商向买方提供保持X射线设备遵从性能标准所需的维护时间表（21 CFR 1020.30（h）（1）（ii）节）。法规要求制造商提供维护时间表是因为，如果不能对X射线设备进行正确维护，期望它符合特定性能要求是不合理的。进行第一次维护后或过了应进行维护的时间后，装配商不再负责受正确遵从维护时间表影响的要求。某些原获证设备装配商应负责纠正不合规事项并给所有人开具账单而不是企图驳回对不合规应付的责任。这种做法常常使X射线系统所有人感到苦恼。他们认为这项工作应免费进行。</w:t>
      </w:r>
    </w:p>
    <w:p w14:paraId="6BBE048E">
      <w:pPr>
        <w:spacing w:before="187"/>
        <w:rPr>
          <w:rFonts w:eastAsia="宋体" w:cs="Arial"/>
        </w:rPr>
      </w:pPr>
      <w:r>
        <w:rPr>
          <w:rFonts w:eastAsia="宋体" w:cs="Arial"/>
        </w:rPr>
        <w:t>可免除制造商/装配商责任的证据包括：</w:t>
      </w:r>
    </w:p>
    <w:p w14:paraId="7D79ACB4">
      <w:pPr>
        <w:pStyle w:val="15"/>
        <w:numPr>
          <w:ilvl w:val="1"/>
          <w:numId w:val="65"/>
        </w:numPr>
        <w:spacing w:before="187"/>
        <w:ind w:left="660" w:hanging="660" w:hangingChars="300"/>
        <w:rPr>
          <w:rFonts w:eastAsia="宋体" w:cs="Arial"/>
        </w:rPr>
      </w:pPr>
      <w:r>
        <w:rPr>
          <w:rFonts w:eastAsia="宋体" w:cs="Arial"/>
        </w:rPr>
        <w:t>对于需定期调校的事项，用户未能按制造商制定的维护时间表加以维护。</w:t>
      </w:r>
    </w:p>
    <w:p w14:paraId="142F9437">
      <w:pPr>
        <w:pStyle w:val="15"/>
        <w:numPr>
          <w:ilvl w:val="1"/>
          <w:numId w:val="65"/>
        </w:numPr>
        <w:spacing w:before="187"/>
        <w:ind w:left="660" w:hanging="660" w:hangingChars="300"/>
        <w:rPr>
          <w:rFonts w:eastAsia="宋体" w:cs="Arial"/>
        </w:rPr>
      </w:pPr>
      <w:r>
        <w:rPr>
          <w:rFonts w:eastAsia="宋体" w:cs="Arial"/>
        </w:rPr>
        <w:t>因滥用所致X射线系统物理损伤的照片或其它证明文件（书面描述）。</w:t>
      </w:r>
    </w:p>
    <w:p w14:paraId="36885484">
      <w:pPr>
        <w:spacing w:before="187"/>
        <w:rPr>
          <w:rFonts w:eastAsia="宋体" w:cs="Arial"/>
        </w:rPr>
      </w:pPr>
      <w:r>
        <w:rPr>
          <w:rFonts w:eastAsia="宋体" w:cs="Arial"/>
        </w:rPr>
        <w:t>如果用户未遵从维护时间表，但设施从保修期开始就记录了系统的连续合规问题，则制造商/装配商可承担责任。</w:t>
      </w:r>
    </w:p>
    <w:p w14:paraId="6F47E14B">
      <w:pPr>
        <w:spacing w:before="187"/>
        <w:rPr>
          <w:rFonts w:eastAsia="宋体" w:cs="Arial"/>
        </w:rPr>
      </w:pPr>
      <w:r>
        <w:rPr>
          <w:rFonts w:eastAsia="宋体" w:cs="Arial"/>
        </w:rPr>
        <w:t>按制造商维护时间表的安排可能需定期调校的事项包括：</w:t>
      </w:r>
    </w:p>
    <w:p w14:paraId="6886CA67">
      <w:pPr>
        <w:pStyle w:val="15"/>
        <w:numPr>
          <w:ilvl w:val="2"/>
          <w:numId w:val="66"/>
        </w:numPr>
        <w:spacing w:before="187"/>
        <w:ind w:left="1320" w:leftChars="300" w:hanging="660" w:hangingChars="300"/>
        <w:rPr>
          <w:rFonts w:eastAsia="宋体" w:cs="Arial"/>
        </w:rPr>
      </w:pPr>
      <w:r>
        <w:rPr>
          <w:rFonts w:eastAsia="宋体" w:cs="Arial"/>
        </w:rPr>
        <w:t>线性关系</w:t>
      </w:r>
    </w:p>
    <w:p w14:paraId="168B1D24">
      <w:pPr>
        <w:pStyle w:val="15"/>
        <w:numPr>
          <w:ilvl w:val="2"/>
          <w:numId w:val="66"/>
        </w:numPr>
        <w:spacing w:before="187"/>
        <w:ind w:left="1320" w:leftChars="300" w:hanging="660" w:hangingChars="300"/>
        <w:rPr>
          <w:rFonts w:eastAsia="宋体" w:cs="Arial"/>
        </w:rPr>
      </w:pPr>
      <w:r>
        <w:rPr>
          <w:rFonts w:eastAsia="宋体" w:cs="Arial"/>
        </w:rPr>
        <w:t>X射线视野/光照视野校直</w:t>
      </w:r>
    </w:p>
    <w:p w14:paraId="741081C3">
      <w:pPr>
        <w:pStyle w:val="15"/>
        <w:numPr>
          <w:ilvl w:val="2"/>
          <w:numId w:val="66"/>
        </w:numPr>
        <w:spacing w:before="187"/>
        <w:ind w:left="1320" w:leftChars="300" w:hanging="660" w:hangingChars="300"/>
        <w:rPr>
          <w:rFonts w:eastAsia="宋体" w:cs="Arial"/>
        </w:rPr>
      </w:pPr>
      <w:r>
        <w:rPr>
          <w:rFonts w:eastAsia="宋体" w:cs="Arial"/>
        </w:rPr>
        <w:t>正射束限制器（PBL）定型</w:t>
      </w:r>
    </w:p>
    <w:p w14:paraId="179B1ECE">
      <w:pPr>
        <w:pStyle w:val="15"/>
        <w:numPr>
          <w:ilvl w:val="2"/>
          <w:numId w:val="66"/>
        </w:numPr>
        <w:spacing w:before="187"/>
        <w:ind w:left="1320" w:leftChars="300" w:hanging="660" w:hangingChars="300"/>
        <w:rPr>
          <w:rFonts w:eastAsia="宋体" w:cs="Arial"/>
        </w:rPr>
      </w:pPr>
      <w:r>
        <w:rPr>
          <w:rFonts w:eastAsia="宋体" w:cs="Arial"/>
        </w:rPr>
        <w:t>照明度</w:t>
      </w:r>
    </w:p>
    <w:p w14:paraId="6EEA7AC3">
      <w:pPr>
        <w:pStyle w:val="15"/>
        <w:numPr>
          <w:ilvl w:val="2"/>
          <w:numId w:val="66"/>
        </w:numPr>
        <w:spacing w:before="187"/>
        <w:ind w:left="1320" w:leftChars="300" w:hanging="660" w:hangingChars="300"/>
        <w:rPr>
          <w:rFonts w:eastAsia="宋体" w:cs="Arial"/>
        </w:rPr>
      </w:pPr>
      <w:r>
        <w:rPr>
          <w:rFonts w:eastAsia="宋体" w:cs="Arial"/>
        </w:rPr>
        <w:t>进口照射量率</w:t>
      </w:r>
    </w:p>
    <w:p w14:paraId="0D970F88">
      <w:pPr>
        <w:pStyle w:val="15"/>
        <w:numPr>
          <w:ilvl w:val="2"/>
          <w:numId w:val="66"/>
        </w:numPr>
        <w:spacing w:before="187"/>
        <w:ind w:left="1320" w:leftChars="300" w:hanging="660" w:hangingChars="300"/>
        <w:rPr>
          <w:rFonts w:eastAsia="宋体" w:cs="Arial"/>
        </w:rPr>
      </w:pPr>
      <w:r>
        <w:rPr>
          <w:rFonts w:eastAsia="宋体" w:cs="Arial"/>
        </w:rPr>
        <w:t>X射线透视校直</w:t>
      </w:r>
    </w:p>
    <w:p w14:paraId="2736B564">
      <w:pPr>
        <w:pStyle w:val="15"/>
        <w:numPr>
          <w:ilvl w:val="2"/>
          <w:numId w:val="66"/>
        </w:numPr>
        <w:spacing w:before="187"/>
        <w:ind w:left="1320" w:leftChars="300" w:hanging="660" w:hangingChars="300"/>
        <w:rPr>
          <w:rFonts w:eastAsia="宋体" w:cs="Arial"/>
        </w:rPr>
      </w:pPr>
      <w:r>
        <w:rPr>
          <w:rFonts w:eastAsia="宋体" w:cs="Arial"/>
        </w:rPr>
        <w:t>点片校直</w:t>
      </w:r>
    </w:p>
    <w:p w14:paraId="7CA4D253">
      <w:pPr>
        <w:spacing w:before="187"/>
        <w:rPr>
          <w:rFonts w:eastAsia="宋体" w:cs="Arial"/>
        </w:rPr>
      </w:pPr>
      <w:r>
        <w:rPr>
          <w:rFonts w:eastAsia="宋体" w:cs="Arial"/>
        </w:rPr>
        <w:br w:type="page"/>
      </w:r>
    </w:p>
    <w:p w14:paraId="74EAFF7A">
      <w:pPr>
        <w:pStyle w:val="15"/>
        <w:numPr>
          <w:ilvl w:val="2"/>
          <w:numId w:val="66"/>
        </w:numPr>
        <w:spacing w:before="187"/>
        <w:ind w:left="1320" w:leftChars="300" w:hanging="660" w:hangingChars="300"/>
        <w:rPr>
          <w:rFonts w:eastAsia="宋体" w:cs="Arial"/>
        </w:rPr>
      </w:pPr>
      <w:r>
        <w:rPr>
          <w:rFonts w:eastAsia="宋体" w:cs="Arial"/>
        </w:rPr>
        <w:t>技术因素指征</w:t>
      </w:r>
    </w:p>
    <w:p w14:paraId="16BDD9F9">
      <w:pPr>
        <w:pStyle w:val="15"/>
        <w:numPr>
          <w:ilvl w:val="2"/>
          <w:numId w:val="66"/>
        </w:numPr>
        <w:spacing w:before="187"/>
        <w:ind w:left="1320" w:leftChars="300" w:hanging="660" w:hangingChars="300"/>
        <w:rPr>
          <w:rFonts w:eastAsia="宋体" w:cs="Arial"/>
        </w:rPr>
      </w:pPr>
      <w:r>
        <w:rPr>
          <w:rFonts w:eastAsia="宋体" w:cs="Arial"/>
        </w:rPr>
        <w:t>信号灯和警示灯</w:t>
      </w:r>
    </w:p>
    <w:p w14:paraId="0FDE6C86">
      <w:pPr>
        <w:spacing w:before="187"/>
        <w:rPr>
          <w:rFonts w:eastAsia="宋体" w:cs="Arial"/>
        </w:rPr>
      </w:pPr>
      <w:r>
        <w:rPr>
          <w:rFonts w:eastAsia="宋体" w:cs="Arial"/>
        </w:rPr>
        <w:t>某些组件需以时间为基础进行调校，而其它组件则需根据电子管重装或准直仪照明灯更换灯泡的时间进行调校。必须对具体的维护时间表进行检查，以确定状况和时间间隔是否合适。</w:t>
      </w:r>
    </w:p>
    <w:p w14:paraId="73964B36">
      <w:pPr>
        <w:spacing w:before="187"/>
        <w:rPr>
          <w:rFonts w:eastAsia="宋体" w:cs="Arial"/>
        </w:rPr>
      </w:pPr>
    </w:p>
    <w:p w14:paraId="5EF9CBDA">
      <w:pPr>
        <w:spacing w:before="187"/>
        <w:rPr>
          <w:rFonts w:eastAsia="宋体" w:cs="Arial"/>
        </w:rPr>
        <w:sectPr>
          <w:headerReference r:id="rId57" w:type="first"/>
          <w:footerReference r:id="rId59" w:type="first"/>
          <w:headerReference r:id="rId56" w:type="default"/>
          <w:footerReference r:id="rId58" w:type="default"/>
          <w:pgSz w:w="11906" w:h="16838"/>
          <w:pgMar w:top="1418" w:right="1418" w:bottom="1418" w:left="1418" w:header="720" w:footer="720" w:gutter="0"/>
          <w:pgNumType w:start="1"/>
          <w:cols w:space="425" w:num="1"/>
          <w:titlePg/>
          <w:docGrid w:type="lines" w:linePitch="312" w:charSpace="0"/>
        </w:sectPr>
      </w:pPr>
    </w:p>
    <w:p w14:paraId="27CEE1A2">
      <w:pPr>
        <w:spacing w:before="187"/>
        <w:ind w:right="840"/>
        <w:jc w:val="center"/>
        <w:rPr>
          <w:rFonts w:eastAsia="宋体" w:cs="Arial"/>
          <w:b/>
          <w:u w:val="single"/>
        </w:rPr>
      </w:pPr>
      <w:r>
        <w:rPr>
          <w:rFonts w:eastAsia="宋体" w:cs="Arial"/>
          <w:b/>
          <w:u w:val="single"/>
        </w:rPr>
        <w:t>有资质的X射线审计员名单</w:t>
      </w:r>
    </w:p>
    <w:tbl>
      <w:tblPr>
        <w:tblStyle w:val="8"/>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3260"/>
        <w:gridCol w:w="3260"/>
      </w:tblGrid>
      <w:tr w14:paraId="1206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4DF1647">
            <w:pPr>
              <w:spacing w:before="62" w:beforeLines="20" w:line="240" w:lineRule="exact"/>
              <w:ind w:right="840"/>
              <w:rPr>
                <w:rFonts w:eastAsia="宋体" w:cs="Arial"/>
                <w:sz w:val="18"/>
                <w:szCs w:val="18"/>
              </w:rPr>
            </w:pPr>
          </w:p>
        </w:tc>
        <w:tc>
          <w:tcPr>
            <w:tcW w:w="3260" w:type="dxa"/>
          </w:tcPr>
          <w:p w14:paraId="31BC4945">
            <w:pPr>
              <w:spacing w:before="62" w:beforeLines="20" w:line="240" w:lineRule="exact"/>
              <w:ind w:right="840"/>
              <w:rPr>
                <w:rFonts w:eastAsia="宋体" w:cs="Arial"/>
                <w:sz w:val="18"/>
                <w:szCs w:val="18"/>
              </w:rPr>
            </w:pPr>
          </w:p>
        </w:tc>
        <w:tc>
          <w:tcPr>
            <w:tcW w:w="3260" w:type="dxa"/>
          </w:tcPr>
          <w:p w14:paraId="23F4C728">
            <w:pPr>
              <w:spacing w:before="62" w:beforeLines="20" w:line="240" w:lineRule="exact"/>
              <w:ind w:right="840"/>
              <w:rPr>
                <w:rFonts w:eastAsia="宋体" w:cs="Arial"/>
                <w:sz w:val="18"/>
                <w:szCs w:val="18"/>
              </w:rPr>
            </w:pPr>
            <w:r>
              <w:rPr>
                <w:rFonts w:eastAsia="宋体" w:cs="Arial"/>
                <w:sz w:val="18"/>
                <w:szCs w:val="18"/>
              </w:rPr>
              <w:t>电话号码/传真号码</w:t>
            </w:r>
          </w:p>
        </w:tc>
      </w:tr>
      <w:tr w14:paraId="780D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36D9E15">
            <w:pPr>
              <w:spacing w:before="62" w:beforeLines="20" w:line="240" w:lineRule="exact"/>
              <w:ind w:right="840"/>
              <w:rPr>
                <w:rFonts w:eastAsia="宋体" w:cs="Arial"/>
                <w:sz w:val="18"/>
                <w:szCs w:val="18"/>
              </w:rPr>
            </w:pPr>
            <w:r>
              <w:rPr>
                <w:rFonts w:eastAsia="宋体" w:cs="Arial"/>
                <w:sz w:val="18"/>
                <w:szCs w:val="18"/>
              </w:rPr>
              <w:t>新英格兰管理区</w:t>
            </w:r>
          </w:p>
        </w:tc>
        <w:tc>
          <w:tcPr>
            <w:tcW w:w="3260" w:type="dxa"/>
          </w:tcPr>
          <w:p w14:paraId="05BED3EA">
            <w:pPr>
              <w:spacing w:before="62" w:beforeLines="20" w:line="240" w:lineRule="exact"/>
              <w:ind w:right="840"/>
              <w:rPr>
                <w:rFonts w:eastAsia="宋体" w:cs="Arial"/>
                <w:sz w:val="18"/>
                <w:szCs w:val="18"/>
              </w:rPr>
            </w:pPr>
            <w:r>
              <w:rPr>
                <w:rFonts w:eastAsia="宋体" w:cs="Arial"/>
                <w:sz w:val="18"/>
                <w:szCs w:val="18"/>
              </w:rPr>
              <w:t xml:space="preserve">Michael J. Leal  </w:t>
            </w:r>
          </w:p>
          <w:p w14:paraId="5E434D27">
            <w:pPr>
              <w:spacing w:before="62" w:beforeLines="20" w:line="240" w:lineRule="exact"/>
              <w:ind w:right="840"/>
              <w:rPr>
                <w:rFonts w:eastAsia="宋体" w:cs="Arial"/>
                <w:sz w:val="18"/>
                <w:szCs w:val="18"/>
              </w:rPr>
            </w:pPr>
            <w:r>
              <w:rPr>
                <w:rFonts w:eastAsia="宋体" w:cs="Arial"/>
                <w:sz w:val="18"/>
                <w:szCs w:val="18"/>
              </w:rPr>
              <w:t xml:space="preserve"> George Allen  </w:t>
            </w:r>
          </w:p>
        </w:tc>
        <w:tc>
          <w:tcPr>
            <w:tcW w:w="3260" w:type="dxa"/>
          </w:tcPr>
          <w:p w14:paraId="0E47751E">
            <w:pPr>
              <w:spacing w:before="62" w:beforeLines="20" w:line="240" w:lineRule="exact"/>
              <w:ind w:right="840"/>
              <w:rPr>
                <w:rFonts w:eastAsia="宋体" w:cs="Arial"/>
                <w:sz w:val="18"/>
                <w:szCs w:val="18"/>
              </w:rPr>
            </w:pPr>
            <w:r>
              <w:rPr>
                <w:rFonts w:eastAsia="宋体" w:cs="Arial"/>
                <w:sz w:val="18"/>
                <w:szCs w:val="18"/>
              </w:rPr>
              <w:t>508-793-0422</w:t>
            </w:r>
          </w:p>
          <w:p w14:paraId="5790BE88">
            <w:pPr>
              <w:spacing w:before="62" w:beforeLines="20" w:line="240" w:lineRule="exact"/>
              <w:ind w:right="840"/>
              <w:rPr>
                <w:rFonts w:eastAsia="宋体" w:cs="Arial"/>
                <w:sz w:val="18"/>
                <w:szCs w:val="18"/>
              </w:rPr>
            </w:pPr>
            <w:r>
              <w:rPr>
                <w:rFonts w:eastAsia="宋体" w:cs="Arial"/>
                <w:sz w:val="18"/>
                <w:szCs w:val="18"/>
              </w:rPr>
              <w:t>508-793-0422</w:t>
            </w:r>
          </w:p>
          <w:p w14:paraId="6A10411D">
            <w:pPr>
              <w:spacing w:before="62" w:beforeLines="20" w:line="240" w:lineRule="exact"/>
              <w:ind w:right="840"/>
              <w:rPr>
                <w:rFonts w:eastAsia="宋体" w:cs="Arial"/>
                <w:sz w:val="18"/>
                <w:szCs w:val="18"/>
              </w:rPr>
            </w:pPr>
            <w:r>
              <w:rPr>
                <w:rFonts w:eastAsia="宋体" w:cs="Arial"/>
                <w:sz w:val="18"/>
                <w:szCs w:val="18"/>
              </w:rPr>
              <w:t>508-793-0456</w:t>
            </w:r>
          </w:p>
        </w:tc>
      </w:tr>
      <w:tr w14:paraId="4986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8CE1132">
            <w:pPr>
              <w:spacing w:before="62" w:beforeLines="20" w:line="240" w:lineRule="exact"/>
              <w:ind w:right="840"/>
              <w:rPr>
                <w:rFonts w:eastAsia="宋体" w:cs="Arial"/>
                <w:sz w:val="18"/>
                <w:szCs w:val="18"/>
              </w:rPr>
            </w:pPr>
            <w:r>
              <w:rPr>
                <w:rFonts w:eastAsia="宋体" w:cs="Arial"/>
                <w:sz w:val="18"/>
                <w:szCs w:val="18"/>
              </w:rPr>
              <w:t>纽约管理区</w:t>
            </w:r>
          </w:p>
        </w:tc>
        <w:tc>
          <w:tcPr>
            <w:tcW w:w="3260" w:type="dxa"/>
          </w:tcPr>
          <w:p w14:paraId="606DD5A8">
            <w:pPr>
              <w:spacing w:before="62" w:beforeLines="20" w:line="240" w:lineRule="exact"/>
              <w:ind w:right="840"/>
              <w:rPr>
                <w:rFonts w:eastAsia="宋体" w:cs="Arial"/>
                <w:sz w:val="18"/>
                <w:szCs w:val="18"/>
              </w:rPr>
            </w:pPr>
            <w:r>
              <w:rPr>
                <w:rFonts w:eastAsia="宋体" w:cs="Arial"/>
                <w:sz w:val="18"/>
                <w:szCs w:val="18"/>
              </w:rPr>
              <w:t>James Wormuth</w:t>
            </w:r>
          </w:p>
        </w:tc>
        <w:tc>
          <w:tcPr>
            <w:tcW w:w="3260" w:type="dxa"/>
          </w:tcPr>
          <w:p w14:paraId="0B9B0A36">
            <w:pPr>
              <w:spacing w:before="62" w:beforeLines="20" w:line="240" w:lineRule="exact"/>
              <w:ind w:right="840"/>
              <w:rPr>
                <w:rFonts w:eastAsia="宋体" w:cs="Arial"/>
                <w:sz w:val="18"/>
                <w:szCs w:val="18"/>
              </w:rPr>
            </w:pPr>
            <w:r>
              <w:rPr>
                <w:rFonts w:eastAsia="宋体" w:cs="Arial"/>
                <w:sz w:val="18"/>
                <w:szCs w:val="18"/>
              </w:rPr>
              <w:t>518-453-2314x30</w:t>
            </w:r>
          </w:p>
          <w:p w14:paraId="60E4C047">
            <w:pPr>
              <w:spacing w:before="62" w:beforeLines="20" w:line="240" w:lineRule="exact"/>
              <w:ind w:right="840"/>
              <w:rPr>
                <w:rFonts w:eastAsia="宋体" w:cs="Arial"/>
                <w:sz w:val="18"/>
                <w:szCs w:val="18"/>
              </w:rPr>
            </w:pPr>
            <w:r>
              <w:rPr>
                <w:rFonts w:eastAsia="宋体" w:cs="Arial"/>
                <w:sz w:val="18"/>
                <w:szCs w:val="18"/>
              </w:rPr>
              <w:t>513-453-2443</w:t>
            </w:r>
          </w:p>
        </w:tc>
      </w:tr>
      <w:tr w14:paraId="7157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B3CEBD8">
            <w:pPr>
              <w:spacing w:before="62" w:beforeLines="20" w:line="240" w:lineRule="exact"/>
              <w:ind w:right="840"/>
              <w:rPr>
                <w:rFonts w:eastAsia="宋体" w:cs="Arial"/>
                <w:sz w:val="18"/>
                <w:szCs w:val="18"/>
              </w:rPr>
            </w:pPr>
            <w:r>
              <w:rPr>
                <w:rFonts w:eastAsia="宋体" w:cs="Arial"/>
                <w:sz w:val="18"/>
                <w:szCs w:val="18"/>
              </w:rPr>
              <w:t>巴尔的摩管理区</w:t>
            </w:r>
          </w:p>
        </w:tc>
        <w:tc>
          <w:tcPr>
            <w:tcW w:w="3260" w:type="dxa"/>
          </w:tcPr>
          <w:p w14:paraId="1A837704">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2986F9D0">
            <w:pPr>
              <w:spacing w:before="62" w:beforeLines="20" w:line="240" w:lineRule="exact"/>
              <w:ind w:right="840"/>
              <w:rPr>
                <w:rFonts w:eastAsia="宋体" w:cs="Arial"/>
                <w:sz w:val="18"/>
                <w:szCs w:val="18"/>
              </w:rPr>
            </w:pPr>
            <w:r>
              <w:rPr>
                <w:rFonts w:eastAsia="宋体" w:cs="Arial"/>
                <w:sz w:val="18"/>
                <w:szCs w:val="18"/>
              </w:rPr>
              <w:t>614-487-1273x16</w:t>
            </w:r>
          </w:p>
          <w:p w14:paraId="6812CCAB">
            <w:pPr>
              <w:spacing w:before="62" w:beforeLines="20" w:line="240" w:lineRule="exact"/>
              <w:ind w:right="840"/>
              <w:rPr>
                <w:rFonts w:eastAsia="宋体" w:cs="Arial"/>
                <w:sz w:val="18"/>
                <w:szCs w:val="18"/>
              </w:rPr>
            </w:pPr>
            <w:r>
              <w:rPr>
                <w:rFonts w:eastAsia="宋体" w:cs="Arial"/>
                <w:sz w:val="18"/>
                <w:szCs w:val="18"/>
              </w:rPr>
              <w:t>614-487-9658</w:t>
            </w:r>
          </w:p>
        </w:tc>
      </w:tr>
      <w:tr w14:paraId="0184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274272E">
            <w:pPr>
              <w:spacing w:before="62" w:beforeLines="20" w:line="240" w:lineRule="exact"/>
              <w:ind w:right="840"/>
              <w:rPr>
                <w:rFonts w:eastAsia="宋体" w:cs="Arial"/>
                <w:sz w:val="18"/>
                <w:szCs w:val="18"/>
              </w:rPr>
            </w:pPr>
            <w:r>
              <w:rPr>
                <w:rFonts w:eastAsia="宋体" w:cs="Arial"/>
                <w:sz w:val="18"/>
                <w:szCs w:val="18"/>
              </w:rPr>
              <w:t>辛辛那提管理区</w:t>
            </w:r>
          </w:p>
        </w:tc>
        <w:tc>
          <w:tcPr>
            <w:tcW w:w="3260" w:type="dxa"/>
          </w:tcPr>
          <w:p w14:paraId="0CEA6366">
            <w:pPr>
              <w:spacing w:before="62" w:beforeLines="20" w:line="240" w:lineRule="exact"/>
              <w:ind w:right="840"/>
              <w:rPr>
                <w:rFonts w:eastAsia="宋体" w:cs="Arial"/>
                <w:sz w:val="18"/>
                <w:szCs w:val="18"/>
              </w:rPr>
            </w:pPr>
            <w:r>
              <w:rPr>
                <w:rFonts w:eastAsia="宋体" w:cs="Arial"/>
                <w:sz w:val="18"/>
                <w:szCs w:val="18"/>
              </w:rPr>
              <w:t>Terry R. Bolen</w:t>
            </w:r>
          </w:p>
          <w:p w14:paraId="7ED626D9">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35B1EF59">
            <w:pPr>
              <w:spacing w:before="62" w:beforeLines="20" w:line="240" w:lineRule="exact"/>
              <w:ind w:right="840"/>
              <w:rPr>
                <w:rFonts w:eastAsia="宋体" w:cs="Arial"/>
                <w:sz w:val="18"/>
                <w:szCs w:val="18"/>
              </w:rPr>
            </w:pPr>
            <w:r>
              <w:rPr>
                <w:rFonts w:eastAsia="宋体" w:cs="Arial"/>
                <w:sz w:val="18"/>
                <w:szCs w:val="18"/>
              </w:rPr>
              <w:t>513-679-2700x138</w:t>
            </w:r>
          </w:p>
          <w:p w14:paraId="333FDD3E">
            <w:pPr>
              <w:spacing w:before="62" w:beforeLines="20" w:line="240" w:lineRule="exact"/>
              <w:ind w:right="840"/>
              <w:rPr>
                <w:rFonts w:eastAsia="宋体" w:cs="Arial"/>
                <w:sz w:val="18"/>
                <w:szCs w:val="18"/>
              </w:rPr>
            </w:pPr>
            <w:r>
              <w:rPr>
                <w:rFonts w:eastAsia="宋体" w:cs="Arial"/>
                <w:sz w:val="18"/>
                <w:szCs w:val="18"/>
              </w:rPr>
              <w:t>614-487-1273x16</w:t>
            </w:r>
          </w:p>
        </w:tc>
      </w:tr>
      <w:tr w14:paraId="093A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2928EB2">
            <w:pPr>
              <w:spacing w:before="62" w:beforeLines="20" w:line="240" w:lineRule="exact"/>
              <w:ind w:right="840"/>
              <w:rPr>
                <w:rFonts w:eastAsia="宋体" w:cs="Arial"/>
                <w:sz w:val="18"/>
                <w:szCs w:val="18"/>
              </w:rPr>
            </w:pPr>
            <w:r>
              <w:rPr>
                <w:rFonts w:eastAsia="宋体" w:cs="Arial"/>
                <w:sz w:val="18"/>
                <w:szCs w:val="18"/>
              </w:rPr>
              <w:t>新泽西管理区</w:t>
            </w:r>
          </w:p>
        </w:tc>
        <w:tc>
          <w:tcPr>
            <w:tcW w:w="3260" w:type="dxa"/>
          </w:tcPr>
          <w:p w14:paraId="7D412C48">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25E9BF68">
            <w:pPr>
              <w:spacing w:before="62" w:beforeLines="20" w:line="240" w:lineRule="exact"/>
              <w:ind w:right="840"/>
              <w:rPr>
                <w:rFonts w:eastAsia="宋体" w:cs="Arial"/>
                <w:sz w:val="18"/>
                <w:szCs w:val="18"/>
              </w:rPr>
            </w:pPr>
            <w:r>
              <w:rPr>
                <w:rFonts w:eastAsia="宋体" w:cs="Arial"/>
                <w:sz w:val="18"/>
                <w:szCs w:val="18"/>
              </w:rPr>
              <w:t>614-487-1273x16</w:t>
            </w:r>
          </w:p>
          <w:p w14:paraId="2642ABC4">
            <w:pPr>
              <w:spacing w:before="62" w:beforeLines="20" w:line="240" w:lineRule="exact"/>
              <w:ind w:right="840"/>
              <w:rPr>
                <w:rFonts w:eastAsia="宋体" w:cs="Arial"/>
                <w:sz w:val="18"/>
                <w:szCs w:val="18"/>
              </w:rPr>
            </w:pPr>
            <w:r>
              <w:rPr>
                <w:rFonts w:eastAsia="宋体" w:cs="Arial"/>
                <w:sz w:val="18"/>
                <w:szCs w:val="18"/>
              </w:rPr>
              <w:t>614-487-9658</w:t>
            </w:r>
          </w:p>
        </w:tc>
      </w:tr>
      <w:tr w14:paraId="3F57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2638198">
            <w:pPr>
              <w:spacing w:before="62" w:beforeLines="20" w:line="240" w:lineRule="exact"/>
              <w:ind w:right="840"/>
              <w:rPr>
                <w:rFonts w:eastAsia="宋体" w:cs="Arial"/>
                <w:sz w:val="18"/>
                <w:szCs w:val="18"/>
              </w:rPr>
            </w:pPr>
            <w:r>
              <w:rPr>
                <w:rFonts w:eastAsia="宋体" w:cs="Arial"/>
                <w:sz w:val="18"/>
                <w:szCs w:val="18"/>
              </w:rPr>
              <w:t>费城管理区</w:t>
            </w:r>
          </w:p>
        </w:tc>
        <w:tc>
          <w:tcPr>
            <w:tcW w:w="3260" w:type="dxa"/>
          </w:tcPr>
          <w:p w14:paraId="209A305A">
            <w:pPr>
              <w:spacing w:before="62" w:beforeLines="20" w:line="240" w:lineRule="exact"/>
              <w:ind w:right="840"/>
              <w:rPr>
                <w:rFonts w:eastAsia="宋体" w:cs="Arial"/>
                <w:sz w:val="18"/>
                <w:szCs w:val="18"/>
              </w:rPr>
            </w:pPr>
            <w:r>
              <w:rPr>
                <w:rFonts w:eastAsia="宋体" w:cs="Arial"/>
                <w:sz w:val="18"/>
                <w:szCs w:val="18"/>
              </w:rPr>
              <w:t>Robert E. Davis</w:t>
            </w:r>
          </w:p>
        </w:tc>
        <w:tc>
          <w:tcPr>
            <w:tcW w:w="3260" w:type="dxa"/>
          </w:tcPr>
          <w:p w14:paraId="3F2F5942">
            <w:pPr>
              <w:spacing w:before="62" w:beforeLines="20" w:line="240" w:lineRule="exact"/>
              <w:ind w:right="840"/>
              <w:rPr>
                <w:rFonts w:eastAsia="宋体" w:cs="Arial"/>
                <w:sz w:val="18"/>
                <w:szCs w:val="18"/>
              </w:rPr>
            </w:pPr>
            <w:r>
              <w:rPr>
                <w:rFonts w:eastAsia="宋体" w:cs="Arial"/>
                <w:sz w:val="18"/>
                <w:szCs w:val="18"/>
              </w:rPr>
              <w:t>412-644-3394x13</w:t>
            </w:r>
          </w:p>
          <w:p w14:paraId="2958038F">
            <w:pPr>
              <w:spacing w:before="62" w:beforeLines="20" w:line="240" w:lineRule="exact"/>
              <w:ind w:right="840"/>
              <w:rPr>
                <w:rFonts w:eastAsia="宋体" w:cs="Arial"/>
                <w:sz w:val="18"/>
                <w:szCs w:val="18"/>
              </w:rPr>
            </w:pPr>
            <w:r>
              <w:rPr>
                <w:rFonts w:eastAsia="宋体" w:cs="Arial"/>
                <w:sz w:val="18"/>
                <w:szCs w:val="18"/>
              </w:rPr>
              <w:t>412-644-5496</w:t>
            </w:r>
          </w:p>
        </w:tc>
      </w:tr>
      <w:tr w14:paraId="1683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5772BB1">
            <w:pPr>
              <w:spacing w:before="62" w:beforeLines="20" w:line="240" w:lineRule="exact"/>
              <w:ind w:right="840"/>
              <w:rPr>
                <w:rFonts w:eastAsia="宋体" w:cs="Arial"/>
                <w:sz w:val="18"/>
                <w:szCs w:val="18"/>
              </w:rPr>
            </w:pPr>
            <w:r>
              <w:rPr>
                <w:rFonts w:eastAsia="宋体" w:cs="Arial"/>
                <w:sz w:val="18"/>
                <w:szCs w:val="18"/>
              </w:rPr>
              <w:t>亚特兰大管理区</w:t>
            </w:r>
          </w:p>
        </w:tc>
        <w:tc>
          <w:tcPr>
            <w:tcW w:w="3260" w:type="dxa"/>
          </w:tcPr>
          <w:p w14:paraId="740DF701">
            <w:pPr>
              <w:spacing w:before="62" w:beforeLines="20" w:line="240" w:lineRule="exact"/>
              <w:ind w:right="840"/>
              <w:rPr>
                <w:rFonts w:eastAsia="宋体" w:cs="Arial"/>
                <w:sz w:val="18"/>
                <w:szCs w:val="18"/>
              </w:rPr>
            </w:pPr>
            <w:r>
              <w:rPr>
                <w:rFonts w:eastAsia="宋体" w:cs="Arial"/>
                <w:sz w:val="18"/>
                <w:szCs w:val="18"/>
              </w:rPr>
              <w:t>Thomas D. Clarida</w:t>
            </w:r>
          </w:p>
        </w:tc>
        <w:tc>
          <w:tcPr>
            <w:tcW w:w="3260" w:type="dxa"/>
          </w:tcPr>
          <w:p w14:paraId="5E12F8D2">
            <w:pPr>
              <w:spacing w:before="62" w:beforeLines="20" w:line="240" w:lineRule="exact"/>
              <w:ind w:right="840"/>
              <w:rPr>
                <w:rFonts w:eastAsia="宋体" w:cs="Arial"/>
                <w:sz w:val="18"/>
                <w:szCs w:val="18"/>
              </w:rPr>
            </w:pPr>
            <w:r>
              <w:rPr>
                <w:rFonts w:eastAsia="宋体" w:cs="Arial"/>
                <w:sz w:val="18"/>
                <w:szCs w:val="18"/>
              </w:rPr>
              <w:t>704-344-6116</w:t>
            </w:r>
          </w:p>
          <w:p w14:paraId="4B87A265">
            <w:pPr>
              <w:spacing w:before="62" w:beforeLines="20" w:line="240" w:lineRule="exact"/>
              <w:ind w:right="840"/>
              <w:rPr>
                <w:rFonts w:eastAsia="宋体" w:cs="Arial"/>
                <w:sz w:val="18"/>
                <w:szCs w:val="18"/>
              </w:rPr>
            </w:pPr>
            <w:r>
              <w:rPr>
                <w:rFonts w:eastAsia="宋体" w:cs="Arial"/>
                <w:sz w:val="18"/>
                <w:szCs w:val="18"/>
              </w:rPr>
              <w:t>704-344-6402</w:t>
            </w:r>
          </w:p>
        </w:tc>
      </w:tr>
      <w:tr w14:paraId="0B7A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E93E1BC">
            <w:pPr>
              <w:spacing w:before="62" w:beforeLines="20" w:line="240" w:lineRule="exact"/>
              <w:ind w:right="840"/>
              <w:rPr>
                <w:rFonts w:eastAsia="宋体" w:cs="Arial"/>
                <w:sz w:val="18"/>
                <w:szCs w:val="18"/>
              </w:rPr>
            </w:pPr>
            <w:r>
              <w:rPr>
                <w:rFonts w:eastAsia="宋体" w:cs="Arial"/>
                <w:sz w:val="18"/>
                <w:szCs w:val="18"/>
              </w:rPr>
              <w:t>佛罗里达管理区</w:t>
            </w:r>
          </w:p>
        </w:tc>
        <w:tc>
          <w:tcPr>
            <w:tcW w:w="3260" w:type="dxa"/>
          </w:tcPr>
          <w:p w14:paraId="6106BDEA">
            <w:pPr>
              <w:spacing w:before="62" w:beforeLines="20" w:line="240" w:lineRule="exact"/>
              <w:ind w:right="840"/>
              <w:rPr>
                <w:rFonts w:eastAsia="宋体" w:cs="Arial"/>
                <w:sz w:val="18"/>
                <w:szCs w:val="18"/>
              </w:rPr>
            </w:pPr>
            <w:r>
              <w:rPr>
                <w:rFonts w:eastAsia="宋体" w:cs="Arial"/>
                <w:sz w:val="18"/>
                <w:szCs w:val="18"/>
              </w:rPr>
              <w:t>Janneth Caycedo</w:t>
            </w:r>
          </w:p>
        </w:tc>
        <w:tc>
          <w:tcPr>
            <w:tcW w:w="3260" w:type="dxa"/>
          </w:tcPr>
          <w:p w14:paraId="5CA98702">
            <w:pPr>
              <w:spacing w:before="62" w:beforeLines="20" w:line="240" w:lineRule="exact"/>
              <w:ind w:right="840"/>
              <w:rPr>
                <w:rFonts w:eastAsia="宋体" w:cs="Arial"/>
                <w:sz w:val="18"/>
                <w:szCs w:val="18"/>
              </w:rPr>
            </w:pPr>
            <w:r>
              <w:rPr>
                <w:rFonts w:eastAsia="宋体" w:cs="Arial"/>
                <w:sz w:val="18"/>
                <w:szCs w:val="18"/>
              </w:rPr>
              <w:t>561-338-5236x23</w:t>
            </w:r>
          </w:p>
          <w:p w14:paraId="4E2C755C">
            <w:pPr>
              <w:spacing w:before="62" w:beforeLines="20" w:line="240" w:lineRule="exact"/>
              <w:ind w:right="840"/>
              <w:rPr>
                <w:rFonts w:eastAsia="宋体" w:cs="Arial"/>
                <w:sz w:val="18"/>
                <w:szCs w:val="18"/>
              </w:rPr>
            </w:pPr>
            <w:r>
              <w:rPr>
                <w:rFonts w:eastAsia="宋体" w:cs="Arial"/>
                <w:sz w:val="18"/>
                <w:szCs w:val="18"/>
              </w:rPr>
              <w:t>407-367-8685</w:t>
            </w:r>
          </w:p>
        </w:tc>
      </w:tr>
      <w:tr w14:paraId="0CA2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78E110B">
            <w:pPr>
              <w:spacing w:before="62" w:beforeLines="20" w:line="240" w:lineRule="exact"/>
              <w:ind w:right="840"/>
              <w:rPr>
                <w:rFonts w:eastAsia="宋体" w:cs="Arial"/>
                <w:sz w:val="18"/>
                <w:szCs w:val="18"/>
              </w:rPr>
            </w:pPr>
            <w:r>
              <w:rPr>
                <w:rFonts w:eastAsia="宋体" w:cs="Arial"/>
                <w:sz w:val="18"/>
                <w:szCs w:val="18"/>
              </w:rPr>
              <w:t>新奥尔良管理区</w:t>
            </w:r>
          </w:p>
        </w:tc>
        <w:tc>
          <w:tcPr>
            <w:tcW w:w="3260" w:type="dxa"/>
          </w:tcPr>
          <w:p w14:paraId="748BAE0C">
            <w:pPr>
              <w:spacing w:before="62" w:beforeLines="20" w:line="240" w:lineRule="exact"/>
              <w:ind w:right="840"/>
              <w:rPr>
                <w:rFonts w:eastAsia="宋体" w:cs="Arial"/>
                <w:sz w:val="18"/>
                <w:szCs w:val="18"/>
              </w:rPr>
            </w:pPr>
            <w:r>
              <w:rPr>
                <w:rFonts w:eastAsia="宋体" w:cs="Arial"/>
                <w:sz w:val="18"/>
                <w:szCs w:val="18"/>
              </w:rPr>
              <w:t>Karen Smallwood</w:t>
            </w:r>
          </w:p>
          <w:p w14:paraId="2C9EEACC">
            <w:pPr>
              <w:spacing w:before="62" w:beforeLines="20" w:line="240" w:lineRule="exact"/>
              <w:ind w:right="840"/>
              <w:rPr>
                <w:rFonts w:eastAsia="宋体" w:cs="Arial"/>
                <w:sz w:val="18"/>
                <w:szCs w:val="18"/>
              </w:rPr>
            </w:pPr>
            <w:r>
              <w:rPr>
                <w:rFonts w:eastAsia="宋体" w:cs="Arial"/>
                <w:sz w:val="18"/>
                <w:szCs w:val="18"/>
              </w:rPr>
              <w:t>Carl Huffman</w:t>
            </w:r>
          </w:p>
        </w:tc>
        <w:tc>
          <w:tcPr>
            <w:tcW w:w="3260" w:type="dxa"/>
          </w:tcPr>
          <w:p w14:paraId="6FC8B565">
            <w:pPr>
              <w:spacing w:before="62" w:beforeLines="20" w:line="240" w:lineRule="exact"/>
              <w:ind w:right="840"/>
              <w:rPr>
                <w:rFonts w:eastAsia="宋体" w:cs="Arial"/>
                <w:sz w:val="18"/>
                <w:szCs w:val="18"/>
              </w:rPr>
            </w:pPr>
            <w:r>
              <w:rPr>
                <w:rFonts w:eastAsia="宋体" w:cs="Arial"/>
                <w:sz w:val="18"/>
                <w:szCs w:val="18"/>
              </w:rPr>
              <w:t>615-781-5380x144</w:t>
            </w:r>
          </w:p>
          <w:p w14:paraId="50FD9C1D">
            <w:pPr>
              <w:spacing w:before="62" w:beforeLines="20" w:line="240" w:lineRule="exact"/>
              <w:ind w:right="840"/>
              <w:rPr>
                <w:rFonts w:eastAsia="宋体" w:cs="Arial"/>
                <w:sz w:val="18"/>
                <w:szCs w:val="18"/>
              </w:rPr>
            </w:pPr>
            <w:r>
              <w:rPr>
                <w:rFonts w:eastAsia="宋体" w:cs="Arial"/>
                <w:sz w:val="18"/>
                <w:szCs w:val="18"/>
              </w:rPr>
              <w:t>615-781-5391</w:t>
            </w:r>
          </w:p>
        </w:tc>
      </w:tr>
      <w:tr w14:paraId="0D2C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D4F8E0D">
            <w:pPr>
              <w:spacing w:before="62" w:beforeLines="20" w:line="240" w:lineRule="exact"/>
              <w:ind w:right="840"/>
              <w:rPr>
                <w:rFonts w:eastAsia="宋体" w:cs="Arial"/>
                <w:sz w:val="18"/>
                <w:szCs w:val="18"/>
              </w:rPr>
            </w:pPr>
            <w:r>
              <w:rPr>
                <w:rFonts w:eastAsia="宋体" w:cs="Arial"/>
                <w:sz w:val="18"/>
                <w:szCs w:val="18"/>
              </w:rPr>
              <w:t>圣胡安管理区</w:t>
            </w:r>
          </w:p>
        </w:tc>
        <w:tc>
          <w:tcPr>
            <w:tcW w:w="3260" w:type="dxa"/>
          </w:tcPr>
          <w:p w14:paraId="0531DCCD">
            <w:pPr>
              <w:spacing w:before="62" w:beforeLines="20" w:line="240" w:lineRule="exact"/>
              <w:ind w:right="840"/>
              <w:rPr>
                <w:rFonts w:eastAsia="宋体" w:cs="Arial"/>
                <w:sz w:val="18"/>
                <w:szCs w:val="18"/>
              </w:rPr>
            </w:pPr>
            <w:r>
              <w:rPr>
                <w:rFonts w:eastAsia="宋体" w:cs="Arial"/>
                <w:sz w:val="18"/>
                <w:szCs w:val="18"/>
              </w:rPr>
              <w:t>Jorge Martinez*</w:t>
            </w:r>
          </w:p>
        </w:tc>
        <w:tc>
          <w:tcPr>
            <w:tcW w:w="3260" w:type="dxa"/>
          </w:tcPr>
          <w:p w14:paraId="393FB479">
            <w:pPr>
              <w:spacing w:before="62" w:beforeLines="20" w:line="240" w:lineRule="exact"/>
              <w:ind w:right="840"/>
              <w:rPr>
                <w:rFonts w:eastAsia="宋体" w:cs="Arial"/>
                <w:sz w:val="18"/>
                <w:szCs w:val="18"/>
              </w:rPr>
            </w:pPr>
            <w:r>
              <w:rPr>
                <w:rFonts w:eastAsia="宋体" w:cs="Arial"/>
                <w:sz w:val="18"/>
                <w:szCs w:val="18"/>
              </w:rPr>
              <w:t>787-474-9533</w:t>
            </w:r>
          </w:p>
          <w:p w14:paraId="29385502">
            <w:pPr>
              <w:spacing w:before="62" w:beforeLines="20" w:line="240" w:lineRule="exact"/>
              <w:ind w:right="840"/>
              <w:rPr>
                <w:rFonts w:eastAsia="宋体" w:cs="Arial"/>
                <w:sz w:val="18"/>
                <w:szCs w:val="18"/>
              </w:rPr>
            </w:pPr>
            <w:r>
              <w:rPr>
                <w:rFonts w:eastAsia="宋体" w:cs="Arial"/>
                <w:sz w:val="18"/>
                <w:szCs w:val="18"/>
              </w:rPr>
              <w:t>787-729-6747</w:t>
            </w:r>
          </w:p>
        </w:tc>
      </w:tr>
      <w:tr w14:paraId="7318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0F8221B">
            <w:pPr>
              <w:spacing w:before="62" w:beforeLines="20" w:line="240" w:lineRule="exact"/>
              <w:ind w:right="840"/>
              <w:rPr>
                <w:rFonts w:eastAsia="宋体" w:cs="Arial"/>
                <w:sz w:val="18"/>
                <w:szCs w:val="18"/>
              </w:rPr>
            </w:pPr>
            <w:r>
              <w:rPr>
                <w:rFonts w:eastAsia="宋体" w:cs="Arial"/>
                <w:sz w:val="18"/>
                <w:szCs w:val="18"/>
              </w:rPr>
              <w:t>芝加哥管理区</w:t>
            </w:r>
          </w:p>
        </w:tc>
        <w:tc>
          <w:tcPr>
            <w:tcW w:w="3260" w:type="dxa"/>
          </w:tcPr>
          <w:p w14:paraId="252FAF5C">
            <w:pPr>
              <w:spacing w:before="62" w:beforeLines="20" w:line="240" w:lineRule="exact"/>
              <w:ind w:right="840"/>
              <w:rPr>
                <w:rFonts w:eastAsia="宋体" w:cs="Arial"/>
                <w:sz w:val="18"/>
                <w:szCs w:val="18"/>
              </w:rPr>
            </w:pPr>
            <w:r>
              <w:rPr>
                <w:rFonts w:eastAsia="宋体" w:cs="Arial"/>
                <w:sz w:val="18"/>
                <w:szCs w:val="18"/>
              </w:rPr>
              <w:t>Dennis E. Swartz*</w:t>
            </w:r>
          </w:p>
        </w:tc>
        <w:tc>
          <w:tcPr>
            <w:tcW w:w="3260" w:type="dxa"/>
          </w:tcPr>
          <w:p w14:paraId="4405D2FD">
            <w:pPr>
              <w:spacing w:before="62" w:beforeLines="20" w:line="240" w:lineRule="exact"/>
              <w:ind w:right="840"/>
              <w:rPr>
                <w:rFonts w:eastAsia="宋体" w:cs="Arial"/>
                <w:sz w:val="18"/>
                <w:szCs w:val="18"/>
              </w:rPr>
            </w:pPr>
            <w:r>
              <w:rPr>
                <w:rFonts w:eastAsia="宋体" w:cs="Arial"/>
                <w:sz w:val="18"/>
                <w:szCs w:val="18"/>
              </w:rPr>
              <w:t>313-393-8156</w:t>
            </w:r>
          </w:p>
          <w:p w14:paraId="7D168B2B">
            <w:pPr>
              <w:spacing w:before="62" w:beforeLines="20" w:line="240" w:lineRule="exact"/>
              <w:ind w:right="840"/>
              <w:rPr>
                <w:rFonts w:eastAsia="宋体" w:cs="Arial"/>
                <w:sz w:val="18"/>
                <w:szCs w:val="18"/>
              </w:rPr>
            </w:pPr>
            <w:r>
              <w:rPr>
                <w:rFonts w:eastAsia="宋体" w:cs="Arial"/>
                <w:sz w:val="18"/>
                <w:szCs w:val="18"/>
              </w:rPr>
              <w:t>313-393-8139</w:t>
            </w:r>
          </w:p>
        </w:tc>
      </w:tr>
      <w:tr w14:paraId="6F1E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A92F3E4">
            <w:pPr>
              <w:spacing w:before="62" w:beforeLines="20" w:line="240" w:lineRule="exact"/>
              <w:ind w:right="840"/>
              <w:rPr>
                <w:rFonts w:eastAsia="宋体" w:cs="Arial"/>
                <w:sz w:val="18"/>
                <w:szCs w:val="18"/>
              </w:rPr>
            </w:pPr>
            <w:r>
              <w:rPr>
                <w:rFonts w:eastAsia="宋体" w:cs="Arial"/>
                <w:sz w:val="18"/>
                <w:szCs w:val="18"/>
              </w:rPr>
              <w:t>底特律管理区</w:t>
            </w:r>
          </w:p>
        </w:tc>
        <w:tc>
          <w:tcPr>
            <w:tcW w:w="3260" w:type="dxa"/>
          </w:tcPr>
          <w:p w14:paraId="414189E5">
            <w:pPr>
              <w:spacing w:before="62" w:beforeLines="20" w:line="240" w:lineRule="exact"/>
              <w:ind w:right="840"/>
              <w:rPr>
                <w:rFonts w:eastAsia="宋体" w:cs="Arial"/>
                <w:sz w:val="18"/>
                <w:szCs w:val="18"/>
              </w:rPr>
            </w:pPr>
            <w:r>
              <w:rPr>
                <w:rFonts w:eastAsia="宋体" w:cs="Arial"/>
                <w:sz w:val="18"/>
                <w:szCs w:val="18"/>
              </w:rPr>
              <w:t>Dennis E. Swartz</w:t>
            </w:r>
          </w:p>
        </w:tc>
        <w:tc>
          <w:tcPr>
            <w:tcW w:w="3260" w:type="dxa"/>
          </w:tcPr>
          <w:p w14:paraId="34E4991F">
            <w:pPr>
              <w:spacing w:before="62" w:beforeLines="20" w:line="240" w:lineRule="exact"/>
              <w:ind w:right="840"/>
              <w:rPr>
                <w:rFonts w:eastAsia="宋体" w:cs="Arial"/>
                <w:sz w:val="18"/>
                <w:szCs w:val="18"/>
              </w:rPr>
            </w:pPr>
            <w:r>
              <w:rPr>
                <w:rFonts w:eastAsia="宋体" w:cs="Arial"/>
                <w:sz w:val="18"/>
                <w:szCs w:val="18"/>
              </w:rPr>
              <w:t>313-393-8156</w:t>
            </w:r>
          </w:p>
          <w:p w14:paraId="64F061B2">
            <w:pPr>
              <w:spacing w:before="62" w:beforeLines="20" w:line="240" w:lineRule="exact"/>
              <w:ind w:right="840"/>
              <w:rPr>
                <w:rFonts w:eastAsia="宋体" w:cs="Arial"/>
                <w:sz w:val="18"/>
                <w:szCs w:val="18"/>
              </w:rPr>
            </w:pPr>
            <w:r>
              <w:rPr>
                <w:rFonts w:eastAsia="宋体" w:cs="Arial"/>
                <w:sz w:val="18"/>
                <w:szCs w:val="18"/>
              </w:rPr>
              <w:t>313-393-8139</w:t>
            </w:r>
          </w:p>
        </w:tc>
      </w:tr>
      <w:tr w14:paraId="301C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E4E84C9">
            <w:pPr>
              <w:spacing w:before="62" w:beforeLines="20" w:line="240" w:lineRule="exact"/>
              <w:ind w:right="840"/>
              <w:rPr>
                <w:rFonts w:eastAsia="宋体" w:cs="Arial"/>
                <w:sz w:val="18"/>
                <w:szCs w:val="18"/>
              </w:rPr>
            </w:pPr>
            <w:r>
              <w:rPr>
                <w:rFonts w:eastAsia="宋体" w:cs="Arial"/>
                <w:sz w:val="18"/>
                <w:szCs w:val="18"/>
              </w:rPr>
              <w:t>明尼阿波利斯管理区</w:t>
            </w:r>
          </w:p>
        </w:tc>
        <w:tc>
          <w:tcPr>
            <w:tcW w:w="3260" w:type="dxa"/>
          </w:tcPr>
          <w:p w14:paraId="71DCCA79">
            <w:pPr>
              <w:spacing w:before="62" w:beforeLines="20" w:line="240" w:lineRule="exact"/>
              <w:ind w:right="840"/>
              <w:rPr>
                <w:rFonts w:eastAsia="宋体" w:cs="Arial"/>
                <w:sz w:val="18"/>
                <w:szCs w:val="18"/>
              </w:rPr>
            </w:pPr>
            <w:r>
              <w:rPr>
                <w:rFonts w:eastAsia="宋体" w:cs="Arial"/>
                <w:sz w:val="18"/>
                <w:szCs w:val="18"/>
              </w:rPr>
              <w:t>Thomas W. Garvin</w:t>
            </w:r>
          </w:p>
        </w:tc>
        <w:tc>
          <w:tcPr>
            <w:tcW w:w="3260" w:type="dxa"/>
          </w:tcPr>
          <w:p w14:paraId="39DCD566">
            <w:pPr>
              <w:spacing w:before="62" w:beforeLines="20" w:line="240" w:lineRule="exact"/>
              <w:ind w:right="840"/>
              <w:rPr>
                <w:rFonts w:eastAsia="宋体" w:cs="Arial"/>
                <w:sz w:val="18"/>
                <w:szCs w:val="18"/>
              </w:rPr>
            </w:pPr>
            <w:r>
              <w:rPr>
                <w:rFonts w:eastAsia="宋体" w:cs="Arial"/>
                <w:sz w:val="18"/>
                <w:szCs w:val="18"/>
              </w:rPr>
              <w:t>414-771-7167x12</w:t>
            </w:r>
          </w:p>
          <w:p w14:paraId="13092743">
            <w:pPr>
              <w:spacing w:before="62" w:beforeLines="20" w:line="240" w:lineRule="exact"/>
              <w:ind w:right="840"/>
              <w:rPr>
                <w:rFonts w:eastAsia="宋体" w:cs="Arial"/>
                <w:sz w:val="18"/>
                <w:szCs w:val="18"/>
              </w:rPr>
            </w:pPr>
            <w:r>
              <w:rPr>
                <w:rFonts w:eastAsia="宋体" w:cs="Arial"/>
                <w:sz w:val="18"/>
                <w:szCs w:val="18"/>
              </w:rPr>
              <w:t>414-771-7512</w:t>
            </w:r>
          </w:p>
        </w:tc>
      </w:tr>
      <w:tr w14:paraId="0A68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34E0007">
            <w:pPr>
              <w:spacing w:before="62" w:beforeLines="20" w:line="240" w:lineRule="exact"/>
              <w:ind w:right="840"/>
              <w:rPr>
                <w:rFonts w:eastAsia="宋体" w:cs="Arial"/>
                <w:sz w:val="18"/>
                <w:szCs w:val="18"/>
              </w:rPr>
            </w:pPr>
            <w:r>
              <w:rPr>
                <w:rFonts w:eastAsia="宋体" w:cs="Arial"/>
                <w:sz w:val="18"/>
                <w:szCs w:val="18"/>
              </w:rPr>
              <w:t>达拉斯管理区</w:t>
            </w:r>
          </w:p>
        </w:tc>
        <w:tc>
          <w:tcPr>
            <w:tcW w:w="3260" w:type="dxa"/>
          </w:tcPr>
          <w:p w14:paraId="494282B2">
            <w:pPr>
              <w:spacing w:before="62" w:beforeLines="20" w:line="240" w:lineRule="exact"/>
              <w:ind w:right="840"/>
              <w:rPr>
                <w:rFonts w:eastAsia="宋体" w:cs="Arial"/>
                <w:sz w:val="18"/>
                <w:szCs w:val="18"/>
              </w:rPr>
            </w:pPr>
            <w:r>
              <w:rPr>
                <w:rFonts w:eastAsia="宋体" w:cs="Arial"/>
                <w:sz w:val="18"/>
                <w:szCs w:val="18"/>
              </w:rPr>
              <w:t>John D. Mays</w:t>
            </w:r>
          </w:p>
          <w:p w14:paraId="3355B5D7">
            <w:pPr>
              <w:spacing w:before="62" w:beforeLines="20" w:line="240" w:lineRule="exact"/>
              <w:ind w:right="840"/>
              <w:rPr>
                <w:rFonts w:eastAsia="宋体" w:cs="Arial"/>
                <w:sz w:val="18"/>
                <w:szCs w:val="18"/>
              </w:rPr>
            </w:pPr>
            <w:r>
              <w:rPr>
                <w:rFonts w:eastAsia="宋体" w:cs="Arial"/>
                <w:sz w:val="18"/>
                <w:szCs w:val="18"/>
              </w:rPr>
              <w:t>Deborah McGee</w:t>
            </w:r>
          </w:p>
          <w:p w14:paraId="6A47AE76">
            <w:pPr>
              <w:spacing w:before="62" w:beforeLines="20" w:line="240" w:lineRule="exact"/>
              <w:ind w:right="840"/>
              <w:rPr>
                <w:rFonts w:eastAsia="宋体" w:cs="Arial"/>
                <w:sz w:val="18"/>
                <w:szCs w:val="18"/>
              </w:rPr>
            </w:pPr>
            <w:r>
              <w:rPr>
                <w:rFonts w:eastAsia="宋体" w:cs="Arial"/>
                <w:sz w:val="18"/>
                <w:szCs w:val="18"/>
              </w:rPr>
              <w:t>Scotty L. Hargrave</w:t>
            </w:r>
          </w:p>
        </w:tc>
        <w:tc>
          <w:tcPr>
            <w:tcW w:w="3260" w:type="dxa"/>
          </w:tcPr>
          <w:p w14:paraId="3AC11294">
            <w:pPr>
              <w:spacing w:before="62" w:beforeLines="20" w:line="240" w:lineRule="exact"/>
              <w:ind w:right="840"/>
              <w:rPr>
                <w:rFonts w:eastAsia="宋体" w:cs="Arial"/>
                <w:sz w:val="18"/>
                <w:szCs w:val="18"/>
              </w:rPr>
            </w:pPr>
            <w:r>
              <w:rPr>
                <w:rFonts w:eastAsia="宋体" w:cs="Arial"/>
                <w:sz w:val="18"/>
                <w:szCs w:val="18"/>
              </w:rPr>
              <w:t>214 253-4935</w:t>
            </w:r>
          </w:p>
          <w:p w14:paraId="3609B07C">
            <w:pPr>
              <w:spacing w:before="62" w:beforeLines="20" w:line="240" w:lineRule="exact"/>
              <w:ind w:right="840"/>
              <w:rPr>
                <w:rFonts w:eastAsia="宋体" w:cs="Arial"/>
                <w:sz w:val="18"/>
                <w:szCs w:val="18"/>
              </w:rPr>
            </w:pPr>
            <w:r>
              <w:rPr>
                <w:rFonts w:eastAsia="宋体" w:cs="Arial"/>
                <w:sz w:val="18"/>
                <w:szCs w:val="18"/>
              </w:rPr>
              <w:t>214 253-4935</w:t>
            </w:r>
          </w:p>
          <w:p w14:paraId="62E36AB7">
            <w:pPr>
              <w:spacing w:before="62" w:beforeLines="20" w:line="240" w:lineRule="exact"/>
              <w:ind w:right="840"/>
              <w:rPr>
                <w:rFonts w:eastAsia="宋体" w:cs="Arial"/>
                <w:sz w:val="18"/>
                <w:szCs w:val="18"/>
              </w:rPr>
            </w:pPr>
            <w:r>
              <w:rPr>
                <w:rFonts w:eastAsia="宋体" w:cs="Arial"/>
                <w:sz w:val="18"/>
                <w:szCs w:val="18"/>
              </w:rPr>
              <w:t>214 253-4935</w:t>
            </w:r>
          </w:p>
        </w:tc>
      </w:tr>
      <w:tr w14:paraId="3989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5D17C7C">
            <w:pPr>
              <w:spacing w:before="62" w:beforeLines="20" w:line="240" w:lineRule="exact"/>
              <w:ind w:right="840"/>
              <w:rPr>
                <w:rFonts w:eastAsia="宋体" w:cs="Arial"/>
                <w:sz w:val="18"/>
                <w:szCs w:val="18"/>
              </w:rPr>
            </w:pPr>
            <w:r>
              <w:rPr>
                <w:rFonts w:eastAsia="宋体" w:cs="Arial"/>
                <w:sz w:val="18"/>
                <w:szCs w:val="18"/>
              </w:rPr>
              <w:t>堪萨斯城管理区</w:t>
            </w:r>
          </w:p>
        </w:tc>
        <w:tc>
          <w:tcPr>
            <w:tcW w:w="3260" w:type="dxa"/>
          </w:tcPr>
          <w:p w14:paraId="2A3EFD40">
            <w:pPr>
              <w:spacing w:before="62" w:beforeLines="20" w:line="240" w:lineRule="exact"/>
              <w:ind w:right="840"/>
              <w:rPr>
                <w:rFonts w:eastAsia="宋体" w:cs="Arial"/>
                <w:sz w:val="18"/>
                <w:szCs w:val="18"/>
              </w:rPr>
            </w:pPr>
            <w:r>
              <w:rPr>
                <w:rFonts w:eastAsia="宋体" w:cs="Arial"/>
                <w:sz w:val="18"/>
                <w:szCs w:val="18"/>
              </w:rPr>
              <w:t>Reggie Cope</w:t>
            </w:r>
          </w:p>
        </w:tc>
        <w:tc>
          <w:tcPr>
            <w:tcW w:w="3260" w:type="dxa"/>
          </w:tcPr>
          <w:p w14:paraId="647152CB">
            <w:pPr>
              <w:spacing w:before="62" w:beforeLines="20" w:line="240" w:lineRule="exact"/>
              <w:ind w:right="840"/>
              <w:rPr>
                <w:rFonts w:eastAsia="宋体" w:cs="Arial"/>
                <w:sz w:val="18"/>
                <w:szCs w:val="18"/>
              </w:rPr>
            </w:pPr>
            <w:r>
              <w:rPr>
                <w:rFonts w:eastAsia="宋体" w:cs="Arial"/>
                <w:sz w:val="18"/>
                <w:szCs w:val="18"/>
              </w:rPr>
              <w:t>913-752-2403</w:t>
            </w:r>
          </w:p>
          <w:p w14:paraId="77E9DC72">
            <w:pPr>
              <w:spacing w:before="62" w:beforeLines="20" w:line="240" w:lineRule="exact"/>
              <w:ind w:right="840"/>
              <w:rPr>
                <w:rFonts w:eastAsia="宋体" w:cs="Arial"/>
                <w:sz w:val="18"/>
                <w:szCs w:val="18"/>
              </w:rPr>
            </w:pPr>
            <w:r>
              <w:rPr>
                <w:rFonts w:eastAsia="宋体" w:cs="Arial"/>
                <w:sz w:val="18"/>
                <w:szCs w:val="18"/>
              </w:rPr>
              <w:t>913-752-2413</w:t>
            </w:r>
          </w:p>
        </w:tc>
      </w:tr>
      <w:tr w14:paraId="2778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FA934A0">
            <w:pPr>
              <w:spacing w:before="62" w:beforeLines="20" w:line="240" w:lineRule="exact"/>
              <w:ind w:right="840"/>
              <w:rPr>
                <w:rFonts w:eastAsia="宋体" w:cs="Arial"/>
                <w:sz w:val="18"/>
                <w:szCs w:val="18"/>
              </w:rPr>
            </w:pPr>
            <w:r>
              <w:rPr>
                <w:rFonts w:eastAsia="宋体" w:cs="Arial"/>
                <w:sz w:val="18"/>
                <w:szCs w:val="18"/>
              </w:rPr>
              <w:t>丹佛管理区</w:t>
            </w:r>
          </w:p>
        </w:tc>
        <w:tc>
          <w:tcPr>
            <w:tcW w:w="3260" w:type="dxa"/>
          </w:tcPr>
          <w:p w14:paraId="4469CFE2">
            <w:pPr>
              <w:spacing w:before="62" w:beforeLines="20" w:line="240" w:lineRule="exact"/>
              <w:ind w:right="840"/>
              <w:rPr>
                <w:rFonts w:eastAsia="宋体" w:cs="Arial"/>
                <w:sz w:val="18"/>
                <w:szCs w:val="18"/>
              </w:rPr>
            </w:pPr>
            <w:r>
              <w:rPr>
                <w:rFonts w:eastAsia="宋体" w:cs="Arial"/>
                <w:sz w:val="18"/>
                <w:szCs w:val="18"/>
              </w:rPr>
              <w:t>Robert G. Antonsen</w:t>
            </w:r>
          </w:p>
        </w:tc>
        <w:tc>
          <w:tcPr>
            <w:tcW w:w="3260" w:type="dxa"/>
          </w:tcPr>
          <w:p w14:paraId="78B51E3B">
            <w:pPr>
              <w:spacing w:before="62" w:beforeLines="20" w:line="240" w:lineRule="exact"/>
              <w:ind w:right="840"/>
              <w:rPr>
                <w:rFonts w:eastAsia="宋体" w:cs="Arial"/>
                <w:sz w:val="18"/>
                <w:szCs w:val="18"/>
              </w:rPr>
            </w:pPr>
            <w:r>
              <w:rPr>
                <w:rFonts w:eastAsia="宋体" w:cs="Arial"/>
                <w:sz w:val="18"/>
                <w:szCs w:val="18"/>
              </w:rPr>
              <w:t>303-236-3025</w:t>
            </w:r>
          </w:p>
          <w:p w14:paraId="69649BA0">
            <w:pPr>
              <w:spacing w:before="62" w:beforeLines="20" w:line="240" w:lineRule="exact"/>
              <w:ind w:right="840"/>
              <w:rPr>
                <w:rFonts w:eastAsia="宋体" w:cs="Arial"/>
                <w:sz w:val="18"/>
                <w:szCs w:val="18"/>
              </w:rPr>
            </w:pPr>
            <w:r>
              <w:rPr>
                <w:rFonts w:eastAsia="宋体" w:cs="Arial"/>
                <w:sz w:val="18"/>
                <w:szCs w:val="18"/>
              </w:rPr>
              <w:t>303-236-3551</w:t>
            </w:r>
          </w:p>
        </w:tc>
      </w:tr>
      <w:tr w14:paraId="0CE7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9ED1831">
            <w:pPr>
              <w:spacing w:before="62" w:beforeLines="20" w:line="240" w:lineRule="exact"/>
              <w:ind w:right="840"/>
              <w:rPr>
                <w:rFonts w:eastAsia="宋体" w:cs="Arial"/>
                <w:sz w:val="18"/>
                <w:szCs w:val="18"/>
              </w:rPr>
            </w:pPr>
            <w:r>
              <w:rPr>
                <w:rFonts w:eastAsia="宋体" w:cs="Arial"/>
                <w:sz w:val="18"/>
                <w:szCs w:val="18"/>
              </w:rPr>
              <w:t>洛杉矶管理区</w:t>
            </w:r>
          </w:p>
        </w:tc>
        <w:tc>
          <w:tcPr>
            <w:tcW w:w="3260" w:type="dxa"/>
          </w:tcPr>
          <w:p w14:paraId="7894215B">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3C6BA5E4">
            <w:pPr>
              <w:spacing w:before="62" w:beforeLines="20" w:line="240" w:lineRule="exact"/>
              <w:ind w:right="840"/>
              <w:rPr>
                <w:rFonts w:eastAsia="宋体" w:cs="Arial"/>
                <w:sz w:val="18"/>
                <w:szCs w:val="18"/>
              </w:rPr>
            </w:pPr>
            <w:r>
              <w:rPr>
                <w:rFonts w:eastAsia="宋体" w:cs="Arial"/>
                <w:sz w:val="18"/>
                <w:szCs w:val="18"/>
              </w:rPr>
              <w:t>208-334-1054</w:t>
            </w:r>
          </w:p>
          <w:p w14:paraId="72545442">
            <w:pPr>
              <w:spacing w:before="62" w:beforeLines="20" w:line="240" w:lineRule="exact"/>
              <w:ind w:right="840"/>
              <w:rPr>
                <w:rFonts w:eastAsia="宋体" w:cs="Arial"/>
                <w:sz w:val="18"/>
                <w:szCs w:val="18"/>
              </w:rPr>
            </w:pPr>
            <w:r>
              <w:rPr>
                <w:rFonts w:eastAsia="宋体" w:cs="Arial"/>
                <w:sz w:val="18"/>
                <w:szCs w:val="18"/>
              </w:rPr>
              <w:t>208-334-1053</w:t>
            </w:r>
          </w:p>
        </w:tc>
      </w:tr>
      <w:tr w14:paraId="401C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144EEBAC">
            <w:pPr>
              <w:spacing w:before="62" w:beforeLines="20" w:line="240" w:lineRule="exact"/>
              <w:ind w:right="840"/>
              <w:rPr>
                <w:rFonts w:eastAsia="宋体" w:cs="Arial"/>
                <w:sz w:val="18"/>
                <w:szCs w:val="18"/>
              </w:rPr>
            </w:pPr>
            <w:r>
              <w:rPr>
                <w:rFonts w:eastAsia="宋体" w:cs="Arial"/>
                <w:sz w:val="18"/>
                <w:szCs w:val="18"/>
              </w:rPr>
              <w:t>旧金山管理区</w:t>
            </w:r>
          </w:p>
        </w:tc>
        <w:tc>
          <w:tcPr>
            <w:tcW w:w="3260" w:type="dxa"/>
          </w:tcPr>
          <w:p w14:paraId="49626596">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2668632D">
            <w:pPr>
              <w:spacing w:before="62" w:beforeLines="20" w:line="240" w:lineRule="exact"/>
              <w:ind w:right="840"/>
              <w:rPr>
                <w:rFonts w:eastAsia="宋体" w:cs="Arial"/>
                <w:sz w:val="18"/>
                <w:szCs w:val="18"/>
              </w:rPr>
            </w:pPr>
            <w:r>
              <w:rPr>
                <w:rFonts w:eastAsia="宋体" w:cs="Arial"/>
                <w:sz w:val="18"/>
                <w:szCs w:val="18"/>
              </w:rPr>
              <w:t>208-334-1054</w:t>
            </w:r>
          </w:p>
          <w:p w14:paraId="3AF919B3">
            <w:pPr>
              <w:spacing w:before="62" w:beforeLines="20" w:line="240" w:lineRule="exact"/>
              <w:ind w:right="840"/>
              <w:rPr>
                <w:rFonts w:eastAsia="宋体" w:cs="Arial"/>
                <w:sz w:val="18"/>
                <w:szCs w:val="18"/>
              </w:rPr>
            </w:pPr>
            <w:r>
              <w:rPr>
                <w:rFonts w:eastAsia="宋体" w:cs="Arial"/>
                <w:sz w:val="18"/>
                <w:szCs w:val="18"/>
              </w:rPr>
              <w:t>208-334-1053</w:t>
            </w:r>
          </w:p>
        </w:tc>
      </w:tr>
      <w:tr w14:paraId="667B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AA5344C">
            <w:pPr>
              <w:spacing w:before="62" w:beforeLines="20" w:line="240" w:lineRule="exact"/>
              <w:ind w:right="840"/>
              <w:rPr>
                <w:rFonts w:eastAsia="宋体" w:cs="Arial"/>
                <w:sz w:val="18"/>
                <w:szCs w:val="18"/>
              </w:rPr>
            </w:pPr>
            <w:r>
              <w:rPr>
                <w:rFonts w:eastAsia="宋体" w:cs="Arial"/>
                <w:sz w:val="18"/>
                <w:szCs w:val="18"/>
              </w:rPr>
              <w:t>西雅图管理区</w:t>
            </w:r>
          </w:p>
        </w:tc>
        <w:tc>
          <w:tcPr>
            <w:tcW w:w="3260" w:type="dxa"/>
          </w:tcPr>
          <w:p w14:paraId="2609A1A1">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2B8F3234">
            <w:pPr>
              <w:spacing w:before="62" w:beforeLines="20" w:line="240" w:lineRule="exact"/>
              <w:ind w:right="840"/>
              <w:rPr>
                <w:rFonts w:eastAsia="宋体" w:cs="Arial"/>
                <w:sz w:val="18"/>
                <w:szCs w:val="18"/>
              </w:rPr>
            </w:pPr>
            <w:r>
              <w:rPr>
                <w:rFonts w:eastAsia="宋体" w:cs="Arial"/>
                <w:sz w:val="18"/>
                <w:szCs w:val="18"/>
              </w:rPr>
              <w:t>208-334-1054</w:t>
            </w:r>
          </w:p>
          <w:p w14:paraId="00BF4322">
            <w:pPr>
              <w:spacing w:before="62" w:beforeLines="20" w:line="240" w:lineRule="exact"/>
              <w:ind w:right="840"/>
              <w:rPr>
                <w:rFonts w:eastAsia="宋体" w:cs="Arial"/>
                <w:sz w:val="18"/>
                <w:szCs w:val="18"/>
              </w:rPr>
            </w:pPr>
            <w:r>
              <w:rPr>
                <w:rFonts w:eastAsia="宋体" w:cs="Arial"/>
                <w:sz w:val="18"/>
                <w:szCs w:val="18"/>
              </w:rPr>
              <w:t>208-334-1053</w:t>
            </w:r>
          </w:p>
        </w:tc>
      </w:tr>
    </w:tbl>
    <w:p w14:paraId="47925ED1">
      <w:pPr>
        <w:spacing w:before="187"/>
        <w:ind w:right="840"/>
        <w:rPr>
          <w:rFonts w:eastAsia="宋体" w:cs="Arial"/>
        </w:rPr>
      </w:pPr>
      <w:r>
        <w:rPr>
          <w:rFonts w:eastAsia="宋体" w:cs="Arial"/>
          <w:sz w:val="18"/>
          <w:szCs w:val="18"/>
        </w:rPr>
        <w:t>*为管理区提供审计员职能</w:t>
      </w:r>
    </w:p>
    <w:p w14:paraId="49A3BA2A">
      <w:pPr>
        <w:spacing w:before="187"/>
        <w:ind w:right="840"/>
        <w:rPr>
          <w:rFonts w:eastAsia="宋体" w:cs="Arial"/>
        </w:rPr>
        <w:sectPr>
          <w:headerReference r:id="rId60" w:type="first"/>
          <w:footerReference r:id="rId61" w:type="first"/>
          <w:pgSz w:w="11906" w:h="16838"/>
          <w:pgMar w:top="1418" w:right="1418" w:bottom="1418" w:left="1418" w:header="720" w:footer="720" w:gutter="0"/>
          <w:pgNumType w:start="1"/>
          <w:cols w:space="425" w:num="1"/>
          <w:titlePg/>
          <w:docGrid w:type="lines" w:linePitch="312" w:charSpace="0"/>
        </w:sectPr>
      </w:pPr>
    </w:p>
    <w:p w14:paraId="44B17162">
      <w:pPr>
        <w:spacing w:before="187"/>
        <w:jc w:val="center"/>
        <w:rPr>
          <w:rFonts w:eastAsia="宋体" w:cs="Arial"/>
          <w:b/>
          <w:u w:val="single"/>
        </w:rPr>
      </w:pPr>
      <w:r>
        <w:rPr>
          <w:rFonts w:eastAsia="宋体" w:cs="Arial"/>
          <w:b/>
          <w:u w:val="single"/>
        </w:rPr>
        <w:t>警告函模板－不合规公告，附带管理区发布的致X射线装配商的装配商召回函</w:t>
      </w:r>
    </w:p>
    <w:p w14:paraId="2759DC7C">
      <w:pPr>
        <w:spacing w:before="187"/>
        <w:rPr>
          <w:rFonts w:eastAsia="宋体" w:cs="Arial"/>
        </w:rPr>
      </w:pPr>
    </w:p>
    <w:p w14:paraId="124DC4F6">
      <w:pPr>
        <w:spacing w:before="187"/>
        <w:jc w:val="center"/>
        <w:rPr>
          <w:rFonts w:eastAsia="宋体" w:cs="Arial"/>
          <w:u w:val="single"/>
        </w:rPr>
      </w:pPr>
      <w:r>
        <w:rPr>
          <w:rFonts w:eastAsia="宋体" w:cs="Arial"/>
          <w:u w:val="single"/>
        </w:rPr>
        <w:t>警告函</w:t>
      </w:r>
    </w:p>
    <w:p w14:paraId="75107F93">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55A6038F">
      <w:pPr>
        <w:spacing w:before="187"/>
        <w:rPr>
          <w:rFonts w:eastAsia="宋体" w:cs="Arial"/>
        </w:rPr>
      </w:pPr>
    </w:p>
    <w:p w14:paraId="52F90710">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730E9054">
      <w:pPr>
        <w:spacing w:before="187"/>
        <w:rPr>
          <w:rFonts w:eastAsia="宋体" w:cs="Arial"/>
        </w:rPr>
      </w:pPr>
    </w:p>
    <w:p w14:paraId="69CCE9B5">
      <w:pPr>
        <w:spacing w:before="187"/>
        <w:rPr>
          <w:rFonts w:eastAsia="宋体" w:cs="Arial"/>
        </w:rPr>
      </w:pPr>
      <w:r>
        <w:rPr>
          <w:rFonts w:eastAsia="宋体" w:cs="Arial"/>
        </w:rPr>
        <w:t>致（</w:t>
      </w:r>
      <w:r>
        <w:rPr>
          <w:rFonts w:eastAsia="宋体" w:cs="Arial"/>
          <w:u w:val="single"/>
        </w:rPr>
        <w:t>收信人</w:t>
      </w:r>
      <w:r>
        <w:rPr>
          <w:rFonts w:eastAsia="宋体" w:cs="Arial"/>
        </w:rPr>
        <w:t>）：</w:t>
      </w:r>
    </w:p>
    <w:p w14:paraId="3BFB001A">
      <w:pPr>
        <w:spacing w:before="187"/>
        <w:rPr>
          <w:rFonts w:eastAsia="宋体" w:cs="Arial"/>
        </w:rPr>
      </w:pPr>
      <w:r>
        <w:rPr>
          <w:rFonts w:eastAsia="宋体" w:cs="Arial"/>
        </w:rPr>
        <w:t>对（</w:t>
      </w:r>
      <w:r>
        <w:rPr>
          <w:rFonts w:eastAsia="宋体" w:cs="Arial"/>
          <w:u w:val="single"/>
        </w:rPr>
        <w:t>公司名称</w:t>
      </w:r>
      <w:r>
        <w:rPr>
          <w:rFonts w:eastAsia="宋体" w:cs="Arial"/>
        </w:rPr>
        <w:t>）（</w:t>
      </w:r>
      <w:r>
        <w:rPr>
          <w:rFonts w:eastAsia="宋体" w:cs="Arial"/>
          <w:u w:val="single"/>
        </w:rPr>
        <w:t>日期</w:t>
      </w:r>
      <w:r>
        <w:rPr>
          <w:rFonts w:eastAsia="宋体" w:cs="Arial"/>
        </w:rPr>
        <w:t>）以来装配的完全获证诊断用X射线系统所做的现场合规测试显示，接受测试的X射线系统中，有（</w:t>
      </w:r>
      <w:r>
        <w:rPr>
          <w:rFonts w:eastAsia="宋体" w:cs="Arial"/>
          <w:u w:val="single"/>
        </w:rPr>
        <w:t>数字</w:t>
      </w:r>
      <w:r>
        <w:rPr>
          <w:rFonts w:eastAsia="宋体" w:cs="Arial"/>
        </w:rPr>
        <w:t>，如</w:t>
      </w:r>
      <w:r>
        <w:rPr>
          <w:rFonts w:eastAsia="宋体" w:cs="Arial"/>
          <w:u w:val="single"/>
        </w:rPr>
        <w:t>43</w:t>
      </w:r>
      <w:r>
        <w:rPr>
          <w:rFonts w:eastAsia="宋体" w:cs="Arial"/>
        </w:rPr>
        <w:t>）％未遵从诊断用X射线系统及其主要组件的性能标准（性能标准）。诊断用X射线设备是联邦食品、药品及化妆品法案（法案）第201（h）节定义的器械。食品药品监督管理局（FDA）已向您发出（</w:t>
      </w:r>
      <w:r>
        <w:rPr>
          <w:rFonts w:eastAsia="宋体" w:cs="Arial"/>
          <w:u w:val="single"/>
        </w:rPr>
        <w:t>数字，如12</w:t>
      </w:r>
      <w:r>
        <w:rPr>
          <w:rFonts w:eastAsia="宋体" w:cs="Arial"/>
        </w:rPr>
        <w:t>）封信函应对贵公司的不合规装配，但是，您在安装诊断用X射线系统时继续未遵从性能标准。鉴于存在如此高比例不遵从性能标准的现实以及不能对装配的X射线系统将会遵从性能标准提供保证，FDA确定您无法遵从联邦法规第21编（21 CFR）1020.30（d）的要求。因此，FDA断定您自（日期）以来的装配均不合规。如下所示，我们要求您通知用户并向他们提供纠正行动计划（CAP）供召回的装配使用。</w:t>
      </w:r>
    </w:p>
    <w:p w14:paraId="06867334">
      <w:pPr>
        <w:spacing w:before="187"/>
        <w:rPr>
          <w:rFonts w:eastAsia="宋体" w:cs="Arial"/>
        </w:rPr>
      </w:pPr>
      <w:r>
        <w:rPr>
          <w:rFonts w:eastAsia="宋体" w:cs="Arial"/>
        </w:rPr>
        <w:t>根据联邦食品、药品及化妆品法案（简称法案）第C分章－电子产品的辐射控制（1968年颁布的原卫生安全法案辐射控制）－第538节的规定，对未遵从相应标准或产品本身存在与此类产品的安全使用有关之瑕疵的电子产品不做纠正是一种禁止性行为。此外，根据该法案，在州际贸易中收到医疗器械后对其进行改造是一种禁止性行为。您的安装工程违背了美国法典第21编第351（c）节的有关规定。原因是这些工程不具备其所声称的质量，或因它们未遵从21 CFR 1020.30描述的诊断用X射线系统及其主要组件的性能标准而未能显示其拥有相应质量。</w:t>
      </w:r>
    </w:p>
    <w:p w14:paraId="589923C8">
      <w:pPr>
        <w:spacing w:before="187"/>
        <w:rPr>
          <w:rFonts w:eastAsia="宋体" w:cs="Arial"/>
        </w:rPr>
      </w:pPr>
      <w:r>
        <w:rPr>
          <w:rFonts w:eastAsia="宋体" w:cs="Arial"/>
        </w:rPr>
        <w:t>收到本函后15个工作日内，必须以书面形式予以回应并提供（</w:t>
      </w:r>
      <w:r>
        <w:rPr>
          <w:rFonts w:eastAsia="宋体" w:cs="Arial"/>
          <w:u w:val="single"/>
        </w:rPr>
        <w:t>日期</w:t>
      </w:r>
      <w:r>
        <w:rPr>
          <w:rFonts w:eastAsia="宋体" w:cs="Arial"/>
        </w:rPr>
        <w:t>）以来已完成的X射线装配数。在回应中，您有下列选项：</w:t>
      </w:r>
    </w:p>
    <w:p w14:paraId="63E708FA">
      <w:pPr>
        <w:pStyle w:val="15"/>
        <w:numPr>
          <w:ilvl w:val="1"/>
          <w:numId w:val="67"/>
        </w:numPr>
        <w:spacing w:before="187"/>
        <w:ind w:left="660" w:hanging="660" w:hangingChars="300"/>
        <w:rPr>
          <w:rFonts w:eastAsia="宋体" w:cs="Arial"/>
        </w:rPr>
      </w:pPr>
      <w:r>
        <w:rPr>
          <w:rFonts w:eastAsia="宋体" w:cs="Arial"/>
        </w:rPr>
        <w:t>反驳－您可依据21 CFR 1003.11（a）（3）节的规定提出看法和证据，证实被指控的不合规并不存在，与产品安全无关或可直接归因于用户滥用或缺乏维护。如果选择反驳不合规指控，您将有机会依据21 CFR 16之规定申请召开一次听证会。</w:t>
      </w:r>
    </w:p>
    <w:p w14:paraId="659D52A7">
      <w:pPr>
        <w:pStyle w:val="15"/>
        <w:numPr>
          <w:ilvl w:val="1"/>
          <w:numId w:val="67"/>
        </w:numPr>
        <w:spacing w:before="187"/>
        <w:ind w:left="660" w:hanging="660" w:hangingChars="300"/>
        <w:rPr>
          <w:rFonts w:eastAsia="宋体" w:cs="Arial"/>
        </w:rPr>
      </w:pPr>
      <w:r>
        <w:rPr>
          <w:rFonts w:eastAsia="宋体" w:cs="Arial"/>
        </w:rPr>
        <w:t>豁免申请－如果不反驳被指控的不合规，按21 CFR 1003.30的规定，您可申请免除21 CFR 1003.10（b）描述的用户和经销商/批发商通知要求与21 CFR 1004.1描述的纠正违规产品的责任。您在申请中必须包含申请豁免的理由。关于合理豁免理由构成的进一步信息，请参阅21 CFR 1003.31。</w:t>
      </w:r>
    </w:p>
    <w:p w14:paraId="47417DF1">
      <w:pPr>
        <w:pStyle w:val="15"/>
        <w:numPr>
          <w:ilvl w:val="1"/>
          <w:numId w:val="67"/>
        </w:numPr>
        <w:spacing w:before="187"/>
        <w:ind w:left="660" w:hanging="660" w:hangingChars="300"/>
        <w:rPr>
          <w:rFonts w:eastAsia="宋体" w:cs="Arial"/>
        </w:rPr>
      </w:pPr>
      <w:r>
        <w:rPr>
          <w:rFonts w:eastAsia="宋体" w:cs="Arial"/>
        </w:rPr>
        <w:t>买方通知和纠正行动－如果既不反驳不合规，也不申请豁免，那么将要求您（a）按21 CFR 1003.10（b）规定，通知违规产品的买方和经销商/批发商；（b）按21 CFR 1004.1规定，提交一份书面纠正行动计划（CAP）来履行责任，免费为用户修理或替换违规产品或予以退款。</w:t>
      </w:r>
    </w:p>
    <w:p w14:paraId="5E33AF2C">
      <w:pPr>
        <w:pStyle w:val="15"/>
        <w:numPr>
          <w:ilvl w:val="2"/>
          <w:numId w:val="68"/>
        </w:numPr>
        <w:spacing w:before="187"/>
        <w:ind w:left="1320" w:leftChars="300" w:hanging="660" w:hangingChars="300"/>
        <w:rPr>
          <w:rFonts w:eastAsia="宋体" w:cs="Arial"/>
        </w:rPr>
      </w:pPr>
      <w:r>
        <w:rPr>
          <w:rFonts w:eastAsia="宋体" w:cs="Arial"/>
        </w:rPr>
        <w:t>通知函－在21 CFR 1003.21和1003.22中描述了对准备通知函的要求。寄给买方和经销商的副本也必须寄给该办公室。所有信函在寄出前，建议将草稿提交给我们审核并得到我方同意。请随您的回复一起提交此类草稿。这样做的原因是，根据21 CFR 1003.11（c）的规定，一旦我们指示启动通知流程，您仅有14天时间向买方和经销商/批发商提供通知。</w:t>
      </w:r>
    </w:p>
    <w:p w14:paraId="00A26CBF">
      <w:pPr>
        <w:pStyle w:val="15"/>
        <w:numPr>
          <w:ilvl w:val="2"/>
          <w:numId w:val="68"/>
        </w:numPr>
        <w:spacing w:before="187"/>
        <w:ind w:left="1320" w:leftChars="300" w:hanging="660" w:hangingChars="300"/>
        <w:rPr>
          <w:rFonts w:eastAsia="宋体" w:cs="Arial"/>
        </w:rPr>
      </w:pPr>
      <w:r>
        <w:rPr>
          <w:rFonts w:eastAsia="宋体" w:cs="Arial"/>
        </w:rPr>
        <w:t>纠正行动计划－纠正行动计划准备指南可在21 CFR 1004.2、1004.3和1004.4中找到。此类计划必须能迅速纠正不合规且必须获得FDA的批准（见21 CFR 1004.6）。</w:t>
      </w:r>
    </w:p>
    <w:p w14:paraId="5C50D383">
      <w:pPr>
        <w:spacing w:before="187"/>
        <w:rPr>
          <w:rFonts w:eastAsia="宋体" w:cs="Arial"/>
        </w:rPr>
      </w:pPr>
      <w:r>
        <w:rPr>
          <w:rFonts w:eastAsia="宋体" w:cs="Arial"/>
        </w:rPr>
        <w:t>如果需要额外时间准备您的反驳、通知、纠正行动计划或支持豁免申请的证据，必须在收到本函后15个工作日内向该办公室提交一份书面申请。在申请中应概括描述做出任何延迟的理由以及提交回复的合理目标日期。如果在15个工作日内未做出回应，本局可认为您违背了法案第538（a）（2）节和第538（a）（4）节的有关规定。</w:t>
      </w:r>
    </w:p>
    <w:p w14:paraId="3CBBC3AF">
      <w:pPr>
        <w:spacing w:before="187"/>
        <w:rPr>
          <w:rFonts w:eastAsia="宋体" w:cs="Arial"/>
        </w:rPr>
      </w:pPr>
      <w:r>
        <w:rPr>
          <w:rFonts w:eastAsia="宋体" w:cs="Arial"/>
        </w:rPr>
        <w:t>请注意，如果您的反驳或豁免申请未获FDA批准，则必须提交一份纠正行动计划，用于应对（日期）以来装配的所有获证诊断用X射线系统。一份可接受的纠正行动计划必须包括：</w:t>
      </w:r>
    </w:p>
    <w:p w14:paraId="4F97D568">
      <w:pPr>
        <w:pStyle w:val="15"/>
        <w:numPr>
          <w:ilvl w:val="1"/>
          <w:numId w:val="69"/>
        </w:numPr>
        <w:spacing w:before="187"/>
        <w:ind w:left="660" w:hanging="660" w:hangingChars="300"/>
        <w:rPr>
          <w:rFonts w:eastAsia="宋体" w:cs="Arial"/>
        </w:rPr>
      </w:pPr>
      <w:r>
        <w:rPr>
          <w:rFonts w:eastAsia="宋体" w:cs="Arial"/>
        </w:rPr>
        <w:t>对（日期）以来安装的所有获证组件装配项目进行测试的协议。签订该协议的目的是确保所有装配项目均完全遵从性能标准。</w:t>
      </w:r>
    </w:p>
    <w:p w14:paraId="37947E76">
      <w:pPr>
        <w:pStyle w:val="15"/>
        <w:numPr>
          <w:ilvl w:val="1"/>
          <w:numId w:val="69"/>
        </w:numPr>
        <w:spacing w:before="187"/>
        <w:ind w:left="660" w:hanging="660" w:hangingChars="300"/>
        <w:rPr>
          <w:rFonts w:eastAsia="宋体" w:cs="Arial"/>
        </w:rPr>
      </w:pPr>
      <w:r>
        <w:rPr>
          <w:rFonts w:eastAsia="宋体" w:cs="Arial"/>
        </w:rPr>
        <w:t>对将要进行测试的阐述与测试方法副本。</w:t>
      </w:r>
    </w:p>
    <w:p w14:paraId="79E94013">
      <w:pPr>
        <w:pStyle w:val="15"/>
        <w:numPr>
          <w:ilvl w:val="1"/>
          <w:numId w:val="69"/>
        </w:numPr>
        <w:spacing w:before="187"/>
        <w:ind w:left="660" w:hanging="660" w:hangingChars="300"/>
        <w:rPr>
          <w:rFonts w:eastAsia="宋体" w:cs="Arial"/>
        </w:rPr>
      </w:pPr>
      <w:r>
        <w:rPr>
          <w:rFonts w:eastAsia="宋体" w:cs="Arial"/>
        </w:rPr>
        <w:t>就以上测试发现的任何不合规事项为用户免费纠正的协议。如果能证明不合规直接归因于用户滥用或可归因于另一方检修，可用提交证据代替纠正不合规。</w:t>
      </w:r>
    </w:p>
    <w:p w14:paraId="64B4E963">
      <w:pPr>
        <w:spacing w:before="187"/>
        <w:ind w:right="840"/>
        <w:rPr>
          <w:rFonts w:eastAsia="宋体" w:cs="Arial"/>
        </w:rPr>
      </w:pPr>
      <w:r>
        <w:rPr>
          <w:rFonts w:eastAsia="宋体" w:cs="Arial"/>
        </w:rPr>
        <w:br w:type="page"/>
      </w:r>
    </w:p>
    <w:p w14:paraId="2A4E7EA6">
      <w:pPr>
        <w:pStyle w:val="15"/>
        <w:numPr>
          <w:ilvl w:val="1"/>
          <w:numId w:val="69"/>
        </w:numPr>
        <w:spacing w:before="187"/>
        <w:ind w:left="660" w:hanging="660" w:hangingChars="300"/>
        <w:rPr>
          <w:rFonts w:eastAsia="宋体" w:cs="Arial"/>
        </w:rPr>
      </w:pPr>
      <w:r>
        <w:rPr>
          <w:rFonts w:eastAsia="宋体" w:cs="Arial"/>
        </w:rPr>
        <w:t>对诊断用X射线系统进行测试和校准的过程中使用的所有设备的清单。</w:t>
      </w:r>
    </w:p>
    <w:p w14:paraId="1D8CC16B">
      <w:pPr>
        <w:pStyle w:val="15"/>
        <w:numPr>
          <w:ilvl w:val="1"/>
          <w:numId w:val="69"/>
        </w:numPr>
        <w:spacing w:before="187"/>
        <w:ind w:left="660" w:hanging="660" w:hangingChars="300"/>
        <w:rPr>
          <w:rFonts w:eastAsia="宋体" w:cs="Arial"/>
        </w:rPr>
      </w:pPr>
      <w:r>
        <w:rPr>
          <w:rFonts w:eastAsia="宋体" w:cs="Arial"/>
        </w:rPr>
        <w:t>在测试和校准过程中将要使用的所有设备处于最新校准水平范围内的协议。</w:t>
      </w:r>
    </w:p>
    <w:p w14:paraId="78DBBF82">
      <w:pPr>
        <w:pStyle w:val="15"/>
        <w:numPr>
          <w:ilvl w:val="1"/>
          <w:numId w:val="69"/>
        </w:numPr>
        <w:spacing w:before="187"/>
        <w:ind w:left="660" w:hanging="660" w:hangingChars="300"/>
        <w:rPr>
          <w:rFonts w:eastAsia="宋体" w:cs="Arial"/>
        </w:rPr>
      </w:pPr>
      <w:r>
        <w:rPr>
          <w:rFonts w:eastAsia="宋体" w:cs="Arial"/>
        </w:rPr>
        <w:t>（日期）以来装配的获证系统数。</w:t>
      </w:r>
    </w:p>
    <w:p w14:paraId="74326AF0">
      <w:pPr>
        <w:pStyle w:val="15"/>
        <w:numPr>
          <w:ilvl w:val="1"/>
          <w:numId w:val="69"/>
        </w:numPr>
        <w:spacing w:before="187"/>
        <w:ind w:left="660" w:hanging="660" w:hangingChars="300"/>
        <w:rPr>
          <w:rFonts w:eastAsia="宋体" w:cs="Arial"/>
        </w:rPr>
      </w:pPr>
      <w:r>
        <w:rPr>
          <w:rFonts w:eastAsia="宋体" w:cs="Arial"/>
        </w:rPr>
        <w:t>对所有受影响系统进行纠正的时间表</w:t>
      </w:r>
    </w:p>
    <w:p w14:paraId="4A7E8826">
      <w:pPr>
        <w:pStyle w:val="15"/>
        <w:numPr>
          <w:ilvl w:val="1"/>
          <w:numId w:val="69"/>
        </w:numPr>
        <w:spacing w:before="187"/>
        <w:ind w:left="660" w:hanging="660" w:hangingChars="300"/>
        <w:rPr>
          <w:rFonts w:eastAsia="宋体" w:cs="Arial"/>
        </w:rPr>
      </w:pPr>
      <w:r>
        <w:rPr>
          <w:rFonts w:eastAsia="宋体" w:cs="Arial"/>
        </w:rPr>
        <w:t>提交数个全部测试数据副本供FDA审核的协议。</w:t>
      </w:r>
    </w:p>
    <w:p w14:paraId="5954BF23">
      <w:pPr>
        <w:pStyle w:val="15"/>
        <w:numPr>
          <w:ilvl w:val="1"/>
          <w:numId w:val="69"/>
        </w:numPr>
        <w:spacing w:before="187"/>
        <w:ind w:left="660" w:hanging="660" w:hangingChars="300"/>
        <w:rPr>
          <w:rFonts w:eastAsia="宋体" w:cs="Arial"/>
        </w:rPr>
      </w:pPr>
      <w:r>
        <w:rPr>
          <w:rFonts w:eastAsia="宋体" w:cs="Arial"/>
        </w:rPr>
        <w:t>将要寄给受影响买方通知函的一个副本或上述信函的一份草稿。</w:t>
      </w:r>
    </w:p>
    <w:p w14:paraId="7CB964EF">
      <w:pPr>
        <w:pStyle w:val="15"/>
        <w:numPr>
          <w:ilvl w:val="1"/>
          <w:numId w:val="69"/>
        </w:numPr>
        <w:spacing w:before="187"/>
        <w:ind w:left="660" w:hanging="660" w:hangingChars="300"/>
        <w:rPr>
          <w:rFonts w:eastAsia="宋体" w:cs="Arial"/>
        </w:rPr>
      </w:pPr>
      <w:r>
        <w:rPr>
          <w:rFonts w:eastAsia="宋体" w:cs="Arial"/>
        </w:rPr>
        <w:t>确保将来所有的获证诊断用X射线系统装配项目遵从性能标准所有方面的规定。</w:t>
      </w:r>
    </w:p>
    <w:p w14:paraId="5DE1CDC5">
      <w:pPr>
        <w:spacing w:before="187"/>
        <w:rPr>
          <w:rFonts w:eastAsia="宋体" w:cs="Arial"/>
        </w:rPr>
      </w:pPr>
      <w:r>
        <w:rPr>
          <w:rFonts w:eastAsia="宋体" w:cs="Arial"/>
        </w:rPr>
        <w:t>对该违规事项不立即予以纠正可导致食品药品监督管理局在不另行通知的情况下启动监管行动。这些行动包括法案第539节规定的没收和/或发布禁令和/或处以民事处罚。违背法案第538节的人员常受到每件违规事项多达1,000美元和最高可达30万美元的民事处罚。</w:t>
      </w:r>
    </w:p>
    <w:p w14:paraId="760F3A48">
      <w:pPr>
        <w:spacing w:before="187"/>
        <w:rPr>
          <w:rFonts w:eastAsia="宋体" w:cs="Arial"/>
        </w:rPr>
      </w:pPr>
      <w:r>
        <w:rPr>
          <w:rFonts w:eastAsia="宋体" w:cs="Arial"/>
        </w:rPr>
        <w:t>收到本函后15个工作日内，应以书面形式将您为纠正被指违规采取的具体步骤（包括对为防止重复发生类似违规所采取的每个步骤的说明）告知该办公室。如果未能在15个工作日内完成纠正行动，应对延迟的理由与完成纠正行动的预期时间做出说明。</w:t>
      </w:r>
    </w:p>
    <w:p w14:paraId="5B510FEC">
      <w:pPr>
        <w:spacing w:before="187"/>
        <w:rPr>
          <w:rFonts w:eastAsia="宋体" w:cs="Arial"/>
        </w:rPr>
      </w:pPr>
      <w:r>
        <w:rPr>
          <w:rFonts w:eastAsia="宋体" w:cs="Arial"/>
        </w:rPr>
        <w:t>您应将回函寄给食品药品监督管理局的合规专员（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0B6385AD">
      <w:pPr>
        <w:spacing w:before="187"/>
        <w:ind w:right="840"/>
        <w:rPr>
          <w:rFonts w:eastAsia="宋体" w:cs="Arial"/>
        </w:rPr>
      </w:pPr>
    </w:p>
    <w:p w14:paraId="2C144272">
      <w:pPr>
        <w:spacing w:before="187"/>
        <w:ind w:left="4400" w:leftChars="2000"/>
        <w:rPr>
          <w:rFonts w:eastAsia="宋体" w:cs="Arial"/>
        </w:rPr>
      </w:pPr>
      <w:r>
        <w:rPr>
          <w:rFonts w:eastAsia="宋体" w:cs="Arial"/>
        </w:rPr>
        <w:t>您的诚挚的，</w:t>
      </w:r>
    </w:p>
    <w:p w14:paraId="4015A726">
      <w:pPr>
        <w:spacing w:before="187"/>
        <w:ind w:left="4400" w:leftChars="2000"/>
        <w:rPr>
          <w:rFonts w:eastAsia="宋体" w:cs="Arial"/>
        </w:rPr>
      </w:pPr>
      <w:r>
        <w:rPr>
          <w:rFonts w:eastAsia="宋体" w:cs="Arial"/>
        </w:rPr>
        <w:t>管理区主任</w:t>
      </w:r>
    </w:p>
    <w:p w14:paraId="1173C11A">
      <w:pPr>
        <w:spacing w:before="187"/>
        <w:ind w:right="840"/>
        <w:rPr>
          <w:rFonts w:eastAsia="宋体" w:cs="Arial"/>
        </w:rPr>
      </w:pPr>
    </w:p>
    <w:p w14:paraId="42C30BFC">
      <w:pPr>
        <w:spacing w:before="187"/>
        <w:rPr>
          <w:rFonts w:eastAsia="宋体" w:cs="Arial"/>
        </w:rPr>
      </w:pPr>
      <w:r>
        <w:rPr>
          <w:rFonts w:eastAsia="宋体" w:cs="Arial"/>
        </w:rPr>
        <w:t>附件</w:t>
      </w:r>
    </w:p>
    <w:p w14:paraId="6B1AFCBC">
      <w:pPr>
        <w:spacing w:before="187"/>
        <w:ind w:right="840"/>
        <w:rPr>
          <w:rFonts w:eastAsia="宋体" w:cs="Arial"/>
        </w:rPr>
      </w:pPr>
    </w:p>
    <w:p w14:paraId="4DC2F524">
      <w:pPr>
        <w:spacing w:before="187"/>
        <w:ind w:right="840"/>
        <w:rPr>
          <w:rFonts w:eastAsia="宋体" w:cs="Arial"/>
        </w:rPr>
      </w:pPr>
    </w:p>
    <w:p w14:paraId="1D16CA59">
      <w:pPr>
        <w:spacing w:before="187"/>
        <w:ind w:right="840"/>
        <w:rPr>
          <w:rFonts w:eastAsia="宋体" w:cs="Arial"/>
        </w:rPr>
        <w:sectPr>
          <w:headerReference r:id="rId63" w:type="first"/>
          <w:footerReference r:id="rId65" w:type="first"/>
          <w:headerReference r:id="rId62" w:type="default"/>
          <w:footerReference r:id="rId64" w:type="default"/>
          <w:pgSz w:w="11906" w:h="16838"/>
          <w:pgMar w:top="1418" w:right="1418" w:bottom="1418" w:left="1418" w:header="720" w:footer="720" w:gutter="0"/>
          <w:pgNumType w:start="1"/>
          <w:cols w:space="425" w:num="1"/>
          <w:titlePg/>
          <w:docGrid w:type="lines" w:linePitch="312" w:charSpace="0"/>
        </w:sectPr>
      </w:pPr>
    </w:p>
    <w:p w14:paraId="4618986B">
      <w:pPr>
        <w:spacing w:before="187"/>
        <w:jc w:val="center"/>
        <w:rPr>
          <w:rFonts w:eastAsia="宋体" w:cs="Arial"/>
          <w:b/>
          <w:u w:val="single"/>
        </w:rPr>
      </w:pPr>
      <w:r>
        <w:rPr>
          <w:rFonts w:eastAsia="宋体" w:cs="Arial"/>
          <w:b/>
          <w:u w:val="single"/>
        </w:rPr>
        <w:t>装配商对不合规公告（附带管理区发布的装配商召回函）回复评价指南</w:t>
      </w:r>
    </w:p>
    <w:p w14:paraId="69A5D30A">
      <w:pPr>
        <w:spacing w:before="187"/>
        <w:ind w:right="840"/>
        <w:rPr>
          <w:rFonts w:eastAsia="宋体" w:cs="Arial"/>
        </w:rPr>
      </w:pPr>
    </w:p>
    <w:p w14:paraId="6F639F1A">
      <w:pPr>
        <w:spacing w:before="187"/>
        <w:rPr>
          <w:rFonts w:eastAsia="宋体" w:cs="Arial"/>
        </w:rPr>
      </w:pPr>
      <w:r>
        <w:rPr>
          <w:rFonts w:eastAsia="宋体" w:cs="Arial"/>
        </w:rPr>
        <w:t>联邦食品、药品及化妆品法案（简称法案）第C分章－电子产品的辐射控制（1968年颁布的原卫生安全法案辐射控制）－第538节为制造商提供了采用下列3种方式之一对瑕疵或不合规公告做出回应的机会：</w:t>
      </w:r>
    </w:p>
    <w:p w14:paraId="1D0AD6C3">
      <w:pPr>
        <w:pStyle w:val="15"/>
        <w:numPr>
          <w:ilvl w:val="1"/>
          <w:numId w:val="70"/>
        </w:numPr>
        <w:spacing w:before="187"/>
        <w:ind w:left="660" w:hanging="660" w:hangingChars="300"/>
        <w:rPr>
          <w:rFonts w:eastAsia="宋体" w:cs="Arial"/>
        </w:rPr>
      </w:pPr>
      <w:r>
        <w:rPr>
          <w:rFonts w:eastAsia="宋体" w:cs="Arial"/>
        </w:rPr>
        <w:t>提交证据反驳被指控的瑕疵或不合规。</w:t>
      </w:r>
    </w:p>
    <w:p w14:paraId="3D501003">
      <w:pPr>
        <w:pStyle w:val="15"/>
        <w:numPr>
          <w:ilvl w:val="1"/>
          <w:numId w:val="70"/>
        </w:numPr>
        <w:spacing w:before="187"/>
        <w:ind w:left="660" w:hanging="660" w:hangingChars="300"/>
        <w:rPr>
          <w:rFonts w:eastAsia="宋体" w:cs="Arial"/>
        </w:rPr>
      </w:pPr>
      <w:r>
        <w:rPr>
          <w:rFonts w:eastAsia="宋体" w:cs="Arial"/>
        </w:rPr>
        <w:t>提交豁免申请。</w:t>
      </w:r>
    </w:p>
    <w:p w14:paraId="553A680B">
      <w:pPr>
        <w:pStyle w:val="15"/>
        <w:numPr>
          <w:ilvl w:val="1"/>
          <w:numId w:val="70"/>
        </w:numPr>
        <w:spacing w:before="187"/>
        <w:ind w:left="660" w:hanging="660" w:hangingChars="300"/>
        <w:rPr>
          <w:rFonts w:eastAsia="宋体" w:cs="Arial"/>
        </w:rPr>
      </w:pPr>
      <w:r>
        <w:rPr>
          <w:rFonts w:eastAsia="宋体" w:cs="Arial"/>
        </w:rPr>
        <w:t>提交纠正行动计划（CAP）。</w:t>
      </w:r>
    </w:p>
    <w:p w14:paraId="10B47BF2">
      <w:pPr>
        <w:spacing w:before="187"/>
        <w:rPr>
          <w:rFonts w:eastAsia="宋体" w:cs="Arial"/>
        </w:rPr>
      </w:pPr>
      <w:r>
        <w:rPr>
          <w:rFonts w:eastAsia="宋体" w:cs="Arial"/>
        </w:rPr>
        <w:t>一般来说，准备不合规公告时都期待制造商提交一份纠正行动计划。然而，有些制造商可能会选择首先尝试反驳所列举的不合规，然后寻求豁免；如果不成功，再提交纠正行动计划。如上所述，这些就是所有可用选项。</w:t>
      </w:r>
    </w:p>
    <w:p w14:paraId="1AFFAF31">
      <w:pPr>
        <w:spacing w:before="187"/>
        <w:rPr>
          <w:rFonts w:eastAsia="宋体" w:cs="Arial"/>
          <w:u w:val="single"/>
        </w:rPr>
      </w:pPr>
      <w:r>
        <w:rPr>
          <w:rFonts w:eastAsia="宋体" w:cs="Arial"/>
          <w:u w:val="single"/>
        </w:rPr>
        <w:t>对反驳进行评价</w:t>
      </w:r>
    </w:p>
    <w:p w14:paraId="17BF116B">
      <w:pPr>
        <w:spacing w:before="187"/>
        <w:rPr>
          <w:rFonts w:eastAsia="宋体" w:cs="Arial"/>
        </w:rPr>
      </w:pPr>
      <w:r>
        <w:rPr>
          <w:rFonts w:eastAsia="宋体" w:cs="Arial"/>
        </w:rPr>
        <w:t>如果一个装配商能证明一个以上的特定不合规系统不能归因于装配或校准不当，该装配商可能就对不合规公告拥有了一个有效的反驳理由。根据本计划的覆盖范围确认装配商时涉及的统计数字是，移除1个或2个违规事项可极大影响做出启动由管理区发布装配商召回令（DOAR）的决定。鉴于此，我们不将报告为制造商来源或有争议的任何现场测试包含在内。</w:t>
      </w:r>
    </w:p>
    <w:p w14:paraId="0C8C598B">
      <w:pPr>
        <w:spacing w:before="187"/>
        <w:rPr>
          <w:rFonts w:eastAsia="宋体" w:cs="Arial"/>
        </w:rPr>
      </w:pPr>
      <w:r>
        <w:rPr>
          <w:rFonts w:eastAsia="宋体" w:cs="Arial"/>
        </w:rPr>
        <w:t>反驳需要有可靠的基础。装配商应提交测试数据和测试方法的几个副本证实系统在装配时完全遵从了性能标准。除非提交了此类证据，否则，一般来说，各个系统的装配商证书无依据。</w:t>
      </w:r>
    </w:p>
    <w:p w14:paraId="394C8D34">
      <w:pPr>
        <w:spacing w:before="187"/>
        <w:rPr>
          <w:rFonts w:eastAsia="宋体" w:cs="Arial"/>
        </w:rPr>
      </w:pPr>
      <w:r>
        <w:rPr>
          <w:rFonts w:eastAsia="宋体" w:cs="Arial"/>
        </w:rPr>
        <w:t>如果您想在评价反驳时获得援助，请致电（301）594-3332与诊断器械科（HFZ-240）联系。</w:t>
      </w:r>
    </w:p>
    <w:p w14:paraId="2035FB81">
      <w:pPr>
        <w:spacing w:before="187"/>
        <w:rPr>
          <w:rFonts w:eastAsia="宋体" w:cs="Arial"/>
          <w:u w:val="single"/>
        </w:rPr>
      </w:pPr>
      <w:r>
        <w:rPr>
          <w:rFonts w:eastAsia="宋体" w:cs="Arial"/>
          <w:u w:val="single"/>
        </w:rPr>
        <w:t>豁免申请</w:t>
      </w:r>
    </w:p>
    <w:p w14:paraId="342966B0">
      <w:pPr>
        <w:spacing w:before="187"/>
        <w:rPr>
          <w:rFonts w:eastAsia="宋体" w:cs="Arial"/>
        </w:rPr>
      </w:pPr>
      <w:r>
        <w:rPr>
          <w:rFonts w:eastAsia="宋体" w:cs="Arial"/>
        </w:rPr>
        <w:t>FDA法规（21 CFR 1003.30）允许提出豁免申请。这些法规要求制造商（装配商）在收到瑕疵或不合规公告后15日内以书面形式提交豁免申请。在反驳被否决的情况下，必须在收到反驳否决书后15日内提交豁免申请。</w:t>
      </w:r>
    </w:p>
    <w:p w14:paraId="44168D76">
      <w:pPr>
        <w:spacing w:before="187"/>
        <w:rPr>
          <w:rFonts w:eastAsia="宋体" w:cs="Arial"/>
        </w:rPr>
      </w:pPr>
    </w:p>
    <w:p w14:paraId="6A9F391C">
      <w:pPr>
        <w:spacing w:before="187"/>
        <w:rPr>
          <w:rFonts w:eastAsia="宋体" w:cs="Arial"/>
        </w:rPr>
      </w:pPr>
      <w:r>
        <w:rPr>
          <w:rFonts w:eastAsia="宋体" w:cs="Arial"/>
        </w:rPr>
        <w:br w:type="page"/>
      </w:r>
    </w:p>
    <w:p w14:paraId="2E078E3B">
      <w:pPr>
        <w:spacing w:before="187"/>
        <w:rPr>
          <w:rFonts w:eastAsia="宋体" w:cs="Arial"/>
        </w:rPr>
      </w:pPr>
      <w:r>
        <w:rPr>
          <w:rFonts w:eastAsia="宋体" w:cs="Arial"/>
        </w:rPr>
        <w:t>只有在装配商提交证据证明未遵从性能标准并未对任何人造成严重损伤风险（包括遗传损伤）时，豁免申请才有可能获得准许。由于FDA的大多数管理区办公室并无能力对此类申请材料进行评价，因此，所有豁免申请均应转至诊断器械科（HFZ-240）进行评价。诊断器械科将把对豁免申请的评价意见与关于豁免申请的可接受性决定提供给管理区。</w:t>
      </w:r>
    </w:p>
    <w:p w14:paraId="285BDE5A">
      <w:pPr>
        <w:spacing w:before="187"/>
        <w:rPr>
          <w:rFonts w:eastAsia="宋体" w:cs="Arial"/>
        </w:rPr>
      </w:pPr>
      <w:r>
        <w:rPr>
          <w:rFonts w:eastAsia="宋体" w:cs="Arial"/>
        </w:rPr>
        <w:t>请注意，豁免申请被否决的装配商可在第16部听证会上对否决提出异议（21 CFR 16）。因此，为了正确进行评价，有必要将所有豁免申请提交给HFZ-240。</w:t>
      </w:r>
    </w:p>
    <w:p w14:paraId="4D99079E">
      <w:pPr>
        <w:spacing w:before="187"/>
        <w:rPr>
          <w:rFonts w:eastAsia="宋体" w:cs="Arial"/>
        </w:rPr>
      </w:pPr>
      <w:r>
        <w:rPr>
          <w:rFonts w:eastAsia="宋体" w:cs="Arial"/>
        </w:rPr>
        <w:t>如果豁免申请获得准许，则无需采取进一步行动。由于准许豁免意味着对用户没有严重危害，列举的违规系统就不可能因相同的特定违规而出现在将来的诉讼（民事处罚或发布禁令）中。</w:t>
      </w:r>
    </w:p>
    <w:p w14:paraId="3E7F4090">
      <w:pPr>
        <w:spacing w:before="187"/>
        <w:rPr>
          <w:rFonts w:eastAsia="宋体" w:cs="Arial"/>
        </w:rPr>
      </w:pPr>
      <w:r>
        <w:rPr>
          <w:rFonts w:eastAsia="宋体" w:cs="Arial"/>
        </w:rPr>
        <w:t>请注意，由于违规的现场测试结果提示可能存在潜在的健康危害，因此，本中心不希望批准很多豁免申请。</w:t>
      </w:r>
    </w:p>
    <w:p w14:paraId="4734483A">
      <w:pPr>
        <w:spacing w:before="187"/>
        <w:rPr>
          <w:rFonts w:eastAsia="宋体" w:cs="Arial"/>
        </w:rPr>
      </w:pPr>
      <w:r>
        <w:rPr>
          <w:rFonts w:eastAsia="宋体" w:cs="Arial"/>
        </w:rPr>
        <w:t>当管理区收到本中心对豁免申请的评价时，其中将会包含否决函草稿或批准函草稿。如果豁免申请被否决，将要求装配商在收到否决函后15个工作日内提交一份纠正行动计划。回执应作为装配商收到否决函的证据予以保存。</w:t>
      </w:r>
    </w:p>
    <w:p w14:paraId="4A970A7A">
      <w:pPr>
        <w:spacing w:before="187"/>
        <w:rPr>
          <w:rFonts w:eastAsia="宋体" w:cs="Arial"/>
          <w:u w:val="single"/>
        </w:rPr>
      </w:pPr>
      <w:r>
        <w:rPr>
          <w:rFonts w:eastAsia="宋体" w:cs="Arial"/>
          <w:u w:val="single"/>
        </w:rPr>
        <w:t>纠正行动计划</w:t>
      </w:r>
    </w:p>
    <w:p w14:paraId="53A0F1A6">
      <w:pPr>
        <w:spacing w:before="187"/>
        <w:rPr>
          <w:rFonts w:eastAsia="宋体" w:cs="Arial"/>
        </w:rPr>
      </w:pPr>
      <w:r>
        <w:rPr>
          <w:rFonts w:eastAsia="宋体" w:cs="Arial"/>
        </w:rPr>
        <w:t>纠正行动计划必须包含下列选项之一：</w:t>
      </w:r>
    </w:p>
    <w:p w14:paraId="5162DB1A">
      <w:pPr>
        <w:pStyle w:val="15"/>
        <w:numPr>
          <w:ilvl w:val="1"/>
          <w:numId w:val="71"/>
        </w:numPr>
        <w:spacing w:before="187"/>
        <w:ind w:left="660" w:hanging="660" w:hangingChars="300"/>
        <w:rPr>
          <w:rFonts w:eastAsia="宋体" w:cs="Arial"/>
        </w:rPr>
      </w:pPr>
      <w:r>
        <w:rPr>
          <w:rFonts w:eastAsia="宋体" w:cs="Arial"/>
        </w:rPr>
        <w:t>修理不合规产品。</w:t>
      </w:r>
    </w:p>
    <w:p w14:paraId="7C304C85">
      <w:pPr>
        <w:pStyle w:val="15"/>
        <w:numPr>
          <w:ilvl w:val="1"/>
          <w:numId w:val="71"/>
        </w:numPr>
        <w:spacing w:before="187"/>
        <w:ind w:left="660" w:hanging="660" w:hangingChars="300"/>
        <w:rPr>
          <w:rFonts w:eastAsia="宋体" w:cs="Arial"/>
        </w:rPr>
      </w:pPr>
      <w:r>
        <w:rPr>
          <w:rFonts w:eastAsia="宋体" w:cs="Arial"/>
        </w:rPr>
        <w:t>退还不合规产品的购买价。</w:t>
      </w:r>
    </w:p>
    <w:p w14:paraId="4BEE7543">
      <w:pPr>
        <w:pStyle w:val="15"/>
        <w:numPr>
          <w:ilvl w:val="1"/>
          <w:numId w:val="71"/>
        </w:numPr>
        <w:spacing w:before="187"/>
        <w:ind w:left="660" w:hanging="660" w:hangingChars="300"/>
        <w:rPr>
          <w:rFonts w:eastAsia="宋体" w:cs="Arial"/>
        </w:rPr>
      </w:pPr>
      <w:r>
        <w:rPr>
          <w:rFonts w:eastAsia="宋体" w:cs="Arial"/>
        </w:rPr>
        <w:t>用合规产品替换不合规产品。</w:t>
      </w:r>
    </w:p>
    <w:p w14:paraId="32A8477A">
      <w:pPr>
        <w:spacing w:before="187"/>
        <w:rPr>
          <w:rFonts w:eastAsia="宋体" w:cs="Arial"/>
        </w:rPr>
      </w:pPr>
      <w:r>
        <w:rPr>
          <w:rFonts w:eastAsia="宋体" w:cs="Arial"/>
        </w:rPr>
        <w:t>在3个选项中，大多数装配商选择修理不合规产品。其它两个选项因无需说明，仅对修理选项做进一步讨论。</w:t>
      </w:r>
    </w:p>
    <w:p w14:paraId="4568CB7D">
      <w:pPr>
        <w:spacing w:before="187"/>
        <w:rPr>
          <w:rFonts w:eastAsia="宋体" w:cs="Arial"/>
        </w:rPr>
      </w:pPr>
      <w:r>
        <w:rPr>
          <w:rFonts w:eastAsia="宋体" w:cs="Arial"/>
        </w:rPr>
        <w:t>对某一时间段安装的所有不合规诊断用X射线系统予以公告的基本哲学意味着，FDA/州行政机关联合测试并没有对某一特定装配商安装的所有系统进行测试。这表明那里还存在其它诊断用X射线设备装配项目（FDA或州行政机关未对其进行测试），这些项目也未遵从标准。不合规公告的目的是获得一份纠正行动计划，该计划将要求对以前未测试的系统进行测试（和纠正）。</w:t>
      </w:r>
    </w:p>
    <w:p w14:paraId="45C245BD">
      <w:pPr>
        <w:spacing w:before="187"/>
        <w:rPr>
          <w:rFonts w:eastAsia="宋体" w:cs="Arial"/>
        </w:rPr>
      </w:pPr>
      <w:r>
        <w:rPr>
          <w:rFonts w:eastAsia="宋体" w:cs="Arial"/>
        </w:rPr>
        <w:t>一份可接受的纠正行动计划应包含下列要素：</w:t>
      </w:r>
    </w:p>
    <w:p w14:paraId="42314431">
      <w:pPr>
        <w:pStyle w:val="15"/>
        <w:numPr>
          <w:ilvl w:val="1"/>
          <w:numId w:val="72"/>
        </w:numPr>
        <w:spacing w:before="187"/>
        <w:ind w:left="660" w:hanging="660" w:hangingChars="300"/>
        <w:rPr>
          <w:rFonts w:eastAsia="宋体" w:cs="Arial"/>
        </w:rPr>
      </w:pPr>
      <w:r>
        <w:rPr>
          <w:rFonts w:eastAsia="宋体" w:cs="Arial"/>
        </w:rPr>
        <w:t>装配商提出的对指定时间段内安装的所有获证组件装配项目进行重新测试的方法（CDRH将在不合规公告列举的时间段内为管理区提供帮助）。</w:t>
      </w:r>
    </w:p>
    <w:p w14:paraId="2807524D">
      <w:pPr>
        <w:spacing w:before="187"/>
        <w:rPr>
          <w:rFonts w:eastAsia="宋体" w:cs="Arial"/>
        </w:rPr>
      </w:pPr>
    </w:p>
    <w:p w14:paraId="4F590D95">
      <w:pPr>
        <w:spacing w:before="187"/>
        <w:rPr>
          <w:rFonts w:eastAsia="宋体" w:cs="Arial"/>
        </w:rPr>
      </w:pPr>
      <w:r>
        <w:rPr>
          <w:rFonts w:eastAsia="宋体" w:cs="Arial"/>
        </w:rPr>
        <w:br w:type="page"/>
      </w:r>
    </w:p>
    <w:p w14:paraId="543A31DE">
      <w:pPr>
        <w:pStyle w:val="15"/>
        <w:numPr>
          <w:ilvl w:val="1"/>
          <w:numId w:val="72"/>
        </w:numPr>
        <w:spacing w:before="187"/>
        <w:ind w:left="660" w:hanging="660" w:hangingChars="300"/>
        <w:rPr>
          <w:rFonts w:eastAsia="宋体" w:cs="Arial"/>
        </w:rPr>
      </w:pPr>
      <w:r>
        <w:rPr>
          <w:rFonts w:eastAsia="宋体" w:cs="Arial"/>
        </w:rPr>
        <w:t>对将要进行测试的说明和测试方法的副本。</w:t>
      </w:r>
    </w:p>
    <w:p w14:paraId="33ADAE5E">
      <w:pPr>
        <w:pStyle w:val="15"/>
        <w:numPr>
          <w:ilvl w:val="1"/>
          <w:numId w:val="72"/>
        </w:numPr>
        <w:spacing w:before="187"/>
        <w:ind w:left="660" w:hanging="660" w:hangingChars="300"/>
        <w:rPr>
          <w:rFonts w:eastAsia="宋体" w:cs="Arial"/>
        </w:rPr>
      </w:pPr>
      <w:r>
        <w:rPr>
          <w:rFonts w:eastAsia="宋体" w:cs="Arial"/>
        </w:rPr>
        <w:t>测试中使用的所有设备的清单。</w:t>
      </w:r>
    </w:p>
    <w:p w14:paraId="2342B4B4">
      <w:pPr>
        <w:pStyle w:val="15"/>
        <w:numPr>
          <w:ilvl w:val="1"/>
          <w:numId w:val="72"/>
        </w:numPr>
        <w:spacing w:before="187"/>
        <w:ind w:left="660" w:hanging="660" w:hangingChars="300"/>
        <w:rPr>
          <w:rFonts w:eastAsia="宋体" w:cs="Arial"/>
        </w:rPr>
      </w:pPr>
      <w:r>
        <w:rPr>
          <w:rFonts w:eastAsia="宋体" w:cs="Arial"/>
        </w:rPr>
        <w:t>将要对测试中使用的所有设备进行适当校准的证明文件。</w:t>
      </w:r>
    </w:p>
    <w:p w14:paraId="53FFF105">
      <w:pPr>
        <w:pStyle w:val="15"/>
        <w:numPr>
          <w:ilvl w:val="1"/>
          <w:numId w:val="72"/>
        </w:numPr>
        <w:spacing w:before="187"/>
        <w:ind w:left="660" w:hanging="660" w:hangingChars="300"/>
        <w:rPr>
          <w:rFonts w:eastAsia="宋体" w:cs="Arial"/>
        </w:rPr>
      </w:pPr>
      <w:r>
        <w:rPr>
          <w:rFonts w:eastAsia="宋体" w:cs="Arial"/>
        </w:rPr>
        <w:t>不合规公告覆盖时间段内装配的获证系统数。</w:t>
      </w:r>
    </w:p>
    <w:p w14:paraId="798FF254">
      <w:pPr>
        <w:pStyle w:val="15"/>
        <w:numPr>
          <w:ilvl w:val="1"/>
          <w:numId w:val="72"/>
        </w:numPr>
        <w:spacing w:before="187"/>
        <w:ind w:left="660" w:hanging="660" w:hangingChars="300"/>
        <w:rPr>
          <w:rFonts w:eastAsia="宋体" w:cs="Arial"/>
        </w:rPr>
      </w:pPr>
      <w:r>
        <w:rPr>
          <w:rFonts w:eastAsia="宋体" w:cs="Arial"/>
        </w:rPr>
        <w:t>对所有受影响系统进行纠正的时间表。</w:t>
      </w:r>
    </w:p>
    <w:p w14:paraId="7034F90D">
      <w:pPr>
        <w:pStyle w:val="15"/>
        <w:numPr>
          <w:ilvl w:val="1"/>
          <w:numId w:val="72"/>
        </w:numPr>
        <w:spacing w:before="187"/>
        <w:ind w:left="660" w:hanging="660" w:hangingChars="300"/>
        <w:rPr>
          <w:rFonts w:eastAsia="宋体" w:cs="Arial"/>
        </w:rPr>
      </w:pPr>
      <w:r>
        <w:rPr>
          <w:rFonts w:eastAsia="宋体" w:cs="Arial"/>
        </w:rPr>
        <w:t>提交数个全部测试数据副本供FDA审核的规定。</w:t>
      </w:r>
    </w:p>
    <w:p w14:paraId="3A334F05">
      <w:pPr>
        <w:pStyle w:val="15"/>
        <w:numPr>
          <w:ilvl w:val="1"/>
          <w:numId w:val="72"/>
        </w:numPr>
        <w:spacing w:before="187"/>
        <w:ind w:left="660" w:hanging="660" w:hangingChars="300"/>
        <w:rPr>
          <w:rFonts w:eastAsia="宋体" w:cs="Arial"/>
        </w:rPr>
      </w:pPr>
      <w:r>
        <w:rPr>
          <w:rFonts w:eastAsia="宋体" w:cs="Arial"/>
        </w:rPr>
        <w:t>致受影响买方的通知函草稿或已寄出信函的副本。</w:t>
      </w:r>
    </w:p>
    <w:p w14:paraId="0D45B0E8">
      <w:pPr>
        <w:spacing w:before="187"/>
        <w:rPr>
          <w:rFonts w:eastAsia="宋体" w:cs="Arial"/>
        </w:rPr>
      </w:pPr>
      <w:r>
        <w:rPr>
          <w:rFonts w:eastAsia="宋体" w:cs="Arial"/>
        </w:rPr>
        <w:t>装配商在他们最初给管理区的回复中通常不会提交此类详细信息。收到纠正行动计划后，管理区应进行审核。如果需要进一步指导，可致电（301）594-3332与诊断器械科（HFZ-240）联系。由于提交纠正行动计划代表对纠正违规产品的一种承诺，因此，应给企业检查安排时间，以便收集召回信息。</w:t>
      </w:r>
    </w:p>
    <w:p w14:paraId="40D634B6">
      <w:pPr>
        <w:spacing w:before="187"/>
        <w:rPr>
          <w:rFonts w:eastAsia="宋体" w:cs="Arial"/>
        </w:rPr>
      </w:pPr>
      <w:r>
        <w:rPr>
          <w:rFonts w:eastAsia="宋体" w:cs="Arial"/>
        </w:rPr>
        <w:t>在此次检查期间，检验员可获得关于纠正行动计划的上述承诺。如果不能及时进行检查，可致函装配商，要求提供必要信息，并以此代替企业检查。</w:t>
      </w:r>
    </w:p>
    <w:p w14:paraId="0ED62B08">
      <w:pPr>
        <w:spacing w:before="187"/>
        <w:rPr>
          <w:rFonts w:eastAsia="宋体" w:cs="Arial"/>
        </w:rPr>
      </w:pPr>
      <w:r>
        <w:rPr>
          <w:rFonts w:eastAsia="宋体" w:cs="Arial"/>
        </w:rPr>
        <w:t>此时进行的企业检查可对能否提供以上列举的所有项目进行核查。检验员应确认下列事项：</w:t>
      </w:r>
    </w:p>
    <w:p w14:paraId="5779A235">
      <w:pPr>
        <w:pStyle w:val="15"/>
        <w:numPr>
          <w:ilvl w:val="0"/>
          <w:numId w:val="73"/>
        </w:numPr>
        <w:spacing w:before="187"/>
        <w:ind w:left="1300" w:leftChars="400" w:hangingChars="191"/>
        <w:rPr>
          <w:rFonts w:eastAsia="宋体" w:cs="Arial"/>
        </w:rPr>
      </w:pPr>
      <w:r>
        <w:rPr>
          <w:rFonts w:eastAsia="宋体" w:cs="Arial"/>
        </w:rPr>
        <w:t>装配商拥有实施所要求测试所需的测试设备。</w:t>
      </w:r>
    </w:p>
    <w:p w14:paraId="66308EA0">
      <w:pPr>
        <w:pStyle w:val="15"/>
        <w:numPr>
          <w:ilvl w:val="0"/>
          <w:numId w:val="73"/>
        </w:numPr>
        <w:spacing w:before="187"/>
        <w:ind w:left="1300" w:leftChars="400" w:hangingChars="191"/>
        <w:rPr>
          <w:rFonts w:eastAsia="宋体" w:cs="Arial"/>
        </w:rPr>
      </w:pPr>
      <w:r>
        <w:rPr>
          <w:rFonts w:eastAsia="宋体" w:cs="Arial"/>
        </w:rPr>
        <w:t>已对测量设备进行适当校准。</w:t>
      </w:r>
    </w:p>
    <w:p w14:paraId="1C610C4E">
      <w:pPr>
        <w:pStyle w:val="15"/>
        <w:numPr>
          <w:ilvl w:val="0"/>
          <w:numId w:val="73"/>
        </w:numPr>
        <w:spacing w:before="187"/>
        <w:ind w:left="1300" w:leftChars="400" w:hangingChars="191"/>
        <w:rPr>
          <w:rFonts w:eastAsia="宋体" w:cs="Arial"/>
        </w:rPr>
      </w:pPr>
      <w:r>
        <w:rPr>
          <w:rFonts w:eastAsia="宋体" w:cs="Arial"/>
        </w:rPr>
        <w:t>合规测试中将要使用的任何测试方法的适用性。</w:t>
      </w:r>
    </w:p>
    <w:p w14:paraId="4F006927">
      <w:pPr>
        <w:pStyle w:val="15"/>
        <w:numPr>
          <w:ilvl w:val="0"/>
          <w:numId w:val="73"/>
        </w:numPr>
        <w:spacing w:before="187"/>
        <w:ind w:left="1300" w:leftChars="400" w:hangingChars="191"/>
        <w:rPr>
          <w:rFonts w:eastAsia="宋体" w:cs="Arial"/>
        </w:rPr>
      </w:pPr>
      <w:r>
        <w:rPr>
          <w:rFonts w:eastAsia="宋体" w:cs="Arial"/>
        </w:rPr>
        <w:t>装配商对记录进行了维护，供追踪诊断用X射线系统装配项目之用。</w:t>
      </w:r>
    </w:p>
    <w:p w14:paraId="44B8D65A">
      <w:pPr>
        <w:pStyle w:val="15"/>
        <w:numPr>
          <w:ilvl w:val="0"/>
          <w:numId w:val="73"/>
        </w:numPr>
        <w:spacing w:before="187"/>
        <w:ind w:left="1300" w:leftChars="400" w:hangingChars="191"/>
        <w:rPr>
          <w:rFonts w:eastAsia="宋体" w:cs="Arial"/>
        </w:rPr>
      </w:pPr>
      <w:r>
        <w:rPr>
          <w:rFonts w:eastAsia="宋体" w:cs="Arial"/>
        </w:rPr>
        <w:t>装配商拥有能胜任测试工作的工作人员。</w:t>
      </w:r>
    </w:p>
    <w:p w14:paraId="06D71BA2">
      <w:pPr>
        <w:pStyle w:val="15"/>
        <w:numPr>
          <w:ilvl w:val="0"/>
          <w:numId w:val="73"/>
        </w:numPr>
        <w:spacing w:before="187"/>
        <w:ind w:left="1300" w:leftChars="400" w:hangingChars="191"/>
        <w:rPr>
          <w:rFonts w:eastAsia="宋体" w:cs="Arial"/>
        </w:rPr>
      </w:pPr>
      <w:r>
        <w:rPr>
          <w:rFonts w:eastAsia="宋体" w:cs="Arial"/>
        </w:rPr>
        <w:t>装配商能按指定时间表对所有系统予以纠正。</w:t>
      </w:r>
    </w:p>
    <w:p w14:paraId="41F97F9F">
      <w:pPr>
        <w:spacing w:before="187"/>
        <w:rPr>
          <w:rFonts w:eastAsia="宋体" w:cs="Arial"/>
        </w:rPr>
      </w:pPr>
    </w:p>
    <w:p w14:paraId="2C1A7ECA">
      <w:pPr>
        <w:spacing w:before="187"/>
        <w:rPr>
          <w:rFonts w:eastAsia="宋体" w:cs="Arial"/>
        </w:rPr>
      </w:pPr>
      <w:r>
        <w:rPr>
          <w:rFonts w:eastAsia="宋体" w:cs="Arial"/>
        </w:rPr>
        <w:br w:type="page"/>
      </w:r>
    </w:p>
    <w:p w14:paraId="37F07C9E">
      <w:pPr>
        <w:spacing w:before="187"/>
        <w:rPr>
          <w:rFonts w:eastAsia="宋体" w:cs="Arial"/>
        </w:rPr>
      </w:pPr>
      <w:r>
        <w:rPr>
          <w:rFonts w:eastAsia="宋体" w:cs="Arial"/>
        </w:rPr>
        <w:t>对于提交以上信息，您们应考虑授予一个30日的宽限期。装配商可能需要如此多时间准备符合要求的纠正行动计划。如果需要额外时间，可以书面形式通知装配商，他必须在收到本函后15个工作日内将用户通知函提供给受影响买方，否则，他将违背联邦食品、药品及化妆品法案（简称法案）第C分章－电子产品的辐射控制（1968年颁布的原卫生安全法案辐射控制）－第538（a）（2）节的有关规定。</w:t>
      </w:r>
    </w:p>
    <w:p w14:paraId="6EDD49B4">
      <w:pPr>
        <w:spacing w:before="187"/>
        <w:rPr>
          <w:rFonts w:eastAsia="宋体" w:cs="Arial"/>
        </w:rPr>
      </w:pPr>
      <w:r>
        <w:rPr>
          <w:rFonts w:eastAsia="宋体" w:cs="Arial"/>
          <w:u w:val="single"/>
        </w:rPr>
        <w:t>请注意</w:t>
      </w:r>
      <w:r>
        <w:rPr>
          <w:rFonts w:eastAsia="宋体" w:cs="Arial"/>
        </w:rPr>
        <w:t>：豁免通常仅适用于已引入贸易的产品，而不适用于将来或正在进行的安装。根据21 CFR  1010.4的规定，装配商如果想继续将未遵从性能标准某部分的产品引入贸易，可申请变通且变通有可能获准。</w:t>
      </w:r>
    </w:p>
    <w:p w14:paraId="56A18AE3">
      <w:pPr>
        <w:spacing w:before="187"/>
        <w:rPr>
          <w:rFonts w:eastAsia="宋体" w:cs="Arial"/>
        </w:rPr>
      </w:pPr>
    </w:p>
    <w:p w14:paraId="46085D79">
      <w:pPr>
        <w:spacing w:before="187"/>
        <w:rPr>
          <w:rFonts w:eastAsia="宋体" w:cs="Arial"/>
        </w:rPr>
        <w:sectPr>
          <w:headerReference r:id="rId67" w:type="first"/>
          <w:footerReference r:id="rId69" w:type="first"/>
          <w:headerReference r:id="rId66" w:type="default"/>
          <w:footerReference r:id="rId68" w:type="default"/>
          <w:pgSz w:w="11906" w:h="16838"/>
          <w:pgMar w:top="1418" w:right="1418" w:bottom="1418" w:left="1418" w:header="720" w:footer="720" w:gutter="0"/>
          <w:pgNumType w:start="1"/>
          <w:cols w:space="425" w:num="1"/>
          <w:titlePg/>
          <w:docGrid w:type="lines" w:linePitch="312" w:charSpace="0"/>
        </w:sectPr>
      </w:pPr>
    </w:p>
    <w:p w14:paraId="0E81176F">
      <w:pPr>
        <w:spacing w:before="187"/>
        <w:jc w:val="center"/>
        <w:rPr>
          <w:rFonts w:eastAsia="宋体" w:cs="Arial"/>
          <w:b/>
          <w:u w:val="single"/>
        </w:rPr>
      </w:pPr>
      <w:r>
        <w:rPr>
          <w:rFonts w:eastAsia="宋体" w:cs="Arial"/>
          <w:b/>
          <w:u w:val="single"/>
        </w:rPr>
        <w:t>关于管理区发布装配商召回和纠正行动计划的致用户通知函模板</w:t>
      </w:r>
    </w:p>
    <w:p w14:paraId="209277ED">
      <w:pPr>
        <w:spacing w:before="187"/>
        <w:rPr>
          <w:rFonts w:eastAsia="宋体" w:cs="Arial"/>
        </w:rPr>
      </w:pPr>
    </w:p>
    <w:p w14:paraId="13D1AE87">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34D66733">
      <w:pPr>
        <w:spacing w:before="187"/>
        <w:rPr>
          <w:rFonts w:eastAsia="宋体" w:cs="Arial"/>
        </w:rPr>
      </w:pPr>
    </w:p>
    <w:p w14:paraId="07C6F263">
      <w:pPr>
        <w:spacing w:before="187"/>
        <w:rPr>
          <w:rFonts w:eastAsia="宋体" w:cs="Arial"/>
        </w:rPr>
      </w:pPr>
      <w:r>
        <w:rPr>
          <w:rFonts w:eastAsia="宋体" w:cs="Arial"/>
        </w:rPr>
        <w:t>医生姓名</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07CADF4B">
      <w:pPr>
        <w:spacing w:before="187"/>
        <w:rPr>
          <w:rFonts w:eastAsia="宋体" w:cs="Arial"/>
        </w:rPr>
      </w:pPr>
    </w:p>
    <w:p w14:paraId="70B46C07">
      <w:pPr>
        <w:spacing w:before="187"/>
        <w:rPr>
          <w:rFonts w:eastAsia="宋体" w:cs="Arial"/>
        </w:rPr>
      </w:pPr>
      <w:r>
        <w:rPr>
          <w:rFonts w:eastAsia="宋体" w:cs="Arial"/>
        </w:rPr>
        <w:t>致（</w:t>
      </w:r>
      <w:r>
        <w:rPr>
          <w:rFonts w:eastAsia="宋体" w:cs="Arial"/>
          <w:u w:val="single"/>
        </w:rPr>
        <w:t>收信人</w:t>
      </w:r>
      <w:r>
        <w:rPr>
          <w:rFonts w:eastAsia="宋体" w:cs="Arial"/>
        </w:rPr>
        <w:t>）：</w:t>
      </w:r>
    </w:p>
    <w:p w14:paraId="7D026CA5">
      <w:pPr>
        <w:spacing w:before="187"/>
        <w:rPr>
          <w:rFonts w:eastAsia="宋体" w:cs="Arial"/>
        </w:rPr>
      </w:pPr>
      <w:r>
        <w:rPr>
          <w:rFonts w:eastAsia="宋体" w:cs="Arial"/>
        </w:rPr>
        <w:t>食品药品监督管理局（FDA）已通知（</w:t>
      </w:r>
      <w:r>
        <w:rPr>
          <w:rFonts w:eastAsia="宋体" w:cs="Arial"/>
          <w:u w:val="single"/>
        </w:rPr>
        <w:t>公司名称，如ABC X射线公司</w:t>
      </w:r>
      <w:r>
        <w:rPr>
          <w:rFonts w:eastAsia="宋体" w:cs="Arial"/>
        </w:rPr>
        <w:t>），该公司1985年1月1日以来装配的诊断用X射线系统未遵从诊断用X射线系统及其主要组件的性能标准（性能标准）。FDA在通知中称，在他们测试的（</w:t>
      </w:r>
      <w:r>
        <w:rPr>
          <w:rFonts w:eastAsia="宋体" w:cs="Arial"/>
          <w:u w:val="single"/>
        </w:rPr>
        <w:t>数字，如27</w:t>
      </w:r>
      <w:r>
        <w:rPr>
          <w:rFonts w:eastAsia="宋体" w:cs="Arial"/>
        </w:rPr>
        <w:t>）个系统中，有（</w:t>
      </w:r>
      <w:r>
        <w:rPr>
          <w:rFonts w:eastAsia="宋体" w:cs="Arial"/>
          <w:u w:val="single"/>
        </w:rPr>
        <w:t>数字，如43</w:t>
      </w:r>
      <w:r>
        <w:rPr>
          <w:rFonts w:eastAsia="宋体" w:cs="Arial"/>
        </w:rPr>
        <w:t>）％未遵从诊断用X射线系统及其主要组件的性能标准（21 CFR 1020.30）。</w:t>
      </w:r>
    </w:p>
    <w:p w14:paraId="4E184B92">
      <w:pPr>
        <w:spacing w:before="187"/>
        <w:rPr>
          <w:rFonts w:eastAsia="宋体" w:cs="Arial"/>
        </w:rPr>
      </w:pPr>
      <w:r>
        <w:rPr>
          <w:rFonts w:eastAsia="宋体" w:cs="Arial"/>
        </w:rPr>
        <w:t>我们与FDA一起制定了对（</w:t>
      </w:r>
      <w:r>
        <w:rPr>
          <w:rFonts w:eastAsia="宋体" w:cs="Arial"/>
          <w:u w:val="single"/>
        </w:rPr>
        <w:t>日期，如1985年6月1日</w:t>
      </w:r>
      <w:r>
        <w:rPr>
          <w:rFonts w:eastAsia="宋体" w:cs="Arial"/>
        </w:rPr>
        <w:t>）以来安装的所有诊断用X射线系统进行测试的计划。在测试的所有系统中，如果没有遵从性能标准，均将根据纠正不合规的需要予以调校和再校准。这些工作对贵公司、买方/用户均为免费。</w:t>
      </w:r>
    </w:p>
    <w:p w14:paraId="5F6D46FF">
      <w:pPr>
        <w:spacing w:before="187"/>
        <w:rPr>
          <w:rFonts w:eastAsia="宋体" w:cs="Arial"/>
        </w:rPr>
      </w:pPr>
      <w:r>
        <w:rPr>
          <w:rFonts w:eastAsia="宋体" w:cs="Arial"/>
        </w:rPr>
        <w:t>对不合规诊断用X射线系统进行纠正是联邦食品、药品及化妆品法案第C分章－电子产品的辐射控制（1968年颁布的原卫生安全法案辐射控制）－第535节的要求。</w:t>
      </w:r>
    </w:p>
    <w:p w14:paraId="4B6DDC42">
      <w:pPr>
        <w:spacing w:before="187"/>
        <w:rPr>
          <w:rFonts w:eastAsia="宋体" w:cs="Arial"/>
        </w:rPr>
      </w:pPr>
      <w:r>
        <w:rPr>
          <w:rFonts w:eastAsia="宋体" w:cs="Arial"/>
        </w:rPr>
        <w:t>计划对诊断用X射线系统进行测试时，我们会立即与您联系，并做出必要调整。</w:t>
      </w:r>
    </w:p>
    <w:p w14:paraId="04AFBA97">
      <w:pPr>
        <w:spacing w:before="187"/>
        <w:ind w:right="840"/>
        <w:rPr>
          <w:rFonts w:eastAsia="宋体" w:cs="Arial"/>
        </w:rPr>
      </w:pPr>
    </w:p>
    <w:p w14:paraId="109B949B">
      <w:pPr>
        <w:spacing w:before="187"/>
        <w:ind w:left="4400" w:leftChars="2000"/>
        <w:rPr>
          <w:rFonts w:eastAsia="宋体" w:cs="Arial"/>
        </w:rPr>
      </w:pPr>
      <w:r>
        <w:rPr>
          <w:rFonts w:eastAsia="宋体" w:cs="Arial"/>
        </w:rPr>
        <w:t>顺祝商祺，</w:t>
      </w:r>
    </w:p>
    <w:p w14:paraId="30190145">
      <w:pPr>
        <w:spacing w:before="187"/>
        <w:ind w:left="4400" w:leftChars="2000"/>
        <w:rPr>
          <w:rFonts w:eastAsia="宋体" w:cs="Arial"/>
        </w:rPr>
      </w:pPr>
    </w:p>
    <w:p w14:paraId="1095A9C8">
      <w:pPr>
        <w:spacing w:before="187"/>
        <w:ind w:left="4400" w:leftChars="2000"/>
        <w:rPr>
          <w:rFonts w:eastAsia="宋体" w:cs="Arial"/>
          <w:u w:val="single"/>
        </w:rPr>
      </w:pPr>
      <w:r>
        <w:rPr>
          <w:rFonts w:eastAsia="宋体" w:cs="Arial"/>
        </w:rPr>
        <w:t>John Doe</w:t>
      </w:r>
      <w:r>
        <w:rPr>
          <w:rFonts w:eastAsia="宋体" w:cs="Arial"/>
        </w:rPr>
        <w:br w:type="textWrapping"/>
      </w:r>
      <w:r>
        <w:rPr>
          <w:rFonts w:eastAsia="宋体" w:cs="Arial"/>
          <w:u w:val="single"/>
        </w:rPr>
        <w:t>ABC X射线公司</w:t>
      </w:r>
    </w:p>
    <w:p w14:paraId="3C25B7ED">
      <w:pPr>
        <w:spacing w:before="187"/>
        <w:ind w:right="840"/>
        <w:rPr>
          <w:rFonts w:eastAsia="宋体" w:cs="Arial"/>
        </w:rPr>
      </w:pPr>
    </w:p>
    <w:p w14:paraId="4BE63ED7">
      <w:pPr>
        <w:spacing w:before="187"/>
        <w:ind w:right="840"/>
        <w:rPr>
          <w:rFonts w:eastAsia="宋体" w:cs="Arial"/>
        </w:rPr>
        <w:sectPr>
          <w:headerReference r:id="rId70" w:type="first"/>
          <w:footerReference r:id="rId71" w:type="first"/>
          <w:pgSz w:w="11906" w:h="16838"/>
          <w:pgMar w:top="1418" w:right="1418" w:bottom="1418" w:left="1418" w:header="720" w:footer="720" w:gutter="0"/>
          <w:pgNumType w:start="1"/>
          <w:cols w:space="425" w:num="1"/>
          <w:titlePg/>
          <w:docGrid w:type="lines" w:linePitch="312" w:charSpace="0"/>
        </w:sectPr>
      </w:pPr>
    </w:p>
    <w:p w14:paraId="5B28D62E">
      <w:pPr>
        <w:spacing w:before="187"/>
        <w:jc w:val="center"/>
        <w:rPr>
          <w:rFonts w:eastAsia="宋体" w:cs="Arial"/>
          <w:b/>
          <w:u w:val="single"/>
        </w:rPr>
      </w:pPr>
      <w:r>
        <w:rPr>
          <w:rFonts w:eastAsia="宋体" w:cs="Arial"/>
          <w:b/>
          <w:u w:val="single"/>
        </w:rPr>
        <w:t>致X射线装配商的纠正行动计划批准函模板</w:t>
      </w:r>
    </w:p>
    <w:p w14:paraId="568C0B3A">
      <w:pPr>
        <w:spacing w:before="187"/>
        <w:rPr>
          <w:rFonts w:eastAsia="宋体" w:cs="Arial"/>
        </w:rPr>
      </w:pPr>
    </w:p>
    <w:p w14:paraId="22B16799">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62598B6A">
      <w:pPr>
        <w:spacing w:before="187"/>
        <w:rPr>
          <w:rFonts w:eastAsia="宋体" w:cs="Arial"/>
        </w:rPr>
      </w:pPr>
    </w:p>
    <w:p w14:paraId="3158CF0F">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65CF129E">
      <w:pPr>
        <w:spacing w:before="187"/>
        <w:rPr>
          <w:rFonts w:eastAsia="宋体" w:cs="Arial"/>
        </w:rPr>
      </w:pPr>
    </w:p>
    <w:p w14:paraId="383BF313">
      <w:pPr>
        <w:spacing w:before="187"/>
        <w:rPr>
          <w:rFonts w:eastAsia="宋体" w:cs="Arial"/>
        </w:rPr>
      </w:pPr>
      <w:r>
        <w:rPr>
          <w:rFonts w:eastAsia="宋体" w:cs="Arial"/>
        </w:rPr>
        <w:t>致（</w:t>
      </w:r>
      <w:r>
        <w:rPr>
          <w:rFonts w:eastAsia="宋体" w:cs="Arial"/>
          <w:u w:val="single"/>
        </w:rPr>
        <w:t>收信人</w:t>
      </w:r>
      <w:r>
        <w:rPr>
          <w:rFonts w:eastAsia="宋体" w:cs="Arial"/>
        </w:rPr>
        <w:t>）：</w:t>
      </w:r>
    </w:p>
    <w:p w14:paraId="66DD2641">
      <w:pPr>
        <w:spacing w:before="187"/>
        <w:rPr>
          <w:rFonts w:eastAsia="宋体" w:cs="Arial"/>
        </w:rPr>
      </w:pPr>
      <w:r>
        <w:rPr>
          <w:rFonts w:eastAsia="宋体" w:cs="Arial"/>
        </w:rPr>
        <w:t>（</w:t>
      </w:r>
      <w:r>
        <w:rPr>
          <w:rFonts w:eastAsia="宋体" w:cs="Arial"/>
          <w:u w:val="single"/>
        </w:rPr>
        <w:t>日期</w:t>
      </w:r>
      <w:r>
        <w:rPr>
          <w:rFonts w:eastAsia="宋体" w:cs="Arial"/>
        </w:rPr>
        <w:t>），FDA给您邮寄了一封信函，通知（</w:t>
      </w:r>
      <w:r>
        <w:rPr>
          <w:rFonts w:eastAsia="宋体" w:cs="Arial"/>
          <w:u w:val="single"/>
        </w:rPr>
        <w:t>年/月/日</w:t>
      </w:r>
      <w:r>
        <w:rPr>
          <w:rFonts w:eastAsia="宋体" w:cs="Arial"/>
        </w:rPr>
        <w:t>）至（</w:t>
      </w:r>
      <w:r>
        <w:rPr>
          <w:rFonts w:eastAsia="宋体" w:cs="Arial"/>
          <w:u w:val="single"/>
        </w:rPr>
        <w:t>年/月/日</w:t>
      </w:r>
      <w:r>
        <w:rPr>
          <w:rFonts w:eastAsia="宋体" w:cs="Arial"/>
        </w:rPr>
        <w:t>）期间，FDA对获证诊断用X射线系统装配项目进行了测试。在这些装配项目中，有（</w:t>
      </w:r>
      <w:r>
        <w:rPr>
          <w:rFonts w:eastAsia="宋体" w:cs="Arial"/>
          <w:u w:val="single"/>
        </w:rPr>
        <w:t>数字，如43</w:t>
      </w:r>
      <w:r>
        <w:rPr>
          <w:rFonts w:eastAsia="宋体" w:cs="Arial"/>
        </w:rPr>
        <w:t>）％未遵从诊断用X射线系统及其主要组件的性能标准（性能标准）。在信函概述的3个选项中，您选择了提交纠正行动计划（CAP）。您在（年/月/日）的信函中提交了纠正行动计划的部分内容。</w:t>
      </w:r>
    </w:p>
    <w:p w14:paraId="5B6814E6">
      <w:pPr>
        <w:spacing w:before="187"/>
        <w:rPr>
          <w:rFonts w:eastAsia="宋体" w:cs="Arial"/>
        </w:rPr>
      </w:pPr>
      <w:r>
        <w:rPr>
          <w:rFonts w:eastAsia="宋体" w:cs="Arial"/>
        </w:rPr>
        <w:t>（</w:t>
      </w:r>
      <w:r>
        <w:rPr>
          <w:rFonts w:eastAsia="宋体" w:cs="Arial"/>
          <w:u w:val="single"/>
        </w:rPr>
        <w:t>日期</w:t>
      </w:r>
      <w:r>
        <w:rPr>
          <w:rFonts w:eastAsia="宋体" w:cs="Arial"/>
        </w:rPr>
        <w:t>），办公室的FDA检验员访问了贵公司，想获取关于您提出的纠正行动计划详情的进一步信息。（</w:t>
      </w:r>
      <w:r>
        <w:rPr>
          <w:rFonts w:eastAsia="宋体" w:cs="Arial"/>
          <w:u w:val="single"/>
        </w:rPr>
        <w:t>日期</w:t>
      </w:r>
      <w:r>
        <w:rPr>
          <w:rFonts w:eastAsia="宋体" w:cs="Arial"/>
        </w:rPr>
        <w:t>），提交了其它信息，这样您的纠正行动计划才算完整。</w:t>
      </w:r>
    </w:p>
    <w:p w14:paraId="3E35598E">
      <w:pPr>
        <w:spacing w:before="187"/>
        <w:rPr>
          <w:rFonts w:eastAsia="宋体" w:cs="Arial"/>
        </w:rPr>
      </w:pPr>
      <w:r>
        <w:rPr>
          <w:rFonts w:eastAsia="宋体" w:cs="Arial"/>
        </w:rPr>
        <w:t>我们理解，您计划按下列步骤实施纠正行动计划：</w:t>
      </w:r>
    </w:p>
    <w:p w14:paraId="14FFBE43">
      <w:pPr>
        <w:pStyle w:val="15"/>
        <w:numPr>
          <w:ilvl w:val="1"/>
          <w:numId w:val="74"/>
        </w:numPr>
        <w:spacing w:before="187"/>
        <w:ind w:left="660" w:hanging="660" w:hangingChars="300"/>
        <w:rPr>
          <w:rFonts w:eastAsia="宋体" w:cs="Arial"/>
        </w:rPr>
      </w:pPr>
      <w:r>
        <w:rPr>
          <w:rFonts w:eastAsia="宋体" w:cs="Arial"/>
        </w:rPr>
        <w:t>将对（</w:t>
      </w:r>
      <w:r>
        <w:rPr>
          <w:rFonts w:eastAsia="宋体" w:cs="Arial"/>
          <w:u w:val="single"/>
        </w:rPr>
        <w:t>年/月/日</w:t>
      </w:r>
      <w:r>
        <w:rPr>
          <w:rFonts w:eastAsia="宋体" w:cs="Arial"/>
        </w:rPr>
        <w:t>）至（</w:t>
      </w:r>
      <w:r>
        <w:rPr>
          <w:rFonts w:eastAsia="宋体" w:cs="Arial"/>
          <w:u w:val="single"/>
        </w:rPr>
        <w:t>年/月/日</w:t>
      </w:r>
      <w:r>
        <w:rPr>
          <w:rFonts w:eastAsia="宋体" w:cs="Arial"/>
        </w:rPr>
        <w:t>）期间装配的所有完全获证诊断用X射线系统安装项目进行确认。</w:t>
      </w:r>
    </w:p>
    <w:p w14:paraId="2A4B8798">
      <w:pPr>
        <w:pStyle w:val="15"/>
        <w:numPr>
          <w:ilvl w:val="1"/>
          <w:numId w:val="74"/>
        </w:numPr>
        <w:spacing w:before="187"/>
        <w:ind w:left="660" w:hanging="660" w:hangingChars="300"/>
        <w:rPr>
          <w:rFonts w:eastAsia="宋体" w:cs="Arial"/>
        </w:rPr>
      </w:pPr>
      <w:r>
        <w:rPr>
          <w:rFonts w:eastAsia="宋体" w:cs="Arial"/>
        </w:rPr>
        <w:t>将把的纠正行动计划通知所有受影响买方（通过签收邮件）。</w:t>
      </w:r>
    </w:p>
    <w:p w14:paraId="3A18A89B">
      <w:pPr>
        <w:pStyle w:val="15"/>
        <w:numPr>
          <w:ilvl w:val="1"/>
          <w:numId w:val="74"/>
        </w:numPr>
        <w:spacing w:before="187"/>
        <w:ind w:left="660" w:hanging="660" w:hangingChars="300"/>
        <w:rPr>
          <w:rFonts w:eastAsia="宋体" w:cs="Arial"/>
        </w:rPr>
      </w:pPr>
      <w:r>
        <w:rPr>
          <w:rFonts w:eastAsia="宋体" w:cs="Arial"/>
        </w:rPr>
        <w:t>将对1中报告的完全获证诊断用X射线系统（FDA以前未对其进行过测试）的所有装配项目进行重新测试，以确定每个系统是否完全遵从性能标准。</w:t>
      </w:r>
    </w:p>
    <w:p w14:paraId="066FAE82">
      <w:pPr>
        <w:pStyle w:val="15"/>
        <w:numPr>
          <w:ilvl w:val="1"/>
          <w:numId w:val="74"/>
        </w:numPr>
        <w:spacing w:before="187"/>
        <w:ind w:left="660" w:hanging="660" w:hangingChars="300"/>
        <w:rPr>
          <w:rFonts w:eastAsia="宋体" w:cs="Arial"/>
        </w:rPr>
      </w:pPr>
      <w:r>
        <w:rPr>
          <w:rFonts w:eastAsia="宋体" w:cs="Arial"/>
        </w:rPr>
        <w:t>将纠正重新测试期间遇到的所有不合规事项。还要将遇到的每个不合规事项通知FDA办公室。</w:t>
      </w:r>
    </w:p>
    <w:p w14:paraId="6B1B6A27">
      <w:pPr>
        <w:pStyle w:val="15"/>
        <w:numPr>
          <w:ilvl w:val="1"/>
          <w:numId w:val="74"/>
        </w:numPr>
        <w:spacing w:before="187"/>
        <w:ind w:left="660" w:hanging="660" w:hangingChars="300"/>
        <w:rPr>
          <w:rFonts w:eastAsia="宋体" w:cs="Arial"/>
        </w:rPr>
      </w:pPr>
      <w:r>
        <w:rPr>
          <w:rFonts w:eastAsia="宋体" w:cs="Arial"/>
        </w:rPr>
        <w:t>________________________________</w:t>
      </w:r>
    </w:p>
    <w:p w14:paraId="424878E2">
      <w:pPr>
        <w:pStyle w:val="15"/>
        <w:numPr>
          <w:ilvl w:val="1"/>
          <w:numId w:val="74"/>
        </w:numPr>
        <w:spacing w:before="187"/>
        <w:ind w:left="660" w:hanging="660" w:hangingChars="300"/>
        <w:rPr>
          <w:rFonts w:eastAsia="宋体" w:cs="Arial"/>
        </w:rPr>
      </w:pPr>
      <w:r>
        <w:rPr>
          <w:rFonts w:eastAsia="宋体" w:cs="Arial"/>
        </w:rPr>
        <w:t>________________________________</w:t>
      </w:r>
    </w:p>
    <w:p w14:paraId="6A27C736">
      <w:pPr>
        <w:spacing w:before="187"/>
        <w:ind w:right="840"/>
        <w:rPr>
          <w:rFonts w:eastAsia="宋体" w:cs="Arial"/>
        </w:rPr>
      </w:pPr>
      <w:r>
        <w:rPr>
          <w:rFonts w:eastAsia="宋体" w:cs="Arial"/>
        </w:rPr>
        <w:t>我们将以下列情况对纠正行动计划予以核准：</w:t>
      </w:r>
    </w:p>
    <w:p w14:paraId="3547FEF9">
      <w:pPr>
        <w:spacing w:before="187"/>
        <w:ind w:right="840"/>
        <w:rPr>
          <w:rFonts w:eastAsia="宋体" w:cs="Arial"/>
        </w:rPr>
      </w:pPr>
      <w:r>
        <w:rPr>
          <w:rFonts w:eastAsia="宋体" w:cs="Arial"/>
        </w:rPr>
        <w:br w:type="page"/>
      </w:r>
    </w:p>
    <w:p w14:paraId="4F12DB70">
      <w:pPr>
        <w:pStyle w:val="15"/>
        <w:numPr>
          <w:ilvl w:val="1"/>
          <w:numId w:val="75"/>
        </w:numPr>
        <w:spacing w:before="187"/>
        <w:ind w:left="660" w:hanging="660" w:hangingChars="300"/>
        <w:rPr>
          <w:rFonts w:eastAsia="宋体" w:cs="Arial"/>
        </w:rPr>
      </w:pPr>
      <w:r>
        <w:rPr>
          <w:rFonts w:eastAsia="宋体" w:cs="Arial"/>
        </w:rPr>
        <w:t>将提交月度状态报告，其中包括：（1）将要纠正的系统数，（2）已寄出买方通知函数，（3）因无法送达而退回的信函数，（4）接受测试的系统数，（5）不合规系统数，（6）已纠正的不合规系统数，包括每个不合规事项的详情。</w:t>
      </w:r>
    </w:p>
    <w:p w14:paraId="25EF6CAA">
      <w:pPr>
        <w:spacing w:before="187"/>
        <w:ind w:left="660" w:leftChars="300"/>
        <w:rPr>
          <w:rFonts w:eastAsia="宋体" w:cs="Arial"/>
        </w:rPr>
      </w:pPr>
      <w:r>
        <w:rPr>
          <w:rFonts w:eastAsia="宋体" w:cs="Arial"/>
          <w:u w:val="single"/>
        </w:rPr>
        <w:t>买方通知将根据21 CFR 1003.21的所有要求进行制作</w:t>
      </w:r>
      <w:r>
        <w:rPr>
          <w:rFonts w:eastAsia="宋体" w:cs="Arial"/>
        </w:rPr>
        <w:t>。该办公室将作为买方包含在通知流程中。</w:t>
      </w:r>
    </w:p>
    <w:p w14:paraId="424D7139">
      <w:pPr>
        <w:spacing w:before="187"/>
        <w:rPr>
          <w:rFonts w:eastAsia="宋体" w:cs="Arial"/>
        </w:rPr>
      </w:pPr>
    </w:p>
    <w:p w14:paraId="6BD0DF7F">
      <w:pPr>
        <w:pStyle w:val="15"/>
        <w:numPr>
          <w:ilvl w:val="1"/>
          <w:numId w:val="75"/>
        </w:numPr>
        <w:spacing w:before="187"/>
        <w:ind w:left="660" w:hanging="660" w:hangingChars="300"/>
        <w:rPr>
          <w:rFonts w:eastAsia="宋体" w:cs="Arial"/>
        </w:rPr>
      </w:pPr>
      <w:r>
        <w:rPr>
          <w:rFonts w:eastAsia="宋体" w:cs="Arial"/>
        </w:rPr>
        <w:t>______________________________________。</w:t>
      </w:r>
    </w:p>
    <w:p w14:paraId="018451EB">
      <w:pPr>
        <w:spacing w:before="187"/>
        <w:rPr>
          <w:rFonts w:eastAsia="宋体" w:cs="Arial"/>
        </w:rPr>
      </w:pPr>
      <w:r>
        <w:rPr>
          <w:rFonts w:eastAsia="宋体" w:cs="Arial"/>
        </w:rPr>
        <w:t>收到本函后，即可开始实施纠正行动计划。</w:t>
      </w:r>
    </w:p>
    <w:p w14:paraId="6AF8A310">
      <w:pPr>
        <w:spacing w:before="187"/>
        <w:rPr>
          <w:rFonts w:eastAsia="宋体" w:cs="Arial"/>
        </w:rPr>
      </w:pPr>
      <w:r>
        <w:rPr>
          <w:rFonts w:eastAsia="宋体" w:cs="Arial"/>
        </w:rPr>
        <w:t>请注意，</w:t>
      </w:r>
      <w:r>
        <w:rPr>
          <w:rFonts w:eastAsia="宋体" w:cs="Arial"/>
          <w:u w:val="single"/>
        </w:rPr>
        <w:t>ABC X射线公司</w:t>
      </w:r>
      <w:r>
        <w:rPr>
          <w:rFonts w:eastAsia="宋体" w:cs="Arial"/>
        </w:rPr>
        <w:t>将负责对您在（</w:t>
      </w:r>
      <w:r>
        <w:rPr>
          <w:rFonts w:eastAsia="宋体" w:cs="Arial"/>
          <w:u w:val="single"/>
        </w:rPr>
        <w:t>年/月/日</w:t>
      </w:r>
      <w:r>
        <w:rPr>
          <w:rFonts w:eastAsia="宋体" w:cs="Arial"/>
        </w:rPr>
        <w:t>）至（</w:t>
      </w:r>
      <w:r>
        <w:rPr>
          <w:rFonts w:eastAsia="宋体" w:cs="Arial"/>
          <w:u w:val="single"/>
        </w:rPr>
        <w:t>年/月/日</w:t>
      </w:r>
      <w:r>
        <w:rPr>
          <w:rFonts w:eastAsia="宋体" w:cs="Arial"/>
        </w:rPr>
        <w:t>）期间装配的所有获证X射线系统进行纠正。如果事实证明纠正行动计划无效，我们将保留要求您采取更严厉措施的权力。</w:t>
      </w:r>
    </w:p>
    <w:p w14:paraId="6FFB8DA3">
      <w:pPr>
        <w:spacing w:before="187"/>
        <w:rPr>
          <w:rFonts w:eastAsia="宋体" w:cs="Arial"/>
        </w:rPr>
      </w:pPr>
      <w:r>
        <w:rPr>
          <w:rFonts w:eastAsia="宋体" w:cs="Arial"/>
        </w:rPr>
        <w:t>食品药品监督管理局将诊断用X射线产品纠正行动计划与召回归为一类。我们将把本次召回的分类和FDA的召回编号通知您。制作月度报告时或将来与该纠正行动计划有关的任何通信中，请注明召回编号。应将月度状态报告寄至：</w:t>
      </w:r>
    </w:p>
    <w:p w14:paraId="788E6F09">
      <w:pPr>
        <w:spacing w:before="187"/>
        <w:ind w:left="1100" w:leftChars="500"/>
        <w:rPr>
          <w:rFonts w:eastAsia="宋体" w:cs="Arial"/>
          <w:u w:val="single"/>
        </w:rPr>
      </w:pPr>
      <w:r>
        <w:rPr>
          <w:rFonts w:eastAsia="宋体" w:cs="Arial"/>
          <w:u w:val="single"/>
        </w:rPr>
        <w:t>（姓名）</w:t>
      </w:r>
      <w:r>
        <w:rPr>
          <w:rFonts w:eastAsia="宋体" w:cs="Arial"/>
          <w:u w:val="single"/>
        </w:rPr>
        <w:br w:type="textWrapping"/>
      </w:r>
      <w:r>
        <w:rPr>
          <w:rFonts w:eastAsia="宋体" w:cs="Arial"/>
        </w:rPr>
        <w:t>HFR-召回和突发事件协调员，</w:t>
      </w:r>
      <w:r>
        <w:rPr>
          <w:rFonts w:eastAsia="宋体" w:cs="Arial"/>
        </w:rPr>
        <w:br w:type="textWrapping"/>
      </w:r>
      <w:r>
        <w:rPr>
          <w:rFonts w:eastAsia="宋体" w:cs="Arial"/>
        </w:rPr>
        <w:t>食品药品监督管理局</w:t>
      </w:r>
      <w:r>
        <w:rPr>
          <w:rFonts w:eastAsia="宋体" w:cs="Arial"/>
        </w:rPr>
        <w:br w:type="textWrapping"/>
      </w:r>
      <w:r>
        <w:rPr>
          <w:rFonts w:eastAsia="宋体" w:cs="Arial"/>
          <w:u w:val="single"/>
        </w:rPr>
        <w:t>（街道地址）</w:t>
      </w:r>
      <w:r>
        <w:rPr>
          <w:rFonts w:eastAsia="宋体" w:cs="Arial"/>
          <w:u w:val="single"/>
        </w:rPr>
        <w:br w:type="textWrapping"/>
      </w:r>
      <w:r>
        <w:rPr>
          <w:rFonts w:eastAsia="宋体" w:cs="Arial"/>
          <w:u w:val="single"/>
        </w:rPr>
        <w:t>（城市、州和邮政编码）</w:t>
      </w:r>
    </w:p>
    <w:p w14:paraId="1672BAFD">
      <w:pPr>
        <w:spacing w:before="187"/>
        <w:rPr>
          <w:rFonts w:eastAsia="宋体" w:cs="Arial"/>
        </w:rPr>
      </w:pPr>
      <w:r>
        <w:rPr>
          <w:rFonts w:eastAsia="宋体" w:cs="Arial"/>
        </w:rPr>
        <w:t>请注意，在FDA的强制执行报告中围绕对性能标准的所有不合规事项报告事实是FDA政策的要求。公众可随意使用本出版物。</w:t>
      </w:r>
    </w:p>
    <w:p w14:paraId="29FA696C">
      <w:pPr>
        <w:spacing w:before="187"/>
        <w:rPr>
          <w:rFonts w:eastAsia="宋体" w:cs="Arial"/>
        </w:rPr>
      </w:pPr>
      <w:r>
        <w:rPr>
          <w:rFonts w:eastAsia="宋体" w:cs="Arial"/>
        </w:rPr>
        <w:t>关于此事，如果有任何疑问，请致电（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7C597989">
      <w:pPr>
        <w:spacing w:before="187"/>
        <w:rPr>
          <w:rFonts w:eastAsia="宋体" w:cs="Arial"/>
        </w:rPr>
      </w:pPr>
    </w:p>
    <w:p w14:paraId="4B6C7AF0">
      <w:pPr>
        <w:spacing w:before="187"/>
        <w:rPr>
          <w:rFonts w:eastAsia="宋体" w:cs="Arial"/>
        </w:rPr>
      </w:pPr>
    </w:p>
    <w:p w14:paraId="6BF7005E">
      <w:pPr>
        <w:spacing w:before="187"/>
        <w:ind w:left="4400" w:leftChars="2000"/>
        <w:rPr>
          <w:rFonts w:eastAsia="宋体" w:cs="Arial"/>
        </w:rPr>
      </w:pPr>
      <w:r>
        <w:rPr>
          <w:rFonts w:eastAsia="宋体" w:cs="Arial"/>
        </w:rPr>
        <w:t>顺祝商祺，</w:t>
      </w:r>
    </w:p>
    <w:p w14:paraId="1F34D66F">
      <w:pPr>
        <w:spacing w:before="187"/>
        <w:ind w:left="4400" w:leftChars="2000"/>
        <w:rPr>
          <w:rFonts w:eastAsia="宋体" w:cs="Arial"/>
        </w:rPr>
      </w:pPr>
      <w:r>
        <w:rPr>
          <w:rFonts w:eastAsia="宋体" w:cs="Arial"/>
        </w:rPr>
        <w:t>管理区主任</w:t>
      </w:r>
    </w:p>
    <w:p w14:paraId="009766C7">
      <w:pPr>
        <w:spacing w:before="187"/>
        <w:rPr>
          <w:rFonts w:eastAsia="宋体" w:cs="Arial"/>
        </w:rPr>
      </w:pPr>
    </w:p>
    <w:p w14:paraId="73EDB106">
      <w:pPr>
        <w:pBdr>
          <w:bottom w:val="single" w:color="auto" w:sz="6" w:space="1"/>
        </w:pBdr>
        <w:spacing w:before="187"/>
        <w:jc w:val="center"/>
        <w:rPr>
          <w:rFonts w:hint="eastAsia" w:eastAsia="宋体"/>
          <w:lang w:eastAsia="zh-CN"/>
        </w:rPr>
      </w:pPr>
    </w:p>
    <w:p w14:paraId="18FD320D">
      <w:pPr>
        <w:pBdr>
          <w:bottom w:val="single" w:color="auto" w:sz="6" w:space="1"/>
        </w:pBdr>
        <w:spacing w:before="187"/>
        <w:jc w:val="center"/>
        <w:rPr>
          <w:rFonts w:hint="eastAsia" w:eastAsia="宋体"/>
          <w:lang w:eastAsia="zh-CN"/>
        </w:rPr>
      </w:pPr>
    </w:p>
    <w:p w14:paraId="5BD35E92">
      <w:pPr>
        <w:pBdr>
          <w:bottom w:val="single" w:color="auto" w:sz="6" w:space="1"/>
        </w:pBd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9"/>
                    <a:stretch>
                      <a:fillRect/>
                    </a:stretch>
                  </pic:blipFill>
                  <pic:spPr>
                    <a:xfrm>
                      <a:off x="0" y="0"/>
                      <a:ext cx="5210175" cy="7343775"/>
                    </a:xfrm>
                    <a:prstGeom prst="rect">
                      <a:avLst/>
                    </a:prstGeom>
                  </pic:spPr>
                </pic:pic>
              </a:graphicData>
            </a:graphic>
          </wp:inline>
        </w:drawing>
      </w:r>
    </w:p>
    <w:sectPr>
      <w:headerReference r:id="rId73" w:type="first"/>
      <w:footerReference r:id="rId75" w:type="first"/>
      <w:headerReference r:id="rId72" w:type="default"/>
      <w:footerReference r:id="rId74" w:type="default"/>
      <w:pgSz w:w="11906" w:h="16838"/>
      <w:pgMar w:top="1418" w:right="1418" w:bottom="1418" w:left="1418" w:header="720" w:footer="720"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89B0">
    <w:pPr>
      <w:pStyle w:val="4"/>
      <w:spacing w:before="14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B89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1FFC1B65">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873D">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9</w:t>
    </w:r>
    <w:r>
      <w:rPr>
        <w:sz w:val="18"/>
        <w:szCs w:val="18"/>
      </w:rPr>
      <w:fldChar w:fldCharType="end"/>
    </w:r>
    <w:r>
      <w:rPr>
        <w:rFonts w:hint="eastAsia"/>
        <w:sz w:val="18"/>
        <w:szCs w:val="18"/>
      </w:rPr>
      <w:t>/9页</w:t>
    </w:r>
  </w:p>
  <w:p w14:paraId="3218013B">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CD4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/9页</w:t>
    </w:r>
  </w:p>
  <w:p w14:paraId="79A91EE7">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C195">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715BD79C">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BD84">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084B17C9">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3EC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7DCF6873">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C37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30F93B67">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254D">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58F52A48">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184E">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24F8F78D">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089F">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10</w:t>
    </w:r>
    <w:r>
      <w:rPr>
        <w:sz w:val="18"/>
        <w:szCs w:val="18"/>
      </w:rPr>
      <w:fldChar w:fldCharType="end"/>
    </w:r>
    <w:r>
      <w:rPr>
        <w:rFonts w:hint="eastAsia"/>
        <w:sz w:val="18"/>
        <w:szCs w:val="18"/>
      </w:rPr>
      <w:t>/10页</w:t>
    </w:r>
  </w:p>
  <w:p w14:paraId="2A14039D">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5C65">
    <w:pPr>
      <w:pStyle w:val="4"/>
      <w:spacing w:before="14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DCB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/10页</w:t>
    </w:r>
  </w:p>
  <w:p w14:paraId="32A05E27">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2E0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3C861504">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0BC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46B99912">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409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第2/2页</w:t>
    </w:r>
  </w:p>
  <w:p w14:paraId="12AC0073">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5826">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597BBF37">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F5E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7B2D720B">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D6CB">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36F57252">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2468">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2EAF1F58">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FCA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39FBE837">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51AE">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45C25B3E">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7FD4">
    <w:pPr>
      <w:pStyle w:val="4"/>
      <w:spacing w:before="14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5C81">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57AA50BE">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981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24D75E52">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29AEE">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240C49CA">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2D58">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44EA8836">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9762">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21271D69">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F59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4</w:t>
    </w:r>
    <w:r>
      <w:rPr>
        <w:sz w:val="18"/>
        <w:szCs w:val="18"/>
      </w:rPr>
      <w:fldChar w:fldCharType="end"/>
    </w:r>
    <w:r>
      <w:rPr>
        <w:rFonts w:hint="eastAsia"/>
        <w:sz w:val="18"/>
        <w:szCs w:val="18"/>
      </w:rPr>
      <w:t>/4页</w:t>
    </w:r>
  </w:p>
  <w:p w14:paraId="6BF8D360">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57F0A">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/4页</w:t>
    </w:r>
  </w:p>
  <w:p w14:paraId="39827716">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871A">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5CC94C46">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BE6D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4D5A71F1">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BD3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05BFFB10">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21074">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第I部分－第2/2页</w:t>
    </w:r>
  </w:p>
  <w:p w14:paraId="560D2C57">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B8AA">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第I部分－第1/2页</w:t>
    </w:r>
  </w:p>
  <w:p w14:paraId="2BA3C301">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DB8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w:t>
    </w:r>
    <w:r>
      <w:rPr>
        <w:sz w:val="18"/>
        <w:szCs w:val="18"/>
      </w:rPr>
      <w:fldChar w:fldCharType="end"/>
    </w:r>
    <w:r>
      <w:rPr>
        <w:rFonts w:hint="eastAsia"/>
        <w:sz w:val="18"/>
        <w:szCs w:val="18"/>
      </w:rPr>
      <w:t>/5页</w:t>
    </w:r>
  </w:p>
  <w:p w14:paraId="79758FCF">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3809">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/5页</w:t>
    </w:r>
  </w:p>
  <w:p w14:paraId="593730AB">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1BD6">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10</w:t>
    </w:r>
    <w:r>
      <w:rPr>
        <w:sz w:val="18"/>
        <w:szCs w:val="18"/>
      </w:rPr>
      <w:fldChar w:fldCharType="end"/>
    </w:r>
    <w:r>
      <w:rPr>
        <w:rFonts w:hint="eastAsia"/>
        <w:sz w:val="18"/>
        <w:szCs w:val="18"/>
      </w:rPr>
      <w:t>/10页</w:t>
    </w:r>
  </w:p>
  <w:p w14:paraId="1F09D015">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74B4">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/10页</w:t>
    </w:r>
  </w:p>
  <w:p w14:paraId="27897BD4">
    <w:pPr>
      <w:pStyle w:val="4"/>
      <w:spacing w:before="72" w:beforeLines="30" w:line="240" w:lineRule="auto"/>
      <w:rPr>
        <w:b/>
      </w:rPr>
    </w:pPr>
    <w:r>
      <w:rPr>
        <w:rFonts w:hint="eastAsia"/>
        <w:b/>
      </w:rPr>
      <w:t xml:space="preserve">FDA </w:t>
    </w:r>
    <w:r>
      <w:rPr>
        <w:b/>
      </w:rPr>
      <w:t>2438</w:t>
    </w:r>
    <w:r>
      <w:rPr>
        <w:b/>
        <w:vertAlign w:val="subscript"/>
      </w:rPr>
      <w:t>g</w:t>
    </w:r>
    <w:r>
      <w:rPr>
        <w:rFonts w:hint="eastAsia"/>
        <w:b/>
      </w:rPr>
      <w:t>表（电子表格－2003年2月）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E9A2">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所含建议不具约束力</w:t>
    </w:r>
  </w:p>
  <w:p w14:paraId="2BB421C2">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5137BFF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6DD4C41">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28E0224">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50E62E56">
          <w:pPr>
            <w:pStyle w:val="5"/>
            <w:pBdr>
              <w:bottom w:val="none" w:color="auto" w:sz="0" w:space="0"/>
            </w:pBdr>
            <w:tabs>
              <w:tab w:val="clear" w:pos="4153"/>
              <w:tab w:val="clear" w:pos="8306"/>
            </w:tabs>
            <w:spacing w:before="72" w:beforeLines="30" w:line="240" w:lineRule="auto"/>
          </w:pPr>
          <w:r>
            <w:rPr>
              <w:rFonts w:hint="eastAsia"/>
            </w:rPr>
            <w:t>附件D</w:t>
          </w:r>
        </w:p>
      </w:tc>
    </w:tr>
  </w:tbl>
  <w:p w14:paraId="396F09D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5F304AB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277F0673">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46ACD0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2D8D6F4D">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D</w:t>
          </w:r>
        </w:p>
      </w:tc>
    </w:tr>
  </w:tbl>
  <w:p w14:paraId="7C9B232B">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5C84C6C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75E3765">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CC9B68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151A998">
          <w:pPr>
            <w:pStyle w:val="5"/>
            <w:pBdr>
              <w:bottom w:val="none" w:color="auto" w:sz="0" w:space="0"/>
            </w:pBdr>
            <w:tabs>
              <w:tab w:val="clear" w:pos="4153"/>
              <w:tab w:val="clear" w:pos="8306"/>
            </w:tabs>
            <w:spacing w:before="72" w:beforeLines="30" w:line="240" w:lineRule="auto"/>
          </w:pPr>
          <w:r>
            <w:rPr>
              <w:rFonts w:hint="eastAsia"/>
            </w:rPr>
            <w:t>附件F</w:t>
          </w:r>
        </w:p>
      </w:tc>
    </w:tr>
  </w:tbl>
  <w:p w14:paraId="622660BA">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93BA2C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899E7D7">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037915F9">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A8523AF">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E</w:t>
          </w:r>
        </w:p>
      </w:tc>
    </w:tr>
  </w:tbl>
  <w:p w14:paraId="74810500">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38307706">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9F7ECD3">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64B0672">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0301EA1">
          <w:pPr>
            <w:pStyle w:val="5"/>
            <w:pBdr>
              <w:bottom w:val="none" w:color="auto" w:sz="0" w:space="0"/>
            </w:pBdr>
            <w:tabs>
              <w:tab w:val="clear" w:pos="4153"/>
              <w:tab w:val="clear" w:pos="8306"/>
            </w:tabs>
            <w:spacing w:before="72" w:beforeLines="30" w:line="240" w:lineRule="auto"/>
          </w:pPr>
          <w:r>
            <w:rPr>
              <w:rFonts w:hint="eastAsia"/>
            </w:rPr>
            <w:t>附件H</w:t>
          </w:r>
        </w:p>
      </w:tc>
    </w:tr>
  </w:tbl>
  <w:p w14:paraId="6A50F16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2AD66C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5BC7606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0C5F03FA">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5849633">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G</w:t>
          </w:r>
        </w:p>
      </w:tc>
    </w:tr>
  </w:tbl>
  <w:p w14:paraId="56E3DF6A">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4041532">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E805157">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A5D410C">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75000B0">
          <w:pPr>
            <w:pStyle w:val="5"/>
            <w:pBdr>
              <w:bottom w:val="none" w:color="auto" w:sz="0" w:space="0"/>
            </w:pBdr>
            <w:tabs>
              <w:tab w:val="clear" w:pos="4153"/>
              <w:tab w:val="clear" w:pos="8306"/>
            </w:tabs>
            <w:spacing w:before="72" w:beforeLines="30" w:line="240" w:lineRule="auto"/>
          </w:pPr>
          <w:r>
            <w:rPr>
              <w:rFonts w:hint="eastAsia"/>
            </w:rPr>
            <w:t>附件I</w:t>
          </w:r>
        </w:p>
      </w:tc>
    </w:tr>
  </w:tbl>
  <w:p w14:paraId="3610280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12733B0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67B483D">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DFAA1FE">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8C97EDC">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I</w:t>
          </w:r>
        </w:p>
      </w:tc>
    </w:tr>
  </w:tbl>
  <w:p w14:paraId="4773841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134471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83DCE14">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00F8C782">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3970B7D">
          <w:pPr>
            <w:pStyle w:val="5"/>
            <w:pBdr>
              <w:bottom w:val="none" w:color="auto" w:sz="0" w:space="0"/>
            </w:pBdr>
            <w:tabs>
              <w:tab w:val="clear" w:pos="4153"/>
              <w:tab w:val="clear" w:pos="8306"/>
            </w:tabs>
            <w:spacing w:before="72" w:beforeLines="30" w:line="240" w:lineRule="auto"/>
          </w:pPr>
          <w:r>
            <w:rPr>
              <w:rFonts w:hint="eastAsia"/>
            </w:rPr>
            <w:t>附件K</w:t>
          </w:r>
        </w:p>
      </w:tc>
    </w:tr>
  </w:tbl>
  <w:p w14:paraId="0F33EAFE">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1E5993F">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c>
        <w:tcPr>
          <w:tcW w:w="6487" w:type="dxa"/>
          <w:tcBorders>
            <w:right w:val="single" w:color="auto" w:sz="12" w:space="0"/>
          </w:tcBorders>
        </w:tcPr>
        <w:p w14:paraId="52FAF528">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08AB7666">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C625046">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J</w:t>
          </w:r>
        </w:p>
      </w:tc>
    </w:tr>
  </w:tbl>
  <w:p w14:paraId="69D37FD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F7CB">
    <w:pPr>
      <w:pStyle w:val="5"/>
      <w:spacing w:before="14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3DABBEF6">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FBC79B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A73CC63">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E6A0803">
          <w:pPr>
            <w:pStyle w:val="5"/>
            <w:pBdr>
              <w:bottom w:val="none" w:color="auto" w:sz="0" w:space="0"/>
            </w:pBdr>
            <w:tabs>
              <w:tab w:val="clear" w:pos="4153"/>
              <w:tab w:val="clear" w:pos="8306"/>
            </w:tabs>
            <w:spacing w:before="72" w:beforeLines="30" w:line="240" w:lineRule="auto"/>
          </w:pPr>
          <w:r>
            <w:rPr>
              <w:rFonts w:hint="eastAsia"/>
            </w:rPr>
            <w:t>附件K</w:t>
          </w:r>
        </w:p>
      </w:tc>
    </w:tr>
  </w:tbl>
  <w:p w14:paraId="16049C64">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472DE8C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650657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7118993">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74BD292">
          <w:pPr>
            <w:pStyle w:val="5"/>
            <w:pBdr>
              <w:bottom w:val="none" w:color="auto" w:sz="0" w:space="0"/>
            </w:pBdr>
            <w:tabs>
              <w:tab w:val="clear" w:pos="4153"/>
              <w:tab w:val="clear" w:pos="8306"/>
            </w:tabs>
            <w:spacing w:before="72" w:beforeLines="30" w:line="240" w:lineRule="auto"/>
          </w:pPr>
          <w:r>
            <w:rPr>
              <w:rFonts w:hint="eastAsia"/>
            </w:rPr>
            <w:t>附件M</w:t>
          </w:r>
        </w:p>
      </w:tc>
    </w:tr>
  </w:tbl>
  <w:p w14:paraId="4946D2E8">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4CC13B4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F3C47E5">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2F45CE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0CA66C1">
          <w:pPr>
            <w:pStyle w:val="5"/>
            <w:pBdr>
              <w:bottom w:val="none" w:color="auto" w:sz="0" w:space="0"/>
            </w:pBdr>
            <w:tabs>
              <w:tab w:val="clear" w:pos="4153"/>
              <w:tab w:val="clear" w:pos="8306"/>
            </w:tabs>
            <w:spacing w:before="72" w:beforeLines="30" w:line="240" w:lineRule="auto"/>
          </w:pPr>
          <w:r>
            <w:rPr>
              <w:rFonts w:hint="eastAsia"/>
            </w:rPr>
            <w:t>附件L</w:t>
          </w:r>
        </w:p>
      </w:tc>
    </w:tr>
  </w:tbl>
  <w:p w14:paraId="6E825005">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5D26B4B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9BB568D">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BBE49A7">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975F033">
          <w:pPr>
            <w:pStyle w:val="5"/>
            <w:pBdr>
              <w:bottom w:val="none" w:color="auto" w:sz="0" w:space="0"/>
            </w:pBdr>
            <w:tabs>
              <w:tab w:val="clear" w:pos="4153"/>
              <w:tab w:val="clear" w:pos="8306"/>
            </w:tabs>
            <w:spacing w:before="72" w:beforeLines="30" w:line="240" w:lineRule="auto"/>
          </w:pPr>
          <w:r>
            <w:rPr>
              <w:rFonts w:hint="eastAsia"/>
            </w:rPr>
            <w:t>附件N</w:t>
          </w:r>
        </w:p>
      </w:tc>
    </w:tr>
  </w:tbl>
  <w:p w14:paraId="7CEBCAC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49B19A42">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c>
        <w:tcPr>
          <w:tcW w:w="6487" w:type="dxa"/>
          <w:tcBorders>
            <w:right w:val="single" w:color="auto" w:sz="12" w:space="0"/>
          </w:tcBorders>
        </w:tcPr>
        <w:p w14:paraId="177FB5CC">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5ACBCFC">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A383CD7">
          <w:pPr>
            <w:pStyle w:val="5"/>
            <w:pBdr>
              <w:bottom w:val="none" w:color="auto" w:sz="0" w:space="0"/>
            </w:pBdr>
            <w:tabs>
              <w:tab w:val="clear" w:pos="4153"/>
              <w:tab w:val="clear" w:pos="8306"/>
            </w:tabs>
            <w:spacing w:before="72" w:beforeLines="30" w:line="240" w:lineRule="auto"/>
          </w:pPr>
          <w:r>
            <w:rPr>
              <w:rFonts w:hint="eastAsia"/>
            </w:rPr>
            <w:t>附件N</w:t>
          </w:r>
        </w:p>
      </w:tc>
    </w:tr>
  </w:tbl>
  <w:p w14:paraId="6FF829D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E73D98D">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2F9D76D5">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4151A15">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754BFE1">
          <w:pPr>
            <w:pStyle w:val="5"/>
            <w:pBdr>
              <w:bottom w:val="none" w:color="auto" w:sz="0" w:space="0"/>
            </w:pBdr>
            <w:tabs>
              <w:tab w:val="clear" w:pos="4153"/>
              <w:tab w:val="clear" w:pos="8306"/>
            </w:tabs>
            <w:spacing w:before="72" w:beforeLines="30" w:line="240" w:lineRule="auto"/>
          </w:pPr>
          <w:r>
            <w:rPr>
              <w:rFonts w:hint="eastAsia"/>
            </w:rPr>
            <w:t>附件O</w:t>
          </w:r>
        </w:p>
      </w:tc>
    </w:tr>
  </w:tbl>
  <w:p w14:paraId="2A0AEF34">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7590A42">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C0FECCB">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DBC7CDF">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5546708B">
          <w:pPr>
            <w:pStyle w:val="5"/>
            <w:pBdr>
              <w:bottom w:val="none" w:color="auto" w:sz="0" w:space="0"/>
            </w:pBdr>
            <w:tabs>
              <w:tab w:val="clear" w:pos="4153"/>
              <w:tab w:val="clear" w:pos="8306"/>
            </w:tabs>
            <w:spacing w:before="72" w:beforeLines="30" w:line="240" w:lineRule="auto"/>
          </w:pPr>
          <w:r>
            <w:rPr>
              <w:rFonts w:hint="eastAsia"/>
            </w:rPr>
            <w:t>附件P</w:t>
          </w:r>
        </w:p>
      </w:tc>
    </w:tr>
  </w:tbl>
  <w:p w14:paraId="73A84651">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6C55DD3">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1C4E4043">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E44A817">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F8B89E4">
          <w:pPr>
            <w:pStyle w:val="5"/>
            <w:pBdr>
              <w:bottom w:val="none" w:color="auto" w:sz="0" w:space="0"/>
            </w:pBdr>
            <w:tabs>
              <w:tab w:val="clear" w:pos="4153"/>
              <w:tab w:val="clear" w:pos="8306"/>
            </w:tabs>
            <w:spacing w:before="72" w:beforeLines="30" w:line="240" w:lineRule="auto"/>
          </w:pPr>
          <w:r>
            <w:rPr>
              <w:rFonts w:hint="eastAsia"/>
            </w:rPr>
            <w:t>附件P</w:t>
          </w:r>
        </w:p>
      </w:tc>
    </w:tr>
  </w:tbl>
  <w:p w14:paraId="147350A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1A116D1D">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A2B689E">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0044E79">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4D1022D">
          <w:pPr>
            <w:pStyle w:val="5"/>
            <w:pBdr>
              <w:bottom w:val="none" w:color="auto" w:sz="0" w:space="0"/>
            </w:pBdr>
            <w:tabs>
              <w:tab w:val="clear" w:pos="4153"/>
              <w:tab w:val="clear" w:pos="8306"/>
            </w:tabs>
            <w:spacing w:before="72" w:beforeLines="30" w:line="240" w:lineRule="auto"/>
          </w:pPr>
          <w:r>
            <w:rPr>
              <w:rFonts w:hint="eastAsia"/>
            </w:rPr>
            <w:t>附件Q</w:t>
          </w:r>
        </w:p>
      </w:tc>
    </w:tr>
  </w:tbl>
  <w:p w14:paraId="2015431D">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BFC5835">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A1AFCD4">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9F04962">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F3D8A71">
          <w:pPr>
            <w:pStyle w:val="5"/>
            <w:pBdr>
              <w:bottom w:val="none" w:color="auto" w:sz="0" w:space="0"/>
            </w:pBdr>
            <w:tabs>
              <w:tab w:val="clear" w:pos="4153"/>
              <w:tab w:val="clear" w:pos="8306"/>
            </w:tabs>
            <w:spacing w:before="72" w:beforeLines="30" w:line="240" w:lineRule="auto"/>
          </w:pPr>
          <w:r>
            <w:rPr>
              <w:rFonts w:hint="eastAsia"/>
            </w:rPr>
            <w:t>附件Q</w:t>
          </w:r>
        </w:p>
      </w:tc>
    </w:tr>
  </w:tbl>
  <w:p w14:paraId="390AFD21">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159E">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所含建议不具约束力</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B3AF9F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18421D94">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1A4F61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1C0C5B1">
          <w:pPr>
            <w:pStyle w:val="5"/>
            <w:pBdr>
              <w:bottom w:val="none" w:color="auto" w:sz="0" w:space="0"/>
            </w:pBdr>
            <w:tabs>
              <w:tab w:val="clear" w:pos="4153"/>
              <w:tab w:val="clear" w:pos="8306"/>
            </w:tabs>
            <w:spacing w:before="72" w:beforeLines="30" w:line="240" w:lineRule="auto"/>
          </w:pPr>
          <w:r>
            <w:rPr>
              <w:rFonts w:hint="eastAsia"/>
            </w:rPr>
            <w:t>附件R</w:t>
          </w:r>
        </w:p>
      </w:tc>
    </w:tr>
  </w:tbl>
  <w:p w14:paraId="519F7C0A">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68D69B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9C812CC">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65F262AC">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976A33D">
          <w:pPr>
            <w:pStyle w:val="5"/>
            <w:pBdr>
              <w:bottom w:val="none" w:color="auto" w:sz="0" w:space="0"/>
            </w:pBdr>
            <w:tabs>
              <w:tab w:val="clear" w:pos="4153"/>
              <w:tab w:val="clear" w:pos="8306"/>
            </w:tabs>
            <w:spacing w:before="72" w:beforeLines="30" w:line="240" w:lineRule="auto"/>
          </w:pPr>
          <w:r>
            <w:rPr>
              <w:rFonts w:hint="eastAsia"/>
            </w:rPr>
            <w:t>附件S</w:t>
          </w:r>
        </w:p>
      </w:tc>
    </w:tr>
  </w:tbl>
  <w:p w14:paraId="51AB3063">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184C94F2">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7A3B6A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1CBABB0">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73F0C6A">
          <w:pPr>
            <w:pStyle w:val="5"/>
            <w:pBdr>
              <w:bottom w:val="none" w:color="auto" w:sz="0" w:space="0"/>
            </w:pBdr>
            <w:tabs>
              <w:tab w:val="clear" w:pos="4153"/>
              <w:tab w:val="clear" w:pos="8306"/>
            </w:tabs>
            <w:spacing w:before="72" w:beforeLines="30" w:line="240" w:lineRule="auto"/>
          </w:pPr>
          <w:r>
            <w:rPr>
              <w:rFonts w:hint="eastAsia"/>
            </w:rPr>
            <w:t>附件S</w:t>
          </w:r>
        </w:p>
      </w:tc>
    </w:tr>
  </w:tbl>
  <w:p w14:paraId="127CCA2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130FDDB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27E97B38">
          <w:pPr>
            <w:pStyle w:val="5"/>
            <w:pBdr>
              <w:bottom w:val="none" w:color="auto" w:sz="0" w:space="0"/>
            </w:pBdr>
            <w:tabs>
              <w:tab w:val="clear" w:pos="4153"/>
              <w:tab w:val="clear" w:pos="8306"/>
            </w:tabs>
            <w:spacing w:before="72" w:beforeLines="30" w:line="240" w:lineRule="auto"/>
            <w:jc w:val="both"/>
            <w:rPr>
              <w:b/>
              <w:sz w:val="24"/>
              <w:szCs w:val="24"/>
            </w:rPr>
          </w:pPr>
        </w:p>
      </w:tc>
      <w:tc>
        <w:tcPr>
          <w:tcW w:w="1418" w:type="dxa"/>
          <w:tcBorders>
            <w:right w:val="single" w:color="auto" w:sz="12" w:space="0"/>
          </w:tcBorders>
          <w:vAlign w:val="bottom"/>
        </w:tcPr>
        <w:p w14:paraId="45AAF00A">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4B1074BC">
          <w:pPr>
            <w:pStyle w:val="5"/>
            <w:pBdr>
              <w:bottom w:val="none" w:color="auto" w:sz="0" w:space="0"/>
            </w:pBdr>
            <w:tabs>
              <w:tab w:val="clear" w:pos="4153"/>
              <w:tab w:val="clear" w:pos="8306"/>
            </w:tabs>
            <w:spacing w:before="72" w:beforeLines="30" w:line="240" w:lineRule="auto"/>
          </w:pPr>
        </w:p>
        <w:p w14:paraId="6A8FBD2C">
          <w:pPr>
            <w:pStyle w:val="5"/>
            <w:pBdr>
              <w:bottom w:val="none" w:color="auto" w:sz="0" w:space="0"/>
            </w:pBdr>
            <w:tabs>
              <w:tab w:val="clear" w:pos="4153"/>
              <w:tab w:val="clear" w:pos="8306"/>
            </w:tabs>
            <w:spacing w:before="72" w:beforeLines="30" w:line="240" w:lineRule="auto"/>
          </w:pPr>
          <w:r>
            <w:rPr>
              <w:rFonts w:hint="eastAsia"/>
            </w:rPr>
            <w:t>7386.003</w:t>
          </w:r>
        </w:p>
      </w:tc>
    </w:tr>
  </w:tbl>
  <w:p w14:paraId="62692F05">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4DC6B63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1AE7B7D9">
          <w:pPr>
            <w:pStyle w:val="5"/>
            <w:pBdr>
              <w:bottom w:val="none" w:color="auto" w:sz="0" w:space="0"/>
            </w:pBdr>
            <w:tabs>
              <w:tab w:val="clear" w:pos="4153"/>
              <w:tab w:val="clear" w:pos="8306"/>
            </w:tabs>
            <w:spacing w:before="72" w:beforeLines="30" w:line="240" w:lineRule="auto"/>
            <w:jc w:val="both"/>
            <w:rPr>
              <w:b/>
              <w:sz w:val="24"/>
              <w:szCs w:val="24"/>
            </w:rPr>
          </w:pPr>
          <w:r>
            <w:rPr>
              <w:rFonts w:hint="eastAsia"/>
              <w:b/>
              <w:sz w:val="24"/>
              <w:szCs w:val="24"/>
            </w:rPr>
            <w:t>第I条. 食品药品监督管理局</w:t>
          </w:r>
          <w:r>
            <w:rPr>
              <w:b/>
              <w:sz w:val="24"/>
              <w:szCs w:val="24"/>
            </w:rPr>
            <w:br w:type="textWrapping"/>
          </w:r>
          <w:r>
            <w:rPr>
              <w:rFonts w:hint="eastAsia"/>
              <w:b/>
              <w:sz w:val="24"/>
              <w:szCs w:val="24"/>
            </w:rPr>
            <w:t>合规计划指导手册</w:t>
          </w:r>
        </w:p>
      </w:tc>
      <w:tc>
        <w:tcPr>
          <w:tcW w:w="1418" w:type="dxa"/>
          <w:tcBorders>
            <w:right w:val="single" w:color="auto" w:sz="12" w:space="0"/>
          </w:tcBorders>
          <w:vAlign w:val="bottom"/>
        </w:tcPr>
        <w:p w14:paraId="248053E5">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0CD5A5DA">
          <w:pPr>
            <w:pStyle w:val="5"/>
            <w:pBdr>
              <w:bottom w:val="none" w:color="auto" w:sz="0" w:space="0"/>
            </w:pBdr>
            <w:tabs>
              <w:tab w:val="clear" w:pos="4153"/>
              <w:tab w:val="clear" w:pos="8306"/>
            </w:tabs>
            <w:spacing w:before="72" w:beforeLines="30" w:line="240" w:lineRule="auto"/>
          </w:pPr>
          <w:r>
            <w:rPr>
              <w:rFonts w:hint="eastAsia"/>
            </w:rPr>
            <w:t>7386.003</w:t>
          </w:r>
        </w:p>
      </w:tc>
    </w:tr>
  </w:tbl>
  <w:p w14:paraId="7ABC8FEA">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15C2E15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396DC4E2">
          <w:pPr>
            <w:pStyle w:val="5"/>
            <w:pBdr>
              <w:bottom w:val="none" w:color="auto" w:sz="0" w:space="0"/>
            </w:pBdr>
            <w:tabs>
              <w:tab w:val="clear" w:pos="4153"/>
              <w:tab w:val="clear" w:pos="8306"/>
            </w:tabs>
            <w:spacing w:before="72" w:beforeLines="30" w:line="240" w:lineRule="auto"/>
            <w:jc w:val="both"/>
            <w:rPr>
              <w:b/>
              <w:sz w:val="24"/>
              <w:szCs w:val="24"/>
            </w:rPr>
          </w:pPr>
        </w:p>
      </w:tc>
      <w:tc>
        <w:tcPr>
          <w:tcW w:w="1418" w:type="dxa"/>
          <w:tcBorders>
            <w:right w:val="single" w:color="auto" w:sz="12" w:space="0"/>
          </w:tcBorders>
          <w:vAlign w:val="bottom"/>
        </w:tcPr>
        <w:p w14:paraId="3958E7B5">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24EAE9D8">
          <w:pPr>
            <w:pStyle w:val="5"/>
            <w:pBdr>
              <w:bottom w:val="none" w:color="auto" w:sz="0" w:space="0"/>
            </w:pBdr>
            <w:tabs>
              <w:tab w:val="clear" w:pos="4153"/>
              <w:tab w:val="clear" w:pos="8306"/>
            </w:tabs>
            <w:spacing w:before="72" w:beforeLines="30" w:line="240" w:lineRule="auto"/>
          </w:pPr>
        </w:p>
        <w:p w14:paraId="46A0939C">
          <w:pPr>
            <w:pStyle w:val="5"/>
            <w:pBdr>
              <w:bottom w:val="none" w:color="auto" w:sz="0" w:space="0"/>
            </w:pBdr>
            <w:tabs>
              <w:tab w:val="clear" w:pos="4153"/>
              <w:tab w:val="clear" w:pos="8306"/>
            </w:tabs>
            <w:spacing w:before="72" w:beforeLines="30" w:line="240" w:lineRule="auto"/>
          </w:pPr>
          <w:r>
            <w:rPr>
              <w:rFonts w:hint="eastAsia"/>
            </w:rPr>
            <w:t>7386.003</w:t>
          </w:r>
        </w:p>
      </w:tc>
    </w:tr>
  </w:tbl>
  <w:p w14:paraId="61CA67A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160BB3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B0E6B13">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2F96B51">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5F3B488">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B</w:t>
          </w:r>
        </w:p>
      </w:tc>
    </w:tr>
  </w:tbl>
  <w:p w14:paraId="7A1866C1">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5517F0D">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D19056B">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6476F481">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70FA334">
          <w:pPr>
            <w:pStyle w:val="5"/>
            <w:pBdr>
              <w:bottom w:val="none" w:color="auto" w:sz="0" w:space="0"/>
            </w:pBdr>
            <w:tabs>
              <w:tab w:val="clear" w:pos="4153"/>
              <w:tab w:val="clear" w:pos="8306"/>
            </w:tabs>
            <w:spacing w:before="72" w:beforeLines="30" w:line="240" w:lineRule="auto"/>
          </w:pPr>
          <w:r>
            <w:rPr>
              <w:rFonts w:hint="eastAsia"/>
            </w:rPr>
            <w:t>附件</w:t>
          </w:r>
          <w:r>
            <w:t xml:space="preserve"> A</w:t>
          </w:r>
        </w:p>
      </w:tc>
    </w:tr>
  </w:tbl>
  <w:p w14:paraId="7E0A4ED3">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139459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AA1C8DA">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447DD6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2596FBD2">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C</w:t>
          </w:r>
        </w:p>
      </w:tc>
    </w:tr>
  </w:tbl>
  <w:p w14:paraId="5C25D3E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02F10"/>
    <w:multiLevelType w:val="multilevel"/>
    <w:tmpl w:val="00502F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1D67DF"/>
    <w:multiLevelType w:val="multilevel"/>
    <w:tmpl w:val="051D67D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3056E6"/>
    <w:multiLevelType w:val="multilevel"/>
    <w:tmpl w:val="083056E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DD22CD"/>
    <w:multiLevelType w:val="multilevel"/>
    <w:tmpl w:val="0CDD22C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2A096E"/>
    <w:multiLevelType w:val="multilevel"/>
    <w:tmpl w:val="0E2A096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6200D2"/>
    <w:multiLevelType w:val="multilevel"/>
    <w:tmpl w:val="0E6200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1D016B"/>
    <w:multiLevelType w:val="multilevel"/>
    <w:tmpl w:val="0F1D016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Letter"/>
      <w:lvlText w:val="%3."/>
      <w:lvlJc w:val="left"/>
      <w:pPr>
        <w:ind w:left="1200" w:hanging="360"/>
      </w:pPr>
      <w:rPr>
        <w:rFonts w:hint="default"/>
      </w:rPr>
    </w:lvl>
    <w:lvl w:ilvl="3" w:tentative="0">
      <w:start w:val="1"/>
      <w:numFmt w:val="decimal"/>
      <w:lvlText w:val="（%4）"/>
      <w:lvlJc w:val="left"/>
      <w:pPr>
        <w:ind w:left="1980" w:hanging="720"/>
      </w:pPr>
      <w:rPr>
        <w:rFonts w:hint="default"/>
      </w:rPr>
    </w:lvl>
    <w:lvl w:ilvl="4" w:tentative="0">
      <w:start w:val="1"/>
      <w:numFmt w:val="upperLetter"/>
      <w:lvlText w:val="%5."/>
      <w:lvlJc w:val="left"/>
      <w:pPr>
        <w:ind w:left="2040" w:hanging="360"/>
      </w:pPr>
      <w:rPr>
        <w:rFonts w:hint="default"/>
      </w:rPr>
    </w:lvl>
    <w:lvl w:ilvl="5" w:tentative="0">
      <w:start w:val="1"/>
      <w:numFmt w:val="lowerLetter"/>
      <w:lvlText w:val="（%6）"/>
      <w:lvlJc w:val="left"/>
      <w:pPr>
        <w:ind w:left="2820" w:hanging="7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4A3559"/>
    <w:multiLevelType w:val="multilevel"/>
    <w:tmpl w:val="0F4A355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14510C"/>
    <w:multiLevelType w:val="multilevel"/>
    <w:tmpl w:val="1114510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A813EE"/>
    <w:multiLevelType w:val="multilevel"/>
    <w:tmpl w:val="11A813E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7A7746"/>
    <w:multiLevelType w:val="multilevel"/>
    <w:tmpl w:val="127A774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807D67"/>
    <w:multiLevelType w:val="multilevel"/>
    <w:tmpl w:val="12807D6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1A5D9A"/>
    <w:multiLevelType w:val="multilevel"/>
    <w:tmpl w:val="141A5D9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4AF4051"/>
    <w:multiLevelType w:val="multilevel"/>
    <w:tmpl w:val="14AF40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F3142"/>
    <w:multiLevelType w:val="multilevel"/>
    <w:tmpl w:val="15DF314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1F3C0B"/>
    <w:multiLevelType w:val="multilevel"/>
    <w:tmpl w:val="171F3C0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7676EC9"/>
    <w:multiLevelType w:val="multilevel"/>
    <w:tmpl w:val="17676EC9"/>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7CB76D0"/>
    <w:multiLevelType w:val="multilevel"/>
    <w:tmpl w:val="17CB76D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84366F9"/>
    <w:multiLevelType w:val="multilevel"/>
    <w:tmpl w:val="184366F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Letter"/>
      <w:lvlText w:val="（%6）"/>
      <w:lvlJc w:val="left"/>
      <w:pPr>
        <w:ind w:left="2520" w:hanging="420"/>
      </w:pPr>
      <w:rPr>
        <w:rFonts w:hint="eastAsia"/>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A3F211B"/>
    <w:multiLevelType w:val="multilevel"/>
    <w:tmpl w:val="1A3F211B"/>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A47474D"/>
    <w:multiLevelType w:val="multilevel"/>
    <w:tmpl w:val="1A47474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1A612B18"/>
    <w:multiLevelType w:val="multilevel"/>
    <w:tmpl w:val="1A612B18"/>
    <w:lvl w:ilvl="0" w:tentative="0">
      <w:start w:val="1"/>
      <w:numFmt w:val="bullet"/>
      <w:lvlText w:val="–"/>
      <w:lvlJc w:val="left"/>
      <w:pPr>
        <w:ind w:left="860" w:hanging="420"/>
      </w:pPr>
      <w:rPr>
        <w:rFonts w:hint="eastAsia" w:ascii="宋体" w:hAnsi="宋体" w:eastAsia="宋体"/>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2">
    <w:nsid w:val="1A862BFE"/>
    <w:multiLevelType w:val="multilevel"/>
    <w:tmpl w:val="1A86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BA0960"/>
    <w:multiLevelType w:val="multilevel"/>
    <w:tmpl w:val="1EBA096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152086C"/>
    <w:multiLevelType w:val="multilevel"/>
    <w:tmpl w:val="2152086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A05746"/>
    <w:multiLevelType w:val="multilevel"/>
    <w:tmpl w:val="27A0574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9E57851"/>
    <w:multiLevelType w:val="multilevel"/>
    <w:tmpl w:val="29E5785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663DA6"/>
    <w:multiLevelType w:val="multilevel"/>
    <w:tmpl w:val="2A663DA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D0268D1"/>
    <w:multiLevelType w:val="multilevel"/>
    <w:tmpl w:val="2D0268D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DFC54A9"/>
    <w:multiLevelType w:val="multilevel"/>
    <w:tmpl w:val="2DFC54A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3784875"/>
    <w:multiLevelType w:val="multilevel"/>
    <w:tmpl w:val="3378487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3963BD4"/>
    <w:multiLevelType w:val="multilevel"/>
    <w:tmpl w:val="33963B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3AB66F4"/>
    <w:multiLevelType w:val="multilevel"/>
    <w:tmpl w:val="33AB66F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Letter"/>
      <w:lvlText w:val="（%6）"/>
      <w:lvlJc w:val="left"/>
      <w:pPr>
        <w:ind w:left="2520" w:hanging="420"/>
      </w:pPr>
      <w:rPr>
        <w:rFonts w:hint="eastAsia"/>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4306315"/>
    <w:multiLevelType w:val="multilevel"/>
    <w:tmpl w:val="3430631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45C7D73"/>
    <w:multiLevelType w:val="multilevel"/>
    <w:tmpl w:val="345C7D7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4C0650E"/>
    <w:multiLevelType w:val="multilevel"/>
    <w:tmpl w:val="34C0650E"/>
    <w:lvl w:ilvl="0" w:tentative="0">
      <w:start w:val="1"/>
      <w:numFmt w:val="bullet"/>
      <w:lvlText w:val="–"/>
      <w:lvlJc w:val="left"/>
      <w:pPr>
        <w:ind w:left="860" w:hanging="420"/>
      </w:pPr>
      <w:rPr>
        <w:rFonts w:hint="eastAsia" w:ascii="宋体" w:hAnsi="宋体" w:eastAsia="宋体"/>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6">
    <w:nsid w:val="34E97DCB"/>
    <w:multiLevelType w:val="multilevel"/>
    <w:tmpl w:val="34E97DCB"/>
    <w:lvl w:ilvl="0" w:tentative="0">
      <w:start w:val="1"/>
      <w:numFmt w:val="lowerLetter"/>
      <w:lvlText w:val="%1."/>
      <w:lvlJc w:val="left"/>
      <w:pPr>
        <w:ind w:left="1740" w:hanging="420"/>
      </w:pPr>
      <w:rPr>
        <w:rFonts w:hint="eastAsia"/>
      </w:rPr>
    </w:lvl>
    <w:lvl w:ilvl="1" w:tentative="0">
      <w:start w:val="1"/>
      <w:numFmt w:val="lowerLetter"/>
      <w:lvlText w:val="%2)"/>
      <w:lvlJc w:val="left"/>
      <w:pPr>
        <w:ind w:left="2160" w:hanging="420"/>
      </w:pPr>
    </w:lvl>
    <w:lvl w:ilvl="2" w:tentative="0">
      <w:start w:val="1"/>
      <w:numFmt w:val="lowerLetter"/>
      <w:lvlText w:val="%3."/>
      <w:lvlJc w:val="left"/>
      <w:pPr>
        <w:ind w:left="2580" w:hanging="420"/>
      </w:pPr>
      <w:rPr>
        <w:rFonts w:hint="eastAsia"/>
      </w:r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37">
    <w:nsid w:val="36702523"/>
    <w:multiLevelType w:val="multilevel"/>
    <w:tmpl w:val="367025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8C3400A"/>
    <w:multiLevelType w:val="multilevel"/>
    <w:tmpl w:val="38C3400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BAA34A6"/>
    <w:multiLevelType w:val="multilevel"/>
    <w:tmpl w:val="3BAA34A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0FF30EB"/>
    <w:multiLevelType w:val="multilevel"/>
    <w:tmpl w:val="40FF30E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2590A02"/>
    <w:multiLevelType w:val="multilevel"/>
    <w:tmpl w:val="42590A02"/>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41D6025"/>
    <w:multiLevelType w:val="multilevel"/>
    <w:tmpl w:val="441D602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4B9252C"/>
    <w:multiLevelType w:val="multilevel"/>
    <w:tmpl w:val="44B9252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5785EB3"/>
    <w:multiLevelType w:val="multilevel"/>
    <w:tmpl w:val="45785EB3"/>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6532868"/>
    <w:multiLevelType w:val="multilevel"/>
    <w:tmpl w:val="4653286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CA64E69"/>
    <w:multiLevelType w:val="multilevel"/>
    <w:tmpl w:val="4CA64E69"/>
    <w:lvl w:ilvl="0" w:tentative="0">
      <w:start w:val="1"/>
      <w:numFmt w:val="upperLetter"/>
      <w:lvlText w:val="%1."/>
      <w:lvlJc w:val="left"/>
      <w:pPr>
        <w:ind w:left="420" w:hanging="420"/>
      </w:p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F6760E7"/>
    <w:multiLevelType w:val="multilevel"/>
    <w:tmpl w:val="4F6760E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FF53887"/>
    <w:multiLevelType w:val="multilevel"/>
    <w:tmpl w:val="4FF5388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0550789"/>
    <w:multiLevelType w:val="multilevel"/>
    <w:tmpl w:val="50550789"/>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0FD3374"/>
    <w:multiLevelType w:val="multilevel"/>
    <w:tmpl w:val="50FD337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15A2578"/>
    <w:multiLevelType w:val="multilevel"/>
    <w:tmpl w:val="515A257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16F5AE7"/>
    <w:multiLevelType w:val="multilevel"/>
    <w:tmpl w:val="516F5AE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21D6366"/>
    <w:multiLevelType w:val="multilevel"/>
    <w:tmpl w:val="521D6366"/>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531461C3"/>
    <w:multiLevelType w:val="multilevel"/>
    <w:tmpl w:val="531461C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3BD39DB"/>
    <w:multiLevelType w:val="multilevel"/>
    <w:tmpl w:val="53BD39D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561D6C35"/>
    <w:multiLevelType w:val="multilevel"/>
    <w:tmpl w:val="561D6C3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DB5712"/>
    <w:multiLevelType w:val="multilevel"/>
    <w:tmpl w:val="5ADB571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B43605A"/>
    <w:multiLevelType w:val="multilevel"/>
    <w:tmpl w:val="5B43605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BEF17D0"/>
    <w:multiLevelType w:val="multilevel"/>
    <w:tmpl w:val="5BEF17D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CAC0D35"/>
    <w:multiLevelType w:val="multilevel"/>
    <w:tmpl w:val="5CAC0D3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5CD9340C"/>
    <w:multiLevelType w:val="multilevel"/>
    <w:tmpl w:val="5CD9340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5E884698"/>
    <w:multiLevelType w:val="multilevel"/>
    <w:tmpl w:val="5E8846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F8002AC"/>
    <w:multiLevelType w:val="multilevel"/>
    <w:tmpl w:val="5F8002A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2797A34"/>
    <w:multiLevelType w:val="multilevel"/>
    <w:tmpl w:val="62797A3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5">
    <w:nsid w:val="657B758A"/>
    <w:multiLevelType w:val="multilevel"/>
    <w:tmpl w:val="657B75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7D10692"/>
    <w:multiLevelType w:val="multilevel"/>
    <w:tmpl w:val="67D106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B6424C6"/>
    <w:multiLevelType w:val="multilevel"/>
    <w:tmpl w:val="6B6424C6"/>
    <w:lvl w:ilvl="0" w:tentative="0">
      <w:start w:val="1"/>
      <w:numFmt w:val="decimal"/>
      <w:lvlText w:val="%1."/>
      <w:lvlJc w:val="left"/>
      <w:pPr>
        <w:ind w:left="1080" w:hanging="420"/>
      </w:pPr>
    </w:lvl>
    <w:lvl w:ilvl="1" w:tentative="0">
      <w:start w:val="1"/>
      <w:numFmt w:val="decimal"/>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68">
    <w:nsid w:val="75FB6B4E"/>
    <w:multiLevelType w:val="multilevel"/>
    <w:tmpl w:val="75FB6B4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7780ABD"/>
    <w:multiLevelType w:val="multilevel"/>
    <w:tmpl w:val="77780ABD"/>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7931525"/>
    <w:multiLevelType w:val="multilevel"/>
    <w:tmpl w:val="7793152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7AB3F21"/>
    <w:multiLevelType w:val="multilevel"/>
    <w:tmpl w:val="77AB3F21"/>
    <w:lvl w:ilvl="0" w:tentative="0">
      <w:start w:val="1"/>
      <w:numFmt w:val="lowerLetter"/>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2">
    <w:nsid w:val="79226DAB"/>
    <w:multiLevelType w:val="multilevel"/>
    <w:tmpl w:val="79226DA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94774B0"/>
    <w:multiLevelType w:val="multilevel"/>
    <w:tmpl w:val="794774B0"/>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7C9D7422"/>
    <w:multiLevelType w:val="multilevel"/>
    <w:tmpl w:val="7C9D742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8"/>
  </w:num>
  <w:num w:numId="3">
    <w:abstractNumId w:val="21"/>
  </w:num>
  <w:num w:numId="4">
    <w:abstractNumId w:val="53"/>
  </w:num>
  <w:num w:numId="5">
    <w:abstractNumId w:val="4"/>
  </w:num>
  <w:num w:numId="6">
    <w:abstractNumId w:val="49"/>
  </w:num>
  <w:num w:numId="7">
    <w:abstractNumId w:val="41"/>
  </w:num>
  <w:num w:numId="8">
    <w:abstractNumId w:val="67"/>
  </w:num>
  <w:num w:numId="9">
    <w:abstractNumId w:val="6"/>
  </w:num>
  <w:num w:numId="10">
    <w:abstractNumId w:val="36"/>
  </w:num>
  <w:num w:numId="11">
    <w:abstractNumId w:val="44"/>
  </w:num>
  <w:num w:numId="12">
    <w:abstractNumId w:val="46"/>
  </w:num>
  <w:num w:numId="13">
    <w:abstractNumId w:val="59"/>
  </w:num>
  <w:num w:numId="14">
    <w:abstractNumId w:val="13"/>
  </w:num>
  <w:num w:numId="15">
    <w:abstractNumId w:val="42"/>
  </w:num>
  <w:num w:numId="16">
    <w:abstractNumId w:val="1"/>
  </w:num>
  <w:num w:numId="17">
    <w:abstractNumId w:val="61"/>
  </w:num>
  <w:num w:numId="18">
    <w:abstractNumId w:val="18"/>
  </w:num>
  <w:num w:numId="19">
    <w:abstractNumId w:val="52"/>
  </w:num>
  <w:num w:numId="20">
    <w:abstractNumId w:val="22"/>
  </w:num>
  <w:num w:numId="21">
    <w:abstractNumId w:val="35"/>
  </w:num>
  <w:num w:numId="22">
    <w:abstractNumId w:val="33"/>
  </w:num>
  <w:num w:numId="23">
    <w:abstractNumId w:val="63"/>
  </w:num>
  <w:num w:numId="24">
    <w:abstractNumId w:val="37"/>
  </w:num>
  <w:num w:numId="25">
    <w:abstractNumId w:val="5"/>
  </w:num>
  <w:num w:numId="26">
    <w:abstractNumId w:val="68"/>
  </w:num>
  <w:num w:numId="27">
    <w:abstractNumId w:val="71"/>
  </w:num>
  <w:num w:numId="28">
    <w:abstractNumId w:val="55"/>
  </w:num>
  <w:num w:numId="29">
    <w:abstractNumId w:val="34"/>
  </w:num>
  <w:num w:numId="30">
    <w:abstractNumId w:val="27"/>
  </w:num>
  <w:num w:numId="31">
    <w:abstractNumId w:val="69"/>
  </w:num>
  <w:num w:numId="32">
    <w:abstractNumId w:val="7"/>
  </w:num>
  <w:num w:numId="33">
    <w:abstractNumId w:val="12"/>
  </w:num>
  <w:num w:numId="34">
    <w:abstractNumId w:val="10"/>
  </w:num>
  <w:num w:numId="35">
    <w:abstractNumId w:val="16"/>
  </w:num>
  <w:num w:numId="36">
    <w:abstractNumId w:val="38"/>
  </w:num>
  <w:num w:numId="37">
    <w:abstractNumId w:val="51"/>
  </w:num>
  <w:num w:numId="38">
    <w:abstractNumId w:val="62"/>
  </w:num>
  <w:num w:numId="39">
    <w:abstractNumId w:val="20"/>
  </w:num>
  <w:num w:numId="40">
    <w:abstractNumId w:val="48"/>
  </w:num>
  <w:num w:numId="41">
    <w:abstractNumId w:val="50"/>
  </w:num>
  <w:num w:numId="42">
    <w:abstractNumId w:val="73"/>
  </w:num>
  <w:num w:numId="43">
    <w:abstractNumId w:val="23"/>
  </w:num>
  <w:num w:numId="44">
    <w:abstractNumId w:val="24"/>
  </w:num>
  <w:num w:numId="45">
    <w:abstractNumId w:val="58"/>
  </w:num>
  <w:num w:numId="46">
    <w:abstractNumId w:val="30"/>
  </w:num>
  <w:num w:numId="47">
    <w:abstractNumId w:val="54"/>
  </w:num>
  <w:num w:numId="48">
    <w:abstractNumId w:val="32"/>
  </w:num>
  <w:num w:numId="49">
    <w:abstractNumId w:val="72"/>
  </w:num>
  <w:num w:numId="50">
    <w:abstractNumId w:val="47"/>
  </w:num>
  <w:num w:numId="51">
    <w:abstractNumId w:val="8"/>
  </w:num>
  <w:num w:numId="52">
    <w:abstractNumId w:val="66"/>
  </w:num>
  <w:num w:numId="53">
    <w:abstractNumId w:val="3"/>
  </w:num>
  <w:num w:numId="54">
    <w:abstractNumId w:val="64"/>
  </w:num>
  <w:num w:numId="55">
    <w:abstractNumId w:val="65"/>
  </w:num>
  <w:num w:numId="56">
    <w:abstractNumId w:val="17"/>
  </w:num>
  <w:num w:numId="57">
    <w:abstractNumId w:val="60"/>
  </w:num>
  <w:num w:numId="58">
    <w:abstractNumId w:val="70"/>
  </w:num>
  <w:num w:numId="59">
    <w:abstractNumId w:val="31"/>
  </w:num>
  <w:num w:numId="60">
    <w:abstractNumId w:val="25"/>
  </w:num>
  <w:num w:numId="61">
    <w:abstractNumId w:val="40"/>
  </w:num>
  <w:num w:numId="62">
    <w:abstractNumId w:val="19"/>
  </w:num>
  <w:num w:numId="63">
    <w:abstractNumId w:val="56"/>
  </w:num>
  <w:num w:numId="64">
    <w:abstractNumId w:val="9"/>
  </w:num>
  <w:num w:numId="65">
    <w:abstractNumId w:val="57"/>
  </w:num>
  <w:num w:numId="66">
    <w:abstractNumId w:val="45"/>
  </w:num>
  <w:num w:numId="67">
    <w:abstractNumId w:val="39"/>
  </w:num>
  <w:num w:numId="68">
    <w:abstractNumId w:val="14"/>
  </w:num>
  <w:num w:numId="69">
    <w:abstractNumId w:val="11"/>
  </w:num>
  <w:num w:numId="70">
    <w:abstractNumId w:val="15"/>
  </w:num>
  <w:num w:numId="71">
    <w:abstractNumId w:val="26"/>
  </w:num>
  <w:num w:numId="72">
    <w:abstractNumId w:val="29"/>
  </w:num>
  <w:num w:numId="73">
    <w:abstractNumId w:val="43"/>
  </w:num>
  <w:num w:numId="74">
    <w:abstractNumId w:val="74"/>
  </w:num>
  <w:num w:numId="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4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90"/>
    <w:rsid w:val="00003B56"/>
    <w:rsid w:val="00021269"/>
    <w:rsid w:val="000217AF"/>
    <w:rsid w:val="00021A90"/>
    <w:rsid w:val="00021B93"/>
    <w:rsid w:val="000225EF"/>
    <w:rsid w:val="00022DD2"/>
    <w:rsid w:val="00024549"/>
    <w:rsid w:val="000257D3"/>
    <w:rsid w:val="00027770"/>
    <w:rsid w:val="000407A3"/>
    <w:rsid w:val="00041483"/>
    <w:rsid w:val="000445CD"/>
    <w:rsid w:val="00047058"/>
    <w:rsid w:val="0004767E"/>
    <w:rsid w:val="00047F34"/>
    <w:rsid w:val="00050274"/>
    <w:rsid w:val="00062C6C"/>
    <w:rsid w:val="0007689A"/>
    <w:rsid w:val="00080E4D"/>
    <w:rsid w:val="00082C73"/>
    <w:rsid w:val="00084DEB"/>
    <w:rsid w:val="000A4682"/>
    <w:rsid w:val="000B5187"/>
    <w:rsid w:val="000B70F1"/>
    <w:rsid w:val="000B7C16"/>
    <w:rsid w:val="000B7E6E"/>
    <w:rsid w:val="000C0D5B"/>
    <w:rsid w:val="000C52FC"/>
    <w:rsid w:val="000D171C"/>
    <w:rsid w:val="000E2C30"/>
    <w:rsid w:val="000E7C3B"/>
    <w:rsid w:val="000F4EC5"/>
    <w:rsid w:val="00100AC8"/>
    <w:rsid w:val="0010414B"/>
    <w:rsid w:val="00106E73"/>
    <w:rsid w:val="0011709F"/>
    <w:rsid w:val="001224C1"/>
    <w:rsid w:val="00123F1C"/>
    <w:rsid w:val="00124172"/>
    <w:rsid w:val="00126E4F"/>
    <w:rsid w:val="00130BA7"/>
    <w:rsid w:val="00131CB6"/>
    <w:rsid w:val="00135549"/>
    <w:rsid w:val="00142779"/>
    <w:rsid w:val="00143693"/>
    <w:rsid w:val="0015210F"/>
    <w:rsid w:val="001647C5"/>
    <w:rsid w:val="00167693"/>
    <w:rsid w:val="00176672"/>
    <w:rsid w:val="00182530"/>
    <w:rsid w:val="00196D01"/>
    <w:rsid w:val="001A1B0C"/>
    <w:rsid w:val="001A1C8D"/>
    <w:rsid w:val="001A5C6C"/>
    <w:rsid w:val="001B0F88"/>
    <w:rsid w:val="001B23CA"/>
    <w:rsid w:val="001C049C"/>
    <w:rsid w:val="001C302F"/>
    <w:rsid w:val="001D1390"/>
    <w:rsid w:val="001D5BBF"/>
    <w:rsid w:val="001E0111"/>
    <w:rsid w:val="001E5276"/>
    <w:rsid w:val="001E623F"/>
    <w:rsid w:val="001F56DB"/>
    <w:rsid w:val="001F5A0E"/>
    <w:rsid w:val="00202F2C"/>
    <w:rsid w:val="00204420"/>
    <w:rsid w:val="00210577"/>
    <w:rsid w:val="00214231"/>
    <w:rsid w:val="0022087F"/>
    <w:rsid w:val="00224DD6"/>
    <w:rsid w:val="0022688E"/>
    <w:rsid w:val="002314F5"/>
    <w:rsid w:val="002352BC"/>
    <w:rsid w:val="00255BD3"/>
    <w:rsid w:val="00260C39"/>
    <w:rsid w:val="00261002"/>
    <w:rsid w:val="00262C79"/>
    <w:rsid w:val="00270057"/>
    <w:rsid w:val="002702C8"/>
    <w:rsid w:val="00276745"/>
    <w:rsid w:val="002768E0"/>
    <w:rsid w:val="0028311E"/>
    <w:rsid w:val="00292623"/>
    <w:rsid w:val="002933D6"/>
    <w:rsid w:val="002A08F1"/>
    <w:rsid w:val="002B46E0"/>
    <w:rsid w:val="002C08B4"/>
    <w:rsid w:val="002D012B"/>
    <w:rsid w:val="002D079D"/>
    <w:rsid w:val="002D7669"/>
    <w:rsid w:val="002E4F69"/>
    <w:rsid w:val="002E578B"/>
    <w:rsid w:val="002F51D9"/>
    <w:rsid w:val="002F6429"/>
    <w:rsid w:val="00303BD9"/>
    <w:rsid w:val="00306E86"/>
    <w:rsid w:val="003078F9"/>
    <w:rsid w:val="00310069"/>
    <w:rsid w:val="00311A38"/>
    <w:rsid w:val="003135E0"/>
    <w:rsid w:val="00316635"/>
    <w:rsid w:val="00321EEA"/>
    <w:rsid w:val="00327DD4"/>
    <w:rsid w:val="00333754"/>
    <w:rsid w:val="003356F9"/>
    <w:rsid w:val="00337A9D"/>
    <w:rsid w:val="0034138C"/>
    <w:rsid w:val="0034243B"/>
    <w:rsid w:val="00342E0B"/>
    <w:rsid w:val="00346362"/>
    <w:rsid w:val="00354364"/>
    <w:rsid w:val="00360AAA"/>
    <w:rsid w:val="00371F49"/>
    <w:rsid w:val="00372CD4"/>
    <w:rsid w:val="003815D5"/>
    <w:rsid w:val="0038564F"/>
    <w:rsid w:val="00386C51"/>
    <w:rsid w:val="00387EE6"/>
    <w:rsid w:val="0039164D"/>
    <w:rsid w:val="003960AE"/>
    <w:rsid w:val="0039638E"/>
    <w:rsid w:val="003A5641"/>
    <w:rsid w:val="003A60E5"/>
    <w:rsid w:val="003A706F"/>
    <w:rsid w:val="003B27F9"/>
    <w:rsid w:val="003C02A6"/>
    <w:rsid w:val="003C0A23"/>
    <w:rsid w:val="003D0758"/>
    <w:rsid w:val="003D0FEF"/>
    <w:rsid w:val="003D299F"/>
    <w:rsid w:val="003D3368"/>
    <w:rsid w:val="003E11CF"/>
    <w:rsid w:val="003E2650"/>
    <w:rsid w:val="003E49F0"/>
    <w:rsid w:val="003E6FA7"/>
    <w:rsid w:val="003E73CE"/>
    <w:rsid w:val="003F0840"/>
    <w:rsid w:val="003F2539"/>
    <w:rsid w:val="003F5DA0"/>
    <w:rsid w:val="003F75BC"/>
    <w:rsid w:val="00403C00"/>
    <w:rsid w:val="00422E64"/>
    <w:rsid w:val="00424384"/>
    <w:rsid w:val="004342CA"/>
    <w:rsid w:val="00442137"/>
    <w:rsid w:val="00445C59"/>
    <w:rsid w:val="004513F3"/>
    <w:rsid w:val="00453408"/>
    <w:rsid w:val="00455941"/>
    <w:rsid w:val="00455D3B"/>
    <w:rsid w:val="004607DD"/>
    <w:rsid w:val="00460A51"/>
    <w:rsid w:val="00462633"/>
    <w:rsid w:val="00463A74"/>
    <w:rsid w:val="00470013"/>
    <w:rsid w:val="00475413"/>
    <w:rsid w:val="00484536"/>
    <w:rsid w:val="00487461"/>
    <w:rsid w:val="00487616"/>
    <w:rsid w:val="00496654"/>
    <w:rsid w:val="004A38BE"/>
    <w:rsid w:val="004A39DF"/>
    <w:rsid w:val="004A7598"/>
    <w:rsid w:val="004B0D3D"/>
    <w:rsid w:val="004B16FE"/>
    <w:rsid w:val="004B1D8B"/>
    <w:rsid w:val="004B506A"/>
    <w:rsid w:val="004C1077"/>
    <w:rsid w:val="004C241B"/>
    <w:rsid w:val="004C4132"/>
    <w:rsid w:val="004D0C1C"/>
    <w:rsid w:val="004D0D9C"/>
    <w:rsid w:val="004D3603"/>
    <w:rsid w:val="004E2B0F"/>
    <w:rsid w:val="004F693E"/>
    <w:rsid w:val="005125C5"/>
    <w:rsid w:val="005133C9"/>
    <w:rsid w:val="00514154"/>
    <w:rsid w:val="00520B64"/>
    <w:rsid w:val="005346E3"/>
    <w:rsid w:val="005403AA"/>
    <w:rsid w:val="005442AF"/>
    <w:rsid w:val="0054483F"/>
    <w:rsid w:val="00546031"/>
    <w:rsid w:val="005462EF"/>
    <w:rsid w:val="00553D68"/>
    <w:rsid w:val="005570C2"/>
    <w:rsid w:val="005609CB"/>
    <w:rsid w:val="00561982"/>
    <w:rsid w:val="005629A1"/>
    <w:rsid w:val="00564CD4"/>
    <w:rsid w:val="00567534"/>
    <w:rsid w:val="00574953"/>
    <w:rsid w:val="00584277"/>
    <w:rsid w:val="0059536C"/>
    <w:rsid w:val="00596853"/>
    <w:rsid w:val="005A1A26"/>
    <w:rsid w:val="005A20E5"/>
    <w:rsid w:val="005A3094"/>
    <w:rsid w:val="005A4E8F"/>
    <w:rsid w:val="005A7FD2"/>
    <w:rsid w:val="005B02EF"/>
    <w:rsid w:val="005B0E88"/>
    <w:rsid w:val="005B44FF"/>
    <w:rsid w:val="005B667F"/>
    <w:rsid w:val="005B67E9"/>
    <w:rsid w:val="005C0483"/>
    <w:rsid w:val="005C4C76"/>
    <w:rsid w:val="005C62D1"/>
    <w:rsid w:val="005C7570"/>
    <w:rsid w:val="005D349A"/>
    <w:rsid w:val="005D7F3B"/>
    <w:rsid w:val="005E1396"/>
    <w:rsid w:val="005E592D"/>
    <w:rsid w:val="005F2F94"/>
    <w:rsid w:val="00600815"/>
    <w:rsid w:val="00601B1F"/>
    <w:rsid w:val="00604C6D"/>
    <w:rsid w:val="006060AE"/>
    <w:rsid w:val="00607569"/>
    <w:rsid w:val="00613ADD"/>
    <w:rsid w:val="006160AA"/>
    <w:rsid w:val="00622DC5"/>
    <w:rsid w:val="006242DA"/>
    <w:rsid w:val="00636402"/>
    <w:rsid w:val="0063724E"/>
    <w:rsid w:val="00642B6C"/>
    <w:rsid w:val="006461D8"/>
    <w:rsid w:val="00657442"/>
    <w:rsid w:val="00662224"/>
    <w:rsid w:val="00670062"/>
    <w:rsid w:val="00670DA1"/>
    <w:rsid w:val="00670F3F"/>
    <w:rsid w:val="00675138"/>
    <w:rsid w:val="00680301"/>
    <w:rsid w:val="0068156E"/>
    <w:rsid w:val="00686E19"/>
    <w:rsid w:val="006A0825"/>
    <w:rsid w:val="006A43A6"/>
    <w:rsid w:val="006B46AE"/>
    <w:rsid w:val="006B5D3A"/>
    <w:rsid w:val="006B7533"/>
    <w:rsid w:val="006B7928"/>
    <w:rsid w:val="006C21D6"/>
    <w:rsid w:val="006C26C4"/>
    <w:rsid w:val="006C3DC1"/>
    <w:rsid w:val="006C4601"/>
    <w:rsid w:val="006D70EA"/>
    <w:rsid w:val="006D74C6"/>
    <w:rsid w:val="006E0BF3"/>
    <w:rsid w:val="006E50DB"/>
    <w:rsid w:val="006E6362"/>
    <w:rsid w:val="006F0822"/>
    <w:rsid w:val="006F1393"/>
    <w:rsid w:val="006F3491"/>
    <w:rsid w:val="006F566F"/>
    <w:rsid w:val="006F601E"/>
    <w:rsid w:val="007021D0"/>
    <w:rsid w:val="007024F3"/>
    <w:rsid w:val="007112F8"/>
    <w:rsid w:val="00711435"/>
    <w:rsid w:val="00714FCB"/>
    <w:rsid w:val="00722311"/>
    <w:rsid w:val="00724971"/>
    <w:rsid w:val="007318AB"/>
    <w:rsid w:val="0073471F"/>
    <w:rsid w:val="00734EB6"/>
    <w:rsid w:val="00737CC6"/>
    <w:rsid w:val="007412A2"/>
    <w:rsid w:val="007463AD"/>
    <w:rsid w:val="007557EE"/>
    <w:rsid w:val="00761988"/>
    <w:rsid w:val="00761F06"/>
    <w:rsid w:val="007622B0"/>
    <w:rsid w:val="007622EC"/>
    <w:rsid w:val="00762C3F"/>
    <w:rsid w:val="00763A67"/>
    <w:rsid w:val="00765839"/>
    <w:rsid w:val="00770F15"/>
    <w:rsid w:val="00771F63"/>
    <w:rsid w:val="00771F7A"/>
    <w:rsid w:val="00777BFF"/>
    <w:rsid w:val="00777F4C"/>
    <w:rsid w:val="00783FE1"/>
    <w:rsid w:val="00786045"/>
    <w:rsid w:val="00786B9A"/>
    <w:rsid w:val="007935FF"/>
    <w:rsid w:val="00794813"/>
    <w:rsid w:val="00796BD4"/>
    <w:rsid w:val="007A0805"/>
    <w:rsid w:val="007A3D53"/>
    <w:rsid w:val="007A69D0"/>
    <w:rsid w:val="007B6256"/>
    <w:rsid w:val="007C0D54"/>
    <w:rsid w:val="007D0CDB"/>
    <w:rsid w:val="007D69CD"/>
    <w:rsid w:val="007E6975"/>
    <w:rsid w:val="007F0EA4"/>
    <w:rsid w:val="007F63DD"/>
    <w:rsid w:val="00801E3E"/>
    <w:rsid w:val="008030ED"/>
    <w:rsid w:val="00805159"/>
    <w:rsid w:val="00806350"/>
    <w:rsid w:val="00814878"/>
    <w:rsid w:val="008230B9"/>
    <w:rsid w:val="00823E9A"/>
    <w:rsid w:val="008421F0"/>
    <w:rsid w:val="00842E2C"/>
    <w:rsid w:val="00843105"/>
    <w:rsid w:val="00843921"/>
    <w:rsid w:val="00850302"/>
    <w:rsid w:val="00852408"/>
    <w:rsid w:val="00865FF2"/>
    <w:rsid w:val="00872490"/>
    <w:rsid w:val="008748E2"/>
    <w:rsid w:val="00875C53"/>
    <w:rsid w:val="00877863"/>
    <w:rsid w:val="00881E89"/>
    <w:rsid w:val="00884972"/>
    <w:rsid w:val="00885034"/>
    <w:rsid w:val="00886C98"/>
    <w:rsid w:val="00893928"/>
    <w:rsid w:val="008A1702"/>
    <w:rsid w:val="008A17A1"/>
    <w:rsid w:val="008A4BC8"/>
    <w:rsid w:val="008A7BDC"/>
    <w:rsid w:val="008B0561"/>
    <w:rsid w:val="008B0B2C"/>
    <w:rsid w:val="008B10A0"/>
    <w:rsid w:val="008B250D"/>
    <w:rsid w:val="008B3281"/>
    <w:rsid w:val="008B42CF"/>
    <w:rsid w:val="008B5D43"/>
    <w:rsid w:val="008C77CA"/>
    <w:rsid w:val="008D73EB"/>
    <w:rsid w:val="008E7BD3"/>
    <w:rsid w:val="008F0915"/>
    <w:rsid w:val="008F5399"/>
    <w:rsid w:val="00906AC3"/>
    <w:rsid w:val="00907092"/>
    <w:rsid w:val="0091131B"/>
    <w:rsid w:val="00916766"/>
    <w:rsid w:val="009218CF"/>
    <w:rsid w:val="009323A1"/>
    <w:rsid w:val="00933C26"/>
    <w:rsid w:val="00935561"/>
    <w:rsid w:val="00935573"/>
    <w:rsid w:val="00935614"/>
    <w:rsid w:val="00935F2A"/>
    <w:rsid w:val="00946D56"/>
    <w:rsid w:val="009537E9"/>
    <w:rsid w:val="0095684A"/>
    <w:rsid w:val="009609DF"/>
    <w:rsid w:val="009668BD"/>
    <w:rsid w:val="00973BB1"/>
    <w:rsid w:val="00973E0A"/>
    <w:rsid w:val="009769AC"/>
    <w:rsid w:val="0098203D"/>
    <w:rsid w:val="00983E7E"/>
    <w:rsid w:val="00986963"/>
    <w:rsid w:val="00993291"/>
    <w:rsid w:val="009A2DCC"/>
    <w:rsid w:val="009A4AFA"/>
    <w:rsid w:val="009B0386"/>
    <w:rsid w:val="009B4515"/>
    <w:rsid w:val="009B6372"/>
    <w:rsid w:val="009D0142"/>
    <w:rsid w:val="009D0398"/>
    <w:rsid w:val="009D5DBB"/>
    <w:rsid w:val="009E10E5"/>
    <w:rsid w:val="009E14D0"/>
    <w:rsid w:val="009E3589"/>
    <w:rsid w:val="009F5E48"/>
    <w:rsid w:val="00A00A5A"/>
    <w:rsid w:val="00A05522"/>
    <w:rsid w:val="00A10FA0"/>
    <w:rsid w:val="00A11AE7"/>
    <w:rsid w:val="00A12433"/>
    <w:rsid w:val="00A137B0"/>
    <w:rsid w:val="00A15838"/>
    <w:rsid w:val="00A16694"/>
    <w:rsid w:val="00A16CFD"/>
    <w:rsid w:val="00A252AC"/>
    <w:rsid w:val="00A33570"/>
    <w:rsid w:val="00A52734"/>
    <w:rsid w:val="00A53076"/>
    <w:rsid w:val="00A56156"/>
    <w:rsid w:val="00A608EC"/>
    <w:rsid w:val="00A6154A"/>
    <w:rsid w:val="00A61C91"/>
    <w:rsid w:val="00A64730"/>
    <w:rsid w:val="00A66C83"/>
    <w:rsid w:val="00A712D9"/>
    <w:rsid w:val="00A75ED4"/>
    <w:rsid w:val="00A762E3"/>
    <w:rsid w:val="00A7681A"/>
    <w:rsid w:val="00A84838"/>
    <w:rsid w:val="00A86B0B"/>
    <w:rsid w:val="00A9551E"/>
    <w:rsid w:val="00AA441D"/>
    <w:rsid w:val="00AA6640"/>
    <w:rsid w:val="00AA6C86"/>
    <w:rsid w:val="00AA73B9"/>
    <w:rsid w:val="00AC572A"/>
    <w:rsid w:val="00AC74ED"/>
    <w:rsid w:val="00AD37B0"/>
    <w:rsid w:val="00AD72C7"/>
    <w:rsid w:val="00AE0E07"/>
    <w:rsid w:val="00AE1232"/>
    <w:rsid w:val="00AE2271"/>
    <w:rsid w:val="00AE57D6"/>
    <w:rsid w:val="00AF1FD6"/>
    <w:rsid w:val="00AF3D81"/>
    <w:rsid w:val="00B0572E"/>
    <w:rsid w:val="00B07710"/>
    <w:rsid w:val="00B2081B"/>
    <w:rsid w:val="00B21928"/>
    <w:rsid w:val="00B31332"/>
    <w:rsid w:val="00B32390"/>
    <w:rsid w:val="00B34D49"/>
    <w:rsid w:val="00B36B96"/>
    <w:rsid w:val="00B4073B"/>
    <w:rsid w:val="00B45FE3"/>
    <w:rsid w:val="00B471CD"/>
    <w:rsid w:val="00B50DF9"/>
    <w:rsid w:val="00B5649B"/>
    <w:rsid w:val="00B634BD"/>
    <w:rsid w:val="00B65447"/>
    <w:rsid w:val="00B6622F"/>
    <w:rsid w:val="00B744CD"/>
    <w:rsid w:val="00B82E9F"/>
    <w:rsid w:val="00B83621"/>
    <w:rsid w:val="00B91287"/>
    <w:rsid w:val="00B96B7C"/>
    <w:rsid w:val="00BA21E6"/>
    <w:rsid w:val="00BA524F"/>
    <w:rsid w:val="00BB1D22"/>
    <w:rsid w:val="00BB3A21"/>
    <w:rsid w:val="00BB4CE9"/>
    <w:rsid w:val="00BC4271"/>
    <w:rsid w:val="00BC56AE"/>
    <w:rsid w:val="00BD1075"/>
    <w:rsid w:val="00BD2025"/>
    <w:rsid w:val="00BD466C"/>
    <w:rsid w:val="00BD70F7"/>
    <w:rsid w:val="00BE02DB"/>
    <w:rsid w:val="00BE0F38"/>
    <w:rsid w:val="00BE2E6A"/>
    <w:rsid w:val="00BE4760"/>
    <w:rsid w:val="00BE780D"/>
    <w:rsid w:val="00BE7E73"/>
    <w:rsid w:val="00BF29AE"/>
    <w:rsid w:val="00C06FC8"/>
    <w:rsid w:val="00C07887"/>
    <w:rsid w:val="00C231C7"/>
    <w:rsid w:val="00C2339C"/>
    <w:rsid w:val="00C23B50"/>
    <w:rsid w:val="00C31901"/>
    <w:rsid w:val="00C31F3E"/>
    <w:rsid w:val="00C35EE7"/>
    <w:rsid w:val="00C37B54"/>
    <w:rsid w:val="00C40BFF"/>
    <w:rsid w:val="00C4688B"/>
    <w:rsid w:val="00C50463"/>
    <w:rsid w:val="00C50A1D"/>
    <w:rsid w:val="00C520DE"/>
    <w:rsid w:val="00C5337A"/>
    <w:rsid w:val="00C614B1"/>
    <w:rsid w:val="00C637E3"/>
    <w:rsid w:val="00C66AEF"/>
    <w:rsid w:val="00C71DA2"/>
    <w:rsid w:val="00C721C4"/>
    <w:rsid w:val="00C74562"/>
    <w:rsid w:val="00C74783"/>
    <w:rsid w:val="00C85B76"/>
    <w:rsid w:val="00C907C7"/>
    <w:rsid w:val="00C92A9D"/>
    <w:rsid w:val="00C97096"/>
    <w:rsid w:val="00CA12A6"/>
    <w:rsid w:val="00CA54EF"/>
    <w:rsid w:val="00CA5988"/>
    <w:rsid w:val="00CA61E2"/>
    <w:rsid w:val="00CB4D85"/>
    <w:rsid w:val="00CC1C68"/>
    <w:rsid w:val="00CD6FA4"/>
    <w:rsid w:val="00CD79B5"/>
    <w:rsid w:val="00CE0A6B"/>
    <w:rsid w:val="00CE41C3"/>
    <w:rsid w:val="00CF0021"/>
    <w:rsid w:val="00CF1CAC"/>
    <w:rsid w:val="00CF37F4"/>
    <w:rsid w:val="00CF600C"/>
    <w:rsid w:val="00CF7A3B"/>
    <w:rsid w:val="00D040D5"/>
    <w:rsid w:val="00D20FC9"/>
    <w:rsid w:val="00D24AC5"/>
    <w:rsid w:val="00D3147A"/>
    <w:rsid w:val="00D3745C"/>
    <w:rsid w:val="00D475B4"/>
    <w:rsid w:val="00D5010D"/>
    <w:rsid w:val="00D50765"/>
    <w:rsid w:val="00D601DD"/>
    <w:rsid w:val="00D618A7"/>
    <w:rsid w:val="00D74907"/>
    <w:rsid w:val="00D7556F"/>
    <w:rsid w:val="00D8236A"/>
    <w:rsid w:val="00D83A96"/>
    <w:rsid w:val="00D8628C"/>
    <w:rsid w:val="00D95DB8"/>
    <w:rsid w:val="00DA314F"/>
    <w:rsid w:val="00DA3A9F"/>
    <w:rsid w:val="00DA56F8"/>
    <w:rsid w:val="00DB092B"/>
    <w:rsid w:val="00DB68F9"/>
    <w:rsid w:val="00DB760F"/>
    <w:rsid w:val="00DC19AE"/>
    <w:rsid w:val="00DC1DFA"/>
    <w:rsid w:val="00DC209B"/>
    <w:rsid w:val="00DC228E"/>
    <w:rsid w:val="00DC4F15"/>
    <w:rsid w:val="00DD420E"/>
    <w:rsid w:val="00DD49C2"/>
    <w:rsid w:val="00DF07A0"/>
    <w:rsid w:val="00DF5F80"/>
    <w:rsid w:val="00E11925"/>
    <w:rsid w:val="00E142A5"/>
    <w:rsid w:val="00E151C8"/>
    <w:rsid w:val="00E21A09"/>
    <w:rsid w:val="00E21CC9"/>
    <w:rsid w:val="00E23431"/>
    <w:rsid w:val="00E402A1"/>
    <w:rsid w:val="00E402D8"/>
    <w:rsid w:val="00E41EE0"/>
    <w:rsid w:val="00E4445D"/>
    <w:rsid w:val="00E4611C"/>
    <w:rsid w:val="00E53097"/>
    <w:rsid w:val="00E53B7C"/>
    <w:rsid w:val="00E5587A"/>
    <w:rsid w:val="00E61FE7"/>
    <w:rsid w:val="00E65E1C"/>
    <w:rsid w:val="00E67767"/>
    <w:rsid w:val="00E707A5"/>
    <w:rsid w:val="00E74788"/>
    <w:rsid w:val="00E759DC"/>
    <w:rsid w:val="00E75EF2"/>
    <w:rsid w:val="00E77042"/>
    <w:rsid w:val="00E81716"/>
    <w:rsid w:val="00E82695"/>
    <w:rsid w:val="00E87009"/>
    <w:rsid w:val="00E875F0"/>
    <w:rsid w:val="00E920D3"/>
    <w:rsid w:val="00E9293F"/>
    <w:rsid w:val="00E93708"/>
    <w:rsid w:val="00E95219"/>
    <w:rsid w:val="00EA388B"/>
    <w:rsid w:val="00EA643A"/>
    <w:rsid w:val="00EB31F7"/>
    <w:rsid w:val="00EB3C76"/>
    <w:rsid w:val="00EB47B2"/>
    <w:rsid w:val="00EB578D"/>
    <w:rsid w:val="00EB70F2"/>
    <w:rsid w:val="00ED0D24"/>
    <w:rsid w:val="00ED765C"/>
    <w:rsid w:val="00EE26AF"/>
    <w:rsid w:val="00EF545E"/>
    <w:rsid w:val="00F02ADD"/>
    <w:rsid w:val="00F10DB0"/>
    <w:rsid w:val="00F11B0E"/>
    <w:rsid w:val="00F1319A"/>
    <w:rsid w:val="00F244D5"/>
    <w:rsid w:val="00F26EC3"/>
    <w:rsid w:val="00F338E0"/>
    <w:rsid w:val="00F353DB"/>
    <w:rsid w:val="00F3580B"/>
    <w:rsid w:val="00F4172E"/>
    <w:rsid w:val="00F47D92"/>
    <w:rsid w:val="00F514FB"/>
    <w:rsid w:val="00F54D0F"/>
    <w:rsid w:val="00F56253"/>
    <w:rsid w:val="00F56620"/>
    <w:rsid w:val="00F57253"/>
    <w:rsid w:val="00F62090"/>
    <w:rsid w:val="00F737C2"/>
    <w:rsid w:val="00F74E65"/>
    <w:rsid w:val="00F75DB9"/>
    <w:rsid w:val="00F976C4"/>
    <w:rsid w:val="00FA055E"/>
    <w:rsid w:val="00FA16C3"/>
    <w:rsid w:val="00FA3C99"/>
    <w:rsid w:val="00FA5492"/>
    <w:rsid w:val="00FA7AE3"/>
    <w:rsid w:val="00FA7F15"/>
    <w:rsid w:val="00FB0EE6"/>
    <w:rsid w:val="00FB1483"/>
    <w:rsid w:val="00FB32A7"/>
    <w:rsid w:val="00FB63E9"/>
    <w:rsid w:val="00FB7F0B"/>
    <w:rsid w:val="00FC06E5"/>
    <w:rsid w:val="00FC168A"/>
    <w:rsid w:val="00FC1AF2"/>
    <w:rsid w:val="00FC560D"/>
    <w:rsid w:val="00FC69E0"/>
    <w:rsid w:val="00FC7162"/>
    <w:rsid w:val="00FD045A"/>
    <w:rsid w:val="00FD35C5"/>
    <w:rsid w:val="00FD4E13"/>
    <w:rsid w:val="00FE0C14"/>
    <w:rsid w:val="00FE11CD"/>
    <w:rsid w:val="00FE3AF8"/>
    <w:rsid w:val="00FF0EBB"/>
    <w:rsid w:val="00FF2DCC"/>
    <w:rsid w:val="52A4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00" w:lineRule="auto"/>
      <w:jc w:val="both"/>
    </w:pPr>
    <w:rPr>
      <w:rFonts w:ascii="Arial" w:hAnsi="Arial" w:eastAsiaTheme="minorEastAsia" w:cstheme="minorBidi"/>
      <w:kern w:val="2"/>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uiPriority w:val="99"/>
    <w:rPr>
      <w:sz w:val="18"/>
      <w:szCs w:val="18"/>
    </w:rPr>
  </w:style>
  <w:style w:type="character" w:customStyle="1" w:styleId="14">
    <w:name w:val="页脚 Char"/>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9"/>
    <w:link w:val="2"/>
    <w:semiHidden/>
    <w:qFormat/>
    <w:uiPriority w:val="99"/>
    <w:rPr>
      <w:rFonts w:ascii="Arial" w:hAnsi="Arial"/>
      <w:sz w:val="22"/>
    </w:rPr>
  </w:style>
  <w:style w:type="character" w:customStyle="1" w:styleId="17">
    <w:name w:val="批注主题 Char"/>
    <w:basedOn w:val="16"/>
    <w:link w:val="6"/>
    <w:semiHidden/>
    <w:qFormat/>
    <w:uiPriority w:val="99"/>
    <w:rPr>
      <w:rFonts w:ascii="Arial" w:hAnsi="Arial"/>
      <w:b/>
      <w:bCs/>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1.xml"/><Relationship Id="rId79" Type="http://schemas.openxmlformats.org/officeDocument/2006/relationships/image" Target="media/image3.png"/><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39.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header" Target="header31.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header" Target="header3.xml"/><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header" Target="header16.xml"/><Relationship Id="rId41" Type="http://schemas.openxmlformats.org/officeDocument/2006/relationships/header" Target="header15.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header" Target="header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header" Target="header8.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16312</Words>
  <Characters>18228</Characters>
  <Lines>328</Lines>
  <Paragraphs>92</Paragraphs>
  <TotalTime>0</TotalTime>
  <ScaleCrop>false</ScaleCrop>
  <LinksUpToDate>false</LinksUpToDate>
  <CharactersWithSpaces>18463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2017-11-09T16:56:00Z</dcterms:created>
  <dc:creator>donghaiyangbo</dc:creator>
  <cp:lastModifiedBy>太极箫客</cp:lastModifiedBy>
  <dcterms:modified xsi:type="dcterms:W3CDTF">2025-08-14T06:45:02Z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6CC472052A424043BB8DF76B38F5F968_12</vt:lpwstr>
  </property>
</Properties>
</file>