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C4F3E">
      <w:pPr>
        <w:pStyle w:val="13"/>
        <w:spacing w:before="120"/>
        <w:rPr>
          <w:lang w:eastAsia="zh-CN"/>
        </w:rPr>
      </w:pPr>
      <w:bookmarkStart w:id="16" w:name="_GoBack"/>
      <w:bookmarkEnd w:id="16"/>
      <w:r>
        <w:rPr>
          <w:lang w:eastAsia="zh-CN"/>
        </w:rPr>
        <w:t>合规政策指南</w:t>
      </w:r>
    </w:p>
    <w:p w14:paraId="4FA8CF92">
      <w:pPr>
        <w:pStyle w:val="13"/>
        <w:spacing w:before="120"/>
        <w:rPr>
          <w:lang w:eastAsia="zh-CN"/>
        </w:rPr>
      </w:pPr>
      <w:r>
        <w:rPr>
          <w:lang w:eastAsia="zh-CN"/>
        </w:rPr>
        <w:t>CPG章节280.110</w:t>
      </w:r>
      <w:r>
        <w:rPr>
          <w:rFonts w:hint="eastAsia"/>
          <w:lang w:eastAsia="zh-CN"/>
        </w:rPr>
        <w:t>：</w:t>
      </w:r>
      <w:r>
        <w:rPr>
          <w:lang w:eastAsia="zh-CN"/>
        </w:rPr>
        <w:t>微生物控制要求 - 已获</w:t>
      </w:r>
      <w:r>
        <w:rPr>
          <w:rFonts w:hint="eastAsia"/>
          <w:lang w:eastAsia="zh-CN"/>
        </w:rPr>
        <w:t>批</w:t>
      </w:r>
      <w:r>
        <w:rPr>
          <w:lang w:eastAsia="zh-CN"/>
        </w:rPr>
        <w:t>抗人球蛋白和血型鉴定试剂</w:t>
      </w:r>
    </w:p>
    <w:p w14:paraId="1A2FE9E9">
      <w:pPr>
        <w:pStyle w:val="14"/>
        <w:spacing w:before="120"/>
        <w:rPr>
          <w:lang w:eastAsia="zh-CN"/>
        </w:rPr>
      </w:pPr>
      <w:r>
        <w:rPr>
          <w:lang w:eastAsia="zh-CN"/>
        </w:rPr>
        <w:t>美国食品药品监督管理局工作人员指南</w:t>
      </w:r>
    </w:p>
    <w:p w14:paraId="3B2D4944">
      <w:pPr>
        <w:snapToGrid w:val="0"/>
        <w:spacing w:before="120" w:beforeLines="50"/>
        <w:jc w:val="center"/>
        <w:rPr>
          <w:b/>
          <w:bCs/>
          <w:sz w:val="24"/>
          <w:szCs w:val="24"/>
          <w:lang w:eastAsia="zh-CN"/>
        </w:rPr>
      </w:pPr>
      <w:bookmarkStart w:id="0" w:name="bookmark0"/>
    </w:p>
    <w:p w14:paraId="53608354">
      <w:pPr>
        <w:snapToGrid w:val="0"/>
        <w:spacing w:before="120" w:beforeLines="50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本指南</w:t>
      </w:r>
      <w:r>
        <w:rPr>
          <w:rFonts w:hint="eastAsia"/>
          <w:b/>
          <w:bCs/>
          <w:sz w:val="28"/>
          <w:szCs w:val="28"/>
          <w:lang w:eastAsia="zh-CN"/>
        </w:rPr>
        <w:t>立刻</w:t>
      </w:r>
      <w:r>
        <w:rPr>
          <w:b/>
          <w:bCs/>
          <w:sz w:val="28"/>
          <w:szCs w:val="28"/>
          <w:lang w:eastAsia="zh-CN"/>
        </w:rPr>
        <w:t>实施。</w:t>
      </w:r>
      <w:bookmarkEnd w:id="0"/>
    </w:p>
    <w:p w14:paraId="389B0E40">
      <w:pPr>
        <w:snapToGrid w:val="0"/>
        <w:spacing w:before="120" w:beforeLines="50"/>
        <w:jc w:val="center"/>
        <w:rPr>
          <w:sz w:val="24"/>
          <w:szCs w:val="24"/>
          <w:lang w:eastAsia="zh-CN"/>
        </w:rPr>
      </w:pPr>
    </w:p>
    <w:p w14:paraId="2F7E73D5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FDA正在发布本指南以便按照21 CFR 10.115(g)(4)(i)立即实施。</w:t>
      </w:r>
      <w:r>
        <w:rPr>
          <w:rFonts w:hint="eastAsia"/>
          <w:sz w:val="24"/>
          <w:szCs w:val="24"/>
          <w:lang w:eastAsia="zh-CN"/>
        </w:rPr>
        <w:t>关于</w:t>
      </w:r>
      <w:r>
        <w:rPr>
          <w:sz w:val="24"/>
          <w:szCs w:val="24"/>
          <w:lang w:eastAsia="zh-CN"/>
        </w:rPr>
        <w:t>本指南的</w:t>
      </w:r>
      <w:r>
        <w:rPr>
          <w:rFonts w:hint="eastAsia"/>
          <w:sz w:val="24"/>
          <w:szCs w:val="24"/>
          <w:lang w:eastAsia="zh-CN"/>
        </w:rPr>
        <w:t>任何意见，随时以</w:t>
      </w:r>
      <w:r>
        <w:rPr>
          <w:sz w:val="24"/>
          <w:szCs w:val="24"/>
          <w:lang w:eastAsia="zh-CN"/>
        </w:rPr>
        <w:t>电子或书面</w:t>
      </w:r>
      <w:r>
        <w:rPr>
          <w:rFonts w:hint="eastAsia"/>
          <w:sz w:val="24"/>
          <w:szCs w:val="24"/>
          <w:lang w:eastAsia="zh-CN"/>
        </w:rPr>
        <w:t>形式反馈</w:t>
      </w:r>
      <w:r>
        <w:rPr>
          <w:sz w:val="24"/>
          <w:szCs w:val="24"/>
          <w:lang w:eastAsia="zh-CN"/>
        </w:rPr>
        <w:t>。电子意见请提交至</w:t>
      </w:r>
      <w:r>
        <w:fldChar w:fldCharType="begin"/>
      </w:r>
      <w:r>
        <w:instrText xml:space="preserve"> HYPERLINK "https://www.regulations.gov/" </w:instrText>
      </w:r>
      <w:r>
        <w:fldChar w:fldCharType="separate"/>
      </w:r>
      <w:r>
        <w:rPr>
          <w:rStyle w:val="10"/>
          <w:sz w:val="24"/>
          <w:szCs w:val="24"/>
          <w:lang w:eastAsia="zh-CN"/>
        </w:rPr>
        <w:t>https://www.regulations.gov/</w:t>
      </w:r>
      <w:r>
        <w:rPr>
          <w:rStyle w:val="10"/>
          <w:sz w:val="24"/>
          <w:szCs w:val="24"/>
          <w:lang w:eastAsia="zh-CN"/>
        </w:rPr>
        <w:fldChar w:fldCharType="end"/>
      </w:r>
      <w:r>
        <w:rPr>
          <w:sz w:val="24"/>
          <w:szCs w:val="24"/>
          <w:lang w:eastAsia="zh-CN"/>
        </w:rPr>
        <w:t>。书面意见请提交至</w:t>
      </w:r>
      <w:r>
        <w:rPr>
          <w:rFonts w:hint="eastAsia"/>
          <w:sz w:val="24"/>
          <w:szCs w:val="24"/>
          <w:lang w:eastAsia="zh-CN"/>
        </w:rPr>
        <w:t>美国食品药品监督管理局备案文件管理部（5630 Fishers Lane, Room 1061, (HFA-305), Rockville, MD 20852）。请</w:t>
      </w:r>
      <w:r>
        <w:rPr>
          <w:sz w:val="24"/>
          <w:szCs w:val="24"/>
          <w:lang w:eastAsia="zh-CN"/>
        </w:rPr>
        <w:t>在所有评论上标记</w:t>
      </w:r>
      <w:r>
        <w:rPr>
          <w:rFonts w:hint="eastAsia"/>
          <w:sz w:val="24"/>
          <w:szCs w:val="24"/>
          <w:lang w:eastAsia="zh-CN"/>
        </w:rPr>
        <w:t>档案</w:t>
      </w:r>
      <w:r>
        <w:rPr>
          <w:sz w:val="24"/>
          <w:szCs w:val="24"/>
          <w:lang w:eastAsia="zh-CN"/>
        </w:rPr>
        <w:t>编号FDA-2014-D-0428。</w:t>
      </w:r>
    </w:p>
    <w:p w14:paraId="212E9044">
      <w:pPr>
        <w:snapToGrid w:val="0"/>
        <w:spacing w:before="120" w:beforeLines="50"/>
        <w:rPr>
          <w:sz w:val="24"/>
          <w:szCs w:val="24"/>
        </w:rPr>
      </w:pPr>
      <w:r>
        <w:rPr>
          <w:sz w:val="24"/>
          <w:szCs w:val="24"/>
          <w:lang w:eastAsia="zh-CN"/>
        </w:rPr>
        <w:t>本指南的</w:t>
      </w:r>
      <w:r>
        <w:rPr>
          <w:rFonts w:hint="eastAsia"/>
          <w:sz w:val="24"/>
          <w:szCs w:val="24"/>
          <w:lang w:eastAsia="zh-CN"/>
        </w:rPr>
        <w:t>更多</w:t>
      </w:r>
      <w:r>
        <w:rPr>
          <w:sz w:val="24"/>
          <w:szCs w:val="24"/>
          <w:lang w:eastAsia="zh-CN"/>
        </w:rPr>
        <w:t>副本可从Office of Communication, Outreach and Development (OCOD), 10903 New Hampshire Ave., Bldg. 71, Rm.3128, Silver Spring, MD 20993-0002获得，或拨打800-835-4709或240-402-8010，或发送电子邮件</w:t>
      </w:r>
      <w:r>
        <w:fldChar w:fldCharType="begin"/>
      </w:r>
      <w:r>
        <w:instrText xml:space="preserve"> HYPERLINK "mailto:ocod@fda.hhs.gov," </w:instrText>
      </w:r>
      <w:r>
        <w:fldChar w:fldCharType="separate"/>
      </w:r>
      <w:r>
        <w:rPr>
          <w:rStyle w:val="10"/>
          <w:sz w:val="24"/>
          <w:szCs w:val="24"/>
          <w:lang w:eastAsia="zh-CN"/>
        </w:rPr>
        <w:t>ocod@fda.hhs.gov,</w:t>
      </w:r>
      <w:r>
        <w:rPr>
          <w:rStyle w:val="10"/>
          <w:sz w:val="24"/>
          <w:szCs w:val="24"/>
          <w:lang w:eastAsia="zh-CN"/>
        </w:rPr>
        <w:fldChar w:fldCharType="end"/>
      </w:r>
      <w:r>
        <w:rPr>
          <w:sz w:val="24"/>
          <w:szCs w:val="24"/>
          <w:lang w:eastAsia="zh-CN"/>
        </w:rPr>
        <w:t>或访问</w:t>
      </w:r>
      <w:r>
        <w:fldChar w:fldCharType="begin"/>
      </w:r>
      <w:r>
        <w:instrText xml:space="preserve"> HYPERLINK "https://www.fda.gov/vaccines-blood-biologics/guidance-compliance-regulatory-information-biologics/biologics-guidances" </w:instrText>
      </w:r>
      <w:r>
        <w:fldChar w:fldCharType="separate"/>
      </w:r>
      <w:r>
        <w:rPr>
          <w:rStyle w:val="10"/>
          <w:sz w:val="24"/>
          <w:szCs w:val="24"/>
          <w:u w:val="none"/>
          <w:lang w:eastAsia="zh-CN"/>
        </w:rPr>
        <w:t xml:space="preserve"> </w:t>
      </w:r>
      <w:r>
        <w:rPr>
          <w:rStyle w:val="10"/>
          <w:sz w:val="24"/>
          <w:szCs w:val="24"/>
          <w:lang w:eastAsia="zh-CN"/>
        </w:rPr>
        <w:t>https://www.fda.gov/vaccines-blood-biologics/guidance-compliance-</w:t>
      </w:r>
      <w:r>
        <w:rPr>
          <w:rStyle w:val="10"/>
          <w:sz w:val="24"/>
          <w:szCs w:val="24"/>
          <w:lang w:eastAsia="zh-CN"/>
        </w:rPr>
        <w:fldChar w:fldCharType="end"/>
      </w:r>
      <w:r>
        <w:fldChar w:fldCharType="begin"/>
      </w:r>
      <w:r>
        <w:instrText xml:space="preserve"> HYPERLINK "https://www.fda.gov/vaccines-blood-biologics/guidance-compliance-regulatory-information-biologics/biologics-guidances" </w:instrText>
      </w:r>
      <w:r>
        <w:fldChar w:fldCharType="separate"/>
      </w:r>
      <w:r>
        <w:rPr>
          <w:rStyle w:val="10"/>
          <w:sz w:val="24"/>
          <w:szCs w:val="24"/>
          <w:lang w:eastAsia="zh-CN"/>
        </w:rPr>
        <w:t>regulatory-information-biologics/biologics-guidances。</w:t>
      </w:r>
      <w:r>
        <w:rPr>
          <w:rStyle w:val="10"/>
          <w:sz w:val="24"/>
          <w:szCs w:val="24"/>
          <w:lang w:eastAsia="zh-CN"/>
        </w:rPr>
        <w:fldChar w:fldCharType="end"/>
      </w:r>
    </w:p>
    <w:p w14:paraId="12614B09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如对本指南的内容</w:t>
      </w:r>
      <w:r>
        <w:rPr>
          <w:rFonts w:hint="eastAsia"/>
          <w:sz w:val="24"/>
          <w:szCs w:val="24"/>
          <w:lang w:eastAsia="zh-CN"/>
        </w:rPr>
        <w:t>有任何疑问</w:t>
      </w:r>
      <w:r>
        <w:rPr>
          <w:sz w:val="24"/>
          <w:szCs w:val="24"/>
          <w:lang w:eastAsia="zh-CN"/>
        </w:rPr>
        <w:t>，请通过以上电话或电子邮箱联系OCOD。</w:t>
      </w:r>
    </w:p>
    <w:p w14:paraId="398852F0">
      <w:pPr>
        <w:snapToGrid w:val="0"/>
        <w:spacing w:before="120" w:beforeLines="50"/>
        <w:jc w:val="right"/>
        <w:rPr>
          <w:b/>
          <w:bCs/>
          <w:lang w:eastAsia="zh-CN"/>
        </w:rPr>
      </w:pPr>
    </w:p>
    <w:p w14:paraId="3DE2A3A5">
      <w:pPr>
        <w:snapToGrid w:val="0"/>
        <w:spacing w:before="120" w:beforeLines="50"/>
        <w:jc w:val="right"/>
        <w:rPr>
          <w:b/>
          <w:bCs/>
          <w:lang w:eastAsia="zh-CN"/>
        </w:rPr>
      </w:pPr>
    </w:p>
    <w:p w14:paraId="3AACBE58">
      <w:pPr>
        <w:snapToGrid w:val="0"/>
        <w:spacing w:before="120" w:beforeLines="50"/>
        <w:jc w:val="right"/>
        <w:rPr>
          <w:b/>
          <w:bCs/>
          <w:lang w:eastAsia="zh-CN"/>
        </w:rPr>
      </w:pPr>
    </w:p>
    <w:p w14:paraId="100F01CD">
      <w:pPr>
        <w:snapToGrid w:val="0"/>
        <w:spacing w:before="120" w:beforeLines="50"/>
        <w:jc w:val="right"/>
        <w:rPr>
          <w:b/>
          <w:bCs/>
          <w:lang w:eastAsia="zh-CN"/>
        </w:rPr>
      </w:pPr>
    </w:p>
    <w:p w14:paraId="2AC4C20E">
      <w:pPr>
        <w:snapToGrid w:val="0"/>
        <w:spacing w:before="120" w:beforeLines="50"/>
        <w:jc w:val="right"/>
        <w:rPr>
          <w:b/>
          <w:bCs/>
          <w:lang w:eastAsia="zh-CN"/>
        </w:rPr>
      </w:pPr>
    </w:p>
    <w:p w14:paraId="59556FD9">
      <w:pPr>
        <w:snapToGrid w:val="0"/>
        <w:spacing w:before="120" w:beforeLines="50"/>
        <w:jc w:val="right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美国卫生</w:t>
      </w:r>
      <w:r>
        <w:rPr>
          <w:rFonts w:hint="eastAsia"/>
          <w:b/>
          <w:bCs/>
          <w:sz w:val="24"/>
          <w:szCs w:val="24"/>
          <w:lang w:eastAsia="zh-CN"/>
        </w:rPr>
        <w:t>与</w:t>
      </w:r>
      <w:r>
        <w:rPr>
          <w:b/>
          <w:bCs/>
          <w:sz w:val="24"/>
          <w:szCs w:val="24"/>
          <w:lang w:eastAsia="zh-CN"/>
        </w:rPr>
        <w:t>公众服务部</w:t>
      </w:r>
    </w:p>
    <w:p w14:paraId="3DB0ACBA">
      <w:pPr>
        <w:snapToGrid w:val="0"/>
        <w:spacing w:before="120" w:beforeLines="50"/>
        <w:jc w:val="right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美国食品药品监督管理局</w:t>
      </w:r>
    </w:p>
    <w:p w14:paraId="3DDF2DB1">
      <w:pPr>
        <w:snapToGrid w:val="0"/>
        <w:spacing w:before="120" w:beforeLines="50"/>
        <w:jc w:val="right"/>
        <w:rPr>
          <w:sz w:val="24"/>
          <w:szCs w:val="24"/>
          <w:lang w:eastAsia="zh-CN"/>
        </w:rPr>
      </w:pPr>
      <w:bookmarkStart w:id="1" w:name="bookmark1"/>
      <w:r>
        <w:rPr>
          <w:b/>
          <w:bCs/>
          <w:sz w:val="24"/>
          <w:szCs w:val="24"/>
          <w:lang w:eastAsia="zh-CN"/>
        </w:rPr>
        <w:t>生物制品评价和研究中心</w:t>
      </w:r>
      <w:bookmarkEnd w:id="1"/>
    </w:p>
    <w:p w14:paraId="35E8BC23">
      <w:pPr>
        <w:snapToGrid w:val="0"/>
        <w:spacing w:before="120" w:beforeLines="50"/>
        <w:jc w:val="right"/>
        <w:rPr>
          <w:b/>
          <w:bCs/>
          <w:sz w:val="24"/>
          <w:szCs w:val="24"/>
          <w:lang w:eastAsia="zh-CN"/>
        </w:rPr>
      </w:pPr>
      <w:bookmarkStart w:id="2" w:name="bookmark2"/>
      <w:r>
        <w:rPr>
          <w:b/>
          <w:bCs/>
          <w:sz w:val="24"/>
          <w:szCs w:val="24"/>
          <w:lang w:eastAsia="zh-CN"/>
        </w:rPr>
        <w:t>2020年7月</w:t>
      </w:r>
      <w:bookmarkEnd w:id="2"/>
    </w:p>
    <w:p w14:paraId="3C866694">
      <w:pPr>
        <w:snapToGrid w:val="0"/>
        <w:spacing w:before="120" w:beforeLines="50"/>
        <w:jc w:val="both"/>
        <w:rPr>
          <w:lang w:eastAsia="zh-CN"/>
        </w:rPr>
      </w:pPr>
    </w:p>
    <w:p w14:paraId="0B1A09C5">
      <w:pPr>
        <w:snapToGrid w:val="0"/>
        <w:spacing w:before="120" w:beforeLines="50"/>
        <w:jc w:val="both"/>
        <w:rPr>
          <w:lang w:eastAsia="zh-CN"/>
        </w:rPr>
        <w:sectPr>
          <w:headerReference r:id="rId5" w:type="default"/>
          <w:type w:val="continuous"/>
          <w:pgSz w:w="11907" w:h="16840"/>
          <w:pgMar w:top="1429" w:right="1797" w:bottom="1429" w:left="1797" w:header="720" w:footer="720" w:gutter="0"/>
          <w:cols w:space="720" w:num="1"/>
          <w:docGrid w:linePitch="360" w:charSpace="0"/>
        </w:sectPr>
      </w:pPr>
    </w:p>
    <w:p w14:paraId="00F5816B">
      <w:pPr>
        <w:snapToGrid w:val="0"/>
        <w:spacing w:before="120" w:beforeLines="50"/>
        <w:jc w:val="center"/>
        <w:rPr>
          <w:sz w:val="28"/>
          <w:szCs w:val="28"/>
          <w:lang w:eastAsia="zh-CN"/>
        </w:rPr>
      </w:pPr>
      <w:bookmarkStart w:id="3" w:name="bookmark3"/>
      <w:r>
        <w:rPr>
          <w:b/>
          <w:bCs/>
          <w:sz w:val="28"/>
          <w:szCs w:val="28"/>
          <w:lang w:eastAsia="zh-CN"/>
        </w:rPr>
        <w:t>目录</w:t>
      </w:r>
      <w:bookmarkEnd w:id="3"/>
    </w:p>
    <w:p w14:paraId="657297D9">
      <w:pPr>
        <w:pStyle w:val="6"/>
        <w:spacing w:before="120"/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eastAsia="zh-CN" w:bidi="ar-SA"/>
        </w:rPr>
      </w:pPr>
      <w:r>
        <w:rPr>
          <w:bCs/>
          <w:lang w:eastAsia="zh-CN"/>
        </w:rPr>
        <w:fldChar w:fldCharType="begin"/>
      </w:r>
      <w:r>
        <w:rPr>
          <w:bCs/>
          <w:lang w:eastAsia="zh-CN"/>
        </w:rPr>
        <w:instrText xml:space="preserve"> TOC \o "1-2" \t "样式m1,1,样式m2,2" </w:instrText>
      </w:r>
      <w:r>
        <w:rPr>
          <w:bCs/>
        </w:rPr>
        <w:fldChar w:fldCharType="separate"/>
      </w:r>
      <w:r>
        <w:rPr>
          <w:lang w:eastAsia="zh-CN"/>
        </w:rPr>
        <w:t>I.</w:t>
      </w:r>
      <w: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引言：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_Toc97313909 \h </w:instrText>
      </w:r>
      <w:r>
        <w:fldChar w:fldCharType="separate"/>
      </w:r>
      <w:r>
        <w:rPr>
          <w:lang w:eastAsia="zh-CN"/>
        </w:rPr>
        <w:t>1</w:t>
      </w:r>
      <w:r>
        <w:fldChar w:fldCharType="end"/>
      </w:r>
    </w:p>
    <w:p w14:paraId="78383F97">
      <w:pPr>
        <w:pStyle w:val="6"/>
        <w:spacing w:before="120"/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II.</w:t>
      </w:r>
      <w: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背景：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_Toc97313910 \h </w:instrText>
      </w:r>
      <w:r>
        <w:fldChar w:fldCharType="separate"/>
      </w:r>
      <w:r>
        <w:rPr>
          <w:lang w:eastAsia="zh-CN"/>
        </w:rPr>
        <w:t>1</w:t>
      </w:r>
      <w:r>
        <w:fldChar w:fldCharType="end"/>
      </w:r>
    </w:p>
    <w:p w14:paraId="20EC6E68">
      <w:pPr>
        <w:pStyle w:val="6"/>
        <w:spacing w:before="120"/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III.</w:t>
      </w:r>
      <w: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政策：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_Toc97313911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29544AA6">
      <w:pPr>
        <w:pStyle w:val="6"/>
        <w:spacing w:before="120"/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IV.</w:t>
      </w:r>
      <w: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监管措施指南：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_Toc97313912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21C084FE">
      <w:pPr>
        <w:tabs>
          <w:tab w:val="left" w:pos="442"/>
          <w:tab w:val="right" w:leader="dot" w:pos="9326"/>
        </w:tabs>
        <w:snapToGrid w:val="0"/>
        <w:spacing w:before="120" w:beforeLines="50"/>
        <w:jc w:val="both"/>
        <w:rPr>
          <w:b/>
          <w:bCs/>
          <w:lang w:eastAsia="zh-CN"/>
        </w:rPr>
      </w:pPr>
      <w:r>
        <w:rPr>
          <w:bCs/>
          <w:sz w:val="24"/>
        </w:rPr>
        <w:fldChar w:fldCharType="end"/>
      </w:r>
    </w:p>
    <w:p w14:paraId="71BAD112">
      <w:pPr>
        <w:snapToGrid w:val="0"/>
        <w:spacing w:before="120" w:beforeLines="50"/>
        <w:jc w:val="both"/>
        <w:rPr>
          <w:b/>
          <w:bCs/>
          <w:lang w:eastAsia="zh-CN"/>
        </w:rPr>
      </w:pPr>
    </w:p>
    <w:p w14:paraId="26F3A6B6">
      <w:pPr>
        <w:snapToGrid w:val="0"/>
        <w:spacing w:before="120" w:beforeLines="50"/>
        <w:jc w:val="both"/>
        <w:rPr>
          <w:lang w:eastAsia="zh-CN"/>
        </w:rPr>
        <w:sectPr>
          <w:headerReference r:id="rId6" w:type="default"/>
          <w:footerReference r:id="rId7" w:type="default"/>
          <w:pgSz w:w="11907" w:h="16840"/>
          <w:pgMar w:top="1429" w:right="1797" w:bottom="1429" w:left="1797" w:header="720" w:footer="720" w:gutter="0"/>
          <w:pgNumType w:fmt="lowerRoman" w:start="1"/>
          <w:cols w:space="720" w:num="1"/>
          <w:docGrid w:linePitch="360" w:charSpace="0"/>
        </w:sectPr>
      </w:pPr>
    </w:p>
    <w:p w14:paraId="6C4F61AA">
      <w:pPr>
        <w:snapToGrid w:val="0"/>
        <w:spacing w:before="120" w:beforeLines="50"/>
        <w:jc w:val="center"/>
        <w:rPr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合规政策指南</w:t>
      </w:r>
    </w:p>
    <w:p w14:paraId="3C62B6E3">
      <w:pPr>
        <w:snapToGrid w:val="0"/>
        <w:spacing w:before="120" w:beforeLines="50"/>
        <w:jc w:val="center"/>
        <w:rPr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CPG章节280.110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  <w:r>
        <w:rPr>
          <w:b/>
          <w:bCs/>
          <w:sz w:val="32"/>
          <w:szCs w:val="32"/>
          <w:lang w:eastAsia="zh-CN"/>
        </w:rPr>
        <w:t>微生物控制要求 - 已获</w:t>
      </w:r>
      <w:r>
        <w:rPr>
          <w:rFonts w:hint="eastAsia"/>
          <w:b/>
          <w:bCs/>
          <w:sz w:val="32"/>
          <w:szCs w:val="32"/>
          <w:lang w:eastAsia="zh-CN"/>
        </w:rPr>
        <w:t>批</w:t>
      </w:r>
      <w:r>
        <w:rPr>
          <w:b/>
          <w:bCs/>
          <w:sz w:val="32"/>
          <w:szCs w:val="32"/>
          <w:lang w:eastAsia="zh-CN"/>
        </w:rPr>
        <w:t>抗人球蛋白和血型鉴定试剂</w:t>
      </w:r>
    </w:p>
    <w:p w14:paraId="320EED52">
      <w:pPr>
        <w:pBdr>
          <w:top w:val="single" w:color="auto" w:sz="6" w:space="1"/>
        </w:pBdr>
        <w:snapToGrid w:val="0"/>
        <w:spacing w:before="120" w:beforeLines="50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美国食品药品监督管理局工作人员指南</w:t>
      </w:r>
    </w:p>
    <w:p w14:paraId="01B327E1">
      <w:pPr>
        <w:snapToGrid w:val="0"/>
        <w:spacing w:before="120" w:beforeLines="50"/>
        <w:jc w:val="both"/>
        <w:rPr>
          <w:lang w:eastAsia="zh-CN"/>
        </w:rPr>
      </w:pPr>
    </w:p>
    <w:tbl>
      <w:tblPr>
        <w:tblStyle w:val="8"/>
        <w:tblW w:w="5000" w:type="pct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0E407093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5000" w:type="pct"/>
            <w:shd w:val="clear" w:color="auto" w:fill="FFFFFF"/>
            <w:vAlign w:val="center"/>
          </w:tcPr>
          <w:p w14:paraId="510D81FC">
            <w:pPr>
              <w:snapToGrid w:val="0"/>
              <w:spacing w:before="120" w:beforeLines="50"/>
              <w:jc w:val="both"/>
              <w:rPr>
                <w:lang w:eastAsia="zh-CN"/>
              </w:rPr>
            </w:pPr>
            <w:r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本指南代表美国食品药品监督管理局（FDA）对该主题的当前看法。本文件不赋予任何人任何权利，对FDA或公众不具有约束力。如果替代方法满足适用的情形和法规 的要求，则贵司可使用替代方法。如需讨论替代方法，请联系标题页所列负责本指南的FDA工作人员或办公室。</w:t>
            </w:r>
          </w:p>
        </w:tc>
      </w:tr>
    </w:tbl>
    <w:p w14:paraId="592B8195">
      <w:pPr>
        <w:tabs>
          <w:tab w:val="left" w:pos="720"/>
        </w:tabs>
        <w:snapToGrid w:val="0"/>
        <w:spacing w:before="120" w:beforeLines="50"/>
        <w:jc w:val="both"/>
        <w:rPr>
          <w:b/>
          <w:bCs/>
          <w:lang w:eastAsia="zh-CN"/>
        </w:rPr>
      </w:pPr>
      <w:bookmarkStart w:id="4" w:name="bookmark6"/>
      <w:bookmarkStart w:id="5" w:name="bookmark4"/>
    </w:p>
    <w:p w14:paraId="75170439">
      <w:pPr>
        <w:pStyle w:val="15"/>
        <w:spacing w:before="120" w:after="120"/>
        <w:rPr>
          <w:lang w:eastAsia="zh-CN"/>
        </w:rPr>
      </w:pPr>
      <w:bookmarkStart w:id="6" w:name="_Toc97313909"/>
      <w:r>
        <w:rPr>
          <w:lang w:eastAsia="zh-CN"/>
        </w:rPr>
        <w:t>I.</w:t>
      </w:r>
      <w:r>
        <w:rPr>
          <w:lang w:eastAsia="zh-CN"/>
        </w:rPr>
        <w:tab/>
      </w:r>
      <w:r>
        <w:rPr>
          <w:lang w:eastAsia="zh-CN"/>
        </w:rPr>
        <w:t>引言：</w:t>
      </w:r>
      <w:bookmarkEnd w:id="4"/>
      <w:bookmarkEnd w:id="5"/>
      <w:bookmarkEnd w:id="6"/>
    </w:p>
    <w:p w14:paraId="0F09E969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本合规政策指南（CPG）旨在向美国食品药品监督管理局（FDA）工作人员提供有关获得生物制品评价和研究中心（CBER）</w:t>
      </w:r>
      <w:r>
        <w:rPr>
          <w:rFonts w:hint="eastAsia"/>
          <w:sz w:val="24"/>
          <w:szCs w:val="24"/>
          <w:lang w:eastAsia="zh-CN"/>
        </w:rPr>
        <w:t>批准</w:t>
      </w:r>
      <w:r>
        <w:rPr>
          <w:sz w:val="24"/>
          <w:szCs w:val="24"/>
          <w:lang w:eastAsia="zh-CN"/>
        </w:rPr>
        <w:t>的抗人球蛋白（AHG）和血型鉴定试剂（BGR) ）的微生物控制要求的指导。</w:t>
      </w:r>
    </w:p>
    <w:p w14:paraId="0A4C0770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FDA指南文件，包括本指南，并未规定具有法律强制力的责任。相反，指南描述了FDA对该主题的当前看法，除非引用了具体监管或法定要求，否则应仅视为建议。FDA指南中使用的“</w:t>
      </w:r>
      <w:r>
        <w:rPr>
          <w:rFonts w:hint="eastAsia"/>
          <w:i/>
          <w:iCs/>
          <w:sz w:val="24"/>
          <w:szCs w:val="24"/>
          <w:lang w:eastAsia="zh-CN"/>
        </w:rPr>
        <w:t>应该（should）</w:t>
      </w:r>
      <w:r>
        <w:rPr>
          <w:rFonts w:hint="eastAsia"/>
          <w:sz w:val="24"/>
          <w:szCs w:val="24"/>
          <w:lang w:eastAsia="zh-CN"/>
        </w:rPr>
        <w:t>”一词指建议或推荐进行某一事项，并非强制要求。</w:t>
      </w:r>
    </w:p>
    <w:p w14:paraId="21C60032">
      <w:pPr>
        <w:tabs>
          <w:tab w:val="left" w:pos="720"/>
        </w:tabs>
        <w:snapToGrid w:val="0"/>
        <w:spacing w:before="120" w:beforeLines="50"/>
        <w:jc w:val="both"/>
        <w:rPr>
          <w:b/>
          <w:bCs/>
          <w:lang w:eastAsia="zh-CN"/>
        </w:rPr>
      </w:pPr>
      <w:bookmarkStart w:id="7" w:name="bookmark7"/>
      <w:bookmarkStart w:id="8" w:name="bookmark5"/>
    </w:p>
    <w:p w14:paraId="440253F5">
      <w:pPr>
        <w:pStyle w:val="15"/>
        <w:spacing w:before="120" w:after="120"/>
        <w:rPr>
          <w:lang w:eastAsia="zh-CN"/>
        </w:rPr>
      </w:pPr>
      <w:bookmarkStart w:id="9" w:name="_Toc97313910"/>
      <w:r>
        <w:rPr>
          <w:lang w:eastAsia="zh-CN"/>
        </w:rPr>
        <w:t>II.</w:t>
      </w:r>
      <w:r>
        <w:rPr>
          <w:lang w:eastAsia="zh-CN"/>
        </w:rPr>
        <w:tab/>
      </w:r>
      <w:r>
        <w:rPr>
          <w:lang w:eastAsia="zh-CN"/>
        </w:rPr>
        <w:t>背景：</w:t>
      </w:r>
      <w:bookmarkEnd w:id="7"/>
      <w:bookmarkEnd w:id="8"/>
      <w:bookmarkEnd w:id="9"/>
    </w:p>
    <w:p w14:paraId="285BB705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美国联邦法规第21篇第820部分（21 CFR第820部分）中的质量体系规章适用于体外诊断产品（IVD）的制造过程。根据21 CFR第600-660部分中的生物制品法规，CBER监管的IVD产品（包括AHG和BGR）具有额外的制造要求，作为许可条件。</w:t>
      </w:r>
    </w:p>
    <w:p w14:paraId="61890C90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根据微生物学</w:t>
      </w:r>
      <w:r>
        <w:rPr>
          <w:rFonts w:hint="eastAsia"/>
          <w:sz w:val="24"/>
          <w:szCs w:val="24"/>
          <w:lang w:eastAsia="zh-CN"/>
        </w:rPr>
        <w:t>控制水平</w:t>
      </w:r>
      <w:r>
        <w:rPr>
          <w:sz w:val="24"/>
          <w:szCs w:val="24"/>
          <w:lang w:eastAsia="zh-CN"/>
        </w:rPr>
        <w:t>，IVD主要分为三大类：（1）标示为无菌的IVD；（2）进行微生物学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但是未标示为无菌的IVD；（3）不进行微生物学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的IVD。根据21 CFR 820.75，制造商的设计控制（21 CFR 820.30）和过程确认研究确定了生产特定IVD所需的微生物学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水平。CBER监管的大部分（如果不是所有）IVD属于微生物学</w:t>
      </w:r>
      <w:r>
        <w:rPr>
          <w:rFonts w:hint="eastAsia"/>
          <w:sz w:val="24"/>
          <w:szCs w:val="24"/>
          <w:lang w:eastAsia="zh-CN"/>
        </w:rPr>
        <w:t>控制</w:t>
      </w:r>
      <w:r>
        <w:rPr>
          <w:sz w:val="24"/>
          <w:szCs w:val="24"/>
          <w:lang w:eastAsia="zh-CN"/>
        </w:rPr>
        <w:t>产品，包括BGR和AHG。</w:t>
      </w:r>
    </w:p>
    <w:p w14:paraId="61B3D0AB">
      <w:pPr>
        <w:snapToGrid w:val="0"/>
        <w:spacing w:before="120" w:beforeLines="5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4A592097">
      <w:pPr>
        <w:pStyle w:val="15"/>
        <w:spacing w:before="120" w:after="120"/>
        <w:rPr>
          <w:lang w:eastAsia="zh-CN"/>
        </w:rPr>
      </w:pPr>
      <w:bookmarkStart w:id="10" w:name="bookmark9"/>
      <w:bookmarkStart w:id="11" w:name="bookmark8"/>
      <w:bookmarkStart w:id="12" w:name="_Toc97313911"/>
      <w:r>
        <w:rPr>
          <w:lang w:eastAsia="zh-CN"/>
        </w:rPr>
        <w:t>III.</w:t>
      </w:r>
      <w:r>
        <w:rPr>
          <w:lang w:eastAsia="zh-CN"/>
        </w:rPr>
        <w:tab/>
      </w:r>
      <w:r>
        <w:rPr>
          <w:lang w:eastAsia="zh-CN"/>
        </w:rPr>
        <w:t>政策：</w:t>
      </w:r>
      <w:bookmarkEnd w:id="10"/>
      <w:bookmarkEnd w:id="11"/>
      <w:bookmarkEnd w:id="12"/>
    </w:p>
    <w:p w14:paraId="58440CFB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生物制品的无菌性要求见21 CFR 610.12。然而，AHG和BGR的无菌性试验除外（21 CFR 610.12(h)(1)）。生物制品法规描述了已获</w:t>
      </w:r>
      <w:r>
        <w:rPr>
          <w:rFonts w:hint="eastAsia"/>
          <w:sz w:val="24"/>
          <w:szCs w:val="24"/>
          <w:lang w:eastAsia="zh-CN"/>
        </w:rPr>
        <w:t>批准</w:t>
      </w:r>
      <w:r>
        <w:rPr>
          <w:sz w:val="24"/>
          <w:szCs w:val="24"/>
          <w:lang w:eastAsia="zh-CN"/>
        </w:rPr>
        <w:t>的BGR（21 CFR 660.20）和AHG（21 CFR 660.50）的其他标准。CBER在2000年12月12日修订了有关BGR和AHG的法规（65 FR 77497），以删除这些产品必须无菌或经过无菌处理的要求，因为：（1）制造商在产品标签上表明这些产品无菌；（2）要求对许可IVD的终端用户进行质量检查（21 CFR 606.65(c)）；（3）所有BGR和AHG都含有防腐剂；（4）在这些产品的许可证申请审查期间，CBER未提出无菌性要求。因此，除非许可证申请另行规定，否则CBER预计不会在</w:t>
      </w:r>
      <w:r>
        <w:rPr>
          <w:rFonts w:hint="eastAsia"/>
          <w:sz w:val="24"/>
          <w:szCs w:val="24"/>
          <w:lang w:eastAsia="zh-CN"/>
        </w:rPr>
        <w:t>无菌条件下生产</w:t>
      </w:r>
      <w:r>
        <w:rPr>
          <w:sz w:val="24"/>
          <w:szCs w:val="24"/>
          <w:lang w:eastAsia="zh-CN"/>
        </w:rPr>
        <w:t>AHG和BGR。然而，其制造条件应确保微生物水平不会对产品性能造成不良影响。</w:t>
      </w:r>
    </w:p>
    <w:p w14:paraId="45B2E801">
      <w:pPr>
        <w:tabs>
          <w:tab w:val="left" w:pos="720"/>
        </w:tabs>
        <w:snapToGrid w:val="0"/>
        <w:spacing w:before="120" w:beforeLines="50"/>
        <w:jc w:val="both"/>
        <w:rPr>
          <w:b/>
          <w:bCs/>
          <w:lang w:eastAsia="zh-CN"/>
        </w:rPr>
      </w:pPr>
      <w:bookmarkStart w:id="13" w:name="bookmark11"/>
      <w:bookmarkStart w:id="14" w:name="bookmark10"/>
    </w:p>
    <w:p w14:paraId="7B7B3AA3">
      <w:pPr>
        <w:pStyle w:val="15"/>
        <w:spacing w:before="120" w:after="120"/>
        <w:rPr>
          <w:lang w:eastAsia="zh-CN"/>
        </w:rPr>
      </w:pPr>
      <w:bookmarkStart w:id="15" w:name="_Toc97313912"/>
      <w:r>
        <w:rPr>
          <w:lang w:eastAsia="zh-CN"/>
        </w:rPr>
        <w:t>IV.</w:t>
      </w:r>
      <w:r>
        <w:rPr>
          <w:lang w:eastAsia="zh-CN"/>
        </w:rPr>
        <w:tab/>
      </w:r>
      <w:r>
        <w:rPr>
          <w:lang w:eastAsia="zh-CN"/>
        </w:rPr>
        <w:t>监管措施指南：</w:t>
      </w:r>
      <w:bookmarkEnd w:id="13"/>
      <w:bookmarkEnd w:id="14"/>
      <w:bookmarkEnd w:id="15"/>
    </w:p>
    <w:p w14:paraId="41857BF8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研究者不应在FDA 483表格上</w:t>
      </w:r>
      <w:r>
        <w:rPr>
          <w:rFonts w:hint="eastAsia"/>
          <w:sz w:val="24"/>
          <w:szCs w:val="24"/>
          <w:lang w:eastAsia="zh-CN"/>
        </w:rPr>
        <w:t>表明</w:t>
      </w:r>
      <w:r>
        <w:rPr>
          <w:sz w:val="24"/>
          <w:szCs w:val="24"/>
          <w:lang w:eastAsia="zh-CN"/>
        </w:rPr>
        <w:t>BGR或AHG制造商不遵循无菌处理程序，除非：（1）产品标示为无菌；（2）其许可证要求进行无菌处理；或（3）公司未遵守自己的制造标准操作规程（SOP）（例如21 CFR 820.70（生产和过程控制）；21 CFR 820.30（设计控制））。制造商应制定确保产品符合其质量标准所需的过程控制程序。研究者应证实，制造商已建立适当的质量标准并确认过程控制程序，包括可能对产品质量造成不良影响的环境条件的控制程序。如果研究者对特定产品的要求有任何问题，应通过电子邮件</w:t>
      </w:r>
      <w:r>
        <w:fldChar w:fldCharType="begin"/>
      </w:r>
      <w:r>
        <w:instrText xml:space="preserve"> HYPERLINK "邮箱：CBERInspections@fda.hhs.gov" </w:instrText>
      </w:r>
      <w:r>
        <w:fldChar w:fldCharType="separate"/>
      </w:r>
      <w:r>
        <w:rPr>
          <w:rStyle w:val="10"/>
          <w:color w:val="auto"/>
          <w:sz w:val="24"/>
          <w:szCs w:val="24"/>
          <w:lang w:eastAsia="zh-CN"/>
        </w:rPr>
        <w:t>CBERInspections@fda.hhs.gov</w:t>
      </w:r>
      <w:r>
        <w:rPr>
          <w:rStyle w:val="10"/>
          <w:color w:val="auto"/>
          <w:sz w:val="24"/>
          <w:szCs w:val="24"/>
          <w:lang w:eastAsia="zh-CN"/>
        </w:rPr>
        <w:fldChar w:fldCharType="end"/>
      </w:r>
      <w:r>
        <w:rPr>
          <w:sz w:val="24"/>
          <w:szCs w:val="24"/>
          <w:lang w:eastAsia="zh-CN"/>
        </w:rPr>
        <w:t>咨询CBER的合规和生物制品质量办公室。</w:t>
      </w:r>
    </w:p>
    <w:p w14:paraId="38F1C391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</w:p>
    <w:p w14:paraId="2DE86FCA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发布日期：2000</w:t>
      </w:r>
      <w:r>
        <w:rPr>
          <w:rFonts w:hint="eastAsia"/>
          <w:sz w:val="24"/>
          <w:szCs w:val="24"/>
          <w:lang w:eastAsia="zh-CN"/>
        </w:rPr>
        <w:t>年8月14日</w:t>
      </w:r>
    </w:p>
    <w:p w14:paraId="49155141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修订</w:t>
      </w:r>
      <w:r>
        <w:rPr>
          <w:sz w:val="24"/>
          <w:szCs w:val="24"/>
          <w:lang w:eastAsia="zh-CN"/>
        </w:rPr>
        <w:t>日期：2014</w:t>
      </w:r>
      <w:r>
        <w:rPr>
          <w:rFonts w:hint="eastAsia"/>
          <w:sz w:val="24"/>
          <w:szCs w:val="24"/>
          <w:lang w:eastAsia="zh-CN"/>
        </w:rPr>
        <w:t>年5月，</w:t>
      </w:r>
      <w:r>
        <w:rPr>
          <w:sz w:val="24"/>
          <w:szCs w:val="24"/>
          <w:lang w:eastAsia="zh-CN"/>
        </w:rPr>
        <w:t>2020</w:t>
      </w:r>
      <w:r>
        <w:rPr>
          <w:rFonts w:hint="eastAsia"/>
          <w:sz w:val="24"/>
          <w:szCs w:val="24"/>
          <w:lang w:eastAsia="zh-CN"/>
        </w:rPr>
        <w:t>年7月31日</w:t>
      </w:r>
    </w:p>
    <w:p w14:paraId="51DAFF48">
      <w:pPr>
        <w:snapToGrid w:val="0"/>
        <w:spacing w:before="120" w:beforeLines="50"/>
        <w:jc w:val="both"/>
        <w:rPr>
          <w:sz w:val="24"/>
          <w:szCs w:val="24"/>
          <w:lang w:eastAsia="zh-CN"/>
        </w:rPr>
      </w:pPr>
    </w:p>
    <w:p w14:paraId="7C08983F">
      <w:pPr>
        <w:pStyle w:val="13"/>
        <w:spacing w:before="120"/>
        <w:rPr>
          <w:rFonts w:hint="eastAsia" w:eastAsia="宋体"/>
          <w:lang w:eastAsia="zh-CN"/>
        </w:rPr>
      </w:pPr>
    </w:p>
    <w:p w14:paraId="7261FCCD">
      <w:pPr>
        <w:pStyle w:val="13"/>
        <w:spacing w:before="120"/>
        <w:jc w:val="center"/>
        <w:rPr>
          <w:rFonts w:hint="eastAsia" w:eastAsia="宋体"/>
          <w:lang w:eastAsia="zh-CN"/>
        </w:rPr>
      </w:pPr>
    </w:p>
    <w:p w14:paraId="44D66658">
      <w:pPr>
        <w:pStyle w:val="13"/>
        <w:spacing w:before="12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8" w:type="default"/>
      <w:pgSz w:w="11907" w:h="16840"/>
      <w:pgMar w:top="1429" w:right="1797" w:bottom="1429" w:left="1797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3A88">
    <w:pPr>
      <w:pStyle w:val="4"/>
      <w:jc w:val="center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>
      <w:rPr>
        <w:sz w:val="21"/>
        <w:szCs w:val="21"/>
        <w:lang w:eastAsia="zh-CN"/>
      </w:rPr>
      <w:t>i</w:t>
    </w:r>
    <w:r>
      <w:rPr>
        <w:sz w:val="21"/>
        <w:szCs w:val="21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A62E">
    <w:pPr>
      <w:pStyle w:val="4"/>
      <w:jc w:val="center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>
      <w:rPr>
        <w:sz w:val="21"/>
        <w:szCs w:val="21"/>
        <w:lang w:eastAsia="zh-CN"/>
      </w:rPr>
      <w:t>2</w:t>
    </w:r>
    <w:r>
      <w:rPr>
        <w:sz w:val="21"/>
        <w:szCs w:val="21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4FE9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6C37F">
    <w:pPr>
      <w:pStyle w:val="5"/>
      <w:pBdr>
        <w:bottom w:val="none" w:color="auto" w:sz="0" w:space="0"/>
      </w:pBdr>
    </w:pPr>
    <w:r>
      <w:rPr>
        <w:rFonts w:hint="eastAsia"/>
        <w:b/>
        <w:bCs/>
        <w:sz w:val="21"/>
        <w:szCs w:val="21"/>
        <w:lang w:eastAsia="zh-CN"/>
      </w:rPr>
      <w:t>包含</w:t>
    </w:r>
    <w:r>
      <w:rPr>
        <w:b/>
        <w:bCs/>
        <w:sz w:val="21"/>
        <w:szCs w:val="21"/>
        <w:lang w:eastAsia="zh-CN"/>
      </w:rPr>
      <w:t>建议</w:t>
    </w:r>
    <w:r>
      <w:rPr>
        <w:rFonts w:hint="eastAsia"/>
        <w:b/>
        <w:bCs/>
        <w:sz w:val="21"/>
        <w:szCs w:val="21"/>
        <w:lang w:eastAsia="zh-CN"/>
      </w:rPr>
      <w:t>不具有约束力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2774F6"/>
    <w:rsid w:val="00012421"/>
    <w:rsid w:val="00030747"/>
    <w:rsid w:val="00097275"/>
    <w:rsid w:val="001338AC"/>
    <w:rsid w:val="00182A92"/>
    <w:rsid w:val="002332A0"/>
    <w:rsid w:val="0025644A"/>
    <w:rsid w:val="002774F6"/>
    <w:rsid w:val="002F270D"/>
    <w:rsid w:val="004C3D37"/>
    <w:rsid w:val="005371FE"/>
    <w:rsid w:val="006C2FE4"/>
    <w:rsid w:val="00823223"/>
    <w:rsid w:val="00864234"/>
    <w:rsid w:val="009354E6"/>
    <w:rsid w:val="0093644F"/>
    <w:rsid w:val="009A40E7"/>
    <w:rsid w:val="00AC771E"/>
    <w:rsid w:val="00B27C4B"/>
    <w:rsid w:val="00B40C86"/>
    <w:rsid w:val="00BE6363"/>
    <w:rsid w:val="00CC1DD3"/>
    <w:rsid w:val="00CC5ED5"/>
    <w:rsid w:val="00D47579"/>
    <w:rsid w:val="00D65739"/>
    <w:rsid w:val="00D70B68"/>
    <w:rsid w:val="00DC631B"/>
    <w:rsid w:val="00ED0095"/>
    <w:rsid w:val="00ED59E3"/>
    <w:rsid w:val="00F04337"/>
    <w:rsid w:val="00F14C95"/>
    <w:rsid w:val="00F24F74"/>
    <w:rsid w:val="00F34A72"/>
    <w:rsid w:val="00F93221"/>
    <w:rsid w:val="00FD4909"/>
    <w:rsid w:val="00FD781B"/>
    <w:rsid w:val="7AA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宋体" w:cs="Times New Roman"/>
      <w:color w:val="000000"/>
      <w:sz w:val="21"/>
      <w:szCs w:val="21"/>
      <w:lang w:val="en-US" w:eastAsia="en-US" w:bidi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left" w:pos="426"/>
        <w:tab w:val="right" w:leader="dot" w:pos="8303"/>
      </w:tabs>
      <w:spacing w:beforeLines="50"/>
    </w:pPr>
    <w:rPr>
      <w:b/>
      <w:sz w:val="24"/>
    </w:rPr>
  </w:style>
  <w:style w:type="paragraph" w:styleId="7">
    <w:name w:val="toc 2"/>
    <w:basedOn w:val="1"/>
    <w:next w:val="1"/>
    <w:autoRedefine/>
    <w:unhideWhenUsed/>
    <w:qFormat/>
    <w:uiPriority w:val="39"/>
    <w:pPr>
      <w:tabs>
        <w:tab w:val="left" w:pos="840"/>
        <w:tab w:val="right" w:leader="dot" w:pos="8303"/>
      </w:tabs>
      <w:spacing w:beforeLines="50"/>
      <w:ind w:left="850" w:leftChars="200" w:hanging="430" w:hangingChars="205"/>
    </w:pPr>
  </w:style>
  <w:style w:type="character" w:styleId="10">
    <w:name w:val="Hyperlink"/>
    <w:basedOn w:val="9"/>
    <w:qFormat/>
    <w:uiPriority w:val="0"/>
    <w:rPr>
      <w:color w:val="0066CC"/>
      <w:u w:val="single"/>
    </w:rPr>
  </w:style>
  <w:style w:type="character" w:customStyle="1" w:styleId="11">
    <w:name w:val="页眉 字符"/>
    <w:basedOn w:val="9"/>
    <w:link w:val="5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rFonts w:eastAsia="Times New Roman"/>
      <w:color w:val="000000"/>
      <w:sz w:val="18"/>
      <w:szCs w:val="18"/>
    </w:rPr>
  </w:style>
  <w:style w:type="paragraph" w:customStyle="1" w:styleId="13">
    <w:name w:val="样式b1"/>
    <w:basedOn w:val="1"/>
    <w:qFormat/>
    <w:uiPriority w:val="0"/>
    <w:pPr>
      <w:pBdr>
        <w:bottom w:val="single" w:color="auto" w:sz="4" w:space="1"/>
      </w:pBd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14">
    <w:name w:val="样式b2"/>
    <w:basedOn w:val="1"/>
    <w:qFormat/>
    <w:uiPriority w:val="0"/>
    <w:pP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15">
    <w:name w:val="样式m1"/>
    <w:basedOn w:val="1"/>
    <w:autoRedefine/>
    <w:qFormat/>
    <w:uiPriority w:val="0"/>
    <w:pPr>
      <w:tabs>
        <w:tab w:val="left" w:pos="567"/>
      </w:tabs>
      <w:snapToGrid w:val="0"/>
      <w:spacing w:beforeLines="50" w:afterLines="50"/>
      <w:ind w:left="565" w:hanging="565" w:hangingChars="201"/>
      <w:jc w:val="both"/>
    </w:pPr>
    <w:rPr>
      <w:b/>
      <w:bCs/>
      <w:sz w:val="28"/>
      <w:szCs w:val="28"/>
    </w:rPr>
  </w:style>
  <w:style w:type="paragraph" w:customStyle="1" w:styleId="16">
    <w:name w:val="样式m2"/>
    <w:basedOn w:val="1"/>
    <w:uiPriority w:val="0"/>
    <w:pPr>
      <w:tabs>
        <w:tab w:val="left" w:pos="1560"/>
      </w:tabs>
      <w:snapToGrid w:val="0"/>
      <w:spacing w:beforeLines="50" w:afterLines="50"/>
      <w:ind w:left="708" w:leftChars="337"/>
      <w:jc w:val="both"/>
    </w:pPr>
    <w:rPr>
      <w:b/>
      <w:bCs/>
    </w:rPr>
  </w:style>
  <w:style w:type="paragraph" w:customStyle="1" w:styleId="17">
    <w:name w:val="样式m22"/>
    <w:basedOn w:val="1"/>
    <w:qFormat/>
    <w:uiPriority w:val="0"/>
    <w:pPr>
      <w:tabs>
        <w:tab w:val="left" w:pos="1560"/>
      </w:tabs>
      <w:snapToGrid w:val="0"/>
      <w:spacing w:beforeLines="50" w:afterLines="50"/>
      <w:jc w:val="both"/>
    </w:pPr>
    <w:rPr>
      <w:b/>
      <w:bCs/>
    </w:rPr>
  </w:style>
  <w:style w:type="paragraph" w:customStyle="1" w:styleId="18">
    <w:name w:val="样式m3"/>
    <w:basedOn w:val="1"/>
    <w:uiPriority w:val="0"/>
    <w:pPr>
      <w:snapToGrid w:val="0"/>
      <w:spacing w:beforeLines="50" w:afterLines="50"/>
      <w:jc w:val="both"/>
    </w:pPr>
    <w:rPr>
      <w:b/>
      <w:bCs/>
    </w:rPr>
  </w:style>
  <w:style w:type="paragraph" w:customStyle="1" w:styleId="19">
    <w:name w:val="样式x"/>
    <w:basedOn w:val="1"/>
    <w:qFormat/>
    <w:uiPriority w:val="0"/>
    <w:pPr>
      <w:tabs>
        <w:tab w:val="left" w:pos="709"/>
      </w:tabs>
      <w:snapToGrid w:val="0"/>
      <w:spacing w:beforeLines="50"/>
      <w:ind w:left="707" w:leftChars="203" w:hanging="281" w:hangingChars="134"/>
      <w:jc w:val="both"/>
    </w:pPr>
  </w:style>
  <w:style w:type="paragraph" w:customStyle="1" w:styleId="20">
    <w:name w:val="样式x2"/>
    <w:basedOn w:val="1"/>
    <w:qFormat/>
    <w:uiPriority w:val="0"/>
    <w:pPr>
      <w:snapToGrid w:val="0"/>
      <w:spacing w:beforeLines="50"/>
      <w:ind w:left="1558" w:leftChars="539" w:hanging="426" w:hangingChars="203"/>
      <w:jc w:val="both"/>
    </w:pPr>
  </w:style>
  <w:style w:type="character" w:customStyle="1" w:styleId="21">
    <w:name w:val="日期 字符"/>
    <w:basedOn w:val="9"/>
    <w:link w:val="2"/>
    <w:semiHidden/>
    <w:qFormat/>
    <w:uiPriority w:val="99"/>
    <w:rPr>
      <w:rFonts w:eastAsia="宋体"/>
      <w:color w:val="000000"/>
      <w:sz w:val="21"/>
      <w:szCs w:val="21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eastAsia="宋体"/>
      <w:color w:val="000000"/>
      <w:sz w:val="18"/>
      <w:szCs w:val="18"/>
    </w:rPr>
  </w:style>
  <w:style w:type="paragraph" w:customStyle="1" w:styleId="23">
    <w:name w:val="Revision"/>
    <w:hidden/>
    <w:semiHidden/>
    <w:qFormat/>
    <w:uiPriority w:val="99"/>
    <w:pPr>
      <w:widowControl/>
    </w:pPr>
    <w:rPr>
      <w:rFonts w:ascii="Times New Roman" w:hAnsi="Times New Roman" w:eastAsia="宋体" w:cs="Times New Roman"/>
      <w:color w:val="000000"/>
      <w:sz w:val="21"/>
      <w:szCs w:val="21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1467</Words>
  <Characters>2107</Characters>
  <Lines>19</Lines>
  <Paragraphs>5</Paragraphs>
  <TotalTime>79</TotalTime>
  <ScaleCrop>false</ScaleCrop>
  <LinksUpToDate>false</LinksUpToDate>
  <CharactersWithSpaces>2176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2021-11-12T12:10:00Z</dcterms:created>
  <dc:creator>Food and Drug Administration</dc:creator>
  <cp:lastModifiedBy>太极箫客</cp:lastModifiedBy>
  <dcterms:modified xsi:type="dcterms:W3CDTF">2025-08-14T06:44:58Z</dcterms:modified>
  <dc:subject>Draft guidance for sponsors, sponsor-investigators, researchers, industry, and FDA Staff</dc:subject>
  <dc:title>Certificates of Confidentiality Draft Guidance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1AD469234708489B9A06FC7760F3E6C9_12</vt:lpwstr>
  </property>
</Properties>
</file>