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7396A">
      <w:pPr>
        <w:spacing w:line="520" w:lineRule="exact"/>
        <w:jc w:val="center"/>
        <w:rPr>
          <w:rFonts w:ascii="方正小标宋简体" w:eastAsia="方正小标宋简体"/>
          <w:bCs/>
          <w:sz w:val="44"/>
          <w:szCs w:val="36"/>
        </w:rPr>
      </w:pPr>
      <w:bookmarkStart w:id="3" w:name="_GoBack"/>
      <w:bookmarkEnd w:id="3"/>
      <w:r>
        <w:rPr>
          <w:rFonts w:hint="eastAsia" w:eastAsia="方正小标宋简体" w:asciiTheme="minorHAnsi" w:hAnsiTheme="minorHAnsi"/>
          <w:bCs/>
          <w:sz w:val="44"/>
          <w:szCs w:val="32"/>
        </w:rPr>
        <w:t>叶酸测定试剂</w:t>
      </w:r>
      <w:r>
        <w:rPr>
          <w:rFonts w:hint="eastAsia" w:ascii="方正小标宋简体" w:eastAsia="方正小标宋简体"/>
          <w:bCs/>
          <w:sz w:val="44"/>
          <w:szCs w:val="32"/>
        </w:rPr>
        <w:t>注册技术审</w:t>
      </w:r>
      <w:r>
        <w:rPr>
          <w:rFonts w:hint="eastAsia" w:ascii="方正小标宋简体" w:eastAsia="方正小标宋简体"/>
          <w:bCs/>
          <w:sz w:val="44"/>
          <w:szCs w:val="36"/>
        </w:rPr>
        <w:t>查指导原则</w:t>
      </w:r>
    </w:p>
    <w:p w14:paraId="6B171755">
      <w:pPr>
        <w:spacing w:line="520" w:lineRule="exact"/>
        <w:jc w:val="center"/>
        <w:rPr>
          <w:rFonts w:ascii="方正小标宋简体" w:eastAsia="方正小标宋简体"/>
          <w:bCs/>
          <w:sz w:val="44"/>
          <w:szCs w:val="44"/>
        </w:rPr>
      </w:pPr>
      <w:r>
        <w:rPr>
          <w:rFonts w:hint="eastAsia" w:ascii="方正小标宋简体" w:eastAsia="方正小标宋简体"/>
          <w:bCs/>
          <w:sz w:val="44"/>
          <w:szCs w:val="36"/>
        </w:rPr>
        <w:t>（征求意见稿）</w:t>
      </w:r>
    </w:p>
    <w:p w14:paraId="6FE710F6">
      <w:pPr>
        <w:overflowPunct w:val="0"/>
        <w:spacing w:line="500" w:lineRule="exact"/>
        <w:ind w:firstLine="720" w:firstLineChars="200"/>
        <w:rPr>
          <w:rFonts w:ascii="仿宋_GB2312" w:eastAsia="仿宋_GB2312"/>
          <w:sz w:val="36"/>
          <w:szCs w:val="36"/>
        </w:rPr>
      </w:pPr>
    </w:p>
    <w:p w14:paraId="0E829B97">
      <w:pPr>
        <w:overflowPunct w:val="0"/>
        <w:spacing w:line="500" w:lineRule="exact"/>
        <w:ind w:firstLine="640" w:firstLineChars="200"/>
        <w:rPr>
          <w:rFonts w:eastAsia="仿宋_GB2312"/>
          <w:kern w:val="0"/>
          <w:sz w:val="32"/>
        </w:rPr>
      </w:pPr>
      <w:r>
        <w:rPr>
          <w:rFonts w:hint="eastAsia" w:eastAsia="仿宋_GB2312"/>
          <w:kern w:val="0"/>
          <w:sz w:val="32"/>
        </w:rPr>
        <w:t>本指导原则旨在指导注册申请人对</w:t>
      </w:r>
      <w:r>
        <w:rPr>
          <w:rFonts w:hint="eastAsia" w:eastAsia="仿宋_GB2312"/>
          <w:bCs/>
          <w:sz w:val="32"/>
        </w:rPr>
        <w:t>叶酸测定试剂盒</w:t>
      </w:r>
      <w:r>
        <w:rPr>
          <w:rFonts w:hint="eastAsia" w:eastAsia="仿宋_GB2312"/>
          <w:kern w:val="0"/>
          <w:sz w:val="32"/>
        </w:rPr>
        <w:t>注册申报资料的准备及撰写，同时也为技术审评部门审评注册申报资料提供参考。</w:t>
      </w:r>
    </w:p>
    <w:p w14:paraId="4397AAD3">
      <w:pPr>
        <w:overflowPunct w:val="0"/>
        <w:spacing w:line="500" w:lineRule="exact"/>
        <w:ind w:firstLine="640" w:firstLineChars="200"/>
        <w:rPr>
          <w:rFonts w:eastAsia="仿宋_GB2312"/>
          <w:kern w:val="0"/>
          <w:sz w:val="32"/>
        </w:rPr>
      </w:pPr>
      <w:r>
        <w:rPr>
          <w:rFonts w:hint="eastAsia" w:eastAsia="仿宋_GB2312"/>
          <w:kern w:val="0"/>
          <w:sz w:val="32"/>
        </w:rPr>
        <w:t>本指导原则是对</w:t>
      </w:r>
      <w:r>
        <w:rPr>
          <w:rFonts w:hint="eastAsia" w:eastAsia="仿宋_GB2312"/>
          <w:bCs/>
          <w:sz w:val="32"/>
        </w:rPr>
        <w:t>叶酸测定试剂盒</w:t>
      </w:r>
      <w:r>
        <w:rPr>
          <w:rFonts w:hint="eastAsia" w:eastAsia="仿宋_GB2312"/>
          <w:kern w:val="0"/>
          <w:sz w:val="32"/>
        </w:rPr>
        <w:t>的一般要求，申请人应依据产品的具体特性确定其中内容是否适用，若不适用，需具体阐述理由及相应的科学依据，并依据产品的具体特性对注册申报资料的内容进行充实和细化。</w:t>
      </w:r>
    </w:p>
    <w:p w14:paraId="2C81389F">
      <w:pPr>
        <w:overflowPunct w:val="0"/>
        <w:spacing w:line="500" w:lineRule="exact"/>
        <w:ind w:firstLine="640" w:firstLineChars="200"/>
        <w:rPr>
          <w:rFonts w:eastAsia="仿宋_GB2312"/>
          <w:kern w:val="0"/>
          <w:sz w:val="32"/>
        </w:rPr>
      </w:pPr>
      <w:r>
        <w:rPr>
          <w:rFonts w:hint="eastAsia" w:eastAsia="仿宋_GB2312"/>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465E8AD">
      <w:pPr>
        <w:overflowPunct w:val="0"/>
        <w:spacing w:line="500" w:lineRule="exact"/>
        <w:ind w:firstLine="640" w:firstLineChars="200"/>
        <w:rPr>
          <w:rFonts w:eastAsia="仿宋_GB2312"/>
          <w:kern w:val="0"/>
          <w:sz w:val="32"/>
        </w:rPr>
      </w:pPr>
      <w:r>
        <w:rPr>
          <w:rFonts w:hint="eastAsia" w:eastAsia="仿宋_GB2312"/>
          <w:kern w:val="0"/>
          <w:sz w:val="32"/>
        </w:rPr>
        <w:t>本指导原则是在现行法规、标准体系及当前认知水平下制定的，随着法规、标准体系的不断完善和科学技术的不断发展，本指导原则相关内容也将适时进行调整。</w:t>
      </w:r>
    </w:p>
    <w:p w14:paraId="049C288A">
      <w:pPr>
        <w:overflowPunct w:val="0"/>
        <w:spacing w:line="500" w:lineRule="exact"/>
        <w:ind w:firstLine="640" w:firstLineChars="200"/>
        <w:outlineLvl w:val="0"/>
        <w:rPr>
          <w:rFonts w:ascii="Cambria" w:hAnsi="Cambria" w:eastAsia="黑体"/>
          <w:bCs/>
          <w:kern w:val="28"/>
          <w:sz w:val="32"/>
          <w:szCs w:val="32"/>
        </w:rPr>
      </w:pPr>
      <w:r>
        <w:rPr>
          <w:rFonts w:ascii="Cambria" w:hAnsi="Cambria" w:eastAsia="黑体"/>
          <w:bCs/>
          <w:kern w:val="28"/>
          <w:sz w:val="32"/>
          <w:szCs w:val="32"/>
        </w:rPr>
        <w:t>一、适用范围</w:t>
      </w:r>
    </w:p>
    <w:p w14:paraId="1A4C0260">
      <w:pPr>
        <w:overflowPunct w:val="0"/>
        <w:spacing w:line="520" w:lineRule="exact"/>
        <w:ind w:firstLine="640" w:firstLineChars="200"/>
        <w:rPr>
          <w:rFonts w:eastAsia="仿宋_GB2312"/>
          <w:sz w:val="32"/>
          <w:szCs w:val="32"/>
        </w:rPr>
      </w:pPr>
      <w:bookmarkStart w:id="0" w:name="OLE_LINK8"/>
      <w:bookmarkStart w:id="1" w:name="OLE_LINK9"/>
      <w:r>
        <w:rPr>
          <w:rFonts w:hint="eastAsia" w:eastAsia="仿宋_GB2312"/>
          <w:sz w:val="32"/>
          <w:szCs w:val="32"/>
        </w:rPr>
        <w:t>叶酸测定试剂</w:t>
      </w:r>
      <w:bookmarkEnd w:id="0"/>
      <w:bookmarkEnd w:id="1"/>
      <w:r>
        <w:rPr>
          <w:rFonts w:hint="eastAsia" w:eastAsia="仿宋_GB2312"/>
          <w:sz w:val="32"/>
          <w:szCs w:val="32"/>
        </w:rPr>
        <w:t>用于体外定量测定人血清或血浆叶酸（</w:t>
      </w:r>
      <w:r>
        <w:rPr>
          <w:rFonts w:eastAsia="仿宋_GB2312"/>
          <w:sz w:val="32"/>
          <w:szCs w:val="32"/>
        </w:rPr>
        <w:t>Folate</w:t>
      </w:r>
      <w:r>
        <w:rPr>
          <w:rFonts w:hint="eastAsia" w:eastAsia="仿宋_GB2312"/>
          <w:sz w:val="32"/>
          <w:szCs w:val="32"/>
        </w:rPr>
        <w:t>，FA）的含量。</w:t>
      </w:r>
    </w:p>
    <w:p w14:paraId="3C808862">
      <w:pPr>
        <w:overflowPunct w:val="0"/>
        <w:spacing w:line="520" w:lineRule="exact"/>
        <w:ind w:firstLine="640" w:firstLineChars="200"/>
        <w:rPr>
          <w:rFonts w:eastAsia="仿宋_GB2312"/>
          <w:sz w:val="32"/>
          <w:szCs w:val="32"/>
        </w:rPr>
      </w:pPr>
      <w:r>
        <w:rPr>
          <w:rFonts w:hint="eastAsia" w:eastAsia="仿宋_GB2312"/>
          <w:sz w:val="32"/>
          <w:szCs w:val="32"/>
        </w:rPr>
        <w:t>本指导原则适用于以化学发光免疫</w:t>
      </w:r>
      <w:r>
        <w:rPr>
          <w:rFonts w:eastAsia="仿宋_GB2312"/>
          <w:sz w:val="32"/>
          <w:szCs w:val="32"/>
        </w:rPr>
        <w:t>分析法为基本原理，</w:t>
      </w:r>
      <w:r>
        <w:rPr>
          <w:rFonts w:hint="eastAsia" w:eastAsia="仿宋_GB2312"/>
          <w:sz w:val="32"/>
          <w:szCs w:val="32"/>
        </w:rPr>
        <w:t>以微孔板、管、磁颗粒、微珠和塑料珠等为</w:t>
      </w:r>
      <w:r>
        <w:rPr>
          <w:rFonts w:eastAsia="仿宋_GB2312"/>
          <w:sz w:val="32"/>
          <w:szCs w:val="32"/>
        </w:rPr>
        <w:t>载体的酶促及非酶促化学发光免疫分析测定试剂盒。</w:t>
      </w:r>
      <w:r>
        <w:rPr>
          <w:rFonts w:hint="eastAsia" w:eastAsia="仿宋_GB2312"/>
          <w:sz w:val="32"/>
          <w:szCs w:val="32"/>
        </w:rPr>
        <w:t>本指导原则不适用于：用胶体金或其他方法标记的定性或半定量测定叶酸的试剂（如试纸条等）；拟用于单独销售的叶酸校准品和叶酸质控品。</w:t>
      </w:r>
    </w:p>
    <w:p w14:paraId="24609697">
      <w:pPr>
        <w:overflowPunct w:val="0"/>
        <w:spacing w:line="500" w:lineRule="exact"/>
        <w:ind w:firstLine="640" w:firstLineChars="200"/>
        <w:rPr>
          <w:rFonts w:eastAsia="仿宋_GB2312"/>
          <w:sz w:val="32"/>
          <w:szCs w:val="32"/>
        </w:rPr>
      </w:pPr>
      <w:r>
        <w:rPr>
          <w:rFonts w:hint="eastAsia" w:eastAsia="仿宋_GB2312"/>
          <w:sz w:val="32"/>
          <w:szCs w:val="32"/>
        </w:rPr>
        <w:t>根据《体外诊断试剂注册管理办法》（国家食品药品监督管理总局令第</w:t>
      </w:r>
      <w:r>
        <w:rPr>
          <w:rFonts w:eastAsia="仿宋_GB2312"/>
          <w:sz w:val="32"/>
          <w:szCs w:val="32"/>
        </w:rPr>
        <w:t>5</w:t>
      </w:r>
      <w:r>
        <w:rPr>
          <w:rFonts w:hint="eastAsia" w:eastAsia="仿宋_GB2312"/>
          <w:sz w:val="32"/>
          <w:szCs w:val="32"/>
        </w:rPr>
        <w:t>号）和《食品药品监管总局关于印发体外诊断试剂分类子目录的通知》（食药监械管〔</w:t>
      </w:r>
      <w:r>
        <w:rPr>
          <w:rFonts w:eastAsia="仿宋_GB2312"/>
          <w:sz w:val="32"/>
          <w:szCs w:val="32"/>
        </w:rPr>
        <w:t>2013</w:t>
      </w:r>
      <w:r>
        <w:rPr>
          <w:rFonts w:hint="eastAsia" w:eastAsia="仿宋_GB2312"/>
          <w:sz w:val="32"/>
          <w:szCs w:val="32"/>
        </w:rPr>
        <w:t>〕</w:t>
      </w:r>
      <w:r>
        <w:rPr>
          <w:rFonts w:eastAsia="仿宋_GB2312"/>
          <w:sz w:val="32"/>
          <w:szCs w:val="32"/>
        </w:rPr>
        <w:t>242</w:t>
      </w:r>
      <w:r>
        <w:rPr>
          <w:rFonts w:hint="eastAsia" w:eastAsia="仿宋_GB2312"/>
          <w:sz w:val="32"/>
          <w:szCs w:val="32"/>
        </w:rPr>
        <w:t>号），叶酸测定试剂</w:t>
      </w:r>
      <w:r>
        <w:rPr>
          <w:rFonts w:hint="eastAsia" w:eastAsia="仿宋_GB2312"/>
          <w:bCs/>
          <w:sz w:val="32"/>
          <w:szCs w:val="32"/>
        </w:rPr>
        <w:t>管理类别为</w:t>
      </w:r>
      <w:r>
        <w:rPr>
          <w:rFonts w:eastAsia="仿宋_GB2312"/>
          <w:bCs/>
          <w:sz w:val="32"/>
        </w:rPr>
        <w:t>二类</w:t>
      </w:r>
      <w:r>
        <w:rPr>
          <w:rFonts w:hint="eastAsia" w:eastAsia="仿宋_GB2312"/>
          <w:bCs/>
          <w:sz w:val="32"/>
          <w:szCs w:val="32"/>
        </w:rPr>
        <w:t>，</w:t>
      </w:r>
      <w:r>
        <w:rPr>
          <w:rFonts w:hint="eastAsia" w:eastAsia="仿宋_GB2312"/>
          <w:sz w:val="32"/>
          <w:szCs w:val="32"/>
        </w:rPr>
        <w:t>分类编码为</w:t>
      </w:r>
      <w:r>
        <w:rPr>
          <w:rFonts w:eastAsia="仿宋_GB2312"/>
          <w:sz w:val="32"/>
          <w:szCs w:val="32"/>
        </w:rPr>
        <w:t>6840</w:t>
      </w:r>
      <w:r>
        <w:rPr>
          <w:rFonts w:hint="eastAsia" w:eastAsia="仿宋_GB2312"/>
          <w:sz w:val="32"/>
          <w:szCs w:val="32"/>
        </w:rPr>
        <w:t>。本指导原则适用于进行首次注册申报和相关许可事项变更的产品。</w:t>
      </w:r>
    </w:p>
    <w:p w14:paraId="259B1B25">
      <w:pPr>
        <w:overflowPunct w:val="0"/>
        <w:spacing w:line="500" w:lineRule="exact"/>
        <w:ind w:firstLine="640" w:firstLineChars="200"/>
        <w:outlineLvl w:val="0"/>
        <w:rPr>
          <w:rFonts w:ascii="Cambria" w:hAnsi="Cambria" w:eastAsia="黑体"/>
          <w:bCs/>
          <w:kern w:val="28"/>
          <w:sz w:val="32"/>
          <w:szCs w:val="32"/>
        </w:rPr>
      </w:pPr>
      <w:r>
        <w:rPr>
          <w:rFonts w:ascii="Cambria" w:hAnsi="Cambria" w:eastAsia="黑体"/>
          <w:bCs/>
          <w:kern w:val="28"/>
          <w:sz w:val="32"/>
          <w:szCs w:val="32"/>
        </w:rPr>
        <w:t>二、注册申报</w:t>
      </w:r>
      <w:r>
        <w:rPr>
          <w:rFonts w:hint="eastAsia" w:ascii="Cambria" w:hAnsi="Cambria" w:eastAsia="黑体"/>
          <w:bCs/>
          <w:kern w:val="28"/>
          <w:sz w:val="32"/>
          <w:szCs w:val="32"/>
        </w:rPr>
        <w:t>资料</w:t>
      </w:r>
      <w:r>
        <w:rPr>
          <w:rFonts w:ascii="Cambria" w:hAnsi="Cambria" w:eastAsia="黑体"/>
          <w:bCs/>
          <w:kern w:val="28"/>
          <w:sz w:val="32"/>
          <w:szCs w:val="32"/>
        </w:rPr>
        <w:t>要求</w:t>
      </w:r>
    </w:p>
    <w:p w14:paraId="4A6D1A6E">
      <w:pPr>
        <w:overflowPunct w:val="0"/>
        <w:spacing w:line="500" w:lineRule="exact"/>
        <w:ind w:firstLine="640" w:firstLineChars="200"/>
        <w:outlineLvl w:val="1"/>
        <w:rPr>
          <w:rFonts w:ascii="楷体_GB2312" w:eastAsia="楷体_GB2312"/>
          <w:bCs/>
          <w:iCs/>
          <w:sz w:val="32"/>
          <w:szCs w:val="32"/>
        </w:rPr>
      </w:pPr>
      <w:r>
        <w:rPr>
          <w:rFonts w:hint="eastAsia" w:ascii="楷体_GB2312" w:eastAsia="楷体_GB2312"/>
          <w:bCs/>
          <w:iCs/>
          <w:sz w:val="32"/>
          <w:szCs w:val="28"/>
        </w:rPr>
        <w:t>（一）综述资料</w:t>
      </w:r>
    </w:p>
    <w:p w14:paraId="2D9978B3">
      <w:pPr>
        <w:overflowPunct w:val="0"/>
        <w:spacing w:line="500" w:lineRule="exact"/>
        <w:ind w:firstLine="640" w:firstLineChars="200"/>
        <w:rPr>
          <w:rFonts w:eastAsia="仿宋_GB2312"/>
          <w:kern w:val="0"/>
          <w:sz w:val="32"/>
        </w:rPr>
      </w:pPr>
      <w:r>
        <w:rPr>
          <w:rFonts w:eastAsia="仿宋_GB2312"/>
          <w:kern w:val="0"/>
          <w:sz w:val="32"/>
        </w:rPr>
        <w:t>叶酸</w:t>
      </w:r>
      <w:r>
        <w:rPr>
          <w:rFonts w:hint="eastAsia" w:eastAsia="仿宋_GB2312"/>
          <w:kern w:val="0"/>
          <w:sz w:val="32"/>
        </w:rPr>
        <w:t>（F</w:t>
      </w:r>
      <w:r>
        <w:rPr>
          <w:rFonts w:eastAsia="仿宋_GB2312"/>
          <w:kern w:val="0"/>
          <w:sz w:val="32"/>
        </w:rPr>
        <w:t>A</w:t>
      </w:r>
      <w:r>
        <w:rPr>
          <w:rFonts w:hint="eastAsia" w:eastAsia="仿宋_GB2312"/>
          <w:kern w:val="0"/>
          <w:sz w:val="32"/>
        </w:rPr>
        <w:t>）由</w:t>
      </w:r>
      <w:r>
        <w:rPr>
          <w:rFonts w:eastAsia="仿宋_GB2312"/>
          <w:kern w:val="0"/>
          <w:sz w:val="32"/>
        </w:rPr>
        <w:t>蝶呤啶、对氨苯甲酸</w:t>
      </w:r>
      <w:r>
        <w:rPr>
          <w:rFonts w:hint="eastAsia" w:eastAsia="仿宋_GB2312"/>
          <w:kern w:val="0"/>
          <w:sz w:val="32"/>
        </w:rPr>
        <w:t>和</w:t>
      </w:r>
      <w:r>
        <w:rPr>
          <w:rFonts w:eastAsia="仿宋_GB2312"/>
          <w:kern w:val="0"/>
          <w:sz w:val="32"/>
        </w:rPr>
        <w:t>谷氨酸结合而成，化学名为蝶呤氨甲酰谷氨酸，是含蝶酰谷氨酸结构的一类化合物的</w:t>
      </w:r>
      <w:r>
        <w:rPr>
          <w:rFonts w:hint="eastAsia" w:eastAsia="仿宋_GB2312"/>
          <w:kern w:val="0"/>
          <w:sz w:val="32"/>
        </w:rPr>
        <w:t>通</w:t>
      </w:r>
      <w:r>
        <w:rPr>
          <w:rFonts w:eastAsia="仿宋_GB2312"/>
          <w:kern w:val="0"/>
          <w:sz w:val="32"/>
        </w:rPr>
        <w:t>称。</w:t>
      </w:r>
    </w:p>
    <w:p w14:paraId="2BB9148B">
      <w:pPr>
        <w:overflowPunct w:val="0"/>
        <w:spacing w:line="500" w:lineRule="exact"/>
        <w:ind w:firstLine="640" w:firstLineChars="200"/>
        <w:rPr>
          <w:rFonts w:eastAsia="仿宋_GB2312"/>
          <w:kern w:val="0"/>
          <w:sz w:val="32"/>
        </w:rPr>
      </w:pPr>
      <w:r>
        <w:rPr>
          <w:rFonts w:hint="eastAsia" w:eastAsia="仿宋_GB2312"/>
          <w:kern w:val="0"/>
          <w:sz w:val="32"/>
        </w:rPr>
        <w:t>叶酸是一种水溶性维生素，食物中</w:t>
      </w:r>
      <w:r>
        <w:rPr>
          <w:rFonts w:eastAsia="仿宋_GB2312"/>
          <w:kern w:val="0"/>
          <w:sz w:val="32"/>
        </w:rPr>
        <w:t>叶酸盐为谷氨酸结合型，通过小肠被</w:t>
      </w:r>
      <w:r>
        <w:rPr>
          <w:rFonts w:hint="eastAsia" w:eastAsia="仿宋_GB2312"/>
          <w:kern w:val="0"/>
          <w:sz w:val="32"/>
        </w:rPr>
        <w:t>吸收</w:t>
      </w:r>
      <w:r>
        <w:rPr>
          <w:rFonts w:eastAsia="仿宋_GB2312"/>
          <w:kern w:val="0"/>
          <w:sz w:val="32"/>
        </w:rPr>
        <w:t>，储存在</w:t>
      </w:r>
      <w:r>
        <w:rPr>
          <w:rFonts w:hint="eastAsia" w:eastAsia="仿宋_GB2312"/>
          <w:kern w:val="0"/>
          <w:sz w:val="32"/>
        </w:rPr>
        <w:t>肝脏</w:t>
      </w:r>
      <w:r>
        <w:rPr>
          <w:rFonts w:eastAsia="仿宋_GB2312"/>
          <w:kern w:val="0"/>
          <w:sz w:val="32"/>
        </w:rPr>
        <w:t>。叶酸盐</w:t>
      </w:r>
      <w:r>
        <w:rPr>
          <w:rFonts w:hint="eastAsia" w:eastAsia="仿宋_GB2312"/>
          <w:kern w:val="0"/>
          <w:sz w:val="32"/>
        </w:rPr>
        <w:t>经</w:t>
      </w:r>
      <w:r>
        <w:rPr>
          <w:rFonts w:eastAsia="仿宋_GB2312"/>
          <w:kern w:val="0"/>
          <w:sz w:val="32"/>
        </w:rPr>
        <w:t>小肠黏膜刷状缘上的蝶酰多谷氨酸水解酶</w:t>
      </w:r>
      <w:r>
        <w:rPr>
          <w:rFonts w:hint="eastAsia" w:eastAsia="仿宋_GB2312"/>
          <w:kern w:val="0"/>
          <w:sz w:val="32"/>
        </w:rPr>
        <w:t>作用</w:t>
      </w:r>
      <w:r>
        <w:rPr>
          <w:rFonts w:eastAsia="仿宋_GB2312"/>
          <w:kern w:val="0"/>
          <w:sz w:val="32"/>
        </w:rPr>
        <w:t>，</w:t>
      </w:r>
      <w:r>
        <w:rPr>
          <w:rFonts w:hint="eastAsia" w:eastAsia="仿宋_GB2312"/>
          <w:kern w:val="0"/>
          <w:sz w:val="32"/>
        </w:rPr>
        <w:t>生成</w:t>
      </w:r>
      <w:r>
        <w:rPr>
          <w:rFonts w:eastAsia="仿宋_GB2312"/>
          <w:kern w:val="0"/>
          <w:sz w:val="32"/>
        </w:rPr>
        <w:t>蝶酰单谷氨酸及谷氨酸，以单谷氨酸盐的形式在小肠吸收。在</w:t>
      </w:r>
      <w:r>
        <w:rPr>
          <w:rFonts w:hint="eastAsia" w:eastAsia="仿宋_GB2312"/>
          <w:kern w:val="0"/>
          <w:sz w:val="32"/>
        </w:rPr>
        <w:t>十二指肠</w:t>
      </w:r>
      <w:r>
        <w:rPr>
          <w:rFonts w:eastAsia="仿宋_GB2312"/>
          <w:kern w:val="0"/>
          <w:sz w:val="32"/>
        </w:rPr>
        <w:t>及</w:t>
      </w:r>
      <w:r>
        <w:rPr>
          <w:rFonts w:hint="eastAsia" w:eastAsia="仿宋_GB2312"/>
          <w:kern w:val="0"/>
          <w:sz w:val="32"/>
        </w:rPr>
        <w:t>空肠</w:t>
      </w:r>
      <w:r>
        <w:rPr>
          <w:rFonts w:eastAsia="仿宋_GB2312"/>
          <w:kern w:val="0"/>
          <w:sz w:val="32"/>
        </w:rPr>
        <w:t>上皮黏膜细胞含</w:t>
      </w:r>
      <w:r>
        <w:rPr>
          <w:rFonts w:hint="eastAsia" w:eastAsia="仿宋_GB2312"/>
          <w:kern w:val="0"/>
          <w:sz w:val="32"/>
        </w:rPr>
        <w:t>叶酸</w:t>
      </w:r>
      <w:r>
        <w:rPr>
          <w:rFonts w:eastAsia="仿宋_GB2312"/>
          <w:kern w:val="0"/>
          <w:sz w:val="32"/>
        </w:rPr>
        <w:t>还原酶，在该酶的作用下，可转变成活性型</w:t>
      </w:r>
      <w:r>
        <w:rPr>
          <w:rFonts w:hint="eastAsia" w:eastAsia="仿宋_GB2312"/>
          <w:kern w:val="0"/>
          <w:sz w:val="32"/>
        </w:rPr>
        <w:t>的</w:t>
      </w:r>
      <w:r>
        <w:rPr>
          <w:rFonts w:eastAsia="仿宋_GB2312"/>
          <w:kern w:val="0"/>
          <w:sz w:val="32"/>
        </w:rPr>
        <w:t>叶酸即四氢叶酸</w:t>
      </w:r>
      <w:r>
        <w:rPr>
          <w:rFonts w:hint="eastAsia" w:eastAsia="仿宋_GB2312"/>
          <w:kern w:val="0"/>
          <w:sz w:val="32"/>
        </w:rPr>
        <w:t>（FH</w:t>
      </w:r>
      <w:r>
        <w:rPr>
          <w:rFonts w:eastAsia="仿宋_GB2312"/>
          <w:kern w:val="0"/>
          <w:sz w:val="32"/>
          <w:vertAlign w:val="subscript"/>
        </w:rPr>
        <w:t>4</w:t>
      </w:r>
      <w:r>
        <w:rPr>
          <w:rFonts w:hint="eastAsia" w:eastAsia="仿宋_GB2312"/>
          <w:kern w:val="0"/>
          <w:sz w:val="32"/>
        </w:rPr>
        <w:t>）</w:t>
      </w:r>
      <w:r>
        <w:rPr>
          <w:rFonts w:eastAsia="仿宋_GB2312"/>
          <w:kern w:val="0"/>
          <w:sz w:val="32"/>
        </w:rPr>
        <w:t>。</w:t>
      </w:r>
      <w:r>
        <w:rPr>
          <w:rFonts w:hint="eastAsia" w:eastAsia="仿宋_GB2312"/>
          <w:kern w:val="0"/>
          <w:sz w:val="32"/>
        </w:rPr>
        <w:t>FH</w:t>
      </w:r>
      <w:r>
        <w:rPr>
          <w:rFonts w:hint="eastAsia" w:eastAsia="仿宋_GB2312"/>
          <w:kern w:val="0"/>
          <w:sz w:val="32"/>
          <w:vertAlign w:val="subscript"/>
        </w:rPr>
        <w:t>4</w:t>
      </w:r>
      <w:r>
        <w:rPr>
          <w:rFonts w:hint="eastAsia" w:eastAsia="仿宋_GB2312"/>
          <w:kern w:val="0"/>
          <w:sz w:val="32"/>
        </w:rPr>
        <w:t>能</w:t>
      </w:r>
      <w:r>
        <w:rPr>
          <w:rFonts w:eastAsia="仿宋_GB2312"/>
          <w:kern w:val="0"/>
          <w:sz w:val="32"/>
        </w:rPr>
        <w:t>传递一碳</w:t>
      </w:r>
      <w:r>
        <w:rPr>
          <w:rFonts w:hint="eastAsia" w:eastAsia="仿宋_GB2312"/>
          <w:kern w:val="0"/>
          <w:sz w:val="32"/>
        </w:rPr>
        <w:t>基团</w:t>
      </w:r>
      <w:r>
        <w:rPr>
          <w:rFonts w:eastAsia="仿宋_GB2312"/>
          <w:kern w:val="0"/>
          <w:sz w:val="32"/>
        </w:rPr>
        <w:t>，参与嘌呤、嘧啶及氨基酸代谢，对核酸、蛋白质的合成有重要作用，是细胞增殖、</w:t>
      </w:r>
      <w:r>
        <w:rPr>
          <w:rFonts w:hint="eastAsia" w:eastAsia="仿宋_GB2312"/>
          <w:kern w:val="0"/>
          <w:sz w:val="32"/>
        </w:rPr>
        <w:t>机体</w:t>
      </w:r>
      <w:r>
        <w:rPr>
          <w:rFonts w:eastAsia="仿宋_GB2312"/>
          <w:kern w:val="0"/>
          <w:sz w:val="32"/>
        </w:rPr>
        <w:t>发育的必</w:t>
      </w:r>
      <w:r>
        <w:rPr>
          <w:rFonts w:hint="eastAsia" w:eastAsia="仿宋_GB2312"/>
          <w:kern w:val="0"/>
          <w:sz w:val="32"/>
        </w:rPr>
        <w:t>需物质</w:t>
      </w:r>
      <w:r>
        <w:rPr>
          <w:rFonts w:eastAsia="仿宋_GB2312"/>
          <w:kern w:val="0"/>
          <w:sz w:val="32"/>
        </w:rPr>
        <w:t>。</w:t>
      </w:r>
    </w:p>
    <w:p w14:paraId="4C854C8A">
      <w:pPr>
        <w:shd w:val="clear" w:color="auto" w:fill="FFFFFF"/>
        <w:overflowPunct w:val="0"/>
        <w:adjustRightInd w:val="0"/>
        <w:snapToGrid w:val="0"/>
        <w:spacing w:line="520" w:lineRule="exact"/>
        <w:ind w:firstLine="640" w:firstLineChars="200"/>
        <w:rPr>
          <w:rFonts w:eastAsia="仿宋_GB2312"/>
          <w:sz w:val="32"/>
          <w:szCs w:val="32"/>
        </w:rPr>
      </w:pPr>
      <w:r>
        <w:rPr>
          <w:rFonts w:hint="eastAsia" w:eastAsia="仿宋_GB2312"/>
          <w:sz w:val="32"/>
          <w:szCs w:val="32"/>
        </w:rPr>
        <w:t>叶酸缺乏的原因有饮食摄入不足、吸收障碍、遗传原因、叶酸拮抗剂药物、酒精、口服避孕药、妊娠等引起的叶酸过度消耗。叶酸缺乏时，脱氧胸苷酸，嘌呤核苷酸的形成及氨基酸的互变受阻，细胞内DNA合成减少，细胞的分裂成熟发生障碍，引起巨幼红细胞性贫血。维生素B12和叶酸缺乏的临床表现基本相似，都可引起巨幼红细胞性贫血，因此，有必要对叶酸和维生素B12都进行测定，以对贫血病因进行判断。</w:t>
      </w:r>
    </w:p>
    <w:p w14:paraId="51C2B72D">
      <w:pPr>
        <w:overflowPunct w:val="0"/>
        <w:spacing w:line="500" w:lineRule="exact"/>
        <w:ind w:firstLine="640" w:firstLineChars="200"/>
        <w:rPr>
          <w:rFonts w:eastAsia="仿宋_GB2312"/>
          <w:kern w:val="0"/>
          <w:sz w:val="32"/>
        </w:rPr>
      </w:pPr>
      <w:r>
        <w:rPr>
          <w:rFonts w:eastAsia="仿宋_GB2312"/>
          <w:kern w:val="0"/>
          <w:sz w:val="32"/>
        </w:rPr>
        <w:t>综述资料主要包括产品预期用途、产品描述、有关生物安全性方面的说明、研究结果的总结评价以及同类产品在国内外上市情况介绍等内容，其中同类产品上市情况介绍部分应着重从方法学、临床应用情况、申报注册产品与目前市场上已获批准的同类产品之间的异同方面进行介绍。应符合《体外诊断试剂注册管理办法》（国家食品药品监督管理总局令第5号）和</w:t>
      </w:r>
      <w:r>
        <w:rPr>
          <w:rFonts w:hint="eastAsia" w:eastAsia="仿宋_GB2312"/>
          <w:kern w:val="0"/>
          <w:sz w:val="32"/>
        </w:rPr>
        <w:t>《关于公布体外诊断试剂注册申报资料要求和批准证明文件格式的公告》（国家食品药品监督管理总局公告2014年第44号）</w:t>
      </w:r>
      <w:r>
        <w:rPr>
          <w:rFonts w:eastAsia="仿宋_GB2312"/>
          <w:kern w:val="0"/>
          <w:sz w:val="32"/>
        </w:rPr>
        <w:t>的相关要求。</w:t>
      </w:r>
    </w:p>
    <w:p w14:paraId="35FA10F1">
      <w:pPr>
        <w:overflowPunct w:val="0"/>
        <w:spacing w:line="500" w:lineRule="exact"/>
        <w:ind w:firstLine="640" w:firstLineChars="200"/>
        <w:outlineLvl w:val="1"/>
        <w:rPr>
          <w:rFonts w:ascii="楷体_GB2312" w:eastAsia="楷体_GB2312"/>
          <w:bCs/>
          <w:iCs/>
          <w:kern w:val="0"/>
          <w:sz w:val="32"/>
        </w:rPr>
      </w:pPr>
      <w:r>
        <w:rPr>
          <w:rFonts w:hint="eastAsia" w:ascii="楷体_GB2312" w:eastAsia="楷体_GB2312"/>
          <w:bCs/>
          <w:iCs/>
          <w:kern w:val="0"/>
          <w:sz w:val="32"/>
        </w:rPr>
        <w:t>（二）主要原材料研究资料（如需提供）</w:t>
      </w:r>
    </w:p>
    <w:p w14:paraId="7737BC40">
      <w:pPr>
        <w:overflowPunct w:val="0"/>
        <w:spacing w:line="500" w:lineRule="exact"/>
        <w:ind w:firstLine="640" w:firstLineChars="200"/>
        <w:rPr>
          <w:rFonts w:eastAsia="仿宋_GB2312"/>
          <w:color w:val="000000"/>
          <w:kern w:val="0"/>
          <w:sz w:val="32"/>
          <w:szCs w:val="32"/>
        </w:rPr>
      </w:pPr>
      <w:r>
        <w:rPr>
          <w:rFonts w:eastAsia="仿宋_GB2312"/>
          <w:kern w:val="0"/>
          <w:sz w:val="32"/>
        </w:rPr>
        <w:t>1.</w:t>
      </w:r>
      <w:r>
        <w:rPr>
          <w:rFonts w:eastAsia="仿宋_GB2312"/>
          <w:color w:val="000000"/>
          <w:kern w:val="0"/>
          <w:sz w:val="32"/>
          <w:szCs w:val="32"/>
        </w:rPr>
        <w:t xml:space="preserve"> 主要原材料的选择、制备、质量标准及实验验证研究资料</w:t>
      </w:r>
    </w:p>
    <w:p w14:paraId="24032A2E">
      <w:pPr>
        <w:overflowPunct w:val="0"/>
        <w:spacing w:line="520" w:lineRule="exact"/>
        <w:ind w:firstLine="640" w:firstLineChars="200"/>
        <w:rPr>
          <w:rFonts w:eastAsia="仿宋_GB2312"/>
          <w:kern w:val="0"/>
          <w:sz w:val="32"/>
          <w:szCs w:val="32"/>
        </w:rPr>
      </w:pPr>
      <w:r>
        <w:rPr>
          <w:rFonts w:hint="eastAsia" w:eastAsia="仿宋_GB2312"/>
          <w:kern w:val="0"/>
          <w:sz w:val="32"/>
          <w:szCs w:val="32"/>
        </w:rPr>
        <w:t>1.1 提供测定</w:t>
      </w:r>
      <w:r>
        <w:rPr>
          <w:rFonts w:eastAsia="仿宋_GB2312"/>
          <w:kern w:val="0"/>
          <w:sz w:val="32"/>
          <w:szCs w:val="32"/>
        </w:rPr>
        <w:t>试剂所用</w:t>
      </w:r>
      <w:r>
        <w:rPr>
          <w:rFonts w:hint="eastAsia" w:eastAsia="仿宋_GB2312"/>
          <w:kern w:val="0"/>
          <w:sz w:val="32"/>
          <w:szCs w:val="32"/>
        </w:rPr>
        <w:t>抗原/抗体</w:t>
      </w:r>
      <w:r>
        <w:rPr>
          <w:rFonts w:eastAsia="仿宋_GB2312"/>
          <w:kern w:val="0"/>
          <w:sz w:val="32"/>
          <w:szCs w:val="32"/>
        </w:rPr>
        <w:t>的来源、</w:t>
      </w:r>
      <w:r>
        <w:rPr>
          <w:rFonts w:hint="eastAsia" w:eastAsia="仿宋_GB2312"/>
          <w:kern w:val="0"/>
          <w:sz w:val="32"/>
          <w:szCs w:val="32"/>
        </w:rPr>
        <w:t>筛选</w:t>
      </w:r>
      <w:r>
        <w:rPr>
          <w:rFonts w:eastAsia="仿宋_GB2312"/>
          <w:kern w:val="0"/>
          <w:sz w:val="32"/>
          <w:szCs w:val="32"/>
        </w:rPr>
        <w:t>、制备、纯化</w:t>
      </w:r>
      <w:r>
        <w:rPr>
          <w:rFonts w:hint="eastAsia" w:eastAsia="仿宋_GB2312"/>
          <w:kern w:val="0"/>
          <w:sz w:val="32"/>
          <w:szCs w:val="32"/>
        </w:rPr>
        <w:t>、</w:t>
      </w:r>
      <w:r>
        <w:rPr>
          <w:rFonts w:eastAsia="仿宋_GB2312"/>
          <w:kern w:val="0"/>
          <w:sz w:val="32"/>
          <w:szCs w:val="32"/>
        </w:rPr>
        <w:t>鉴定</w:t>
      </w:r>
      <w:r>
        <w:rPr>
          <w:rFonts w:hint="eastAsia" w:eastAsia="仿宋_GB2312"/>
          <w:kern w:val="0"/>
          <w:sz w:val="32"/>
          <w:szCs w:val="32"/>
        </w:rPr>
        <w:t>及质量</w:t>
      </w:r>
      <w:r>
        <w:rPr>
          <w:rFonts w:eastAsia="仿宋_GB2312"/>
          <w:kern w:val="0"/>
          <w:sz w:val="32"/>
          <w:szCs w:val="32"/>
        </w:rPr>
        <w:t>标准等详细试验资料。如</w:t>
      </w:r>
      <w:r>
        <w:rPr>
          <w:rFonts w:hint="eastAsia" w:eastAsia="仿宋_GB2312"/>
          <w:kern w:val="0"/>
          <w:sz w:val="32"/>
          <w:szCs w:val="32"/>
        </w:rPr>
        <w:t>抗原/抗体</w:t>
      </w:r>
      <w:r>
        <w:rPr>
          <w:rFonts w:eastAsia="仿宋_GB2312"/>
          <w:kern w:val="0"/>
          <w:sz w:val="32"/>
          <w:szCs w:val="32"/>
        </w:rPr>
        <w:t>为申请人自制，</w:t>
      </w:r>
      <w:r>
        <w:rPr>
          <w:rFonts w:hint="eastAsia" w:eastAsia="仿宋_GB2312"/>
          <w:kern w:val="0"/>
          <w:sz w:val="32"/>
          <w:szCs w:val="32"/>
        </w:rPr>
        <w:t>应</w:t>
      </w:r>
      <w:r>
        <w:rPr>
          <w:rFonts w:eastAsia="仿宋_GB2312"/>
          <w:kern w:val="0"/>
          <w:sz w:val="32"/>
          <w:szCs w:val="32"/>
        </w:rPr>
        <w:t>提供详细的制备过程，确定该</w:t>
      </w:r>
      <w:r>
        <w:rPr>
          <w:rFonts w:hint="eastAsia" w:eastAsia="仿宋_GB2312"/>
          <w:kern w:val="0"/>
          <w:sz w:val="32"/>
          <w:szCs w:val="32"/>
        </w:rPr>
        <w:t>抗原/抗体</w:t>
      </w:r>
      <w:r>
        <w:rPr>
          <w:rFonts w:eastAsia="仿宋_GB2312"/>
          <w:kern w:val="0"/>
          <w:sz w:val="32"/>
          <w:szCs w:val="32"/>
        </w:rPr>
        <w:t>作为主要原材料的依据</w:t>
      </w:r>
      <w:r>
        <w:rPr>
          <w:rFonts w:hint="eastAsia" w:eastAsia="仿宋_GB2312"/>
          <w:kern w:val="0"/>
          <w:sz w:val="32"/>
          <w:szCs w:val="32"/>
        </w:rPr>
        <w:t>，以及</w:t>
      </w:r>
      <w:r>
        <w:rPr>
          <w:rFonts w:eastAsia="仿宋_GB2312"/>
          <w:kern w:val="0"/>
          <w:sz w:val="32"/>
          <w:szCs w:val="32"/>
        </w:rPr>
        <w:t>申请人对该</w:t>
      </w:r>
      <w:r>
        <w:rPr>
          <w:rFonts w:hint="eastAsia" w:eastAsia="仿宋_GB2312"/>
          <w:kern w:val="0"/>
          <w:sz w:val="32"/>
          <w:szCs w:val="32"/>
        </w:rPr>
        <w:t>抗原/抗体</w:t>
      </w:r>
      <w:r>
        <w:rPr>
          <w:rFonts w:eastAsia="仿宋_GB2312"/>
          <w:kern w:val="0"/>
          <w:sz w:val="32"/>
          <w:szCs w:val="32"/>
        </w:rPr>
        <w:t>技术指标（如外观、纯度、</w:t>
      </w:r>
      <w:r>
        <w:rPr>
          <w:rFonts w:hint="eastAsia" w:eastAsia="仿宋_GB2312"/>
          <w:kern w:val="0"/>
          <w:sz w:val="32"/>
          <w:szCs w:val="32"/>
        </w:rPr>
        <w:t>分子量</w:t>
      </w:r>
      <w:r>
        <w:rPr>
          <w:rFonts w:eastAsia="仿宋_GB2312"/>
          <w:kern w:val="0"/>
          <w:sz w:val="32"/>
          <w:szCs w:val="32"/>
        </w:rPr>
        <w:t>、蛋白浓度、效价</w:t>
      </w:r>
      <w:r>
        <w:rPr>
          <w:rFonts w:hint="eastAsia" w:eastAsia="仿宋_GB2312"/>
          <w:kern w:val="0"/>
          <w:sz w:val="32"/>
          <w:szCs w:val="32"/>
        </w:rPr>
        <w:t>、功能性试验</w:t>
      </w:r>
      <w:r>
        <w:rPr>
          <w:rFonts w:eastAsia="仿宋_GB2312"/>
          <w:kern w:val="0"/>
          <w:sz w:val="32"/>
          <w:szCs w:val="32"/>
        </w:rPr>
        <w:t>等）的</w:t>
      </w:r>
      <w:r>
        <w:rPr>
          <w:rFonts w:hint="eastAsia" w:eastAsia="仿宋_GB2312"/>
          <w:kern w:val="0"/>
          <w:sz w:val="32"/>
          <w:szCs w:val="32"/>
        </w:rPr>
        <w:t>详细试验</w:t>
      </w:r>
      <w:r>
        <w:rPr>
          <w:rFonts w:eastAsia="仿宋_GB2312"/>
          <w:kern w:val="0"/>
          <w:sz w:val="32"/>
          <w:szCs w:val="32"/>
        </w:rPr>
        <w:t>资料，且生产工艺必须相对稳定，并对其工艺有相关的验证</w:t>
      </w:r>
      <w:r>
        <w:rPr>
          <w:rFonts w:hint="eastAsia" w:eastAsia="仿宋_GB2312"/>
          <w:kern w:val="0"/>
          <w:sz w:val="32"/>
          <w:szCs w:val="32"/>
        </w:rPr>
        <w:t>，</w:t>
      </w:r>
      <w:r>
        <w:rPr>
          <w:rFonts w:eastAsia="仿宋_GB2312"/>
          <w:kern w:val="0"/>
          <w:sz w:val="32"/>
          <w:szCs w:val="32"/>
        </w:rPr>
        <w:t>提供</w:t>
      </w:r>
      <w:r>
        <w:rPr>
          <w:rFonts w:hint="eastAsia" w:eastAsia="仿宋_GB2312"/>
          <w:kern w:val="0"/>
          <w:sz w:val="32"/>
          <w:szCs w:val="32"/>
        </w:rPr>
        <w:t>生产</w:t>
      </w:r>
      <w:r>
        <w:rPr>
          <w:rFonts w:eastAsia="仿宋_GB2312"/>
          <w:kern w:val="0"/>
          <w:sz w:val="32"/>
          <w:szCs w:val="32"/>
        </w:rPr>
        <w:t>质量标准</w:t>
      </w:r>
      <w:r>
        <w:rPr>
          <w:rFonts w:hint="eastAsia" w:eastAsia="仿宋_GB2312"/>
          <w:kern w:val="0"/>
          <w:sz w:val="32"/>
          <w:szCs w:val="32"/>
        </w:rPr>
        <w:t>。</w:t>
      </w:r>
      <w:r>
        <w:rPr>
          <w:rFonts w:eastAsia="仿宋_GB2312"/>
          <w:kern w:val="0"/>
          <w:sz w:val="32"/>
          <w:szCs w:val="32"/>
        </w:rPr>
        <w:t>如为申请人外购，</w:t>
      </w:r>
      <w:r>
        <w:rPr>
          <w:rFonts w:hint="eastAsia" w:eastAsia="仿宋_GB2312"/>
          <w:kern w:val="0"/>
          <w:sz w:val="32"/>
          <w:szCs w:val="32"/>
        </w:rPr>
        <w:t>提供选择该抗原/抗体</w:t>
      </w:r>
      <w:r>
        <w:rPr>
          <w:rFonts w:eastAsia="仿宋_GB2312"/>
          <w:kern w:val="0"/>
          <w:sz w:val="32"/>
          <w:szCs w:val="32"/>
        </w:rPr>
        <w:t>为主要</w:t>
      </w:r>
      <w:r>
        <w:rPr>
          <w:rFonts w:hint="eastAsia" w:eastAsia="仿宋_GB2312"/>
          <w:kern w:val="0"/>
          <w:sz w:val="32"/>
          <w:szCs w:val="32"/>
        </w:rPr>
        <w:t>原材料的依据及对比筛选试验资料，提交</w:t>
      </w:r>
      <w:r>
        <w:rPr>
          <w:rFonts w:eastAsia="仿宋_GB2312"/>
          <w:kern w:val="0"/>
          <w:sz w:val="32"/>
          <w:szCs w:val="32"/>
        </w:rPr>
        <w:t>申请人对该</w:t>
      </w:r>
      <w:r>
        <w:rPr>
          <w:rFonts w:hint="eastAsia" w:eastAsia="仿宋_GB2312"/>
          <w:kern w:val="0"/>
          <w:sz w:val="32"/>
          <w:szCs w:val="32"/>
        </w:rPr>
        <w:t>抗原/抗体</w:t>
      </w:r>
      <w:r>
        <w:rPr>
          <w:rFonts w:eastAsia="仿宋_GB2312"/>
          <w:kern w:val="0"/>
          <w:sz w:val="32"/>
          <w:szCs w:val="32"/>
        </w:rPr>
        <w:t>技术指标的要求</w:t>
      </w:r>
      <w:r>
        <w:rPr>
          <w:rFonts w:hint="eastAsia" w:eastAsia="仿宋_GB2312"/>
          <w:kern w:val="0"/>
          <w:sz w:val="32"/>
          <w:szCs w:val="32"/>
        </w:rPr>
        <w:t>，应详述原材料</w:t>
      </w:r>
      <w:r>
        <w:rPr>
          <w:rFonts w:eastAsia="仿宋_GB2312"/>
          <w:kern w:val="0"/>
          <w:sz w:val="32"/>
          <w:szCs w:val="32"/>
        </w:rPr>
        <w:t>名称</w:t>
      </w:r>
      <w:r>
        <w:rPr>
          <w:rFonts w:hint="eastAsia" w:eastAsia="仿宋_GB2312"/>
          <w:kern w:val="0"/>
          <w:sz w:val="32"/>
          <w:szCs w:val="32"/>
        </w:rPr>
        <w:t>、</w:t>
      </w:r>
      <w:r>
        <w:rPr>
          <w:rFonts w:eastAsia="仿宋_GB2312"/>
          <w:kern w:val="0"/>
          <w:sz w:val="32"/>
          <w:szCs w:val="32"/>
        </w:rPr>
        <w:t>生物学来源</w:t>
      </w:r>
      <w:r>
        <w:rPr>
          <w:rFonts w:hint="eastAsia" w:eastAsia="仿宋_GB2312"/>
          <w:kern w:val="0"/>
          <w:sz w:val="32"/>
          <w:szCs w:val="32"/>
        </w:rPr>
        <w:t>、</w:t>
      </w:r>
      <w:r>
        <w:rPr>
          <w:rFonts w:eastAsia="仿宋_GB2312"/>
          <w:kern w:val="0"/>
          <w:sz w:val="32"/>
          <w:szCs w:val="32"/>
        </w:rPr>
        <w:t>外购方名称</w:t>
      </w:r>
      <w:r>
        <w:rPr>
          <w:rFonts w:hint="eastAsia" w:eastAsia="仿宋_GB2312"/>
          <w:kern w:val="0"/>
          <w:sz w:val="32"/>
          <w:szCs w:val="32"/>
        </w:rPr>
        <w:t>、质量</w:t>
      </w:r>
      <w:r>
        <w:rPr>
          <w:rFonts w:eastAsia="仿宋_GB2312"/>
          <w:kern w:val="0"/>
          <w:sz w:val="32"/>
          <w:szCs w:val="32"/>
        </w:rPr>
        <w:t>标准等</w:t>
      </w:r>
      <w:r>
        <w:rPr>
          <w:rFonts w:hint="eastAsia" w:eastAsia="仿宋_GB2312"/>
          <w:kern w:val="0"/>
          <w:sz w:val="32"/>
          <w:szCs w:val="32"/>
        </w:rPr>
        <w:t>，</w:t>
      </w:r>
      <w:r>
        <w:rPr>
          <w:rFonts w:eastAsia="仿宋_GB2312"/>
          <w:kern w:val="0"/>
          <w:sz w:val="32"/>
          <w:szCs w:val="32"/>
        </w:rPr>
        <w:t>提交</w:t>
      </w:r>
      <w:r>
        <w:rPr>
          <w:rFonts w:hint="eastAsia" w:eastAsia="仿宋_GB2312"/>
          <w:kern w:val="0"/>
          <w:sz w:val="32"/>
          <w:szCs w:val="32"/>
        </w:rPr>
        <w:t>供应商</w:t>
      </w:r>
      <w:r>
        <w:rPr>
          <w:rFonts w:eastAsia="仿宋_GB2312"/>
          <w:kern w:val="0"/>
          <w:sz w:val="32"/>
          <w:szCs w:val="32"/>
        </w:rPr>
        <w:t>出具的</w:t>
      </w:r>
      <w:r>
        <w:rPr>
          <w:rFonts w:hint="eastAsia" w:eastAsia="仿宋_GB2312"/>
          <w:kern w:val="0"/>
          <w:sz w:val="32"/>
          <w:szCs w:val="32"/>
        </w:rPr>
        <w:t>抗原/抗体</w:t>
      </w:r>
      <w:r>
        <w:rPr>
          <w:rFonts w:eastAsia="仿宋_GB2312"/>
          <w:kern w:val="0"/>
          <w:sz w:val="32"/>
          <w:szCs w:val="32"/>
        </w:rPr>
        <w:t>性能指标及</w:t>
      </w:r>
      <w:r>
        <w:rPr>
          <w:rFonts w:hint="eastAsia" w:eastAsia="仿宋_GB2312"/>
          <w:kern w:val="0"/>
          <w:sz w:val="32"/>
          <w:szCs w:val="32"/>
        </w:rPr>
        <w:t>出厂</w:t>
      </w:r>
      <w:r>
        <w:rPr>
          <w:rFonts w:eastAsia="仿宋_GB2312"/>
          <w:kern w:val="0"/>
          <w:sz w:val="32"/>
          <w:szCs w:val="32"/>
        </w:rPr>
        <w:t>检验报告</w:t>
      </w:r>
      <w:r>
        <w:rPr>
          <w:rFonts w:hint="eastAsia" w:eastAsia="仿宋_GB2312"/>
          <w:kern w:val="0"/>
          <w:sz w:val="32"/>
          <w:szCs w:val="32"/>
        </w:rPr>
        <w:t>。原材料</w:t>
      </w:r>
      <w:r>
        <w:rPr>
          <w:rFonts w:eastAsia="仿宋_GB2312"/>
          <w:kern w:val="0"/>
          <w:sz w:val="32"/>
          <w:szCs w:val="32"/>
        </w:rPr>
        <w:t>供应商</w:t>
      </w:r>
      <w:r>
        <w:rPr>
          <w:rFonts w:hint="eastAsia" w:eastAsia="仿宋_GB2312"/>
          <w:kern w:val="0"/>
          <w:sz w:val="32"/>
          <w:szCs w:val="32"/>
        </w:rPr>
        <w:t>应为</w:t>
      </w:r>
      <w:r>
        <w:rPr>
          <w:rFonts w:eastAsia="仿宋_GB2312"/>
          <w:kern w:val="0"/>
          <w:sz w:val="32"/>
          <w:szCs w:val="32"/>
        </w:rPr>
        <w:t>该原材料的生产</w:t>
      </w:r>
      <w:r>
        <w:rPr>
          <w:rFonts w:hint="eastAsia" w:eastAsia="仿宋_GB2312"/>
          <w:kern w:val="0"/>
          <w:sz w:val="32"/>
          <w:szCs w:val="32"/>
        </w:rPr>
        <w:t>商</w:t>
      </w:r>
      <w:r>
        <w:rPr>
          <w:rFonts w:eastAsia="仿宋_GB2312"/>
          <w:kern w:val="0"/>
          <w:sz w:val="32"/>
          <w:szCs w:val="32"/>
        </w:rPr>
        <w:t>，供</w:t>
      </w:r>
      <w:r>
        <w:rPr>
          <w:rFonts w:hint="eastAsia" w:eastAsia="仿宋_GB2312"/>
          <w:kern w:val="0"/>
          <w:sz w:val="32"/>
          <w:szCs w:val="32"/>
        </w:rPr>
        <w:t>应</w:t>
      </w:r>
      <w:r>
        <w:rPr>
          <w:rFonts w:eastAsia="仿宋_GB2312"/>
          <w:kern w:val="0"/>
          <w:sz w:val="32"/>
          <w:szCs w:val="32"/>
        </w:rPr>
        <w:t>商应相对固定。</w:t>
      </w:r>
    </w:p>
    <w:p w14:paraId="1601BC0D">
      <w:pPr>
        <w:overflowPunct w:val="0"/>
        <w:spacing w:line="500" w:lineRule="exact"/>
        <w:ind w:firstLine="640" w:firstLineChars="200"/>
        <w:rPr>
          <w:rFonts w:eastAsia="仿宋_GB2312"/>
          <w:kern w:val="0"/>
          <w:sz w:val="32"/>
          <w:szCs w:val="32"/>
        </w:rPr>
      </w:pPr>
      <w:r>
        <w:rPr>
          <w:rFonts w:hint="eastAsia" w:eastAsia="仿宋_GB2312"/>
          <w:kern w:val="0"/>
          <w:sz w:val="32"/>
          <w:szCs w:val="32"/>
        </w:rPr>
        <w:t xml:space="preserve">1.2 </w:t>
      </w:r>
      <w:r>
        <w:rPr>
          <w:rFonts w:eastAsia="仿宋_GB2312"/>
          <w:kern w:val="0"/>
          <w:sz w:val="32"/>
          <w:szCs w:val="32"/>
        </w:rPr>
        <w:t>其他主要原材料的选择及验证资料，申请人应详述每一原材料技术指标的要求以及确定该原材料作为主要原材料的依据，确定质量标准</w:t>
      </w:r>
      <w:r>
        <w:rPr>
          <w:rFonts w:hint="eastAsia" w:eastAsia="仿宋_GB2312"/>
          <w:kern w:val="0"/>
          <w:sz w:val="32"/>
          <w:szCs w:val="32"/>
        </w:rPr>
        <w:t>的</w:t>
      </w:r>
      <w:r>
        <w:rPr>
          <w:rFonts w:eastAsia="仿宋_GB2312"/>
          <w:kern w:val="0"/>
          <w:sz w:val="32"/>
          <w:szCs w:val="32"/>
        </w:rPr>
        <w:t>研究资料。若为外购，应</w:t>
      </w:r>
      <w:r>
        <w:rPr>
          <w:rFonts w:hint="eastAsia" w:eastAsia="仿宋_GB2312"/>
          <w:kern w:val="0"/>
          <w:sz w:val="32"/>
          <w:szCs w:val="32"/>
        </w:rPr>
        <w:t>明确其供应商和</w:t>
      </w:r>
      <w:r>
        <w:rPr>
          <w:rFonts w:eastAsia="仿宋_GB2312"/>
          <w:kern w:val="0"/>
          <w:sz w:val="32"/>
          <w:szCs w:val="32"/>
        </w:rPr>
        <w:t>质量控制标准。</w:t>
      </w:r>
    </w:p>
    <w:p w14:paraId="2BE7A4D8">
      <w:pPr>
        <w:overflowPunct w:val="0"/>
        <w:spacing w:line="500" w:lineRule="exact"/>
        <w:ind w:firstLine="640" w:firstLineChars="200"/>
        <w:rPr>
          <w:rFonts w:eastAsia="仿宋_GB2312"/>
          <w:kern w:val="0"/>
          <w:sz w:val="32"/>
        </w:rPr>
      </w:pPr>
      <w:r>
        <w:rPr>
          <w:rFonts w:hint="eastAsia" w:eastAsia="仿宋_GB2312"/>
          <w:kern w:val="0"/>
          <w:sz w:val="32"/>
        </w:rPr>
        <w:t>2</w:t>
      </w:r>
      <w:r>
        <w:rPr>
          <w:rFonts w:eastAsia="仿宋_GB2312"/>
          <w:kern w:val="0"/>
          <w:sz w:val="32"/>
        </w:rPr>
        <w:t>.质控品（如有）的原料选择、制备、定值过程及试验资料。</w:t>
      </w:r>
    </w:p>
    <w:p w14:paraId="70ABB574">
      <w:pPr>
        <w:overflowPunct w:val="0"/>
        <w:spacing w:line="500" w:lineRule="exact"/>
        <w:ind w:firstLine="640" w:firstLineChars="200"/>
        <w:rPr>
          <w:rFonts w:eastAsia="仿宋_GB2312"/>
          <w:kern w:val="0"/>
          <w:sz w:val="32"/>
        </w:rPr>
      </w:pPr>
      <w:r>
        <w:rPr>
          <w:rFonts w:hint="eastAsia" w:eastAsia="仿宋_GB2312"/>
          <w:kern w:val="0"/>
          <w:sz w:val="32"/>
        </w:rPr>
        <w:t>3</w:t>
      </w:r>
      <w:r>
        <w:rPr>
          <w:rFonts w:eastAsia="仿宋_GB2312"/>
          <w:kern w:val="0"/>
          <w:sz w:val="32"/>
        </w:rPr>
        <w:t>.</w:t>
      </w:r>
      <w:r>
        <w:rPr>
          <w:rFonts w:eastAsia="仿宋_GB2312"/>
          <w:kern w:val="0"/>
          <w:sz w:val="32"/>
          <w:szCs w:val="32"/>
        </w:rPr>
        <w:t xml:space="preserve"> 校准品的溯源性文件，包括具体溯源链、实验方法、数据及统计分析等详细资料。申请人应根据GB/T 21415</w:t>
      </w:r>
      <w:r>
        <w:rPr>
          <w:rFonts w:hint="eastAsia" w:eastAsia="仿宋_GB2312"/>
          <w:bCs/>
          <w:sz w:val="32"/>
          <w:szCs w:val="32"/>
        </w:rPr>
        <w:t>—</w:t>
      </w:r>
      <w:r>
        <w:rPr>
          <w:rFonts w:eastAsia="仿宋_GB2312"/>
          <w:kern w:val="0"/>
          <w:sz w:val="32"/>
          <w:szCs w:val="32"/>
        </w:rPr>
        <w:t>2008/ ISO 17511:2003《体外诊断医疗器械生物样品中量的测量 校准品和控制物质赋值的计量学溯源性》提供所用校准品的来源、赋值过程和相应指标</w:t>
      </w:r>
      <w:r>
        <w:rPr>
          <w:rFonts w:hint="eastAsia" w:eastAsia="仿宋_GB2312"/>
          <w:kern w:val="0"/>
          <w:sz w:val="32"/>
          <w:szCs w:val="32"/>
        </w:rPr>
        <w:t>，</w:t>
      </w:r>
      <w:r>
        <w:rPr>
          <w:rFonts w:eastAsia="仿宋_GB2312"/>
          <w:kern w:val="0"/>
          <w:sz w:val="32"/>
          <w:szCs w:val="32"/>
        </w:rPr>
        <w:t>以及不确定度等内容。</w:t>
      </w:r>
    </w:p>
    <w:p w14:paraId="065D0BD2">
      <w:pPr>
        <w:overflowPunct w:val="0"/>
        <w:spacing w:line="500" w:lineRule="exact"/>
        <w:ind w:firstLine="640" w:firstLineChars="200"/>
        <w:outlineLvl w:val="1"/>
        <w:rPr>
          <w:rFonts w:ascii="楷体_GB2312" w:eastAsia="楷体_GB2312"/>
          <w:bCs/>
          <w:iCs/>
          <w:kern w:val="0"/>
          <w:sz w:val="32"/>
        </w:rPr>
      </w:pPr>
      <w:r>
        <w:rPr>
          <w:rFonts w:hint="eastAsia" w:ascii="楷体_GB2312" w:eastAsia="楷体_GB2312"/>
          <w:bCs/>
          <w:iCs/>
          <w:kern w:val="0"/>
          <w:sz w:val="32"/>
        </w:rPr>
        <w:t>（三）主要生产工艺及反应体系的研究资料（如需提供）</w:t>
      </w:r>
    </w:p>
    <w:p w14:paraId="4A11700D">
      <w:pPr>
        <w:overflowPunct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主要生产工艺的介绍，包括工作液</w:t>
      </w:r>
      <w:r>
        <w:rPr>
          <w:rFonts w:eastAsia="仿宋_GB2312"/>
          <w:sz w:val="32"/>
          <w:szCs w:val="32"/>
        </w:rPr>
        <w:t>的</w:t>
      </w:r>
      <w:r>
        <w:rPr>
          <w:rFonts w:hint="eastAsia" w:eastAsia="仿宋_GB2312"/>
          <w:sz w:val="32"/>
          <w:szCs w:val="32"/>
        </w:rPr>
        <w:t>配制、</w:t>
      </w:r>
      <w:r>
        <w:rPr>
          <w:rFonts w:eastAsia="仿宋_GB2312"/>
          <w:sz w:val="32"/>
          <w:szCs w:val="32"/>
        </w:rPr>
        <w:t>分装</w:t>
      </w:r>
      <w:r>
        <w:rPr>
          <w:rFonts w:hint="eastAsia" w:eastAsia="仿宋_GB2312"/>
          <w:sz w:val="32"/>
          <w:szCs w:val="32"/>
        </w:rPr>
        <w:t>，</w:t>
      </w:r>
      <w:r>
        <w:rPr>
          <w:rFonts w:eastAsia="仿宋_GB2312"/>
          <w:sz w:val="32"/>
          <w:szCs w:val="32"/>
        </w:rPr>
        <w:t>固相</w:t>
      </w:r>
      <w:r>
        <w:rPr>
          <w:rFonts w:hint="eastAsia" w:eastAsia="仿宋_GB2312"/>
          <w:sz w:val="32"/>
          <w:szCs w:val="32"/>
        </w:rPr>
        <w:t>载体</w:t>
      </w:r>
      <w:r>
        <w:rPr>
          <w:rFonts w:eastAsia="仿宋_GB2312"/>
          <w:sz w:val="32"/>
          <w:szCs w:val="32"/>
        </w:rPr>
        <w:t>的包被</w:t>
      </w:r>
      <w:r>
        <w:rPr>
          <w:rFonts w:hint="eastAsia" w:eastAsia="仿宋_GB2312"/>
          <w:sz w:val="32"/>
          <w:szCs w:val="32"/>
        </w:rPr>
        <w:t>和</w:t>
      </w:r>
      <w:r>
        <w:rPr>
          <w:rFonts w:eastAsia="仿宋_GB2312"/>
          <w:sz w:val="32"/>
          <w:szCs w:val="32"/>
        </w:rPr>
        <w:t>组装，显色</w:t>
      </w:r>
      <w:r>
        <w:rPr>
          <w:rFonts w:hint="eastAsia" w:eastAsia="仿宋_GB2312"/>
          <w:sz w:val="32"/>
          <w:szCs w:val="32"/>
        </w:rPr>
        <w:t>/发光</w:t>
      </w:r>
      <w:r>
        <w:rPr>
          <w:rFonts w:eastAsia="仿宋_GB2312"/>
          <w:sz w:val="32"/>
          <w:szCs w:val="32"/>
        </w:rPr>
        <w:t>系统的描述等</w:t>
      </w:r>
      <w:r>
        <w:rPr>
          <w:rFonts w:hint="eastAsia" w:eastAsia="仿宋_GB2312"/>
          <w:sz w:val="32"/>
          <w:szCs w:val="32"/>
        </w:rPr>
        <w:t>。生产</w:t>
      </w:r>
      <w:r>
        <w:rPr>
          <w:rFonts w:eastAsia="仿宋_GB2312"/>
          <w:sz w:val="32"/>
          <w:szCs w:val="32"/>
        </w:rPr>
        <w:t>工艺</w:t>
      </w:r>
      <w:r>
        <w:rPr>
          <w:rFonts w:hint="eastAsia" w:eastAsia="仿宋_GB2312"/>
          <w:sz w:val="32"/>
          <w:szCs w:val="32"/>
        </w:rPr>
        <w:t>可以流程图方式表示，并简要说明主要生产工艺的确定方法，如各组分制备的工艺、试剂的配方及工艺关键参数的确定等。企业应采用经过验证，能够保证产品质量的生产工艺。</w:t>
      </w:r>
    </w:p>
    <w:p w14:paraId="1A04887A">
      <w:pPr>
        <w:overflowPunct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反应体系主要包括：样本采集及处理、样本要求，样本和试剂的用量，反应条件（缓冲体系、样本</w:t>
      </w:r>
      <w:r>
        <w:rPr>
          <w:rFonts w:eastAsia="仿宋_GB2312"/>
          <w:sz w:val="32"/>
          <w:szCs w:val="32"/>
        </w:rPr>
        <w:t>处理液</w:t>
      </w:r>
      <w:r>
        <w:rPr>
          <w:rFonts w:hint="eastAsia" w:eastAsia="仿宋_GB2312"/>
          <w:sz w:val="32"/>
          <w:szCs w:val="32"/>
        </w:rPr>
        <w:t>、浓度、时间、温度、波长等条件）的确认资料及试验数据，校准方法、质控方法等。</w:t>
      </w:r>
    </w:p>
    <w:p w14:paraId="3AF47D6C">
      <w:pPr>
        <w:overflowPunct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不同适用机型的反应条件如果有差异应分别阐述。</w:t>
      </w:r>
    </w:p>
    <w:p w14:paraId="4EA33220">
      <w:pPr>
        <w:overflowPunct w:val="0"/>
        <w:spacing w:line="500" w:lineRule="exact"/>
        <w:ind w:firstLine="640" w:firstLineChars="200"/>
        <w:outlineLvl w:val="1"/>
        <w:rPr>
          <w:rFonts w:ascii="楷体_GB2312" w:eastAsia="楷体_GB2312"/>
          <w:bCs/>
          <w:iCs/>
          <w:kern w:val="0"/>
          <w:sz w:val="32"/>
        </w:rPr>
      </w:pPr>
      <w:r>
        <w:rPr>
          <w:rFonts w:hint="eastAsia" w:ascii="楷体_GB2312" w:eastAsia="楷体_GB2312"/>
          <w:bCs/>
          <w:iCs/>
          <w:kern w:val="0"/>
          <w:sz w:val="32"/>
        </w:rPr>
        <w:t>（四）分析性能评估资料</w:t>
      </w:r>
    </w:p>
    <w:p w14:paraId="4E165B4B">
      <w:pPr>
        <w:spacing w:line="520" w:lineRule="exact"/>
        <w:ind w:firstLine="640" w:firstLineChars="200"/>
        <w:rPr>
          <w:rFonts w:eastAsia="仿宋_GB2312"/>
          <w:bCs/>
          <w:sz w:val="32"/>
          <w:szCs w:val="28"/>
        </w:rPr>
      </w:pPr>
      <w:r>
        <w:rPr>
          <w:rFonts w:eastAsia="仿宋_GB2312"/>
          <w:sz w:val="32"/>
          <w:szCs w:val="28"/>
        </w:rPr>
        <w:t>申请人应当提交对试剂盒进行的所有性能评估资料，对于每项分析性能的评价都应包括具体的研究项目、试验设计、研究方法、可接受标准、试验数据、统计方法（如有）、研究结论等详细资料。性能评估时</w:t>
      </w:r>
      <w:r>
        <w:rPr>
          <w:rFonts w:hint="eastAsia" w:eastAsia="仿宋_GB2312"/>
          <w:sz w:val="32"/>
          <w:szCs w:val="28"/>
        </w:rPr>
        <w:t>建议</w:t>
      </w:r>
      <w:r>
        <w:rPr>
          <w:rFonts w:eastAsia="仿宋_GB2312"/>
          <w:sz w:val="32"/>
          <w:szCs w:val="28"/>
        </w:rPr>
        <w:t>将试剂、仪器和所选用的校准品、质控品作为一个整体进行评价，评估整个系统的性能是否符合要求。有关分析性能验证的背景信息也应在申报资料中有所体现，包括试验时间、地点、适用仪器、试剂规格和批号、所选用的校准品和质控品、临床样本来源等。</w:t>
      </w:r>
      <w:r>
        <w:rPr>
          <w:rFonts w:eastAsia="仿宋_GB2312"/>
          <w:bCs/>
          <w:sz w:val="32"/>
          <w:szCs w:val="28"/>
        </w:rPr>
        <w:t>具体研究方法建议参考</w:t>
      </w:r>
      <w:r>
        <w:rPr>
          <w:rFonts w:hint="eastAsia" w:eastAsia="仿宋_GB2312"/>
          <w:bCs/>
          <w:sz w:val="32"/>
          <w:szCs w:val="28"/>
        </w:rPr>
        <w:t>国外</w:t>
      </w:r>
      <w:r>
        <w:rPr>
          <w:rFonts w:eastAsia="仿宋_GB2312"/>
          <w:bCs/>
          <w:sz w:val="32"/>
          <w:szCs w:val="28"/>
        </w:rPr>
        <w:t>相关指南或国内有关体外诊断产品性能评估文件</w:t>
      </w:r>
      <w:r>
        <w:rPr>
          <w:rFonts w:hint="eastAsia" w:eastAsia="仿宋_GB2312"/>
          <w:bCs/>
          <w:sz w:val="32"/>
          <w:szCs w:val="28"/>
        </w:rPr>
        <w:t>、行业标准等</w:t>
      </w:r>
      <w:r>
        <w:rPr>
          <w:rFonts w:eastAsia="仿宋_GB2312"/>
          <w:bCs/>
          <w:sz w:val="32"/>
          <w:szCs w:val="28"/>
        </w:rPr>
        <w:t>。</w:t>
      </w:r>
    </w:p>
    <w:p w14:paraId="4A70EE9B">
      <w:pPr>
        <w:spacing w:line="520" w:lineRule="exact"/>
        <w:ind w:firstLine="640" w:firstLineChars="200"/>
        <w:rPr>
          <w:rFonts w:eastAsia="仿宋_GB2312"/>
          <w:sz w:val="32"/>
          <w:szCs w:val="32"/>
        </w:rPr>
      </w:pPr>
      <w:r>
        <w:rPr>
          <w:rFonts w:eastAsia="仿宋_GB2312"/>
          <w:sz w:val="32"/>
          <w:szCs w:val="32"/>
        </w:rPr>
        <w:t>对于本试剂，建议着重对以下分析性能进行研究：</w:t>
      </w:r>
    </w:p>
    <w:p w14:paraId="4F98B2A2">
      <w:pPr>
        <w:overflowPunct w:val="0"/>
        <w:spacing w:line="500" w:lineRule="exact"/>
        <w:ind w:firstLine="640" w:firstLineChars="200"/>
        <w:outlineLvl w:val="2"/>
        <w:rPr>
          <w:rFonts w:eastAsia="仿宋_GB2312"/>
          <w:kern w:val="0"/>
          <w:sz w:val="32"/>
        </w:rPr>
      </w:pPr>
      <w:r>
        <w:rPr>
          <w:rFonts w:hint="eastAsia" w:eastAsia="仿宋_GB2312"/>
          <w:kern w:val="0"/>
          <w:sz w:val="32"/>
        </w:rPr>
        <w:t>1.准确度</w:t>
      </w:r>
    </w:p>
    <w:p w14:paraId="00FFAD81">
      <w:pPr>
        <w:overflowPunct w:val="0"/>
        <w:spacing w:line="500" w:lineRule="exact"/>
        <w:ind w:firstLine="640" w:firstLineChars="200"/>
        <w:outlineLvl w:val="2"/>
        <w:rPr>
          <w:rFonts w:eastAsia="仿宋_GB2312"/>
          <w:kern w:val="0"/>
          <w:sz w:val="32"/>
        </w:rPr>
      </w:pPr>
      <w:r>
        <w:rPr>
          <w:rFonts w:hint="eastAsia" w:eastAsia="仿宋_GB2312"/>
          <w:kern w:val="0"/>
          <w:sz w:val="32"/>
        </w:rPr>
        <w:t>1.1 相对偏差法</w:t>
      </w:r>
    </w:p>
    <w:p w14:paraId="38C15426">
      <w:pPr>
        <w:overflowPunct w:val="0"/>
        <w:spacing w:line="500" w:lineRule="exact"/>
        <w:ind w:firstLine="640" w:firstLineChars="200"/>
        <w:rPr>
          <w:rFonts w:eastAsia="仿宋_GB2312"/>
          <w:kern w:val="0"/>
          <w:sz w:val="32"/>
        </w:rPr>
      </w:pPr>
      <w:r>
        <w:rPr>
          <w:rFonts w:hint="eastAsia" w:eastAsia="仿宋_GB2312"/>
          <w:kern w:val="0"/>
          <w:sz w:val="32"/>
        </w:rPr>
        <w:t>试剂盒测试可用于评价常规测量方法的有证参考物质（C</w:t>
      </w:r>
      <w:r>
        <w:rPr>
          <w:rFonts w:eastAsia="仿宋_GB2312"/>
          <w:kern w:val="0"/>
          <w:sz w:val="32"/>
        </w:rPr>
        <w:t>RM</w:t>
      </w:r>
      <w:r>
        <w:rPr>
          <w:rFonts w:hint="eastAsia" w:eastAsia="仿宋_GB2312"/>
          <w:kern w:val="0"/>
          <w:sz w:val="32"/>
        </w:rPr>
        <w:t>）3次，测试结果记为（Xi），按式（1）分别计算相对偏差（Bi），应在±1</w:t>
      </w:r>
      <w:r>
        <w:rPr>
          <w:rFonts w:eastAsia="仿宋_GB2312"/>
          <w:kern w:val="0"/>
          <w:sz w:val="32"/>
        </w:rPr>
        <w:t>5</w:t>
      </w:r>
      <w:r>
        <w:rPr>
          <w:rFonts w:hint="eastAsia" w:eastAsia="仿宋_GB2312"/>
          <w:kern w:val="0"/>
          <w:sz w:val="32"/>
        </w:rPr>
        <w:t>%范围内。如果3次结果都符合要求，即判为合格。如果大于等于2次的结果不合格，即判为不合格。如果有1次结果不符合要求，则应重新连续测试20次，并分别按照公式（1）计算相对偏差，如果大于等于19次测试的结果符合要求，</w:t>
      </w:r>
      <w:r>
        <w:rPr>
          <w:rFonts w:eastAsia="仿宋_GB2312"/>
          <w:kern w:val="0"/>
          <w:sz w:val="32"/>
          <w:szCs w:val="32"/>
        </w:rPr>
        <w:t>则准确度</w:t>
      </w:r>
      <w:r>
        <w:rPr>
          <w:rFonts w:hint="eastAsia" w:eastAsia="仿宋_GB2312"/>
          <w:kern w:val="0"/>
          <w:sz w:val="32"/>
          <w:szCs w:val="32"/>
        </w:rPr>
        <w:t>判定合格</w:t>
      </w:r>
      <w:r>
        <w:rPr>
          <w:rFonts w:eastAsia="仿宋_GB2312"/>
          <w:kern w:val="0"/>
          <w:sz w:val="32"/>
          <w:szCs w:val="32"/>
        </w:rPr>
        <w:t>。</w:t>
      </w:r>
    </w:p>
    <w:p w14:paraId="56982A71">
      <w:pPr>
        <w:pStyle w:val="19"/>
        <w:wordWrap w:val="0"/>
        <w:spacing w:line="720" w:lineRule="auto"/>
        <w:ind w:firstLine="0" w:firstLineChars="0"/>
        <w:jc w:val="right"/>
        <w:textAlignment w:val="center"/>
        <w:rPr>
          <w:bCs/>
        </w:rPr>
      </w:pPr>
      <m:oMath>
        <m:r>
          <m:rPr>
            <m:nor/>
            <m:sty m:val="p"/>
          </m:rPr>
          <w:rPr>
            <w:rFonts w:ascii="Cambria Math" w:hAnsi="Cambria Math"/>
          </w:rPr>
          <m:t>Bi=</m:t>
        </m:r>
        <m:f>
          <m:fPr>
            <m:ctrlPr>
              <w:rPr>
                <w:rFonts w:ascii="Cambria Math" w:hAnsi="Cambria Math"/>
              </w:rPr>
            </m:ctrlPr>
          </m:fPr>
          <m:num>
            <m:r>
              <m:rPr>
                <m:nor/>
                <m:sty m:val="p"/>
              </m:rPr>
              <w:rPr>
                <w:rFonts w:ascii="Cambria Math" w:hAnsi="Cambria Math"/>
              </w:rPr>
              <m:t>Xi-T</m:t>
            </m:r>
            <m:ctrlPr>
              <w:rPr>
                <w:rFonts w:ascii="Cambria Math" w:hAnsi="Cambria Math"/>
              </w:rPr>
            </m:ctrlPr>
          </m:num>
          <m:den>
            <m:r>
              <m:rPr>
                <m:nor/>
                <m:sty m:val="p"/>
              </m:rPr>
              <w:rPr>
                <w:rFonts w:ascii="Cambria Math" w:hAnsi="Cambria Math"/>
              </w:rPr>
              <m:t>T</m:t>
            </m:r>
            <m:ctrlPr>
              <w:rPr>
                <w:rFonts w:ascii="Cambria Math" w:hAnsi="Cambria Math"/>
              </w:rPr>
            </m:ctrlPr>
          </m:den>
        </m:f>
        <m:r>
          <m:rPr>
            <m:nor/>
            <m:sty m:val="p"/>
          </m:rPr>
          <w:rPr>
            <w:rFonts w:ascii="Cambria Math" w:hAnsi="Cambria Math"/>
          </w:rPr>
          <m:t>×100%</m:t>
        </m:r>
      </m:oMath>
      <w:r>
        <w:rPr>
          <w:bCs/>
        </w:rPr>
        <w:t xml:space="preserve">      </w:t>
      </w:r>
      <w:r>
        <w:rPr>
          <w:rFonts w:hint="eastAsia"/>
          <w:bCs/>
        </w:rPr>
        <w:t>……………（1）</w:t>
      </w:r>
    </w:p>
    <w:p w14:paraId="26A10319">
      <w:pPr>
        <w:pStyle w:val="19"/>
        <w:ind w:left="848" w:leftChars="404" w:right="640" w:firstLine="0" w:firstLineChars="0"/>
        <w:rPr>
          <w:bCs/>
        </w:rPr>
      </w:pPr>
      <w:r>
        <w:rPr>
          <w:rFonts w:hint="eastAsia"/>
          <w:bCs/>
        </w:rPr>
        <w:t>式中：</w:t>
      </w:r>
    </w:p>
    <w:p w14:paraId="0A00ABF4">
      <w:pPr>
        <w:pStyle w:val="19"/>
        <w:ind w:left="848" w:leftChars="404" w:right="640" w:firstLine="0" w:firstLineChars="0"/>
        <w:rPr>
          <w:bCs/>
        </w:rPr>
      </w:pPr>
      <w:r>
        <w:rPr>
          <w:rFonts w:hint="eastAsia"/>
          <w:bCs/>
        </w:rPr>
        <w:t>Bi</w:t>
      </w:r>
      <w:r>
        <w:rPr>
          <w:bCs/>
          <w:szCs w:val="32"/>
        </w:rPr>
        <w:t>—</w:t>
      </w:r>
      <w:r>
        <w:rPr>
          <w:rFonts w:hint="eastAsia"/>
          <w:bCs/>
        </w:rPr>
        <w:t>相对偏差；</w:t>
      </w:r>
    </w:p>
    <w:p w14:paraId="56D16942">
      <w:pPr>
        <w:pStyle w:val="19"/>
        <w:ind w:left="848" w:leftChars="404" w:right="640" w:firstLine="0" w:firstLineChars="0"/>
        <w:rPr>
          <w:bCs/>
        </w:rPr>
      </w:pPr>
      <w:r>
        <w:rPr>
          <w:rFonts w:hint="eastAsia"/>
          <w:bCs/>
        </w:rPr>
        <w:t>Xi</w:t>
      </w:r>
      <w:r>
        <w:rPr>
          <w:bCs/>
          <w:szCs w:val="32"/>
        </w:rPr>
        <w:t>—</w:t>
      </w:r>
      <w:r>
        <w:rPr>
          <w:rFonts w:hint="eastAsia"/>
          <w:bCs/>
        </w:rPr>
        <w:t>测量浓度；</w:t>
      </w:r>
    </w:p>
    <w:p w14:paraId="3ABFFCF7">
      <w:pPr>
        <w:pStyle w:val="19"/>
        <w:ind w:left="848" w:leftChars="404" w:right="640" w:firstLine="0" w:firstLineChars="0"/>
      </w:pPr>
      <w:r>
        <w:rPr>
          <w:rFonts w:hint="eastAsia"/>
          <w:bCs/>
        </w:rPr>
        <w:t>T</w:t>
      </w:r>
      <w:r>
        <w:rPr>
          <w:bCs/>
          <w:szCs w:val="32"/>
        </w:rPr>
        <w:t>—</w:t>
      </w:r>
      <w:r>
        <w:rPr>
          <w:rFonts w:hint="eastAsia"/>
          <w:bCs/>
        </w:rPr>
        <w:t>标定浓度。</w:t>
      </w:r>
    </w:p>
    <w:p w14:paraId="685F68B5">
      <w:pPr>
        <w:overflowPunct w:val="0"/>
        <w:snapToGrid w:val="0"/>
        <w:spacing w:line="520" w:lineRule="exact"/>
        <w:jc w:val="left"/>
        <w:rPr>
          <w:rFonts w:eastAsia="仿宋_GB2312"/>
          <w:color w:val="000000"/>
          <w:kern w:val="0"/>
          <w:sz w:val="32"/>
          <w:szCs w:val="32"/>
        </w:rPr>
      </w:pPr>
      <w:r>
        <w:rPr>
          <w:rFonts w:eastAsia="仿宋_GB2312"/>
          <w:color w:val="000000"/>
          <w:kern w:val="0"/>
          <w:sz w:val="32"/>
          <w:szCs w:val="32"/>
        </w:rPr>
        <w:t>注：</w:t>
      </w:r>
      <w:r>
        <w:rPr>
          <w:rFonts w:hint="eastAsia" w:eastAsia="仿宋_GB2312"/>
          <w:color w:val="000000"/>
          <w:kern w:val="0"/>
          <w:sz w:val="32"/>
          <w:szCs w:val="32"/>
        </w:rPr>
        <w:t>优先</w:t>
      </w:r>
      <w:r>
        <w:rPr>
          <w:rFonts w:eastAsia="仿宋_GB2312"/>
          <w:color w:val="000000"/>
          <w:kern w:val="0"/>
          <w:sz w:val="32"/>
          <w:szCs w:val="32"/>
        </w:rPr>
        <w:t>考虑使用国家参考物质，如无国家参考物质可选用国际参考物质。</w:t>
      </w:r>
    </w:p>
    <w:p w14:paraId="45DF4BD0">
      <w:pPr>
        <w:overflowPunct w:val="0"/>
        <w:spacing w:line="500" w:lineRule="exact"/>
        <w:ind w:firstLine="640" w:firstLineChars="200"/>
        <w:outlineLvl w:val="2"/>
        <w:rPr>
          <w:rFonts w:eastAsia="仿宋_GB2312"/>
          <w:kern w:val="0"/>
          <w:sz w:val="32"/>
        </w:rPr>
      </w:pPr>
      <w:r>
        <w:rPr>
          <w:rFonts w:hint="eastAsia" w:eastAsia="仿宋_GB2312"/>
          <w:kern w:val="0"/>
          <w:sz w:val="32"/>
        </w:rPr>
        <w:t>1.2 方法学比对</w:t>
      </w:r>
    </w:p>
    <w:p w14:paraId="226C489A">
      <w:pPr>
        <w:spacing w:line="590" w:lineRule="exact"/>
        <w:ind w:firstLine="640" w:firstLineChars="200"/>
        <w:rPr>
          <w:rFonts w:eastAsia="仿宋_GB2312"/>
          <w:sz w:val="32"/>
        </w:rPr>
      </w:pPr>
      <w:r>
        <w:rPr>
          <w:rFonts w:eastAsia="仿宋_GB2312"/>
          <w:sz w:val="32"/>
        </w:rPr>
        <w:t>参考《体外诊断试剂分析性能评估（准确度</w:t>
      </w:r>
      <w:r>
        <w:rPr>
          <w:rFonts w:hint="eastAsia" w:ascii="仿宋_GB2312" w:eastAsia="仿宋_GB2312"/>
          <w:sz w:val="32"/>
        </w:rPr>
        <w:t>—</w:t>
      </w:r>
      <w:r>
        <w:rPr>
          <w:rFonts w:hint="eastAsia" w:eastAsia="仿宋_GB2312"/>
          <w:sz w:val="32"/>
        </w:rPr>
        <w:t>方法学比对</w:t>
      </w:r>
      <w:r>
        <w:rPr>
          <w:rFonts w:eastAsia="仿宋_GB2312"/>
          <w:sz w:val="32"/>
        </w:rPr>
        <w:t>）技术审查指导原则》（食药监办械函〔2011〕116号）要求完成准确度评估。</w:t>
      </w:r>
    </w:p>
    <w:p w14:paraId="2F29EDD9">
      <w:pPr>
        <w:spacing w:line="590" w:lineRule="exact"/>
        <w:ind w:firstLine="640" w:firstLineChars="200"/>
        <w:rPr>
          <w:rFonts w:eastAsia="仿宋_GB2312"/>
          <w:sz w:val="32"/>
        </w:rPr>
      </w:pPr>
      <w:r>
        <w:rPr>
          <w:rFonts w:hint="eastAsia" w:eastAsia="仿宋_GB2312"/>
          <w:sz w:val="32"/>
        </w:rPr>
        <w:t>方法：每天选择在线性范围内的8个临床患者样本，并覆盖医学决定水平。通常基本从线性范围的低限到线性范围的高限（应至少有50％的样本在参考范围以外，但在线性范围内）。分析样本的浓度应尽可能在线性范围内均匀分布。按1到8的顺序编号。选择合适的比对系统和待测系统同时进行实验，按照1，2，3，4，5，6，7，8，8，7，6，5，4，3，2，1的样本顺序进行测定。以上实验至少重复5天，即至少分析40个不同的临床患者样本。每天实验必须进行校准和室内质控，只有在室内质控合格的情况下，当天的实验室数据才有效。</w:t>
      </w:r>
    </w:p>
    <w:p w14:paraId="7696769E">
      <w:pPr>
        <w:overflowPunct w:val="0"/>
        <w:spacing w:line="500" w:lineRule="exact"/>
        <w:ind w:firstLine="640" w:firstLineChars="200"/>
        <w:outlineLvl w:val="2"/>
        <w:rPr>
          <w:rFonts w:eastAsia="仿宋_GB2312"/>
          <w:kern w:val="0"/>
          <w:sz w:val="32"/>
        </w:rPr>
      </w:pPr>
      <w:r>
        <w:rPr>
          <w:rFonts w:hint="eastAsia" w:eastAsia="仿宋_GB2312"/>
          <w:kern w:val="0"/>
          <w:sz w:val="32"/>
        </w:rPr>
        <w:t>检查离群点后分别计算相关系数、进行回归分析和偏差计算，结果应符合相关国际及国家标准或企业规定要求，同时满足临床需求。</w:t>
      </w:r>
    </w:p>
    <w:p w14:paraId="055194F8">
      <w:pPr>
        <w:spacing w:line="590" w:lineRule="exact"/>
        <w:ind w:firstLine="640" w:firstLineChars="200"/>
        <w:rPr>
          <w:rFonts w:eastAsia="仿宋_GB2312"/>
          <w:kern w:val="0"/>
          <w:sz w:val="32"/>
        </w:rPr>
      </w:pPr>
      <w:r>
        <w:rPr>
          <w:rFonts w:hint="eastAsia" w:eastAsia="仿宋_GB2312"/>
          <w:kern w:val="0"/>
          <w:sz w:val="32"/>
        </w:rPr>
        <w:t>1.3</w:t>
      </w:r>
      <w:r>
        <w:rPr>
          <w:rFonts w:eastAsia="仿宋_GB2312"/>
          <w:sz w:val="32"/>
        </w:rPr>
        <w:t>回收实验</w:t>
      </w:r>
    </w:p>
    <w:p w14:paraId="25CCB474">
      <w:pPr>
        <w:spacing w:line="590" w:lineRule="exact"/>
        <w:ind w:firstLine="640" w:firstLineChars="200"/>
        <w:rPr>
          <w:rFonts w:eastAsia="仿宋_GB2312"/>
          <w:sz w:val="32"/>
        </w:rPr>
      </w:pPr>
      <w:r>
        <w:rPr>
          <w:rFonts w:eastAsia="仿宋_GB2312"/>
          <w:sz w:val="32"/>
        </w:rPr>
        <w:t>参考《体外诊断试剂分析性能评估（准确度</w:t>
      </w:r>
      <w:r>
        <w:rPr>
          <w:rFonts w:hint="eastAsia" w:ascii="仿宋_GB2312" w:eastAsia="仿宋_GB2312"/>
          <w:sz w:val="32"/>
        </w:rPr>
        <w:t>—</w:t>
      </w:r>
      <w:r>
        <w:rPr>
          <w:rFonts w:eastAsia="仿宋_GB2312"/>
          <w:sz w:val="32"/>
        </w:rPr>
        <w:t>回收实验）技术审查指导原则》（食药监办械函〔2011〕116号）要求完成准确度评估。</w:t>
      </w:r>
    </w:p>
    <w:p w14:paraId="39338F1F">
      <w:pPr>
        <w:spacing w:line="590" w:lineRule="exact"/>
        <w:ind w:firstLine="640" w:firstLineChars="200"/>
        <w:rPr>
          <w:rFonts w:eastAsia="仿宋_GB2312"/>
          <w:sz w:val="32"/>
        </w:rPr>
      </w:pPr>
      <w:r>
        <w:rPr>
          <w:rFonts w:eastAsia="仿宋_GB2312"/>
          <w:sz w:val="32"/>
        </w:rPr>
        <w:t>方法：选择接近参考区间的常规检测样本，分为体积相同的3</w:t>
      </w:r>
      <w:r>
        <w:rPr>
          <w:rFonts w:hint="eastAsia" w:ascii="仿宋_GB2312" w:eastAsia="仿宋_GB2312"/>
          <w:sz w:val="32"/>
        </w:rPr>
        <w:t>—</w:t>
      </w:r>
      <w:r>
        <w:rPr>
          <w:rFonts w:eastAsia="仿宋_GB2312"/>
          <w:sz w:val="32"/>
        </w:rPr>
        <w:t>4份，在其中2</w:t>
      </w:r>
      <w:r>
        <w:rPr>
          <w:rFonts w:hint="eastAsia" w:ascii="仿宋_GB2312" w:eastAsia="仿宋_GB2312"/>
          <w:sz w:val="32"/>
        </w:rPr>
        <w:t>—</w:t>
      </w:r>
      <w:r>
        <w:rPr>
          <w:rFonts w:eastAsia="仿宋_GB2312"/>
          <w:sz w:val="32"/>
        </w:rPr>
        <w:t>3份样本中加入不同浓度相同体积的待测物标准液制备待回收分析样本，加入体积小于原体积的10%，制成2</w:t>
      </w:r>
      <w:r>
        <w:rPr>
          <w:rFonts w:hint="eastAsia" w:ascii="仿宋_GB2312" w:eastAsia="仿宋_GB2312"/>
          <w:sz w:val="32"/>
        </w:rPr>
        <w:t>—</w:t>
      </w:r>
      <w:r>
        <w:rPr>
          <w:rFonts w:eastAsia="仿宋_GB2312"/>
          <w:sz w:val="32"/>
        </w:rPr>
        <w:t>3个不同浓度的待回收分析样本，计算加入的待测物的浓度。在另一份样本中加入同样体积的无待测物的溶剂，制成基础样本。用待评价系统对待回收分析样本和基础样本进行测定，通常对样本进行3次重复测定，计算均值，取其均值进行下述计算。</w:t>
      </w:r>
    </w:p>
    <w:p w14:paraId="0A066EF5">
      <w:pPr>
        <w:spacing w:line="590" w:lineRule="exact"/>
        <w:ind w:firstLine="640" w:firstLineChars="200"/>
        <w:rPr>
          <w:rFonts w:eastAsia="仿宋_GB2312"/>
          <w:sz w:val="32"/>
        </w:rPr>
      </w:pPr>
      <w:r>
        <w:rPr>
          <w:rFonts w:eastAsia="仿宋_GB2312"/>
          <w:sz w:val="32"/>
        </w:rPr>
        <w:t>数据处理及结果报告：</w:t>
      </w:r>
    </w:p>
    <w:p w14:paraId="33DB668D">
      <w:pPr>
        <w:spacing w:line="560" w:lineRule="exact"/>
        <w:ind w:firstLine="425" w:firstLineChars="133"/>
        <w:rPr>
          <w:rFonts w:eastAsia="仿宋_GB2312"/>
          <w:sz w:val="32"/>
        </w:rPr>
      </w:pPr>
      <w:r>
        <w:rPr>
          <w:rFonts w:eastAsia="仿宋_GB2312"/>
          <w:sz w:val="32"/>
        </w:rPr>
        <w:t>用公式（</w:t>
      </w:r>
      <w:r>
        <w:rPr>
          <w:rFonts w:hint="eastAsia" w:eastAsia="仿宋_GB2312"/>
          <w:sz w:val="32"/>
        </w:rPr>
        <w:t>2</w:t>
      </w:r>
      <w:r>
        <w:rPr>
          <w:rFonts w:eastAsia="仿宋_GB2312"/>
          <w:sz w:val="32"/>
        </w:rPr>
        <w:t>）计算回收率</w:t>
      </w:r>
      <w:r>
        <w:rPr>
          <w:rFonts w:hint="eastAsia" w:eastAsia="仿宋_GB2312"/>
          <w:sz w:val="32"/>
        </w:rPr>
        <w:t>，回收率至少应在85%—115%范围内，同时满足临床需求。</w:t>
      </w:r>
    </w:p>
    <w:p w14:paraId="02F9F5E2">
      <w:pPr>
        <w:spacing w:line="480" w:lineRule="auto"/>
        <w:ind w:firstLine="640" w:firstLineChars="200"/>
        <w:jc w:val="center"/>
        <w:rPr>
          <w:rFonts w:eastAsia="仿宋_GB2312"/>
          <w:sz w:val="32"/>
        </w:rPr>
      </w:pPr>
      <m:oMath>
        <m:r>
          <m:rPr>
            <m:sty m:val="p"/>
          </m:rPr>
          <w:rPr>
            <w:rFonts w:ascii="Cambria Math" w:hAnsi="Cambria Math" w:eastAsia="仿宋_GB2312"/>
            <w:sz w:val="32"/>
          </w:rPr>
          <m:t>R=</m:t>
        </m:r>
        <m:f>
          <m:fPr>
            <m:ctrlPr>
              <w:rPr>
                <w:rFonts w:ascii="Cambria Math" w:hAnsi="Cambria Math" w:eastAsia="仿宋_GB2312"/>
                <w:sz w:val="32"/>
              </w:rPr>
            </m:ctrlPr>
          </m:fPr>
          <m:num>
            <m:r>
              <m:rPr/>
              <w:rPr>
                <w:rFonts w:ascii="Cambria Math" w:hAnsi="Cambria Math" w:eastAsia="仿宋_GB2312"/>
                <w:sz w:val="32"/>
              </w:rPr>
              <m:t>C×</m:t>
            </m:r>
            <m:d>
              <m:dPr>
                <m:begChr m:val="（"/>
                <m:endChr m:val="）"/>
                <m:ctrlPr>
                  <w:rPr>
                    <w:rFonts w:ascii="Cambria Math" w:hAnsi="Cambria Math" w:eastAsia="仿宋_GB2312"/>
                    <w:sz w:val="32"/>
                  </w:rPr>
                </m:ctrlPr>
              </m:dPr>
              <m:e>
                <m:sSub>
                  <m:sSubPr>
                    <m:ctrlPr>
                      <w:rPr>
                        <w:rFonts w:ascii="Cambria Math" w:hAnsi="Cambria Math" w:eastAsia="仿宋_GB2312"/>
                        <w:sz w:val="32"/>
                      </w:rPr>
                    </m:ctrlPr>
                  </m:sSubPr>
                  <m:e>
                    <m:r>
                      <m:rPr/>
                      <w:rPr>
                        <w:rFonts w:ascii="Cambria Math" w:hAnsi="Cambria Math" w:eastAsia="仿宋_GB2312"/>
                        <w:sz w:val="32"/>
                      </w:rPr>
                      <m:t>V</m:t>
                    </m:r>
                    <m:ctrlPr>
                      <w:rPr>
                        <w:rFonts w:ascii="Cambria Math" w:hAnsi="Cambria Math" w:eastAsia="仿宋_GB2312"/>
                        <w:sz w:val="32"/>
                      </w:rPr>
                    </m:ctrlPr>
                  </m:e>
                  <m:sub>
                    <m:r>
                      <m:rPr/>
                      <w:rPr>
                        <w:rFonts w:ascii="Cambria Math" w:hAnsi="Cambria Math" w:eastAsia="仿宋_GB2312"/>
                        <w:sz w:val="32"/>
                      </w:rPr>
                      <m:t>0</m:t>
                    </m:r>
                    <m:ctrlPr>
                      <w:rPr>
                        <w:rFonts w:ascii="Cambria Math" w:hAnsi="Cambria Math" w:eastAsia="仿宋_GB2312"/>
                        <w:sz w:val="32"/>
                      </w:rPr>
                    </m:ctrlPr>
                  </m:sub>
                </m:sSub>
                <m:r>
                  <m:rPr>
                    <m:sty m:val="p"/>
                  </m:rPr>
                  <w:rPr>
                    <w:rFonts w:ascii="Cambria Math" w:hAnsi="Cambria Math" w:eastAsia="仿宋_GB2312"/>
                    <w:sz w:val="32"/>
                  </w:rPr>
                  <m:t>+V</m:t>
                </m:r>
                <m:ctrlPr>
                  <w:rPr>
                    <w:rFonts w:ascii="Cambria Math" w:hAnsi="Cambria Math" w:eastAsia="仿宋_GB2312"/>
                    <w:sz w:val="32"/>
                  </w:rPr>
                </m:ctrlPr>
              </m:e>
            </m:d>
            <m:r>
              <m:rPr>
                <m:sty m:val="p"/>
              </m:rPr>
              <w:rPr>
                <w:rFonts w:ascii="Cambria Math" w:hAnsi="Cambria Math" w:eastAsia="仿宋_GB2312"/>
                <w:sz w:val="32"/>
              </w:rPr>
              <m:t>−</m:t>
            </m:r>
            <m:sSub>
              <m:sSubPr>
                <m:ctrlPr>
                  <w:rPr>
                    <w:rFonts w:ascii="Cambria Math" w:hAnsi="Cambria Math" w:eastAsia="仿宋_GB2312"/>
                    <w:sz w:val="32"/>
                  </w:rPr>
                </m:ctrlPr>
              </m:sSubPr>
              <m:e>
                <m:r>
                  <m:rPr/>
                  <w:rPr>
                    <w:rFonts w:ascii="Cambria Math" w:hAnsi="Cambria Math" w:eastAsia="仿宋_GB2312"/>
                    <w:sz w:val="32"/>
                  </w:rPr>
                  <m:t>C</m:t>
                </m:r>
                <m:ctrlPr>
                  <w:rPr>
                    <w:rFonts w:ascii="Cambria Math" w:hAnsi="Cambria Math" w:eastAsia="仿宋_GB2312"/>
                    <w:sz w:val="32"/>
                  </w:rPr>
                </m:ctrlPr>
              </m:e>
              <m:sub>
                <m:r>
                  <m:rPr/>
                  <w:rPr>
                    <w:rFonts w:ascii="Cambria Math" w:hAnsi="Cambria Math" w:eastAsia="仿宋_GB2312"/>
                    <w:sz w:val="32"/>
                  </w:rPr>
                  <m:t>0</m:t>
                </m:r>
                <m:ctrlPr>
                  <w:rPr>
                    <w:rFonts w:ascii="Cambria Math" w:hAnsi="Cambria Math" w:eastAsia="仿宋_GB2312"/>
                    <w:sz w:val="32"/>
                  </w:rPr>
                </m:ctrlPr>
              </m:sub>
            </m:sSub>
            <m:r>
              <m:rPr/>
              <w:rPr>
                <w:rFonts w:ascii="Cambria Math" w:hAnsi="Cambria Math" w:eastAsia="仿宋_GB2312"/>
                <w:sz w:val="32"/>
              </w:rPr>
              <m:t>×</m:t>
            </m:r>
            <m:sSub>
              <m:sSubPr>
                <m:ctrlPr>
                  <w:rPr>
                    <w:rFonts w:ascii="Cambria Math" w:hAnsi="Cambria Math" w:eastAsia="仿宋_GB2312"/>
                    <w:sz w:val="32"/>
                  </w:rPr>
                </m:ctrlPr>
              </m:sSubPr>
              <m:e>
                <m:r>
                  <m:rPr/>
                  <w:rPr>
                    <w:rFonts w:ascii="Cambria Math" w:hAnsi="Cambria Math" w:eastAsia="仿宋_GB2312"/>
                    <w:sz w:val="32"/>
                  </w:rPr>
                  <m:t>V</m:t>
                </m:r>
                <m:ctrlPr>
                  <w:rPr>
                    <w:rFonts w:ascii="Cambria Math" w:hAnsi="Cambria Math" w:eastAsia="仿宋_GB2312"/>
                    <w:sz w:val="32"/>
                  </w:rPr>
                </m:ctrlPr>
              </m:e>
              <m:sub>
                <m:r>
                  <m:rPr/>
                  <w:rPr>
                    <w:rFonts w:ascii="Cambria Math" w:hAnsi="Cambria Math" w:eastAsia="仿宋_GB2312"/>
                    <w:sz w:val="32"/>
                  </w:rPr>
                  <m:t>0</m:t>
                </m:r>
                <m:ctrlPr>
                  <w:rPr>
                    <w:rFonts w:ascii="Cambria Math" w:hAnsi="Cambria Math" w:eastAsia="仿宋_GB2312"/>
                    <w:sz w:val="32"/>
                  </w:rPr>
                </m:ctrlPr>
              </m:sub>
            </m:sSub>
            <m:ctrlPr>
              <w:rPr>
                <w:rFonts w:ascii="Cambria Math" w:hAnsi="Cambria Math" w:eastAsia="仿宋_GB2312"/>
                <w:sz w:val="32"/>
              </w:rPr>
            </m:ctrlPr>
          </m:num>
          <m:den>
            <m:r>
              <m:rPr/>
              <w:rPr>
                <w:rFonts w:ascii="Cambria Math" w:hAnsi="Cambria Math" w:eastAsia="仿宋_GB2312"/>
                <w:sz w:val="32"/>
              </w:rPr>
              <m:t>V×</m:t>
            </m:r>
            <m:sSub>
              <m:sSubPr>
                <m:ctrlPr>
                  <w:rPr>
                    <w:rFonts w:ascii="Cambria Math" w:hAnsi="Cambria Math" w:eastAsia="仿宋_GB2312"/>
                    <w:i/>
                    <w:sz w:val="32"/>
                  </w:rPr>
                </m:ctrlPr>
              </m:sSubPr>
              <m:e>
                <m:r>
                  <m:rPr/>
                  <w:rPr>
                    <w:rFonts w:ascii="Cambria Math" w:hAnsi="Cambria Math" w:eastAsia="仿宋_GB2312"/>
                    <w:sz w:val="32"/>
                  </w:rPr>
                  <m:t>C</m:t>
                </m:r>
                <m:ctrlPr>
                  <w:rPr>
                    <w:rFonts w:ascii="Cambria Math" w:hAnsi="Cambria Math" w:eastAsia="仿宋_GB2312"/>
                    <w:i/>
                    <w:sz w:val="32"/>
                  </w:rPr>
                </m:ctrlPr>
              </m:e>
              <m:sub>
                <m:r>
                  <m:rPr/>
                  <w:rPr>
                    <w:rFonts w:ascii="Cambria Math" w:hAnsi="Cambria Math" w:eastAsia="仿宋_GB2312"/>
                    <w:sz w:val="32"/>
                  </w:rPr>
                  <m:t>S</m:t>
                </m:r>
                <m:ctrlPr>
                  <w:rPr>
                    <w:rFonts w:ascii="Cambria Math" w:hAnsi="Cambria Math" w:eastAsia="仿宋_GB2312"/>
                    <w:i/>
                    <w:sz w:val="32"/>
                  </w:rPr>
                </m:ctrlPr>
              </m:sub>
            </m:sSub>
            <m:ctrlPr>
              <w:rPr>
                <w:rFonts w:ascii="Cambria Math" w:hAnsi="Cambria Math" w:eastAsia="仿宋_GB2312"/>
                <w:sz w:val="32"/>
              </w:rPr>
            </m:ctrlPr>
          </m:den>
        </m:f>
      </m:oMath>
      <w:r>
        <w:rPr>
          <w:rFonts w:hint="eastAsia" w:eastAsia="仿宋"/>
          <w:sz w:val="32"/>
        </w:rPr>
        <w:t xml:space="preserve">   ……</w:t>
      </w:r>
      <w:r>
        <w:rPr>
          <w:rFonts w:eastAsia="仿宋"/>
          <w:bCs/>
          <w:sz w:val="28"/>
          <w:szCs w:val="28"/>
        </w:rPr>
        <w:t>（</w:t>
      </w:r>
      <w:r>
        <w:rPr>
          <w:rFonts w:hint="eastAsia" w:eastAsia="仿宋"/>
          <w:bCs/>
          <w:sz w:val="28"/>
          <w:szCs w:val="28"/>
        </w:rPr>
        <w:t>2</w:t>
      </w:r>
      <w:r>
        <w:rPr>
          <w:rFonts w:eastAsia="仿宋"/>
          <w:bCs/>
          <w:sz w:val="28"/>
          <w:szCs w:val="28"/>
        </w:rPr>
        <w:t>）</w:t>
      </w:r>
    </w:p>
    <w:p w14:paraId="4A5A9D97">
      <w:pPr>
        <w:snapToGrid w:val="0"/>
        <w:ind w:firstLine="640" w:firstLineChars="200"/>
        <w:jc w:val="left"/>
        <w:rPr>
          <w:rFonts w:eastAsia="仿宋_GB2312"/>
          <w:sz w:val="32"/>
        </w:rPr>
      </w:pPr>
    </w:p>
    <w:p w14:paraId="115C966F">
      <w:pPr>
        <w:snapToGrid w:val="0"/>
        <w:ind w:firstLine="640" w:firstLineChars="200"/>
        <w:jc w:val="left"/>
        <w:rPr>
          <w:rFonts w:eastAsia="仿宋"/>
          <w:bCs/>
          <w:sz w:val="28"/>
          <w:szCs w:val="28"/>
        </w:rPr>
      </w:pPr>
      <w:r>
        <w:rPr>
          <w:rFonts w:eastAsia="仿宋_GB2312"/>
          <w:sz w:val="32"/>
        </w:rPr>
        <w:t>式中：R</w:t>
      </w:r>
      <w:r>
        <w:rPr>
          <w:rFonts w:hint="eastAsia" w:ascii="仿宋_GB2312" w:eastAsia="仿宋_GB2312"/>
          <w:sz w:val="32"/>
        </w:rPr>
        <w:t>—</w:t>
      </w:r>
      <w:r>
        <w:rPr>
          <w:rFonts w:eastAsia="仿宋_GB2312"/>
          <w:sz w:val="32"/>
        </w:rPr>
        <w:t>回收率；</w:t>
      </w:r>
    </w:p>
    <w:p w14:paraId="2803CC02">
      <w:pPr>
        <w:spacing w:line="560" w:lineRule="exact"/>
        <w:ind w:firstLine="1593" w:firstLineChars="498"/>
        <w:rPr>
          <w:rFonts w:eastAsia="仿宋_GB2312"/>
          <w:sz w:val="32"/>
        </w:rPr>
      </w:pPr>
      <w:r>
        <w:rPr>
          <w:rFonts w:eastAsia="仿宋_GB2312"/>
          <w:sz w:val="32"/>
        </w:rPr>
        <w:t>V</w:t>
      </w:r>
      <w:r>
        <w:rPr>
          <w:rFonts w:hint="eastAsia" w:ascii="仿宋_GB2312" w:eastAsia="仿宋_GB2312"/>
          <w:sz w:val="32"/>
        </w:rPr>
        <w:t>—</w:t>
      </w:r>
      <w:r>
        <w:rPr>
          <w:rFonts w:eastAsia="仿宋_GB2312"/>
          <w:sz w:val="32"/>
        </w:rPr>
        <w:t>加入待测物标准液的体积；</w:t>
      </w:r>
    </w:p>
    <w:p w14:paraId="34B63E98">
      <w:pPr>
        <w:spacing w:line="560" w:lineRule="exact"/>
        <w:ind w:firstLine="1593" w:firstLineChars="498"/>
        <w:rPr>
          <w:rFonts w:eastAsia="仿宋_GB2312"/>
          <w:sz w:val="32"/>
        </w:rPr>
      </w:pPr>
      <w:r>
        <w:rPr>
          <w:rFonts w:eastAsia="仿宋_GB2312"/>
          <w:sz w:val="32"/>
        </w:rPr>
        <w:t>V</w:t>
      </w:r>
      <w:r>
        <w:rPr>
          <w:rFonts w:eastAsia="仿宋_GB2312"/>
          <w:sz w:val="32"/>
          <w:vertAlign w:val="subscript"/>
        </w:rPr>
        <w:t>0</w:t>
      </w:r>
      <w:r>
        <w:rPr>
          <w:rFonts w:hint="eastAsia" w:ascii="仿宋_GB2312" w:eastAsia="仿宋_GB2312"/>
          <w:sz w:val="32"/>
        </w:rPr>
        <w:t>—</w:t>
      </w:r>
      <w:r>
        <w:rPr>
          <w:rFonts w:eastAsia="仿宋_GB2312"/>
          <w:sz w:val="32"/>
        </w:rPr>
        <w:t>基础样本的体积</w:t>
      </w:r>
    </w:p>
    <w:p w14:paraId="4E8C2D34">
      <w:pPr>
        <w:spacing w:line="560" w:lineRule="exact"/>
        <w:ind w:firstLine="1593" w:firstLineChars="498"/>
        <w:rPr>
          <w:rFonts w:eastAsia="仿宋_GB2312"/>
          <w:sz w:val="32"/>
        </w:rPr>
      </w:pPr>
      <w:r>
        <w:rPr>
          <w:rFonts w:eastAsia="仿宋_GB2312"/>
          <w:sz w:val="32"/>
        </w:rPr>
        <w:t>C</w:t>
      </w:r>
      <w:r>
        <w:rPr>
          <w:rFonts w:hint="eastAsia" w:ascii="仿宋_GB2312" w:eastAsia="仿宋_GB2312"/>
          <w:sz w:val="32"/>
        </w:rPr>
        <w:t>—</w:t>
      </w:r>
      <w:r>
        <w:rPr>
          <w:rFonts w:eastAsia="仿宋_GB2312"/>
          <w:sz w:val="32"/>
        </w:rPr>
        <w:t>基础样本加入待测标准物质后的检测浓度；</w:t>
      </w:r>
    </w:p>
    <w:p w14:paraId="72AEF183">
      <w:pPr>
        <w:spacing w:line="560" w:lineRule="exact"/>
        <w:ind w:firstLine="1593" w:firstLineChars="498"/>
        <w:rPr>
          <w:rFonts w:eastAsia="仿宋_GB2312"/>
          <w:sz w:val="32"/>
        </w:rPr>
      </w:pPr>
      <w:r>
        <w:rPr>
          <w:rFonts w:eastAsia="仿宋_GB2312"/>
          <w:sz w:val="32"/>
        </w:rPr>
        <w:t>C</w:t>
      </w:r>
      <w:r>
        <w:rPr>
          <w:rFonts w:eastAsia="仿宋_GB2312"/>
          <w:sz w:val="32"/>
          <w:vertAlign w:val="subscript"/>
        </w:rPr>
        <w:t>0</w:t>
      </w:r>
      <w:r>
        <w:rPr>
          <w:rFonts w:hint="eastAsia" w:ascii="仿宋_GB2312" w:eastAsia="仿宋_GB2312"/>
          <w:sz w:val="32"/>
        </w:rPr>
        <w:t>—</w:t>
      </w:r>
      <w:r>
        <w:rPr>
          <w:rFonts w:eastAsia="仿宋_GB2312"/>
          <w:sz w:val="32"/>
        </w:rPr>
        <w:t>基础样本的检测浓度；</w:t>
      </w:r>
    </w:p>
    <w:p w14:paraId="3C7435B0">
      <w:pPr>
        <w:spacing w:line="560" w:lineRule="exact"/>
        <w:ind w:firstLine="1593" w:firstLineChars="498"/>
        <w:rPr>
          <w:rFonts w:eastAsia="仿宋_GB2312"/>
          <w:sz w:val="32"/>
        </w:rPr>
      </w:pPr>
      <w:r>
        <w:rPr>
          <w:rFonts w:eastAsia="仿宋_GB2312"/>
          <w:sz w:val="32"/>
        </w:rPr>
        <w:t>Cs</w:t>
      </w:r>
      <w:r>
        <w:rPr>
          <w:rFonts w:hint="eastAsia" w:ascii="仿宋_GB2312" w:eastAsia="仿宋_GB2312"/>
          <w:sz w:val="32"/>
        </w:rPr>
        <w:t>—</w:t>
      </w:r>
      <w:r>
        <w:rPr>
          <w:rFonts w:eastAsia="仿宋_GB2312"/>
          <w:sz w:val="32"/>
        </w:rPr>
        <w:t>待测物标准液的浓度。</w:t>
      </w:r>
    </w:p>
    <w:p w14:paraId="513C6798">
      <w:pPr>
        <w:overflowPunct w:val="0"/>
        <w:spacing w:line="500" w:lineRule="exact"/>
        <w:ind w:firstLine="640" w:firstLineChars="200"/>
        <w:outlineLvl w:val="2"/>
        <w:rPr>
          <w:rFonts w:eastAsia="仿宋_GB2312"/>
          <w:kern w:val="0"/>
          <w:sz w:val="32"/>
        </w:rPr>
      </w:pPr>
      <w:r>
        <w:rPr>
          <w:rFonts w:hint="eastAsia" w:eastAsia="仿宋_GB2312"/>
          <w:kern w:val="0"/>
          <w:sz w:val="32"/>
        </w:rPr>
        <w:t>2. 空白限、检出限</w:t>
      </w:r>
    </w:p>
    <w:p w14:paraId="155F1713">
      <w:pPr>
        <w:overflowPunct w:val="0"/>
        <w:spacing w:line="500" w:lineRule="exact"/>
        <w:ind w:firstLine="640" w:firstLineChars="200"/>
        <w:outlineLvl w:val="2"/>
        <w:rPr>
          <w:rFonts w:eastAsia="仿宋_GB2312"/>
          <w:kern w:val="0"/>
          <w:sz w:val="32"/>
        </w:rPr>
      </w:pPr>
      <w:r>
        <w:rPr>
          <w:rFonts w:hint="eastAsia" w:ascii="仿宋_GB2312" w:eastAsia="仿宋_GB2312" w:hAnsiTheme="minorEastAsia"/>
          <w:sz w:val="32"/>
          <w:szCs w:val="32"/>
        </w:rPr>
        <w:t>空白限</w:t>
      </w:r>
      <w:r>
        <w:rPr>
          <w:rFonts w:hint="eastAsia" w:eastAsia="仿宋_GB2312"/>
          <w:kern w:val="0"/>
          <w:sz w:val="32"/>
        </w:rPr>
        <w:t>（</w:t>
      </w:r>
      <w:r>
        <w:rPr>
          <w:rFonts w:hint="eastAsia" w:ascii="仿宋_GB2312" w:eastAsia="仿宋_GB2312" w:hAnsiTheme="minorEastAsia"/>
          <w:sz w:val="32"/>
          <w:szCs w:val="32"/>
        </w:rPr>
        <w:t>LoB</w:t>
      </w:r>
      <w:r>
        <w:rPr>
          <w:rFonts w:hint="eastAsia" w:eastAsia="仿宋_GB2312"/>
          <w:kern w:val="0"/>
          <w:sz w:val="32"/>
        </w:rPr>
        <w:t>）</w:t>
      </w:r>
      <w:r>
        <w:rPr>
          <w:rFonts w:hint="eastAsia" w:ascii="仿宋_GB2312" w:eastAsia="仿宋_GB2312" w:hAnsiTheme="minorEastAsia"/>
          <w:sz w:val="32"/>
          <w:szCs w:val="32"/>
        </w:rPr>
        <w:t>指空白样本的检测上限，即空白样本可能测得的最高检测结果。</w:t>
      </w:r>
      <w:r>
        <w:rPr>
          <w:rFonts w:hint="eastAsia" w:eastAsia="仿宋_GB2312"/>
          <w:kern w:val="0"/>
          <w:sz w:val="32"/>
        </w:rPr>
        <w:t>用零浓度校准品或样本稀释液作为样本进行检测，重复测定20次，得出20次测量结果的RLU值（相对发光值），计算其平均值（M）和标准差（SD），得出M-2SD，根据试剂盒配套校准品的定标曲线方程（E1），或者根据零浓度校准品或样本稀释液和相邻校准品之间的浓度-化学发光（RLU）值结果进行两点回归拟合得出一次方程，将M-2SD所对应的RLU值代入方程式中，求出对应的浓度值，即为空白限，其结果应符合企业规定要求。</w:t>
      </w:r>
    </w:p>
    <w:p w14:paraId="65FBE594">
      <w:pPr>
        <w:overflowPunct w:val="0"/>
        <w:spacing w:line="500" w:lineRule="exact"/>
        <w:ind w:firstLine="640" w:firstLineChars="200"/>
        <w:outlineLvl w:val="2"/>
        <w:rPr>
          <w:rFonts w:eastAsia="仿宋_GB2312"/>
          <w:kern w:val="0"/>
          <w:sz w:val="32"/>
        </w:rPr>
      </w:pPr>
      <w:r>
        <w:rPr>
          <w:rFonts w:hint="eastAsia" w:eastAsia="仿宋_GB2312"/>
          <w:kern w:val="0"/>
          <w:sz w:val="32"/>
        </w:rPr>
        <w:t>检出限（LOD）</w:t>
      </w:r>
      <w:r>
        <w:rPr>
          <w:rFonts w:hint="eastAsia" w:ascii="仿宋_GB2312" w:eastAsia="仿宋_GB2312" w:hAnsiTheme="minorEastAsia"/>
          <w:sz w:val="32"/>
          <w:szCs w:val="32"/>
        </w:rPr>
        <w:t>指可持续检出待测物的最低浓度。</w:t>
      </w:r>
      <w:r>
        <w:rPr>
          <w:rFonts w:hint="eastAsia" w:eastAsia="仿宋_GB2312"/>
          <w:kern w:val="0"/>
          <w:sz w:val="32"/>
        </w:rPr>
        <w:t>生产企业应提供</w:t>
      </w:r>
      <w:r>
        <w:rPr>
          <w:rFonts w:eastAsia="仿宋_GB2312"/>
          <w:kern w:val="0"/>
          <w:sz w:val="32"/>
        </w:rPr>
        <w:t>FA</w:t>
      </w:r>
      <w:r>
        <w:rPr>
          <w:rFonts w:hint="eastAsia" w:eastAsia="仿宋_GB2312"/>
          <w:kern w:val="0"/>
          <w:sz w:val="32"/>
        </w:rPr>
        <w:t xml:space="preserve">试剂盒的空白限、检出限及参考区间等相关信息。根据生产企业提供信息，对5份浓度近似（LOD）的低值样本进行检测，每份样本检测5次，对检测结果按照大小进行排序，符合如下条件，即可认为生产企业提供的空白限和检出限的设置基本合理，结果符合产品技术要求性能指标的要求。 </w:t>
      </w:r>
    </w:p>
    <w:p w14:paraId="0BA33DB4">
      <w:pPr>
        <w:overflowPunct w:val="0"/>
        <w:spacing w:line="500" w:lineRule="exact"/>
        <w:ind w:firstLine="640" w:firstLineChars="200"/>
        <w:outlineLvl w:val="2"/>
        <w:rPr>
          <w:rFonts w:eastAsia="仿宋_GB2312"/>
          <w:kern w:val="0"/>
          <w:sz w:val="32"/>
        </w:rPr>
      </w:pPr>
      <w:r>
        <w:rPr>
          <w:rFonts w:hint="eastAsia" w:eastAsia="仿宋_GB2312"/>
          <w:kern w:val="0"/>
          <w:sz w:val="32"/>
        </w:rPr>
        <w:t xml:space="preserve">a）低于生产企业提供的空白限数值的检测结果的数量应小于等于3个； </w:t>
      </w:r>
    </w:p>
    <w:p w14:paraId="1082DB31">
      <w:pPr>
        <w:overflowPunct w:val="0"/>
        <w:spacing w:line="500" w:lineRule="exact"/>
        <w:ind w:firstLine="640" w:firstLineChars="200"/>
        <w:outlineLvl w:val="2"/>
        <w:rPr>
          <w:rFonts w:eastAsia="仿宋_GB2312"/>
          <w:kern w:val="0"/>
          <w:sz w:val="32"/>
        </w:rPr>
      </w:pPr>
      <w:r>
        <w:rPr>
          <w:rFonts w:hint="eastAsia" w:eastAsia="仿宋_GB2312"/>
          <w:kern w:val="0"/>
          <w:sz w:val="32"/>
        </w:rPr>
        <w:t>b）无高于生产企业提供的参考区间下限的检测结果。</w:t>
      </w:r>
    </w:p>
    <w:p w14:paraId="071F8E24">
      <w:pPr>
        <w:overflowPunct w:val="0"/>
        <w:spacing w:line="500" w:lineRule="exact"/>
        <w:ind w:firstLine="640" w:firstLineChars="200"/>
        <w:outlineLvl w:val="2"/>
        <w:rPr>
          <w:rFonts w:eastAsia="仿宋_GB2312"/>
          <w:kern w:val="0"/>
          <w:sz w:val="32"/>
        </w:rPr>
      </w:pPr>
      <w:r>
        <w:rPr>
          <w:rFonts w:eastAsia="仿宋_GB2312"/>
          <w:kern w:val="0"/>
          <w:sz w:val="32"/>
        </w:rPr>
        <w:t>3</w:t>
      </w:r>
      <w:r>
        <w:rPr>
          <w:rFonts w:hint="eastAsia" w:eastAsia="仿宋_GB2312"/>
          <w:kern w:val="0"/>
          <w:sz w:val="32"/>
        </w:rPr>
        <w:t>. 线性</w:t>
      </w:r>
    </w:p>
    <w:p w14:paraId="609CBC6A">
      <w:pPr>
        <w:overflowPunct w:val="0"/>
        <w:spacing w:line="500" w:lineRule="exact"/>
        <w:ind w:firstLine="640" w:firstLineChars="200"/>
        <w:outlineLvl w:val="2"/>
        <w:rPr>
          <w:rFonts w:eastAsia="仿宋_GB2312"/>
          <w:kern w:val="0"/>
          <w:sz w:val="32"/>
        </w:rPr>
      </w:pPr>
      <w:r>
        <w:rPr>
          <w:rFonts w:hint="eastAsia" w:eastAsia="仿宋_GB2312"/>
          <w:kern w:val="0"/>
          <w:sz w:val="32"/>
        </w:rPr>
        <w:t>建立试剂线性范围所用的样本基质应尽可能与临床实际检测的样本相似，理想的样本为分析物浓度接近预期测定上限的混合人血清，且应充分考虑多倍稀释对样本基质的影响。建立一种定量测定方法的线性范围时，需在预期测定范围内选择7—11个浓度水平</w:t>
      </w:r>
      <w:r>
        <w:rPr>
          <w:rFonts w:eastAsia="仿宋_GB2312"/>
          <w:color w:val="000000"/>
          <w:sz w:val="32"/>
          <w:szCs w:val="32"/>
        </w:rPr>
        <w:t>（建议采用梯度稀释）</w:t>
      </w:r>
      <w:r>
        <w:rPr>
          <w:rFonts w:hint="eastAsia" w:eastAsia="仿宋_GB2312"/>
          <w:kern w:val="0"/>
          <w:sz w:val="32"/>
        </w:rPr>
        <w:t>。例如，将预期测定范围加宽至130%，在此范围内选择更多的浓度水平，然后依据实验结果逐渐减少数据点直至表现出线性关系，确定线性范围。</w:t>
      </w:r>
    </w:p>
    <w:p w14:paraId="77F51754">
      <w:pPr>
        <w:overflowPunct w:val="0"/>
        <w:spacing w:line="500" w:lineRule="exact"/>
        <w:ind w:firstLine="640" w:firstLineChars="200"/>
        <w:outlineLvl w:val="2"/>
        <w:rPr>
          <w:rFonts w:eastAsia="仿宋_GB2312"/>
          <w:kern w:val="0"/>
          <w:sz w:val="32"/>
        </w:rPr>
      </w:pPr>
      <w:r>
        <w:rPr>
          <w:rFonts w:hint="eastAsia" w:eastAsia="仿宋_GB2312"/>
          <w:kern w:val="0"/>
          <w:sz w:val="32"/>
        </w:rPr>
        <w:t>也</w:t>
      </w:r>
      <w:r>
        <w:rPr>
          <w:rFonts w:hint="eastAsia" w:eastAsia="仿宋_GB2312"/>
          <w:spacing w:val="-6"/>
          <w:kern w:val="0"/>
          <w:sz w:val="32"/>
        </w:rPr>
        <w:t>可以采用高浓度样本稀释的方法验证线性，</w:t>
      </w:r>
      <w:r>
        <w:rPr>
          <w:rFonts w:hint="eastAsia" w:eastAsia="仿宋_GB2312"/>
          <w:kern w:val="0"/>
          <w:sz w:val="32"/>
        </w:rPr>
        <w:t>将接近线性区间上限的高值样本按一定比例稀释为至少5种浓度，其中低值浓度的样本须接近线性区间的下限。按试剂盒说明书操作，对每一浓度的样本均重复检测</w:t>
      </w:r>
      <w:r>
        <w:rPr>
          <w:rFonts w:eastAsia="仿宋_GB2312"/>
          <w:kern w:val="0"/>
          <w:sz w:val="32"/>
        </w:rPr>
        <w:t>3</w:t>
      </w:r>
      <w:r>
        <w:rPr>
          <w:rFonts w:hint="eastAsia" w:eastAsia="仿宋_GB2312"/>
          <w:kern w:val="0"/>
          <w:sz w:val="32"/>
        </w:rPr>
        <w:t>次，计算其平均值，将结果平均值和稀释比例用最小二乘法进行直线拟合，计算线性相关系数r，应不低于0.9900，线性区间应不窄于[</w:t>
      </w:r>
      <w:r>
        <w:rPr>
          <w:rFonts w:eastAsia="仿宋_GB2312"/>
          <w:kern w:val="0"/>
          <w:sz w:val="32"/>
        </w:rPr>
        <w:t>1.5</w:t>
      </w:r>
      <w:r>
        <w:rPr>
          <w:rFonts w:hint="eastAsia" w:eastAsia="仿宋_GB2312"/>
          <w:kern w:val="0"/>
          <w:sz w:val="32"/>
        </w:rPr>
        <w:t>,</w:t>
      </w:r>
      <w:r>
        <w:rPr>
          <w:rFonts w:eastAsia="仿宋_GB2312"/>
          <w:kern w:val="0"/>
          <w:sz w:val="32"/>
        </w:rPr>
        <w:t>20.</w:t>
      </w:r>
      <w:r>
        <w:rPr>
          <w:rFonts w:hint="eastAsia" w:eastAsia="仿宋_GB2312"/>
          <w:kern w:val="0"/>
          <w:sz w:val="32"/>
        </w:rPr>
        <w:t>0]ng/mL。</w:t>
      </w:r>
    </w:p>
    <w:p w14:paraId="108CF624">
      <w:pPr>
        <w:overflowPunct w:val="0"/>
        <w:spacing w:line="500" w:lineRule="exact"/>
        <w:ind w:firstLine="640" w:firstLineChars="200"/>
        <w:outlineLvl w:val="2"/>
        <w:rPr>
          <w:rFonts w:eastAsia="仿宋_GB2312"/>
          <w:kern w:val="0"/>
          <w:sz w:val="32"/>
        </w:rPr>
      </w:pPr>
      <w:r>
        <w:rPr>
          <w:rFonts w:eastAsia="仿宋_GB2312"/>
          <w:kern w:val="0"/>
          <w:sz w:val="32"/>
        </w:rPr>
        <w:t>4</w:t>
      </w:r>
      <w:r>
        <w:rPr>
          <w:rFonts w:hint="eastAsia" w:eastAsia="仿宋_GB2312"/>
          <w:kern w:val="0"/>
          <w:sz w:val="32"/>
        </w:rPr>
        <w:t>. 重复性</w:t>
      </w:r>
    </w:p>
    <w:p w14:paraId="0ACB8A0A">
      <w:pPr>
        <w:overflowPunct w:val="0"/>
        <w:spacing w:line="500" w:lineRule="exact"/>
        <w:ind w:firstLine="640" w:firstLineChars="200"/>
        <w:outlineLvl w:val="2"/>
        <w:rPr>
          <w:rFonts w:eastAsia="仿宋_GB2312"/>
          <w:kern w:val="0"/>
          <w:sz w:val="32"/>
        </w:rPr>
      </w:pPr>
      <w:r>
        <w:rPr>
          <w:rFonts w:hint="eastAsia" w:eastAsia="仿宋_GB2312"/>
          <w:kern w:val="0"/>
          <w:sz w:val="32"/>
        </w:rPr>
        <w:t>分别用[</w:t>
      </w:r>
      <w:r>
        <w:rPr>
          <w:rFonts w:eastAsia="仿宋_GB2312"/>
          <w:kern w:val="0"/>
          <w:sz w:val="32"/>
        </w:rPr>
        <w:t>1.5</w:t>
      </w:r>
      <w:r>
        <w:rPr>
          <w:rFonts w:hint="eastAsia" w:eastAsia="仿宋_GB2312"/>
          <w:kern w:val="0"/>
          <w:sz w:val="32"/>
        </w:rPr>
        <w:t>，</w:t>
      </w:r>
      <w:r>
        <w:rPr>
          <w:rFonts w:eastAsia="仿宋_GB2312"/>
          <w:kern w:val="0"/>
          <w:sz w:val="32"/>
        </w:rPr>
        <w:t>6.0</w:t>
      </w:r>
      <w:r>
        <w:rPr>
          <w:rFonts w:hint="eastAsia" w:eastAsia="仿宋_GB2312"/>
          <w:kern w:val="0"/>
          <w:sz w:val="32"/>
        </w:rPr>
        <w:t>]</w:t>
      </w:r>
      <w:r>
        <w:rPr>
          <w:rFonts w:eastAsia="仿宋_GB2312"/>
          <w:kern w:val="0"/>
          <w:sz w:val="32"/>
        </w:rPr>
        <w:t>ng</w:t>
      </w:r>
      <w:r>
        <w:rPr>
          <w:rFonts w:hint="eastAsia" w:eastAsia="仿宋_GB2312"/>
          <w:kern w:val="0"/>
          <w:sz w:val="32"/>
        </w:rPr>
        <w:t>/mL和[</w:t>
      </w:r>
      <w:r>
        <w:rPr>
          <w:rFonts w:eastAsia="仿宋_GB2312"/>
          <w:kern w:val="0"/>
          <w:sz w:val="32"/>
        </w:rPr>
        <w:t>11</w:t>
      </w:r>
      <w:r>
        <w:rPr>
          <w:rFonts w:hint="eastAsia" w:eastAsia="仿宋_GB2312"/>
          <w:kern w:val="0"/>
          <w:sz w:val="32"/>
        </w:rPr>
        <w:t>,</w:t>
      </w:r>
      <w:r>
        <w:rPr>
          <w:rFonts w:eastAsia="仿宋_GB2312"/>
          <w:kern w:val="0"/>
          <w:sz w:val="32"/>
        </w:rPr>
        <w:t>19</w:t>
      </w:r>
      <w:r>
        <w:rPr>
          <w:rFonts w:hint="eastAsia" w:eastAsia="仿宋_GB2312"/>
          <w:kern w:val="0"/>
          <w:sz w:val="32"/>
        </w:rPr>
        <w:t>]</w:t>
      </w:r>
      <w:r>
        <w:rPr>
          <w:rFonts w:eastAsia="仿宋_GB2312"/>
          <w:kern w:val="0"/>
          <w:sz w:val="32"/>
        </w:rPr>
        <w:t>ng</w:t>
      </w:r>
      <w:r>
        <w:rPr>
          <w:rFonts w:hint="eastAsia" w:eastAsia="仿宋_GB2312"/>
          <w:kern w:val="0"/>
          <w:sz w:val="32"/>
        </w:rPr>
        <w:t>/mL的样本各重复检测10次，计算10次测量结果的平均值（M）和标准差（SD），根据公式（3）得出变异系数（CV），应≤10%。</w:t>
      </w:r>
    </w:p>
    <w:p w14:paraId="2498EFFE">
      <w:pPr>
        <w:spacing w:before="156" w:beforeLines="50"/>
        <w:ind w:firstLine="1920" w:firstLineChars="600"/>
        <w:rPr>
          <w:sz w:val="32"/>
          <w:szCs w:val="32"/>
        </w:rPr>
      </w:pPr>
      <w:r>
        <w:rPr>
          <w:position w:val="-24"/>
          <w:sz w:val="32"/>
          <w:szCs w:val="32"/>
        </w:rPr>
        <w:object>
          <v:shape id="_x0000_i1025" o:spt="75" type="#_x0000_t75" style="height:40.5pt;width:117.5pt;" o:ole="t" fillcolor="#000005"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sz w:val="32"/>
          <w:szCs w:val="32"/>
        </w:rPr>
        <w:t>···············（3）</w:t>
      </w:r>
    </w:p>
    <w:p w14:paraId="1A3BA237">
      <w:pPr>
        <w:spacing w:line="520" w:lineRule="exact"/>
        <w:ind w:firstLine="1280" w:firstLineChars="400"/>
        <w:rPr>
          <w:rFonts w:eastAsia="仿宋_GB2312"/>
          <w:color w:val="000000"/>
          <w:sz w:val="32"/>
          <w:szCs w:val="32"/>
        </w:rPr>
      </w:pPr>
      <w:r>
        <w:rPr>
          <w:rFonts w:eastAsia="仿宋_GB2312"/>
          <w:color w:val="000000"/>
          <w:sz w:val="32"/>
          <w:szCs w:val="32"/>
        </w:rPr>
        <w:t>式中：</w:t>
      </w:r>
    </w:p>
    <w:p w14:paraId="7CCAE1A2">
      <w:pPr>
        <w:spacing w:line="520" w:lineRule="exact"/>
        <w:ind w:firstLine="1280" w:firstLineChars="400"/>
        <w:rPr>
          <w:rFonts w:eastAsia="仿宋_GB2312"/>
          <w:color w:val="000000"/>
          <w:sz w:val="32"/>
          <w:szCs w:val="32"/>
        </w:rPr>
      </w:pPr>
      <w:r>
        <w:rPr>
          <w:rFonts w:eastAsia="仿宋_GB2312"/>
          <w:i/>
          <w:color w:val="000000"/>
          <w:sz w:val="32"/>
          <w:szCs w:val="32"/>
        </w:rPr>
        <w:t>CV</w:t>
      </w:r>
      <w:r>
        <w:rPr>
          <w:rFonts w:eastAsia="仿宋_GB2312"/>
          <w:color w:val="000000"/>
          <w:sz w:val="32"/>
          <w:szCs w:val="32"/>
        </w:rPr>
        <w:t>—变异系数；</w:t>
      </w:r>
    </w:p>
    <w:p w14:paraId="0E3EF2E6">
      <w:pPr>
        <w:spacing w:line="520" w:lineRule="exact"/>
        <w:ind w:firstLine="1280" w:firstLineChars="400"/>
        <w:rPr>
          <w:rFonts w:eastAsia="仿宋_GB2312"/>
          <w:color w:val="000000"/>
          <w:sz w:val="32"/>
          <w:szCs w:val="32"/>
        </w:rPr>
      </w:pPr>
      <w:r>
        <w:rPr>
          <w:rFonts w:eastAsia="仿宋_GB2312"/>
          <w:i/>
          <w:color w:val="000000"/>
          <w:sz w:val="32"/>
          <w:szCs w:val="32"/>
        </w:rPr>
        <w:t>SD</w:t>
      </w:r>
      <w:r>
        <w:rPr>
          <w:rFonts w:eastAsia="仿宋_GB2312"/>
          <w:color w:val="000000"/>
          <w:sz w:val="32"/>
          <w:szCs w:val="32"/>
        </w:rPr>
        <w:t>—10次测量结果的标准差；</w:t>
      </w:r>
    </w:p>
    <w:p w14:paraId="1FF91C87">
      <w:pPr>
        <w:spacing w:line="520" w:lineRule="exact"/>
        <w:ind w:firstLine="1280" w:firstLineChars="400"/>
        <w:rPr>
          <w:rFonts w:eastAsia="仿宋_GB2312"/>
          <w:color w:val="000000"/>
          <w:sz w:val="32"/>
          <w:szCs w:val="32"/>
        </w:rPr>
      </w:pPr>
      <w:r>
        <w:rPr>
          <w:rFonts w:eastAsia="仿宋_GB2312"/>
          <w:i/>
          <w:color w:val="000000"/>
          <w:sz w:val="32"/>
          <w:szCs w:val="32"/>
        </w:rPr>
        <w:t>M</w:t>
      </w:r>
      <w:r>
        <w:rPr>
          <w:rFonts w:eastAsia="仿宋_GB2312"/>
          <w:color w:val="000000"/>
          <w:sz w:val="32"/>
          <w:szCs w:val="32"/>
        </w:rPr>
        <w:t>—10次测量结果的平均值。</w:t>
      </w:r>
    </w:p>
    <w:p w14:paraId="3F9103F0">
      <w:pPr>
        <w:overflowPunct w:val="0"/>
        <w:spacing w:line="500" w:lineRule="exact"/>
        <w:ind w:firstLine="640" w:firstLineChars="200"/>
        <w:outlineLvl w:val="2"/>
        <w:rPr>
          <w:rFonts w:eastAsia="仿宋_GB2312"/>
          <w:kern w:val="0"/>
          <w:sz w:val="32"/>
        </w:rPr>
      </w:pPr>
      <w:r>
        <w:rPr>
          <w:rFonts w:eastAsia="仿宋_GB2312"/>
          <w:kern w:val="0"/>
          <w:sz w:val="32"/>
        </w:rPr>
        <w:t>5</w:t>
      </w:r>
      <w:r>
        <w:rPr>
          <w:rFonts w:hint="eastAsia" w:eastAsia="仿宋_GB2312"/>
          <w:kern w:val="0"/>
          <w:sz w:val="32"/>
        </w:rPr>
        <w:t>. 批间差</w:t>
      </w:r>
    </w:p>
    <w:p w14:paraId="57406933">
      <w:pPr>
        <w:overflowPunct w:val="0"/>
        <w:spacing w:line="500" w:lineRule="exact"/>
        <w:ind w:firstLine="640" w:firstLineChars="200"/>
        <w:outlineLvl w:val="2"/>
        <w:rPr>
          <w:rFonts w:eastAsia="仿宋_GB2312"/>
          <w:color w:val="000000"/>
          <w:sz w:val="32"/>
          <w:szCs w:val="32"/>
        </w:rPr>
      </w:pPr>
      <w:r>
        <w:rPr>
          <w:rFonts w:hint="eastAsia" w:eastAsia="仿宋_GB2312"/>
          <w:kern w:val="0"/>
          <w:sz w:val="32"/>
        </w:rPr>
        <w:t>用3个批号的试剂盒分别检测浓度为[</w:t>
      </w:r>
      <w:r>
        <w:rPr>
          <w:rFonts w:eastAsia="仿宋_GB2312"/>
          <w:kern w:val="0"/>
          <w:sz w:val="32"/>
        </w:rPr>
        <w:t>1.5</w:t>
      </w:r>
      <w:r>
        <w:rPr>
          <w:rFonts w:hint="eastAsia" w:eastAsia="仿宋_GB2312"/>
          <w:kern w:val="0"/>
          <w:sz w:val="32"/>
        </w:rPr>
        <w:t>，</w:t>
      </w:r>
      <w:r>
        <w:rPr>
          <w:rFonts w:eastAsia="仿宋_GB2312"/>
          <w:kern w:val="0"/>
          <w:sz w:val="32"/>
        </w:rPr>
        <w:t>6.0</w:t>
      </w:r>
      <w:r>
        <w:rPr>
          <w:rFonts w:hint="eastAsia" w:eastAsia="仿宋_GB2312"/>
          <w:kern w:val="0"/>
          <w:sz w:val="32"/>
        </w:rPr>
        <w:t>]</w:t>
      </w:r>
      <w:r>
        <w:rPr>
          <w:rFonts w:eastAsia="仿宋_GB2312"/>
          <w:kern w:val="0"/>
          <w:sz w:val="32"/>
        </w:rPr>
        <w:t>ng</w:t>
      </w:r>
      <w:r>
        <w:rPr>
          <w:rFonts w:hint="eastAsia" w:eastAsia="仿宋_GB2312"/>
          <w:kern w:val="0"/>
          <w:sz w:val="32"/>
        </w:rPr>
        <w:t>/mL和[</w:t>
      </w:r>
      <w:r>
        <w:rPr>
          <w:rFonts w:eastAsia="仿宋_GB2312"/>
          <w:kern w:val="0"/>
          <w:sz w:val="32"/>
        </w:rPr>
        <w:t>11</w:t>
      </w:r>
      <w:r>
        <w:rPr>
          <w:rFonts w:hint="eastAsia" w:eastAsia="仿宋_GB2312"/>
          <w:kern w:val="0"/>
          <w:sz w:val="32"/>
        </w:rPr>
        <w:t>,</w:t>
      </w:r>
      <w:r>
        <w:rPr>
          <w:rFonts w:eastAsia="仿宋_GB2312"/>
          <w:kern w:val="0"/>
          <w:sz w:val="32"/>
        </w:rPr>
        <w:t>19</w:t>
      </w:r>
      <w:r>
        <w:rPr>
          <w:rFonts w:hint="eastAsia" w:eastAsia="仿宋_GB2312"/>
          <w:kern w:val="0"/>
          <w:sz w:val="32"/>
        </w:rPr>
        <w:t>]</w:t>
      </w:r>
      <w:r>
        <w:rPr>
          <w:rFonts w:eastAsia="仿宋_GB2312"/>
          <w:kern w:val="0"/>
          <w:sz w:val="32"/>
        </w:rPr>
        <w:t>ng</w:t>
      </w:r>
      <w:r>
        <w:rPr>
          <w:rFonts w:hint="eastAsia" w:eastAsia="仿宋_GB2312"/>
          <w:kern w:val="0"/>
          <w:sz w:val="32"/>
        </w:rPr>
        <w:t>/mL的样本，各重复10次，计算每个浓度样本30次测量结果的平均值（M）和标准差（SD），根据公式（</w:t>
      </w:r>
      <w:r>
        <w:rPr>
          <w:rFonts w:eastAsia="仿宋_GB2312"/>
          <w:kern w:val="0"/>
          <w:sz w:val="32"/>
        </w:rPr>
        <w:t>4</w:t>
      </w:r>
      <w:r>
        <w:rPr>
          <w:rFonts w:hint="eastAsia" w:eastAsia="仿宋_GB2312"/>
          <w:kern w:val="0"/>
          <w:sz w:val="32"/>
        </w:rPr>
        <w:t>）得出变异系数（CV），应≤15%。</w:t>
      </w:r>
    </w:p>
    <w:p w14:paraId="5D10B38D">
      <w:pPr>
        <w:spacing w:before="156" w:beforeLines="50"/>
        <w:ind w:firstLine="1920" w:firstLineChars="600"/>
        <w:rPr>
          <w:sz w:val="32"/>
          <w:szCs w:val="32"/>
        </w:rPr>
      </w:pPr>
      <w:r>
        <w:rPr>
          <w:position w:val="-24"/>
          <w:sz w:val="32"/>
          <w:szCs w:val="32"/>
        </w:rPr>
        <w:object>
          <v:shape id="_x0000_i1026" o:spt="75" type="#_x0000_t75" style="height:40.5pt;width:117.5pt;" o:ole="t" fillcolor="#000005"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8">
            <o:LockedField>false</o:LockedField>
          </o:OLEObject>
        </w:object>
      </w:r>
      <w:r>
        <w:rPr>
          <w:sz w:val="32"/>
          <w:szCs w:val="32"/>
        </w:rPr>
        <w:t>···············（4）</w:t>
      </w:r>
    </w:p>
    <w:p w14:paraId="64C502E2">
      <w:pPr>
        <w:spacing w:line="520" w:lineRule="exact"/>
        <w:ind w:firstLine="1280" w:firstLineChars="400"/>
        <w:rPr>
          <w:rFonts w:eastAsia="仿宋_GB2312"/>
          <w:color w:val="000000"/>
          <w:sz w:val="32"/>
          <w:szCs w:val="32"/>
        </w:rPr>
      </w:pPr>
      <w:r>
        <w:rPr>
          <w:rFonts w:eastAsia="仿宋_GB2312"/>
          <w:color w:val="000000"/>
          <w:sz w:val="32"/>
          <w:szCs w:val="32"/>
        </w:rPr>
        <w:t>式中：</w:t>
      </w:r>
    </w:p>
    <w:p w14:paraId="750C900F">
      <w:pPr>
        <w:spacing w:line="520" w:lineRule="exact"/>
        <w:ind w:firstLine="1280" w:firstLineChars="400"/>
        <w:rPr>
          <w:rFonts w:eastAsia="仿宋_GB2312"/>
          <w:color w:val="000000"/>
          <w:sz w:val="32"/>
          <w:szCs w:val="32"/>
        </w:rPr>
      </w:pPr>
      <w:r>
        <w:rPr>
          <w:rFonts w:eastAsia="仿宋_GB2312"/>
          <w:color w:val="000000"/>
          <w:sz w:val="32"/>
          <w:szCs w:val="32"/>
        </w:rPr>
        <w:t>CV—变异系数；</w:t>
      </w:r>
    </w:p>
    <w:p w14:paraId="7DFF883B">
      <w:pPr>
        <w:spacing w:line="520" w:lineRule="exact"/>
        <w:ind w:firstLine="1280" w:firstLineChars="400"/>
        <w:rPr>
          <w:rFonts w:eastAsia="仿宋_GB2312"/>
          <w:color w:val="000000"/>
          <w:sz w:val="32"/>
          <w:szCs w:val="32"/>
        </w:rPr>
      </w:pPr>
      <w:r>
        <w:rPr>
          <w:rFonts w:eastAsia="仿宋_GB2312"/>
          <w:color w:val="000000"/>
          <w:sz w:val="32"/>
          <w:szCs w:val="32"/>
        </w:rPr>
        <w:t>SD—30次测量结果的标准差；</w:t>
      </w:r>
    </w:p>
    <w:p w14:paraId="4F1A3824">
      <w:pPr>
        <w:spacing w:line="520" w:lineRule="exact"/>
        <w:ind w:firstLine="1280" w:firstLineChars="400"/>
        <w:rPr>
          <w:rFonts w:eastAsia="仿宋_GB2312"/>
          <w:color w:val="000000"/>
          <w:sz w:val="32"/>
          <w:szCs w:val="32"/>
        </w:rPr>
      </w:pPr>
      <w:r>
        <w:rPr>
          <w:rFonts w:eastAsia="仿宋_GB2312"/>
          <w:color w:val="000000"/>
          <w:sz w:val="32"/>
          <w:szCs w:val="32"/>
        </w:rPr>
        <w:t>M—30次测量结果的平均值。</w:t>
      </w:r>
    </w:p>
    <w:p w14:paraId="713DF690">
      <w:pPr>
        <w:overflowPunct w:val="0"/>
        <w:spacing w:line="500" w:lineRule="exact"/>
        <w:ind w:firstLine="640" w:firstLineChars="200"/>
        <w:outlineLvl w:val="2"/>
        <w:rPr>
          <w:rFonts w:eastAsia="仿宋_GB2312"/>
          <w:kern w:val="0"/>
          <w:sz w:val="32"/>
        </w:rPr>
      </w:pPr>
      <w:r>
        <w:rPr>
          <w:rFonts w:eastAsia="仿宋_GB2312"/>
          <w:kern w:val="0"/>
          <w:sz w:val="32"/>
        </w:rPr>
        <w:t>6</w:t>
      </w:r>
      <w:r>
        <w:rPr>
          <w:rFonts w:hint="eastAsia" w:eastAsia="仿宋_GB2312"/>
          <w:kern w:val="0"/>
          <w:sz w:val="32"/>
        </w:rPr>
        <w:t>. 分析特异性</w:t>
      </w:r>
    </w:p>
    <w:p w14:paraId="4ADE246C">
      <w:pPr>
        <w:overflowPunct w:val="0"/>
        <w:spacing w:line="500" w:lineRule="exact"/>
        <w:ind w:firstLine="640" w:firstLineChars="200"/>
        <w:outlineLvl w:val="2"/>
        <w:rPr>
          <w:rFonts w:eastAsia="仿宋_GB2312"/>
          <w:kern w:val="0"/>
          <w:sz w:val="32"/>
        </w:rPr>
      </w:pPr>
      <w:r>
        <w:rPr>
          <w:rFonts w:hint="eastAsia" w:eastAsia="仿宋_GB2312"/>
          <w:kern w:val="0"/>
          <w:sz w:val="32"/>
        </w:rPr>
        <w:t>6.1 交叉反应：易产生交叉反应的验证情况，应至少验证与氨蝶呤、苯妥英、甲氨蝶呤、亚叶酸、铁蛋白、维生素D和维生素B</w:t>
      </w:r>
      <w:r>
        <w:rPr>
          <w:rFonts w:eastAsia="仿宋_GB2312"/>
          <w:kern w:val="0"/>
          <w:sz w:val="32"/>
        </w:rPr>
        <w:t>12</w:t>
      </w:r>
      <w:r>
        <w:rPr>
          <w:rFonts w:hint="eastAsia" w:eastAsia="仿宋_GB2312"/>
          <w:kern w:val="0"/>
          <w:sz w:val="32"/>
        </w:rPr>
        <w:t>的交叉反应情况。</w:t>
      </w:r>
    </w:p>
    <w:p w14:paraId="684F3AD0">
      <w:pPr>
        <w:overflowPunct w:val="0"/>
        <w:spacing w:line="500" w:lineRule="exact"/>
        <w:ind w:firstLine="640" w:firstLineChars="200"/>
        <w:outlineLvl w:val="2"/>
        <w:rPr>
          <w:rFonts w:eastAsia="仿宋_GB2312"/>
          <w:sz w:val="32"/>
        </w:rPr>
      </w:pPr>
      <w:r>
        <w:rPr>
          <w:rFonts w:hint="eastAsia" w:eastAsia="仿宋_GB2312"/>
          <w:kern w:val="0"/>
          <w:sz w:val="32"/>
        </w:rPr>
        <w:t>6.2 干扰物质：样本中常见干扰物质对检测结果的影响，如血红蛋白、高脂、黄疸、类风湿因子、嗜异性抗体等干扰因子对检测结果的影响。干扰物浓度的分布应覆盖人体样本生理及病理状态下可能出现的物质浓度。建议将研究结果在说明书中进行说明。如无法获得含有高浓度干扰物质的样本，可采用纯品物质分别添加到健康人样本、参考区间附近样本、中浓度值样本中的方式进行验证。</w:t>
      </w:r>
      <w:r>
        <w:rPr>
          <w:rFonts w:hint="eastAsia" w:eastAsia="仿宋_GB2312"/>
          <w:sz w:val="32"/>
        </w:rPr>
        <w:t>方法为对模拟添加样本分别进行验证，样本量选择应体现一定的统计学意义，说明样本的制备方法及干扰试验的评价标准，确定可接受的干扰物质极限浓度，被测物浓度至少应包括其医学决定水平的浓度。</w:t>
      </w:r>
    </w:p>
    <w:p w14:paraId="42903DEA">
      <w:pPr>
        <w:overflowPunct w:val="0"/>
        <w:spacing w:line="500" w:lineRule="exact"/>
        <w:ind w:firstLine="640" w:firstLineChars="200"/>
        <w:outlineLvl w:val="2"/>
        <w:rPr>
          <w:rFonts w:eastAsia="仿宋_GB2312"/>
          <w:kern w:val="0"/>
          <w:sz w:val="32"/>
        </w:rPr>
      </w:pPr>
      <w:r>
        <w:rPr>
          <w:rFonts w:eastAsia="仿宋_GB2312"/>
          <w:kern w:val="0"/>
          <w:sz w:val="32"/>
        </w:rPr>
        <w:t>7</w:t>
      </w:r>
      <w:r>
        <w:rPr>
          <w:rFonts w:hint="eastAsia" w:eastAsia="仿宋_GB2312"/>
          <w:kern w:val="0"/>
          <w:sz w:val="32"/>
        </w:rPr>
        <w:t>. 钩状（Hook）效应（如适用）</w:t>
      </w:r>
    </w:p>
    <w:p w14:paraId="32A4199E">
      <w:pPr>
        <w:overflowPunct w:val="0"/>
        <w:spacing w:line="500" w:lineRule="exact"/>
        <w:ind w:firstLine="640" w:firstLineChars="200"/>
        <w:outlineLvl w:val="2"/>
        <w:rPr>
          <w:rFonts w:eastAsia="仿宋_GB2312"/>
          <w:kern w:val="0"/>
          <w:sz w:val="32"/>
        </w:rPr>
      </w:pPr>
      <w:r>
        <w:rPr>
          <w:rFonts w:hint="eastAsia" w:eastAsia="仿宋_GB2312"/>
          <w:kern w:val="0"/>
          <w:sz w:val="32"/>
        </w:rPr>
        <w:t>说明不会产生Hook效应的浓度上限或相关研究，如需稀释，应注明对稀释液的要求、最佳或最大稀释比例。每个浓度重复3份，对钩状效应进行合理的验证。建议在产品说明书上明示对钩状效应的研究结果。</w:t>
      </w:r>
    </w:p>
    <w:p w14:paraId="5C77938B">
      <w:pPr>
        <w:overflowPunct w:val="0"/>
        <w:spacing w:line="500" w:lineRule="exact"/>
        <w:ind w:firstLine="640" w:firstLineChars="200"/>
        <w:outlineLvl w:val="2"/>
        <w:rPr>
          <w:rFonts w:eastAsia="仿宋_GB2312"/>
          <w:kern w:val="0"/>
          <w:sz w:val="32"/>
        </w:rPr>
      </w:pPr>
      <w:r>
        <w:rPr>
          <w:rFonts w:hint="eastAsia" w:eastAsia="仿宋_GB2312"/>
          <w:sz w:val="32"/>
        </w:rPr>
        <w:t>过度稀释可能改变基质效应，研究过程应注意基质效应影响，必要时应提供基质效应研究有关的资料。</w:t>
      </w:r>
    </w:p>
    <w:p w14:paraId="5E0DCFA0">
      <w:pPr>
        <w:overflowPunct w:val="0"/>
        <w:spacing w:line="500" w:lineRule="exact"/>
        <w:ind w:firstLine="640" w:firstLineChars="200"/>
        <w:outlineLvl w:val="2"/>
        <w:rPr>
          <w:rFonts w:eastAsia="仿宋_GB2312"/>
          <w:kern w:val="0"/>
          <w:sz w:val="32"/>
        </w:rPr>
      </w:pPr>
      <w:r>
        <w:rPr>
          <w:rFonts w:eastAsia="仿宋_GB2312"/>
          <w:kern w:val="0"/>
          <w:sz w:val="32"/>
        </w:rPr>
        <w:t>8</w:t>
      </w:r>
      <w:r>
        <w:rPr>
          <w:rFonts w:hint="eastAsia" w:eastAsia="仿宋_GB2312"/>
          <w:kern w:val="0"/>
          <w:sz w:val="32"/>
        </w:rPr>
        <w:t>. 样本类型的研究（如适用）</w:t>
      </w:r>
    </w:p>
    <w:p w14:paraId="52E3052A">
      <w:pPr>
        <w:overflowPunct w:val="0"/>
        <w:spacing w:line="500" w:lineRule="exact"/>
        <w:ind w:firstLine="640" w:firstLineChars="200"/>
        <w:outlineLvl w:val="2"/>
        <w:rPr>
          <w:rFonts w:eastAsia="仿宋_GB2312"/>
          <w:kern w:val="0"/>
          <w:sz w:val="32"/>
        </w:rPr>
      </w:pPr>
      <w:r>
        <w:rPr>
          <w:rFonts w:hint="eastAsia" w:eastAsia="仿宋_GB2312"/>
          <w:kern w:val="0"/>
          <w:sz w:val="32"/>
        </w:rPr>
        <w:t>如果试剂盒适用样本类型包括血浆样本，应采用各种适用抗凝剂抗凝的血浆样本分别与血清样本进行对比实验研究。方法为对比线性范围内的同一病人的血清和血浆样本，样本浓度应均匀分布且包含医学决定水平以及低值浓度，以验证申报试剂对于血清和血浆样本检测结果的一致性。</w:t>
      </w:r>
    </w:p>
    <w:p w14:paraId="72263EB1">
      <w:pPr>
        <w:overflowPunct w:val="0"/>
        <w:spacing w:line="500" w:lineRule="exact"/>
        <w:ind w:firstLine="640" w:firstLineChars="200"/>
        <w:outlineLvl w:val="2"/>
        <w:rPr>
          <w:rFonts w:eastAsia="仿宋_GB2312"/>
          <w:color w:val="000000"/>
          <w:sz w:val="32"/>
          <w:szCs w:val="32"/>
        </w:rPr>
      </w:pPr>
      <w:r>
        <w:rPr>
          <w:rFonts w:eastAsia="仿宋_GB2312"/>
          <w:kern w:val="0"/>
          <w:sz w:val="32"/>
        </w:rPr>
        <w:t>9</w:t>
      </w:r>
      <w:r>
        <w:rPr>
          <w:rFonts w:hint="eastAsia" w:eastAsia="仿宋_GB2312"/>
          <w:kern w:val="0"/>
          <w:sz w:val="32"/>
        </w:rPr>
        <w:t xml:space="preserve">. </w:t>
      </w:r>
      <w:r>
        <w:rPr>
          <w:rFonts w:eastAsia="仿宋_GB2312"/>
          <w:color w:val="000000"/>
          <w:sz w:val="32"/>
          <w:szCs w:val="32"/>
        </w:rPr>
        <w:t>其他需注意问题</w:t>
      </w:r>
    </w:p>
    <w:p w14:paraId="1367B5BD">
      <w:pPr>
        <w:overflowPunct w:val="0"/>
        <w:spacing w:line="520" w:lineRule="exact"/>
        <w:ind w:firstLine="640" w:firstLineChars="200"/>
        <w:rPr>
          <w:rFonts w:eastAsia="仿宋_GB2312"/>
          <w:color w:val="000000"/>
          <w:sz w:val="32"/>
          <w:szCs w:val="32"/>
        </w:rPr>
      </w:pPr>
      <w:r>
        <w:rPr>
          <w:rFonts w:eastAsia="仿宋_GB2312"/>
          <w:color w:val="000000"/>
          <w:sz w:val="32"/>
          <w:szCs w:val="32"/>
        </w:rPr>
        <w:t>9.1 对于适用多个机型的产品，应提供产品说明书【适用机型】项中所列的所有型号仪器的性能评估资料。</w:t>
      </w:r>
    </w:p>
    <w:p w14:paraId="0CB3D91F">
      <w:pPr>
        <w:overflowPunct w:val="0"/>
        <w:spacing w:line="520" w:lineRule="exact"/>
        <w:ind w:firstLine="640" w:firstLineChars="200"/>
        <w:rPr>
          <w:rFonts w:eastAsia="仿宋_GB2312"/>
          <w:color w:val="000000"/>
          <w:sz w:val="32"/>
          <w:szCs w:val="32"/>
        </w:rPr>
      </w:pPr>
      <w:r>
        <w:rPr>
          <w:rFonts w:eastAsia="仿宋_GB2312"/>
          <w:color w:val="000000"/>
          <w:sz w:val="32"/>
          <w:szCs w:val="32"/>
        </w:rPr>
        <w:t>9.2 如有多个包装规格，需要对不同包装规格之间的差异进行分析或验证，如不同包装规格产品间存在性能差异，需要提交采用每个包装规格产品进行分析性能评估的资料。如不同包装规格之间不存在性能差异，企业需要提交包装规格之间不存在性能差异的分析，</w:t>
      </w:r>
      <w:r>
        <w:rPr>
          <w:rFonts w:eastAsia="仿宋_GB2312"/>
          <w:sz w:val="32"/>
          <w:szCs w:val="32"/>
        </w:rPr>
        <w:t>具体说明不同包装规格之间的差别及可能产生的影响。</w:t>
      </w:r>
    </w:p>
    <w:p w14:paraId="6370E250">
      <w:pPr>
        <w:overflowPunct w:val="0"/>
        <w:spacing w:line="500" w:lineRule="exact"/>
        <w:ind w:firstLine="640" w:firstLineChars="200"/>
        <w:outlineLvl w:val="2"/>
        <w:rPr>
          <w:rFonts w:eastAsia="仿宋_GB2312"/>
          <w:kern w:val="0"/>
          <w:sz w:val="32"/>
        </w:rPr>
      </w:pPr>
      <w:r>
        <w:rPr>
          <w:rFonts w:eastAsia="仿宋_GB2312"/>
          <w:color w:val="000000"/>
          <w:sz w:val="32"/>
          <w:szCs w:val="32"/>
        </w:rPr>
        <w:t xml:space="preserve">9.3 </w:t>
      </w:r>
      <w:r>
        <w:rPr>
          <w:rFonts w:hint="eastAsia" w:eastAsia="仿宋_GB2312"/>
          <w:kern w:val="0"/>
          <w:sz w:val="32"/>
        </w:rPr>
        <w:t>校准品及质控品（如适用）</w:t>
      </w:r>
    </w:p>
    <w:p w14:paraId="7CA706ED">
      <w:pPr>
        <w:overflowPunct w:val="0"/>
        <w:spacing w:line="500" w:lineRule="exact"/>
        <w:ind w:firstLine="640" w:firstLineChars="200"/>
        <w:outlineLvl w:val="2"/>
        <w:rPr>
          <w:rFonts w:eastAsia="仿宋_GB2312"/>
          <w:kern w:val="0"/>
          <w:sz w:val="32"/>
        </w:rPr>
      </w:pPr>
      <w:r>
        <w:rPr>
          <w:rFonts w:hint="eastAsia" w:eastAsia="仿宋_GB2312"/>
          <w:kern w:val="0"/>
          <w:sz w:val="32"/>
        </w:rPr>
        <w:t>参照GB/T 21415—2008《体外诊断医疗器械生物样品中量的测量校准品和控制物质赋值的计量学溯源性》的要求，提供企业（工作）校准品及试剂盒配套校准品定值及不确定度计算相关资料，提供质控品赋值及其质控范围确定的研究资料。</w:t>
      </w:r>
    </w:p>
    <w:p w14:paraId="79C9146B">
      <w:pPr>
        <w:adjustRightInd w:val="0"/>
        <w:snapToGrid w:val="0"/>
        <w:spacing w:line="520" w:lineRule="exact"/>
        <w:ind w:firstLine="640" w:firstLineChars="200"/>
        <w:jc w:val="left"/>
        <w:rPr>
          <w:rFonts w:eastAsia="仿宋_GB2312"/>
          <w:color w:val="000000"/>
          <w:sz w:val="32"/>
          <w:szCs w:val="32"/>
        </w:rPr>
      </w:pPr>
      <w:r>
        <w:rPr>
          <w:rFonts w:hint="eastAsia" w:eastAsia="仿宋_GB2312"/>
          <w:color w:val="000000"/>
          <w:sz w:val="32"/>
          <w:szCs w:val="32"/>
        </w:rPr>
        <w:t xml:space="preserve">9.4 </w:t>
      </w:r>
      <w:r>
        <w:rPr>
          <w:rFonts w:eastAsia="仿宋_GB2312"/>
          <w:color w:val="000000"/>
          <w:sz w:val="32"/>
          <w:szCs w:val="32"/>
        </w:rPr>
        <w:t>生物安全性（如适用）</w:t>
      </w:r>
    </w:p>
    <w:p w14:paraId="575403AA">
      <w:pPr>
        <w:overflowPunct w:val="0"/>
        <w:spacing w:line="500" w:lineRule="exact"/>
        <w:ind w:firstLine="640" w:firstLineChars="200"/>
        <w:outlineLvl w:val="2"/>
        <w:rPr>
          <w:rFonts w:eastAsia="仿宋_GB2312"/>
          <w:kern w:val="0"/>
          <w:sz w:val="32"/>
        </w:rPr>
      </w:pPr>
      <w:r>
        <w:rPr>
          <w:rFonts w:eastAsia="仿宋_GB2312"/>
          <w:color w:val="000000"/>
          <w:sz w:val="32"/>
          <w:szCs w:val="32"/>
        </w:rPr>
        <w:t>试剂盒如含人源性成分，至少使用经过国家批准合格的人类免疫缺陷病毒抗体诊断试剂盒、丙型肝炎病毒抗体诊断试剂盒、乙型肝炎病毒表面抗原诊断试剂盒、梅毒螺旋抗体诊断试剂盒，对该申报试剂盒（包括校准品、质控品）进行检测，检测结果应均为阴性</w:t>
      </w:r>
      <w:r>
        <w:rPr>
          <w:rFonts w:hint="eastAsia" w:eastAsia="仿宋_GB2312"/>
          <w:color w:val="000000"/>
          <w:sz w:val="32"/>
          <w:szCs w:val="32"/>
        </w:rPr>
        <w:t>。</w:t>
      </w:r>
    </w:p>
    <w:p w14:paraId="1D3A7E39">
      <w:pPr>
        <w:overflowPunct w:val="0"/>
        <w:spacing w:line="500" w:lineRule="exact"/>
        <w:ind w:firstLine="640" w:firstLineChars="200"/>
        <w:outlineLvl w:val="2"/>
        <w:rPr>
          <w:rFonts w:eastAsia="仿宋_GB2312"/>
          <w:kern w:val="0"/>
          <w:sz w:val="32"/>
        </w:rPr>
      </w:pPr>
      <w:r>
        <w:rPr>
          <w:rFonts w:hint="eastAsia" w:eastAsia="仿宋_GB2312"/>
          <w:kern w:val="0"/>
          <w:sz w:val="32"/>
        </w:rPr>
        <w:t>性能指标的评价方法并无统一的标准可依，可根据不同的试剂特征进行，前提是必须保证研究的科学合理性。</w:t>
      </w:r>
      <w:r>
        <w:rPr>
          <w:rFonts w:eastAsia="仿宋_GB2312"/>
          <w:kern w:val="0"/>
          <w:sz w:val="32"/>
        </w:rPr>
        <w:t>具体研究方法建议参考相关的美国临床实验室标准化协会批准指南（CLSI</w:t>
      </w:r>
      <w:r>
        <w:rPr>
          <w:rFonts w:hint="eastAsia" w:eastAsia="仿宋_GB2312"/>
          <w:kern w:val="0"/>
          <w:sz w:val="32"/>
        </w:rPr>
        <w:t>—</w:t>
      </w:r>
      <w:r>
        <w:rPr>
          <w:rFonts w:eastAsia="仿宋_GB2312"/>
          <w:kern w:val="0"/>
          <w:sz w:val="32"/>
        </w:rPr>
        <w:t>EP）或国内有关体外诊断产品性能评估的文件进行</w:t>
      </w:r>
      <w:r>
        <w:rPr>
          <w:rFonts w:hint="eastAsia" w:eastAsia="仿宋_GB2312"/>
          <w:kern w:val="0"/>
          <w:sz w:val="32"/>
        </w:rPr>
        <w:t>。</w:t>
      </w:r>
    </w:p>
    <w:p w14:paraId="6809187C">
      <w:pPr>
        <w:overflowPunct w:val="0"/>
        <w:spacing w:line="500" w:lineRule="exact"/>
        <w:ind w:firstLine="640" w:firstLineChars="200"/>
        <w:outlineLvl w:val="2"/>
        <w:rPr>
          <w:rFonts w:ascii="楷体_GB2312" w:eastAsia="楷体_GB2312"/>
          <w:bCs/>
          <w:iCs/>
          <w:kern w:val="0"/>
          <w:sz w:val="32"/>
        </w:rPr>
      </w:pPr>
      <w:r>
        <w:rPr>
          <w:rFonts w:hint="eastAsia" w:ascii="楷体_GB2312" w:eastAsia="楷体_GB2312"/>
          <w:bCs/>
          <w:iCs/>
          <w:kern w:val="0"/>
          <w:sz w:val="32"/>
        </w:rPr>
        <w:t>（五）参考区间确定资料</w:t>
      </w:r>
    </w:p>
    <w:p w14:paraId="5DC1CFFE">
      <w:pPr>
        <w:overflowPunct w:val="0"/>
        <w:spacing w:line="520" w:lineRule="exact"/>
        <w:ind w:firstLine="640" w:firstLineChars="200"/>
        <w:rPr>
          <w:rFonts w:eastAsia="仿宋_GB2312"/>
          <w:sz w:val="32"/>
          <w:szCs w:val="32"/>
        </w:rPr>
      </w:pPr>
      <w:r>
        <w:rPr>
          <w:rFonts w:hint="eastAsia" w:eastAsia="仿宋_GB2312"/>
          <w:sz w:val="32"/>
          <w:szCs w:val="32"/>
        </w:rPr>
        <w:t>应提交建立</w:t>
      </w:r>
      <w:r>
        <w:rPr>
          <w:rFonts w:eastAsia="仿宋_GB2312"/>
          <w:sz w:val="32"/>
          <w:szCs w:val="32"/>
        </w:rPr>
        <w:t>/</w:t>
      </w:r>
      <w:r>
        <w:rPr>
          <w:rFonts w:hint="eastAsia" w:eastAsia="仿宋_GB2312"/>
          <w:sz w:val="32"/>
          <w:szCs w:val="32"/>
        </w:rPr>
        <w:t>验证参考区间确定</w:t>
      </w:r>
      <w:r>
        <w:rPr>
          <w:rFonts w:eastAsia="仿宋_GB2312"/>
          <w:sz w:val="32"/>
          <w:szCs w:val="32"/>
        </w:rPr>
        <w:t>的方法和依据，说明确定参考区间</w:t>
      </w:r>
      <w:r>
        <w:rPr>
          <w:rFonts w:hint="eastAsia" w:eastAsia="仿宋_GB2312"/>
          <w:sz w:val="32"/>
          <w:szCs w:val="32"/>
        </w:rPr>
        <w:t>所采用的样本来源，并</w:t>
      </w:r>
      <w:r>
        <w:rPr>
          <w:rFonts w:eastAsia="仿宋_GB2312"/>
          <w:sz w:val="32"/>
          <w:szCs w:val="32"/>
        </w:rPr>
        <w:t>提供参考区间研究</w:t>
      </w:r>
      <w:r>
        <w:rPr>
          <w:rFonts w:hint="eastAsia" w:eastAsia="仿宋_GB2312"/>
          <w:sz w:val="32"/>
          <w:szCs w:val="32"/>
        </w:rPr>
        <w:t>的详细试验资料、统计方法等。如明确参考人群的纳入、排除标准，离群值的处理，考虑不同年龄、性别等因素，尽可能考虑样本来源的多样性、代表性，样本例数应符合统计学要求。</w:t>
      </w:r>
    </w:p>
    <w:p w14:paraId="2928048F">
      <w:pPr>
        <w:overflowPunct w:val="0"/>
        <w:spacing w:line="520" w:lineRule="exact"/>
        <w:ind w:firstLine="640" w:firstLineChars="200"/>
        <w:rPr>
          <w:rFonts w:eastAsia="仿宋_GB2312"/>
          <w:sz w:val="32"/>
          <w:szCs w:val="32"/>
        </w:rPr>
      </w:pPr>
      <w:r>
        <w:rPr>
          <w:rFonts w:hint="eastAsia" w:eastAsia="仿宋_GB2312"/>
          <w:sz w:val="32"/>
          <w:szCs w:val="32"/>
        </w:rPr>
        <w:t>建议申请人根据临床需要，参考《</w:t>
      </w:r>
      <w:r>
        <w:rPr>
          <w:rFonts w:eastAsia="仿宋_GB2312"/>
          <w:sz w:val="32"/>
          <w:szCs w:val="32"/>
        </w:rPr>
        <w:t>WS/T 402-2012</w:t>
      </w:r>
      <w:r>
        <w:rPr>
          <w:rFonts w:hint="eastAsia" w:eastAsia="仿宋_GB2312"/>
          <w:sz w:val="32"/>
          <w:szCs w:val="32"/>
        </w:rPr>
        <w:t>临床实验室检验项目参考区间的制定》或其他权威文件采用合适的统计学方法进行分析。</w:t>
      </w:r>
    </w:p>
    <w:p w14:paraId="0E24EF79">
      <w:pPr>
        <w:overflowPunct w:val="0"/>
        <w:spacing w:line="500" w:lineRule="exact"/>
        <w:ind w:firstLine="640" w:firstLineChars="200"/>
        <w:outlineLvl w:val="1"/>
        <w:rPr>
          <w:rFonts w:ascii="楷体_GB2312" w:eastAsia="楷体_GB2312"/>
          <w:bCs/>
          <w:iCs/>
          <w:kern w:val="0"/>
          <w:sz w:val="32"/>
        </w:rPr>
      </w:pPr>
      <w:r>
        <w:rPr>
          <w:rFonts w:ascii="楷体_GB2312" w:eastAsia="楷体_GB2312"/>
          <w:bCs/>
          <w:iCs/>
          <w:kern w:val="0"/>
          <w:sz w:val="32"/>
        </w:rPr>
        <w:t>（六）稳定性研究资料</w:t>
      </w:r>
    </w:p>
    <w:p w14:paraId="3A039F24">
      <w:pPr>
        <w:overflowPunct w:val="0"/>
        <w:spacing w:line="500" w:lineRule="exact"/>
        <w:ind w:firstLine="640" w:firstLineChars="200"/>
        <w:rPr>
          <w:rFonts w:eastAsia="仿宋_GB2312"/>
          <w:kern w:val="0"/>
          <w:sz w:val="32"/>
        </w:rPr>
      </w:pPr>
      <w:r>
        <w:rPr>
          <w:rFonts w:eastAsia="仿宋_GB2312"/>
          <w:color w:val="000000"/>
          <w:sz w:val="32"/>
          <w:szCs w:val="32"/>
        </w:rPr>
        <w:t>稳定性研究可参考YY/T 1579-2018《体外诊断医疗器械体外诊断试剂稳定性评价》的相关要求进行研究。</w:t>
      </w:r>
      <w:r>
        <w:rPr>
          <w:rFonts w:eastAsia="仿宋_GB2312"/>
          <w:kern w:val="0"/>
          <w:sz w:val="32"/>
        </w:rPr>
        <w:t>主要涉及两部分内容，申报试剂的稳定性和适用样本的稳定性研究。</w:t>
      </w:r>
      <w:r>
        <w:rPr>
          <w:rFonts w:hint="eastAsia" w:eastAsia="仿宋_GB2312"/>
          <w:kern w:val="0"/>
          <w:sz w:val="32"/>
        </w:rPr>
        <w:t>试剂稳定性</w:t>
      </w:r>
      <w:r>
        <w:rPr>
          <w:rFonts w:eastAsia="仿宋_GB2312"/>
          <w:kern w:val="0"/>
          <w:sz w:val="32"/>
        </w:rPr>
        <w:t>主要包括实时稳定性（有效期）、运输稳定性、开瓶</w:t>
      </w:r>
      <w:r>
        <w:rPr>
          <w:rFonts w:hint="eastAsia" w:eastAsia="仿宋_GB2312"/>
          <w:kern w:val="0"/>
          <w:sz w:val="32"/>
        </w:rPr>
        <w:t>（复溶）</w:t>
      </w:r>
      <w:r>
        <w:rPr>
          <w:rFonts w:eastAsia="仿宋_GB2312"/>
          <w:kern w:val="0"/>
          <w:sz w:val="32"/>
        </w:rPr>
        <w:t>稳定性</w:t>
      </w:r>
      <w:r>
        <w:rPr>
          <w:rFonts w:hint="eastAsia" w:eastAsia="仿宋_GB2312"/>
          <w:kern w:val="0"/>
          <w:sz w:val="32"/>
        </w:rPr>
        <w:t>、在机稳定性及热稳定性</w:t>
      </w:r>
      <w:r>
        <w:rPr>
          <w:rFonts w:eastAsia="仿宋_GB2312"/>
          <w:kern w:val="0"/>
          <w:sz w:val="32"/>
        </w:rPr>
        <w:t>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37FD0C09">
      <w:pPr>
        <w:spacing w:line="520" w:lineRule="exact"/>
        <w:ind w:firstLine="640" w:firstLineChars="200"/>
        <w:rPr>
          <w:rFonts w:eastAsia="仿宋_GB2312"/>
          <w:kern w:val="0"/>
          <w:sz w:val="32"/>
        </w:rPr>
      </w:pPr>
      <w:r>
        <w:rPr>
          <w:rFonts w:hint="eastAsia" w:eastAsia="仿宋_GB2312"/>
          <w:kern w:val="0"/>
          <w:sz w:val="32"/>
        </w:rPr>
        <w:t>样本稳定性研究</w:t>
      </w:r>
      <w:r>
        <w:rPr>
          <w:rFonts w:eastAsia="仿宋_GB2312"/>
          <w:bCs/>
          <w:color w:val="000000"/>
          <w:sz w:val="32"/>
          <w:szCs w:val="32"/>
        </w:rPr>
        <w:t>主要包括室温保存、冷藏和冷冻条件下</w:t>
      </w:r>
      <w:r>
        <w:rPr>
          <w:rFonts w:hint="eastAsia" w:eastAsia="仿宋_GB2312"/>
          <w:bCs/>
          <w:color w:val="000000"/>
          <w:sz w:val="32"/>
          <w:szCs w:val="32"/>
        </w:rPr>
        <w:t>不同</w:t>
      </w:r>
      <w:r>
        <w:rPr>
          <w:rFonts w:eastAsia="仿宋_GB2312"/>
          <w:bCs/>
          <w:color w:val="000000"/>
          <w:sz w:val="32"/>
          <w:szCs w:val="32"/>
        </w:rPr>
        <w:t>储存条件下的有效性验证，可以在合理的温度范围内选择温度点（温度范围），每间隔一定的时间段即对储存样本进行稳定性验证，从而确认不同类型样本的保存稳定性。适于冷冻保存的样本还应对冻融次数进行评价。</w:t>
      </w:r>
    </w:p>
    <w:p w14:paraId="01C37497">
      <w:pPr>
        <w:overflowPunct w:val="0"/>
        <w:spacing w:line="500" w:lineRule="exact"/>
        <w:ind w:firstLine="640" w:firstLineChars="200"/>
        <w:rPr>
          <w:rFonts w:eastAsia="仿宋_GB2312"/>
          <w:spacing w:val="-6"/>
          <w:kern w:val="0"/>
          <w:sz w:val="32"/>
        </w:rPr>
      </w:pPr>
      <w:r>
        <w:rPr>
          <w:rFonts w:eastAsia="仿宋_GB2312"/>
          <w:kern w:val="0"/>
          <w:sz w:val="32"/>
        </w:rPr>
        <w:t>试</w:t>
      </w:r>
      <w:r>
        <w:rPr>
          <w:rFonts w:eastAsia="仿宋_GB2312"/>
          <w:spacing w:val="-6"/>
          <w:kern w:val="0"/>
          <w:sz w:val="32"/>
        </w:rPr>
        <w:t>剂稳定性和样本稳定性两部分内容的研究结果应在说明书【储存条件及有效期】和【样本要求】两项中分别进行详细说明。</w:t>
      </w:r>
    </w:p>
    <w:p w14:paraId="425C64A0">
      <w:pPr>
        <w:overflowPunct w:val="0"/>
        <w:spacing w:line="500" w:lineRule="exact"/>
        <w:ind w:firstLine="640" w:firstLineChars="200"/>
        <w:outlineLvl w:val="1"/>
        <w:rPr>
          <w:rFonts w:ascii="楷体_GB2312" w:eastAsia="楷体_GB2312"/>
          <w:bCs/>
          <w:iCs/>
          <w:kern w:val="0"/>
          <w:sz w:val="32"/>
        </w:rPr>
      </w:pPr>
      <w:r>
        <w:rPr>
          <w:rFonts w:hint="eastAsia" w:ascii="楷体_GB2312" w:eastAsia="楷体_GB2312"/>
          <w:bCs/>
          <w:iCs/>
          <w:kern w:val="0"/>
          <w:sz w:val="32"/>
        </w:rPr>
        <w:t>（七）临床评价资料</w:t>
      </w:r>
    </w:p>
    <w:p w14:paraId="7AA99FBC">
      <w:pPr>
        <w:overflowPunct w:val="0"/>
        <w:spacing w:line="540" w:lineRule="exact"/>
        <w:ind w:firstLine="640" w:firstLineChars="200"/>
        <w:rPr>
          <w:rFonts w:eastAsia="仿宋_GB2312"/>
          <w:sz w:val="32"/>
          <w:szCs w:val="32"/>
        </w:rPr>
      </w:pPr>
      <w:r>
        <w:rPr>
          <w:rFonts w:eastAsia="仿宋_GB2312"/>
          <w:bCs/>
          <w:color w:val="000000"/>
          <w:sz w:val="32"/>
          <w:szCs w:val="32"/>
        </w:rPr>
        <w:t>此项目已经列入《关于新修订免于进行临床试验医疗器械目录的通告》（国家药品监督管理局通告2018年第94号）中免于进行临床试验的体外诊断试剂目录。根据体外诊断试剂临床评价的相关要求，申请人可按照《免于进行临床试验的体外诊断试剂临床评价资料基本要求（试行）》（国家食品药品监督管理总局通告2017年第179号）要求进行临床评价。</w:t>
      </w:r>
      <w:r>
        <w:rPr>
          <w:rFonts w:eastAsia="仿宋_GB2312"/>
          <w:sz w:val="32"/>
          <w:szCs w:val="32"/>
        </w:rPr>
        <w:t>如免临床试验的相关指导原则有更新，应符合相应的指导原则要求。</w:t>
      </w:r>
    </w:p>
    <w:p w14:paraId="5861E89B">
      <w:pPr>
        <w:overflowPunct w:val="0"/>
        <w:spacing w:line="520" w:lineRule="exact"/>
        <w:ind w:firstLine="640" w:firstLineChars="200"/>
        <w:rPr>
          <w:rFonts w:eastAsia="仿宋_GB2312"/>
          <w:color w:val="000000"/>
          <w:sz w:val="32"/>
          <w:szCs w:val="32"/>
        </w:rPr>
      </w:pPr>
      <w:r>
        <w:rPr>
          <w:rFonts w:hint="eastAsia" w:eastAsia="仿宋_GB2312" w:cs="仿宋_GB2312"/>
          <w:bCs/>
          <w:sz w:val="32"/>
          <w:szCs w:val="32"/>
          <w:shd w:val="clear" w:color="auto" w:fill="FFFFFF"/>
          <w:lang w:bidi="ar"/>
        </w:rPr>
        <w:t>如不符合</w:t>
      </w:r>
      <w:r>
        <w:rPr>
          <w:rFonts w:hint="eastAsia" w:eastAsia="仿宋_GB2312"/>
          <w:bCs/>
          <w:sz w:val="32"/>
          <w:szCs w:val="32"/>
          <w:lang w:bidi="ar"/>
        </w:rPr>
        <w:t>免于进行临床试验的</w:t>
      </w:r>
      <w:r>
        <w:rPr>
          <w:rFonts w:hint="eastAsia" w:eastAsia="仿宋_GB2312" w:cs="仿宋_GB2312"/>
          <w:bCs/>
          <w:sz w:val="32"/>
          <w:szCs w:val="32"/>
          <w:shd w:val="clear" w:color="auto" w:fill="FFFFFF"/>
          <w:lang w:bidi="ar"/>
        </w:rPr>
        <w:t>要求，</w:t>
      </w:r>
      <w:r>
        <w:rPr>
          <w:rFonts w:eastAsia="仿宋_GB2312"/>
          <w:color w:val="000000"/>
          <w:sz w:val="32"/>
          <w:szCs w:val="32"/>
        </w:rPr>
        <w:t>则应按照《关于发布体外诊断试剂临床试验技术指导原则的通告》（国家食品药品监督管理总局通告2014年第16号）及相关法规的要求</w:t>
      </w:r>
      <w:r>
        <w:rPr>
          <w:rFonts w:hint="eastAsia" w:eastAsia="仿宋_GB2312"/>
          <w:color w:val="000000"/>
          <w:sz w:val="32"/>
          <w:szCs w:val="32"/>
        </w:rPr>
        <w:t>开展</w:t>
      </w:r>
      <w:r>
        <w:rPr>
          <w:rFonts w:eastAsia="仿宋_GB2312"/>
          <w:color w:val="000000"/>
          <w:sz w:val="32"/>
          <w:szCs w:val="32"/>
        </w:rPr>
        <w:t xml:space="preserve">临床试验。 </w:t>
      </w:r>
    </w:p>
    <w:p w14:paraId="3F255F25">
      <w:pPr>
        <w:overflowPunct w:val="0"/>
        <w:snapToGrid w:val="0"/>
        <w:spacing w:line="540" w:lineRule="exact"/>
        <w:ind w:firstLine="640" w:firstLineChars="200"/>
        <w:rPr>
          <w:rFonts w:eastAsia="仿宋_GB2312"/>
          <w:bCs/>
          <w:color w:val="000000"/>
          <w:sz w:val="32"/>
          <w:szCs w:val="32"/>
        </w:rPr>
      </w:pPr>
      <w:r>
        <w:rPr>
          <w:rFonts w:eastAsia="仿宋_GB2312"/>
          <w:color w:val="000000"/>
          <w:sz w:val="32"/>
          <w:szCs w:val="32"/>
        </w:rPr>
        <w:t>临床研究资料有关的规定如有相应的国家法规发布或更新，按其要求执行。</w:t>
      </w:r>
    </w:p>
    <w:p w14:paraId="31EBA34D">
      <w:pPr>
        <w:overflowPunct w:val="0"/>
        <w:spacing w:line="500" w:lineRule="exact"/>
        <w:ind w:firstLine="640" w:firstLineChars="200"/>
        <w:outlineLvl w:val="1"/>
        <w:rPr>
          <w:rFonts w:ascii="楷体_GB2312" w:eastAsia="楷体_GB2312"/>
          <w:bCs/>
          <w:iCs/>
          <w:kern w:val="0"/>
          <w:sz w:val="32"/>
        </w:rPr>
      </w:pPr>
      <w:r>
        <w:rPr>
          <w:rFonts w:hint="eastAsia" w:ascii="楷体_GB2312" w:eastAsia="楷体_GB2312"/>
          <w:bCs/>
          <w:iCs/>
          <w:kern w:val="0"/>
          <w:sz w:val="32"/>
        </w:rPr>
        <w:t>（八）产品风险分析资料</w:t>
      </w:r>
    </w:p>
    <w:p w14:paraId="37E4945E">
      <w:pPr>
        <w:overflowPunct w:val="0"/>
        <w:spacing w:line="500" w:lineRule="exact"/>
        <w:ind w:firstLine="640" w:firstLineChars="200"/>
        <w:rPr>
          <w:rFonts w:eastAsia="仿宋_GB2312"/>
          <w:kern w:val="0"/>
          <w:sz w:val="32"/>
        </w:rPr>
      </w:pPr>
      <w:r>
        <w:rPr>
          <w:rFonts w:eastAsia="仿宋_GB2312"/>
          <w:kern w:val="0"/>
          <w:sz w:val="32"/>
        </w:rPr>
        <w:t>申请</w:t>
      </w:r>
      <w:r>
        <w:rPr>
          <w:rFonts w:eastAsia="仿宋_GB2312"/>
          <w:spacing w:val="4"/>
          <w:kern w:val="0"/>
          <w:sz w:val="32"/>
        </w:rPr>
        <w:t>人应考虑产品寿命周期的各个环节，从预期用途、可能的使用错误、与安全性有关的特征、已知及可预见的危害等方面的判定以及对患者风险的估计进行风险分析，</w:t>
      </w:r>
      <w:r>
        <w:rPr>
          <w:rFonts w:eastAsia="仿宋_GB2312"/>
          <w:sz w:val="32"/>
          <w:szCs w:val="28"/>
        </w:rPr>
        <w:t>应符合YY/T 0316</w:t>
      </w:r>
      <w:r>
        <w:rPr>
          <w:rFonts w:hint="eastAsia" w:ascii="仿宋_GB2312" w:hAnsi="仿宋_GB2312" w:eastAsia="仿宋_GB2312" w:cs="仿宋_GB2312"/>
          <w:sz w:val="32"/>
          <w:szCs w:val="28"/>
        </w:rPr>
        <w:t>—</w:t>
      </w:r>
      <w:r>
        <w:rPr>
          <w:rFonts w:eastAsia="仿宋_GB2312"/>
          <w:sz w:val="32"/>
          <w:szCs w:val="28"/>
        </w:rPr>
        <w:t>2016 《医疗器械风险管理对医疗器械的应用》的要求。</w:t>
      </w:r>
    </w:p>
    <w:p w14:paraId="01CD3C06">
      <w:pPr>
        <w:overflowPunct w:val="0"/>
        <w:spacing w:line="500" w:lineRule="exact"/>
        <w:ind w:firstLine="640" w:firstLineChars="200"/>
        <w:outlineLvl w:val="1"/>
        <w:rPr>
          <w:rFonts w:ascii="楷体_GB2312" w:eastAsia="楷体_GB2312"/>
          <w:bCs/>
          <w:iCs/>
          <w:kern w:val="0"/>
          <w:sz w:val="32"/>
        </w:rPr>
      </w:pPr>
      <w:r>
        <w:rPr>
          <w:rFonts w:ascii="楷体_GB2312" w:eastAsia="楷体_GB2312"/>
          <w:bCs/>
          <w:iCs/>
          <w:kern w:val="0"/>
          <w:sz w:val="32"/>
        </w:rPr>
        <w:t>（九）产品技术要求</w:t>
      </w:r>
    </w:p>
    <w:p w14:paraId="39845E17">
      <w:pPr>
        <w:overflowPunct w:val="0"/>
        <w:spacing w:line="500" w:lineRule="exact"/>
        <w:ind w:firstLine="640" w:firstLineChars="200"/>
        <w:rPr>
          <w:rFonts w:eastAsia="仿宋_GB2312"/>
          <w:kern w:val="0"/>
          <w:sz w:val="32"/>
        </w:rPr>
      </w:pPr>
      <w:r>
        <w:rPr>
          <w:rFonts w:eastAsia="仿宋_GB2312"/>
          <w:kern w:val="0"/>
          <w:sz w:val="32"/>
        </w:rPr>
        <w:t>产品技术要求应符合《体外诊断试剂注册管理办法》（国家食品药品监督管理总局令第5号）和</w:t>
      </w:r>
      <w:r>
        <w:rPr>
          <w:rFonts w:hint="eastAsia" w:eastAsia="仿宋_GB2312"/>
          <w:kern w:val="0"/>
          <w:sz w:val="32"/>
        </w:rPr>
        <w:t>《关于发布医疗器械产品技术要求编写指导原则的通告》（国家食品药品监督管理总局通告2014年第9号）</w:t>
      </w:r>
      <w:r>
        <w:rPr>
          <w:rFonts w:eastAsia="仿宋_GB2312"/>
          <w:kern w:val="0"/>
          <w:sz w:val="32"/>
        </w:rPr>
        <w:t>的相关规定。</w:t>
      </w:r>
      <w:r>
        <w:rPr>
          <w:rFonts w:eastAsia="仿宋_GB2312"/>
          <w:color w:val="000000"/>
          <w:sz w:val="32"/>
          <w:szCs w:val="32"/>
        </w:rPr>
        <w:t>申请人应按照相关要求编写产品技术要求，内容主要包含产品性能指标和检验方法。</w:t>
      </w:r>
    </w:p>
    <w:p w14:paraId="111C9CD7">
      <w:pPr>
        <w:overflowPunct w:val="0"/>
        <w:spacing w:line="520" w:lineRule="exact"/>
        <w:ind w:firstLine="640" w:firstLineChars="200"/>
        <w:rPr>
          <w:rFonts w:eastAsia="仿宋_GB2312"/>
          <w:sz w:val="32"/>
        </w:rPr>
      </w:pPr>
      <w:r>
        <w:rPr>
          <w:rFonts w:hint="eastAsia" w:eastAsia="仿宋_GB2312"/>
          <w:sz w:val="32"/>
          <w:szCs w:val="32"/>
        </w:rPr>
        <w:t>产品技术要求应不低于</w:t>
      </w:r>
      <w:r>
        <w:rPr>
          <w:rFonts w:eastAsia="仿宋_GB2312"/>
          <w:sz w:val="32"/>
          <w:szCs w:val="32"/>
        </w:rPr>
        <w:t>YY/T 1</w:t>
      </w:r>
      <w:r>
        <w:rPr>
          <w:rFonts w:hint="eastAsia" w:eastAsia="仿宋_GB2312"/>
          <w:sz w:val="32"/>
          <w:szCs w:val="32"/>
        </w:rPr>
        <w:t>583</w:t>
      </w:r>
      <w:r>
        <w:rPr>
          <w:rFonts w:hint="eastAsia" w:eastAsia="仿宋_GB2312"/>
          <w:kern w:val="0"/>
          <w:sz w:val="32"/>
          <w:szCs w:val="32"/>
        </w:rPr>
        <w:t>—</w:t>
      </w:r>
      <w:r>
        <w:rPr>
          <w:rFonts w:eastAsia="仿宋_GB2312"/>
          <w:sz w:val="32"/>
          <w:szCs w:val="32"/>
        </w:rPr>
        <w:t>201</w:t>
      </w:r>
      <w:r>
        <w:rPr>
          <w:rFonts w:hint="eastAsia" w:eastAsia="仿宋_GB2312"/>
          <w:sz w:val="32"/>
          <w:szCs w:val="32"/>
        </w:rPr>
        <w:t>8《叶酸测定试剂盒（化学发光免疫</w:t>
      </w:r>
      <w:r>
        <w:rPr>
          <w:rFonts w:eastAsia="仿宋_GB2312"/>
          <w:sz w:val="32"/>
          <w:szCs w:val="32"/>
        </w:rPr>
        <w:t>分析法</w:t>
      </w:r>
      <w:r>
        <w:rPr>
          <w:rFonts w:hint="eastAsia" w:eastAsia="仿宋_GB2312"/>
          <w:sz w:val="32"/>
          <w:szCs w:val="32"/>
        </w:rPr>
        <w:t>）》的要求。</w:t>
      </w:r>
      <w:r>
        <w:rPr>
          <w:rFonts w:eastAsia="仿宋_GB2312"/>
          <w:sz w:val="32"/>
          <w:szCs w:val="32"/>
        </w:rPr>
        <w:t>如有</w:t>
      </w:r>
      <w:r>
        <w:rPr>
          <w:rFonts w:hint="eastAsia" w:eastAsia="仿宋_GB2312"/>
          <w:sz w:val="32"/>
          <w:szCs w:val="32"/>
        </w:rPr>
        <w:t>其他适用</w:t>
      </w:r>
      <w:r>
        <w:rPr>
          <w:rFonts w:eastAsia="仿宋_GB2312"/>
          <w:sz w:val="32"/>
          <w:szCs w:val="32"/>
        </w:rPr>
        <w:t>的国家/行业标准发布或更新，</w:t>
      </w:r>
      <w:r>
        <w:rPr>
          <w:rFonts w:hint="eastAsia" w:eastAsia="仿宋_GB2312"/>
          <w:sz w:val="32"/>
          <w:szCs w:val="32"/>
        </w:rPr>
        <w:t>建议</w:t>
      </w:r>
      <w:r>
        <w:rPr>
          <w:rFonts w:eastAsia="仿宋_GB2312"/>
          <w:sz w:val="32"/>
          <w:szCs w:val="32"/>
        </w:rPr>
        <w:t>产品技术要求不低于其相关要求。</w:t>
      </w:r>
    </w:p>
    <w:p w14:paraId="11B98E85">
      <w:pPr>
        <w:overflowPunct w:val="0"/>
        <w:spacing w:line="500" w:lineRule="exact"/>
        <w:ind w:firstLine="640" w:firstLineChars="200"/>
        <w:outlineLvl w:val="1"/>
        <w:rPr>
          <w:rFonts w:eastAsia="楷体"/>
          <w:bCs/>
          <w:iCs/>
          <w:kern w:val="0"/>
          <w:sz w:val="32"/>
        </w:rPr>
      </w:pPr>
      <w:r>
        <w:rPr>
          <w:rFonts w:ascii="楷体_GB2312" w:eastAsia="楷体_GB2312"/>
          <w:bCs/>
          <w:iCs/>
          <w:kern w:val="0"/>
          <w:sz w:val="32"/>
        </w:rPr>
        <w:t>（十）产品注册检验报告</w:t>
      </w:r>
    </w:p>
    <w:p w14:paraId="67ABF97E">
      <w:pPr>
        <w:overflowPunct w:val="0"/>
        <w:spacing w:line="520" w:lineRule="exact"/>
        <w:ind w:firstLine="640" w:firstLineChars="200"/>
        <w:rPr>
          <w:rFonts w:eastAsia="仿宋_GB2312"/>
          <w:color w:val="000000"/>
          <w:sz w:val="32"/>
          <w:szCs w:val="32"/>
        </w:rPr>
      </w:pPr>
      <w:r>
        <w:rPr>
          <w:rFonts w:eastAsia="仿宋_GB2312"/>
          <w:color w:val="000000"/>
          <w:sz w:val="32"/>
          <w:szCs w:val="32"/>
        </w:rPr>
        <w:t>根据《体外诊断试剂注册申报资料要求和批准证明文件格式》的要求，应提供具有相应医疗器械检验资质和承检范围的医疗器械检验机构出具的产品检验报告和产品技术要求预评价意见。如有相应的国家法规发布或更新，按其要求执行。</w:t>
      </w:r>
    </w:p>
    <w:p w14:paraId="2911C13E">
      <w:pPr>
        <w:spacing w:line="520" w:lineRule="exact"/>
        <w:ind w:firstLine="640" w:firstLineChars="200"/>
        <w:rPr>
          <w:rFonts w:ascii="楷体_GB2312" w:eastAsia="楷体_GB2312"/>
          <w:bCs/>
          <w:iCs/>
          <w:kern w:val="0"/>
          <w:sz w:val="32"/>
        </w:rPr>
      </w:pPr>
      <w:r>
        <w:rPr>
          <w:rFonts w:ascii="楷体_GB2312" w:eastAsia="楷体_GB2312"/>
          <w:bCs/>
          <w:iCs/>
          <w:kern w:val="0"/>
          <w:sz w:val="32"/>
        </w:rPr>
        <w:t>（十一</w:t>
      </w:r>
      <w:r>
        <w:rPr>
          <w:rFonts w:hint="eastAsia" w:ascii="楷体_GB2312" w:eastAsia="楷体_GB2312"/>
          <w:bCs/>
          <w:iCs/>
          <w:kern w:val="0"/>
          <w:sz w:val="32"/>
        </w:rPr>
        <w:t>）</w:t>
      </w:r>
      <w:r>
        <w:rPr>
          <w:rFonts w:ascii="楷体_GB2312" w:eastAsia="楷体_GB2312"/>
          <w:bCs/>
          <w:iCs/>
          <w:kern w:val="0"/>
          <w:sz w:val="32"/>
        </w:rPr>
        <w:t>产品说明书</w:t>
      </w:r>
    </w:p>
    <w:p w14:paraId="292F2F32">
      <w:pPr>
        <w:overflowPunct w:val="0"/>
        <w:spacing w:line="520" w:lineRule="exact"/>
        <w:ind w:firstLine="640" w:firstLineChars="200"/>
        <w:rPr>
          <w:rFonts w:eastAsia="仿宋_GB2312"/>
          <w:kern w:val="0"/>
          <w:sz w:val="32"/>
        </w:rPr>
      </w:pPr>
      <w:r>
        <w:rPr>
          <w:rFonts w:eastAsia="仿宋_GB2312"/>
          <w:kern w:val="0"/>
          <w:sz w:val="32"/>
        </w:rPr>
        <w:t>说明书承载了产品</w:t>
      </w:r>
      <w:r>
        <w:rPr>
          <w:rFonts w:eastAsia="仿宋_GB2312"/>
          <w:color w:val="000000"/>
          <w:sz w:val="32"/>
          <w:szCs w:val="32"/>
        </w:rPr>
        <w:t>预期用途、检验原理、检验方法、样本要求、检测结果解释</w:t>
      </w:r>
      <w:r>
        <w:rPr>
          <w:rFonts w:eastAsia="仿宋_GB2312"/>
          <w:kern w:val="0"/>
          <w:sz w:val="32"/>
        </w:rPr>
        <w:t>以及注意事项等重要信息，是指导使用者正确操作、临床医生针对检验结果给出合理医学解释的重要依据，因此，产品说明书是体外诊断试剂注册申报最重要的文件之一。产品说明书的编写应符合</w:t>
      </w:r>
      <w:r>
        <w:rPr>
          <w:rFonts w:hint="eastAsia" w:eastAsia="仿宋_GB2312"/>
          <w:kern w:val="0"/>
          <w:sz w:val="32"/>
        </w:rPr>
        <w:t>《关于发布体外诊断试剂说明书编写指导原则的通告》（国家食品药品监督管理总局通告2014年第17号）</w:t>
      </w:r>
      <w:r>
        <w:rPr>
          <w:rFonts w:eastAsia="仿宋_GB2312"/>
          <w:kern w:val="0"/>
          <w:sz w:val="32"/>
        </w:rPr>
        <w:t>的要求，境外试剂的中文说明书除格式要求外，其内容应尽量保持与原文说明书的一致性，翻译力求准确且符合中文表达习惯。产品说明书的所有内容均应与申请人提交的注册申报资料中的相关研究结果保持一致。</w:t>
      </w:r>
    </w:p>
    <w:p w14:paraId="12324DD2">
      <w:pPr>
        <w:overflowPunct w:val="0"/>
        <w:spacing w:line="500" w:lineRule="exact"/>
        <w:ind w:firstLine="640" w:firstLineChars="200"/>
        <w:rPr>
          <w:rFonts w:eastAsia="仿宋_GB2312"/>
          <w:kern w:val="0"/>
          <w:sz w:val="32"/>
        </w:rPr>
      </w:pPr>
      <w:r>
        <w:rPr>
          <w:rFonts w:eastAsia="仿宋_GB2312"/>
          <w:kern w:val="0"/>
          <w:sz w:val="32"/>
        </w:rPr>
        <w:t>根据</w:t>
      </w:r>
      <w:r>
        <w:rPr>
          <w:rFonts w:hint="eastAsia" w:eastAsia="仿宋_GB2312"/>
          <w:kern w:val="0"/>
          <w:sz w:val="32"/>
        </w:rPr>
        <w:t>《关于发布体外诊断试剂说明书编写指导原则的通告》</w:t>
      </w:r>
      <w:r>
        <w:rPr>
          <w:rFonts w:eastAsia="仿宋_GB2312"/>
          <w:kern w:val="0"/>
          <w:sz w:val="32"/>
        </w:rPr>
        <w:t>的要求并结合</w:t>
      </w:r>
      <w:r>
        <w:rPr>
          <w:rFonts w:hint="eastAsia" w:eastAsia="仿宋_GB2312"/>
          <w:kern w:val="0"/>
          <w:sz w:val="32"/>
        </w:rPr>
        <w:t>叶酸</w:t>
      </w:r>
      <w:r>
        <w:rPr>
          <w:rFonts w:eastAsia="仿宋_GB2312"/>
          <w:kern w:val="0"/>
          <w:sz w:val="32"/>
        </w:rPr>
        <w:t>本身的特点，对</w:t>
      </w:r>
      <w:r>
        <w:rPr>
          <w:rFonts w:hint="eastAsia" w:eastAsia="仿宋_GB2312"/>
          <w:kern w:val="0"/>
          <w:sz w:val="32"/>
        </w:rPr>
        <w:t>试剂</w:t>
      </w:r>
      <w:r>
        <w:rPr>
          <w:rFonts w:eastAsia="仿宋_GB2312"/>
          <w:kern w:val="0"/>
          <w:sz w:val="32"/>
        </w:rPr>
        <w:t>说明书的重点内容进行详细说明。</w:t>
      </w:r>
    </w:p>
    <w:p w14:paraId="2EE03969">
      <w:pPr>
        <w:overflowPunct w:val="0"/>
        <w:spacing w:line="52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【产品名称】</w:t>
      </w:r>
    </w:p>
    <w:p w14:paraId="6B07313E">
      <w:pPr>
        <w:spacing w:line="560" w:lineRule="exact"/>
        <w:ind w:firstLine="640" w:firstLineChars="200"/>
        <w:rPr>
          <w:rFonts w:eastAsia="仿宋_GB2312"/>
          <w:sz w:val="32"/>
        </w:rPr>
      </w:pPr>
      <w:r>
        <w:rPr>
          <w:rFonts w:hint="eastAsia" w:eastAsia="仿宋_GB2312"/>
          <w:kern w:val="0"/>
          <w:sz w:val="32"/>
        </w:rPr>
        <w:t>1.1 通用名称：</w:t>
      </w:r>
      <w:r>
        <w:rPr>
          <w:rFonts w:hint="eastAsia" w:eastAsia="仿宋_GB2312"/>
          <w:sz w:val="32"/>
          <w:szCs w:val="22"/>
        </w:rPr>
        <w:t>试剂名称由三部分组成：被测物名称、用途、方法或原理。例如：</w:t>
      </w:r>
      <w:r>
        <w:rPr>
          <w:rFonts w:hint="eastAsia" w:eastAsia="仿宋_GB2312"/>
          <w:kern w:val="0"/>
          <w:sz w:val="32"/>
        </w:rPr>
        <w:t>叶酸测定试剂盒（化学发光免疫分析法）</w:t>
      </w:r>
      <w:r>
        <w:rPr>
          <w:rFonts w:hint="eastAsia" w:eastAsia="仿宋_GB2312"/>
          <w:sz w:val="32"/>
          <w:szCs w:val="22"/>
        </w:rPr>
        <w:t>。</w:t>
      </w:r>
      <w:r>
        <w:rPr>
          <w:rFonts w:eastAsia="仿宋_GB2312"/>
          <w:sz w:val="32"/>
        </w:rPr>
        <w:t>名称中不应当出现</w:t>
      </w:r>
      <w:r>
        <w:rPr>
          <w:rFonts w:hint="eastAsia" w:eastAsia="仿宋_GB2312"/>
          <w:sz w:val="32"/>
        </w:rPr>
        <w:t>样本类型、</w:t>
      </w:r>
      <w:r>
        <w:rPr>
          <w:rFonts w:eastAsia="仿宋_GB2312"/>
          <w:color w:val="000000"/>
          <w:sz w:val="32"/>
          <w:szCs w:val="32"/>
        </w:rPr>
        <w:t>定性/</w:t>
      </w:r>
      <w:r>
        <w:rPr>
          <w:rFonts w:eastAsia="仿宋_GB2312"/>
          <w:sz w:val="32"/>
        </w:rPr>
        <w:t>定量等内容。</w:t>
      </w:r>
    </w:p>
    <w:p w14:paraId="0DF913A5">
      <w:pPr>
        <w:overflowPunct w:val="0"/>
        <w:spacing w:line="520" w:lineRule="exact"/>
        <w:ind w:firstLine="640" w:firstLineChars="200"/>
        <w:rPr>
          <w:rFonts w:eastAsia="仿宋_GB2312"/>
          <w:kern w:val="0"/>
          <w:sz w:val="32"/>
        </w:rPr>
      </w:pPr>
      <w:r>
        <w:rPr>
          <w:rFonts w:hint="eastAsia" w:eastAsia="仿宋_GB2312"/>
          <w:sz w:val="32"/>
          <w:szCs w:val="22"/>
        </w:rPr>
        <w:t>1.2 英文名称（如有）应当正确、完整，可直译，不宜只写缩写。</w:t>
      </w:r>
    </w:p>
    <w:p w14:paraId="27736368">
      <w:pPr>
        <w:spacing w:line="520" w:lineRule="exact"/>
        <w:ind w:firstLine="640" w:firstLineChars="200"/>
        <w:rPr>
          <w:rFonts w:eastAsia="仿宋_GB2312"/>
          <w:sz w:val="32"/>
          <w:szCs w:val="22"/>
        </w:rPr>
      </w:pPr>
      <w:r>
        <w:rPr>
          <w:rFonts w:hint="eastAsia" w:eastAsia="仿宋_GB2312"/>
          <w:kern w:val="0"/>
          <w:sz w:val="32"/>
        </w:rPr>
        <w:t>2.</w:t>
      </w:r>
      <w:r>
        <w:rPr>
          <w:rFonts w:hint="eastAsia" w:eastAsia="仿宋_GB2312"/>
          <w:sz w:val="32"/>
          <w:szCs w:val="22"/>
        </w:rPr>
        <w:t xml:space="preserve">【包装规格】 </w:t>
      </w:r>
    </w:p>
    <w:p w14:paraId="06D2A7CC">
      <w:pPr>
        <w:ind w:firstLine="660"/>
        <w:rPr>
          <w:rFonts w:eastAsia="仿宋_GB2312"/>
          <w:sz w:val="32"/>
          <w:szCs w:val="32"/>
        </w:rPr>
      </w:pPr>
      <w:r>
        <w:rPr>
          <w:rFonts w:eastAsia="仿宋_GB2312"/>
          <w:sz w:val="32"/>
          <w:szCs w:val="32"/>
        </w:rPr>
        <w:t>注明可测试的样本数或装量，如××测试/盒、××人份/盒、××mL，除国际通用计量单位外，其余内容均应采用中文进行表述。如产品有不同组分,可以写明组分名称。如有货号，可增加货号信息。</w:t>
      </w:r>
    </w:p>
    <w:p w14:paraId="30BDF55A">
      <w:pPr>
        <w:overflowPunct w:val="0"/>
        <w:spacing w:line="520" w:lineRule="exact"/>
        <w:ind w:firstLine="640" w:firstLineChars="200"/>
        <w:rPr>
          <w:rFonts w:eastAsia="仿宋_GB2312"/>
          <w:kern w:val="0"/>
          <w:sz w:val="32"/>
        </w:rPr>
      </w:pPr>
      <w:r>
        <w:rPr>
          <w:rFonts w:hint="eastAsia" w:eastAsia="仿宋_GB2312"/>
          <w:kern w:val="0"/>
          <w:sz w:val="32"/>
        </w:rPr>
        <w:t>3.</w:t>
      </w:r>
      <w:r>
        <w:rPr>
          <w:rFonts w:eastAsia="仿宋_GB2312"/>
          <w:kern w:val="0"/>
          <w:sz w:val="32"/>
        </w:rPr>
        <w:t>【预期用途】</w:t>
      </w:r>
    </w:p>
    <w:p w14:paraId="027A5597">
      <w:pPr>
        <w:overflowPunct w:val="0"/>
        <w:spacing w:line="520" w:lineRule="exact"/>
        <w:ind w:firstLine="640" w:firstLineChars="200"/>
        <w:rPr>
          <w:rFonts w:eastAsia="仿宋_GB2312"/>
          <w:spacing w:val="-4"/>
          <w:kern w:val="0"/>
          <w:sz w:val="32"/>
        </w:rPr>
      </w:pPr>
      <w:r>
        <w:rPr>
          <w:rFonts w:hint="eastAsia" w:eastAsia="仿宋_GB2312"/>
          <w:kern w:val="0"/>
          <w:sz w:val="32"/>
        </w:rPr>
        <w:t>第一段：</w:t>
      </w:r>
      <w:r>
        <w:rPr>
          <w:rFonts w:eastAsia="仿宋_GB2312"/>
          <w:kern w:val="0"/>
          <w:sz w:val="32"/>
        </w:rPr>
        <w:t>产</w:t>
      </w:r>
      <w:r>
        <w:rPr>
          <w:rFonts w:eastAsia="仿宋_GB2312"/>
          <w:spacing w:val="-4"/>
          <w:kern w:val="0"/>
          <w:sz w:val="32"/>
        </w:rPr>
        <w:t>品的预期用途</w:t>
      </w:r>
      <w:r>
        <w:rPr>
          <w:rFonts w:hint="eastAsia" w:eastAsia="仿宋_GB2312"/>
          <w:spacing w:val="-4"/>
          <w:kern w:val="0"/>
          <w:sz w:val="32"/>
        </w:rPr>
        <w:t>建议</w:t>
      </w:r>
      <w:r>
        <w:rPr>
          <w:rFonts w:eastAsia="仿宋_GB2312"/>
          <w:spacing w:val="-4"/>
          <w:kern w:val="0"/>
          <w:sz w:val="32"/>
        </w:rPr>
        <w:t>描述为：本产品用于定量检测人血清或血浆中</w:t>
      </w:r>
      <w:r>
        <w:rPr>
          <w:rFonts w:hint="eastAsia" w:eastAsia="仿宋_GB2312"/>
          <w:kern w:val="0"/>
          <w:sz w:val="32"/>
        </w:rPr>
        <w:t>叶酸</w:t>
      </w:r>
      <w:r>
        <w:rPr>
          <w:rFonts w:hint="eastAsia" w:eastAsia="仿宋_GB2312"/>
          <w:spacing w:val="-4"/>
          <w:kern w:val="0"/>
          <w:sz w:val="32"/>
        </w:rPr>
        <w:t>的含量</w:t>
      </w:r>
      <w:r>
        <w:rPr>
          <w:rFonts w:eastAsia="仿宋_GB2312"/>
          <w:spacing w:val="-4"/>
          <w:kern w:val="0"/>
          <w:sz w:val="32"/>
        </w:rPr>
        <w:t>。适用的样本类型应结合实际的临床研究情况进行确认。</w:t>
      </w:r>
    </w:p>
    <w:p w14:paraId="2A3237CE">
      <w:pPr>
        <w:spacing w:line="520" w:lineRule="exact"/>
        <w:ind w:firstLine="640" w:firstLineChars="200"/>
        <w:rPr>
          <w:rFonts w:eastAsia="仿宋_GB2312"/>
          <w:sz w:val="32"/>
          <w:szCs w:val="22"/>
        </w:rPr>
      </w:pPr>
      <w:r>
        <w:rPr>
          <w:rFonts w:hint="eastAsia" w:eastAsia="仿宋_GB2312"/>
          <w:kern w:val="0"/>
          <w:sz w:val="32"/>
        </w:rPr>
        <w:t>第二段：说明</w:t>
      </w:r>
      <w:r>
        <w:rPr>
          <w:rFonts w:eastAsia="仿宋_GB2312"/>
          <w:bCs/>
          <w:color w:val="000000"/>
          <w:sz w:val="32"/>
          <w:szCs w:val="32"/>
        </w:rPr>
        <w:t>与预期用途相关的临床适应症及背景情况</w:t>
      </w:r>
      <w:r>
        <w:rPr>
          <w:rFonts w:eastAsia="仿宋_GB2312"/>
          <w:kern w:val="0"/>
          <w:sz w:val="32"/>
        </w:rPr>
        <w:t>。</w:t>
      </w:r>
      <w:r>
        <w:rPr>
          <w:rFonts w:hint="eastAsia" w:eastAsia="仿宋_GB2312"/>
          <w:sz w:val="32"/>
          <w:szCs w:val="22"/>
        </w:rPr>
        <w:t>注：临床适应证相关信息应提供文献出处（标注并在【参考文献】列出）。</w:t>
      </w:r>
    </w:p>
    <w:p w14:paraId="6393AB49">
      <w:pPr>
        <w:overflowPunct w:val="0"/>
        <w:spacing w:line="520" w:lineRule="exact"/>
        <w:ind w:firstLine="640" w:firstLineChars="200"/>
        <w:rPr>
          <w:rFonts w:eastAsia="仿宋_GB2312"/>
          <w:kern w:val="0"/>
          <w:sz w:val="32"/>
        </w:rPr>
      </w:pPr>
      <w:r>
        <w:rPr>
          <w:rFonts w:hint="eastAsia" w:eastAsia="仿宋_GB2312"/>
          <w:kern w:val="0"/>
          <w:sz w:val="32"/>
        </w:rPr>
        <w:t>4</w:t>
      </w:r>
      <w:r>
        <w:rPr>
          <w:rFonts w:eastAsia="仿宋_GB2312"/>
          <w:kern w:val="0"/>
          <w:sz w:val="32"/>
        </w:rPr>
        <w:t>.【检验原理】</w:t>
      </w:r>
    </w:p>
    <w:p w14:paraId="331EEB02">
      <w:pPr>
        <w:overflowPunct w:val="0"/>
        <w:spacing w:line="500" w:lineRule="exact"/>
        <w:ind w:firstLine="640" w:firstLineChars="200"/>
        <w:rPr>
          <w:rFonts w:eastAsia="仿宋_GB2312"/>
          <w:kern w:val="0"/>
          <w:sz w:val="32"/>
        </w:rPr>
      </w:pPr>
      <w:r>
        <w:rPr>
          <w:rFonts w:eastAsia="仿宋_GB2312"/>
          <w:kern w:val="0"/>
          <w:sz w:val="32"/>
        </w:rPr>
        <w:t>详细说明检验原理、方法，必要时可采用图示方法描述。</w:t>
      </w:r>
    </w:p>
    <w:p w14:paraId="442A7D40">
      <w:pPr>
        <w:overflowPunct w:val="0"/>
        <w:spacing w:line="500" w:lineRule="exact"/>
        <w:ind w:firstLine="640" w:firstLineChars="200"/>
        <w:rPr>
          <w:rFonts w:eastAsia="仿宋_GB2312"/>
          <w:kern w:val="0"/>
          <w:sz w:val="32"/>
        </w:rPr>
      </w:pPr>
      <w:r>
        <w:rPr>
          <w:rFonts w:hint="eastAsia" w:eastAsia="仿宋_GB2312"/>
          <w:kern w:val="0"/>
          <w:sz w:val="32"/>
        </w:rPr>
        <w:t>5</w:t>
      </w:r>
      <w:r>
        <w:rPr>
          <w:rFonts w:eastAsia="仿宋_GB2312"/>
          <w:kern w:val="0"/>
          <w:sz w:val="32"/>
        </w:rPr>
        <w:t>.【主要组成成分】</w:t>
      </w:r>
    </w:p>
    <w:p w14:paraId="2D13CBB4">
      <w:pPr>
        <w:overflowPunct w:val="0"/>
        <w:spacing w:line="500" w:lineRule="exact"/>
        <w:ind w:firstLine="640" w:firstLineChars="200"/>
        <w:rPr>
          <w:rFonts w:eastAsia="仿宋_GB2312"/>
          <w:kern w:val="0"/>
          <w:sz w:val="32"/>
        </w:rPr>
      </w:pPr>
      <w:r>
        <w:rPr>
          <w:rFonts w:hint="eastAsia" w:eastAsia="仿宋_GB2312"/>
          <w:kern w:val="0"/>
          <w:sz w:val="32"/>
        </w:rPr>
        <w:t xml:space="preserve">5.1 </w:t>
      </w:r>
      <w:r>
        <w:rPr>
          <w:rFonts w:eastAsia="仿宋_GB2312"/>
          <w:kern w:val="0"/>
          <w:sz w:val="32"/>
        </w:rPr>
        <w:t>说明产品包含试剂组分的名称、数量</w:t>
      </w:r>
      <w:r>
        <w:rPr>
          <w:rFonts w:eastAsia="仿宋_GB2312"/>
          <w:color w:val="000000"/>
          <w:sz w:val="32"/>
          <w:szCs w:val="32"/>
        </w:rPr>
        <w:t>、每个组成成分在反应体系中的比例或浓度、其生物学来源、活性及其他特性。</w:t>
      </w:r>
    </w:p>
    <w:p w14:paraId="6B7A8EDB">
      <w:pPr>
        <w:overflowPunct w:val="0"/>
        <w:spacing w:line="500" w:lineRule="exact"/>
        <w:ind w:firstLine="640" w:firstLineChars="200"/>
        <w:rPr>
          <w:rFonts w:eastAsia="仿宋_GB2312"/>
          <w:kern w:val="0"/>
          <w:sz w:val="32"/>
        </w:rPr>
      </w:pPr>
      <w:r>
        <w:rPr>
          <w:rFonts w:hint="eastAsia" w:eastAsia="仿宋_GB2312"/>
          <w:kern w:val="0"/>
          <w:sz w:val="32"/>
        </w:rPr>
        <w:t xml:space="preserve">5.2 </w:t>
      </w:r>
      <w:r>
        <w:rPr>
          <w:rFonts w:eastAsia="仿宋_GB2312"/>
          <w:kern w:val="0"/>
          <w:sz w:val="32"/>
        </w:rPr>
        <w:t>对于多组分试剂应明确说明不同批号试剂盒中各组分是否可以互换。</w:t>
      </w:r>
      <w:r>
        <w:rPr>
          <w:rFonts w:hint="eastAsia" w:eastAsia="仿宋_GB2312"/>
          <w:kern w:val="0"/>
          <w:sz w:val="32"/>
        </w:rPr>
        <w:t>如可互换，应提交相关验证材料。</w:t>
      </w:r>
    </w:p>
    <w:p w14:paraId="57C758ED">
      <w:pPr>
        <w:overflowPunct w:val="0"/>
        <w:spacing w:line="500" w:lineRule="exact"/>
        <w:ind w:firstLine="640" w:firstLineChars="200"/>
        <w:rPr>
          <w:rFonts w:eastAsia="仿宋_GB2312"/>
          <w:kern w:val="0"/>
          <w:sz w:val="32"/>
        </w:rPr>
      </w:pPr>
      <w:r>
        <w:rPr>
          <w:rFonts w:hint="eastAsia" w:eastAsia="仿宋_GB2312"/>
          <w:kern w:val="0"/>
          <w:sz w:val="32"/>
        </w:rPr>
        <w:t xml:space="preserve">5.3 </w:t>
      </w:r>
      <w:r>
        <w:rPr>
          <w:rFonts w:eastAsia="仿宋_GB2312"/>
          <w:kern w:val="0"/>
          <w:sz w:val="32"/>
        </w:rPr>
        <w:t>如试剂盒中包含耗材，应列明耗材名称、数量等信息。</w:t>
      </w:r>
    </w:p>
    <w:p w14:paraId="15AB4F32">
      <w:pPr>
        <w:overflowPunct w:val="0"/>
        <w:spacing w:line="500" w:lineRule="exact"/>
        <w:ind w:firstLine="640" w:firstLineChars="200"/>
        <w:rPr>
          <w:rFonts w:eastAsia="仿宋_GB2312"/>
          <w:kern w:val="0"/>
          <w:sz w:val="32"/>
        </w:rPr>
      </w:pPr>
      <w:r>
        <w:rPr>
          <w:rFonts w:hint="eastAsia" w:eastAsia="仿宋_GB2312"/>
          <w:kern w:val="0"/>
          <w:sz w:val="32"/>
        </w:rPr>
        <w:t xml:space="preserve">5.4 </w:t>
      </w:r>
      <w:r>
        <w:rPr>
          <w:rFonts w:eastAsia="仿宋_GB2312"/>
          <w:kern w:val="0"/>
          <w:sz w:val="32"/>
        </w:rPr>
        <w:t>对于</w:t>
      </w:r>
      <w:bookmarkStart w:id="2" w:name="OLE_LINK1"/>
      <w:r>
        <w:rPr>
          <w:rFonts w:eastAsia="仿宋_GB2312"/>
          <w:kern w:val="0"/>
          <w:sz w:val="32"/>
        </w:rPr>
        <w:t>产品中不包含，但对该试验必需的试剂组分</w:t>
      </w:r>
      <w:bookmarkEnd w:id="2"/>
      <w:r>
        <w:rPr>
          <w:rFonts w:eastAsia="仿宋_GB2312"/>
          <w:kern w:val="0"/>
          <w:sz w:val="32"/>
        </w:rPr>
        <w:t>，应列出此类试剂的名称，提供稀释或混合方法及其他相关信息。</w:t>
      </w:r>
    </w:p>
    <w:p w14:paraId="6809F57F">
      <w:pPr>
        <w:spacing w:line="520" w:lineRule="exact"/>
        <w:ind w:firstLine="640" w:firstLineChars="200"/>
        <w:rPr>
          <w:rFonts w:eastAsia="仿宋_GB2312"/>
          <w:sz w:val="32"/>
        </w:rPr>
      </w:pPr>
      <w:r>
        <w:rPr>
          <w:rFonts w:hint="eastAsia" w:eastAsia="仿宋_GB2312"/>
          <w:kern w:val="0"/>
          <w:sz w:val="32"/>
        </w:rPr>
        <w:t xml:space="preserve">5.5 </w:t>
      </w:r>
      <w:r>
        <w:rPr>
          <w:rFonts w:eastAsia="仿宋_GB2312"/>
          <w:kern w:val="0"/>
          <w:sz w:val="32"/>
        </w:rPr>
        <w:t>试剂盒中如包含校准品和/或质控品，应说明其主要组成成分及其生物学来源</w:t>
      </w:r>
      <w:r>
        <w:rPr>
          <w:rFonts w:hint="eastAsia" w:eastAsia="仿宋_GB2312"/>
          <w:kern w:val="0"/>
          <w:sz w:val="32"/>
        </w:rPr>
        <w:t>，</w:t>
      </w:r>
      <w:r>
        <w:rPr>
          <w:rFonts w:eastAsia="仿宋_GB2312"/>
          <w:kern w:val="0"/>
          <w:sz w:val="32"/>
        </w:rPr>
        <w:t>注明校准品的定值及其溯源性，</w:t>
      </w:r>
      <w:r>
        <w:rPr>
          <w:rFonts w:hint="eastAsia" w:eastAsia="仿宋_GB2312"/>
          <w:sz w:val="32"/>
        </w:rPr>
        <w:t>溯源性应写明溯源到的最高级别。</w:t>
      </w:r>
      <w:r>
        <w:rPr>
          <w:rFonts w:eastAsia="仿宋_GB2312"/>
          <w:kern w:val="0"/>
          <w:sz w:val="32"/>
        </w:rPr>
        <w:t>质控品的靶值范围。</w:t>
      </w:r>
      <w:r>
        <w:rPr>
          <w:rFonts w:hint="eastAsia" w:eastAsia="仿宋_GB2312"/>
          <w:sz w:val="32"/>
        </w:rPr>
        <w:t>如靶值范围为批特异，可注明批特异，并附单独的靶值单。</w:t>
      </w:r>
    </w:p>
    <w:p w14:paraId="56A5B8B2">
      <w:pPr>
        <w:overflowPunct w:val="0"/>
        <w:spacing w:line="500" w:lineRule="exact"/>
        <w:ind w:firstLine="640" w:firstLineChars="200"/>
        <w:rPr>
          <w:rFonts w:eastAsia="仿宋_GB2312"/>
          <w:sz w:val="32"/>
          <w:szCs w:val="32"/>
        </w:rPr>
      </w:pPr>
      <w:r>
        <w:rPr>
          <w:rFonts w:hint="eastAsia" w:eastAsia="仿宋_GB2312"/>
          <w:kern w:val="0"/>
          <w:sz w:val="32"/>
        </w:rPr>
        <w:t>6</w:t>
      </w:r>
      <w:r>
        <w:rPr>
          <w:rFonts w:eastAsia="仿宋_GB2312"/>
          <w:kern w:val="0"/>
          <w:sz w:val="32"/>
        </w:rPr>
        <w:t>.【储存条件及有效期】</w:t>
      </w:r>
      <w:r>
        <w:rPr>
          <w:rFonts w:eastAsia="仿宋_GB2312"/>
          <w:kern w:val="0"/>
          <w:sz w:val="32"/>
        </w:rPr>
        <w:br w:type="textWrapping"/>
      </w:r>
      <w:r>
        <w:rPr>
          <w:rFonts w:hint="eastAsia" w:eastAsia="仿宋_GB2312"/>
          <w:kern w:val="0"/>
          <w:sz w:val="32"/>
        </w:rPr>
        <w:t xml:space="preserve">    6.1</w:t>
      </w:r>
      <w:r>
        <w:rPr>
          <w:rFonts w:eastAsia="仿宋_GB2312"/>
          <w:kern w:val="0"/>
          <w:sz w:val="32"/>
        </w:rPr>
        <w:t xml:space="preserve"> </w:t>
      </w:r>
      <w:r>
        <w:rPr>
          <w:rFonts w:eastAsia="仿宋_GB2312"/>
          <w:sz w:val="32"/>
          <w:szCs w:val="32"/>
        </w:rPr>
        <w:t>应明确未开封试剂的实际储存条件及有效期，开封后</w:t>
      </w:r>
      <w:r>
        <w:rPr>
          <w:rFonts w:hint="eastAsia" w:eastAsia="仿宋_GB2312"/>
          <w:sz w:val="32"/>
          <w:szCs w:val="32"/>
        </w:rPr>
        <w:t>试剂</w:t>
      </w:r>
      <w:r>
        <w:rPr>
          <w:rFonts w:eastAsia="仿宋_GB2312"/>
          <w:sz w:val="32"/>
          <w:szCs w:val="32"/>
        </w:rPr>
        <w:t>的待机稳定期或开瓶稳定期</w:t>
      </w:r>
      <w:r>
        <w:rPr>
          <w:rFonts w:eastAsia="仿宋_GB2312"/>
          <w:color w:val="000000"/>
          <w:kern w:val="0"/>
          <w:sz w:val="32"/>
          <w:szCs w:val="32"/>
        </w:rPr>
        <w:t>。如注册单元含</w:t>
      </w:r>
      <w:r>
        <w:rPr>
          <w:rFonts w:hint="eastAsia" w:eastAsia="仿宋_GB2312"/>
          <w:sz w:val="32"/>
          <w:szCs w:val="32"/>
        </w:rPr>
        <w:t>冻干粉</w:t>
      </w:r>
      <w:r>
        <w:rPr>
          <w:rFonts w:eastAsia="仿宋_GB2312"/>
          <w:sz w:val="32"/>
          <w:szCs w:val="32"/>
        </w:rPr>
        <w:t>状态的试剂</w:t>
      </w:r>
      <w:r>
        <w:rPr>
          <w:rFonts w:hint="eastAsia" w:eastAsia="仿宋_GB2312"/>
          <w:sz w:val="32"/>
          <w:szCs w:val="32"/>
        </w:rPr>
        <w:t>，</w:t>
      </w:r>
      <w:r>
        <w:rPr>
          <w:rFonts w:eastAsia="仿宋_GB2312"/>
          <w:sz w:val="32"/>
          <w:szCs w:val="32"/>
        </w:rPr>
        <w:t>应明确复溶稳定期。</w:t>
      </w:r>
    </w:p>
    <w:p w14:paraId="25433E9D">
      <w:pPr>
        <w:overflowPunct w:val="0"/>
        <w:spacing w:line="500" w:lineRule="exact"/>
        <w:ind w:firstLine="640" w:firstLineChars="200"/>
        <w:rPr>
          <w:rFonts w:eastAsia="仿宋_GB2312"/>
          <w:sz w:val="32"/>
        </w:rPr>
      </w:pPr>
      <w:r>
        <w:rPr>
          <w:rFonts w:hint="eastAsia" w:eastAsia="仿宋_GB2312"/>
          <w:kern w:val="0"/>
          <w:sz w:val="32"/>
        </w:rPr>
        <w:t>6</w:t>
      </w:r>
      <w:r>
        <w:rPr>
          <w:rFonts w:eastAsia="仿宋_GB2312"/>
          <w:kern w:val="0"/>
          <w:sz w:val="32"/>
        </w:rPr>
        <w:t xml:space="preserve">.2 </w:t>
      </w:r>
      <w:r>
        <w:rPr>
          <w:rFonts w:eastAsia="仿宋_GB2312"/>
          <w:sz w:val="32"/>
        </w:rPr>
        <w:t>如试剂盒各组分的稳定性不一致，则应对各组分的储存条件和有效期分别进行描述。</w:t>
      </w:r>
    </w:p>
    <w:p w14:paraId="1FC5DEC9">
      <w:pPr>
        <w:spacing w:line="560" w:lineRule="exact"/>
        <w:ind w:firstLine="640" w:firstLineChars="200"/>
        <w:rPr>
          <w:rFonts w:eastAsia="仿宋_GB2312"/>
          <w:sz w:val="32"/>
        </w:rPr>
      </w:pPr>
      <w:r>
        <w:rPr>
          <w:rFonts w:hint="eastAsia" w:eastAsia="仿宋_GB2312"/>
          <w:sz w:val="32"/>
        </w:rPr>
        <w:t>6</w:t>
      </w:r>
      <w:r>
        <w:rPr>
          <w:rFonts w:eastAsia="仿宋_GB2312"/>
          <w:sz w:val="32"/>
        </w:rPr>
        <w:t>.3 对于可以冷冻的试剂应注明冻融次数限制。</w:t>
      </w:r>
    </w:p>
    <w:p w14:paraId="05007F05">
      <w:pPr>
        <w:overflowPunct w:val="0"/>
        <w:spacing w:line="500" w:lineRule="exact"/>
        <w:ind w:firstLine="640" w:firstLineChars="200"/>
        <w:rPr>
          <w:rFonts w:eastAsia="仿宋_GB2312"/>
          <w:kern w:val="0"/>
          <w:sz w:val="32"/>
        </w:rPr>
      </w:pPr>
      <w:r>
        <w:rPr>
          <w:rFonts w:hint="eastAsia" w:eastAsia="仿宋_GB2312"/>
          <w:kern w:val="0"/>
          <w:sz w:val="32"/>
        </w:rPr>
        <w:t>6</w:t>
      </w:r>
      <w:r>
        <w:rPr>
          <w:rFonts w:eastAsia="仿宋_GB2312"/>
          <w:kern w:val="0"/>
          <w:sz w:val="32"/>
        </w:rPr>
        <w:t xml:space="preserve">.4 </w:t>
      </w:r>
      <w:r>
        <w:rPr>
          <w:rFonts w:eastAsia="仿宋_GB2312"/>
          <w:sz w:val="32"/>
          <w:szCs w:val="32"/>
        </w:rPr>
        <w:t>储存条件</w:t>
      </w:r>
      <w:r>
        <w:rPr>
          <w:rFonts w:hint="eastAsia" w:eastAsia="仿宋_GB2312"/>
          <w:sz w:val="32"/>
          <w:szCs w:val="32"/>
        </w:rPr>
        <w:t>和</w:t>
      </w:r>
      <w:r>
        <w:rPr>
          <w:rFonts w:eastAsia="仿宋_GB2312"/>
          <w:sz w:val="32"/>
          <w:szCs w:val="32"/>
        </w:rPr>
        <w:t>有效期</w:t>
      </w:r>
      <w:r>
        <w:rPr>
          <w:rFonts w:hint="eastAsia" w:eastAsia="仿宋_GB2312"/>
          <w:sz w:val="32"/>
          <w:szCs w:val="22"/>
        </w:rPr>
        <w:t>不应有模糊表述，</w:t>
      </w:r>
      <w:r>
        <w:rPr>
          <w:rFonts w:eastAsia="仿宋_GB2312"/>
          <w:sz w:val="32"/>
          <w:szCs w:val="32"/>
        </w:rPr>
        <w:t>如</w:t>
      </w:r>
      <w:r>
        <w:rPr>
          <w:rFonts w:eastAsia="仿宋_GB2312"/>
          <w:sz w:val="32"/>
        </w:rPr>
        <w:t>“常温”、</w:t>
      </w:r>
      <w:r>
        <w:rPr>
          <w:rFonts w:eastAsia="仿宋_GB2312"/>
          <w:sz w:val="32"/>
          <w:szCs w:val="32"/>
        </w:rPr>
        <w:t>“室温”，应明确贮存温度，如2</w:t>
      </w:r>
      <w:r>
        <w:rPr>
          <w:rFonts w:hint="eastAsia" w:ascii="宋体" w:hAnsi="宋体" w:cs="宋体"/>
          <w:sz w:val="32"/>
          <w:szCs w:val="32"/>
        </w:rPr>
        <w:t>℃</w:t>
      </w:r>
      <w:r>
        <w:rPr>
          <w:rFonts w:hint="eastAsia" w:eastAsia="仿宋_GB2312"/>
          <w:sz w:val="32"/>
          <w:szCs w:val="32"/>
        </w:rPr>
        <w:t>~</w:t>
      </w:r>
      <w:r>
        <w:rPr>
          <w:rFonts w:eastAsia="仿宋_GB2312"/>
          <w:sz w:val="32"/>
          <w:szCs w:val="32"/>
        </w:rPr>
        <w:t>8</w:t>
      </w:r>
      <w:r>
        <w:rPr>
          <w:rFonts w:hint="eastAsia" w:ascii="宋体" w:hAnsi="宋体" w:cs="宋体"/>
          <w:sz w:val="32"/>
          <w:szCs w:val="32"/>
        </w:rPr>
        <w:t>℃；</w:t>
      </w:r>
      <w:r>
        <w:rPr>
          <w:rFonts w:hint="eastAsia" w:eastAsia="仿宋_GB2312"/>
          <w:sz w:val="32"/>
          <w:szCs w:val="22"/>
        </w:rPr>
        <w:t>稳定期限应以月或日或小时为单位</w:t>
      </w:r>
      <w:r>
        <w:rPr>
          <w:rFonts w:eastAsia="仿宋_GB2312"/>
          <w:sz w:val="32"/>
          <w:szCs w:val="32"/>
        </w:rPr>
        <w:t>。</w:t>
      </w:r>
    </w:p>
    <w:p w14:paraId="77D7E813">
      <w:pPr>
        <w:spacing w:line="520" w:lineRule="exact"/>
        <w:ind w:firstLine="640" w:firstLineChars="200"/>
        <w:rPr>
          <w:rFonts w:ascii="仿宋_GB2312" w:eastAsia="仿宋_GB2312"/>
          <w:sz w:val="32"/>
          <w:szCs w:val="22"/>
        </w:rPr>
      </w:pPr>
      <w:r>
        <w:rPr>
          <w:rFonts w:hint="eastAsia" w:eastAsia="仿宋_GB2312"/>
          <w:sz w:val="32"/>
          <w:szCs w:val="22"/>
        </w:rPr>
        <w:t>6</w:t>
      </w:r>
      <w:r>
        <w:rPr>
          <w:rFonts w:eastAsia="仿宋_GB2312"/>
          <w:sz w:val="32"/>
          <w:szCs w:val="22"/>
        </w:rPr>
        <w:t xml:space="preserve">.5 </w:t>
      </w:r>
      <w:r>
        <w:rPr>
          <w:rFonts w:hint="eastAsia" w:ascii="仿宋_GB2312" w:eastAsia="仿宋_GB2312"/>
          <w:sz w:val="32"/>
        </w:rPr>
        <w:t>增加“生产日期、使用期限或者失效日期：见标签”的字样。</w:t>
      </w:r>
    </w:p>
    <w:p w14:paraId="30EF0FB9">
      <w:pPr>
        <w:overflowPunct w:val="0"/>
        <w:spacing w:line="500" w:lineRule="exact"/>
        <w:ind w:firstLine="640" w:firstLineChars="200"/>
        <w:rPr>
          <w:rFonts w:eastAsia="仿宋_GB2312"/>
          <w:kern w:val="0"/>
          <w:sz w:val="32"/>
        </w:rPr>
      </w:pPr>
      <w:r>
        <w:rPr>
          <w:rFonts w:hint="eastAsia" w:eastAsia="仿宋_GB2312"/>
          <w:kern w:val="0"/>
          <w:sz w:val="32"/>
        </w:rPr>
        <w:t>7</w:t>
      </w:r>
      <w:r>
        <w:rPr>
          <w:rFonts w:eastAsia="仿宋_GB2312"/>
          <w:kern w:val="0"/>
          <w:sz w:val="32"/>
        </w:rPr>
        <w:t>.【适用仪器】</w:t>
      </w:r>
    </w:p>
    <w:p w14:paraId="5E3AF88F">
      <w:pPr>
        <w:overflowPunct w:val="0"/>
        <w:spacing w:line="500" w:lineRule="exact"/>
        <w:ind w:firstLine="640" w:firstLineChars="200"/>
        <w:rPr>
          <w:rFonts w:eastAsia="仿宋_GB2312"/>
          <w:kern w:val="0"/>
          <w:sz w:val="32"/>
        </w:rPr>
      </w:pPr>
      <w:r>
        <w:rPr>
          <w:rFonts w:eastAsia="仿宋_GB2312"/>
          <w:kern w:val="0"/>
          <w:sz w:val="32"/>
        </w:rPr>
        <w:t>说明可适用的仪器及型号</w:t>
      </w:r>
      <w:r>
        <w:rPr>
          <w:rFonts w:hint="eastAsia" w:eastAsia="仿宋_GB2312"/>
          <w:kern w:val="0"/>
          <w:sz w:val="32"/>
        </w:rPr>
        <w:t>，</w:t>
      </w:r>
      <w:r>
        <w:rPr>
          <w:rFonts w:hint="eastAsia" w:eastAsia="仿宋_GB2312"/>
          <w:sz w:val="32"/>
        </w:rPr>
        <w:t>应写明具体适用仪器的型号，不能泛指某一系列仪器。</w:t>
      </w:r>
      <w:r>
        <w:rPr>
          <w:rFonts w:hint="eastAsia" w:eastAsia="仿宋_GB2312"/>
          <w:kern w:val="0"/>
          <w:sz w:val="32"/>
        </w:rPr>
        <w:t>适用仪器需写明厂家及型号，如不同包装规格适用于不同的机型，写明适用关系</w:t>
      </w:r>
      <w:r>
        <w:rPr>
          <w:rFonts w:eastAsia="仿宋_GB2312"/>
          <w:bCs/>
          <w:color w:val="000000"/>
          <w:sz w:val="32"/>
          <w:szCs w:val="32"/>
        </w:rPr>
        <w:t>，且与分析性能评估资料一致。</w:t>
      </w:r>
    </w:p>
    <w:p w14:paraId="175E6350">
      <w:pPr>
        <w:overflowPunct w:val="0"/>
        <w:spacing w:line="500" w:lineRule="exact"/>
        <w:ind w:firstLine="640" w:firstLineChars="200"/>
        <w:rPr>
          <w:rFonts w:eastAsia="仿宋_GB2312"/>
          <w:kern w:val="0"/>
          <w:sz w:val="32"/>
        </w:rPr>
      </w:pPr>
      <w:r>
        <w:rPr>
          <w:rFonts w:hint="eastAsia" w:eastAsia="仿宋_GB2312"/>
          <w:kern w:val="0"/>
          <w:sz w:val="32"/>
        </w:rPr>
        <w:t>8</w:t>
      </w:r>
      <w:r>
        <w:rPr>
          <w:rFonts w:eastAsia="仿宋_GB2312"/>
          <w:kern w:val="0"/>
          <w:sz w:val="32"/>
        </w:rPr>
        <w:t>.【样本要求】</w:t>
      </w:r>
    </w:p>
    <w:p w14:paraId="04495557">
      <w:pPr>
        <w:overflowPunct w:val="0"/>
        <w:spacing w:line="500" w:lineRule="exact"/>
        <w:ind w:firstLine="640" w:firstLineChars="200"/>
        <w:rPr>
          <w:rFonts w:eastAsia="仿宋_GB2312"/>
          <w:spacing w:val="-4"/>
          <w:kern w:val="0"/>
          <w:sz w:val="32"/>
        </w:rPr>
      </w:pPr>
      <w:r>
        <w:rPr>
          <w:rFonts w:hint="eastAsia" w:eastAsia="仿宋_GB2312"/>
          <w:kern w:val="0"/>
          <w:sz w:val="32"/>
        </w:rPr>
        <w:t>8.1</w:t>
      </w:r>
      <w:r>
        <w:rPr>
          <w:rFonts w:eastAsia="仿宋_GB2312"/>
          <w:kern w:val="0"/>
          <w:sz w:val="32"/>
        </w:rPr>
        <w:t xml:space="preserve"> </w:t>
      </w:r>
      <w:r>
        <w:rPr>
          <w:rFonts w:eastAsia="仿宋_GB2312"/>
          <w:spacing w:val="-4"/>
          <w:kern w:val="0"/>
          <w:sz w:val="32"/>
        </w:rPr>
        <w:t>明确本</w:t>
      </w:r>
      <w:r>
        <w:rPr>
          <w:rFonts w:hint="eastAsia" w:eastAsia="仿宋_GB2312"/>
          <w:spacing w:val="-4"/>
          <w:kern w:val="0"/>
          <w:sz w:val="32"/>
        </w:rPr>
        <w:t>产品</w:t>
      </w:r>
      <w:r>
        <w:rPr>
          <w:rFonts w:eastAsia="仿宋_GB2312"/>
          <w:spacing w:val="-4"/>
          <w:kern w:val="0"/>
          <w:sz w:val="32"/>
        </w:rPr>
        <w:t>适用的样本类型，血液样本应当说明对采血管及抗凝剂的要求，其他样本应说明样本采集、处理及保存方式。</w:t>
      </w:r>
    </w:p>
    <w:p w14:paraId="0FEA9A3A">
      <w:pPr>
        <w:overflowPunct w:val="0"/>
        <w:spacing w:line="500" w:lineRule="exact"/>
        <w:ind w:firstLine="640" w:firstLineChars="200"/>
        <w:rPr>
          <w:rFonts w:eastAsia="仿宋_GB2312"/>
          <w:bCs/>
          <w:color w:val="000000"/>
          <w:sz w:val="32"/>
          <w:szCs w:val="32"/>
        </w:rPr>
      </w:pPr>
      <w:r>
        <w:rPr>
          <w:rFonts w:hint="eastAsia" w:eastAsia="仿宋_GB2312"/>
          <w:kern w:val="0"/>
          <w:sz w:val="32"/>
        </w:rPr>
        <w:t xml:space="preserve">8.2 </w:t>
      </w:r>
      <w:r>
        <w:rPr>
          <w:rFonts w:eastAsia="仿宋_GB2312"/>
          <w:spacing w:val="-4"/>
          <w:kern w:val="0"/>
          <w:sz w:val="32"/>
        </w:rPr>
        <w:t>样本采集：采集时间点是否受临床症状、用药情况等因素的影响，尽量减少由于样本采集或处理不当对实验造成的影响。</w:t>
      </w:r>
      <w:r>
        <w:rPr>
          <w:rFonts w:eastAsia="仿宋_GB2312"/>
          <w:spacing w:val="-4"/>
          <w:kern w:val="0"/>
          <w:sz w:val="32"/>
        </w:rPr>
        <w:br w:type="textWrapping"/>
      </w:r>
      <w:r>
        <w:rPr>
          <w:rFonts w:eastAsia="仿宋_GB2312"/>
          <w:kern w:val="0"/>
          <w:sz w:val="32"/>
        </w:rPr>
        <w:t xml:space="preserve">   </w:t>
      </w:r>
      <w:r>
        <w:rPr>
          <w:rFonts w:hint="eastAsia" w:eastAsia="仿宋_GB2312"/>
          <w:kern w:val="0"/>
          <w:sz w:val="32"/>
        </w:rPr>
        <w:t xml:space="preserve"> 8.3 </w:t>
      </w:r>
      <w:r>
        <w:rPr>
          <w:rFonts w:eastAsia="仿宋_GB2312"/>
          <w:kern w:val="0"/>
          <w:sz w:val="32"/>
        </w:rPr>
        <w:t>样本处理、运送及保存：明确样本处理方法、样本的保存条件及期限（短期、长期）等。冷藏/冷冻样本检测前是否须恢复室温，冻融次数的要求。</w:t>
      </w:r>
      <w:r>
        <w:rPr>
          <w:rFonts w:eastAsia="仿宋_GB2312"/>
          <w:bCs/>
          <w:color w:val="000000"/>
          <w:sz w:val="32"/>
          <w:szCs w:val="32"/>
        </w:rPr>
        <w:t>如有需要，应对高于检测范围样本的稀释方法进行规定。</w:t>
      </w:r>
    </w:p>
    <w:p w14:paraId="32B252F5">
      <w:pPr>
        <w:overflowPunct w:val="0"/>
        <w:spacing w:line="500" w:lineRule="exact"/>
        <w:ind w:firstLine="640" w:firstLineChars="200"/>
        <w:rPr>
          <w:rFonts w:eastAsia="仿宋_GB2312"/>
          <w:kern w:val="0"/>
          <w:sz w:val="32"/>
        </w:rPr>
      </w:pPr>
      <w:r>
        <w:rPr>
          <w:rFonts w:hint="eastAsia" w:eastAsia="仿宋_GB2312"/>
          <w:kern w:val="0"/>
          <w:sz w:val="32"/>
        </w:rPr>
        <w:t xml:space="preserve">8.4 </w:t>
      </w:r>
      <w:r>
        <w:rPr>
          <w:rFonts w:hint="eastAsia" w:eastAsia="仿宋_GB2312"/>
          <w:sz w:val="32"/>
        </w:rPr>
        <w:t>应与样本稳定性的研究一致。</w:t>
      </w:r>
    </w:p>
    <w:p w14:paraId="7E25439D">
      <w:pPr>
        <w:overflowPunct w:val="0"/>
        <w:spacing w:line="500" w:lineRule="exact"/>
        <w:ind w:firstLine="640" w:firstLineChars="200"/>
        <w:rPr>
          <w:rFonts w:eastAsia="仿宋_GB2312"/>
          <w:kern w:val="0"/>
          <w:sz w:val="32"/>
        </w:rPr>
      </w:pPr>
      <w:r>
        <w:rPr>
          <w:rFonts w:hint="eastAsia" w:eastAsia="仿宋_GB2312"/>
          <w:kern w:val="0"/>
          <w:sz w:val="32"/>
        </w:rPr>
        <w:t>9</w:t>
      </w:r>
      <w:r>
        <w:rPr>
          <w:rFonts w:eastAsia="仿宋_GB2312"/>
          <w:kern w:val="0"/>
          <w:sz w:val="32"/>
        </w:rPr>
        <w:t>.【检验方法】</w:t>
      </w:r>
    </w:p>
    <w:p w14:paraId="769FCA3B">
      <w:pPr>
        <w:overflowPunct w:val="0"/>
        <w:spacing w:line="500" w:lineRule="exact"/>
        <w:ind w:firstLine="640" w:firstLineChars="200"/>
        <w:rPr>
          <w:rFonts w:eastAsia="仿宋_GB2312"/>
          <w:kern w:val="0"/>
          <w:sz w:val="32"/>
        </w:rPr>
      </w:pPr>
      <w:r>
        <w:rPr>
          <w:rFonts w:eastAsia="仿宋_GB2312"/>
          <w:kern w:val="0"/>
          <w:sz w:val="32"/>
        </w:rPr>
        <w:t>详细说明实验操作的各个步骤，包括：</w:t>
      </w:r>
      <w:r>
        <w:rPr>
          <w:rFonts w:eastAsia="仿宋_GB2312"/>
          <w:kern w:val="0"/>
          <w:sz w:val="32"/>
        </w:rPr>
        <w:br w:type="textWrapping"/>
      </w:r>
      <w:r>
        <w:rPr>
          <w:rFonts w:eastAsia="仿宋_GB2312"/>
          <w:kern w:val="0"/>
          <w:sz w:val="32"/>
        </w:rPr>
        <w:t xml:space="preserve">   </w:t>
      </w:r>
      <w:r>
        <w:rPr>
          <w:rFonts w:hint="eastAsia" w:eastAsia="仿宋_GB2312"/>
          <w:kern w:val="0"/>
          <w:sz w:val="32"/>
        </w:rPr>
        <w:t xml:space="preserve"> 9.1 </w:t>
      </w:r>
      <w:r>
        <w:rPr>
          <w:rFonts w:eastAsia="仿宋_GB2312"/>
          <w:kern w:val="0"/>
          <w:sz w:val="32"/>
        </w:rPr>
        <w:t>实验条件：实验环境的温度、湿度等注意事项，检验试剂及样本复温</w:t>
      </w:r>
      <w:r>
        <w:rPr>
          <w:rFonts w:hint="eastAsia" w:eastAsia="仿宋_GB2312"/>
          <w:kern w:val="0"/>
          <w:sz w:val="32"/>
        </w:rPr>
        <w:t>、</w:t>
      </w:r>
      <w:r>
        <w:rPr>
          <w:rFonts w:eastAsia="仿宋_GB2312"/>
          <w:sz w:val="32"/>
          <w:szCs w:val="32"/>
        </w:rPr>
        <w:t>试剂孵育温度</w:t>
      </w:r>
      <w:r>
        <w:rPr>
          <w:rFonts w:eastAsia="仿宋_GB2312"/>
          <w:kern w:val="0"/>
          <w:sz w:val="32"/>
        </w:rPr>
        <w:t>等要求。</w:t>
      </w:r>
      <w:r>
        <w:rPr>
          <w:rFonts w:eastAsia="仿宋_GB2312"/>
          <w:kern w:val="0"/>
          <w:sz w:val="32"/>
        </w:rPr>
        <w:br w:type="textWrapping"/>
      </w:r>
      <w:r>
        <w:rPr>
          <w:rFonts w:eastAsia="仿宋_GB2312"/>
          <w:kern w:val="0"/>
          <w:sz w:val="32"/>
        </w:rPr>
        <w:t xml:space="preserve">   </w:t>
      </w:r>
      <w:r>
        <w:rPr>
          <w:rFonts w:hint="eastAsia" w:eastAsia="仿宋_GB2312"/>
          <w:kern w:val="0"/>
          <w:sz w:val="32"/>
        </w:rPr>
        <w:t xml:space="preserve"> 9.2 </w:t>
      </w:r>
      <w:r>
        <w:rPr>
          <w:rFonts w:eastAsia="仿宋_GB2312"/>
          <w:kern w:val="0"/>
          <w:sz w:val="32"/>
        </w:rPr>
        <w:t>试剂准备及配制方法、注意事项。</w:t>
      </w:r>
      <w:r>
        <w:rPr>
          <w:rFonts w:eastAsia="仿宋_GB2312"/>
          <w:kern w:val="0"/>
          <w:sz w:val="32"/>
        </w:rPr>
        <w:br w:type="textWrapping"/>
      </w:r>
      <w:r>
        <w:rPr>
          <w:rFonts w:eastAsia="仿宋_GB2312"/>
          <w:kern w:val="0"/>
          <w:sz w:val="32"/>
        </w:rPr>
        <w:t xml:space="preserve">   </w:t>
      </w:r>
      <w:r>
        <w:rPr>
          <w:rFonts w:hint="eastAsia" w:eastAsia="仿宋_GB2312"/>
          <w:kern w:val="0"/>
          <w:sz w:val="32"/>
        </w:rPr>
        <w:t xml:space="preserve"> 9.3 </w:t>
      </w:r>
      <w:r>
        <w:rPr>
          <w:rFonts w:eastAsia="仿宋_GB2312"/>
          <w:kern w:val="0"/>
          <w:sz w:val="32"/>
        </w:rPr>
        <w:t>待测样本的预处理方法、步骤及注意事项。</w:t>
      </w:r>
      <w:r>
        <w:rPr>
          <w:rFonts w:eastAsia="仿宋_GB2312"/>
          <w:kern w:val="0"/>
          <w:sz w:val="32"/>
        </w:rPr>
        <w:br w:type="textWrapping"/>
      </w:r>
      <w:r>
        <w:rPr>
          <w:rFonts w:eastAsia="仿宋_GB2312"/>
          <w:kern w:val="0"/>
          <w:sz w:val="32"/>
        </w:rPr>
        <w:t xml:space="preserve">   </w:t>
      </w:r>
      <w:r>
        <w:rPr>
          <w:rFonts w:hint="eastAsia" w:eastAsia="仿宋_GB2312"/>
          <w:kern w:val="0"/>
          <w:sz w:val="32"/>
        </w:rPr>
        <w:t xml:space="preserve"> 9.4 </w:t>
      </w:r>
      <w:r>
        <w:rPr>
          <w:rFonts w:eastAsia="仿宋_GB2312"/>
          <w:kern w:val="0"/>
          <w:sz w:val="32"/>
        </w:rPr>
        <w:t>明确样本检测的</w:t>
      </w:r>
      <w:r>
        <w:rPr>
          <w:rFonts w:hint="eastAsia" w:eastAsia="仿宋_GB2312"/>
          <w:kern w:val="0"/>
          <w:sz w:val="32"/>
        </w:rPr>
        <w:t>具体</w:t>
      </w:r>
      <w:r>
        <w:rPr>
          <w:rFonts w:eastAsia="仿宋_GB2312"/>
          <w:kern w:val="0"/>
          <w:sz w:val="32"/>
        </w:rPr>
        <w:t>操作步骤</w:t>
      </w:r>
      <w:r>
        <w:rPr>
          <w:rFonts w:hint="eastAsia" w:eastAsia="仿宋_GB2312"/>
          <w:kern w:val="0"/>
          <w:sz w:val="32"/>
        </w:rPr>
        <w:t>，如</w:t>
      </w:r>
      <w:r>
        <w:rPr>
          <w:rFonts w:eastAsia="仿宋_GB2312"/>
          <w:sz w:val="32"/>
          <w:szCs w:val="32"/>
        </w:rPr>
        <w:t>样本</w:t>
      </w:r>
      <w:r>
        <w:rPr>
          <w:rFonts w:hint="eastAsia" w:eastAsia="仿宋_GB2312"/>
          <w:sz w:val="32"/>
          <w:szCs w:val="32"/>
        </w:rPr>
        <w:t>和</w:t>
      </w:r>
      <w:r>
        <w:rPr>
          <w:rFonts w:eastAsia="仿宋_GB2312"/>
          <w:sz w:val="32"/>
          <w:szCs w:val="32"/>
        </w:rPr>
        <w:t>试剂的加样量</w:t>
      </w:r>
      <w:r>
        <w:rPr>
          <w:rFonts w:hint="eastAsia" w:eastAsia="仿宋_GB2312"/>
          <w:sz w:val="32"/>
          <w:szCs w:val="32"/>
        </w:rPr>
        <w:t>、</w:t>
      </w:r>
      <w:r>
        <w:rPr>
          <w:rFonts w:eastAsia="仿宋_GB2312"/>
          <w:sz w:val="32"/>
          <w:szCs w:val="32"/>
        </w:rPr>
        <w:t>孵育时间及观察时间</w:t>
      </w:r>
      <w:r>
        <w:rPr>
          <w:rFonts w:hint="eastAsia" w:eastAsia="仿宋_GB2312"/>
          <w:sz w:val="32"/>
          <w:szCs w:val="32"/>
        </w:rPr>
        <w:t>等</w:t>
      </w:r>
      <w:r>
        <w:rPr>
          <w:rFonts w:eastAsia="仿宋_GB2312"/>
          <w:kern w:val="0"/>
          <w:sz w:val="32"/>
        </w:rPr>
        <w:t>。</w:t>
      </w:r>
    </w:p>
    <w:p w14:paraId="6B1E1E5C">
      <w:pPr>
        <w:overflowPunct w:val="0"/>
        <w:spacing w:line="500" w:lineRule="exact"/>
        <w:ind w:firstLine="640" w:firstLineChars="200"/>
        <w:rPr>
          <w:rFonts w:eastAsia="仿宋_GB2312"/>
          <w:kern w:val="0"/>
          <w:sz w:val="32"/>
        </w:rPr>
      </w:pPr>
      <w:r>
        <w:rPr>
          <w:rFonts w:hint="eastAsia" w:eastAsia="仿宋_GB2312"/>
          <w:kern w:val="0"/>
          <w:sz w:val="32"/>
        </w:rPr>
        <w:t xml:space="preserve">9.5 </w:t>
      </w:r>
      <w:r>
        <w:rPr>
          <w:rFonts w:eastAsia="仿宋_GB2312"/>
          <w:kern w:val="0"/>
          <w:sz w:val="32"/>
        </w:rPr>
        <w:t>校准：校准品的使用方法、注意事项、校准曲线的绘制方法。对</w:t>
      </w:r>
      <w:r>
        <w:rPr>
          <w:rFonts w:hint="eastAsia" w:eastAsia="仿宋_GB2312"/>
          <w:kern w:val="0"/>
          <w:sz w:val="32"/>
        </w:rPr>
        <w:t>适用于具有校准曲线保存功能检测</w:t>
      </w:r>
      <w:r>
        <w:rPr>
          <w:rFonts w:eastAsia="仿宋_GB2312"/>
          <w:kern w:val="0"/>
          <w:sz w:val="32"/>
        </w:rPr>
        <w:t>仪器</w:t>
      </w:r>
      <w:r>
        <w:rPr>
          <w:rFonts w:hint="eastAsia" w:eastAsia="仿宋_GB2312"/>
          <w:kern w:val="0"/>
          <w:sz w:val="32"/>
        </w:rPr>
        <w:t>的</w:t>
      </w:r>
      <w:r>
        <w:rPr>
          <w:rFonts w:eastAsia="仿宋_GB2312"/>
          <w:kern w:val="0"/>
          <w:sz w:val="32"/>
        </w:rPr>
        <w:t>产品，应注明校准周期。</w:t>
      </w:r>
    </w:p>
    <w:p w14:paraId="7D7FA308">
      <w:pPr>
        <w:overflowPunct w:val="0"/>
        <w:spacing w:line="500" w:lineRule="exact"/>
        <w:ind w:firstLine="640" w:firstLineChars="200"/>
        <w:rPr>
          <w:rFonts w:eastAsia="仿宋_GB2312"/>
          <w:kern w:val="0"/>
          <w:sz w:val="32"/>
        </w:rPr>
      </w:pPr>
      <w:r>
        <w:rPr>
          <w:rFonts w:hint="eastAsia" w:eastAsia="仿宋_GB2312"/>
          <w:kern w:val="0"/>
          <w:sz w:val="32"/>
        </w:rPr>
        <w:t xml:space="preserve">9.6 </w:t>
      </w:r>
      <w:r>
        <w:rPr>
          <w:rFonts w:eastAsia="仿宋_GB2312"/>
          <w:kern w:val="0"/>
          <w:sz w:val="32"/>
        </w:rPr>
        <w:t>质量控制：质控品的使用方法、对质控结果的必要解释以及推荐的质控周期等；建议在本部分注明以下字样：如果质控结果与预期不符，</w:t>
      </w:r>
      <w:r>
        <w:rPr>
          <w:rFonts w:hint="eastAsia" w:eastAsia="仿宋_GB2312"/>
          <w:kern w:val="0"/>
          <w:sz w:val="32"/>
        </w:rPr>
        <w:t>应分析原因并</w:t>
      </w:r>
      <w:r>
        <w:rPr>
          <w:rFonts w:eastAsia="仿宋_GB2312"/>
          <w:kern w:val="0"/>
          <w:sz w:val="32"/>
        </w:rPr>
        <w:t>采取纠正措施。</w:t>
      </w:r>
    </w:p>
    <w:p w14:paraId="249E749A">
      <w:pPr>
        <w:overflowPunct w:val="0"/>
        <w:spacing w:line="500" w:lineRule="exact"/>
        <w:ind w:firstLine="640" w:firstLineChars="200"/>
        <w:rPr>
          <w:rFonts w:eastAsia="仿宋_GB2312"/>
          <w:kern w:val="0"/>
          <w:sz w:val="32"/>
        </w:rPr>
      </w:pPr>
      <w:r>
        <w:rPr>
          <w:rFonts w:hint="eastAsia" w:eastAsia="仿宋_GB2312"/>
          <w:kern w:val="0"/>
          <w:sz w:val="32"/>
        </w:rPr>
        <w:t>10</w:t>
      </w:r>
      <w:r>
        <w:rPr>
          <w:rFonts w:eastAsia="仿宋_GB2312"/>
          <w:kern w:val="0"/>
          <w:sz w:val="32"/>
        </w:rPr>
        <w:t>.【参考区间】</w:t>
      </w:r>
    </w:p>
    <w:p w14:paraId="06475C5B">
      <w:pPr>
        <w:overflowPunct w:val="0"/>
        <w:spacing w:line="480" w:lineRule="exact"/>
        <w:ind w:firstLine="640" w:firstLineChars="200"/>
        <w:rPr>
          <w:rFonts w:eastAsia="仿宋_GB2312"/>
          <w:kern w:val="0"/>
          <w:sz w:val="32"/>
        </w:rPr>
      </w:pPr>
      <w:r>
        <w:rPr>
          <w:rFonts w:hint="eastAsia" w:eastAsia="仿宋_GB2312"/>
          <w:kern w:val="0"/>
          <w:sz w:val="32"/>
        </w:rPr>
        <w:t>应注明常用样本类型的正常参考区间，简单介绍设定该参考区间所选健康人群的区域特征，建议注明“由于地理、人种、性别及年龄等差异，建议各实验室建立自己的参考区间”。</w:t>
      </w:r>
    </w:p>
    <w:p w14:paraId="51417493">
      <w:pPr>
        <w:overflowPunct w:val="0"/>
        <w:spacing w:line="480" w:lineRule="exact"/>
        <w:ind w:firstLine="640" w:firstLineChars="200"/>
        <w:rPr>
          <w:rFonts w:eastAsia="仿宋_GB2312"/>
          <w:kern w:val="0"/>
          <w:sz w:val="32"/>
        </w:rPr>
      </w:pPr>
      <w:r>
        <w:rPr>
          <w:rFonts w:hint="eastAsia" w:eastAsia="仿宋_GB2312"/>
          <w:kern w:val="0"/>
          <w:sz w:val="32"/>
        </w:rPr>
        <w:t>11</w:t>
      </w:r>
      <w:r>
        <w:rPr>
          <w:rFonts w:eastAsia="仿宋_GB2312"/>
          <w:kern w:val="0"/>
          <w:sz w:val="32"/>
        </w:rPr>
        <w:t>.【检验结果的解释】</w:t>
      </w:r>
      <w:r>
        <w:rPr>
          <w:rFonts w:eastAsia="仿宋_GB2312"/>
          <w:kern w:val="0"/>
          <w:sz w:val="32"/>
        </w:rPr>
        <w:br w:type="textWrapping"/>
      </w:r>
      <w:r>
        <w:rPr>
          <w:rFonts w:eastAsia="仿宋_GB2312"/>
          <w:kern w:val="0"/>
          <w:sz w:val="32"/>
        </w:rPr>
        <w:t xml:space="preserve">    对可能出现的结果进行合理的解释：</w:t>
      </w:r>
    </w:p>
    <w:p w14:paraId="3BBCBC57">
      <w:pPr>
        <w:overflowPunct w:val="0"/>
        <w:spacing w:line="480" w:lineRule="exact"/>
        <w:ind w:firstLine="640" w:firstLineChars="200"/>
        <w:rPr>
          <w:rFonts w:eastAsia="仿宋_GB2312"/>
          <w:sz w:val="32"/>
        </w:rPr>
      </w:pPr>
      <w:r>
        <w:rPr>
          <w:rFonts w:hint="eastAsia" w:eastAsia="仿宋_GB2312"/>
          <w:kern w:val="0"/>
          <w:sz w:val="32"/>
        </w:rPr>
        <w:t xml:space="preserve">11.1 </w:t>
      </w:r>
      <w:r>
        <w:rPr>
          <w:rFonts w:hint="eastAsia" w:eastAsia="仿宋_GB2312"/>
          <w:sz w:val="32"/>
        </w:rPr>
        <w:t>说明可能对试验结果产生影响的因素；说明在何种情况下需要进行确认试验。</w:t>
      </w:r>
    </w:p>
    <w:p w14:paraId="04661DEB">
      <w:pPr>
        <w:overflowPunct w:val="0"/>
        <w:spacing w:line="480" w:lineRule="exact"/>
        <w:ind w:firstLine="640" w:firstLineChars="200"/>
        <w:rPr>
          <w:rFonts w:eastAsia="仿宋_GB2312"/>
          <w:kern w:val="0"/>
          <w:sz w:val="32"/>
        </w:rPr>
      </w:pPr>
      <w:r>
        <w:rPr>
          <w:rFonts w:hint="eastAsia" w:eastAsia="仿宋_GB2312"/>
          <w:kern w:val="0"/>
          <w:sz w:val="32"/>
        </w:rPr>
        <w:t>11.</w:t>
      </w:r>
      <w:r>
        <w:rPr>
          <w:rFonts w:eastAsia="仿宋_GB2312"/>
          <w:kern w:val="0"/>
          <w:sz w:val="32"/>
        </w:rPr>
        <w:t>2</w:t>
      </w:r>
      <w:r>
        <w:rPr>
          <w:rFonts w:hint="eastAsia" w:eastAsia="仿宋_GB2312"/>
          <w:kern w:val="0"/>
          <w:sz w:val="32"/>
        </w:rPr>
        <w:t xml:space="preserve"> </w:t>
      </w:r>
      <w:r>
        <w:rPr>
          <w:rFonts w:eastAsia="仿宋_GB2312"/>
          <w:kern w:val="0"/>
          <w:sz w:val="32"/>
        </w:rPr>
        <w:t>超出检测范围的样本怎样报告结果，如要得到准确的结果需怎样处理</w:t>
      </w:r>
      <w:r>
        <w:rPr>
          <w:rFonts w:hint="eastAsia" w:eastAsia="仿宋_GB2312"/>
          <w:kern w:val="0"/>
          <w:sz w:val="32"/>
        </w:rPr>
        <w:t>，</w:t>
      </w:r>
      <w:r>
        <w:rPr>
          <w:rFonts w:eastAsia="仿宋_GB2312"/>
          <w:kern w:val="0"/>
          <w:sz w:val="32"/>
        </w:rPr>
        <w:t>如需稀释，应注明</w:t>
      </w:r>
      <w:r>
        <w:rPr>
          <w:rFonts w:hint="eastAsia" w:eastAsia="仿宋_GB2312"/>
          <w:kern w:val="0"/>
          <w:sz w:val="32"/>
        </w:rPr>
        <w:t>稀释方法、</w:t>
      </w:r>
      <w:r>
        <w:rPr>
          <w:rFonts w:eastAsia="仿宋_GB2312"/>
          <w:kern w:val="0"/>
          <w:sz w:val="32"/>
        </w:rPr>
        <w:t>最佳或最大稀释比例</w:t>
      </w:r>
      <w:r>
        <w:rPr>
          <w:rFonts w:hint="eastAsia" w:eastAsia="仿宋_GB2312"/>
          <w:kern w:val="0"/>
          <w:sz w:val="32"/>
        </w:rPr>
        <w:t>等</w:t>
      </w:r>
      <w:r>
        <w:rPr>
          <w:rFonts w:eastAsia="仿宋_GB2312"/>
          <w:kern w:val="0"/>
          <w:sz w:val="32"/>
        </w:rPr>
        <w:t>。</w:t>
      </w:r>
    </w:p>
    <w:p w14:paraId="5C9685D4">
      <w:pPr>
        <w:overflowPunct w:val="0"/>
        <w:spacing w:line="48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2</w:t>
      </w:r>
      <w:r>
        <w:rPr>
          <w:rFonts w:eastAsia="仿宋_GB2312"/>
          <w:kern w:val="0"/>
          <w:sz w:val="32"/>
        </w:rPr>
        <w:t>.【检验方法</w:t>
      </w:r>
      <w:r>
        <w:rPr>
          <w:rFonts w:hint="eastAsia" w:eastAsia="仿宋_GB2312"/>
          <w:kern w:val="0"/>
          <w:sz w:val="32"/>
        </w:rPr>
        <w:t>的</w:t>
      </w:r>
      <w:r>
        <w:rPr>
          <w:rFonts w:eastAsia="仿宋_GB2312"/>
          <w:kern w:val="0"/>
          <w:sz w:val="32"/>
        </w:rPr>
        <w:t>局限性】</w:t>
      </w:r>
    </w:p>
    <w:p w14:paraId="52CDB5E2">
      <w:pPr>
        <w:overflowPunct w:val="0"/>
        <w:spacing w:line="520" w:lineRule="exact"/>
        <w:ind w:firstLine="640" w:firstLineChars="200"/>
        <w:rPr>
          <w:rFonts w:eastAsia="仿宋_GB2312"/>
          <w:color w:val="000000"/>
          <w:sz w:val="32"/>
          <w:szCs w:val="32"/>
        </w:rPr>
      </w:pPr>
      <w:r>
        <w:rPr>
          <w:rFonts w:eastAsia="仿宋_GB2312"/>
          <w:color w:val="000000"/>
          <w:sz w:val="32"/>
          <w:szCs w:val="32"/>
        </w:rPr>
        <w:t>说明检测结果仅供临床参考，不能单独作为确诊或排除病例的依据</w:t>
      </w:r>
      <w:r>
        <w:rPr>
          <w:rFonts w:hint="eastAsia" w:eastAsia="仿宋_GB2312"/>
          <w:color w:val="000000"/>
          <w:sz w:val="32"/>
          <w:szCs w:val="32"/>
        </w:rPr>
        <w:t>。</w:t>
      </w:r>
      <w:r>
        <w:rPr>
          <w:rFonts w:eastAsia="仿宋_GB2312"/>
          <w:color w:val="000000"/>
          <w:sz w:val="32"/>
          <w:szCs w:val="32"/>
        </w:rPr>
        <w:t>说明可能对试验结果产生影响的因素，</w:t>
      </w:r>
      <w:r>
        <w:rPr>
          <w:rFonts w:eastAsia="仿宋_GB2312"/>
          <w:color w:val="000000"/>
          <w:kern w:val="0"/>
          <w:sz w:val="32"/>
          <w:szCs w:val="32"/>
        </w:rPr>
        <w:t>明确常见干扰物质对检测结果的影响，企业可根据自身情况，结合分析性能评估中的干扰试验进行说明，</w:t>
      </w:r>
      <w:r>
        <w:rPr>
          <w:rFonts w:hint="eastAsia" w:eastAsia="仿宋_GB2312"/>
          <w:sz w:val="32"/>
          <w:szCs w:val="22"/>
        </w:rPr>
        <w:t>结果应量化表示，</w:t>
      </w:r>
      <w:r>
        <w:rPr>
          <w:rFonts w:eastAsia="仿宋_GB2312"/>
          <w:color w:val="000000"/>
          <w:kern w:val="0"/>
          <w:sz w:val="32"/>
          <w:szCs w:val="32"/>
        </w:rPr>
        <w:t>不应使用模糊的描述方式。不建议使用存在明显干扰物如乳糜、黄疸等样本。</w:t>
      </w:r>
    </w:p>
    <w:p w14:paraId="48154A85">
      <w:pPr>
        <w:overflowPunct w:val="0"/>
        <w:spacing w:line="48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3</w:t>
      </w:r>
      <w:r>
        <w:rPr>
          <w:rFonts w:eastAsia="仿宋_GB2312"/>
          <w:kern w:val="0"/>
          <w:sz w:val="32"/>
        </w:rPr>
        <w:t xml:space="preserve">.【产品性能指标】 </w:t>
      </w:r>
    </w:p>
    <w:p w14:paraId="73D8AD60">
      <w:pPr>
        <w:overflowPunct w:val="0"/>
        <w:spacing w:line="500" w:lineRule="exact"/>
        <w:ind w:firstLine="640" w:firstLineChars="200"/>
        <w:rPr>
          <w:rFonts w:eastAsia="仿宋_GB2312"/>
          <w:sz w:val="32"/>
        </w:rPr>
      </w:pPr>
      <w:r>
        <w:rPr>
          <w:rFonts w:eastAsia="仿宋_GB2312"/>
          <w:kern w:val="0"/>
          <w:sz w:val="32"/>
        </w:rPr>
        <w:t>根</w:t>
      </w:r>
      <w:r>
        <w:rPr>
          <w:rFonts w:eastAsia="仿宋_GB2312"/>
          <w:spacing w:val="-6"/>
          <w:kern w:val="0"/>
          <w:sz w:val="32"/>
        </w:rPr>
        <w:t>据产品技术要求对性能指标进行描述。</w:t>
      </w:r>
      <w:r>
        <w:rPr>
          <w:rFonts w:hint="eastAsia" w:eastAsia="仿宋_GB2312"/>
          <w:sz w:val="32"/>
        </w:rPr>
        <w:t>应至少包括：检出限、准确度、线性、重复性、批间差等。</w:t>
      </w:r>
    </w:p>
    <w:p w14:paraId="5A802CA4">
      <w:pPr>
        <w:overflowPunct w:val="0"/>
        <w:spacing w:line="50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4</w:t>
      </w:r>
      <w:r>
        <w:rPr>
          <w:rFonts w:eastAsia="仿宋_GB2312"/>
          <w:kern w:val="0"/>
          <w:sz w:val="32"/>
        </w:rPr>
        <w:t>.【注意事项】</w:t>
      </w:r>
    </w:p>
    <w:p w14:paraId="0B2426F9">
      <w:pPr>
        <w:spacing w:line="520" w:lineRule="exact"/>
        <w:ind w:firstLine="640" w:firstLineChars="200"/>
        <w:rPr>
          <w:rFonts w:eastAsia="仿宋_GB2312"/>
          <w:sz w:val="32"/>
        </w:rPr>
      </w:pPr>
      <w:r>
        <w:rPr>
          <w:rFonts w:eastAsia="仿宋_GB2312"/>
          <w:kern w:val="0"/>
          <w:sz w:val="32"/>
        </w:rPr>
        <w:t xml:space="preserve">14.1 </w:t>
      </w:r>
      <w:r>
        <w:rPr>
          <w:rFonts w:hint="eastAsia" w:eastAsia="仿宋_GB2312"/>
          <w:sz w:val="32"/>
        </w:rPr>
        <w:t>本试剂的检测结果仅供临床参考，对患者的临床诊治应结合其症状</w:t>
      </w:r>
      <w:r>
        <w:rPr>
          <w:rFonts w:eastAsia="仿宋_GB2312"/>
          <w:sz w:val="32"/>
        </w:rPr>
        <w:t>/</w:t>
      </w:r>
      <w:r>
        <w:rPr>
          <w:rFonts w:hint="eastAsia" w:eastAsia="仿宋_GB2312"/>
          <w:sz w:val="32"/>
        </w:rPr>
        <w:t>体征、病史、其他实验室检查及治疗反应等情况综合考虑。</w:t>
      </w:r>
    </w:p>
    <w:p w14:paraId="04F7E81E">
      <w:pPr>
        <w:spacing w:line="520" w:lineRule="exact"/>
        <w:ind w:firstLine="640" w:firstLineChars="200"/>
        <w:rPr>
          <w:rFonts w:eastAsia="仿宋_GB2312"/>
          <w:sz w:val="32"/>
        </w:rPr>
      </w:pPr>
      <w:r>
        <w:rPr>
          <w:rFonts w:hint="eastAsia" w:eastAsia="仿宋_GB2312"/>
          <w:sz w:val="32"/>
        </w:rPr>
        <w:t>14.2 仅用于体外诊断。</w:t>
      </w:r>
    </w:p>
    <w:p w14:paraId="0DED754D">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14.3如该产品含有人源或动物源性物质，应给出具有潜在感染性的警告。如：试剂盒内的质控品、校准品或其他人源组分，虽已经通过了HBs-Ag、HIV1/2-Ab、HCV-Ab和Anti-TP等项目的检测，但截至目前，没有任何一项检测可以确保绝对安全，故仍应将这些组分作为潜在传染源对待。</w:t>
      </w:r>
    </w:p>
    <w:p w14:paraId="0393607B">
      <w:pPr>
        <w:overflowPunct w:val="0"/>
        <w:spacing w:line="500" w:lineRule="exact"/>
        <w:ind w:firstLine="640" w:firstLineChars="200"/>
        <w:rPr>
          <w:rFonts w:eastAsia="仿宋_GB2312"/>
          <w:kern w:val="0"/>
          <w:sz w:val="32"/>
        </w:rPr>
      </w:pPr>
      <w:r>
        <w:rPr>
          <w:rFonts w:hint="eastAsia" w:eastAsia="仿宋_GB2312"/>
          <w:kern w:val="0"/>
          <w:sz w:val="32"/>
        </w:rPr>
        <w:t>14.4 使用不同生产商的试剂对同一份样本进行检测可能会存在差异</w:t>
      </w:r>
      <w:r>
        <w:rPr>
          <w:rFonts w:eastAsia="仿宋_GB2312"/>
          <w:kern w:val="0"/>
          <w:sz w:val="32"/>
        </w:rPr>
        <w:t>。</w:t>
      </w:r>
    </w:p>
    <w:p w14:paraId="47E8F87E">
      <w:pPr>
        <w:overflowPunct w:val="0"/>
        <w:spacing w:line="500" w:lineRule="exact"/>
        <w:ind w:firstLine="640" w:firstLineChars="200"/>
        <w:rPr>
          <w:rFonts w:eastAsia="仿宋_GB2312"/>
          <w:kern w:val="0"/>
          <w:sz w:val="32"/>
        </w:rPr>
      </w:pPr>
      <w:r>
        <w:rPr>
          <w:rFonts w:hint="eastAsia" w:eastAsia="仿宋_GB2312"/>
          <w:kern w:val="0"/>
          <w:sz w:val="32"/>
        </w:rPr>
        <w:t xml:space="preserve">14.5 </w:t>
      </w:r>
      <w:r>
        <w:rPr>
          <w:rFonts w:eastAsia="仿宋_GB2312"/>
          <w:color w:val="000000"/>
          <w:kern w:val="0"/>
          <w:sz w:val="32"/>
          <w:szCs w:val="32"/>
        </w:rPr>
        <w:t>说明对所有样本和反应废弃物都应视为传染源对待，废弃物应当按当地法规处置等。</w:t>
      </w:r>
    </w:p>
    <w:p w14:paraId="06F97379">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14.6其他需要说明的注意事项。</w:t>
      </w:r>
    </w:p>
    <w:p w14:paraId="2A7B282C">
      <w:pPr>
        <w:overflowPunct w:val="0"/>
        <w:spacing w:line="50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5</w:t>
      </w:r>
      <w:r>
        <w:rPr>
          <w:rFonts w:eastAsia="仿宋_GB2312"/>
          <w:kern w:val="0"/>
          <w:sz w:val="32"/>
        </w:rPr>
        <w:t>.【标识的解释】</w:t>
      </w:r>
    </w:p>
    <w:p w14:paraId="3419AF2E">
      <w:pPr>
        <w:overflowPunct w:val="0"/>
        <w:spacing w:line="520" w:lineRule="exact"/>
        <w:ind w:firstLine="640" w:firstLineChars="200"/>
        <w:rPr>
          <w:rFonts w:eastAsia="仿宋_GB2312"/>
          <w:color w:val="000000"/>
          <w:sz w:val="32"/>
          <w:szCs w:val="32"/>
        </w:rPr>
      </w:pPr>
      <w:r>
        <w:rPr>
          <w:rFonts w:eastAsia="仿宋_GB2312"/>
          <w:color w:val="000000"/>
          <w:kern w:val="0"/>
          <w:sz w:val="32"/>
          <w:szCs w:val="32"/>
        </w:rPr>
        <w:t>如有图形或符号，请解释其代表的意义。可参考相关标准：YY/T 0466.1-2016。</w:t>
      </w:r>
    </w:p>
    <w:p w14:paraId="70010A91">
      <w:pPr>
        <w:overflowPunct w:val="0"/>
        <w:spacing w:line="50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6</w:t>
      </w:r>
      <w:r>
        <w:rPr>
          <w:rFonts w:eastAsia="仿宋_GB2312"/>
          <w:kern w:val="0"/>
          <w:sz w:val="32"/>
        </w:rPr>
        <w:t>.【参考文献】</w:t>
      </w:r>
    </w:p>
    <w:p w14:paraId="72FF5A07">
      <w:pPr>
        <w:overflowPunct w:val="0"/>
        <w:spacing w:line="500" w:lineRule="exact"/>
        <w:ind w:firstLine="640" w:firstLineChars="200"/>
        <w:rPr>
          <w:rFonts w:eastAsia="仿宋_GB2312"/>
          <w:kern w:val="0"/>
          <w:sz w:val="32"/>
        </w:rPr>
      </w:pPr>
      <w:r>
        <w:rPr>
          <w:rFonts w:eastAsia="仿宋_GB2312"/>
          <w:kern w:val="0"/>
          <w:sz w:val="32"/>
        </w:rPr>
        <w:t>注明引用的参考文献，并在说明书相应内容处标注参考文献编号。</w:t>
      </w:r>
      <w:r>
        <w:rPr>
          <w:rFonts w:eastAsia="仿宋_GB2312"/>
          <w:bCs/>
          <w:sz w:val="32"/>
          <w:szCs w:val="32"/>
        </w:rPr>
        <w:t>参考文献的格式</w:t>
      </w:r>
      <w:r>
        <w:rPr>
          <w:rFonts w:hint="eastAsia" w:eastAsia="仿宋_GB2312"/>
          <w:bCs/>
          <w:sz w:val="32"/>
          <w:szCs w:val="32"/>
        </w:rPr>
        <w:t>应规范</w:t>
      </w:r>
      <w:r>
        <w:rPr>
          <w:rFonts w:eastAsia="仿宋_GB2312"/>
          <w:bCs/>
          <w:sz w:val="32"/>
          <w:szCs w:val="32"/>
        </w:rPr>
        <w:t>。</w:t>
      </w:r>
    </w:p>
    <w:p w14:paraId="492DBA66">
      <w:pPr>
        <w:overflowPunct w:val="0"/>
        <w:spacing w:line="50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7</w:t>
      </w:r>
      <w:r>
        <w:rPr>
          <w:rFonts w:eastAsia="仿宋_GB2312"/>
          <w:kern w:val="0"/>
          <w:sz w:val="32"/>
        </w:rPr>
        <w:t>.【基本信息】</w:t>
      </w:r>
    </w:p>
    <w:p w14:paraId="7A54BEA2">
      <w:pPr>
        <w:overflowPunct w:val="0"/>
        <w:spacing w:line="500" w:lineRule="exact"/>
        <w:ind w:firstLine="640" w:firstLineChars="200"/>
        <w:rPr>
          <w:rFonts w:eastAsia="仿宋_GB2312"/>
          <w:kern w:val="0"/>
          <w:sz w:val="32"/>
        </w:rPr>
      </w:pPr>
      <w:r>
        <w:rPr>
          <w:rFonts w:eastAsia="仿宋_GB2312"/>
          <w:kern w:val="0"/>
          <w:sz w:val="32"/>
        </w:rPr>
        <w:t>根据</w:t>
      </w:r>
      <w:r>
        <w:rPr>
          <w:rFonts w:hint="eastAsia" w:eastAsia="仿宋_GB2312"/>
          <w:kern w:val="0"/>
          <w:sz w:val="32"/>
        </w:rPr>
        <w:t>《关于发布体外诊断试剂说明书编写指导原则的通告》（国家食品药品监督管理总局通告2014年第17号）</w:t>
      </w:r>
      <w:r>
        <w:rPr>
          <w:rFonts w:eastAsia="仿宋_GB2312"/>
          <w:kern w:val="0"/>
          <w:sz w:val="32"/>
        </w:rPr>
        <w:t>的要求编写。</w:t>
      </w:r>
    </w:p>
    <w:p w14:paraId="68A7666E">
      <w:pPr>
        <w:overflowPunct w:val="0"/>
        <w:spacing w:line="50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8</w:t>
      </w:r>
      <w:r>
        <w:rPr>
          <w:rFonts w:eastAsia="仿宋_GB2312"/>
          <w:kern w:val="0"/>
          <w:sz w:val="32"/>
        </w:rPr>
        <w:t>.【医疗器械注册证编号/产品技术要求编号】</w:t>
      </w:r>
    </w:p>
    <w:p w14:paraId="79117E9F">
      <w:pPr>
        <w:overflowPunct w:val="0"/>
        <w:spacing w:line="500" w:lineRule="exact"/>
        <w:ind w:firstLine="640" w:firstLineChars="200"/>
        <w:rPr>
          <w:rFonts w:eastAsia="仿宋_GB2312"/>
          <w:kern w:val="0"/>
          <w:sz w:val="32"/>
        </w:rPr>
      </w:pPr>
      <w:r>
        <w:rPr>
          <w:rFonts w:eastAsia="仿宋_GB2312"/>
          <w:kern w:val="0"/>
          <w:sz w:val="32"/>
        </w:rPr>
        <w:t>注明该产品的注册证编号/产品技术要求编号。</w:t>
      </w:r>
    </w:p>
    <w:p w14:paraId="2F3392D9">
      <w:pPr>
        <w:overflowPunct w:val="0"/>
        <w:spacing w:line="500" w:lineRule="exact"/>
        <w:ind w:firstLine="640" w:firstLineChars="200"/>
        <w:rPr>
          <w:rFonts w:eastAsia="仿宋_GB2312"/>
          <w:kern w:val="0"/>
          <w:sz w:val="32"/>
        </w:rPr>
      </w:pPr>
      <w:r>
        <w:rPr>
          <w:rFonts w:eastAsia="仿宋_GB2312"/>
          <w:kern w:val="0"/>
          <w:sz w:val="32"/>
        </w:rPr>
        <w:t>1</w:t>
      </w:r>
      <w:r>
        <w:rPr>
          <w:rFonts w:hint="eastAsia" w:eastAsia="仿宋_GB2312"/>
          <w:kern w:val="0"/>
          <w:sz w:val="32"/>
        </w:rPr>
        <w:t>9</w:t>
      </w:r>
      <w:r>
        <w:rPr>
          <w:rFonts w:eastAsia="仿宋_GB2312"/>
          <w:kern w:val="0"/>
          <w:sz w:val="32"/>
        </w:rPr>
        <w:t>.【说明书核准</w:t>
      </w:r>
      <w:r>
        <w:rPr>
          <w:rFonts w:hint="eastAsia" w:eastAsia="仿宋_GB2312"/>
          <w:kern w:val="0"/>
          <w:sz w:val="32"/>
        </w:rPr>
        <w:t>日期</w:t>
      </w:r>
      <w:r>
        <w:rPr>
          <w:rFonts w:eastAsia="仿宋_GB2312"/>
          <w:kern w:val="0"/>
          <w:sz w:val="32"/>
        </w:rPr>
        <w:t>及修改日期】</w:t>
      </w:r>
    </w:p>
    <w:p w14:paraId="689556B0">
      <w:pPr>
        <w:overflowPunct w:val="0"/>
        <w:spacing w:line="500" w:lineRule="exact"/>
        <w:ind w:firstLine="640" w:firstLineChars="200"/>
        <w:rPr>
          <w:rFonts w:eastAsia="仿宋_GB2312"/>
          <w:kern w:val="0"/>
          <w:sz w:val="32"/>
        </w:rPr>
      </w:pPr>
      <w:r>
        <w:rPr>
          <w:rFonts w:eastAsia="仿宋_GB2312"/>
          <w:kern w:val="0"/>
          <w:sz w:val="32"/>
        </w:rPr>
        <w:t>注明该产品说明书的核准日期。如曾进行过说明书的变更申请，还应该同时注明说明书的修改日期。</w:t>
      </w:r>
    </w:p>
    <w:p w14:paraId="55205AE6">
      <w:pPr>
        <w:overflowPunct w:val="0"/>
        <w:spacing w:line="500" w:lineRule="exact"/>
        <w:ind w:firstLine="640" w:firstLineChars="200"/>
        <w:outlineLvl w:val="0"/>
        <w:rPr>
          <w:rFonts w:ascii="Cambria" w:hAnsi="Cambria" w:eastAsia="黑体"/>
          <w:bCs/>
          <w:kern w:val="28"/>
          <w:sz w:val="32"/>
          <w:szCs w:val="32"/>
        </w:rPr>
      </w:pPr>
      <w:r>
        <w:rPr>
          <w:rFonts w:ascii="Cambria" w:hAnsi="Cambria" w:eastAsia="黑体"/>
          <w:bCs/>
          <w:kern w:val="28"/>
          <w:sz w:val="32"/>
          <w:szCs w:val="32"/>
        </w:rPr>
        <w:t>三、审查关注点</w:t>
      </w:r>
    </w:p>
    <w:p w14:paraId="554C0BDC">
      <w:pPr>
        <w:overflowPunct w:val="0"/>
        <w:spacing w:line="500" w:lineRule="exact"/>
        <w:ind w:firstLine="640" w:firstLineChars="200"/>
        <w:rPr>
          <w:rFonts w:eastAsia="仿宋_GB2312"/>
          <w:kern w:val="0"/>
          <w:sz w:val="32"/>
        </w:rPr>
      </w:pPr>
      <w:r>
        <w:rPr>
          <w:rFonts w:hint="eastAsia" w:eastAsia="仿宋_GB2312"/>
          <w:kern w:val="0"/>
          <w:sz w:val="32"/>
        </w:rPr>
        <w:t>（一）</w:t>
      </w:r>
      <w:r>
        <w:rPr>
          <w:rFonts w:eastAsia="仿宋_GB2312"/>
          <w:kern w:val="0"/>
          <w:sz w:val="32"/>
        </w:rPr>
        <w:t>技术要求中性能指标的设定及检验方法是否</w:t>
      </w:r>
      <w:r>
        <w:rPr>
          <w:rFonts w:hint="eastAsia" w:eastAsia="仿宋_GB2312"/>
          <w:kern w:val="0"/>
          <w:sz w:val="32"/>
        </w:rPr>
        <w:t>符合</w:t>
      </w:r>
      <w:r>
        <w:rPr>
          <w:rFonts w:eastAsia="仿宋_GB2312"/>
          <w:kern w:val="0"/>
          <w:sz w:val="32"/>
        </w:rPr>
        <w:t>相关行业标准的要求；技术要求的格式是否符合</w:t>
      </w:r>
      <w:r>
        <w:rPr>
          <w:rFonts w:hint="eastAsia" w:eastAsia="仿宋_GB2312"/>
          <w:kern w:val="0"/>
          <w:sz w:val="32"/>
        </w:rPr>
        <w:t>《关于发布医疗器械产品技术要求编写指导原则的通告》（国家食品药品监督管理总局通告2014年第9号）</w:t>
      </w:r>
      <w:r>
        <w:rPr>
          <w:rFonts w:eastAsia="仿宋_GB2312"/>
          <w:kern w:val="0"/>
          <w:sz w:val="32"/>
        </w:rPr>
        <w:t>的相关规定。</w:t>
      </w:r>
    </w:p>
    <w:p w14:paraId="616FDCBF">
      <w:pPr>
        <w:overflowPunct w:val="0"/>
        <w:spacing w:line="500" w:lineRule="exact"/>
        <w:ind w:firstLine="640" w:firstLineChars="200"/>
        <w:rPr>
          <w:rFonts w:eastAsia="仿宋_GB2312"/>
          <w:kern w:val="0"/>
          <w:sz w:val="32"/>
        </w:rPr>
      </w:pPr>
      <w:r>
        <w:rPr>
          <w:rFonts w:hint="eastAsia" w:eastAsia="仿宋_GB2312"/>
          <w:kern w:val="0"/>
          <w:sz w:val="32"/>
        </w:rPr>
        <w:t>（二）</w:t>
      </w:r>
      <w:r>
        <w:rPr>
          <w:rFonts w:eastAsia="仿宋_GB2312"/>
          <w:kern w:val="0"/>
          <w:sz w:val="32"/>
        </w:rPr>
        <w:t>产品说明书的编写内容及格式是否符合</w:t>
      </w:r>
      <w:r>
        <w:rPr>
          <w:rFonts w:hint="eastAsia" w:eastAsia="仿宋_GB2312"/>
          <w:kern w:val="0"/>
          <w:sz w:val="32"/>
        </w:rPr>
        <w:t>《关于发布体外诊断试剂说明书编写指导原则的通告》（国家食品药品监督管理总局通告2014年第17号）</w:t>
      </w:r>
      <w:r>
        <w:rPr>
          <w:rFonts w:eastAsia="仿宋_GB2312"/>
          <w:kern w:val="0"/>
          <w:sz w:val="32"/>
        </w:rPr>
        <w:t>的要求。</w:t>
      </w:r>
    </w:p>
    <w:p w14:paraId="1B7485D2">
      <w:pPr>
        <w:overflowPunct w:val="0"/>
        <w:spacing w:line="500" w:lineRule="exact"/>
        <w:ind w:firstLine="640" w:firstLineChars="200"/>
        <w:rPr>
          <w:rFonts w:eastAsia="仿宋_GB2312"/>
          <w:kern w:val="0"/>
          <w:sz w:val="32"/>
        </w:rPr>
      </w:pPr>
      <w:r>
        <w:rPr>
          <w:rFonts w:hint="eastAsia" w:eastAsia="仿宋_GB2312"/>
          <w:kern w:val="0"/>
          <w:sz w:val="32"/>
        </w:rPr>
        <w:t>（三）</w:t>
      </w:r>
      <w:r>
        <w:rPr>
          <w:rFonts w:eastAsia="仿宋_GB2312"/>
          <w:kern w:val="0"/>
          <w:sz w:val="32"/>
        </w:rPr>
        <w:t>分析性能评估指标及结果是否满足产品技术要求的规定；是否满足本指导原则中分析性能评估的要求。</w:t>
      </w:r>
    </w:p>
    <w:p w14:paraId="603E9B7C">
      <w:pPr>
        <w:overflowPunct w:val="0"/>
        <w:spacing w:line="500" w:lineRule="exact"/>
        <w:ind w:firstLine="640" w:firstLineChars="200"/>
        <w:rPr>
          <w:rFonts w:eastAsia="仿宋_GB2312"/>
          <w:kern w:val="0"/>
          <w:sz w:val="32"/>
        </w:rPr>
      </w:pPr>
      <w:r>
        <w:rPr>
          <w:rFonts w:hint="eastAsia" w:eastAsia="仿宋_GB2312"/>
          <w:kern w:val="0"/>
          <w:sz w:val="32"/>
        </w:rPr>
        <w:t>（四）</w:t>
      </w:r>
      <w:r>
        <w:rPr>
          <w:rFonts w:eastAsia="仿宋_GB2312"/>
          <w:kern w:val="0"/>
          <w:sz w:val="32"/>
        </w:rPr>
        <w:t>参考区间确定使用的方法是否合理，数据统计是否符合统计学的相关要求，结论是否与说明书声称一致。</w:t>
      </w:r>
    </w:p>
    <w:p w14:paraId="5CDFC7DA">
      <w:pPr>
        <w:overflowPunct w:val="0"/>
        <w:spacing w:line="500" w:lineRule="exact"/>
        <w:ind w:firstLine="640" w:firstLineChars="200"/>
        <w:rPr>
          <w:rFonts w:eastAsia="仿宋_GB2312"/>
          <w:kern w:val="0"/>
          <w:sz w:val="32"/>
        </w:rPr>
      </w:pPr>
      <w:r>
        <w:rPr>
          <w:rFonts w:hint="eastAsia" w:eastAsia="仿宋_GB2312"/>
          <w:kern w:val="0"/>
          <w:sz w:val="32"/>
        </w:rPr>
        <w:t>（五）</w:t>
      </w:r>
      <w:r>
        <w:rPr>
          <w:rFonts w:eastAsia="仿宋_GB2312"/>
          <w:kern w:val="0"/>
          <w:sz w:val="32"/>
        </w:rPr>
        <w:t>产品稳定性研究方法是否合理，稳定性结论是否与说明书声称一致。</w:t>
      </w:r>
    </w:p>
    <w:p w14:paraId="1002CDF1">
      <w:pPr>
        <w:overflowPunct w:val="0"/>
        <w:spacing w:line="500" w:lineRule="exact"/>
        <w:ind w:firstLine="640" w:firstLineChars="200"/>
        <w:rPr>
          <w:rFonts w:eastAsia="仿宋_GB2312"/>
          <w:kern w:val="0"/>
          <w:sz w:val="32"/>
        </w:rPr>
      </w:pPr>
      <w:r>
        <w:rPr>
          <w:rFonts w:hint="eastAsia" w:eastAsia="仿宋_GB2312"/>
          <w:kern w:val="0"/>
          <w:sz w:val="32"/>
        </w:rPr>
        <w:t>（六）临床评价/试验采用的样本类型是否满足产品声称的预期用途，样本量及临床试验机构的选择、对比试剂的选择、统计方法及研究结果、临床方案及报告撰写的格式等是否符合《关于发布免于进行临床试验的体外诊断试剂临床评价资料基本要求（试行）的通告》（国家食品药品监督管理总局通告2017年第179号）或《关于发布体外诊断试剂临床试验技术指导原则的通告》（国家食品药品监督管理总局通告</w:t>
      </w:r>
      <w:r>
        <w:rPr>
          <w:rFonts w:eastAsia="仿宋_GB2312"/>
          <w:kern w:val="0"/>
          <w:sz w:val="32"/>
        </w:rPr>
        <w:t>2014</w:t>
      </w:r>
      <w:r>
        <w:rPr>
          <w:rFonts w:hint="eastAsia" w:eastAsia="仿宋_GB2312"/>
          <w:kern w:val="0"/>
          <w:sz w:val="32"/>
        </w:rPr>
        <w:t>年第</w:t>
      </w:r>
      <w:r>
        <w:rPr>
          <w:rFonts w:eastAsia="仿宋_GB2312"/>
          <w:kern w:val="0"/>
          <w:sz w:val="32"/>
        </w:rPr>
        <w:t>16</w:t>
      </w:r>
      <w:r>
        <w:rPr>
          <w:rFonts w:hint="eastAsia" w:eastAsia="仿宋_GB2312"/>
          <w:kern w:val="0"/>
          <w:sz w:val="32"/>
        </w:rPr>
        <w:t>号）对相关内容的规定。</w:t>
      </w:r>
    </w:p>
    <w:p w14:paraId="4FA3F400">
      <w:pPr>
        <w:overflowPunct w:val="0"/>
        <w:spacing w:line="500" w:lineRule="exact"/>
        <w:ind w:firstLine="640" w:firstLineChars="200"/>
        <w:outlineLvl w:val="0"/>
        <w:rPr>
          <w:rFonts w:ascii="Cambria" w:hAnsi="Cambria" w:eastAsia="黑体"/>
          <w:bCs/>
          <w:kern w:val="28"/>
          <w:sz w:val="32"/>
          <w:szCs w:val="32"/>
        </w:rPr>
      </w:pPr>
      <w:r>
        <w:rPr>
          <w:rFonts w:hint="eastAsia" w:ascii="Cambria" w:hAnsi="Cambria" w:eastAsia="黑体"/>
          <w:bCs/>
          <w:kern w:val="28"/>
          <w:sz w:val="32"/>
          <w:szCs w:val="32"/>
        </w:rPr>
        <w:t>四</w:t>
      </w:r>
      <w:r>
        <w:rPr>
          <w:rFonts w:ascii="Cambria" w:hAnsi="Cambria" w:eastAsia="黑体"/>
          <w:bCs/>
          <w:kern w:val="28"/>
          <w:sz w:val="32"/>
          <w:szCs w:val="32"/>
        </w:rPr>
        <w:t>、</w:t>
      </w:r>
      <w:r>
        <w:rPr>
          <w:rFonts w:hint="eastAsia" w:ascii="Cambria" w:hAnsi="Cambria" w:eastAsia="黑体"/>
          <w:bCs/>
          <w:kern w:val="28"/>
          <w:sz w:val="32"/>
          <w:szCs w:val="32"/>
        </w:rPr>
        <w:t>编写单位</w:t>
      </w:r>
    </w:p>
    <w:p w14:paraId="5FD48E19">
      <w:pPr>
        <w:overflowPunct w:val="0"/>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广东省药品监督管理局审评认证中心。</w:t>
      </w:r>
    </w:p>
    <w:p w14:paraId="785C36B6">
      <w:pPr>
        <w:spacing w:line="520" w:lineRule="exact"/>
        <w:ind w:firstLine="640" w:firstLineChars="200"/>
        <w:rPr>
          <w:rFonts w:eastAsia="仿宋_GB2312"/>
          <w:sz w:val="32"/>
          <w:szCs w:val="22"/>
        </w:rPr>
      </w:pPr>
    </w:p>
    <w:p w14:paraId="04ABD7F6">
      <w:pPr>
        <w:spacing w:line="20" w:lineRule="exact"/>
        <w:rPr>
          <w:rFonts w:ascii="方正仿宋简体" w:hAnsi="仿宋" w:eastAsia="方正仿宋简体"/>
          <w:sz w:val="28"/>
          <w:szCs w:val="28"/>
        </w:rPr>
      </w:pPr>
      <w:r>
        <w:rPr>
          <w:rFonts w:hint="eastAsia" w:eastAsia="仿宋_GB2312"/>
          <w:kern w:val="0"/>
          <w:sz w:val="32"/>
        </w:rPr>
        <w:t>7.</w:t>
      </w:r>
    </w:p>
    <w:p w14:paraId="38A676F0">
      <w:pPr>
        <w:spacing w:line="520" w:lineRule="exact"/>
        <w:jc w:val="center"/>
        <w:rPr>
          <w:rFonts w:hint="eastAsia" w:eastAsia="宋体"/>
          <w:lang w:eastAsia="zh-CN"/>
        </w:rPr>
      </w:pPr>
    </w:p>
    <w:p w14:paraId="2FDC73B1">
      <w:pPr>
        <w:spacing w:line="520" w:lineRule="exact"/>
        <w:jc w:val="center"/>
        <w:rPr>
          <w:rFonts w:hint="eastAsia" w:eastAsia="宋体"/>
          <w:lang w:eastAsia="zh-CN"/>
        </w:rPr>
      </w:pPr>
    </w:p>
    <w:p w14:paraId="03743639">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687B">
    <w:pPr>
      <w:pStyle w:val="6"/>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14:paraId="6F2B3276">
    <w:pPr>
      <w:pStyle w:val="6"/>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E8B10">
    <w:pPr>
      <w:pStyle w:val="6"/>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14:paraId="3ED9A913">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60C8"/>
    <w:rsid w:val="00002D3D"/>
    <w:rsid w:val="000035AA"/>
    <w:rsid w:val="00003A97"/>
    <w:rsid w:val="000113CD"/>
    <w:rsid w:val="00012720"/>
    <w:rsid w:val="000146E0"/>
    <w:rsid w:val="00016D27"/>
    <w:rsid w:val="00016E93"/>
    <w:rsid w:val="0001771E"/>
    <w:rsid w:val="00031C69"/>
    <w:rsid w:val="00034DC3"/>
    <w:rsid w:val="00035514"/>
    <w:rsid w:val="000414CE"/>
    <w:rsid w:val="00051DEE"/>
    <w:rsid w:val="00053060"/>
    <w:rsid w:val="00057B5D"/>
    <w:rsid w:val="00057E9C"/>
    <w:rsid w:val="00066325"/>
    <w:rsid w:val="0007054E"/>
    <w:rsid w:val="00071507"/>
    <w:rsid w:val="0007385D"/>
    <w:rsid w:val="00077DB3"/>
    <w:rsid w:val="0008183B"/>
    <w:rsid w:val="00081879"/>
    <w:rsid w:val="000A2989"/>
    <w:rsid w:val="000A3EA4"/>
    <w:rsid w:val="000B1917"/>
    <w:rsid w:val="000B6250"/>
    <w:rsid w:val="000C2C37"/>
    <w:rsid w:val="000C32F0"/>
    <w:rsid w:val="000D2128"/>
    <w:rsid w:val="000D4DDF"/>
    <w:rsid w:val="000D6D5B"/>
    <w:rsid w:val="000E0170"/>
    <w:rsid w:val="000E0A2A"/>
    <w:rsid w:val="000E2B4C"/>
    <w:rsid w:val="000F4791"/>
    <w:rsid w:val="00100080"/>
    <w:rsid w:val="00101F08"/>
    <w:rsid w:val="00113390"/>
    <w:rsid w:val="001204BF"/>
    <w:rsid w:val="00122B30"/>
    <w:rsid w:val="001271DF"/>
    <w:rsid w:val="00127D58"/>
    <w:rsid w:val="0014046B"/>
    <w:rsid w:val="00143CB9"/>
    <w:rsid w:val="00145BB4"/>
    <w:rsid w:val="001542EE"/>
    <w:rsid w:val="001550D7"/>
    <w:rsid w:val="00156754"/>
    <w:rsid w:val="001579AF"/>
    <w:rsid w:val="00157D65"/>
    <w:rsid w:val="00161032"/>
    <w:rsid w:val="00161DAD"/>
    <w:rsid w:val="00163186"/>
    <w:rsid w:val="00165BAC"/>
    <w:rsid w:val="0016669E"/>
    <w:rsid w:val="00173451"/>
    <w:rsid w:val="00175310"/>
    <w:rsid w:val="001777EC"/>
    <w:rsid w:val="001831E2"/>
    <w:rsid w:val="001863AF"/>
    <w:rsid w:val="00186786"/>
    <w:rsid w:val="00196DE7"/>
    <w:rsid w:val="001A025C"/>
    <w:rsid w:val="001A5C0E"/>
    <w:rsid w:val="001A5DF3"/>
    <w:rsid w:val="001B08FE"/>
    <w:rsid w:val="001B117E"/>
    <w:rsid w:val="001C492C"/>
    <w:rsid w:val="001C6432"/>
    <w:rsid w:val="001D0385"/>
    <w:rsid w:val="001D14A1"/>
    <w:rsid w:val="001D3696"/>
    <w:rsid w:val="001E7AA8"/>
    <w:rsid w:val="001E7BC4"/>
    <w:rsid w:val="001F3FB0"/>
    <w:rsid w:val="001F556F"/>
    <w:rsid w:val="001F6134"/>
    <w:rsid w:val="00204B69"/>
    <w:rsid w:val="00211D77"/>
    <w:rsid w:val="00214F56"/>
    <w:rsid w:val="0022252D"/>
    <w:rsid w:val="00232CAC"/>
    <w:rsid w:val="00236AC0"/>
    <w:rsid w:val="002375EC"/>
    <w:rsid w:val="00241017"/>
    <w:rsid w:val="00247F62"/>
    <w:rsid w:val="00247F9A"/>
    <w:rsid w:val="0025152C"/>
    <w:rsid w:val="002518CC"/>
    <w:rsid w:val="002528C9"/>
    <w:rsid w:val="00263C5B"/>
    <w:rsid w:val="00276A17"/>
    <w:rsid w:val="00277D15"/>
    <w:rsid w:val="00285820"/>
    <w:rsid w:val="00287D14"/>
    <w:rsid w:val="0029727E"/>
    <w:rsid w:val="002A48E9"/>
    <w:rsid w:val="002A510C"/>
    <w:rsid w:val="002A7E46"/>
    <w:rsid w:val="002A7F53"/>
    <w:rsid w:val="002B28D3"/>
    <w:rsid w:val="002B4672"/>
    <w:rsid w:val="002B6FA2"/>
    <w:rsid w:val="002C2919"/>
    <w:rsid w:val="002C6F3A"/>
    <w:rsid w:val="002D0F2B"/>
    <w:rsid w:val="002D39B1"/>
    <w:rsid w:val="002D4CBA"/>
    <w:rsid w:val="002D4CCC"/>
    <w:rsid w:val="002E20DE"/>
    <w:rsid w:val="002E582E"/>
    <w:rsid w:val="002E5C50"/>
    <w:rsid w:val="002E5FFA"/>
    <w:rsid w:val="002E76DC"/>
    <w:rsid w:val="002F2CC3"/>
    <w:rsid w:val="003033E3"/>
    <w:rsid w:val="00324C06"/>
    <w:rsid w:val="00324ED3"/>
    <w:rsid w:val="00325B40"/>
    <w:rsid w:val="00325F4E"/>
    <w:rsid w:val="003277C6"/>
    <w:rsid w:val="003330A7"/>
    <w:rsid w:val="00335962"/>
    <w:rsid w:val="00336C3C"/>
    <w:rsid w:val="0035031B"/>
    <w:rsid w:val="00351116"/>
    <w:rsid w:val="00352FFE"/>
    <w:rsid w:val="00357C2F"/>
    <w:rsid w:val="00362FDA"/>
    <w:rsid w:val="0036326B"/>
    <w:rsid w:val="003732DA"/>
    <w:rsid w:val="0038324A"/>
    <w:rsid w:val="00390EDD"/>
    <w:rsid w:val="00396ECF"/>
    <w:rsid w:val="003B1146"/>
    <w:rsid w:val="003B1C67"/>
    <w:rsid w:val="003B2486"/>
    <w:rsid w:val="003B288E"/>
    <w:rsid w:val="003B37AC"/>
    <w:rsid w:val="003B452F"/>
    <w:rsid w:val="003C2FA0"/>
    <w:rsid w:val="003C4A36"/>
    <w:rsid w:val="003C5637"/>
    <w:rsid w:val="003C5F9F"/>
    <w:rsid w:val="003C60DA"/>
    <w:rsid w:val="003D08E2"/>
    <w:rsid w:val="003D52B2"/>
    <w:rsid w:val="003D7EBD"/>
    <w:rsid w:val="003E5375"/>
    <w:rsid w:val="003E7CB8"/>
    <w:rsid w:val="003F7101"/>
    <w:rsid w:val="00400569"/>
    <w:rsid w:val="00405AE4"/>
    <w:rsid w:val="004129B6"/>
    <w:rsid w:val="00412FC1"/>
    <w:rsid w:val="004218DC"/>
    <w:rsid w:val="00434FF8"/>
    <w:rsid w:val="00442AC3"/>
    <w:rsid w:val="00444E9C"/>
    <w:rsid w:val="00447EC1"/>
    <w:rsid w:val="00450787"/>
    <w:rsid w:val="00453B18"/>
    <w:rsid w:val="00454626"/>
    <w:rsid w:val="0045788E"/>
    <w:rsid w:val="0046008D"/>
    <w:rsid w:val="0046359A"/>
    <w:rsid w:val="00471685"/>
    <w:rsid w:val="00473E23"/>
    <w:rsid w:val="00475250"/>
    <w:rsid w:val="0048158C"/>
    <w:rsid w:val="0048173D"/>
    <w:rsid w:val="00486482"/>
    <w:rsid w:val="00486794"/>
    <w:rsid w:val="0049739E"/>
    <w:rsid w:val="004A209F"/>
    <w:rsid w:val="004A48F4"/>
    <w:rsid w:val="004A4F1B"/>
    <w:rsid w:val="004A7489"/>
    <w:rsid w:val="004A7DED"/>
    <w:rsid w:val="004B1157"/>
    <w:rsid w:val="004B7ABF"/>
    <w:rsid w:val="004C521B"/>
    <w:rsid w:val="004D4145"/>
    <w:rsid w:val="004D574F"/>
    <w:rsid w:val="004D7576"/>
    <w:rsid w:val="004F27D3"/>
    <w:rsid w:val="004F423A"/>
    <w:rsid w:val="004F5CE9"/>
    <w:rsid w:val="00500397"/>
    <w:rsid w:val="00505885"/>
    <w:rsid w:val="00511F37"/>
    <w:rsid w:val="005324AC"/>
    <w:rsid w:val="00534BD3"/>
    <w:rsid w:val="005410CE"/>
    <w:rsid w:val="00544DA2"/>
    <w:rsid w:val="00554FE3"/>
    <w:rsid w:val="0056324D"/>
    <w:rsid w:val="00564625"/>
    <w:rsid w:val="00565BB4"/>
    <w:rsid w:val="0056661D"/>
    <w:rsid w:val="00576879"/>
    <w:rsid w:val="00576A32"/>
    <w:rsid w:val="00592FA9"/>
    <w:rsid w:val="00593C49"/>
    <w:rsid w:val="00594E2E"/>
    <w:rsid w:val="00597FB7"/>
    <w:rsid w:val="005A1DE7"/>
    <w:rsid w:val="005B3B87"/>
    <w:rsid w:val="005B404F"/>
    <w:rsid w:val="005B4AAF"/>
    <w:rsid w:val="005B664E"/>
    <w:rsid w:val="005B6B1E"/>
    <w:rsid w:val="005B7736"/>
    <w:rsid w:val="005C1711"/>
    <w:rsid w:val="005C6BBD"/>
    <w:rsid w:val="005D20CB"/>
    <w:rsid w:val="005D23BB"/>
    <w:rsid w:val="005D67C2"/>
    <w:rsid w:val="005D7D24"/>
    <w:rsid w:val="005E1735"/>
    <w:rsid w:val="005E1887"/>
    <w:rsid w:val="005E7595"/>
    <w:rsid w:val="005F4ADA"/>
    <w:rsid w:val="005F4BCE"/>
    <w:rsid w:val="005F7CFF"/>
    <w:rsid w:val="006052CA"/>
    <w:rsid w:val="0061137F"/>
    <w:rsid w:val="00612531"/>
    <w:rsid w:val="006175FF"/>
    <w:rsid w:val="00623CF2"/>
    <w:rsid w:val="0062745C"/>
    <w:rsid w:val="0063046D"/>
    <w:rsid w:val="006326C9"/>
    <w:rsid w:val="006402DC"/>
    <w:rsid w:val="00641B93"/>
    <w:rsid w:val="006428CA"/>
    <w:rsid w:val="0064716A"/>
    <w:rsid w:val="00652599"/>
    <w:rsid w:val="006526BE"/>
    <w:rsid w:val="00653C7E"/>
    <w:rsid w:val="00654964"/>
    <w:rsid w:val="006573A6"/>
    <w:rsid w:val="00663E63"/>
    <w:rsid w:val="0067038A"/>
    <w:rsid w:val="00673EAB"/>
    <w:rsid w:val="00673FC4"/>
    <w:rsid w:val="00690209"/>
    <w:rsid w:val="0069110D"/>
    <w:rsid w:val="006A3545"/>
    <w:rsid w:val="006C08BA"/>
    <w:rsid w:val="006C4AD6"/>
    <w:rsid w:val="006C4B7D"/>
    <w:rsid w:val="006D3D5E"/>
    <w:rsid w:val="006E0E17"/>
    <w:rsid w:val="006E516F"/>
    <w:rsid w:val="006E5542"/>
    <w:rsid w:val="006F27F3"/>
    <w:rsid w:val="006F5FD6"/>
    <w:rsid w:val="00702A7B"/>
    <w:rsid w:val="00705E40"/>
    <w:rsid w:val="00727597"/>
    <w:rsid w:val="00735046"/>
    <w:rsid w:val="007403AE"/>
    <w:rsid w:val="007411C5"/>
    <w:rsid w:val="00743529"/>
    <w:rsid w:val="007442F4"/>
    <w:rsid w:val="00757F9A"/>
    <w:rsid w:val="007659A1"/>
    <w:rsid w:val="0076635F"/>
    <w:rsid w:val="00766F07"/>
    <w:rsid w:val="00772401"/>
    <w:rsid w:val="00780903"/>
    <w:rsid w:val="00781325"/>
    <w:rsid w:val="00784AC7"/>
    <w:rsid w:val="0079480A"/>
    <w:rsid w:val="007A21A8"/>
    <w:rsid w:val="007A764D"/>
    <w:rsid w:val="007B409A"/>
    <w:rsid w:val="007C36D2"/>
    <w:rsid w:val="007C72C1"/>
    <w:rsid w:val="007D10DC"/>
    <w:rsid w:val="007D35E9"/>
    <w:rsid w:val="007D3806"/>
    <w:rsid w:val="007D39B3"/>
    <w:rsid w:val="007D56FB"/>
    <w:rsid w:val="007D64DD"/>
    <w:rsid w:val="007E2F23"/>
    <w:rsid w:val="007E45C7"/>
    <w:rsid w:val="007F2B81"/>
    <w:rsid w:val="007F6C62"/>
    <w:rsid w:val="00800DA3"/>
    <w:rsid w:val="008044C1"/>
    <w:rsid w:val="0080591C"/>
    <w:rsid w:val="00814F7C"/>
    <w:rsid w:val="00816059"/>
    <w:rsid w:val="0082071B"/>
    <w:rsid w:val="008369C4"/>
    <w:rsid w:val="00840DEF"/>
    <w:rsid w:val="00845649"/>
    <w:rsid w:val="008457F1"/>
    <w:rsid w:val="00846572"/>
    <w:rsid w:val="00857AED"/>
    <w:rsid w:val="0086083E"/>
    <w:rsid w:val="00863C35"/>
    <w:rsid w:val="00863F2A"/>
    <w:rsid w:val="008677CB"/>
    <w:rsid w:val="00870F07"/>
    <w:rsid w:val="00871BFE"/>
    <w:rsid w:val="0087689E"/>
    <w:rsid w:val="00880DF2"/>
    <w:rsid w:val="00883F80"/>
    <w:rsid w:val="008857B8"/>
    <w:rsid w:val="008905C3"/>
    <w:rsid w:val="0089329F"/>
    <w:rsid w:val="00895146"/>
    <w:rsid w:val="008A04C1"/>
    <w:rsid w:val="008A2D5C"/>
    <w:rsid w:val="008A4C46"/>
    <w:rsid w:val="008A6EBF"/>
    <w:rsid w:val="008A7210"/>
    <w:rsid w:val="008B5C5D"/>
    <w:rsid w:val="008C461A"/>
    <w:rsid w:val="008C5ECE"/>
    <w:rsid w:val="008C74C4"/>
    <w:rsid w:val="008D3467"/>
    <w:rsid w:val="008E7922"/>
    <w:rsid w:val="008F06BC"/>
    <w:rsid w:val="008F1161"/>
    <w:rsid w:val="008F29B6"/>
    <w:rsid w:val="008F5AC4"/>
    <w:rsid w:val="008F6295"/>
    <w:rsid w:val="008F6D31"/>
    <w:rsid w:val="009001A9"/>
    <w:rsid w:val="00900470"/>
    <w:rsid w:val="009024F0"/>
    <w:rsid w:val="00904687"/>
    <w:rsid w:val="0091463E"/>
    <w:rsid w:val="00926229"/>
    <w:rsid w:val="00936D68"/>
    <w:rsid w:val="00944679"/>
    <w:rsid w:val="00947F07"/>
    <w:rsid w:val="0095351D"/>
    <w:rsid w:val="0097437D"/>
    <w:rsid w:val="00983864"/>
    <w:rsid w:val="0098430D"/>
    <w:rsid w:val="009869EE"/>
    <w:rsid w:val="00986BBE"/>
    <w:rsid w:val="00990EED"/>
    <w:rsid w:val="00991BF3"/>
    <w:rsid w:val="00995604"/>
    <w:rsid w:val="0099592D"/>
    <w:rsid w:val="009A1829"/>
    <w:rsid w:val="009A2DB4"/>
    <w:rsid w:val="009C021F"/>
    <w:rsid w:val="009C18CB"/>
    <w:rsid w:val="009D7839"/>
    <w:rsid w:val="009D7C65"/>
    <w:rsid w:val="009E16D4"/>
    <w:rsid w:val="009F54F1"/>
    <w:rsid w:val="009F6517"/>
    <w:rsid w:val="00A03AD8"/>
    <w:rsid w:val="00A11F24"/>
    <w:rsid w:val="00A12030"/>
    <w:rsid w:val="00A21922"/>
    <w:rsid w:val="00A24E9C"/>
    <w:rsid w:val="00A254E3"/>
    <w:rsid w:val="00A30AB5"/>
    <w:rsid w:val="00A313AB"/>
    <w:rsid w:val="00A351E7"/>
    <w:rsid w:val="00A3628B"/>
    <w:rsid w:val="00A376D9"/>
    <w:rsid w:val="00A40D38"/>
    <w:rsid w:val="00A47121"/>
    <w:rsid w:val="00A5374B"/>
    <w:rsid w:val="00A62362"/>
    <w:rsid w:val="00A646C6"/>
    <w:rsid w:val="00A65BFC"/>
    <w:rsid w:val="00A77B11"/>
    <w:rsid w:val="00A8280B"/>
    <w:rsid w:val="00A82CA2"/>
    <w:rsid w:val="00A9303E"/>
    <w:rsid w:val="00A971E2"/>
    <w:rsid w:val="00AB1121"/>
    <w:rsid w:val="00AB1663"/>
    <w:rsid w:val="00AB5272"/>
    <w:rsid w:val="00AC20C2"/>
    <w:rsid w:val="00AC2D33"/>
    <w:rsid w:val="00AC359C"/>
    <w:rsid w:val="00AC563F"/>
    <w:rsid w:val="00AD265D"/>
    <w:rsid w:val="00AE01DA"/>
    <w:rsid w:val="00AE4875"/>
    <w:rsid w:val="00AF1634"/>
    <w:rsid w:val="00B0108A"/>
    <w:rsid w:val="00B07266"/>
    <w:rsid w:val="00B07E81"/>
    <w:rsid w:val="00B10065"/>
    <w:rsid w:val="00B11072"/>
    <w:rsid w:val="00B1269D"/>
    <w:rsid w:val="00B1315D"/>
    <w:rsid w:val="00B15087"/>
    <w:rsid w:val="00B22820"/>
    <w:rsid w:val="00B23701"/>
    <w:rsid w:val="00B25838"/>
    <w:rsid w:val="00B35C70"/>
    <w:rsid w:val="00B36FCE"/>
    <w:rsid w:val="00B522CE"/>
    <w:rsid w:val="00B54B7D"/>
    <w:rsid w:val="00B60176"/>
    <w:rsid w:val="00B645FD"/>
    <w:rsid w:val="00B71CE9"/>
    <w:rsid w:val="00B7534A"/>
    <w:rsid w:val="00B75592"/>
    <w:rsid w:val="00B81EBD"/>
    <w:rsid w:val="00B84EF7"/>
    <w:rsid w:val="00B92C79"/>
    <w:rsid w:val="00BA00D5"/>
    <w:rsid w:val="00BA1BEF"/>
    <w:rsid w:val="00BA1FC7"/>
    <w:rsid w:val="00BA283D"/>
    <w:rsid w:val="00BB2614"/>
    <w:rsid w:val="00BC31CD"/>
    <w:rsid w:val="00BC587C"/>
    <w:rsid w:val="00BD173B"/>
    <w:rsid w:val="00BD2845"/>
    <w:rsid w:val="00BE03E2"/>
    <w:rsid w:val="00BE16F8"/>
    <w:rsid w:val="00BE24FB"/>
    <w:rsid w:val="00BE6568"/>
    <w:rsid w:val="00BE6FF6"/>
    <w:rsid w:val="00BF0230"/>
    <w:rsid w:val="00BF11A0"/>
    <w:rsid w:val="00BF14AF"/>
    <w:rsid w:val="00BF5603"/>
    <w:rsid w:val="00C108ED"/>
    <w:rsid w:val="00C1570A"/>
    <w:rsid w:val="00C16C39"/>
    <w:rsid w:val="00C21E75"/>
    <w:rsid w:val="00C30D2E"/>
    <w:rsid w:val="00C36EAE"/>
    <w:rsid w:val="00C51B00"/>
    <w:rsid w:val="00C54E88"/>
    <w:rsid w:val="00C557AE"/>
    <w:rsid w:val="00C57201"/>
    <w:rsid w:val="00C578A0"/>
    <w:rsid w:val="00C715F1"/>
    <w:rsid w:val="00C83BD4"/>
    <w:rsid w:val="00C92BC0"/>
    <w:rsid w:val="00C94063"/>
    <w:rsid w:val="00C9717D"/>
    <w:rsid w:val="00CA02EA"/>
    <w:rsid w:val="00CA2B21"/>
    <w:rsid w:val="00CA2D17"/>
    <w:rsid w:val="00CB0D06"/>
    <w:rsid w:val="00CC16F5"/>
    <w:rsid w:val="00CC23F4"/>
    <w:rsid w:val="00CC2A48"/>
    <w:rsid w:val="00CC6505"/>
    <w:rsid w:val="00CC6DDE"/>
    <w:rsid w:val="00CE6884"/>
    <w:rsid w:val="00CE7A0B"/>
    <w:rsid w:val="00CF45C1"/>
    <w:rsid w:val="00D03FFD"/>
    <w:rsid w:val="00D05545"/>
    <w:rsid w:val="00D0628A"/>
    <w:rsid w:val="00D07330"/>
    <w:rsid w:val="00D07421"/>
    <w:rsid w:val="00D1236C"/>
    <w:rsid w:val="00D16F03"/>
    <w:rsid w:val="00D53A64"/>
    <w:rsid w:val="00D55A7C"/>
    <w:rsid w:val="00D60DDD"/>
    <w:rsid w:val="00D61B72"/>
    <w:rsid w:val="00D65E9B"/>
    <w:rsid w:val="00D71AE6"/>
    <w:rsid w:val="00D818AE"/>
    <w:rsid w:val="00D955B9"/>
    <w:rsid w:val="00DA2124"/>
    <w:rsid w:val="00DB0A0E"/>
    <w:rsid w:val="00DB1711"/>
    <w:rsid w:val="00DC42BB"/>
    <w:rsid w:val="00DC6283"/>
    <w:rsid w:val="00DD0519"/>
    <w:rsid w:val="00DD5C43"/>
    <w:rsid w:val="00DE1C44"/>
    <w:rsid w:val="00DE2190"/>
    <w:rsid w:val="00DE3B51"/>
    <w:rsid w:val="00DE636A"/>
    <w:rsid w:val="00DF1936"/>
    <w:rsid w:val="00DF1E74"/>
    <w:rsid w:val="00DF56A3"/>
    <w:rsid w:val="00E00958"/>
    <w:rsid w:val="00E01003"/>
    <w:rsid w:val="00E05A99"/>
    <w:rsid w:val="00E1013F"/>
    <w:rsid w:val="00E11264"/>
    <w:rsid w:val="00E142A8"/>
    <w:rsid w:val="00E172F7"/>
    <w:rsid w:val="00E22B69"/>
    <w:rsid w:val="00E27586"/>
    <w:rsid w:val="00E32621"/>
    <w:rsid w:val="00E41A1A"/>
    <w:rsid w:val="00E43021"/>
    <w:rsid w:val="00E43874"/>
    <w:rsid w:val="00E54746"/>
    <w:rsid w:val="00E64357"/>
    <w:rsid w:val="00E667B4"/>
    <w:rsid w:val="00E73776"/>
    <w:rsid w:val="00E75683"/>
    <w:rsid w:val="00E87EA9"/>
    <w:rsid w:val="00E918D6"/>
    <w:rsid w:val="00E9262B"/>
    <w:rsid w:val="00EA6C5A"/>
    <w:rsid w:val="00EA6C72"/>
    <w:rsid w:val="00EA7A70"/>
    <w:rsid w:val="00EB0A5F"/>
    <w:rsid w:val="00EB15ED"/>
    <w:rsid w:val="00EB6A2F"/>
    <w:rsid w:val="00EC14BF"/>
    <w:rsid w:val="00EC738F"/>
    <w:rsid w:val="00ED2031"/>
    <w:rsid w:val="00ED481B"/>
    <w:rsid w:val="00EE0751"/>
    <w:rsid w:val="00EE0A30"/>
    <w:rsid w:val="00EE2EF8"/>
    <w:rsid w:val="00EE5C72"/>
    <w:rsid w:val="00EE5CDA"/>
    <w:rsid w:val="00EE62B0"/>
    <w:rsid w:val="00EF1924"/>
    <w:rsid w:val="00F00F12"/>
    <w:rsid w:val="00F07854"/>
    <w:rsid w:val="00F12596"/>
    <w:rsid w:val="00F211B8"/>
    <w:rsid w:val="00F2244E"/>
    <w:rsid w:val="00F3153B"/>
    <w:rsid w:val="00F33350"/>
    <w:rsid w:val="00F33F8E"/>
    <w:rsid w:val="00F41963"/>
    <w:rsid w:val="00F542BA"/>
    <w:rsid w:val="00F54B45"/>
    <w:rsid w:val="00F64645"/>
    <w:rsid w:val="00F64776"/>
    <w:rsid w:val="00F6624B"/>
    <w:rsid w:val="00F8160C"/>
    <w:rsid w:val="00F8685B"/>
    <w:rsid w:val="00F909BB"/>
    <w:rsid w:val="00F9576A"/>
    <w:rsid w:val="00FA138A"/>
    <w:rsid w:val="00FA60C8"/>
    <w:rsid w:val="00FD1425"/>
    <w:rsid w:val="00FD22E5"/>
    <w:rsid w:val="00FD443E"/>
    <w:rsid w:val="00FD754D"/>
    <w:rsid w:val="00FE5A07"/>
    <w:rsid w:val="00FF02BD"/>
    <w:rsid w:val="00FF6452"/>
    <w:rsid w:val="0ABB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eastAsia="黑体" w:asciiTheme="majorHAnsi" w:hAnsiTheme="majorHAnsi" w:cstheme="majorBidi"/>
      <w:sz w:val="20"/>
      <w:szCs w:val="20"/>
    </w:rPr>
  </w:style>
  <w:style w:type="paragraph" w:styleId="3">
    <w:name w:val="Document Map"/>
    <w:basedOn w:val="1"/>
    <w:semiHidden/>
    <w:qFormat/>
    <w:uiPriority w:val="0"/>
    <w:pPr>
      <w:shd w:val="clear" w:color="auto" w:fill="000080"/>
    </w:pPr>
  </w:style>
  <w:style w:type="paragraph" w:styleId="4">
    <w:name w:val="annotation text"/>
    <w:basedOn w:val="1"/>
    <w:link w:val="16"/>
    <w:uiPriority w:val="0"/>
    <w:pPr>
      <w:jc w:val="left"/>
    </w:p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qFormat/>
    <w:uiPriority w:val="0"/>
    <w:rPr>
      <w:b/>
      <w:bCs/>
    </w:rPr>
  </w:style>
  <w:style w:type="character" w:styleId="11">
    <w:name w:val="page number"/>
    <w:basedOn w:val="10"/>
    <w:uiPriority w:val="0"/>
  </w:style>
  <w:style w:type="character" w:styleId="12">
    <w:name w:val="Hyperlink"/>
    <w:basedOn w:val="10"/>
    <w:qFormat/>
    <w:uiPriority w:val="0"/>
    <w:rPr>
      <w:color w:val="0000FF" w:themeColor="hyperlink"/>
      <w:u w:val="single"/>
    </w:rPr>
  </w:style>
  <w:style w:type="character" w:styleId="13">
    <w:name w:val="annotation reference"/>
    <w:basedOn w:val="10"/>
    <w:qFormat/>
    <w:uiPriority w:val="0"/>
    <w:rPr>
      <w:sz w:val="21"/>
      <w:szCs w:val="21"/>
    </w:rPr>
  </w:style>
  <w:style w:type="character" w:customStyle="1" w:styleId="14">
    <w:name w:val="页眉 字符"/>
    <w:link w:val="7"/>
    <w:uiPriority w:val="99"/>
    <w:rPr>
      <w:kern w:val="2"/>
      <w:sz w:val="18"/>
      <w:szCs w:val="18"/>
    </w:rPr>
  </w:style>
  <w:style w:type="character" w:customStyle="1" w:styleId="15">
    <w:name w:val="页脚 字符"/>
    <w:link w:val="6"/>
    <w:uiPriority w:val="99"/>
    <w:rPr>
      <w:kern w:val="2"/>
      <w:sz w:val="18"/>
      <w:szCs w:val="18"/>
    </w:rPr>
  </w:style>
  <w:style w:type="character" w:customStyle="1" w:styleId="16">
    <w:name w:val="批注文字 字符"/>
    <w:basedOn w:val="10"/>
    <w:link w:val="4"/>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character" w:styleId="18">
    <w:name w:val="Placeholder Text"/>
    <w:basedOn w:val="10"/>
    <w:semiHidden/>
    <w:qFormat/>
    <w:uiPriority w:val="99"/>
    <w:rPr>
      <w:color w:val="808080"/>
    </w:rPr>
  </w:style>
  <w:style w:type="paragraph" w:customStyle="1" w:styleId="19">
    <w:name w:val="公式编号"/>
    <w:basedOn w:val="1"/>
    <w:qFormat/>
    <w:uiPriority w:val="0"/>
    <w:pPr>
      <w:tabs>
        <w:tab w:val="right" w:leader="middleDot" w:pos="8820"/>
      </w:tabs>
      <w:overflowPunct w:val="0"/>
      <w:spacing w:line="500" w:lineRule="exact"/>
      <w:ind w:firstLine="640" w:firstLineChars="200"/>
    </w:pPr>
    <w:rPr>
      <w:rFonts w:eastAsia="仿宋_GB2312"/>
      <w:kern w:val="0"/>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18C4-7633-4A96-AB06-A65306086D1F}">
  <ds:schemaRefs/>
</ds:datastoreItem>
</file>

<file path=docProps/app.xml><?xml version="1.0" encoding="utf-8"?>
<Properties xmlns="http://schemas.openxmlformats.org/officeDocument/2006/extended-properties" xmlns:vt="http://schemas.openxmlformats.org/officeDocument/2006/docPropsVTypes">
  <Template>Normal</Template>
  <Pages>20</Pages>
  <Words>10160</Words>
  <Characters>10692</Characters>
  <Lines>78</Lines>
  <Paragraphs>22</Paragraphs>
  <TotalTime>495</TotalTime>
  <ScaleCrop>false</ScaleCrop>
  <LinksUpToDate>false</LinksUpToDate>
  <CharactersWithSpaces>10793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2020-05-11T01:12:00Z</dcterms:created>
  <dc:creator>ChanPZCB/quanshan.ma/马泉山</dc:creator>
  <cp:lastModifiedBy>太极箫客</cp:lastModifiedBy>
  <cp:lastPrinted>2018-09-18T08:32:00Z</cp:lastPrinted>
  <dcterms:modified xsi:type="dcterms:W3CDTF">2025-08-14T06:44:48Z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4FE7932121664107B6D62102A85F6704_12</vt:lpwstr>
  </property>
</Properties>
</file>