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2089E">
      <w:pPr>
        <w:topLinePunct/>
        <w:adjustRightInd w:val="0"/>
        <w:snapToGrid w:val="0"/>
        <w:spacing w:after="224" w:afterLines="75" w:line="288" w:lineRule="auto"/>
        <w:jc w:val="center"/>
        <w:rPr>
          <w:rFonts w:hint="eastAsia" w:ascii="Arial" w:hAnsi="Arial" w:eastAsia="宋体" w:cs="Arial"/>
          <w:b/>
          <w:snapToGrid w:val="0"/>
          <w:sz w:val="56"/>
          <w:szCs w:val="72"/>
          <w:lang w:eastAsia="zh-CN"/>
        </w:rPr>
      </w:pPr>
      <w:bookmarkStart w:id="31" w:name="_GoBack"/>
      <w:bookmarkEnd w:id="31"/>
    </w:p>
    <w:p w14:paraId="4B30F435">
      <w:pPr>
        <w:topLinePunct/>
        <w:adjustRightInd w:val="0"/>
        <w:snapToGrid w:val="0"/>
        <w:spacing w:after="224" w:afterLines="75" w:line="288" w:lineRule="auto"/>
        <w:jc w:val="center"/>
        <w:rPr>
          <w:rFonts w:ascii="Arial" w:hAnsi="Arial" w:eastAsia="宋体" w:cs="Arial"/>
          <w:snapToGrid w:val="0"/>
          <w:sz w:val="56"/>
          <w:szCs w:val="72"/>
          <w:lang w:eastAsia="zh-CN"/>
        </w:rPr>
      </w:pPr>
      <w:r>
        <w:rPr>
          <w:rFonts w:ascii="Arial" w:hAnsi="Arial" w:eastAsia="宋体" w:cs="Arial"/>
          <w:b/>
          <w:snapToGrid w:val="0"/>
          <w:sz w:val="56"/>
          <w:szCs w:val="72"/>
          <w:lang w:eastAsia="zh-CN"/>
        </w:rPr>
        <w:t>可吸收防粘连产品用于腹部和／或骨盆手术</w:t>
      </w:r>
      <w:r>
        <w:rPr>
          <w:rFonts w:hint="eastAsia" w:ascii="Arial" w:hAnsi="Arial" w:eastAsia="宋体" w:cs="Arial"/>
          <w:b/>
          <w:snapToGrid w:val="0"/>
          <w:sz w:val="56"/>
          <w:szCs w:val="72"/>
          <w:lang w:eastAsia="zh-CN"/>
        </w:rPr>
        <w:t>的</w:t>
      </w:r>
      <w:r>
        <w:rPr>
          <w:rFonts w:ascii="Arial" w:hAnsi="Arial" w:eastAsia="宋体" w:cs="Arial"/>
          <w:b/>
          <w:snapToGrid w:val="0"/>
          <w:sz w:val="56"/>
          <w:szCs w:val="72"/>
          <w:lang w:eastAsia="zh-CN"/>
        </w:rPr>
        <w:t>指南；行业指南</w:t>
      </w:r>
    </w:p>
    <w:p w14:paraId="0C580AF1">
      <w:pPr>
        <w:topLinePunct/>
        <w:adjustRightInd w:val="0"/>
        <w:snapToGrid w:val="0"/>
        <w:spacing w:after="224" w:afterLines="75" w:line="288" w:lineRule="auto"/>
        <w:jc w:val="center"/>
        <w:rPr>
          <w:rFonts w:ascii="Arial" w:hAnsi="Arial" w:eastAsia="宋体" w:cs="Arial"/>
          <w:b/>
          <w:snapToGrid w:val="0"/>
          <w:sz w:val="28"/>
          <w:szCs w:val="72"/>
          <w:lang w:eastAsia="zh-CN"/>
        </w:rPr>
      </w:pPr>
    </w:p>
    <w:p w14:paraId="5B2FDC54">
      <w:pPr>
        <w:topLinePunct/>
        <w:adjustRightInd w:val="0"/>
        <w:snapToGrid w:val="0"/>
        <w:spacing w:after="224" w:afterLines="75" w:line="288" w:lineRule="auto"/>
        <w:jc w:val="center"/>
        <w:rPr>
          <w:rFonts w:ascii="Arial" w:hAnsi="Arial" w:eastAsia="宋体" w:cs="Arial"/>
          <w:b/>
          <w:snapToGrid w:val="0"/>
          <w:sz w:val="28"/>
          <w:szCs w:val="72"/>
          <w:lang w:eastAsia="zh-CN"/>
        </w:rPr>
      </w:pPr>
      <w:r>
        <w:rPr>
          <w:rFonts w:ascii="Arial" w:hAnsi="Arial" w:eastAsia="宋体" w:cs="Arial"/>
          <w:b/>
          <w:snapToGrid w:val="0"/>
          <w:sz w:val="28"/>
          <w:szCs w:val="72"/>
          <w:lang w:eastAsia="zh-CN"/>
        </w:rPr>
        <w:t>文件发布日期：2002年6月18日</w:t>
      </w:r>
    </w:p>
    <w:p w14:paraId="070EA85C">
      <w:pPr>
        <w:topLinePunct/>
        <w:adjustRightInd w:val="0"/>
        <w:snapToGrid w:val="0"/>
        <w:spacing w:after="224" w:afterLines="75" w:line="288" w:lineRule="auto"/>
        <w:jc w:val="center"/>
        <w:rPr>
          <w:rFonts w:ascii="Arial" w:hAnsi="Arial" w:eastAsia="宋体" w:cs="Arial"/>
          <w:snapToGrid w:val="0"/>
          <w:sz w:val="28"/>
          <w:szCs w:val="72"/>
          <w:lang w:eastAsia="zh-CN"/>
        </w:rPr>
      </w:pPr>
    </w:p>
    <w:p w14:paraId="3E8153C9">
      <w:pPr>
        <w:topLinePunct/>
        <w:adjustRightInd w:val="0"/>
        <w:snapToGrid w:val="0"/>
        <w:spacing w:after="224" w:afterLines="75" w:line="288" w:lineRule="auto"/>
        <w:jc w:val="both"/>
        <w:rPr>
          <w:rFonts w:ascii="Arial" w:hAnsi="Arial" w:eastAsia="宋体" w:cs="Arial"/>
          <w:snapToGrid w:val="0"/>
          <w:sz w:val="24"/>
          <w:szCs w:val="28"/>
          <w:lang w:eastAsia="zh-CN"/>
        </w:rPr>
      </w:pPr>
      <w:r>
        <w:rPr>
          <w:rFonts w:ascii="Arial" w:hAnsi="Arial" w:eastAsia="宋体" w:cs="Arial"/>
          <w:snapToGrid w:val="0"/>
          <w:sz w:val="24"/>
          <w:szCs w:val="28"/>
          <w:lang w:eastAsia="zh-CN"/>
        </w:rPr>
        <w:t>本文件取代1999年12月16日发布的</w:t>
      </w:r>
      <w:r>
        <w:rPr>
          <w:rFonts w:ascii="宋体" w:hAnsi="宋体" w:eastAsia="宋体" w:cs="Arial"/>
          <w:snapToGrid w:val="0"/>
          <w:sz w:val="24"/>
          <w:szCs w:val="28"/>
          <w:lang w:eastAsia="zh-CN"/>
        </w:rPr>
        <w:t>“</w:t>
      </w:r>
      <w:r>
        <w:rPr>
          <w:rFonts w:ascii="Arial" w:hAnsi="Arial" w:eastAsia="宋体" w:cs="Arial"/>
          <w:snapToGrid w:val="0"/>
          <w:sz w:val="24"/>
          <w:szCs w:val="28"/>
          <w:lang w:eastAsia="zh-CN"/>
        </w:rPr>
        <w:t>可吸收防粘连产品用于腹部和／或骨盆手术</w:t>
      </w:r>
      <w:r>
        <w:rPr>
          <w:rFonts w:hint="eastAsia" w:ascii="Arial" w:hAnsi="Arial" w:eastAsia="宋体" w:cs="Arial"/>
          <w:snapToGrid w:val="0"/>
          <w:sz w:val="24"/>
          <w:szCs w:val="28"/>
          <w:lang w:eastAsia="zh-CN"/>
        </w:rPr>
        <w:t>的</w:t>
      </w:r>
      <w:r>
        <w:rPr>
          <w:rFonts w:ascii="Arial" w:hAnsi="Arial" w:eastAsia="宋体" w:cs="Arial"/>
          <w:snapToGrid w:val="0"/>
          <w:sz w:val="24"/>
          <w:szCs w:val="28"/>
          <w:lang w:eastAsia="zh-CN"/>
        </w:rPr>
        <w:t>指南</w:t>
      </w:r>
      <w:r>
        <w:rPr>
          <w:rFonts w:ascii="宋体" w:hAnsi="宋体" w:eastAsia="宋体" w:cs="Arial"/>
          <w:snapToGrid w:val="0"/>
          <w:sz w:val="24"/>
          <w:szCs w:val="28"/>
          <w:lang w:eastAsia="zh-CN"/>
        </w:rPr>
        <w:t>”</w:t>
      </w:r>
      <w:r>
        <w:rPr>
          <w:rFonts w:ascii="Arial" w:hAnsi="Arial" w:eastAsia="宋体" w:cs="Arial"/>
          <w:snapToGrid w:val="0"/>
          <w:sz w:val="24"/>
          <w:szCs w:val="28"/>
          <w:lang w:eastAsia="zh-CN"/>
        </w:rPr>
        <w:t>。</w:t>
      </w:r>
    </w:p>
    <w:p w14:paraId="349C3A79">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52FB008D">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5E28531C">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588AFB37">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562709CB">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67834F80">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4B76ADA3">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085BA1B7">
      <w:pPr>
        <w:pStyle w:val="17"/>
        <w:topLinePunct/>
        <w:adjustRightInd w:val="0"/>
        <w:snapToGrid w:val="0"/>
        <w:spacing w:line="288" w:lineRule="auto"/>
        <w:ind w:left="0" w:firstLine="0"/>
        <w:jc w:val="right"/>
        <w:outlineLvl w:val="9"/>
        <w:rPr>
          <w:rFonts w:ascii="Arial" w:hAnsi="Arial" w:eastAsia="宋体" w:cs="Arial"/>
          <w:snapToGrid w:val="0"/>
          <w:lang w:eastAsia="zh-CN"/>
        </w:rPr>
      </w:pPr>
    </w:p>
    <w:p w14:paraId="3C8FA35B">
      <w:pPr>
        <w:pStyle w:val="17"/>
        <w:topLinePunct/>
        <w:adjustRightInd w:val="0"/>
        <w:snapToGrid w:val="0"/>
        <w:spacing w:line="288" w:lineRule="auto"/>
        <w:ind w:left="0" w:firstLine="0"/>
        <w:jc w:val="right"/>
        <w:outlineLvl w:val="9"/>
        <w:rPr>
          <w:rFonts w:ascii="Arial" w:hAnsi="Arial" w:eastAsia="宋体" w:cs="Arial"/>
          <w:snapToGrid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1276350</wp:posOffset>
            </wp:positionH>
            <wp:positionV relativeFrom="paragraph">
              <wp:posOffset>-198120</wp:posOffset>
            </wp:positionV>
            <wp:extent cx="1057275" cy="10001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7275" cy="1000125"/>
                    </a:xfrm>
                    <a:prstGeom prst="rect">
                      <a:avLst/>
                    </a:prstGeom>
                    <a:noFill/>
                  </pic:spPr>
                </pic:pic>
              </a:graphicData>
            </a:graphic>
          </wp:anchor>
        </w:drawing>
      </w:r>
      <w:r>
        <w:rPr>
          <w:rFonts w:ascii="Arial" w:hAnsi="Arial" w:eastAsia="宋体" w:cs="Arial"/>
          <w:snapToGrid w:val="0"/>
          <w:lang w:eastAsia="zh-CN"/>
        </w:rPr>
        <w:t>美国卫生和人类服务署</w:t>
      </w:r>
    </w:p>
    <w:p w14:paraId="1180CD7E">
      <w:pPr>
        <w:topLinePunct/>
        <w:adjustRightInd w:val="0"/>
        <w:snapToGrid w:val="0"/>
        <w:spacing w:line="288" w:lineRule="auto"/>
        <w:jc w:val="right"/>
        <w:rPr>
          <w:rFonts w:ascii="Arial" w:hAnsi="Arial" w:eastAsia="宋体" w:cs="Arial"/>
          <w:b/>
          <w:snapToGrid w:val="0"/>
          <w:sz w:val="24"/>
          <w:lang w:eastAsia="zh-CN"/>
        </w:rPr>
      </w:pPr>
      <w:r>
        <w:rPr>
          <w:rFonts w:ascii="Arial" w:hAnsi="Arial" w:eastAsia="宋体" w:cs="Arial"/>
          <w:b/>
          <w:snapToGrid w:val="0"/>
          <w:sz w:val="24"/>
          <w:lang w:eastAsia="zh-CN"/>
        </w:rPr>
        <w:t>食品药品监督管理局</w:t>
      </w:r>
    </w:p>
    <w:p w14:paraId="38844B79">
      <w:pPr>
        <w:topLinePunct/>
        <w:adjustRightInd w:val="0"/>
        <w:snapToGrid w:val="0"/>
        <w:spacing w:line="288" w:lineRule="auto"/>
        <w:jc w:val="right"/>
        <w:rPr>
          <w:rFonts w:ascii="Arial" w:hAnsi="Arial" w:eastAsia="宋体" w:cs="Arial"/>
          <w:snapToGrid w:val="0"/>
          <w:sz w:val="24"/>
          <w:szCs w:val="24"/>
          <w:lang w:eastAsia="zh-CN"/>
        </w:rPr>
      </w:pPr>
      <w:bookmarkStart w:id="0" w:name="OLE_LINK269"/>
      <w:bookmarkStart w:id="1" w:name="OLE_LINK270"/>
      <w:r>
        <w:rPr>
          <w:rFonts w:ascii="Arial" w:hAnsi="Arial" w:eastAsia="宋体" w:cs="Arial"/>
          <w:b/>
          <w:snapToGrid w:val="0"/>
          <w:sz w:val="24"/>
          <w:lang w:eastAsia="zh-CN"/>
        </w:rPr>
        <w:t>器械和放射卫生中心</w:t>
      </w:r>
      <w:bookmarkEnd w:id="0"/>
      <w:bookmarkEnd w:id="1"/>
    </w:p>
    <w:p w14:paraId="097CF2F8">
      <w:pPr>
        <w:topLinePunct/>
        <w:adjustRightInd w:val="0"/>
        <w:snapToGrid w:val="0"/>
        <w:spacing w:line="288" w:lineRule="auto"/>
        <w:jc w:val="right"/>
        <w:rPr>
          <w:rFonts w:ascii="Arial" w:hAnsi="Arial" w:eastAsia="宋体" w:cs="Arial"/>
          <w:b/>
          <w:snapToGrid w:val="0"/>
          <w:sz w:val="24"/>
          <w:lang w:eastAsia="zh-CN"/>
        </w:rPr>
      </w:pPr>
      <w:r>
        <w:rPr>
          <w:rFonts w:ascii="Arial" w:hAnsi="Arial" w:eastAsia="宋体" w:cs="Arial"/>
          <w:b/>
          <w:snapToGrid w:val="0"/>
          <w:sz w:val="24"/>
          <w:lang w:eastAsia="zh-CN"/>
        </w:rPr>
        <w:t>器械评价办公室</w:t>
      </w:r>
    </w:p>
    <w:p w14:paraId="0258C8C4">
      <w:pPr>
        <w:topLinePunct/>
        <w:adjustRightInd w:val="0"/>
        <w:snapToGrid w:val="0"/>
        <w:spacing w:line="288" w:lineRule="auto"/>
        <w:jc w:val="right"/>
        <w:rPr>
          <w:rFonts w:ascii="Arial" w:hAnsi="Arial" w:eastAsia="宋体" w:cs="Arial"/>
          <w:snapToGrid w:val="0"/>
          <w:sz w:val="24"/>
          <w:szCs w:val="24"/>
          <w:lang w:eastAsia="zh-CN"/>
        </w:rPr>
      </w:pPr>
    </w:p>
    <w:p w14:paraId="085351B2">
      <w:pPr>
        <w:topLinePunct/>
        <w:adjustRightInd w:val="0"/>
        <w:snapToGrid w:val="0"/>
        <w:spacing w:line="288" w:lineRule="auto"/>
        <w:jc w:val="right"/>
        <w:rPr>
          <w:rFonts w:ascii="Arial" w:hAnsi="Arial" w:eastAsia="宋体" w:cs="Arial"/>
          <w:b/>
          <w:snapToGrid w:val="0"/>
          <w:sz w:val="24"/>
          <w:szCs w:val="24"/>
          <w:lang w:eastAsia="zh-CN"/>
        </w:rPr>
      </w:pPr>
      <w:r>
        <w:rPr>
          <w:rFonts w:ascii="Arial" w:hAnsi="Arial" w:eastAsia="宋体" w:cs="Arial"/>
          <w:b/>
          <w:snapToGrid w:val="0"/>
          <w:sz w:val="24"/>
          <w:szCs w:val="24"/>
          <w:lang w:eastAsia="zh-CN"/>
        </w:rPr>
        <w:t>整形修复外科器械科</w:t>
      </w:r>
    </w:p>
    <w:p w14:paraId="2575F815">
      <w:pPr>
        <w:topLinePunct/>
        <w:adjustRightInd w:val="0"/>
        <w:snapToGrid w:val="0"/>
        <w:spacing w:line="288" w:lineRule="auto"/>
        <w:jc w:val="right"/>
        <w:rPr>
          <w:rFonts w:ascii="Arial" w:hAnsi="Arial" w:eastAsia="宋体" w:cs="Arial"/>
          <w:snapToGrid w:val="0"/>
          <w:sz w:val="24"/>
          <w:szCs w:val="24"/>
          <w:lang w:eastAsia="zh-CN"/>
        </w:rPr>
      </w:pPr>
      <w:bookmarkStart w:id="2" w:name="OLE_LINK3"/>
      <w:bookmarkStart w:id="3" w:name="OLE_LINK4"/>
      <w:r>
        <w:rPr>
          <w:rFonts w:hint="eastAsia" w:ascii="Arial" w:hAnsi="Arial" w:eastAsia="宋体" w:cs="Arial"/>
          <w:b/>
          <w:snapToGrid w:val="0"/>
          <w:sz w:val="24"/>
          <w:lang w:eastAsia="zh-CN"/>
        </w:rPr>
        <w:t>通用、恢复性</w:t>
      </w:r>
      <w:r>
        <w:rPr>
          <w:rFonts w:ascii="Arial" w:hAnsi="Arial" w:eastAsia="宋体" w:cs="Arial"/>
          <w:b/>
          <w:snapToGrid w:val="0"/>
          <w:sz w:val="24"/>
          <w:lang w:eastAsia="zh-CN"/>
        </w:rPr>
        <w:t>和神经学器械司</w:t>
      </w:r>
      <w:bookmarkEnd w:id="2"/>
      <w:bookmarkEnd w:id="3"/>
    </w:p>
    <w:p w14:paraId="6052E251">
      <w:pPr>
        <w:topLinePunct/>
        <w:adjustRightInd w:val="0"/>
        <w:snapToGrid w:val="0"/>
        <w:spacing w:line="288" w:lineRule="auto"/>
        <w:ind w:right="1371" w:rightChars="623"/>
        <w:jc w:val="right"/>
        <w:rPr>
          <w:rFonts w:ascii="Arial" w:hAnsi="Arial" w:eastAsia="宋体" w:cs="Arial"/>
          <w:snapToGrid w:val="0"/>
          <w:sz w:val="24"/>
          <w:szCs w:val="24"/>
          <w:lang w:eastAsia="zh-CN"/>
        </w:rPr>
      </w:pPr>
      <w:r>
        <w:rPr>
          <w:rFonts w:ascii="Arial" w:hAnsi="Arial" w:eastAsia="宋体" w:cs="Arial"/>
          <w:b/>
          <w:snapToGrid w:val="0"/>
          <w:sz w:val="24"/>
          <w:lang w:eastAsia="zh-CN"/>
        </w:rPr>
        <w:t>和</w:t>
      </w:r>
    </w:p>
    <w:p w14:paraId="3244EA1F">
      <w:pPr>
        <w:topLinePunct/>
        <w:adjustRightInd w:val="0"/>
        <w:snapToGrid w:val="0"/>
        <w:spacing w:line="288" w:lineRule="auto"/>
        <w:jc w:val="right"/>
        <w:rPr>
          <w:rFonts w:ascii="Arial" w:hAnsi="Arial" w:eastAsia="宋体" w:cs="Arial"/>
          <w:b/>
          <w:snapToGrid w:val="0"/>
          <w:sz w:val="24"/>
          <w:lang w:eastAsia="zh-CN"/>
        </w:rPr>
      </w:pPr>
      <w:r>
        <w:rPr>
          <w:rFonts w:ascii="Arial" w:hAnsi="Arial" w:eastAsia="宋体" w:cs="Arial"/>
          <w:b/>
          <w:snapToGrid w:val="0"/>
          <w:sz w:val="24"/>
          <w:lang w:eastAsia="zh-CN"/>
        </w:rPr>
        <w:t>产科和妇科学器械科</w:t>
      </w:r>
    </w:p>
    <w:p w14:paraId="5D2C0047">
      <w:pPr>
        <w:topLinePunct/>
        <w:adjustRightInd w:val="0"/>
        <w:snapToGrid w:val="0"/>
        <w:spacing w:line="288" w:lineRule="auto"/>
        <w:jc w:val="right"/>
        <w:rPr>
          <w:rFonts w:ascii="Arial" w:hAnsi="Arial" w:eastAsia="宋体" w:cs="Arial"/>
          <w:snapToGrid w:val="0"/>
          <w:sz w:val="24"/>
          <w:szCs w:val="24"/>
          <w:lang w:eastAsia="zh-CN"/>
        </w:rPr>
      </w:pPr>
      <w:r>
        <w:rPr>
          <w:rFonts w:ascii="Arial" w:hAnsi="Arial" w:eastAsia="宋体" w:cs="Arial"/>
          <w:b/>
          <w:snapToGrid w:val="0"/>
          <w:sz w:val="24"/>
          <w:lang w:eastAsia="zh-CN"/>
        </w:rPr>
        <w:t>生殖、腹部和放射学器械司</w:t>
      </w:r>
    </w:p>
    <w:p w14:paraId="72E81571">
      <w:pPr>
        <w:topLinePunct/>
        <w:adjustRightInd w:val="0"/>
        <w:snapToGrid w:val="0"/>
        <w:spacing w:after="224" w:afterLines="75" w:line="288" w:lineRule="auto"/>
        <w:jc w:val="center"/>
        <w:rPr>
          <w:rFonts w:ascii="Arial" w:hAnsi="Arial" w:eastAsia="宋体" w:cs="Arial"/>
          <w:snapToGrid w:val="0"/>
          <w:sz w:val="48"/>
          <w:szCs w:val="48"/>
          <w:lang w:eastAsia="zh-CN"/>
        </w:rPr>
      </w:pPr>
      <w:r>
        <w:rPr>
          <w:rFonts w:ascii="Arial" w:hAnsi="Arial" w:eastAsia="宋体" w:cs="Arial"/>
          <w:snapToGrid w:val="0"/>
          <w:sz w:val="24"/>
          <w:szCs w:val="24"/>
          <w:lang w:eastAsia="zh-CN"/>
        </w:rPr>
        <w:br w:type="page"/>
      </w:r>
      <w:r>
        <w:rPr>
          <w:rFonts w:ascii="Arial" w:hAnsi="Arial" w:eastAsia="宋体" w:cs="Arial"/>
          <w:b/>
          <w:snapToGrid w:val="0"/>
          <w:sz w:val="48"/>
          <w:lang w:eastAsia="zh-CN"/>
        </w:rPr>
        <w:t>前言</w:t>
      </w:r>
    </w:p>
    <w:p w14:paraId="5F841806">
      <w:pPr>
        <w:topLinePunct/>
        <w:adjustRightInd w:val="0"/>
        <w:snapToGrid w:val="0"/>
        <w:spacing w:after="224" w:afterLines="75" w:line="288" w:lineRule="auto"/>
        <w:jc w:val="both"/>
        <w:rPr>
          <w:rFonts w:ascii="Arial" w:hAnsi="Arial" w:eastAsia="宋体" w:cs="Arial"/>
          <w:snapToGrid w:val="0"/>
          <w:sz w:val="36"/>
          <w:szCs w:val="36"/>
          <w:lang w:eastAsia="zh-CN"/>
        </w:rPr>
      </w:pPr>
      <w:r>
        <w:rPr>
          <w:rFonts w:ascii="Arial" w:hAnsi="Arial" w:eastAsia="宋体" w:cs="Arial"/>
          <w:b/>
          <w:snapToGrid w:val="0"/>
          <w:sz w:val="36"/>
          <w:lang w:eastAsia="zh-CN"/>
        </w:rPr>
        <w:t>公共评论</w:t>
      </w:r>
    </w:p>
    <w:p w14:paraId="05D2E9ED">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为便于本机构收集评论和建议，评论和建议可以随时提交至食品药品监督管理局，人力资源和管理服务办公室，管理系统和政策司，案卷管理科（5630 Fishers Lane，Room 1061（HFA-305），Rockville，MD，20852）。</w:t>
      </w:r>
      <w:r>
        <w:rPr>
          <w:rFonts w:hint="eastAsia" w:ascii="Arial" w:hAnsi="Arial" w:eastAsia="宋体" w:cs="Arial"/>
          <w:snapToGrid w:val="0"/>
          <w:lang w:eastAsia="zh-CN"/>
        </w:rPr>
        <w:t>当提交评论时，请参阅</w:t>
      </w:r>
      <w:r>
        <w:rPr>
          <w:rFonts w:ascii="Arial" w:hAnsi="Arial" w:eastAsia="宋体" w:cs="Arial"/>
          <w:snapToGrid w:val="0"/>
          <w:lang w:eastAsia="zh-CN"/>
        </w:rPr>
        <w:t>案卷编号99D-5199和</w:t>
      </w:r>
      <w:r>
        <w:rPr>
          <w:rFonts w:hint="eastAsia" w:ascii="Arial" w:hAnsi="Arial" w:eastAsia="宋体" w:cs="Arial"/>
          <w:snapToGrid w:val="0"/>
          <w:lang w:eastAsia="zh-CN"/>
        </w:rPr>
        <w:t>本指导性文件的确切标题。</w:t>
      </w:r>
      <w:r>
        <w:rPr>
          <w:rFonts w:ascii="Arial" w:hAnsi="Arial" w:eastAsia="宋体" w:cs="Arial"/>
          <w:snapToGrid w:val="0"/>
          <w:lang w:eastAsia="zh-CN"/>
        </w:rPr>
        <w:t>再次进行文件修订或更新之前，本机构可能不会针对评论采取行动。</w:t>
      </w:r>
    </w:p>
    <w:p w14:paraId="131DF879">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有关本指导性文件的使用或解释问题，联系Elaine Blyskun，电话301-796-6533或邮箱</w:t>
      </w:r>
      <w:r>
        <w:fldChar w:fldCharType="begin"/>
      </w:r>
      <w:r>
        <w:instrText xml:space="preserve"> HYPERLINK "mailto:colin.pollard@fda.hhs.gov" \h </w:instrText>
      </w:r>
      <w:r>
        <w:fldChar w:fldCharType="separate"/>
      </w:r>
      <w:r>
        <w:rPr>
          <w:rFonts w:ascii="Arial" w:hAnsi="Arial" w:eastAsia="宋体" w:cs="Arial"/>
          <w:snapToGrid w:val="0"/>
          <w:lang w:eastAsia="zh-CN"/>
        </w:rPr>
        <w:t>elaine.blyskun@fda.hhs.gov</w:t>
      </w:r>
      <w:r>
        <w:rPr>
          <w:rFonts w:ascii="Arial" w:hAnsi="Arial" w:eastAsia="宋体" w:cs="Arial"/>
          <w:snapToGrid w:val="0"/>
          <w:lang w:eastAsia="zh-CN"/>
        </w:rPr>
        <w:fldChar w:fldCharType="end"/>
      </w:r>
      <w:r>
        <w:rPr>
          <w:rFonts w:ascii="Arial" w:hAnsi="Arial" w:eastAsia="宋体" w:cs="Arial"/>
          <w:snapToGrid w:val="0"/>
          <w:lang w:eastAsia="zh-CN"/>
        </w:rPr>
        <w:t>。</w:t>
      </w:r>
    </w:p>
    <w:p w14:paraId="45C44E89">
      <w:pPr>
        <w:topLinePunct/>
        <w:adjustRightInd w:val="0"/>
        <w:snapToGrid w:val="0"/>
        <w:spacing w:after="224" w:afterLines="75" w:line="288" w:lineRule="auto"/>
        <w:jc w:val="both"/>
        <w:rPr>
          <w:rFonts w:ascii="Arial" w:hAnsi="Arial" w:eastAsia="宋体" w:cs="Arial"/>
          <w:snapToGrid w:val="0"/>
          <w:sz w:val="36"/>
          <w:szCs w:val="36"/>
          <w:lang w:eastAsia="zh-CN"/>
        </w:rPr>
      </w:pPr>
      <w:r>
        <w:rPr>
          <w:rFonts w:ascii="Arial" w:hAnsi="Arial" w:eastAsia="宋体" w:cs="Arial"/>
          <w:b/>
          <w:snapToGrid w:val="0"/>
          <w:sz w:val="36"/>
          <w:lang w:eastAsia="zh-CN"/>
        </w:rPr>
        <w:t>其他副本</w:t>
      </w:r>
    </w:p>
    <w:p w14:paraId="3957B3AC">
      <w:pPr>
        <w:topLinePunct/>
        <w:adjustRightInd w:val="0"/>
        <w:snapToGrid w:val="0"/>
        <w:spacing w:after="224" w:afterLines="75" w:line="288" w:lineRule="auto"/>
        <w:jc w:val="both"/>
        <w:rPr>
          <w:rFonts w:ascii="Arial" w:hAnsi="Arial" w:eastAsia="宋体" w:cs="Arial"/>
          <w:snapToGrid w:val="0"/>
          <w:sz w:val="24"/>
          <w:lang w:eastAsia="zh-CN"/>
        </w:rPr>
      </w:pPr>
      <w:r>
        <w:rPr>
          <w:rFonts w:ascii="Arial" w:hAnsi="Arial" w:eastAsia="宋体" w:cs="Arial"/>
          <w:snapToGrid w:val="0"/>
          <w:sz w:val="24"/>
        </w:rPr>
        <w:t>从网络上可获得其他副</w:t>
      </w:r>
      <w:r>
        <w:rPr>
          <w:rFonts w:ascii="Arial" w:hAnsi="Arial" w:eastAsia="宋体" w:cs="Arial"/>
          <w:snapToGrid w:val="0"/>
          <w:sz w:val="24"/>
          <w:lang w:eastAsia="zh-CN"/>
        </w:rPr>
        <w:t>本：</w:t>
      </w:r>
      <w:r>
        <w:fldChar w:fldCharType="begin"/>
      </w:r>
      <w:r>
        <w:instrText xml:space="preserve"> HYPERLINK "http://www.fda.gov/cdrh/ode/guidance/1356.pdf" </w:instrText>
      </w:r>
      <w:r>
        <w:fldChar w:fldCharType="separate"/>
      </w:r>
      <w:r>
        <w:rPr>
          <w:rStyle w:val="10"/>
          <w:rFonts w:ascii="Arial" w:hAnsi="Arial" w:eastAsia="宋体" w:cs="Arial"/>
          <w:snapToGrid w:val="0"/>
          <w:sz w:val="24"/>
        </w:rPr>
        <w:t>http://www.fda.gov/cdrh/ode/guidance/1356.pdf</w:t>
      </w:r>
      <w:r>
        <w:rPr>
          <w:rStyle w:val="10"/>
          <w:rFonts w:ascii="Arial" w:hAnsi="Arial" w:eastAsia="宋体" w:cs="Arial"/>
          <w:snapToGrid w:val="0"/>
          <w:sz w:val="24"/>
        </w:rPr>
        <w:fldChar w:fldCharType="end"/>
      </w:r>
      <w:r>
        <w:rPr>
          <w:rFonts w:ascii="Arial" w:hAnsi="Arial" w:eastAsia="宋体" w:cs="Arial"/>
          <w:snapToGrid w:val="0"/>
          <w:sz w:val="24"/>
          <w:lang w:eastAsia="zh-CN"/>
        </w:rPr>
        <w:t>或</w:t>
      </w:r>
      <w:r>
        <w:rPr>
          <w:rFonts w:ascii="Arial" w:hAnsi="Arial" w:eastAsia="宋体" w:cs="Arial"/>
          <w:snapToGrid w:val="0"/>
          <w:sz w:val="24"/>
        </w:rPr>
        <w:t>CDRH资源索取自动回传系统</w:t>
      </w:r>
      <w:r>
        <w:rPr>
          <w:rFonts w:ascii="Arial" w:hAnsi="Arial" w:eastAsia="宋体" w:cs="Arial"/>
          <w:snapToGrid w:val="0"/>
          <w:sz w:val="24"/>
          <w:lang w:eastAsia="zh-CN"/>
        </w:rPr>
        <w:t>。为通过传真机接收本文件，您可用按键电话拨打CDRH资源索取自动回传系统800-899-0381或301-827-0111。按1进入系统。在第二个语音提示时，按1指定文件。输入文件编号（1356），以#</w:t>
      </w:r>
      <w:r>
        <w:rPr>
          <w:rFonts w:hint="eastAsia" w:ascii="Arial" w:hAnsi="Arial" w:eastAsia="宋体" w:cs="Arial"/>
          <w:snapToGrid w:val="0"/>
          <w:sz w:val="24"/>
          <w:lang w:eastAsia="zh-CN"/>
        </w:rPr>
        <w:t>键</w:t>
      </w:r>
      <w:r>
        <w:rPr>
          <w:rFonts w:ascii="Arial" w:hAnsi="Arial" w:eastAsia="宋体" w:cs="Arial"/>
          <w:snapToGrid w:val="0"/>
          <w:sz w:val="24"/>
          <w:lang w:eastAsia="zh-CN"/>
        </w:rPr>
        <w:t>结束。按照剩余的语音提示完成请求。</w:t>
      </w:r>
    </w:p>
    <w:p w14:paraId="5AC737F9">
      <w:pPr>
        <w:topLinePunct/>
        <w:adjustRightInd w:val="0"/>
        <w:snapToGrid w:val="0"/>
        <w:spacing w:after="224" w:afterLines="75" w:line="288" w:lineRule="auto"/>
        <w:jc w:val="center"/>
        <w:rPr>
          <w:rFonts w:ascii="Arial" w:hAnsi="Arial" w:eastAsia="宋体" w:cs="Arial"/>
          <w:snapToGrid w:val="0"/>
          <w:sz w:val="32"/>
          <w:szCs w:val="36"/>
          <w:lang w:eastAsia="zh-CN"/>
        </w:rPr>
      </w:pPr>
      <w:r>
        <w:rPr>
          <w:rFonts w:ascii="Arial" w:hAnsi="Arial" w:eastAsia="宋体" w:cs="Arial"/>
          <w:snapToGrid w:val="0"/>
          <w:sz w:val="24"/>
          <w:lang w:eastAsia="zh-CN"/>
        </w:rPr>
        <w:br w:type="page"/>
      </w:r>
      <w:r>
        <w:rPr>
          <w:rFonts w:ascii="Arial" w:hAnsi="Arial" w:eastAsia="宋体" w:cs="Arial"/>
          <w:b/>
          <w:snapToGrid w:val="0"/>
          <w:sz w:val="32"/>
          <w:lang w:eastAsia="zh-CN"/>
        </w:rPr>
        <w:t>目录</w:t>
      </w:r>
    </w:p>
    <w:sdt>
      <w:sdtPr>
        <w:rPr>
          <w:rFonts w:ascii="Arial" w:hAnsi="Arial" w:eastAsia="宋体" w:cs="Arial"/>
          <w:snapToGrid w:val="0"/>
        </w:rPr>
        <w:id w:val="308134"/>
        <w:docPartObj>
          <w:docPartGallery w:val="Table of Contents"/>
          <w:docPartUnique/>
        </w:docPartObj>
      </w:sdtPr>
      <w:sdtEndPr>
        <w:rPr>
          <w:rFonts w:ascii="Arial" w:hAnsi="Arial" w:eastAsia="宋体" w:cs="Arial"/>
          <w:snapToGrid w:val="0"/>
        </w:rPr>
      </w:sdtEndPr>
      <w:sdtContent>
        <w:p w14:paraId="254AFC50">
          <w:pPr>
            <w:pStyle w:val="12"/>
            <w:tabs>
              <w:tab w:val="right" w:leader="dot" w:pos="9043"/>
            </w:tabs>
            <w:topLinePunct/>
            <w:adjustRightInd w:val="0"/>
            <w:snapToGrid w:val="0"/>
            <w:spacing w:before="74" w:beforeLines="25" w:line="300" w:lineRule="auto"/>
            <w:ind w:left="0"/>
            <w:jc w:val="both"/>
            <w:rPr>
              <w:rFonts w:ascii="Arial" w:hAnsi="Arial" w:eastAsia="宋体" w:cs="Arial"/>
              <w:snapToGrid w:val="0"/>
              <w:lang w:eastAsia="zh-CN"/>
            </w:rPr>
          </w:pPr>
          <w:r>
            <w:fldChar w:fldCharType="begin"/>
          </w:r>
          <w:r>
            <w:instrText xml:space="preserve"> HYPERLINK \l "_bookmark0" </w:instrText>
          </w:r>
          <w:r>
            <w:fldChar w:fldCharType="separate"/>
          </w:r>
          <w:r>
            <w:rPr>
              <w:rFonts w:ascii="Arial" w:hAnsi="Arial" w:eastAsia="宋体" w:cs="Arial"/>
              <w:snapToGrid w:val="0"/>
              <w:color w:val="0000FF"/>
              <w:lang w:eastAsia="zh-CN"/>
            </w:rPr>
            <w:t>背景</w:t>
          </w:r>
          <w:r>
            <w:rPr>
              <w:rFonts w:ascii="Arial" w:hAnsi="Arial" w:eastAsia="宋体" w:cs="Arial"/>
              <w:snapToGrid w:val="0"/>
              <w:color w:val="0000FF"/>
              <w:lang w:eastAsia="zh-CN"/>
            </w:rPr>
            <w:fldChar w:fldCharType="end"/>
          </w:r>
          <w:r>
            <w:rPr>
              <w:rFonts w:ascii="Arial" w:hAnsi="Arial" w:eastAsia="宋体" w:cs="Arial"/>
              <w:snapToGrid w:val="0"/>
              <w:lang w:eastAsia="zh-CN"/>
            </w:rPr>
            <w:tab/>
          </w:r>
          <w:r>
            <w:rPr>
              <w:rFonts w:ascii="Arial" w:hAnsi="Arial" w:eastAsia="宋体" w:cs="Arial"/>
              <w:snapToGrid w:val="0"/>
              <w:lang w:eastAsia="zh-CN"/>
            </w:rPr>
            <w:t>1</w:t>
          </w:r>
        </w:p>
        <w:p w14:paraId="4A7404F9">
          <w:pPr>
            <w:pStyle w:val="12"/>
            <w:tabs>
              <w:tab w:val="right" w:leader="dot" w:pos="9043"/>
            </w:tabs>
            <w:topLinePunct/>
            <w:adjustRightInd w:val="0"/>
            <w:snapToGrid w:val="0"/>
            <w:spacing w:before="74" w:beforeLines="25" w:line="300" w:lineRule="auto"/>
            <w:ind w:left="0"/>
            <w:jc w:val="both"/>
            <w:rPr>
              <w:rFonts w:ascii="Arial" w:hAnsi="Arial" w:eastAsia="宋体" w:cs="Arial"/>
              <w:snapToGrid w:val="0"/>
              <w:lang w:eastAsia="zh-CN"/>
            </w:rPr>
          </w:pPr>
          <w:r>
            <w:fldChar w:fldCharType="begin"/>
          </w:r>
          <w:r>
            <w:instrText xml:space="preserve"> HYPERLINK \l "_bookmark1" </w:instrText>
          </w:r>
          <w:r>
            <w:fldChar w:fldCharType="separate"/>
          </w:r>
          <w:r>
            <w:rPr>
              <w:rFonts w:ascii="Arial" w:hAnsi="Arial" w:eastAsia="宋体" w:cs="Arial"/>
              <w:snapToGrid w:val="0"/>
              <w:color w:val="0000FF"/>
              <w:lang w:eastAsia="zh-CN"/>
            </w:rPr>
            <w:t>防粘连产品的通用IDE要求（21 CFR 812）</w:t>
          </w:r>
          <w:r>
            <w:rPr>
              <w:rFonts w:ascii="Arial" w:hAnsi="Arial" w:eastAsia="宋体" w:cs="Arial"/>
              <w:snapToGrid w:val="0"/>
              <w:color w:val="0000FF"/>
              <w:lang w:eastAsia="zh-CN"/>
            </w:rPr>
            <w:fldChar w:fldCharType="end"/>
          </w:r>
          <w:r>
            <w:rPr>
              <w:rFonts w:ascii="Arial" w:hAnsi="Arial" w:eastAsia="宋体" w:cs="Arial"/>
              <w:snapToGrid w:val="0"/>
              <w:lang w:eastAsia="zh-CN"/>
            </w:rPr>
            <w:tab/>
          </w:r>
          <w:r>
            <w:rPr>
              <w:rFonts w:ascii="Arial" w:hAnsi="Arial" w:eastAsia="宋体" w:cs="Arial"/>
              <w:snapToGrid w:val="0"/>
              <w:lang w:eastAsia="zh-CN"/>
            </w:rPr>
            <w:t>2</w:t>
          </w:r>
        </w:p>
        <w:p w14:paraId="7B913E94">
          <w:pPr>
            <w:pStyle w:val="12"/>
            <w:tabs>
              <w:tab w:val="right" w:leader="dot" w:pos="9043"/>
            </w:tabs>
            <w:topLinePunct/>
            <w:adjustRightInd w:val="0"/>
            <w:snapToGrid w:val="0"/>
            <w:spacing w:before="74" w:beforeLines="25" w:line="300" w:lineRule="auto"/>
            <w:ind w:left="0"/>
            <w:jc w:val="both"/>
            <w:rPr>
              <w:rFonts w:ascii="Arial" w:hAnsi="Arial" w:eastAsia="宋体" w:cs="Arial"/>
              <w:snapToGrid w:val="0"/>
              <w:lang w:eastAsia="zh-CN"/>
            </w:rPr>
          </w:pPr>
          <w:r>
            <w:fldChar w:fldCharType="begin"/>
          </w:r>
          <w:r>
            <w:instrText xml:space="preserve"> HYPERLINK \l "_bookmark2" </w:instrText>
          </w:r>
          <w:r>
            <w:fldChar w:fldCharType="separate"/>
          </w:r>
          <w:r>
            <w:rPr>
              <w:rFonts w:ascii="Arial" w:hAnsi="Arial" w:eastAsia="宋体" w:cs="Arial"/>
              <w:snapToGrid w:val="0"/>
              <w:color w:val="0000FF"/>
              <w:lang w:eastAsia="zh-CN"/>
            </w:rPr>
            <w:t>防粘连产品的通用PMA要求（21 CFR 814）</w:t>
          </w:r>
          <w:r>
            <w:rPr>
              <w:rFonts w:ascii="Arial" w:hAnsi="Arial" w:eastAsia="宋体" w:cs="Arial"/>
              <w:snapToGrid w:val="0"/>
              <w:color w:val="0000FF"/>
              <w:lang w:eastAsia="zh-CN"/>
            </w:rPr>
            <w:fldChar w:fldCharType="end"/>
          </w:r>
          <w:r>
            <w:rPr>
              <w:rFonts w:ascii="Arial" w:hAnsi="Arial" w:eastAsia="宋体" w:cs="Arial"/>
              <w:snapToGrid w:val="0"/>
              <w:lang w:eastAsia="zh-CN"/>
            </w:rPr>
            <w:tab/>
          </w:r>
          <w:r>
            <w:rPr>
              <w:rFonts w:ascii="Arial" w:hAnsi="Arial" w:eastAsia="宋体" w:cs="Arial"/>
              <w:snapToGrid w:val="0"/>
              <w:lang w:eastAsia="zh-CN"/>
            </w:rPr>
            <w:t>3</w:t>
          </w:r>
        </w:p>
        <w:p w14:paraId="796C4410">
          <w:pPr>
            <w:pStyle w:val="12"/>
            <w:tabs>
              <w:tab w:val="right" w:leader="dot" w:pos="9043"/>
            </w:tabs>
            <w:topLinePunct/>
            <w:adjustRightInd w:val="0"/>
            <w:snapToGrid w:val="0"/>
            <w:spacing w:before="74" w:beforeLines="25" w:line="300" w:lineRule="auto"/>
            <w:ind w:left="0"/>
            <w:jc w:val="both"/>
            <w:rPr>
              <w:rFonts w:ascii="Arial" w:hAnsi="Arial" w:eastAsia="宋体" w:cs="Arial"/>
              <w:snapToGrid w:val="0"/>
              <w:lang w:eastAsia="zh-CN"/>
            </w:rPr>
          </w:pPr>
          <w:bookmarkStart w:id="4" w:name="OLE_LINK5"/>
          <w:bookmarkStart w:id="5" w:name="OLE_LINK6"/>
          <w:r>
            <w:rPr>
              <w:rFonts w:ascii="Arial" w:hAnsi="Arial" w:eastAsia="宋体" w:cs="Arial"/>
              <w:snapToGrid w:val="0"/>
            </w:rPr>
            <w:fldChar w:fldCharType="begin"/>
          </w:r>
          <w:r>
            <w:rPr>
              <w:rFonts w:ascii="Arial" w:hAnsi="Arial" w:eastAsia="宋体" w:cs="Arial"/>
              <w:snapToGrid w:val="0"/>
              <w:lang w:eastAsia="zh-CN"/>
            </w:rPr>
            <w:instrText xml:space="preserve">HYPERLINK \l "_bookmark3"</w:instrText>
          </w:r>
          <w:r>
            <w:rPr>
              <w:rFonts w:ascii="Arial" w:hAnsi="Arial" w:eastAsia="宋体" w:cs="Arial"/>
              <w:snapToGrid w:val="0"/>
            </w:rPr>
            <w:fldChar w:fldCharType="separate"/>
          </w:r>
          <w:r>
            <w:rPr>
              <w:rFonts w:ascii="Arial" w:hAnsi="Arial" w:eastAsia="宋体" w:cs="Arial"/>
              <w:snapToGrid w:val="0"/>
              <w:color w:val="0000FF"/>
              <w:lang w:eastAsia="zh-CN"/>
            </w:rPr>
            <w:t>临床前数据</w:t>
          </w:r>
          <w:r>
            <w:rPr>
              <w:rFonts w:ascii="Arial" w:hAnsi="Arial" w:eastAsia="宋体" w:cs="Arial"/>
              <w:snapToGrid w:val="0"/>
            </w:rPr>
            <w:fldChar w:fldCharType="end"/>
          </w:r>
          <w:bookmarkEnd w:id="4"/>
          <w:bookmarkEnd w:id="5"/>
          <w:r>
            <w:rPr>
              <w:rFonts w:ascii="Arial" w:hAnsi="Arial" w:eastAsia="宋体" w:cs="Arial"/>
              <w:snapToGrid w:val="0"/>
              <w:lang w:eastAsia="zh-CN"/>
            </w:rPr>
            <w:tab/>
          </w:r>
          <w:r>
            <w:rPr>
              <w:rFonts w:ascii="Arial" w:hAnsi="Arial" w:eastAsia="宋体" w:cs="Arial"/>
              <w:snapToGrid w:val="0"/>
              <w:lang w:eastAsia="zh-CN"/>
            </w:rPr>
            <w:t>4</w:t>
          </w:r>
        </w:p>
        <w:p w14:paraId="2E78E691">
          <w:pPr>
            <w:pStyle w:val="14"/>
            <w:numPr>
              <w:ilvl w:val="0"/>
              <w:numId w:val="1"/>
            </w:numPr>
            <w:tabs>
              <w:tab w:val="left" w:pos="840"/>
              <w:tab w:val="right" w:leader="dot" w:pos="9043"/>
              <w:tab w:val="right" w:leader="dot" w:pos="9464"/>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"_bookmark3" </w:instrText>
          </w:r>
          <w:r>
            <w:fldChar w:fldCharType="separate"/>
          </w:r>
          <w:r>
            <w:rPr>
              <w:rFonts w:ascii="Arial" w:hAnsi="Arial" w:eastAsia="宋体" w:cs="Arial"/>
              <w:snapToGrid w:val="0"/>
              <w:color w:val="0000FF"/>
              <w:lang w:eastAsia="zh-CN"/>
            </w:rPr>
            <w:t>器械说明</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4</w:t>
          </w:r>
        </w:p>
        <w:p w14:paraId="726A2CF6">
          <w:pPr>
            <w:pStyle w:val="14"/>
            <w:numPr>
              <w:ilvl w:val="0"/>
              <w:numId w:val="1"/>
            </w:numPr>
            <w:tabs>
              <w:tab w:val="left" w:pos="840"/>
              <w:tab w:val="right" w:leader="dot" w:pos="9043"/>
              <w:tab w:val="right" w:leader="dot" w:pos="9464"/>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"_bookmark3" </w:instrText>
          </w:r>
          <w:r>
            <w:fldChar w:fldCharType="separate"/>
          </w:r>
          <w:r>
            <w:rPr>
              <w:rFonts w:ascii="Arial" w:hAnsi="Arial" w:eastAsia="宋体" w:cs="Arial"/>
              <w:snapToGrid w:val="0"/>
              <w:color w:val="0000FF"/>
              <w:lang w:eastAsia="zh-CN"/>
            </w:rPr>
            <w:t>化学</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4</w:t>
          </w:r>
        </w:p>
        <w:p w14:paraId="0233C707">
          <w:pPr>
            <w:pStyle w:val="14"/>
            <w:numPr>
              <w:ilvl w:val="0"/>
              <w:numId w:val="1"/>
            </w:numPr>
            <w:tabs>
              <w:tab w:val="left" w:pos="840"/>
              <w:tab w:val="right" w:leader="dot" w:pos="9043"/>
              <w:tab w:val="right" w:leader="dot" w:pos="9464"/>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"_bookmark4" </w:instrText>
          </w:r>
          <w:r>
            <w:fldChar w:fldCharType="separate"/>
          </w:r>
          <w:r>
            <w:rPr>
              <w:rFonts w:ascii="Arial" w:hAnsi="Arial" w:eastAsia="宋体" w:cs="Arial"/>
              <w:snapToGrid w:val="0"/>
              <w:color w:val="0000FF"/>
              <w:lang w:eastAsia="zh-CN"/>
            </w:rPr>
            <w:t>动物测试</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5</w:t>
          </w:r>
        </w:p>
        <w:p w14:paraId="717C6E51">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lang w:eastAsia="zh-CN"/>
            </w:rPr>
          </w:pPr>
          <w:r>
            <w:fldChar w:fldCharType="begin"/>
          </w:r>
          <w:r>
            <w:instrText xml:space="preserve"> HYPERLINK \l "_TOC_250026" </w:instrText>
          </w:r>
          <w:r>
            <w:fldChar w:fldCharType="separate"/>
          </w:r>
          <w:r>
            <w:rPr>
              <w:rFonts w:ascii="Arial" w:hAnsi="Arial" w:eastAsia="宋体" w:cs="Arial"/>
              <w:snapToGrid w:val="0"/>
              <w:lang w:eastAsia="zh-CN"/>
            </w:rPr>
            <w:t>毒理学／生物相容性研究</w:t>
          </w:r>
          <w:r>
            <w:rPr>
              <w:rFonts w:ascii="Arial" w:hAnsi="Arial" w:eastAsia="宋体" w:cs="Arial"/>
              <w:snapToGrid w:val="0"/>
              <w:lang w:eastAsia="zh-CN"/>
            </w:rPr>
            <w:tab/>
          </w:r>
          <w:r>
            <w:rPr>
              <w:rFonts w:ascii="Arial" w:hAnsi="Arial" w:eastAsia="宋体" w:cs="Arial"/>
              <w:snapToGrid w:val="0"/>
              <w:lang w:eastAsia="zh-CN"/>
            </w:rPr>
            <w:t>5</w:t>
          </w:r>
          <w:r>
            <w:rPr>
              <w:rFonts w:ascii="Arial" w:hAnsi="Arial" w:eastAsia="宋体" w:cs="Arial"/>
              <w:snapToGrid w:val="0"/>
              <w:lang w:eastAsia="zh-CN"/>
            </w:rPr>
            <w:fldChar w:fldCharType="end"/>
          </w:r>
        </w:p>
        <w:p w14:paraId="50E8CF6B">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"_TOC_250025" </w:instrText>
          </w:r>
          <w:r>
            <w:fldChar w:fldCharType="separate"/>
          </w:r>
          <w:r>
            <w:rPr>
              <w:rFonts w:ascii="Arial" w:hAnsi="Arial" w:eastAsia="宋体" w:cs="Arial"/>
              <w:snapToGrid w:val="0"/>
              <w:lang w:eastAsia="zh-CN"/>
            </w:rPr>
            <w:t>药代动力学研究</w:t>
          </w:r>
          <w:r>
            <w:rPr>
              <w:rFonts w:ascii="Arial" w:hAnsi="Arial" w:eastAsia="宋体" w:cs="Arial"/>
              <w:snapToGrid w:val="0"/>
            </w:rPr>
            <w:tab/>
          </w:r>
          <w:r>
            <w:rPr>
              <w:rFonts w:ascii="Arial" w:hAnsi="Arial" w:eastAsia="宋体" w:cs="Arial"/>
              <w:snapToGrid w:val="0"/>
            </w:rPr>
            <w:t>7</w:t>
          </w:r>
          <w:r>
            <w:rPr>
              <w:rFonts w:ascii="Arial" w:hAnsi="Arial" w:eastAsia="宋体" w:cs="Arial"/>
              <w:snapToGrid w:val="0"/>
            </w:rPr>
            <w:fldChar w:fldCharType="end"/>
          </w:r>
        </w:p>
        <w:p w14:paraId="60E862F6">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"_TOC_250024" </w:instrText>
          </w:r>
          <w:r>
            <w:fldChar w:fldCharType="separate"/>
          </w:r>
          <w:r>
            <w:rPr>
              <w:rFonts w:ascii="Arial" w:hAnsi="Arial" w:eastAsia="宋体" w:cs="Arial"/>
              <w:snapToGrid w:val="0"/>
              <w:lang w:eastAsia="zh-CN"/>
            </w:rPr>
            <w:t>有效性研究</w:t>
          </w:r>
          <w:r>
            <w:rPr>
              <w:rFonts w:ascii="Arial" w:hAnsi="Arial" w:eastAsia="宋体" w:cs="Arial"/>
              <w:snapToGrid w:val="0"/>
            </w:rPr>
            <w:tab/>
          </w:r>
          <w:r>
            <w:rPr>
              <w:rFonts w:ascii="Arial" w:hAnsi="Arial" w:eastAsia="宋体" w:cs="Arial"/>
              <w:snapToGrid w:val="0"/>
            </w:rPr>
            <w:t>7</w:t>
          </w:r>
          <w:r>
            <w:rPr>
              <w:rFonts w:ascii="Arial" w:hAnsi="Arial" w:eastAsia="宋体" w:cs="Arial"/>
              <w:snapToGrid w:val="0"/>
            </w:rPr>
            <w:fldChar w:fldCharType="end"/>
          </w:r>
        </w:p>
        <w:p w14:paraId="20DF6F4D">
          <w:pPr>
            <w:pStyle w:val="14"/>
            <w:numPr>
              <w:ilvl w:val="0"/>
              <w:numId w:val="1"/>
            </w:numPr>
            <w:tabs>
              <w:tab w:val="left" w:pos="839"/>
              <w:tab w:val="right" w:leader="dot" w:pos="9043"/>
              <w:tab w:val="right" w:leader="dot" w:pos="9463"/>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"_bookmark5" </w:instrText>
          </w:r>
          <w:r>
            <w:fldChar w:fldCharType="separate"/>
          </w:r>
          <w:r>
            <w:rPr>
              <w:rFonts w:ascii="Arial" w:hAnsi="Arial" w:eastAsia="宋体" w:cs="Arial"/>
              <w:snapToGrid w:val="0"/>
              <w:color w:val="0000FF"/>
              <w:lang w:eastAsia="zh-CN"/>
            </w:rPr>
            <w:t>物理和力学测试</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8</w:t>
          </w:r>
        </w:p>
        <w:p w14:paraId="14DD241E">
          <w:pPr>
            <w:pStyle w:val="14"/>
            <w:numPr>
              <w:ilvl w:val="0"/>
              <w:numId w:val="1"/>
            </w:numPr>
            <w:tabs>
              <w:tab w:val="left" w:pos="839"/>
              <w:tab w:val="right" w:leader="dot" w:pos="9043"/>
              <w:tab w:val="right" w:leader="dot" w:pos="9463"/>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"_bookmark5" </w:instrText>
          </w:r>
          <w:r>
            <w:fldChar w:fldCharType="separate"/>
          </w:r>
          <w:r>
            <w:rPr>
              <w:rFonts w:ascii="Arial" w:hAnsi="Arial" w:eastAsia="宋体" w:cs="Arial"/>
              <w:snapToGrid w:val="0"/>
              <w:color w:val="0000FF"/>
              <w:lang w:eastAsia="zh-CN"/>
            </w:rPr>
            <w:t>制造</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8</w:t>
          </w:r>
        </w:p>
        <w:p w14:paraId="704E1438">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"_TOC_250023" </w:instrText>
          </w:r>
          <w:r>
            <w:fldChar w:fldCharType="separate"/>
          </w:r>
          <w:r>
            <w:rPr>
              <w:rFonts w:ascii="Arial" w:hAnsi="Arial" w:eastAsia="宋体" w:cs="Arial"/>
              <w:snapToGrid w:val="0"/>
              <w:lang w:eastAsia="zh-CN"/>
            </w:rPr>
            <w:t>产品表征</w:t>
          </w:r>
          <w:r>
            <w:rPr>
              <w:rFonts w:ascii="Arial" w:hAnsi="Arial" w:eastAsia="宋体" w:cs="Arial"/>
              <w:snapToGrid w:val="0"/>
            </w:rPr>
            <w:tab/>
          </w:r>
          <w:r>
            <w:rPr>
              <w:rFonts w:ascii="Arial" w:hAnsi="Arial" w:eastAsia="宋体" w:cs="Arial"/>
              <w:snapToGrid w:val="0"/>
            </w:rPr>
            <w:t>8</w:t>
          </w:r>
          <w:r>
            <w:rPr>
              <w:rFonts w:ascii="Arial" w:hAnsi="Arial" w:eastAsia="宋体" w:cs="Arial"/>
              <w:snapToGrid w:val="0"/>
            </w:rPr>
            <w:fldChar w:fldCharType="end"/>
          </w:r>
        </w:p>
        <w:p w14:paraId="3D2268F7">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"_TOC_250022" </w:instrText>
          </w:r>
          <w:r>
            <w:fldChar w:fldCharType="separate"/>
          </w:r>
          <w:r>
            <w:rPr>
              <w:rFonts w:ascii="Arial" w:hAnsi="Arial" w:eastAsia="宋体" w:cs="Arial"/>
              <w:snapToGrid w:val="0"/>
              <w:lang w:eastAsia="zh-CN"/>
            </w:rPr>
            <w:t>最终产品规格</w:t>
          </w:r>
          <w:r>
            <w:rPr>
              <w:rFonts w:ascii="Arial" w:hAnsi="Arial" w:eastAsia="宋体" w:cs="Arial"/>
              <w:snapToGrid w:val="0"/>
            </w:rPr>
            <w:tab/>
          </w:r>
          <w:r>
            <w:rPr>
              <w:rFonts w:ascii="Arial" w:hAnsi="Arial" w:eastAsia="宋体" w:cs="Arial"/>
              <w:snapToGrid w:val="0"/>
            </w:rPr>
            <w:t>8</w:t>
          </w:r>
          <w:r>
            <w:rPr>
              <w:rFonts w:ascii="Arial" w:hAnsi="Arial" w:eastAsia="宋体" w:cs="Arial"/>
              <w:snapToGrid w:val="0"/>
            </w:rPr>
            <w:fldChar w:fldCharType="end"/>
          </w:r>
        </w:p>
        <w:p w14:paraId="6068415A">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"_TOC_250021" </w:instrText>
          </w:r>
          <w:r>
            <w:fldChar w:fldCharType="separate"/>
          </w:r>
          <w:r>
            <w:rPr>
              <w:rFonts w:ascii="Arial" w:hAnsi="Arial" w:eastAsia="宋体" w:cs="Arial"/>
              <w:snapToGrid w:val="0"/>
              <w:lang w:eastAsia="zh-CN"/>
            </w:rPr>
            <w:t>产品到期日</w:t>
          </w:r>
          <w:r>
            <w:rPr>
              <w:rFonts w:ascii="Arial" w:hAnsi="Arial" w:eastAsia="宋体" w:cs="Arial"/>
              <w:snapToGrid w:val="0"/>
            </w:rPr>
            <w:tab/>
          </w:r>
          <w:r>
            <w:rPr>
              <w:rFonts w:ascii="Arial" w:hAnsi="Arial" w:eastAsia="宋体" w:cs="Arial"/>
              <w:snapToGrid w:val="0"/>
            </w:rPr>
            <w:t>9</w:t>
          </w:r>
          <w:r>
            <w:rPr>
              <w:rFonts w:ascii="Arial" w:hAnsi="Arial" w:eastAsia="宋体" w:cs="Arial"/>
              <w:snapToGrid w:val="0"/>
            </w:rPr>
            <w:fldChar w:fldCharType="end"/>
          </w:r>
        </w:p>
        <w:p w14:paraId="399A1A5A">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"_TOC_250020" </w:instrText>
          </w:r>
          <w:r>
            <w:fldChar w:fldCharType="separate"/>
          </w:r>
          <w:r>
            <w:rPr>
              <w:rFonts w:ascii="Arial" w:hAnsi="Arial" w:eastAsia="宋体" w:cs="Arial"/>
              <w:snapToGrid w:val="0"/>
              <w:lang w:eastAsia="zh-CN"/>
            </w:rPr>
            <w:t>器械涂药器</w:t>
          </w:r>
          <w:r>
            <w:rPr>
              <w:rFonts w:ascii="Arial" w:hAnsi="Arial" w:eastAsia="宋体" w:cs="Arial"/>
              <w:snapToGrid w:val="0"/>
            </w:rPr>
            <w:tab/>
          </w:r>
          <w:r>
            <w:rPr>
              <w:rFonts w:ascii="Arial" w:hAnsi="Arial" w:eastAsia="宋体" w:cs="Arial"/>
              <w:snapToGrid w:val="0"/>
            </w:rPr>
            <w:t>9</w:t>
          </w:r>
          <w:r>
            <w:rPr>
              <w:rFonts w:ascii="Arial" w:hAnsi="Arial" w:eastAsia="宋体" w:cs="Arial"/>
              <w:snapToGrid w:val="0"/>
            </w:rPr>
            <w:fldChar w:fldCharType="end"/>
          </w:r>
        </w:p>
        <w:p w14:paraId="4A07FC53">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"_TOC_250019" </w:instrText>
          </w:r>
          <w:r>
            <w:fldChar w:fldCharType="separate"/>
          </w:r>
          <w:r>
            <w:rPr>
              <w:rFonts w:ascii="Arial" w:hAnsi="Arial" w:eastAsia="宋体" w:cs="Arial"/>
              <w:snapToGrid w:val="0"/>
              <w:lang w:eastAsia="zh-CN"/>
            </w:rPr>
            <w:t>灭菌</w:t>
          </w:r>
          <w:r>
            <w:rPr>
              <w:rFonts w:ascii="Arial" w:hAnsi="Arial" w:eastAsia="宋体" w:cs="Arial"/>
              <w:snapToGrid w:val="0"/>
            </w:rPr>
            <w:tab/>
          </w:r>
          <w:r>
            <w:rPr>
              <w:rFonts w:ascii="Arial" w:hAnsi="Arial" w:eastAsia="宋体" w:cs="Arial"/>
              <w:snapToGrid w:val="0"/>
            </w:rPr>
            <w:t>9</w:t>
          </w:r>
          <w:r>
            <w:rPr>
              <w:rFonts w:ascii="Arial" w:hAnsi="Arial" w:eastAsia="宋体" w:cs="Arial"/>
              <w:snapToGrid w:val="0"/>
            </w:rPr>
            <w:fldChar w:fldCharType="end"/>
          </w:r>
        </w:p>
        <w:p w14:paraId="4A83ACF1">
          <w:pPr>
            <w:pStyle w:val="15"/>
            <w:numPr>
              <w:ilvl w:val="1"/>
              <w:numId w:val="1"/>
            </w:numPr>
            <w:tabs>
              <w:tab w:val="left" w:pos="1418"/>
              <w:tab w:val="right" w:leader="dot" w:pos="9043"/>
              <w:tab w:val="right" w:leader="dot" w:pos="9463"/>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"_TOC_250018" </w:instrText>
          </w:r>
          <w:r>
            <w:fldChar w:fldCharType="separate"/>
          </w:r>
          <w:r>
            <w:rPr>
              <w:rFonts w:ascii="Arial" w:hAnsi="Arial" w:eastAsia="宋体" w:cs="Arial"/>
              <w:snapToGrid w:val="0"/>
              <w:lang w:eastAsia="zh-CN"/>
            </w:rPr>
            <w:t>产热原性测试</w:t>
          </w:r>
          <w:r>
            <w:rPr>
              <w:rFonts w:ascii="Arial" w:hAnsi="Arial" w:eastAsia="宋体" w:cs="Arial"/>
              <w:snapToGrid w:val="0"/>
            </w:rPr>
            <w:tab/>
          </w:r>
          <w:r>
            <w:rPr>
              <w:rFonts w:ascii="Arial" w:hAnsi="Arial" w:eastAsia="宋体" w:cs="Arial"/>
              <w:snapToGrid w:val="0"/>
            </w:rPr>
            <w:t>11</w:t>
          </w:r>
          <w:r>
            <w:rPr>
              <w:rFonts w:ascii="Arial" w:hAnsi="Arial" w:eastAsia="宋体" w:cs="Arial"/>
              <w:snapToGrid w:val="0"/>
            </w:rPr>
            <w:fldChar w:fldCharType="end"/>
          </w:r>
        </w:p>
        <w:p w14:paraId="0F10CC0C">
          <w:pPr>
            <w:pStyle w:val="12"/>
            <w:tabs>
              <w:tab w:val="right" w:leader="dot" w:pos="9043"/>
            </w:tabs>
            <w:topLinePunct/>
            <w:adjustRightInd w:val="0"/>
            <w:snapToGrid w:val="0"/>
            <w:spacing w:before="74" w:beforeLines="25" w:line="300" w:lineRule="auto"/>
            <w:ind w:left="0"/>
            <w:jc w:val="both"/>
            <w:rPr>
              <w:rFonts w:ascii="Arial" w:hAnsi="Arial" w:eastAsia="宋体" w:cs="Arial"/>
              <w:snapToGrid w:val="0"/>
            </w:rPr>
          </w:pPr>
          <w:r>
            <w:fldChar w:fldCharType="begin"/>
          </w:r>
          <w:r>
            <w:instrText xml:space="preserve"> HYPERLINK \l "_bookmark6" </w:instrText>
          </w:r>
          <w:r>
            <w:fldChar w:fldCharType="separate"/>
          </w:r>
          <w:r>
            <w:rPr>
              <w:rFonts w:ascii="Arial" w:hAnsi="Arial" w:eastAsia="宋体" w:cs="Arial"/>
              <w:snapToGrid w:val="0"/>
              <w:color w:val="0000FF"/>
              <w:lang w:eastAsia="zh-CN"/>
            </w:rPr>
            <w:t>临床试验计划</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11</w:t>
          </w:r>
        </w:p>
        <w:p w14:paraId="0F4B700D">
          <w:pPr>
            <w:pStyle w:val="14"/>
            <w:numPr>
              <w:ilvl w:val="0"/>
              <w:numId w:val="2"/>
            </w:numPr>
            <w:tabs>
              <w:tab w:val="left" w:pos="839"/>
              <w:tab w:val="right" w:leader="dot" w:pos="9043"/>
              <w:tab w:val="right" w:leader="dot" w:pos="9463"/>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"_bookmark6" </w:instrText>
          </w:r>
          <w:r>
            <w:fldChar w:fldCharType="separate"/>
          </w:r>
          <w:r>
            <w:rPr>
              <w:rFonts w:ascii="Arial" w:hAnsi="Arial" w:eastAsia="宋体" w:cs="Arial"/>
              <w:snapToGrid w:val="0"/>
              <w:color w:val="0000FF"/>
              <w:lang w:eastAsia="zh-CN"/>
            </w:rPr>
            <w:t>引言</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11</w:t>
          </w:r>
        </w:p>
        <w:p w14:paraId="04000C9F">
          <w:pPr>
            <w:pStyle w:val="14"/>
            <w:numPr>
              <w:ilvl w:val="0"/>
              <w:numId w:val="2"/>
            </w:numPr>
            <w:tabs>
              <w:tab w:val="left" w:pos="839"/>
              <w:tab w:val="right" w:leader="dot" w:pos="9043"/>
              <w:tab w:val="right" w:leader="dot" w:pos="9463"/>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"_bookmark7" </w:instrText>
          </w:r>
          <w:r>
            <w:fldChar w:fldCharType="separate"/>
          </w:r>
          <w:r>
            <w:rPr>
              <w:rFonts w:ascii="Arial" w:hAnsi="Arial" w:eastAsia="宋体" w:cs="Arial"/>
              <w:snapToGrid w:val="0"/>
              <w:color w:val="0000FF"/>
              <w:lang w:eastAsia="zh-CN"/>
            </w:rPr>
            <w:t>预期用途</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12</w:t>
          </w:r>
        </w:p>
        <w:p w14:paraId="23EE7D97">
          <w:pPr>
            <w:pStyle w:val="14"/>
            <w:numPr>
              <w:ilvl w:val="0"/>
              <w:numId w:val="2"/>
            </w:numPr>
            <w:tabs>
              <w:tab w:val="left" w:pos="839"/>
              <w:tab w:val="right" w:leader="dot" w:pos="9043"/>
              <w:tab w:val="right" w:leader="dot" w:pos="9463"/>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"_bookmark7" </w:instrText>
          </w:r>
          <w:r>
            <w:fldChar w:fldCharType="separate"/>
          </w:r>
          <w:r>
            <w:rPr>
              <w:rFonts w:ascii="Arial" w:hAnsi="Arial" w:eastAsia="宋体" w:cs="Arial"/>
              <w:snapToGrid w:val="0"/>
              <w:color w:val="0000FF"/>
              <w:lang w:eastAsia="zh-CN"/>
            </w:rPr>
            <w:t>可行性研究</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12</w:t>
          </w:r>
        </w:p>
        <w:p w14:paraId="39FBDEB2">
          <w:pPr>
            <w:pStyle w:val="14"/>
            <w:numPr>
              <w:ilvl w:val="0"/>
              <w:numId w:val="2"/>
            </w:numPr>
            <w:tabs>
              <w:tab w:val="left" w:pos="839"/>
              <w:tab w:val="right" w:leader="dot" w:pos="9043"/>
              <w:tab w:val="right" w:leader="dot" w:pos="9463"/>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"_bookmark8" </w:instrText>
          </w:r>
          <w:r>
            <w:fldChar w:fldCharType="separate"/>
          </w:r>
          <w:r>
            <w:rPr>
              <w:rFonts w:ascii="Arial" w:hAnsi="Arial" w:eastAsia="宋体" w:cs="Arial"/>
              <w:snapToGrid w:val="0"/>
              <w:color w:val="0000FF"/>
              <w:lang w:eastAsia="zh-CN"/>
            </w:rPr>
            <w:t>关键研究</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13</w:t>
          </w:r>
        </w:p>
        <w:p w14:paraId="00A8389C">
          <w:pPr>
            <w:pStyle w:val="15"/>
            <w:numPr>
              <w:ilvl w:val="1"/>
              <w:numId w:val="2"/>
            </w:numPr>
            <w:tabs>
              <w:tab w:val="left" w:pos="1418"/>
              <w:tab w:val="right" w:leader="dot" w:pos="9043"/>
              <w:tab w:val="right" w:leader="dot" w:pos="9462"/>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"_TOC_250017" </w:instrText>
          </w:r>
          <w:r>
            <w:fldChar w:fldCharType="separate"/>
          </w:r>
          <w:r>
            <w:rPr>
              <w:rFonts w:ascii="Arial" w:hAnsi="Arial" w:eastAsia="宋体" w:cs="Arial"/>
              <w:snapToGrid w:val="0"/>
              <w:lang w:eastAsia="zh-CN"/>
            </w:rPr>
            <w:t>研究目的</w:t>
          </w:r>
          <w:r>
            <w:rPr>
              <w:rFonts w:ascii="Arial" w:hAnsi="Arial" w:eastAsia="宋体" w:cs="Arial"/>
              <w:snapToGrid w:val="0"/>
            </w:rPr>
            <w:tab/>
          </w:r>
          <w:r>
            <w:rPr>
              <w:rFonts w:ascii="Arial" w:hAnsi="Arial" w:eastAsia="宋体" w:cs="Arial"/>
              <w:snapToGrid w:val="0"/>
            </w:rPr>
            <w:t>13</w:t>
          </w:r>
          <w:r>
            <w:rPr>
              <w:rFonts w:ascii="Arial" w:hAnsi="Arial" w:eastAsia="宋体" w:cs="Arial"/>
              <w:snapToGrid w:val="0"/>
            </w:rPr>
            <w:fldChar w:fldCharType="end"/>
          </w:r>
        </w:p>
        <w:p w14:paraId="72ACE24F">
          <w:pPr>
            <w:pStyle w:val="15"/>
            <w:numPr>
              <w:ilvl w:val="1"/>
              <w:numId w:val="2"/>
            </w:numPr>
            <w:tabs>
              <w:tab w:val="left" w:pos="1418"/>
              <w:tab w:val="right" w:leader="dot" w:pos="9043"/>
              <w:tab w:val="right" w:leader="dot" w:pos="9462"/>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"_TOC_250016" </w:instrText>
          </w:r>
          <w:r>
            <w:fldChar w:fldCharType="separate"/>
          </w:r>
          <w:r>
            <w:rPr>
              <w:rFonts w:ascii="Arial" w:hAnsi="Arial" w:eastAsia="宋体" w:cs="Arial"/>
              <w:snapToGrid w:val="0"/>
              <w:lang w:eastAsia="zh-CN"/>
            </w:rPr>
            <w:t>研究假设</w:t>
          </w:r>
          <w:r>
            <w:rPr>
              <w:rFonts w:ascii="Arial" w:hAnsi="Arial" w:eastAsia="宋体" w:cs="Arial"/>
              <w:snapToGrid w:val="0"/>
            </w:rPr>
            <w:tab/>
          </w:r>
          <w:r>
            <w:rPr>
              <w:rFonts w:ascii="Arial" w:hAnsi="Arial" w:eastAsia="宋体" w:cs="Arial"/>
              <w:snapToGrid w:val="0"/>
            </w:rPr>
            <w:t>13</w:t>
          </w:r>
          <w:r>
            <w:rPr>
              <w:rFonts w:ascii="Arial" w:hAnsi="Arial" w:eastAsia="宋体" w:cs="Arial"/>
              <w:snapToGrid w:val="0"/>
            </w:rPr>
            <w:fldChar w:fldCharType="end"/>
          </w:r>
        </w:p>
        <w:p w14:paraId="27A8652A">
          <w:pPr>
            <w:pStyle w:val="15"/>
            <w:numPr>
              <w:ilvl w:val="1"/>
              <w:numId w:val="2"/>
            </w:numPr>
            <w:tabs>
              <w:tab w:val="left" w:pos="1418"/>
              <w:tab w:val="right" w:leader="dot" w:pos="9043"/>
              <w:tab w:val="right" w:leader="dot" w:pos="9462"/>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"_TOC_250015" </w:instrText>
          </w:r>
          <w:r>
            <w:fldChar w:fldCharType="separate"/>
          </w:r>
          <w:r>
            <w:rPr>
              <w:rFonts w:ascii="Arial" w:hAnsi="Arial" w:eastAsia="宋体" w:cs="Arial"/>
              <w:snapToGrid w:val="0"/>
              <w:lang w:eastAsia="zh-CN"/>
            </w:rPr>
            <w:t>指标</w:t>
          </w:r>
          <w:r>
            <w:rPr>
              <w:rFonts w:ascii="Arial" w:hAnsi="Arial" w:eastAsia="宋体" w:cs="Arial"/>
              <w:snapToGrid w:val="0"/>
            </w:rPr>
            <w:tab/>
          </w:r>
          <w:r>
            <w:rPr>
              <w:rFonts w:ascii="Arial" w:hAnsi="Arial" w:eastAsia="宋体" w:cs="Arial"/>
              <w:snapToGrid w:val="0"/>
            </w:rPr>
            <w:t>14</w:t>
          </w:r>
          <w:r>
            <w:rPr>
              <w:rFonts w:ascii="Arial" w:hAnsi="Arial" w:eastAsia="宋体" w:cs="Arial"/>
              <w:snapToGrid w:val="0"/>
            </w:rPr>
            <w:fldChar w:fldCharType="end"/>
          </w:r>
        </w:p>
        <w:p w14:paraId="5C98C33D">
          <w:pPr>
            <w:pStyle w:val="15"/>
            <w:numPr>
              <w:ilvl w:val="1"/>
              <w:numId w:val="2"/>
            </w:numPr>
            <w:tabs>
              <w:tab w:val="left" w:pos="1418"/>
              <w:tab w:val="right" w:leader="dot" w:pos="9043"/>
              <w:tab w:val="right" w:leader="dot" w:pos="9462"/>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"_TOC_250014" </w:instrText>
          </w:r>
          <w:r>
            <w:fldChar w:fldCharType="separate"/>
          </w:r>
          <w:r>
            <w:rPr>
              <w:rFonts w:ascii="Arial" w:hAnsi="Arial" w:eastAsia="宋体" w:cs="Arial"/>
              <w:snapToGrid w:val="0"/>
              <w:lang w:eastAsia="zh-CN"/>
            </w:rPr>
            <w:t>评估工具</w:t>
          </w:r>
          <w:r>
            <w:rPr>
              <w:rFonts w:ascii="Arial" w:hAnsi="Arial" w:eastAsia="宋体" w:cs="Arial"/>
              <w:snapToGrid w:val="0"/>
            </w:rPr>
            <w:tab/>
          </w:r>
          <w:r>
            <w:rPr>
              <w:rFonts w:ascii="Arial" w:hAnsi="Arial" w:eastAsia="宋体" w:cs="Arial"/>
              <w:snapToGrid w:val="0"/>
            </w:rPr>
            <w:t>15</w:t>
          </w:r>
          <w:r>
            <w:rPr>
              <w:rFonts w:ascii="Arial" w:hAnsi="Arial" w:eastAsia="宋体" w:cs="Arial"/>
              <w:snapToGrid w:val="0"/>
            </w:rPr>
            <w:fldChar w:fldCharType="end"/>
          </w:r>
        </w:p>
        <w:p w14:paraId="3701D972">
          <w:pPr>
            <w:pStyle w:val="15"/>
            <w:numPr>
              <w:ilvl w:val="1"/>
              <w:numId w:val="2"/>
            </w:numPr>
            <w:tabs>
              <w:tab w:val="left" w:pos="1418"/>
              <w:tab w:val="right" w:leader="dot" w:pos="9043"/>
              <w:tab w:val="right" w:leader="dot" w:pos="9462"/>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"_TOC_250013" </w:instrText>
          </w:r>
          <w:r>
            <w:fldChar w:fldCharType="separate"/>
          </w:r>
          <w:r>
            <w:rPr>
              <w:rFonts w:ascii="Arial" w:hAnsi="Arial" w:eastAsia="宋体" w:cs="Arial"/>
              <w:snapToGrid w:val="0"/>
              <w:lang w:eastAsia="zh-CN"/>
            </w:rPr>
            <w:t>重要评估考虑</w:t>
          </w:r>
          <w:r>
            <w:rPr>
              <w:rFonts w:ascii="Arial" w:hAnsi="Arial" w:eastAsia="宋体" w:cs="Arial"/>
              <w:snapToGrid w:val="0"/>
            </w:rPr>
            <w:tab/>
          </w:r>
          <w:r>
            <w:rPr>
              <w:rFonts w:ascii="Arial" w:hAnsi="Arial" w:eastAsia="宋体" w:cs="Arial"/>
              <w:snapToGrid w:val="0"/>
            </w:rPr>
            <w:t>16</w:t>
          </w:r>
          <w:r>
            <w:rPr>
              <w:rFonts w:ascii="Arial" w:hAnsi="Arial" w:eastAsia="宋体" w:cs="Arial"/>
              <w:snapToGrid w:val="0"/>
            </w:rPr>
            <w:fldChar w:fldCharType="end"/>
          </w:r>
        </w:p>
        <w:p w14:paraId="15B6C69E">
          <w:pPr>
            <w:pStyle w:val="15"/>
            <w:numPr>
              <w:ilvl w:val="1"/>
              <w:numId w:val="2"/>
            </w:numPr>
            <w:tabs>
              <w:tab w:val="left" w:pos="1418"/>
              <w:tab w:val="right" w:leader="dot" w:pos="9043"/>
              <w:tab w:val="right" w:leader="dot" w:pos="9462"/>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"_TOC_250012" </w:instrText>
          </w:r>
          <w:r>
            <w:fldChar w:fldCharType="separate"/>
          </w:r>
          <w:r>
            <w:rPr>
              <w:rFonts w:ascii="Arial" w:hAnsi="Arial" w:eastAsia="宋体" w:cs="Arial"/>
              <w:snapToGrid w:val="0"/>
              <w:lang w:eastAsia="zh-CN"/>
            </w:rPr>
            <w:t>研究设计</w:t>
          </w:r>
          <w:r>
            <w:rPr>
              <w:rFonts w:ascii="Arial" w:hAnsi="Arial" w:eastAsia="宋体" w:cs="Arial"/>
              <w:snapToGrid w:val="0"/>
            </w:rPr>
            <w:tab/>
          </w:r>
          <w:r>
            <w:rPr>
              <w:rFonts w:ascii="Arial" w:hAnsi="Arial" w:eastAsia="宋体" w:cs="Arial"/>
              <w:snapToGrid w:val="0"/>
            </w:rPr>
            <w:t>17</w:t>
          </w:r>
          <w:r>
            <w:rPr>
              <w:rFonts w:ascii="Arial" w:hAnsi="Arial" w:eastAsia="宋体" w:cs="Arial"/>
              <w:snapToGrid w:val="0"/>
            </w:rPr>
            <w:fldChar w:fldCharType="end"/>
          </w:r>
        </w:p>
        <w:p w14:paraId="6DAAB6FE">
          <w:pPr>
            <w:pStyle w:val="15"/>
            <w:numPr>
              <w:ilvl w:val="1"/>
              <w:numId w:val="2"/>
            </w:numPr>
            <w:tabs>
              <w:tab w:val="left" w:pos="1418"/>
              <w:tab w:val="right" w:leader="dot" w:pos="9043"/>
              <w:tab w:val="right" w:leader="dot" w:pos="9462"/>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"_TOC_250011" </w:instrText>
          </w:r>
          <w:r>
            <w:fldChar w:fldCharType="separate"/>
          </w:r>
          <w:r>
            <w:rPr>
              <w:rFonts w:ascii="Arial" w:hAnsi="Arial" w:eastAsia="宋体" w:cs="Arial"/>
              <w:snapToGrid w:val="0"/>
              <w:lang w:eastAsia="zh-CN"/>
            </w:rPr>
            <w:t>统计方法</w:t>
          </w:r>
          <w:r>
            <w:rPr>
              <w:rFonts w:ascii="Arial" w:hAnsi="Arial" w:eastAsia="宋体" w:cs="Arial"/>
              <w:snapToGrid w:val="0"/>
            </w:rPr>
            <w:tab/>
          </w:r>
          <w:r>
            <w:rPr>
              <w:rFonts w:ascii="Arial" w:hAnsi="Arial" w:eastAsia="宋体" w:cs="Arial"/>
              <w:snapToGrid w:val="0"/>
            </w:rPr>
            <w:t>18</w:t>
          </w:r>
          <w:r>
            <w:rPr>
              <w:rFonts w:ascii="Arial" w:hAnsi="Arial" w:eastAsia="宋体" w:cs="Arial"/>
              <w:snapToGrid w:val="0"/>
            </w:rPr>
            <w:fldChar w:fldCharType="end"/>
          </w:r>
        </w:p>
        <w:p w14:paraId="58E8BAAC">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"_TOC_250010" </w:instrText>
          </w:r>
          <w:r>
            <w:fldChar w:fldCharType="separate"/>
          </w:r>
          <w:r>
            <w:rPr>
              <w:rFonts w:ascii="Arial" w:hAnsi="Arial" w:eastAsia="宋体" w:cs="Arial"/>
              <w:snapToGrid w:val="0"/>
              <w:lang w:eastAsia="zh-CN"/>
            </w:rPr>
            <w:t>病例报告表</w:t>
          </w:r>
          <w:r>
            <w:rPr>
              <w:rFonts w:ascii="Arial" w:hAnsi="Arial" w:eastAsia="宋体" w:cs="Arial"/>
              <w:snapToGrid w:val="0"/>
            </w:rPr>
            <w:tab/>
          </w:r>
          <w:r>
            <w:rPr>
              <w:rFonts w:ascii="Arial" w:hAnsi="Arial" w:eastAsia="宋体" w:cs="Arial"/>
              <w:snapToGrid w:val="0"/>
            </w:rPr>
            <w:t>21</w:t>
          </w:r>
          <w:r>
            <w:rPr>
              <w:rFonts w:ascii="Arial" w:hAnsi="Arial" w:eastAsia="宋体" w:cs="Arial"/>
              <w:snapToGrid w:val="0"/>
            </w:rPr>
            <w:fldChar w:fldCharType="end"/>
          </w:r>
        </w:p>
        <w:p w14:paraId="51652A9D">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"_TOC_250009" </w:instrText>
          </w:r>
          <w:r>
            <w:fldChar w:fldCharType="separate"/>
          </w:r>
          <w:r>
            <w:rPr>
              <w:rFonts w:ascii="Arial" w:hAnsi="Arial" w:eastAsia="宋体" w:cs="Arial"/>
              <w:snapToGrid w:val="0"/>
              <w:lang w:eastAsia="zh-CN"/>
            </w:rPr>
            <w:t>器械涂药器</w:t>
          </w:r>
          <w:r>
            <w:rPr>
              <w:rFonts w:ascii="Arial" w:hAnsi="Arial" w:eastAsia="宋体" w:cs="Arial"/>
              <w:snapToGrid w:val="0"/>
            </w:rPr>
            <w:tab/>
          </w:r>
          <w:r>
            <w:rPr>
              <w:rFonts w:ascii="Arial" w:hAnsi="Arial" w:eastAsia="宋体" w:cs="Arial"/>
              <w:snapToGrid w:val="0"/>
            </w:rPr>
            <w:t>21</w:t>
          </w:r>
          <w:r>
            <w:rPr>
              <w:rFonts w:ascii="Arial" w:hAnsi="Arial" w:eastAsia="宋体" w:cs="Arial"/>
              <w:snapToGrid w:val="0"/>
            </w:rPr>
            <w:fldChar w:fldCharType="end"/>
          </w:r>
        </w:p>
        <w:p w14:paraId="32D8665E">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"_TOC_250008" </w:instrText>
          </w:r>
          <w:r>
            <w:fldChar w:fldCharType="separate"/>
          </w:r>
          <w:r>
            <w:rPr>
              <w:rFonts w:ascii="Arial" w:hAnsi="Arial" w:eastAsia="宋体" w:cs="Arial"/>
              <w:snapToGrid w:val="0"/>
              <w:lang w:eastAsia="zh-CN"/>
            </w:rPr>
            <w:t>知情同意</w:t>
          </w:r>
          <w:r>
            <w:rPr>
              <w:rFonts w:ascii="Arial" w:hAnsi="Arial" w:eastAsia="宋体" w:cs="Arial"/>
              <w:snapToGrid w:val="0"/>
            </w:rPr>
            <w:tab/>
          </w:r>
          <w:r>
            <w:rPr>
              <w:rFonts w:ascii="Arial" w:hAnsi="Arial" w:eastAsia="宋体" w:cs="Arial"/>
              <w:snapToGrid w:val="0"/>
            </w:rPr>
            <w:t>22</w:t>
          </w:r>
          <w:r>
            <w:rPr>
              <w:rFonts w:ascii="Arial" w:hAnsi="Arial" w:eastAsia="宋体" w:cs="Arial"/>
              <w:snapToGrid w:val="0"/>
            </w:rPr>
            <w:fldChar w:fldCharType="end"/>
          </w:r>
        </w:p>
        <w:p w14:paraId="7A310F2A">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"_TOC_250007" </w:instrText>
          </w:r>
          <w:r>
            <w:fldChar w:fldCharType="separate"/>
          </w:r>
          <w:r>
            <w:rPr>
              <w:rFonts w:ascii="Arial" w:hAnsi="Arial" w:eastAsia="宋体" w:cs="Arial"/>
              <w:snapToGrid w:val="0"/>
              <w:lang w:eastAsia="zh-CN"/>
            </w:rPr>
            <w:t>批准后研究</w:t>
          </w:r>
          <w:r>
            <w:rPr>
              <w:rFonts w:ascii="Arial" w:hAnsi="Arial" w:eastAsia="宋体" w:cs="Arial"/>
              <w:snapToGrid w:val="0"/>
            </w:rPr>
            <w:tab/>
          </w:r>
          <w:r>
            <w:rPr>
              <w:rFonts w:ascii="Arial" w:hAnsi="Arial" w:eastAsia="宋体" w:cs="Arial"/>
              <w:snapToGrid w:val="0"/>
            </w:rPr>
            <w:t>22</w:t>
          </w:r>
          <w:r>
            <w:rPr>
              <w:rFonts w:ascii="Arial" w:hAnsi="Arial" w:eastAsia="宋体" w:cs="Arial"/>
              <w:snapToGrid w:val="0"/>
            </w:rPr>
            <w:fldChar w:fldCharType="end"/>
          </w:r>
        </w:p>
        <w:p w14:paraId="1806DCD1">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"_TOC_250006" </w:instrText>
          </w:r>
          <w:r>
            <w:fldChar w:fldCharType="separate"/>
          </w:r>
          <w:r>
            <w:rPr>
              <w:rFonts w:ascii="Arial" w:hAnsi="Arial" w:eastAsia="宋体" w:cs="Arial"/>
              <w:snapToGrid w:val="0"/>
              <w:lang w:eastAsia="zh-CN"/>
            </w:rPr>
            <w:t>特殊考虑</w:t>
          </w:r>
          <w:r>
            <w:rPr>
              <w:rFonts w:ascii="Arial" w:hAnsi="Arial" w:eastAsia="宋体" w:cs="Arial"/>
              <w:snapToGrid w:val="0"/>
            </w:rPr>
            <w:tab/>
          </w:r>
          <w:r>
            <w:rPr>
              <w:rFonts w:ascii="Arial" w:hAnsi="Arial" w:eastAsia="宋体" w:cs="Arial"/>
              <w:snapToGrid w:val="0"/>
            </w:rPr>
            <w:t>22</w:t>
          </w:r>
          <w:r>
            <w:rPr>
              <w:rFonts w:ascii="Arial" w:hAnsi="Arial" w:eastAsia="宋体" w:cs="Arial"/>
              <w:snapToGrid w:val="0"/>
            </w:rPr>
            <w:fldChar w:fldCharType="end"/>
          </w:r>
        </w:p>
        <w:p w14:paraId="4A87CBF5">
          <w:pPr>
            <w:pStyle w:val="14"/>
            <w:numPr>
              <w:ilvl w:val="0"/>
              <w:numId w:val="2"/>
            </w:numPr>
            <w:tabs>
              <w:tab w:val="left" w:pos="840"/>
              <w:tab w:val="right" w:leader="dot" w:pos="9043"/>
              <w:tab w:val="right" w:leader="dot" w:pos="9464"/>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"_bookmark9" </w:instrText>
          </w:r>
          <w:r>
            <w:fldChar w:fldCharType="separate"/>
          </w:r>
          <w:r>
            <w:rPr>
              <w:rFonts w:ascii="Arial" w:hAnsi="Arial" w:eastAsia="宋体" w:cs="Arial"/>
              <w:snapToGrid w:val="0"/>
              <w:color w:val="0000FF"/>
              <w:lang w:eastAsia="zh-CN"/>
            </w:rPr>
            <w:t>风险／获益分析</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23</w:t>
          </w:r>
        </w:p>
        <w:p w14:paraId="6AC6C310">
          <w:pPr>
            <w:pStyle w:val="14"/>
            <w:numPr>
              <w:ilvl w:val="0"/>
              <w:numId w:val="2"/>
            </w:numPr>
            <w:tabs>
              <w:tab w:val="left" w:pos="840"/>
              <w:tab w:val="right" w:leader="dot" w:pos="9043"/>
              <w:tab w:val="right" w:leader="dot" w:pos="9464"/>
            </w:tabs>
            <w:topLinePunct/>
            <w:adjustRightInd w:val="0"/>
            <w:snapToGrid w:val="0"/>
            <w:spacing w:before="74" w:beforeLines="25" w:line="300" w:lineRule="auto"/>
            <w:ind w:left="284" w:leftChars="129" w:firstLine="0"/>
            <w:jc w:val="both"/>
            <w:rPr>
              <w:rFonts w:ascii="Arial" w:hAnsi="Arial" w:eastAsia="宋体" w:cs="Arial"/>
              <w:snapToGrid w:val="0"/>
            </w:rPr>
          </w:pPr>
          <w:r>
            <w:fldChar w:fldCharType="begin"/>
          </w:r>
          <w:r>
            <w:instrText xml:space="preserve"> HYPERLINK \l "_bookmark9" </w:instrText>
          </w:r>
          <w:r>
            <w:fldChar w:fldCharType="separate"/>
          </w:r>
          <w:r>
            <w:rPr>
              <w:rFonts w:ascii="Arial" w:hAnsi="Arial" w:eastAsia="宋体" w:cs="Arial"/>
              <w:snapToGrid w:val="0"/>
              <w:color w:val="0000FF"/>
              <w:lang w:eastAsia="zh-CN"/>
            </w:rPr>
            <w:t>标签</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23</w:t>
          </w:r>
        </w:p>
        <w:p w14:paraId="7F0D18F7">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"_TOC_250005" </w:instrText>
          </w:r>
          <w:r>
            <w:fldChar w:fldCharType="separate"/>
          </w:r>
          <w:r>
            <w:rPr>
              <w:rFonts w:ascii="Arial" w:hAnsi="Arial" w:eastAsia="宋体" w:cs="Arial"/>
              <w:snapToGrid w:val="0"/>
              <w:lang w:eastAsia="zh-CN"/>
            </w:rPr>
            <w:t>使用适应症</w:t>
          </w:r>
          <w:r>
            <w:rPr>
              <w:rFonts w:ascii="Arial" w:hAnsi="Arial" w:eastAsia="宋体" w:cs="Arial"/>
              <w:snapToGrid w:val="0"/>
            </w:rPr>
            <w:tab/>
          </w:r>
          <w:r>
            <w:rPr>
              <w:rFonts w:ascii="Arial" w:hAnsi="Arial" w:eastAsia="宋体" w:cs="Arial"/>
              <w:snapToGrid w:val="0"/>
            </w:rPr>
            <w:t>24</w:t>
          </w:r>
          <w:r>
            <w:rPr>
              <w:rFonts w:ascii="Arial" w:hAnsi="Arial" w:eastAsia="宋体" w:cs="Arial"/>
              <w:snapToGrid w:val="0"/>
            </w:rPr>
            <w:fldChar w:fldCharType="end"/>
          </w:r>
        </w:p>
        <w:p w14:paraId="67B60354">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"_TOC_250004" </w:instrText>
          </w:r>
          <w:r>
            <w:fldChar w:fldCharType="separate"/>
          </w:r>
          <w:r>
            <w:rPr>
              <w:rFonts w:ascii="Arial" w:hAnsi="Arial" w:eastAsia="宋体" w:cs="Arial"/>
              <w:snapToGrid w:val="0"/>
              <w:lang w:eastAsia="zh-CN"/>
            </w:rPr>
            <w:t>禁忌症</w:t>
          </w:r>
          <w:r>
            <w:rPr>
              <w:rFonts w:ascii="Arial" w:hAnsi="Arial" w:eastAsia="宋体" w:cs="Arial"/>
              <w:snapToGrid w:val="0"/>
            </w:rPr>
            <w:tab/>
          </w:r>
          <w:r>
            <w:rPr>
              <w:rFonts w:ascii="Arial" w:hAnsi="Arial" w:eastAsia="宋体" w:cs="Arial"/>
              <w:snapToGrid w:val="0"/>
            </w:rPr>
            <w:t>24</w:t>
          </w:r>
          <w:r>
            <w:rPr>
              <w:rFonts w:ascii="Arial" w:hAnsi="Arial" w:eastAsia="宋体" w:cs="Arial"/>
              <w:snapToGrid w:val="0"/>
            </w:rPr>
            <w:fldChar w:fldCharType="end"/>
          </w:r>
        </w:p>
        <w:p w14:paraId="4B4810C5">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"_TOC_250003" </w:instrText>
          </w:r>
          <w:r>
            <w:fldChar w:fldCharType="separate"/>
          </w:r>
          <w:r>
            <w:rPr>
              <w:rFonts w:ascii="Arial" w:hAnsi="Arial" w:eastAsia="宋体" w:cs="Arial"/>
              <w:snapToGrid w:val="0"/>
              <w:lang w:eastAsia="zh-CN"/>
            </w:rPr>
            <w:t>警告</w:t>
          </w:r>
          <w:r>
            <w:rPr>
              <w:rFonts w:ascii="Arial" w:hAnsi="Arial" w:eastAsia="宋体" w:cs="Arial"/>
              <w:snapToGrid w:val="0"/>
            </w:rPr>
            <w:t>／</w:t>
          </w:r>
          <w:r>
            <w:rPr>
              <w:rFonts w:ascii="Arial" w:hAnsi="Arial" w:eastAsia="宋体" w:cs="Arial"/>
              <w:snapToGrid w:val="0"/>
              <w:lang w:eastAsia="zh-CN"/>
            </w:rPr>
            <w:t>注意事项</w:t>
          </w:r>
          <w:r>
            <w:rPr>
              <w:rFonts w:ascii="Arial" w:hAnsi="Arial" w:eastAsia="宋体" w:cs="Arial"/>
              <w:snapToGrid w:val="0"/>
            </w:rPr>
            <w:tab/>
          </w:r>
          <w:r>
            <w:rPr>
              <w:rFonts w:ascii="Arial" w:hAnsi="Arial" w:eastAsia="宋体" w:cs="Arial"/>
              <w:snapToGrid w:val="0"/>
            </w:rPr>
            <w:t>24</w:t>
          </w:r>
          <w:r>
            <w:rPr>
              <w:rFonts w:ascii="Arial" w:hAnsi="Arial" w:eastAsia="宋体" w:cs="Arial"/>
              <w:snapToGrid w:val="0"/>
            </w:rPr>
            <w:fldChar w:fldCharType="end"/>
          </w:r>
        </w:p>
        <w:p w14:paraId="0AF2FEB3">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"_TOC_250002" </w:instrText>
          </w:r>
          <w:r>
            <w:fldChar w:fldCharType="separate"/>
          </w:r>
          <w:r>
            <w:rPr>
              <w:rFonts w:ascii="Arial" w:hAnsi="Arial" w:eastAsia="宋体" w:cs="Arial"/>
              <w:snapToGrid w:val="0"/>
              <w:lang w:eastAsia="zh-CN"/>
            </w:rPr>
            <w:t>不良事件</w:t>
          </w:r>
          <w:r>
            <w:rPr>
              <w:rFonts w:ascii="Arial" w:hAnsi="Arial" w:eastAsia="宋体" w:cs="Arial"/>
              <w:snapToGrid w:val="0"/>
            </w:rPr>
            <w:tab/>
          </w:r>
          <w:r>
            <w:rPr>
              <w:rFonts w:ascii="Arial" w:hAnsi="Arial" w:eastAsia="宋体" w:cs="Arial"/>
              <w:snapToGrid w:val="0"/>
            </w:rPr>
            <w:t>24</w:t>
          </w:r>
          <w:r>
            <w:rPr>
              <w:rFonts w:ascii="Arial" w:hAnsi="Arial" w:eastAsia="宋体" w:cs="Arial"/>
              <w:snapToGrid w:val="0"/>
            </w:rPr>
            <w:fldChar w:fldCharType="end"/>
          </w:r>
        </w:p>
        <w:p w14:paraId="5B516258">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"_TOC_250001" </w:instrText>
          </w:r>
          <w:r>
            <w:fldChar w:fldCharType="separate"/>
          </w:r>
          <w:r>
            <w:rPr>
              <w:rFonts w:ascii="Arial" w:hAnsi="Arial" w:eastAsia="宋体" w:cs="Arial"/>
              <w:snapToGrid w:val="0"/>
              <w:lang w:eastAsia="zh-CN"/>
            </w:rPr>
            <w:t>临床研究</w:t>
          </w:r>
          <w:r>
            <w:rPr>
              <w:rFonts w:ascii="Arial" w:hAnsi="Arial" w:eastAsia="宋体" w:cs="Arial"/>
              <w:snapToGrid w:val="0"/>
            </w:rPr>
            <w:tab/>
          </w:r>
          <w:r>
            <w:rPr>
              <w:rFonts w:ascii="Arial" w:hAnsi="Arial" w:eastAsia="宋体" w:cs="Arial"/>
              <w:snapToGrid w:val="0"/>
            </w:rPr>
            <w:t>25</w:t>
          </w:r>
          <w:r>
            <w:rPr>
              <w:rFonts w:ascii="Arial" w:hAnsi="Arial" w:eastAsia="宋体" w:cs="Arial"/>
              <w:snapToGrid w:val="0"/>
            </w:rPr>
            <w:fldChar w:fldCharType="end"/>
          </w:r>
        </w:p>
        <w:p w14:paraId="6A363E4B">
          <w:pPr>
            <w:pStyle w:val="15"/>
            <w:numPr>
              <w:ilvl w:val="1"/>
              <w:numId w:val="2"/>
            </w:numPr>
            <w:tabs>
              <w:tab w:val="left" w:pos="1418"/>
              <w:tab w:val="right" w:leader="dot" w:pos="9043"/>
              <w:tab w:val="right" w:leader="dot" w:pos="9464"/>
            </w:tabs>
            <w:topLinePunct/>
            <w:adjustRightInd w:val="0"/>
            <w:snapToGrid w:val="0"/>
            <w:spacing w:before="74" w:beforeLines="25" w:line="300" w:lineRule="auto"/>
            <w:ind w:left="849" w:leftChars="386" w:firstLine="0"/>
            <w:jc w:val="both"/>
            <w:rPr>
              <w:rFonts w:ascii="Arial" w:hAnsi="Arial" w:eastAsia="宋体" w:cs="Arial"/>
              <w:snapToGrid w:val="0"/>
            </w:rPr>
          </w:pPr>
          <w:r>
            <w:fldChar w:fldCharType="begin"/>
          </w:r>
          <w:r>
            <w:instrText xml:space="preserve"> HYPERLINK \l "_TOC_250000" </w:instrText>
          </w:r>
          <w:r>
            <w:fldChar w:fldCharType="separate"/>
          </w:r>
          <w:r>
            <w:rPr>
              <w:rFonts w:ascii="Arial" w:hAnsi="Arial" w:eastAsia="宋体" w:cs="Arial"/>
              <w:snapToGrid w:val="0"/>
              <w:lang w:eastAsia="zh-CN"/>
            </w:rPr>
            <w:t>使用说明书</w:t>
          </w:r>
          <w:r>
            <w:rPr>
              <w:rFonts w:ascii="Arial" w:hAnsi="Arial" w:eastAsia="宋体" w:cs="Arial"/>
              <w:snapToGrid w:val="0"/>
            </w:rPr>
            <w:tab/>
          </w:r>
          <w:r>
            <w:rPr>
              <w:rFonts w:ascii="Arial" w:hAnsi="Arial" w:eastAsia="宋体" w:cs="Arial"/>
              <w:snapToGrid w:val="0"/>
            </w:rPr>
            <w:t>25</w:t>
          </w:r>
          <w:r>
            <w:rPr>
              <w:rFonts w:ascii="Arial" w:hAnsi="Arial" w:eastAsia="宋体" w:cs="Arial"/>
              <w:snapToGrid w:val="0"/>
            </w:rPr>
            <w:fldChar w:fldCharType="end"/>
          </w:r>
        </w:p>
        <w:p w14:paraId="345C439B">
          <w:pPr>
            <w:pStyle w:val="13"/>
            <w:tabs>
              <w:tab w:val="right" w:leader="dot" w:pos="9043"/>
              <w:tab w:val="right" w:leader="dot" w:pos="9464"/>
            </w:tabs>
            <w:topLinePunct/>
            <w:adjustRightInd w:val="0"/>
            <w:snapToGrid w:val="0"/>
            <w:spacing w:before="74" w:beforeLines="25" w:line="300" w:lineRule="auto"/>
            <w:ind w:left="0"/>
            <w:jc w:val="both"/>
            <w:rPr>
              <w:rFonts w:ascii="Arial" w:hAnsi="Arial" w:eastAsia="宋体" w:cs="Arial"/>
              <w:snapToGrid w:val="0"/>
            </w:rPr>
          </w:pPr>
          <w:r>
            <w:fldChar w:fldCharType="begin"/>
          </w:r>
          <w:r>
            <w:instrText xml:space="preserve"> HYPERLINK \l "_bookmark10" </w:instrText>
          </w:r>
          <w:r>
            <w:fldChar w:fldCharType="separate"/>
          </w:r>
          <w:r>
            <w:rPr>
              <w:rFonts w:ascii="Arial" w:hAnsi="Arial" w:eastAsia="宋体" w:cs="Arial"/>
              <w:snapToGrid w:val="0"/>
              <w:color w:val="0000FF"/>
              <w:lang w:eastAsia="zh-CN"/>
            </w:rPr>
            <w:t>参考文献</w:t>
          </w:r>
          <w:r>
            <w:rPr>
              <w:rFonts w:ascii="Arial" w:hAnsi="Arial" w:eastAsia="宋体" w:cs="Arial"/>
              <w:snapToGrid w:val="0"/>
              <w:color w:val="0000FF"/>
              <w:lang w:eastAsia="zh-CN"/>
            </w:rPr>
            <w:fldChar w:fldCharType="end"/>
          </w:r>
          <w:r>
            <w:rPr>
              <w:rFonts w:ascii="Arial" w:hAnsi="Arial" w:eastAsia="宋体" w:cs="Arial"/>
              <w:snapToGrid w:val="0"/>
            </w:rPr>
            <w:tab/>
          </w:r>
          <w:r>
            <w:rPr>
              <w:rFonts w:ascii="Arial" w:hAnsi="Arial" w:eastAsia="宋体" w:cs="Arial"/>
              <w:snapToGrid w:val="0"/>
            </w:rPr>
            <w:t>25</w:t>
          </w:r>
        </w:p>
      </w:sdtContent>
    </w:sdt>
    <w:p w14:paraId="74BAF4A2">
      <w:pPr>
        <w:pStyle w:val="16"/>
        <w:tabs>
          <w:tab w:val="left" w:pos="4283"/>
        </w:tabs>
        <w:topLinePunct/>
        <w:adjustRightInd w:val="0"/>
        <w:snapToGrid w:val="0"/>
        <w:spacing w:before="0" w:after="224" w:afterLines="75" w:line="288" w:lineRule="auto"/>
        <w:ind w:left="0"/>
        <w:jc w:val="center"/>
        <w:outlineLvl w:val="9"/>
        <w:rPr>
          <w:rFonts w:ascii="Arial" w:hAnsi="Arial" w:eastAsia="宋体" w:cs="Arial"/>
          <w:snapToGrid w:val="0"/>
          <w:sz w:val="24"/>
          <w:lang w:eastAsia="zh-CN"/>
        </w:rPr>
      </w:pPr>
    </w:p>
    <w:p w14:paraId="075D340E">
      <w:pPr>
        <w:pStyle w:val="16"/>
        <w:tabs>
          <w:tab w:val="left" w:pos="4283"/>
        </w:tabs>
        <w:topLinePunct/>
        <w:adjustRightInd w:val="0"/>
        <w:snapToGrid w:val="0"/>
        <w:spacing w:before="0" w:after="224" w:afterLines="75" w:line="288" w:lineRule="auto"/>
        <w:ind w:left="0"/>
        <w:jc w:val="center"/>
        <w:outlineLvl w:val="9"/>
        <w:rPr>
          <w:rFonts w:ascii="Arial" w:hAnsi="Arial" w:eastAsia="宋体" w:cs="Arial"/>
          <w:snapToGrid w:val="0"/>
          <w:sz w:val="24"/>
          <w:lang w:eastAsia="zh-CN"/>
        </w:rPr>
      </w:pPr>
    </w:p>
    <w:p w14:paraId="7EA9EBEC">
      <w:pPr>
        <w:pStyle w:val="16"/>
        <w:tabs>
          <w:tab w:val="left" w:pos="4283"/>
        </w:tabs>
        <w:topLinePunct/>
        <w:adjustRightInd w:val="0"/>
        <w:snapToGrid w:val="0"/>
        <w:spacing w:before="0" w:after="224" w:afterLines="75" w:line="288" w:lineRule="auto"/>
        <w:ind w:left="0"/>
        <w:jc w:val="center"/>
        <w:outlineLvl w:val="9"/>
        <w:rPr>
          <w:rFonts w:ascii="Arial" w:hAnsi="Arial" w:eastAsia="宋体" w:cs="Arial"/>
          <w:snapToGrid w:val="0"/>
          <w:sz w:val="24"/>
          <w:lang w:eastAsia="zh-CN"/>
        </w:rPr>
        <w:sectPr>
          <w:headerReference r:id="rId3" w:type="default"/>
          <w:footerReference r:id="rId4" w:type="default"/>
          <w:pgSz w:w="11906" w:h="16838"/>
          <w:pgMar w:top="1134" w:right="1440" w:bottom="1134" w:left="1440" w:header="720" w:footer="720" w:gutter="0"/>
          <w:cols w:space="720" w:num="1"/>
          <w:docGrid w:type="lines" w:linePitch="299" w:charSpace="0"/>
        </w:sectPr>
      </w:pPr>
    </w:p>
    <w:p w14:paraId="6E27692C">
      <w:pPr>
        <w:pStyle w:val="16"/>
        <w:tabs>
          <w:tab w:val="left" w:pos="4283"/>
        </w:tabs>
        <w:topLinePunct/>
        <w:adjustRightInd w:val="0"/>
        <w:snapToGrid w:val="0"/>
        <w:spacing w:before="0" w:after="224" w:afterLines="75" w:line="288" w:lineRule="auto"/>
        <w:ind w:left="0"/>
        <w:jc w:val="center"/>
        <w:outlineLvl w:val="9"/>
        <w:rPr>
          <w:rFonts w:ascii="Arial" w:hAnsi="Arial" w:eastAsia="宋体" w:cs="Arial"/>
          <w:snapToGrid w:val="0"/>
          <w:sz w:val="40"/>
          <w:lang w:eastAsia="zh-CN"/>
        </w:rPr>
      </w:pPr>
      <w:bookmarkStart w:id="6" w:name="_bookmark0"/>
      <w:bookmarkEnd w:id="6"/>
      <w:r>
        <w:rPr>
          <w:rFonts w:ascii="Arial" w:hAnsi="Arial" w:eastAsia="宋体" w:cs="Arial"/>
          <w:snapToGrid w:val="0"/>
          <w:sz w:val="40"/>
          <w:lang w:eastAsia="zh-CN"/>
        </w:rPr>
        <w:t>可吸收防粘连产品用于腹部和／或骨盆手术指南；行业指南</w:t>
      </w:r>
    </w:p>
    <w:p w14:paraId="0A1F74D0">
      <w:pPr>
        <w:topLinePunct/>
        <w:adjustRightInd w:val="0"/>
        <w:snapToGrid w:val="0"/>
        <w:spacing w:after="224" w:afterLines="75" w:line="288" w:lineRule="auto"/>
        <w:jc w:val="both"/>
        <w:rPr>
          <w:rFonts w:ascii="Arial" w:hAnsi="Arial" w:eastAsia="宋体" w:cs="Arial"/>
          <w:snapToGrid w:val="0"/>
          <w:sz w:val="24"/>
          <w:szCs w:val="20"/>
          <w:lang w:eastAsia="zh-CN"/>
        </w:rPr>
      </w:pPr>
    </w:p>
    <w:p w14:paraId="1E4A082E">
      <w:pPr>
        <w:pBdr>
          <w:top w:val="single" w:color="auto" w:sz="4" w:space="1"/>
          <w:left w:val="single" w:color="auto" w:sz="4" w:space="4"/>
          <w:bottom w:val="single" w:color="auto" w:sz="4" w:space="1"/>
          <w:right w:val="single" w:color="auto" w:sz="4" w:space="4"/>
        </w:pBdr>
        <w:topLinePunct/>
        <w:adjustRightInd w:val="0"/>
        <w:snapToGrid w:val="0"/>
        <w:spacing w:after="224" w:afterLines="75" w:line="288" w:lineRule="auto"/>
        <w:jc w:val="both"/>
        <w:rPr>
          <w:rFonts w:ascii="Arial" w:hAnsi="Arial" w:eastAsia="宋体" w:cs="Arial"/>
          <w:b/>
          <w:i/>
          <w:snapToGrid w:val="0"/>
          <w:sz w:val="24"/>
          <w:szCs w:val="20"/>
          <w:lang w:eastAsia="zh-CN"/>
        </w:rPr>
      </w:pPr>
      <w:r>
        <w:rPr>
          <w:rFonts w:hint="eastAsia" w:ascii="Arial" w:hAnsi="Arial" w:eastAsia="宋体" w:cs="Arial"/>
          <w:b/>
          <w:i/>
          <w:snapToGrid w:val="0"/>
          <w:sz w:val="24"/>
          <w:szCs w:val="20"/>
          <w:lang w:eastAsia="zh-CN"/>
        </w:rPr>
        <w:t>本文件旨在提供指南。其代表机构目前关于该主题的思考。其不会为任何人创造或赋予任何权利，也不会对FDA或公众产生约束。如果替代方法满足适用的法律法规的要求，则可以使用该方法。</w:t>
      </w:r>
    </w:p>
    <w:p w14:paraId="7E2203B6">
      <w:pPr>
        <w:pStyle w:val="17"/>
        <w:topLinePunct/>
        <w:adjustRightInd w:val="0"/>
        <w:snapToGrid w:val="0"/>
        <w:spacing w:after="224" w:afterLines="75" w:line="288" w:lineRule="auto"/>
        <w:ind w:left="0" w:firstLine="0"/>
        <w:jc w:val="both"/>
        <w:outlineLvl w:val="9"/>
        <w:rPr>
          <w:rFonts w:ascii="Arial" w:hAnsi="Arial" w:eastAsia="宋体" w:cs="Arial"/>
          <w:snapToGrid w:val="0"/>
          <w:sz w:val="2"/>
          <w:szCs w:val="2"/>
          <w:lang w:eastAsia="zh-CN"/>
        </w:rPr>
      </w:pPr>
    </w:p>
    <w:p w14:paraId="3BC24BDE">
      <w:pPr>
        <w:pStyle w:val="17"/>
        <w:topLinePunct/>
        <w:adjustRightInd w:val="0"/>
        <w:snapToGrid w:val="0"/>
        <w:spacing w:after="224" w:afterLines="75" w:line="288" w:lineRule="auto"/>
        <w:ind w:left="0" w:firstLine="0"/>
        <w:jc w:val="both"/>
        <w:outlineLvl w:val="9"/>
        <w:rPr>
          <w:rFonts w:ascii="Arial" w:hAnsi="Arial" w:eastAsia="宋体" w:cs="Arial"/>
          <w:b w:val="0"/>
          <w:bCs w:val="0"/>
          <w:snapToGrid w:val="0"/>
          <w:sz w:val="28"/>
          <w:lang w:eastAsia="zh-CN"/>
        </w:rPr>
      </w:pPr>
      <w:r>
        <w:rPr>
          <w:rFonts w:ascii="Arial" w:hAnsi="Arial" w:eastAsia="宋体" w:cs="Arial"/>
          <w:snapToGrid w:val="0"/>
          <w:sz w:val="28"/>
          <w:lang w:eastAsia="zh-CN"/>
        </w:rPr>
        <w:t>背景</w:t>
      </w:r>
    </w:p>
    <w:p w14:paraId="465A9DF0">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本指南文件讨论如何制定用于腹部和／或骨盆腔的可吸收防粘连产品产品</w:t>
      </w:r>
      <w:r>
        <w:rPr>
          <w:rFonts w:hint="eastAsia" w:ascii="Arial" w:hAnsi="Arial" w:eastAsia="宋体" w:cs="Arial"/>
          <w:snapToGrid w:val="0"/>
          <w:lang w:eastAsia="zh-CN"/>
        </w:rPr>
        <w:t>研究</w:t>
      </w:r>
      <w:r>
        <w:rPr>
          <w:rFonts w:ascii="Arial" w:hAnsi="Arial" w:eastAsia="宋体" w:cs="Arial"/>
          <w:snapToGrid w:val="0"/>
          <w:lang w:eastAsia="zh-CN"/>
        </w:rPr>
        <w:t>器械豁免（IDE），上市前批准（PMA）或产品开发</w:t>
      </w:r>
      <w:r>
        <w:rPr>
          <w:rFonts w:hint="eastAsia" w:ascii="Arial" w:hAnsi="Arial" w:eastAsia="宋体" w:cs="Arial"/>
          <w:snapToGrid w:val="0"/>
          <w:lang w:eastAsia="zh-CN"/>
        </w:rPr>
        <w:t>方案</w:t>
      </w:r>
      <w:r>
        <w:rPr>
          <w:rFonts w:ascii="Arial" w:hAnsi="Arial" w:eastAsia="宋体" w:cs="Arial"/>
          <w:snapToGrid w:val="0"/>
          <w:lang w:eastAsia="zh-CN"/>
        </w:rPr>
        <w:t>（PDP）申请的临床前和临床信息。本文件</w:t>
      </w:r>
      <w:r>
        <w:rPr>
          <w:rFonts w:hint="eastAsia" w:ascii="Arial" w:hAnsi="Arial" w:eastAsia="宋体" w:cs="Arial"/>
          <w:snapToGrid w:val="0"/>
          <w:lang w:eastAsia="zh-CN"/>
        </w:rPr>
        <w:t>为</w:t>
      </w:r>
      <w:r>
        <w:rPr>
          <w:rFonts w:ascii="Arial" w:hAnsi="Arial" w:eastAsia="宋体" w:cs="Arial"/>
          <w:snapToGrid w:val="0"/>
          <w:lang w:eastAsia="zh-CN"/>
        </w:rPr>
        <w:t>准备IDE申请和</w:t>
      </w:r>
      <w:r>
        <w:rPr>
          <w:rFonts w:hint="eastAsia" w:ascii="Arial" w:hAnsi="Arial" w:eastAsia="宋体" w:cs="Arial"/>
          <w:snapToGrid w:val="0"/>
          <w:lang w:eastAsia="zh-CN"/>
        </w:rPr>
        <w:t>开发</w:t>
      </w:r>
      <w:r>
        <w:rPr>
          <w:rFonts w:ascii="Arial" w:hAnsi="Arial" w:eastAsia="宋体" w:cs="Arial"/>
          <w:snapToGrid w:val="0"/>
          <w:lang w:eastAsia="zh-CN"/>
        </w:rPr>
        <w:t>有效科学证据</w:t>
      </w:r>
      <w:r>
        <w:rPr>
          <w:rFonts w:hint="eastAsia" w:ascii="Arial" w:hAnsi="Arial" w:eastAsia="宋体" w:cs="Arial"/>
          <w:snapToGrid w:val="0"/>
          <w:lang w:eastAsia="zh-CN"/>
        </w:rPr>
        <w:t>提供指导</w:t>
      </w:r>
      <w:r>
        <w:rPr>
          <w:rFonts w:ascii="Arial" w:hAnsi="Arial" w:eastAsia="宋体" w:cs="Arial"/>
          <w:snapToGrid w:val="0"/>
          <w:lang w:eastAsia="zh-CN"/>
        </w:rPr>
        <w:t>，</w:t>
      </w:r>
      <w:r>
        <w:rPr>
          <w:rFonts w:hint="eastAsia" w:ascii="Arial" w:hAnsi="Arial" w:eastAsia="宋体" w:cs="Arial"/>
          <w:snapToGrid w:val="0"/>
          <w:lang w:eastAsia="zh-CN"/>
        </w:rPr>
        <w:t>以支持PMA申请的</w:t>
      </w:r>
      <w:r>
        <w:rPr>
          <w:rFonts w:ascii="Arial" w:hAnsi="Arial" w:eastAsia="宋体" w:cs="Arial"/>
          <w:snapToGrid w:val="0"/>
          <w:lang w:eastAsia="zh-CN"/>
        </w:rPr>
        <w:t>防粘连产品可在置入腹膜／骨盆腔后的30天内吸收。</w:t>
      </w:r>
    </w:p>
    <w:p w14:paraId="6FCC8AD8">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FDA已确定可吸收防粘连产品是21 CFR 812.3 (m)（4）中定义的重大风险器械。根据联邦食品、药品和化妆品（FD&amp;C）法案</w:t>
      </w:r>
      <w:r>
        <w:rPr>
          <w:rFonts w:hint="eastAsia" w:ascii="Arial" w:hAnsi="Arial" w:eastAsia="宋体" w:cs="Arial"/>
          <w:snapToGrid w:val="0"/>
          <w:lang w:eastAsia="zh-CN"/>
        </w:rPr>
        <w:t>第</w:t>
      </w:r>
      <w:r>
        <w:rPr>
          <w:rFonts w:ascii="Arial" w:hAnsi="Arial" w:eastAsia="宋体" w:cs="Arial"/>
          <w:snapToGrid w:val="0"/>
          <w:lang w:eastAsia="zh-CN"/>
        </w:rPr>
        <w:t>515节可吸收防粘连产品是III类器械，</w:t>
      </w:r>
      <w:r>
        <w:rPr>
          <w:rFonts w:hint="eastAsia" w:ascii="Arial" w:hAnsi="Arial" w:eastAsia="宋体" w:cs="Arial"/>
          <w:snapToGrid w:val="0"/>
          <w:lang w:eastAsia="zh-CN"/>
        </w:rPr>
        <w:t>需经</w:t>
      </w:r>
      <w:r>
        <w:rPr>
          <w:rFonts w:ascii="Arial" w:hAnsi="Arial" w:eastAsia="宋体" w:cs="Arial"/>
          <w:snapToGrid w:val="0"/>
          <w:lang w:eastAsia="zh-CN"/>
        </w:rPr>
        <w:t>上市前批准。</w:t>
      </w:r>
    </w:p>
    <w:p w14:paraId="669CEC31">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本指南文件基于FDA对已发表科学信息的分析，与制造商的互动和来自FDA医疗器械咨询委员会（通用和整形外科器械专家小组与产科和妇科器械专家小组）的</w:t>
      </w:r>
      <w:r>
        <w:rPr>
          <w:rFonts w:hint="eastAsia" w:ascii="Arial" w:hAnsi="Arial" w:eastAsia="宋体" w:cs="Arial"/>
          <w:snapToGrid w:val="0"/>
          <w:lang w:eastAsia="zh-CN"/>
        </w:rPr>
        <w:t>输入</w:t>
      </w:r>
      <w:r>
        <w:rPr>
          <w:rFonts w:ascii="Arial" w:hAnsi="Arial" w:eastAsia="宋体" w:cs="Arial"/>
          <w:snapToGrid w:val="0"/>
          <w:lang w:eastAsia="zh-CN"/>
        </w:rPr>
        <w:t>。</w:t>
      </w:r>
      <w:r>
        <w:rPr>
          <w:rFonts w:hint="eastAsia" w:ascii="Arial" w:hAnsi="Arial" w:eastAsia="宋体" w:cs="Arial"/>
          <w:snapToGrid w:val="0"/>
          <w:lang w:eastAsia="zh-CN"/>
        </w:rPr>
        <w:t>其</w:t>
      </w:r>
      <w:r>
        <w:rPr>
          <w:rFonts w:ascii="Arial" w:hAnsi="Arial" w:eastAsia="宋体" w:cs="Arial"/>
          <w:snapToGrid w:val="0"/>
          <w:lang w:eastAsia="zh-CN"/>
        </w:rPr>
        <w:t>是通用、恢复性和神经学器械司（DGRND）的整形修复外科器械科（PRSB）与生殖、腹部和放射学器械司（DRARD）的产科和妇科学器械科（OGDB）协同努力的</w:t>
      </w:r>
      <w:r>
        <w:rPr>
          <w:rFonts w:hint="eastAsia" w:ascii="Arial" w:hAnsi="Arial" w:eastAsia="宋体" w:cs="Arial"/>
          <w:snapToGrid w:val="0"/>
          <w:lang w:eastAsia="zh-CN"/>
        </w:rPr>
        <w:t>产品</w:t>
      </w:r>
      <w:r>
        <w:rPr>
          <w:rFonts w:ascii="Arial" w:hAnsi="Arial" w:eastAsia="宋体" w:cs="Arial"/>
          <w:snapToGrid w:val="0"/>
          <w:lang w:eastAsia="zh-CN"/>
        </w:rPr>
        <w:t>。我们鼓励您在任何时间提交评论。提交评论说明见本文件的前言。</w:t>
      </w:r>
    </w:p>
    <w:p w14:paraId="00DA372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主要为妇科适应症的申请将主要由OGDB审核。</w:t>
      </w:r>
      <w:r>
        <w:rPr>
          <w:rFonts w:hint="eastAsia" w:ascii="Arial" w:hAnsi="Arial" w:eastAsia="宋体" w:cs="Arial"/>
          <w:snapToGrid w:val="0"/>
          <w:lang w:eastAsia="zh-CN"/>
        </w:rPr>
        <w:t>一般</w:t>
      </w:r>
      <w:r>
        <w:rPr>
          <w:rFonts w:ascii="Arial" w:hAnsi="Arial" w:eastAsia="宋体" w:cs="Arial"/>
          <w:snapToGrid w:val="0"/>
          <w:lang w:eastAsia="zh-CN"/>
        </w:rPr>
        <w:t>腹部适应症的申请将主要由PRSB审核。无论哪科起主要作用，两科之间都会有合作和咨询。来自器械评价办公室（ODE）、科学技术办公室（OST）、监督和生物统计学办公室（OSB）和合规办公室（OC）的适当评审员将参与审核。根据产品、适应症、使用条件和手术模式的不同，可能有必要咨询药品评价和研究中心（CDER）和／或生物</w:t>
      </w:r>
      <w:r>
        <w:rPr>
          <w:rFonts w:hint="eastAsia" w:ascii="Arial" w:hAnsi="Arial" w:eastAsia="宋体" w:cs="Arial"/>
          <w:snapToGrid w:val="0"/>
          <w:lang w:eastAsia="zh-CN"/>
        </w:rPr>
        <w:t>制剂</w:t>
      </w:r>
      <w:r>
        <w:rPr>
          <w:rFonts w:ascii="Arial" w:hAnsi="Arial" w:eastAsia="宋体" w:cs="Arial"/>
          <w:snapToGrid w:val="0"/>
          <w:lang w:eastAsia="zh-CN"/>
        </w:rPr>
        <w:t>评价和研究中心（CBER）和适当的器械顾问专家小组成员。</w:t>
      </w:r>
    </w:p>
    <w:p w14:paraId="5E4716D0">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本指南文件提供这些器械临床前和临床信息制定的框架。该文件预期与</w:t>
      </w:r>
      <w:r>
        <w:rPr>
          <w:rFonts w:hint="eastAsia" w:ascii="Arial" w:hAnsi="Arial" w:eastAsia="宋体" w:cs="Arial"/>
          <w:snapToGrid w:val="0"/>
          <w:lang w:eastAsia="zh-CN"/>
        </w:rPr>
        <w:t>其他</w:t>
      </w:r>
      <w:r>
        <w:rPr>
          <w:rFonts w:ascii="Arial" w:hAnsi="Arial" w:eastAsia="宋体" w:cs="Arial"/>
          <w:snapToGrid w:val="0"/>
          <w:lang w:eastAsia="zh-CN"/>
        </w:rPr>
        <w:t>关于IDE、</w:t>
      </w:r>
      <w:bookmarkStart w:id="7" w:name="_bookmark1"/>
      <w:bookmarkEnd w:id="7"/>
      <w:r>
        <w:rPr>
          <w:rFonts w:ascii="Arial" w:hAnsi="Arial" w:eastAsia="宋体" w:cs="Arial"/>
          <w:snapToGrid w:val="0"/>
          <w:lang w:eastAsia="zh-CN"/>
        </w:rPr>
        <w:t>PMA和PDP申请的FDA出版物共同使用。我们不能在单个指南文件中预料与个别产品相关的所有问题。因此，我们鼓励您在计划产品开发时尽早咨询FDA。</w:t>
      </w:r>
    </w:p>
    <w:p w14:paraId="1FA8AF92">
      <w:pPr>
        <w:rPr>
          <w:rFonts w:ascii="Arial" w:hAnsi="Arial" w:eastAsia="宋体" w:cs="Arial"/>
          <w:b/>
          <w:bCs/>
          <w:snapToGrid w:val="0"/>
          <w:sz w:val="24"/>
          <w:szCs w:val="24"/>
          <w:lang w:eastAsia="zh-CN"/>
        </w:rPr>
      </w:pPr>
      <w:r>
        <w:rPr>
          <w:rFonts w:ascii="Arial" w:hAnsi="Arial" w:eastAsia="宋体" w:cs="Arial"/>
          <w:snapToGrid w:val="0"/>
          <w:lang w:eastAsia="zh-CN"/>
        </w:rPr>
        <w:br w:type="page"/>
      </w:r>
    </w:p>
    <w:p w14:paraId="6F98D1D0">
      <w:pPr>
        <w:pStyle w:val="17"/>
        <w:topLinePunct/>
        <w:adjustRightInd w:val="0"/>
        <w:snapToGrid w:val="0"/>
        <w:spacing w:after="224" w:afterLines="75" w:line="288" w:lineRule="auto"/>
        <w:ind w:left="0" w:firstLine="0"/>
        <w:jc w:val="both"/>
        <w:outlineLvl w:val="9"/>
        <w:rPr>
          <w:rFonts w:ascii="Arial" w:hAnsi="Arial" w:eastAsia="宋体" w:cs="Arial"/>
          <w:snapToGrid w:val="0"/>
          <w:lang w:eastAsia="zh-CN"/>
        </w:rPr>
      </w:pPr>
      <w:r>
        <w:rPr>
          <w:rFonts w:ascii="Arial" w:hAnsi="Arial" w:eastAsia="宋体" w:cs="Arial"/>
          <w:snapToGrid w:val="0"/>
          <w:lang w:eastAsia="zh-CN"/>
        </w:rPr>
        <w:t>最小负担</w:t>
      </w:r>
      <w:r>
        <w:rPr>
          <w:rFonts w:hint="eastAsia" w:ascii="Arial" w:hAnsi="Arial" w:eastAsia="宋体" w:cs="Arial"/>
          <w:snapToGrid w:val="0"/>
          <w:lang w:eastAsia="zh-CN"/>
        </w:rPr>
        <w:t>手段原则</w:t>
      </w:r>
    </w:p>
    <w:p w14:paraId="0683ABB2">
      <w:pPr>
        <w:topLinePunct/>
        <w:adjustRightInd w:val="0"/>
        <w:snapToGrid w:val="0"/>
        <w:spacing w:after="224" w:afterLines="75" w:line="288" w:lineRule="auto"/>
        <w:jc w:val="both"/>
        <w:rPr>
          <w:rFonts w:ascii="Arial" w:hAnsi="Arial" w:eastAsia="宋体" w:cs="Arial"/>
          <w:snapToGrid w:val="0"/>
          <w:sz w:val="24"/>
          <w:lang w:eastAsia="zh-CN"/>
        </w:rPr>
      </w:pPr>
      <w:r>
        <w:rPr>
          <w:rFonts w:ascii="Arial" w:hAnsi="Arial" w:eastAsia="宋体" w:cs="Arial"/>
          <w:snapToGrid w:val="0"/>
          <w:sz w:val="24"/>
          <w:lang w:eastAsia="zh-CN"/>
        </w:rPr>
        <w:t>本指南文件中确定的问题代表我们认为在您的器械可以上市前需解决的问题。研发本指南时，我们仔细考虑了机构决策时采用的相关法律标准。我们也考虑了在您尝试遵守指南和解决我们确定的问题时可能招致的负担。我们认为我们考虑了解决指南文件中呈现问题的最小负担</w:t>
      </w:r>
      <w:r>
        <w:rPr>
          <w:rFonts w:hint="eastAsia" w:ascii="Arial" w:hAnsi="Arial" w:eastAsia="宋体" w:cs="Arial"/>
          <w:snapToGrid w:val="0"/>
          <w:sz w:val="24"/>
          <w:lang w:eastAsia="zh-CN"/>
        </w:rPr>
        <w:t>手段原则</w:t>
      </w:r>
      <w:r>
        <w:rPr>
          <w:rFonts w:ascii="Arial" w:hAnsi="Arial" w:eastAsia="宋体" w:cs="Arial"/>
          <w:snapToGrid w:val="0"/>
          <w:sz w:val="24"/>
          <w:lang w:eastAsia="zh-CN"/>
        </w:rPr>
        <w:t>。</w:t>
      </w:r>
      <w:bookmarkStart w:id="8" w:name="page4"/>
      <w:bookmarkEnd w:id="8"/>
      <w:r>
        <w:rPr>
          <w:rFonts w:ascii="Arial" w:hAnsi="Arial" w:eastAsia="宋体" w:cs="Arial"/>
          <w:snapToGrid w:val="0"/>
          <w:sz w:val="24"/>
          <w:lang w:eastAsia="zh-CN"/>
        </w:rPr>
        <w:t>然而，如果您认为有负担更小的</w:t>
      </w:r>
      <w:r>
        <w:rPr>
          <w:rFonts w:hint="eastAsia" w:ascii="Arial" w:hAnsi="Arial" w:eastAsia="宋体" w:cs="Arial"/>
          <w:snapToGrid w:val="0"/>
          <w:sz w:val="24"/>
          <w:lang w:eastAsia="zh-CN"/>
        </w:rPr>
        <w:t>手段原则</w:t>
      </w:r>
      <w:r>
        <w:rPr>
          <w:rFonts w:ascii="Arial" w:hAnsi="Arial" w:eastAsia="宋体" w:cs="Arial"/>
          <w:snapToGrid w:val="0"/>
          <w:sz w:val="24"/>
          <w:lang w:eastAsia="zh-CN"/>
        </w:rPr>
        <w:t>可以解决问题，那么您应该遵守</w:t>
      </w:r>
      <w:r>
        <w:rPr>
          <w:rFonts w:ascii="宋体" w:hAnsi="宋体" w:eastAsia="宋体" w:cs="Arial"/>
          <w:snapToGrid w:val="0"/>
          <w:sz w:val="24"/>
          <w:lang w:eastAsia="zh-CN"/>
        </w:rPr>
        <w:t>“</w:t>
      </w:r>
      <w:r>
        <w:rPr>
          <w:rFonts w:ascii="Arial" w:hAnsi="Arial" w:eastAsia="宋体" w:cs="Arial"/>
          <w:snapToGrid w:val="0"/>
          <w:sz w:val="24"/>
          <w:lang w:eastAsia="zh-CN"/>
        </w:rPr>
        <w:t>最小负担问题的建议解决</w:t>
      </w:r>
      <w:r>
        <w:rPr>
          <w:rFonts w:hint="eastAsia" w:ascii="Arial" w:hAnsi="Arial" w:eastAsia="宋体" w:cs="Arial"/>
          <w:snapToGrid w:val="0"/>
          <w:sz w:val="24"/>
          <w:lang w:eastAsia="zh-CN"/>
        </w:rPr>
        <w:t>手段原则</w:t>
      </w:r>
      <w:r>
        <w:rPr>
          <w:rFonts w:ascii="宋体" w:hAnsi="宋体" w:eastAsia="宋体" w:cs="Arial"/>
          <w:snapToGrid w:val="0"/>
          <w:sz w:val="24"/>
          <w:lang w:eastAsia="zh-CN"/>
        </w:rPr>
        <w:t>”</w:t>
      </w:r>
      <w:r>
        <w:rPr>
          <w:rFonts w:ascii="Arial" w:hAnsi="Arial" w:eastAsia="宋体" w:cs="Arial"/>
          <w:snapToGrid w:val="0"/>
          <w:sz w:val="24"/>
          <w:lang w:eastAsia="zh-CN"/>
        </w:rPr>
        <w:t>文件中概述的程序。在我们中心的网页可获得该文件：</w:t>
      </w:r>
      <w:r>
        <w:fldChar w:fldCharType="begin"/>
      </w:r>
      <w:r>
        <w:instrText xml:space="preserve"> HYPERLINK "http://www.fda.gov/cdrh/modact/leastburdensome.html" </w:instrText>
      </w:r>
      <w:r>
        <w:fldChar w:fldCharType="separate"/>
      </w:r>
      <w:r>
        <w:rPr>
          <w:rFonts w:ascii="Arial" w:hAnsi="Arial" w:eastAsia="宋体" w:cs="Arial"/>
          <w:snapToGrid w:val="0"/>
          <w:sz w:val="24"/>
          <w:lang w:eastAsia="zh-CN"/>
        </w:rPr>
        <w:t>http://www.fda.gov/cdrh/modact/leastburdensome.html</w:t>
      </w:r>
      <w:r>
        <w:rPr>
          <w:rFonts w:ascii="Arial" w:hAnsi="Arial" w:eastAsia="宋体" w:cs="Arial"/>
          <w:snapToGrid w:val="0"/>
          <w:sz w:val="24"/>
          <w:lang w:eastAsia="zh-CN"/>
        </w:rPr>
        <w:fldChar w:fldCharType="end"/>
      </w:r>
      <w:r>
        <w:rPr>
          <w:rFonts w:ascii="Arial" w:hAnsi="Arial" w:eastAsia="宋体" w:cs="Arial"/>
          <w:snapToGrid w:val="0"/>
          <w:sz w:val="24"/>
          <w:lang w:eastAsia="zh-CN"/>
        </w:rPr>
        <w:t>。您可以把书面评论发送至本指南前言中所列联系人或发送至CDRH监察专员。关于CDRH监察专员的综合信息，包括其联系方式，见网址</w:t>
      </w:r>
      <w:r>
        <w:fldChar w:fldCharType="begin"/>
      </w:r>
      <w:r>
        <w:instrText xml:space="preserve"> HYPERLINK "http://www.fda.gov/cdrh/resolvin%20gdisputes/ombudsman.html" </w:instrText>
      </w:r>
      <w:r>
        <w:fldChar w:fldCharType="separate"/>
      </w:r>
      <w:r>
        <w:rPr>
          <w:rStyle w:val="10"/>
          <w:rFonts w:ascii="Arial" w:hAnsi="Arial" w:eastAsia="宋体" w:cs="Arial"/>
          <w:snapToGrid w:val="0"/>
          <w:sz w:val="24"/>
          <w:u w:color="0000FF"/>
          <w:lang w:eastAsia="zh-CN"/>
        </w:rPr>
        <w:t>http://www.fda.gov/cdrh/resolvin</w:t>
      </w:r>
      <w:r>
        <w:rPr>
          <w:rStyle w:val="10"/>
          <w:rFonts w:hint="eastAsia" w:ascii="Arial" w:hAnsi="Arial" w:eastAsia="宋体" w:cs="Arial"/>
          <w:snapToGrid w:val="0"/>
          <w:sz w:val="24"/>
          <w:u w:color="0000FF"/>
          <w:lang w:eastAsia="zh-CN"/>
        </w:rPr>
        <w:t xml:space="preserve"> </w:t>
      </w:r>
      <w:r>
        <w:rPr>
          <w:rStyle w:val="10"/>
          <w:rFonts w:ascii="Arial" w:hAnsi="Arial" w:eastAsia="宋体" w:cs="Arial"/>
          <w:snapToGrid w:val="0"/>
          <w:sz w:val="24"/>
          <w:u w:color="0000FF"/>
          <w:lang w:eastAsia="zh-CN"/>
        </w:rPr>
        <w:t>gdisputes/ombudsman.html</w:t>
      </w:r>
      <w:r>
        <w:rPr>
          <w:rStyle w:val="10"/>
          <w:rFonts w:ascii="Arial" w:hAnsi="Arial" w:eastAsia="宋体" w:cs="Arial"/>
          <w:snapToGrid w:val="0"/>
          <w:sz w:val="24"/>
          <w:u w:color="0000FF"/>
          <w:lang w:eastAsia="zh-CN"/>
        </w:rPr>
        <w:fldChar w:fldCharType="end"/>
      </w:r>
      <w:r>
        <w:rPr>
          <w:rFonts w:ascii="Arial" w:hAnsi="Arial" w:eastAsia="宋体" w:cs="Arial"/>
          <w:snapToGrid w:val="0"/>
          <w:sz w:val="24"/>
          <w:lang w:eastAsia="zh-CN"/>
        </w:rPr>
        <w:t>。</w:t>
      </w:r>
    </w:p>
    <w:p w14:paraId="1DE75018">
      <w:pPr>
        <w:pStyle w:val="17"/>
        <w:topLinePunct/>
        <w:adjustRightInd w:val="0"/>
        <w:snapToGrid w:val="0"/>
        <w:spacing w:after="224" w:afterLines="75" w:line="288" w:lineRule="auto"/>
        <w:ind w:left="0" w:firstLine="0"/>
        <w:jc w:val="both"/>
        <w:outlineLvl w:val="9"/>
        <w:rPr>
          <w:rFonts w:ascii="Arial" w:hAnsi="Arial" w:eastAsia="宋体" w:cs="Arial"/>
          <w:b w:val="0"/>
          <w:bCs w:val="0"/>
          <w:snapToGrid w:val="0"/>
          <w:sz w:val="28"/>
          <w:lang w:eastAsia="zh-CN"/>
        </w:rPr>
      </w:pPr>
      <w:r>
        <w:rPr>
          <w:rFonts w:ascii="Arial" w:hAnsi="Arial" w:eastAsia="宋体" w:cs="Arial"/>
          <w:snapToGrid w:val="0"/>
          <w:sz w:val="28"/>
          <w:lang w:eastAsia="zh-CN"/>
        </w:rPr>
        <w:t>防粘连产品的</w:t>
      </w:r>
      <w:r>
        <w:rPr>
          <w:rFonts w:hint="eastAsia" w:ascii="Arial" w:hAnsi="Arial" w:eastAsia="宋体" w:cs="Arial"/>
          <w:snapToGrid w:val="0"/>
          <w:sz w:val="28"/>
          <w:lang w:eastAsia="zh-CN"/>
        </w:rPr>
        <w:t>一般</w:t>
      </w:r>
      <w:r>
        <w:rPr>
          <w:rFonts w:ascii="Arial" w:hAnsi="Arial" w:eastAsia="宋体" w:cs="Arial"/>
          <w:snapToGrid w:val="0"/>
          <w:sz w:val="28"/>
          <w:lang w:eastAsia="zh-CN"/>
        </w:rPr>
        <w:t>IDE要求（21 CFR 812）</w:t>
      </w:r>
    </w:p>
    <w:p w14:paraId="06C3A78E">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FDA已确定该器械为21 CFR 812.3 (m)（4）中定义的重大风险器械，因此涉及这些器械的研究不具备遵守21 CFR 812.2（b）中简化IDE要求的资格。除需拥有FDA批准的IDE外，这类试验的申办方还必须遵守管理机构审查委员会（21CFR 56）和知情同意（21CFR 50）的条例。</w:t>
      </w:r>
    </w:p>
    <w:p w14:paraId="10BE621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除IRB批准外，重大风险器械的临床评价还要求一份已获批的试验用器械豁免（IDE）申请。FD&amp;C法案授权FDA豁免这些器械遵守法案中适用于</w:t>
      </w:r>
      <w:r>
        <w:rPr>
          <w:rFonts w:hint="eastAsia" w:ascii="Arial" w:hAnsi="Arial" w:eastAsia="宋体" w:cs="Arial"/>
          <w:snapToGrid w:val="0"/>
          <w:lang w:eastAsia="zh-CN"/>
        </w:rPr>
        <w:t>上市</w:t>
      </w:r>
      <w:r>
        <w:rPr>
          <w:rFonts w:ascii="Arial" w:hAnsi="Arial" w:eastAsia="宋体" w:cs="Arial"/>
          <w:snapToGrid w:val="0"/>
          <w:lang w:eastAsia="zh-CN"/>
        </w:rPr>
        <w:t>器械的的某些要求。该豁免允许运输仅供试验用的器械供临床研究</w:t>
      </w:r>
      <w:r>
        <w:rPr>
          <w:rFonts w:hint="eastAsia" w:ascii="Arial" w:hAnsi="Arial" w:eastAsia="宋体" w:cs="Arial"/>
          <w:snapToGrid w:val="0"/>
          <w:lang w:eastAsia="zh-CN"/>
        </w:rPr>
        <w:t>受试者</w:t>
      </w:r>
      <w:r>
        <w:rPr>
          <w:rFonts w:ascii="Arial" w:hAnsi="Arial" w:eastAsia="宋体" w:cs="Arial"/>
          <w:snapToGrid w:val="0"/>
          <w:lang w:eastAsia="zh-CN"/>
        </w:rPr>
        <w:t>使用。</w:t>
      </w:r>
    </w:p>
    <w:p w14:paraId="2BBB7E17">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IDE申请必须至少包含以下要素：</w:t>
      </w:r>
    </w:p>
    <w:p w14:paraId="7E7B03B9">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器械名称</w:t>
      </w:r>
    </w:p>
    <w:p w14:paraId="65E7A343">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器械说明</w:t>
      </w:r>
    </w:p>
    <w:p w14:paraId="194B11C2">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预期用途</w:t>
      </w:r>
    </w:p>
    <w:p w14:paraId="16F92F86">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之前调查的报告</w:t>
      </w:r>
    </w:p>
    <w:p w14:paraId="6B235DFB">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临床前安全性和有效性信息</w:t>
      </w:r>
    </w:p>
    <w:p w14:paraId="44EB6637">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化学</w:t>
      </w:r>
    </w:p>
    <w:p w14:paraId="2B8B34E0">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动物安全性和有效性</w:t>
      </w:r>
      <w:r>
        <w:rPr>
          <w:rFonts w:hint="eastAsia" w:ascii="Arial" w:hAnsi="Arial" w:eastAsia="宋体" w:cs="Arial"/>
          <w:snapToGrid w:val="0"/>
          <w:lang w:eastAsia="zh-CN"/>
        </w:rPr>
        <w:t>试验</w:t>
      </w:r>
    </w:p>
    <w:p w14:paraId="4A3A200B">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物理、力学和可靠性</w:t>
      </w:r>
      <w:r>
        <w:rPr>
          <w:rFonts w:hint="eastAsia" w:ascii="Arial" w:hAnsi="Arial" w:eastAsia="宋体" w:cs="Arial"/>
          <w:snapToGrid w:val="0"/>
          <w:lang w:eastAsia="zh-CN"/>
        </w:rPr>
        <w:t>试验</w:t>
      </w:r>
    </w:p>
    <w:p w14:paraId="6C22B29E">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制造</w:t>
      </w:r>
    </w:p>
    <w:p w14:paraId="45C1DA4C">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临床计划</w:t>
      </w:r>
    </w:p>
    <w:p w14:paraId="5B3FB78A">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目的和目标</w:t>
      </w:r>
    </w:p>
    <w:p w14:paraId="473E999A">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研究假设</w:t>
      </w:r>
    </w:p>
    <w:p w14:paraId="7A71E682">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bookmarkStart w:id="9" w:name="_bookmark2"/>
      <w:bookmarkEnd w:id="9"/>
      <w:r>
        <w:rPr>
          <w:rFonts w:ascii="Arial" w:hAnsi="Arial" w:eastAsia="宋体" w:cs="Arial"/>
          <w:snapToGrid w:val="0"/>
          <w:lang w:eastAsia="zh-CN"/>
        </w:rPr>
        <w:t>方案</w:t>
      </w:r>
    </w:p>
    <w:p w14:paraId="5271677D">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患者人群</w:t>
      </w:r>
    </w:p>
    <w:p w14:paraId="4EA61AC3">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统计考虑</w:t>
      </w:r>
    </w:p>
    <w:p w14:paraId="5E3DB07F">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风险／</w:t>
      </w:r>
      <w:r>
        <w:rPr>
          <w:rFonts w:hint="eastAsia" w:ascii="Arial" w:hAnsi="Arial" w:eastAsia="宋体" w:cs="Arial"/>
          <w:snapToGrid w:val="0"/>
          <w:lang w:eastAsia="zh-CN"/>
        </w:rPr>
        <w:t>获益</w:t>
      </w:r>
      <w:r>
        <w:rPr>
          <w:rFonts w:ascii="Arial" w:hAnsi="Arial" w:eastAsia="宋体" w:cs="Arial"/>
          <w:snapToGrid w:val="0"/>
          <w:lang w:eastAsia="zh-CN"/>
        </w:rPr>
        <w:t>分析</w:t>
      </w:r>
    </w:p>
    <w:p w14:paraId="3EEECC57">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产品搬运和储存信息</w:t>
      </w:r>
    </w:p>
    <w:p w14:paraId="7589D5DA">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研究者信息</w:t>
      </w:r>
    </w:p>
    <w:p w14:paraId="7C2E6637">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机构审查委员会（IRB）信息</w:t>
      </w:r>
    </w:p>
    <w:p w14:paraId="6ED42058">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销售信息</w:t>
      </w:r>
    </w:p>
    <w:p w14:paraId="51E0FA91">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知情同意</w:t>
      </w:r>
    </w:p>
    <w:p w14:paraId="2BA5B19D">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环境影响</w:t>
      </w:r>
    </w:p>
    <w:p w14:paraId="4F84AC91">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hint="eastAsia" w:ascii="Arial" w:hAnsi="Arial" w:eastAsia="宋体" w:cs="Arial"/>
          <w:snapToGrid w:val="0"/>
          <w:lang w:eastAsia="zh-CN"/>
        </w:rPr>
        <w:t>其他</w:t>
      </w:r>
      <w:r>
        <w:rPr>
          <w:rFonts w:ascii="Arial" w:hAnsi="Arial" w:eastAsia="宋体" w:cs="Arial"/>
          <w:snapToGrid w:val="0"/>
          <w:lang w:eastAsia="zh-CN"/>
        </w:rPr>
        <w:t>，例如，病例报告表</w:t>
      </w:r>
    </w:p>
    <w:p w14:paraId="1C657C31">
      <w:pPr>
        <w:pStyle w:val="2"/>
        <w:numPr>
          <w:ilvl w:val="0"/>
          <w:numId w:val="3"/>
        </w:numPr>
        <w:tabs>
          <w:tab w:val="left" w:pos="820"/>
        </w:tabs>
        <w:topLinePunct/>
        <w:adjustRightInd w:val="0"/>
        <w:snapToGrid w:val="0"/>
        <w:spacing w:after="149" w:afterLines="50" w:line="288" w:lineRule="auto"/>
        <w:jc w:val="both"/>
        <w:rPr>
          <w:rFonts w:ascii="Arial" w:hAnsi="Arial" w:eastAsia="宋体" w:cs="Arial"/>
          <w:snapToGrid w:val="0"/>
        </w:rPr>
      </w:pPr>
      <w:r>
        <w:rPr>
          <w:rFonts w:ascii="Arial" w:hAnsi="Arial" w:eastAsia="宋体" w:cs="Arial"/>
          <w:snapToGrid w:val="0"/>
          <w:lang w:eastAsia="zh-CN"/>
        </w:rPr>
        <w:t>标签。</w:t>
      </w:r>
    </w:p>
    <w:p w14:paraId="3C07A7DA">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这些要求和</w:t>
      </w:r>
      <w:r>
        <w:rPr>
          <w:rFonts w:hint="eastAsia" w:ascii="Arial" w:hAnsi="Arial" w:eastAsia="宋体" w:cs="Arial"/>
          <w:snapToGrid w:val="0"/>
          <w:lang w:eastAsia="zh-CN"/>
        </w:rPr>
        <w:t>其他</w:t>
      </w:r>
      <w:r>
        <w:rPr>
          <w:rFonts w:ascii="Arial" w:hAnsi="Arial" w:eastAsia="宋体" w:cs="Arial"/>
          <w:snapToGrid w:val="0"/>
          <w:lang w:eastAsia="zh-CN"/>
        </w:rPr>
        <w:t>IDE要求见21 CFR 812。</w:t>
      </w:r>
    </w:p>
    <w:p w14:paraId="50077107">
      <w:pPr>
        <w:pStyle w:val="17"/>
        <w:topLinePunct/>
        <w:adjustRightInd w:val="0"/>
        <w:snapToGrid w:val="0"/>
        <w:spacing w:after="224" w:afterLines="75" w:line="288" w:lineRule="auto"/>
        <w:ind w:left="0" w:firstLine="0"/>
        <w:jc w:val="both"/>
        <w:outlineLvl w:val="9"/>
        <w:rPr>
          <w:rFonts w:ascii="Arial" w:hAnsi="Arial" w:eastAsia="宋体" w:cs="Arial"/>
          <w:b w:val="0"/>
          <w:bCs w:val="0"/>
          <w:snapToGrid w:val="0"/>
          <w:sz w:val="28"/>
          <w:lang w:eastAsia="zh-CN"/>
        </w:rPr>
      </w:pPr>
      <w:r>
        <w:rPr>
          <w:rFonts w:ascii="Arial" w:hAnsi="Arial" w:eastAsia="宋体" w:cs="Arial"/>
          <w:snapToGrid w:val="0"/>
          <w:sz w:val="28"/>
          <w:lang w:eastAsia="zh-CN"/>
        </w:rPr>
        <w:t>防粘连产品的</w:t>
      </w:r>
      <w:r>
        <w:rPr>
          <w:rFonts w:hint="eastAsia" w:ascii="Arial" w:hAnsi="Arial" w:eastAsia="宋体" w:cs="Arial"/>
          <w:snapToGrid w:val="0"/>
          <w:sz w:val="28"/>
          <w:lang w:eastAsia="zh-CN"/>
        </w:rPr>
        <w:t>一般</w:t>
      </w:r>
      <w:r>
        <w:rPr>
          <w:rFonts w:ascii="Arial" w:hAnsi="Arial" w:eastAsia="宋体" w:cs="Arial"/>
          <w:snapToGrid w:val="0"/>
          <w:sz w:val="28"/>
          <w:lang w:eastAsia="zh-CN"/>
        </w:rPr>
        <w:t>PMA要求（21 CFR 814）</w:t>
      </w:r>
    </w:p>
    <w:p w14:paraId="78EE5B54">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PMA申请必须包含以下基本要素：</w:t>
      </w:r>
    </w:p>
    <w:p w14:paraId="46474736">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申请人的姓名和地址</w:t>
      </w:r>
    </w:p>
    <w:p w14:paraId="21782000">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目录</w:t>
      </w:r>
    </w:p>
    <w:p w14:paraId="2595B7CF">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安全性和有效性总结：</w:t>
      </w:r>
    </w:p>
    <w:p w14:paraId="1925540E">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适应症</w:t>
      </w:r>
    </w:p>
    <w:p w14:paraId="2FA537B6">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器械说明</w:t>
      </w:r>
    </w:p>
    <w:p w14:paraId="063A3025">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bookmarkStart w:id="10" w:name="OLE_LINK8"/>
      <w:bookmarkStart w:id="11" w:name="OLE_LINK1"/>
      <w:r>
        <w:rPr>
          <w:rFonts w:ascii="Arial" w:hAnsi="Arial" w:eastAsia="宋体" w:cs="Arial"/>
          <w:snapToGrid w:val="0"/>
          <w:lang w:eastAsia="zh-CN"/>
        </w:rPr>
        <w:t>替代性操作</w:t>
      </w:r>
    </w:p>
    <w:bookmarkEnd w:id="10"/>
    <w:bookmarkEnd w:id="11"/>
    <w:p w14:paraId="1DA54C5E">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hint="eastAsia" w:ascii="Arial" w:hAnsi="Arial" w:eastAsia="宋体" w:cs="Arial"/>
          <w:snapToGrid w:val="0"/>
          <w:lang w:eastAsia="zh-CN"/>
        </w:rPr>
        <w:t>上市</w:t>
      </w:r>
      <w:r>
        <w:rPr>
          <w:rFonts w:ascii="Arial" w:hAnsi="Arial" w:eastAsia="宋体" w:cs="Arial"/>
          <w:snapToGrid w:val="0"/>
          <w:lang w:eastAsia="zh-CN"/>
        </w:rPr>
        <w:t>历史</w:t>
      </w:r>
    </w:p>
    <w:p w14:paraId="53492103">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研究总结（非临床和临床）</w:t>
      </w:r>
    </w:p>
    <w:p w14:paraId="20188B20">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研究结论</w:t>
      </w:r>
    </w:p>
    <w:p w14:paraId="0FF72770">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以下内容的完整描述：</w:t>
      </w:r>
    </w:p>
    <w:p w14:paraId="44B5132B">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器械</w:t>
      </w:r>
    </w:p>
    <w:p w14:paraId="2C0E2902">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部件</w:t>
      </w:r>
    </w:p>
    <w:p w14:paraId="67C8EF19">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与预防粘连相关的属性</w:t>
      </w:r>
    </w:p>
    <w:p w14:paraId="4EA2CF93">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工作原理</w:t>
      </w:r>
    </w:p>
    <w:p w14:paraId="03042E46">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制造</w:t>
      </w:r>
    </w:p>
    <w:p w14:paraId="74EF0BF2">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与任何适用标准的一致性</w:t>
      </w:r>
    </w:p>
    <w:p w14:paraId="1A317547">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数据</w:t>
      </w:r>
    </w:p>
    <w:p w14:paraId="7E541D3F">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非临床</w:t>
      </w:r>
    </w:p>
    <w:p w14:paraId="39296C32">
      <w:pPr>
        <w:pStyle w:val="2"/>
        <w:numPr>
          <w:ilvl w:val="1"/>
          <w:numId w:val="4"/>
        </w:numPr>
        <w:tabs>
          <w:tab w:val="left" w:pos="1498"/>
        </w:tabs>
        <w:topLinePunct/>
        <w:adjustRightInd w:val="0"/>
        <w:snapToGrid w:val="0"/>
        <w:spacing w:line="288" w:lineRule="auto"/>
        <w:ind w:left="1133" w:leftChars="515" w:firstLine="0"/>
        <w:jc w:val="both"/>
        <w:rPr>
          <w:rFonts w:ascii="Arial" w:hAnsi="Arial" w:eastAsia="宋体" w:cs="Arial"/>
          <w:snapToGrid w:val="0"/>
        </w:rPr>
      </w:pPr>
      <w:r>
        <w:rPr>
          <w:rFonts w:ascii="Arial" w:hAnsi="Arial" w:eastAsia="宋体" w:cs="Arial"/>
          <w:snapToGrid w:val="0"/>
          <w:lang w:eastAsia="zh-CN"/>
        </w:rPr>
        <w:t>临床</w:t>
      </w:r>
    </w:p>
    <w:p w14:paraId="61F0B160">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参考书目</w:t>
      </w:r>
    </w:p>
    <w:p w14:paraId="0B264072">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标签</w:t>
      </w:r>
    </w:p>
    <w:p w14:paraId="71DF16F4">
      <w:pPr>
        <w:pStyle w:val="2"/>
        <w:numPr>
          <w:ilvl w:val="0"/>
          <w:numId w:val="3"/>
        </w:numPr>
        <w:tabs>
          <w:tab w:val="left" w:pos="820"/>
        </w:tabs>
        <w:topLinePunct/>
        <w:adjustRightInd w:val="0"/>
        <w:snapToGrid w:val="0"/>
        <w:spacing w:line="288" w:lineRule="auto"/>
        <w:jc w:val="both"/>
        <w:rPr>
          <w:rFonts w:ascii="Arial" w:hAnsi="Arial" w:eastAsia="宋体" w:cs="Arial"/>
          <w:snapToGrid w:val="0"/>
          <w:lang w:eastAsia="zh-CN"/>
        </w:rPr>
      </w:pPr>
      <w:r>
        <w:rPr>
          <w:rFonts w:ascii="Arial" w:hAnsi="Arial" w:eastAsia="宋体" w:cs="Arial"/>
          <w:snapToGrid w:val="0"/>
          <w:lang w:eastAsia="zh-CN"/>
        </w:rPr>
        <w:t>环境评估，除非器械具备豁免资格</w:t>
      </w:r>
    </w:p>
    <w:p w14:paraId="2328B11C">
      <w:pPr>
        <w:pStyle w:val="2"/>
        <w:numPr>
          <w:ilvl w:val="0"/>
          <w:numId w:val="3"/>
        </w:numPr>
        <w:tabs>
          <w:tab w:val="left" w:pos="820"/>
        </w:tabs>
        <w:topLinePunct/>
        <w:adjustRightInd w:val="0"/>
        <w:snapToGrid w:val="0"/>
        <w:spacing w:line="288" w:lineRule="auto"/>
        <w:jc w:val="both"/>
        <w:rPr>
          <w:rFonts w:ascii="Arial" w:hAnsi="Arial" w:eastAsia="宋体" w:cs="Arial"/>
          <w:snapToGrid w:val="0"/>
        </w:rPr>
      </w:pPr>
      <w:r>
        <w:rPr>
          <w:rFonts w:ascii="Arial" w:hAnsi="Arial" w:eastAsia="宋体" w:cs="Arial"/>
          <w:snapToGrid w:val="0"/>
          <w:lang w:eastAsia="zh-CN"/>
        </w:rPr>
        <w:t>财务披露。</w:t>
      </w:r>
    </w:p>
    <w:p w14:paraId="0056CB0C">
      <w:pPr>
        <w:pStyle w:val="17"/>
        <w:topLinePunct/>
        <w:adjustRightInd w:val="0"/>
        <w:snapToGrid w:val="0"/>
        <w:spacing w:after="224" w:afterLines="75" w:line="288" w:lineRule="auto"/>
        <w:ind w:left="0" w:firstLine="0"/>
        <w:jc w:val="both"/>
        <w:outlineLvl w:val="9"/>
        <w:rPr>
          <w:rFonts w:ascii="Arial" w:hAnsi="Arial" w:eastAsia="宋体" w:cs="Arial"/>
          <w:b w:val="0"/>
          <w:snapToGrid w:val="0"/>
          <w:lang w:eastAsia="zh-CN"/>
        </w:rPr>
      </w:pPr>
      <w:r>
        <w:rPr>
          <w:rFonts w:ascii="Arial" w:hAnsi="Arial" w:eastAsia="宋体" w:cs="Arial"/>
          <w:b w:val="0"/>
          <w:snapToGrid w:val="0"/>
          <w:lang w:eastAsia="zh-CN"/>
        </w:rPr>
        <w:t>关于这些要素的</w:t>
      </w:r>
      <w:r>
        <w:rPr>
          <w:rFonts w:hint="eastAsia" w:ascii="Arial" w:hAnsi="Arial" w:eastAsia="宋体" w:cs="Arial"/>
          <w:b w:val="0"/>
          <w:snapToGrid w:val="0"/>
          <w:lang w:eastAsia="zh-CN"/>
        </w:rPr>
        <w:t>其他</w:t>
      </w:r>
      <w:r>
        <w:rPr>
          <w:rFonts w:ascii="Arial" w:hAnsi="Arial" w:eastAsia="宋体" w:cs="Arial"/>
          <w:b w:val="0"/>
          <w:snapToGrid w:val="0"/>
          <w:lang w:eastAsia="zh-CN"/>
        </w:rPr>
        <w:t>信息及</w:t>
      </w:r>
      <w:r>
        <w:rPr>
          <w:rFonts w:hint="eastAsia" w:ascii="Arial" w:hAnsi="Arial" w:eastAsia="宋体" w:cs="Arial"/>
          <w:b w:val="0"/>
          <w:snapToGrid w:val="0"/>
          <w:lang w:eastAsia="zh-CN"/>
        </w:rPr>
        <w:t>其他</w:t>
      </w:r>
      <w:r>
        <w:rPr>
          <w:rFonts w:ascii="Arial" w:hAnsi="Arial" w:eastAsia="宋体" w:cs="Arial"/>
          <w:b w:val="0"/>
          <w:snapToGrid w:val="0"/>
          <w:lang w:eastAsia="zh-CN"/>
        </w:rPr>
        <w:t>PMA要求也见CFR 814.20。</w:t>
      </w:r>
    </w:p>
    <w:p w14:paraId="6A663B17">
      <w:pPr>
        <w:rPr>
          <w:rFonts w:ascii="Arial" w:hAnsi="Arial" w:eastAsia="宋体" w:cs="Arial"/>
          <w:snapToGrid w:val="0"/>
          <w:sz w:val="28"/>
          <w:lang w:eastAsia="zh-CN"/>
        </w:rPr>
      </w:pPr>
      <w:bookmarkStart w:id="12" w:name="_bookmark3"/>
      <w:bookmarkEnd w:id="12"/>
      <w:r>
        <w:rPr>
          <w:rFonts w:ascii="Arial" w:hAnsi="Arial" w:eastAsia="宋体" w:cs="Arial"/>
          <w:snapToGrid w:val="0"/>
          <w:lang w:eastAsia="zh-CN"/>
        </w:rPr>
        <w:br w:type="page"/>
      </w:r>
      <w:r>
        <w:rPr>
          <w:rFonts w:ascii="Arial" w:hAnsi="Arial" w:eastAsia="宋体" w:cs="Arial"/>
          <w:snapToGrid w:val="0"/>
          <w:sz w:val="28"/>
          <w:lang w:eastAsia="zh-CN"/>
        </w:rPr>
        <w:t>临床前数据</w:t>
      </w:r>
    </w:p>
    <w:p w14:paraId="1C8EA02B">
      <w:pPr>
        <w:pStyle w:val="17"/>
        <w:numPr>
          <w:ilvl w:val="0"/>
          <w:numId w:val="5"/>
        </w:numPr>
        <w:tabs>
          <w:tab w:val="left" w:pos="448"/>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器械说明</w:t>
      </w:r>
    </w:p>
    <w:p w14:paraId="0A82B73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本部分应指出试验器械，例如膜、凝胶、溶液等的基本物理特征。您应提供器械所有特性的详细说明，包括器械名称；外形尺寸（描述所有尺寸（如果适用））；所有部件；物理、化学和生物性质；作用机制；</w:t>
      </w:r>
      <w:r>
        <w:rPr>
          <w:rFonts w:hint="eastAsia" w:ascii="Arial" w:hAnsi="Arial" w:eastAsia="宋体" w:cs="Arial"/>
          <w:snapToGrid w:val="0"/>
          <w:lang w:eastAsia="zh-CN"/>
        </w:rPr>
        <w:t>以及</w:t>
      </w:r>
      <w:r>
        <w:rPr>
          <w:rFonts w:ascii="Arial" w:hAnsi="Arial" w:eastAsia="宋体" w:cs="Arial"/>
          <w:snapToGrid w:val="0"/>
          <w:lang w:eastAsia="zh-CN"/>
        </w:rPr>
        <w:t>有关再吸收和／或新陈代谢的信息。您也应包含支持开发该产品用于该适应症的科学依据（物理／生物合理性）讨论及相关的科学文献。</w:t>
      </w:r>
    </w:p>
    <w:p w14:paraId="071E92EA">
      <w:pPr>
        <w:pStyle w:val="17"/>
        <w:numPr>
          <w:ilvl w:val="0"/>
          <w:numId w:val="5"/>
        </w:numPr>
        <w:tabs>
          <w:tab w:val="left" w:pos="448"/>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化学</w:t>
      </w:r>
    </w:p>
    <w:p w14:paraId="32512A03">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lang w:eastAsia="zh-CN"/>
        </w:rPr>
      </w:pPr>
      <w:r>
        <w:rPr>
          <w:rFonts w:ascii="Arial" w:hAnsi="Arial" w:eastAsia="宋体" w:cs="Arial"/>
          <w:snapToGrid w:val="0"/>
          <w:lang w:eastAsia="zh-CN"/>
        </w:rPr>
        <w:t>您应描述器械的</w:t>
      </w:r>
      <w:r>
        <w:rPr>
          <w:rFonts w:ascii="Arial" w:hAnsi="Arial" w:eastAsia="宋体" w:cs="Arial"/>
          <w:b/>
          <w:snapToGrid w:val="0"/>
          <w:u w:val="single"/>
          <w:lang w:eastAsia="zh-CN"/>
        </w:rPr>
        <w:t>所有</w:t>
      </w:r>
      <w:r>
        <w:rPr>
          <w:rFonts w:ascii="Arial" w:hAnsi="Arial" w:eastAsia="宋体" w:cs="Arial"/>
          <w:snapToGrid w:val="0"/>
          <w:lang w:eastAsia="zh-CN"/>
        </w:rPr>
        <w:t>材料</w:t>
      </w:r>
      <w:r>
        <w:rPr>
          <w:rFonts w:hint="eastAsia" w:ascii="Arial" w:hAnsi="Arial" w:eastAsia="宋体" w:cs="Arial"/>
          <w:snapToGrid w:val="0"/>
          <w:lang w:eastAsia="zh-CN"/>
        </w:rPr>
        <w:t>组成</w:t>
      </w:r>
      <w:r>
        <w:rPr>
          <w:rFonts w:ascii="Arial" w:hAnsi="Arial" w:eastAsia="宋体" w:cs="Arial"/>
          <w:snapToGrid w:val="0"/>
          <w:lang w:eastAsia="zh-CN"/>
        </w:rPr>
        <w:t>。这类信息应指出每个部件的来源和纯度。如果您包含适当的相互参照信，可用参考主文件的形式提供该信息。提交分析证书和／</w:t>
      </w:r>
      <w:bookmarkStart w:id="13" w:name="OLE_LINK13"/>
      <w:bookmarkStart w:id="14" w:name="OLE_LINK14"/>
      <w:r>
        <w:rPr>
          <w:rFonts w:ascii="Arial" w:hAnsi="Arial" w:eastAsia="宋体" w:cs="Arial"/>
          <w:snapToGrid w:val="0"/>
          <w:lang w:eastAsia="zh-CN"/>
        </w:rPr>
        <w:t>或材料安全数据表（MSDS）也能大大简化医疗器械不常用部件的审核。</w:t>
      </w:r>
      <w:bookmarkEnd w:id="13"/>
      <w:bookmarkEnd w:id="14"/>
    </w:p>
    <w:p w14:paraId="510922B8">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lang w:eastAsia="zh-CN"/>
        </w:rPr>
      </w:pPr>
      <w:r>
        <w:rPr>
          <w:rFonts w:ascii="Arial" w:hAnsi="Arial" w:eastAsia="宋体" w:cs="Arial"/>
          <w:snapToGrid w:val="0"/>
          <w:lang w:eastAsia="zh-CN"/>
        </w:rPr>
        <w:t>如果胶原或</w:t>
      </w:r>
      <w:r>
        <w:rPr>
          <w:rFonts w:hint="eastAsia" w:ascii="Arial" w:hAnsi="Arial" w:eastAsia="宋体" w:cs="Arial"/>
          <w:snapToGrid w:val="0"/>
          <w:lang w:eastAsia="zh-CN"/>
        </w:rPr>
        <w:t>其他</w:t>
      </w:r>
      <w:r>
        <w:rPr>
          <w:rFonts w:ascii="Arial" w:hAnsi="Arial" w:eastAsia="宋体" w:cs="Arial"/>
          <w:snapToGrid w:val="0"/>
          <w:lang w:eastAsia="zh-CN"/>
        </w:rPr>
        <w:t>动物材料是一种器械部件，申请应指出动物材料衍生自哪些种类和组织及胶原或</w:t>
      </w:r>
      <w:r>
        <w:rPr>
          <w:rFonts w:hint="eastAsia" w:ascii="Arial" w:hAnsi="Arial" w:eastAsia="宋体" w:cs="Arial"/>
          <w:snapToGrid w:val="0"/>
          <w:lang w:eastAsia="zh-CN"/>
        </w:rPr>
        <w:t>其他</w:t>
      </w:r>
      <w:r>
        <w:rPr>
          <w:rFonts w:ascii="Arial" w:hAnsi="Arial" w:eastAsia="宋体" w:cs="Arial"/>
          <w:snapToGrid w:val="0"/>
          <w:lang w:eastAsia="zh-CN"/>
        </w:rPr>
        <w:t>材料的具体类型。动物源材料也见</w:t>
      </w:r>
      <w:r>
        <w:rPr>
          <w:rFonts w:hint="eastAsia" w:ascii="Arial" w:hAnsi="Arial" w:eastAsia="宋体" w:cs="Arial"/>
          <w:snapToGrid w:val="0"/>
          <w:lang w:eastAsia="zh-CN"/>
        </w:rPr>
        <w:t>下文</w:t>
      </w:r>
      <w:r>
        <w:rPr>
          <w:rFonts w:ascii="Arial" w:hAnsi="Arial" w:eastAsia="宋体" w:cs="Arial"/>
          <w:snapToGrid w:val="0"/>
          <w:lang w:eastAsia="zh-CN"/>
        </w:rPr>
        <w:t>的灭菌部分和指南文件</w:t>
      </w:r>
      <w:r>
        <w:rPr>
          <w:rFonts w:ascii="宋体" w:hAnsi="宋体" w:eastAsia="宋体" w:cs="Arial"/>
          <w:snapToGrid w:val="0"/>
          <w:lang w:eastAsia="zh-CN"/>
        </w:rPr>
        <w:t>“</w:t>
      </w:r>
      <w:bookmarkStart w:id="15" w:name="OLE_LINK16"/>
      <w:bookmarkStart w:id="16" w:name="OLE_LINK15"/>
      <w:r>
        <w:rPr>
          <w:rFonts w:ascii="Arial" w:hAnsi="Arial" w:eastAsia="宋体" w:cs="Arial"/>
          <w:snapToGrid w:val="0"/>
          <w:lang w:eastAsia="zh-CN"/>
        </w:rPr>
        <w:t>含动物源衍生材料的医疗器械（不包括体外诊断器械）</w:t>
      </w:r>
      <w:bookmarkEnd w:id="15"/>
      <w:bookmarkEnd w:id="16"/>
      <w:r>
        <w:rPr>
          <w:rFonts w:ascii="宋体" w:hAnsi="宋体" w:eastAsia="宋体" w:cs="Arial"/>
          <w:snapToGrid w:val="0"/>
          <w:lang w:eastAsia="zh-CN"/>
        </w:rPr>
        <w:t>”</w:t>
      </w:r>
      <w:r>
        <w:rPr>
          <w:rFonts w:ascii="Arial" w:hAnsi="Arial" w:eastAsia="宋体" w:cs="Arial"/>
          <w:snapToGrid w:val="0"/>
          <w:lang w:eastAsia="zh-CN"/>
        </w:rPr>
        <w:t>，见</w:t>
      </w:r>
      <w:r>
        <w:fldChar w:fldCharType="begin"/>
      </w:r>
      <w:r>
        <w:instrText xml:space="preserve"> HYPERLINK "http://www.fda.gov/cdrh/ode/88.html。" </w:instrText>
      </w:r>
      <w:r>
        <w:fldChar w:fldCharType="separate"/>
      </w:r>
      <w:r>
        <w:rPr>
          <w:rStyle w:val="10"/>
          <w:rFonts w:ascii="Arial" w:hAnsi="Arial" w:eastAsia="宋体" w:cs="Arial"/>
          <w:snapToGrid w:val="0"/>
          <w:u w:color="0000FF"/>
          <w:lang w:eastAsia="zh-CN"/>
        </w:rPr>
        <w:t>http: //www.fda.gov/cdrh/ode/88.html</w:t>
      </w:r>
      <w:r>
        <w:rPr>
          <w:rStyle w:val="10"/>
          <w:rFonts w:ascii="Arial" w:hAnsi="Arial" w:eastAsia="宋体" w:cs="Arial"/>
          <w:snapToGrid w:val="0"/>
          <w:u w:val="none"/>
          <w:lang w:eastAsia="zh-CN"/>
        </w:rPr>
        <w:t>。</w:t>
      </w:r>
      <w:r>
        <w:rPr>
          <w:rStyle w:val="10"/>
          <w:rFonts w:ascii="Arial" w:hAnsi="Arial" w:eastAsia="宋体" w:cs="Arial"/>
          <w:snapToGrid w:val="0"/>
          <w:u w:val="none"/>
          <w:lang w:eastAsia="zh-CN"/>
        </w:rPr>
        <w:fldChar w:fldCharType="end"/>
      </w:r>
    </w:p>
    <w:p w14:paraId="064F8DCB">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lang w:eastAsia="zh-CN"/>
        </w:rPr>
      </w:pPr>
      <w:r>
        <w:rPr>
          <w:rFonts w:ascii="Arial" w:hAnsi="Arial" w:eastAsia="宋体" w:cs="Arial"/>
          <w:snapToGrid w:val="0"/>
          <w:lang w:eastAsia="zh-CN"/>
        </w:rPr>
        <w:t>您应提交器械每种材料／每个部件的以下信息：</w:t>
      </w:r>
    </w:p>
    <w:p w14:paraId="0563B6D5">
      <w:pPr>
        <w:pStyle w:val="2"/>
        <w:numPr>
          <w:ilvl w:val="2"/>
          <w:numId w:val="5"/>
        </w:numPr>
        <w:tabs>
          <w:tab w:val="left" w:pos="1900"/>
        </w:tabs>
        <w:topLinePunct/>
        <w:adjustRightInd w:val="0"/>
        <w:snapToGrid w:val="0"/>
        <w:spacing w:after="224" w:afterLines="75" w:line="288" w:lineRule="auto"/>
        <w:ind w:left="1918" w:leftChars="655" w:hanging="477"/>
        <w:jc w:val="both"/>
        <w:rPr>
          <w:rFonts w:ascii="Arial" w:hAnsi="Arial" w:eastAsia="宋体" w:cs="Arial"/>
          <w:snapToGrid w:val="0"/>
          <w:lang w:eastAsia="zh-CN"/>
        </w:rPr>
      </w:pPr>
      <w:r>
        <w:rPr>
          <w:rFonts w:ascii="Arial" w:hAnsi="Arial" w:eastAsia="宋体" w:cs="Arial"/>
          <w:snapToGrid w:val="0"/>
          <w:lang w:eastAsia="zh-CN"/>
        </w:rPr>
        <w:t>化学名，化学文摘登记号</w:t>
      </w:r>
    </w:p>
    <w:p w14:paraId="57914BD8">
      <w:pPr>
        <w:pStyle w:val="2"/>
        <w:numPr>
          <w:ilvl w:val="2"/>
          <w:numId w:val="5"/>
        </w:numPr>
        <w:tabs>
          <w:tab w:val="left" w:pos="1900"/>
        </w:tabs>
        <w:topLinePunct/>
        <w:adjustRightInd w:val="0"/>
        <w:snapToGrid w:val="0"/>
        <w:spacing w:after="224" w:afterLines="75" w:line="288" w:lineRule="auto"/>
        <w:ind w:left="1918" w:leftChars="655" w:hanging="477"/>
        <w:jc w:val="both"/>
        <w:rPr>
          <w:rFonts w:ascii="Arial" w:hAnsi="Arial" w:eastAsia="宋体" w:cs="Arial"/>
          <w:snapToGrid w:val="0"/>
          <w:lang w:eastAsia="zh-CN"/>
        </w:rPr>
      </w:pPr>
      <w:r>
        <w:rPr>
          <w:rFonts w:ascii="Arial" w:hAnsi="Arial" w:eastAsia="宋体" w:cs="Arial"/>
          <w:snapToGrid w:val="0"/>
          <w:lang w:eastAsia="zh-CN"/>
        </w:rPr>
        <w:t>商品名</w:t>
      </w:r>
    </w:p>
    <w:p w14:paraId="106BAAE8">
      <w:pPr>
        <w:pStyle w:val="2"/>
        <w:numPr>
          <w:ilvl w:val="2"/>
          <w:numId w:val="5"/>
        </w:numPr>
        <w:tabs>
          <w:tab w:val="left" w:pos="1900"/>
        </w:tabs>
        <w:topLinePunct/>
        <w:adjustRightInd w:val="0"/>
        <w:snapToGrid w:val="0"/>
        <w:spacing w:after="224" w:afterLines="75" w:line="288" w:lineRule="auto"/>
        <w:ind w:left="1918" w:leftChars="655" w:hanging="477"/>
        <w:jc w:val="both"/>
        <w:rPr>
          <w:rFonts w:ascii="Arial" w:hAnsi="Arial" w:eastAsia="宋体" w:cs="Arial"/>
          <w:snapToGrid w:val="0"/>
          <w:lang w:eastAsia="zh-CN"/>
        </w:rPr>
      </w:pPr>
      <w:r>
        <w:rPr>
          <w:rFonts w:ascii="Arial" w:hAnsi="Arial" w:eastAsia="宋体" w:cs="Arial"/>
          <w:snapToGrid w:val="0"/>
          <w:lang w:eastAsia="zh-CN"/>
        </w:rPr>
        <w:t>结构式和分子量</w:t>
      </w:r>
    </w:p>
    <w:p w14:paraId="2C599B33">
      <w:pPr>
        <w:pStyle w:val="2"/>
        <w:numPr>
          <w:ilvl w:val="2"/>
          <w:numId w:val="5"/>
        </w:numPr>
        <w:tabs>
          <w:tab w:val="left" w:pos="1900"/>
        </w:tabs>
        <w:topLinePunct/>
        <w:adjustRightInd w:val="0"/>
        <w:snapToGrid w:val="0"/>
        <w:spacing w:after="224" w:afterLines="75" w:line="288" w:lineRule="auto"/>
        <w:ind w:left="1918" w:leftChars="655" w:hanging="477"/>
        <w:jc w:val="both"/>
        <w:rPr>
          <w:rFonts w:ascii="Arial" w:hAnsi="Arial" w:eastAsia="宋体" w:cs="Arial"/>
          <w:snapToGrid w:val="0"/>
          <w:lang w:eastAsia="zh-CN"/>
        </w:rPr>
      </w:pPr>
      <w:r>
        <w:rPr>
          <w:rFonts w:ascii="Arial" w:hAnsi="Arial" w:eastAsia="宋体" w:cs="Arial"/>
          <w:snapToGrid w:val="0"/>
          <w:lang w:eastAsia="zh-CN"/>
        </w:rPr>
        <w:t>如果材料是聚合物，您应提供分子式，测量的平均分子量和分子量分布。FDA建议用凝胶渗透色谱法进行测量，但可以使用</w:t>
      </w:r>
      <w:r>
        <w:rPr>
          <w:rFonts w:hint="eastAsia" w:ascii="Arial" w:hAnsi="Arial" w:eastAsia="宋体" w:cs="Arial"/>
          <w:snapToGrid w:val="0"/>
          <w:lang w:eastAsia="zh-CN"/>
        </w:rPr>
        <w:t>其他</w:t>
      </w:r>
      <w:r>
        <w:rPr>
          <w:rFonts w:ascii="Arial" w:hAnsi="Arial" w:eastAsia="宋体" w:cs="Arial"/>
          <w:snapToGrid w:val="0"/>
          <w:lang w:eastAsia="zh-CN"/>
        </w:rPr>
        <w:t>技术。</w:t>
      </w:r>
    </w:p>
    <w:p w14:paraId="1CFB75F4">
      <w:pPr>
        <w:pStyle w:val="2"/>
        <w:numPr>
          <w:ilvl w:val="2"/>
          <w:numId w:val="5"/>
        </w:numPr>
        <w:tabs>
          <w:tab w:val="left" w:pos="1900"/>
        </w:tabs>
        <w:topLinePunct/>
        <w:adjustRightInd w:val="0"/>
        <w:snapToGrid w:val="0"/>
        <w:spacing w:after="224" w:afterLines="75" w:line="288" w:lineRule="auto"/>
        <w:ind w:left="1918" w:leftChars="655" w:hanging="477"/>
        <w:jc w:val="both"/>
        <w:rPr>
          <w:rFonts w:ascii="Arial" w:hAnsi="Arial" w:eastAsia="宋体" w:cs="Arial"/>
          <w:snapToGrid w:val="0"/>
          <w:lang w:eastAsia="zh-CN"/>
        </w:rPr>
      </w:pPr>
      <w:r>
        <w:rPr>
          <w:rFonts w:ascii="Arial" w:hAnsi="Arial" w:eastAsia="宋体" w:cs="Arial"/>
          <w:snapToGrid w:val="0"/>
          <w:lang w:eastAsia="zh-CN"/>
        </w:rPr>
        <w:t>如果产品是固体，您应提供每个产品单位的重量和尺寸</w:t>
      </w:r>
    </w:p>
    <w:p w14:paraId="7E50204B">
      <w:pPr>
        <w:pStyle w:val="2"/>
        <w:numPr>
          <w:ilvl w:val="2"/>
          <w:numId w:val="5"/>
        </w:numPr>
        <w:tabs>
          <w:tab w:val="left" w:pos="1900"/>
        </w:tabs>
        <w:topLinePunct/>
        <w:adjustRightInd w:val="0"/>
        <w:snapToGrid w:val="0"/>
        <w:spacing w:after="224" w:afterLines="75" w:line="288" w:lineRule="auto"/>
        <w:ind w:left="1918" w:leftChars="655" w:hanging="477"/>
        <w:jc w:val="both"/>
        <w:rPr>
          <w:rFonts w:ascii="Arial" w:hAnsi="Arial" w:eastAsia="宋体" w:cs="Arial"/>
          <w:snapToGrid w:val="0"/>
          <w:lang w:eastAsia="zh-CN"/>
        </w:rPr>
      </w:pPr>
      <w:r>
        <w:rPr>
          <w:rFonts w:ascii="Arial" w:hAnsi="Arial" w:eastAsia="宋体" w:cs="Arial"/>
          <w:snapToGrid w:val="0"/>
          <w:lang w:eastAsia="zh-CN"/>
        </w:rPr>
        <w:t>如果产品是液体，您应提供重量、粘度、颜色和pH值。</w:t>
      </w:r>
    </w:p>
    <w:p w14:paraId="1E75AB51">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lang w:eastAsia="zh-CN"/>
        </w:rPr>
      </w:pPr>
      <w:r>
        <w:rPr>
          <w:rFonts w:ascii="Arial" w:hAnsi="Arial" w:eastAsia="宋体" w:cs="Arial"/>
          <w:snapToGrid w:val="0"/>
          <w:lang w:eastAsia="zh-CN"/>
        </w:rPr>
        <w:t>您应对每种材料实施化学表征以评估来料特性。应酌情</w:t>
      </w:r>
      <w:r>
        <w:rPr>
          <w:rFonts w:hint="eastAsia" w:ascii="Arial" w:hAnsi="Arial" w:eastAsia="宋体" w:cs="Arial"/>
          <w:snapToGrid w:val="0"/>
          <w:lang w:eastAsia="zh-CN"/>
        </w:rPr>
        <w:t>监测</w:t>
      </w:r>
      <w:r>
        <w:rPr>
          <w:rFonts w:ascii="Arial" w:hAnsi="Arial" w:eastAsia="宋体" w:cs="Arial"/>
          <w:snapToGrid w:val="0"/>
          <w:lang w:eastAsia="zh-CN"/>
        </w:rPr>
        <w:t>材料的外观、粘度、平均分子量</w:t>
      </w:r>
      <w:r>
        <w:rPr>
          <w:rFonts w:hint="eastAsia" w:ascii="Arial" w:hAnsi="Arial" w:eastAsia="宋体" w:cs="Arial"/>
          <w:snapToGrid w:val="0"/>
          <w:lang w:eastAsia="zh-CN"/>
        </w:rPr>
        <w:t>、</w:t>
      </w:r>
      <w:r>
        <w:rPr>
          <w:rFonts w:ascii="Arial" w:hAnsi="Arial" w:eastAsia="宋体" w:cs="Arial"/>
          <w:snapToGrid w:val="0"/>
          <w:lang w:eastAsia="zh-CN"/>
        </w:rPr>
        <w:t>H值</w:t>
      </w:r>
      <w:r>
        <w:rPr>
          <w:rFonts w:hint="eastAsia" w:ascii="Arial" w:hAnsi="Arial" w:eastAsia="宋体" w:cs="Arial"/>
          <w:snapToGrid w:val="0"/>
          <w:lang w:eastAsia="zh-CN"/>
        </w:rPr>
        <w:t>、</w:t>
      </w:r>
      <w:r>
        <w:rPr>
          <w:rFonts w:ascii="Arial" w:hAnsi="Arial" w:eastAsia="宋体" w:cs="Arial"/>
          <w:snapToGrid w:val="0"/>
          <w:lang w:eastAsia="zh-CN"/>
        </w:rPr>
        <w:t>有机挥发杂质和颗粒物确保其质量。您应列出原材料规格及试验方法和合适的验收范围。</w:t>
      </w:r>
    </w:p>
    <w:p w14:paraId="57C473EB">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br w:type="page"/>
      </w:r>
      <w:bookmarkStart w:id="17" w:name="_bookmark4"/>
      <w:bookmarkEnd w:id="17"/>
    </w:p>
    <w:p w14:paraId="4C6B1D6B">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lang w:eastAsia="zh-CN"/>
        </w:rPr>
      </w:pPr>
      <w:r>
        <w:rPr>
          <w:rFonts w:ascii="Arial" w:hAnsi="Arial" w:eastAsia="宋体" w:cs="Arial"/>
          <w:snapToGrid w:val="0"/>
          <w:lang w:eastAsia="zh-CN"/>
        </w:rPr>
        <w:t>您应按部就班地</w:t>
      </w:r>
      <w:r>
        <w:rPr>
          <w:rFonts w:hint="eastAsia" w:ascii="Arial" w:hAnsi="Arial" w:eastAsia="宋体" w:cs="Arial"/>
          <w:snapToGrid w:val="0"/>
          <w:lang w:eastAsia="zh-CN"/>
        </w:rPr>
        <w:t>提供</w:t>
      </w:r>
      <w:r>
        <w:rPr>
          <w:rFonts w:ascii="Arial" w:hAnsi="Arial" w:eastAsia="宋体" w:cs="Arial"/>
          <w:snapToGrid w:val="0"/>
          <w:lang w:eastAsia="zh-CN"/>
        </w:rPr>
        <w:t>从</w:t>
      </w:r>
      <w:r>
        <w:rPr>
          <w:rFonts w:hint="eastAsia" w:ascii="Arial" w:hAnsi="Arial" w:eastAsia="宋体" w:cs="Arial"/>
          <w:snapToGrid w:val="0"/>
          <w:lang w:eastAsia="zh-CN"/>
        </w:rPr>
        <w:t>原材料</w:t>
      </w:r>
      <w:r>
        <w:rPr>
          <w:rFonts w:ascii="Arial" w:hAnsi="Arial" w:eastAsia="宋体" w:cs="Arial"/>
          <w:snapToGrid w:val="0"/>
          <w:lang w:eastAsia="zh-CN"/>
        </w:rPr>
        <w:t>至最终产品的化学表示和制造信息。这应包含所有器械部件的所有非反应物和反应物（包括催化剂、固化剂和中间体前体）。适用时，您应包含共聚物内容分析以确定产品一致性。</w:t>
      </w:r>
    </w:p>
    <w:p w14:paraId="26DABC4C">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lang w:eastAsia="zh-CN"/>
        </w:rPr>
      </w:pPr>
      <w:r>
        <w:rPr>
          <w:rFonts w:ascii="Arial" w:hAnsi="Arial" w:eastAsia="宋体" w:cs="Arial"/>
          <w:snapToGrid w:val="0"/>
          <w:lang w:eastAsia="zh-CN"/>
        </w:rPr>
        <w:t>您应描述成品灭菌器械包括其部件和成分。您应记录分析性试验和验收</w:t>
      </w:r>
      <w:r>
        <w:rPr>
          <w:rFonts w:hint="eastAsia" w:ascii="Arial" w:hAnsi="Arial" w:eastAsia="宋体" w:cs="Arial"/>
          <w:snapToGrid w:val="0"/>
          <w:lang w:eastAsia="zh-CN"/>
        </w:rPr>
        <w:t>规范</w:t>
      </w:r>
      <w:r>
        <w:rPr>
          <w:rFonts w:ascii="Arial" w:hAnsi="Arial" w:eastAsia="宋体" w:cs="Arial"/>
          <w:snapToGrid w:val="0"/>
          <w:lang w:eastAsia="zh-CN"/>
        </w:rPr>
        <w:t>并比较和报告来自至少三个小批次的数据以证明对制造工艺的控制。</w:t>
      </w:r>
    </w:p>
    <w:p w14:paraId="357F201A">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rPr>
      </w:pPr>
      <w:r>
        <w:rPr>
          <w:rFonts w:ascii="Arial" w:hAnsi="Arial" w:eastAsia="宋体" w:cs="Arial"/>
          <w:snapToGrid w:val="0"/>
          <w:lang w:eastAsia="zh-CN"/>
        </w:rPr>
        <w:t>无论是作为原料或是原料的加工产品存在，或在制造工艺中通过任何方式引入，残留化学物都是一个问题。为解决这个问题，您应提取极性和非极性溶剂中的最终配方灭菌产品。您应利用一种足够敏感的方法（比如高效液相色谱法）测量可能的有毒污染物。您也应测量挥发性和非挥发性残留物。</w:t>
      </w:r>
    </w:p>
    <w:p w14:paraId="0C32A378">
      <w:pPr>
        <w:pStyle w:val="2"/>
        <w:numPr>
          <w:ilvl w:val="1"/>
          <w:numId w:val="5"/>
        </w:numPr>
        <w:tabs>
          <w:tab w:val="left" w:pos="1180"/>
        </w:tabs>
        <w:topLinePunct/>
        <w:adjustRightInd w:val="0"/>
        <w:snapToGrid w:val="0"/>
        <w:spacing w:after="224" w:afterLines="75" w:line="288" w:lineRule="auto"/>
        <w:ind w:left="923" w:leftChars="210" w:hanging="461"/>
        <w:jc w:val="both"/>
        <w:rPr>
          <w:rFonts w:ascii="Arial" w:hAnsi="Arial" w:eastAsia="宋体" w:cs="Arial"/>
          <w:snapToGrid w:val="0"/>
          <w:lang w:eastAsia="zh-CN"/>
        </w:rPr>
      </w:pPr>
      <w:r>
        <w:rPr>
          <w:rFonts w:ascii="Arial" w:hAnsi="Arial" w:eastAsia="宋体" w:cs="Arial"/>
          <w:snapToGrid w:val="0"/>
          <w:lang w:eastAsia="zh-CN"/>
        </w:rPr>
        <w:t>您应利用客观（定量）衡量标准充分详细地描述器械的任何独特特点以使</w:t>
      </w:r>
      <w:r>
        <w:rPr>
          <w:rFonts w:hint="eastAsia" w:ascii="Arial" w:hAnsi="Arial" w:eastAsia="宋体" w:cs="Arial"/>
          <w:snapToGrid w:val="0"/>
          <w:lang w:eastAsia="zh-CN"/>
        </w:rPr>
        <w:t>审查者</w:t>
      </w:r>
      <w:r>
        <w:rPr>
          <w:rFonts w:ascii="Arial" w:hAnsi="Arial" w:eastAsia="宋体" w:cs="Arial"/>
          <w:snapToGrid w:val="0"/>
          <w:lang w:eastAsia="zh-CN"/>
        </w:rPr>
        <w:t>清楚了解这些特点。</w:t>
      </w:r>
    </w:p>
    <w:p w14:paraId="5EAFBDB5">
      <w:pPr>
        <w:pStyle w:val="17"/>
        <w:numPr>
          <w:ilvl w:val="0"/>
          <w:numId w:val="5"/>
        </w:numPr>
        <w:tabs>
          <w:tab w:val="left" w:pos="426"/>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动物</w:t>
      </w:r>
      <w:r>
        <w:rPr>
          <w:rFonts w:hint="eastAsia" w:ascii="Arial" w:hAnsi="Arial" w:eastAsia="宋体" w:cs="Arial"/>
          <w:snapToGrid w:val="0"/>
          <w:lang w:eastAsia="zh-CN"/>
        </w:rPr>
        <w:t>试验</w:t>
      </w:r>
    </w:p>
    <w:p w14:paraId="32C9CAF6">
      <w:pPr>
        <w:pStyle w:val="17"/>
        <w:numPr>
          <w:ilvl w:val="0"/>
          <w:numId w:val="6"/>
        </w:numPr>
        <w:topLinePunct/>
        <w:adjustRightInd w:val="0"/>
        <w:snapToGrid w:val="0"/>
        <w:spacing w:after="224" w:afterLines="75" w:line="288" w:lineRule="auto"/>
        <w:ind w:left="925" w:leftChars="185" w:hanging="518"/>
        <w:jc w:val="both"/>
        <w:outlineLvl w:val="9"/>
        <w:rPr>
          <w:rFonts w:ascii="Arial" w:hAnsi="Arial" w:eastAsia="宋体" w:cs="Arial"/>
          <w:b w:val="0"/>
          <w:bCs w:val="0"/>
          <w:snapToGrid w:val="0"/>
          <w:lang w:eastAsia="zh-CN"/>
        </w:rPr>
      </w:pPr>
      <w:bookmarkStart w:id="18" w:name="_TOC_250026"/>
      <w:r>
        <w:rPr>
          <w:rFonts w:ascii="Arial" w:hAnsi="Arial" w:eastAsia="宋体" w:cs="Arial"/>
          <w:snapToGrid w:val="0"/>
          <w:u w:val="thick" w:color="000000"/>
          <w:lang w:eastAsia="zh-CN"/>
        </w:rPr>
        <w:t>毒理学</w:t>
      </w:r>
      <w:bookmarkEnd w:id="18"/>
      <w:r>
        <w:rPr>
          <w:rFonts w:ascii="Arial" w:hAnsi="Arial" w:eastAsia="宋体" w:cs="Arial"/>
          <w:snapToGrid w:val="0"/>
          <w:u w:val="thick" w:color="000000"/>
          <w:lang w:eastAsia="zh-CN"/>
        </w:rPr>
        <w:t>／生物相容性研究</w:t>
      </w:r>
    </w:p>
    <w:p w14:paraId="3DCD8A6A">
      <w:pPr>
        <w:pStyle w:val="2"/>
        <w:topLinePunct/>
        <w:adjustRightInd w:val="0"/>
        <w:snapToGrid w:val="0"/>
        <w:spacing w:after="224" w:afterLines="75" w:line="288" w:lineRule="auto"/>
        <w:ind w:left="407" w:leftChars="185" w:firstLine="0"/>
        <w:jc w:val="both"/>
        <w:rPr>
          <w:rFonts w:ascii="Arial" w:hAnsi="Arial" w:eastAsia="宋体" w:cs="Arial"/>
          <w:snapToGrid w:val="0"/>
          <w:lang w:eastAsia="zh-CN"/>
        </w:rPr>
      </w:pPr>
      <w:r>
        <w:rPr>
          <w:rFonts w:ascii="Arial" w:hAnsi="Arial" w:eastAsia="宋体" w:cs="Arial"/>
          <w:snapToGrid w:val="0"/>
          <w:lang w:eastAsia="zh-CN"/>
        </w:rPr>
        <w:t>临床前毒理学／生物相容性研究应遵守ISO 10993-1: 1992指导原则，</w:t>
      </w:r>
      <w:r>
        <w:rPr>
          <w:rFonts w:ascii="宋体" w:hAnsi="宋体" w:eastAsia="宋体" w:cs="Arial"/>
          <w:snapToGrid w:val="0"/>
          <w:lang w:eastAsia="zh-CN"/>
        </w:rPr>
        <w:t>“</w:t>
      </w:r>
      <w:r>
        <w:rPr>
          <w:rFonts w:ascii="Arial" w:hAnsi="Arial" w:eastAsia="宋体" w:cs="Arial"/>
          <w:snapToGrid w:val="0"/>
          <w:lang w:eastAsia="zh-CN"/>
        </w:rPr>
        <w:t>医疗器械的生物评价-第1部分：评价和测试</w:t>
      </w:r>
      <w:r>
        <w:rPr>
          <w:rFonts w:ascii="宋体" w:hAnsi="宋体" w:eastAsia="宋体" w:cs="Arial"/>
          <w:snapToGrid w:val="0"/>
          <w:lang w:eastAsia="zh-CN"/>
        </w:rPr>
        <w:t>”</w:t>
      </w:r>
      <w:r>
        <w:rPr>
          <w:rFonts w:ascii="Arial" w:hAnsi="Arial" w:eastAsia="宋体" w:cs="Arial"/>
          <w:snapToGrid w:val="0"/>
          <w:lang w:eastAsia="zh-CN"/>
        </w:rPr>
        <w:t>，</w:t>
      </w:r>
      <w:r>
        <w:rPr>
          <w:rFonts w:hint="eastAsia" w:ascii="Arial" w:hAnsi="Arial" w:eastAsia="宋体" w:cs="Arial"/>
          <w:snapToGrid w:val="0"/>
          <w:lang w:eastAsia="zh-CN"/>
        </w:rPr>
        <w:t>其</w:t>
      </w:r>
      <w:r>
        <w:rPr>
          <w:rFonts w:ascii="Arial" w:hAnsi="Arial" w:eastAsia="宋体" w:cs="Arial"/>
          <w:snapToGrid w:val="0"/>
          <w:lang w:eastAsia="zh-CN"/>
        </w:rPr>
        <w:t>建议对接触组织和血液24小时至30天的植入式器械实施</w:t>
      </w:r>
      <w:r>
        <w:rPr>
          <w:rFonts w:hint="eastAsia" w:ascii="Arial" w:hAnsi="Arial" w:eastAsia="宋体" w:cs="Arial"/>
          <w:snapToGrid w:val="0"/>
          <w:lang w:eastAsia="zh-CN"/>
        </w:rPr>
        <w:t>以下</w:t>
      </w:r>
      <w:r>
        <w:rPr>
          <w:rFonts w:ascii="Arial" w:hAnsi="Arial" w:eastAsia="宋体" w:cs="Arial"/>
          <w:snapToGrid w:val="0"/>
          <w:lang w:eastAsia="zh-CN"/>
        </w:rPr>
        <w:t>列出的六项标准试验。</w:t>
      </w:r>
    </w:p>
    <w:p w14:paraId="3B2DED5D">
      <w:pPr>
        <w:pStyle w:val="2"/>
        <w:numPr>
          <w:ilvl w:val="0"/>
          <w:numId w:val="7"/>
        </w:numPr>
        <w:tabs>
          <w:tab w:val="left" w:pos="851"/>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细胞毒性</w:t>
      </w:r>
    </w:p>
    <w:p w14:paraId="721B0231">
      <w:pPr>
        <w:pStyle w:val="2"/>
        <w:numPr>
          <w:ilvl w:val="0"/>
          <w:numId w:val="7"/>
        </w:numPr>
        <w:tabs>
          <w:tab w:val="left" w:pos="851"/>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致敏作用</w:t>
      </w:r>
    </w:p>
    <w:p w14:paraId="5B6CAAFB">
      <w:pPr>
        <w:pStyle w:val="2"/>
        <w:numPr>
          <w:ilvl w:val="0"/>
          <w:numId w:val="7"/>
        </w:numPr>
        <w:tabs>
          <w:tab w:val="left" w:pos="851"/>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刺激或皮内反应</w:t>
      </w:r>
    </w:p>
    <w:p w14:paraId="3D02D059">
      <w:pPr>
        <w:pStyle w:val="2"/>
        <w:numPr>
          <w:ilvl w:val="0"/>
          <w:numId w:val="7"/>
        </w:numPr>
        <w:tabs>
          <w:tab w:val="left" w:pos="851"/>
        </w:tabs>
        <w:topLinePunct/>
        <w:adjustRightInd w:val="0"/>
        <w:snapToGrid w:val="0"/>
        <w:spacing w:after="224" w:afterLines="75" w:line="288" w:lineRule="auto"/>
        <w:ind w:left="719" w:leftChars="327" w:firstLine="0"/>
        <w:jc w:val="both"/>
        <w:rPr>
          <w:rFonts w:ascii="Arial" w:hAnsi="Arial" w:eastAsia="宋体" w:cs="Arial"/>
          <w:snapToGrid w:val="0"/>
        </w:rPr>
      </w:pPr>
      <w:r>
        <w:rPr>
          <w:rFonts w:hint="eastAsia" w:ascii="Arial" w:hAnsi="Arial" w:eastAsia="宋体" w:cs="Arial"/>
          <w:snapToGrid w:val="0"/>
          <w:lang w:eastAsia="zh-CN"/>
        </w:rPr>
        <w:t>全身性</w:t>
      </w:r>
      <w:r>
        <w:rPr>
          <w:rFonts w:ascii="Arial" w:hAnsi="Arial" w:eastAsia="宋体" w:cs="Arial"/>
          <w:snapToGrid w:val="0"/>
          <w:lang w:eastAsia="zh-CN"/>
        </w:rPr>
        <w:t>毒性</w:t>
      </w:r>
    </w:p>
    <w:p w14:paraId="4B41B4BE">
      <w:pPr>
        <w:pStyle w:val="2"/>
        <w:numPr>
          <w:ilvl w:val="0"/>
          <w:numId w:val="7"/>
        </w:numPr>
        <w:tabs>
          <w:tab w:val="left" w:pos="851"/>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hint="eastAsia" w:ascii="Arial" w:hAnsi="Arial" w:eastAsia="宋体" w:cs="Arial"/>
          <w:snapToGrid w:val="0"/>
          <w:lang w:eastAsia="zh-CN"/>
        </w:rPr>
        <w:t>遗传</w:t>
      </w:r>
      <w:r>
        <w:rPr>
          <w:rFonts w:ascii="Arial" w:hAnsi="Arial" w:eastAsia="宋体" w:cs="Arial"/>
          <w:snapToGrid w:val="0"/>
          <w:lang w:eastAsia="zh-CN"/>
        </w:rPr>
        <w:t>毒性（艾姆斯回复突变</w:t>
      </w:r>
      <w:r>
        <w:rPr>
          <w:rFonts w:hint="eastAsia" w:ascii="Arial" w:hAnsi="Arial" w:eastAsia="宋体" w:cs="Arial"/>
          <w:snapToGrid w:val="0"/>
          <w:lang w:eastAsia="zh-CN"/>
        </w:rPr>
        <w:t>、</w:t>
      </w:r>
      <w:r>
        <w:rPr>
          <w:rFonts w:ascii="Arial" w:hAnsi="Arial" w:eastAsia="宋体" w:cs="Arial"/>
          <w:snapToGrid w:val="0"/>
          <w:lang w:eastAsia="zh-CN"/>
        </w:rPr>
        <w:t>染色体畸变和小鼠淋巴瘤正向突变）</w:t>
      </w:r>
    </w:p>
    <w:p w14:paraId="70B7EBD8">
      <w:pPr>
        <w:pStyle w:val="2"/>
        <w:numPr>
          <w:ilvl w:val="0"/>
          <w:numId w:val="7"/>
        </w:numPr>
        <w:tabs>
          <w:tab w:val="left" w:pos="851"/>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亚慢性植入和毒性</w:t>
      </w:r>
    </w:p>
    <w:p w14:paraId="00CEFA89">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亚慢性植入研究持续时间应模仿材料的建议用途。设计研究时应考虑到产品特征；即研究实施时间应超过产品在体内达到检测浓度所需时间。植入的试验材料应处于或接近提议使用位置且应在身体完全将其再吸收后对其进行评估。您应监测动物是否有全身</w:t>
      </w:r>
      <w:r>
        <w:rPr>
          <w:rFonts w:hint="eastAsia" w:ascii="Arial" w:hAnsi="Arial" w:eastAsia="宋体" w:cs="Arial"/>
          <w:snapToGrid w:val="0"/>
          <w:lang w:eastAsia="zh-CN"/>
        </w:rPr>
        <w:t>性</w:t>
      </w:r>
      <w:r>
        <w:rPr>
          <w:rFonts w:ascii="Arial" w:hAnsi="Arial" w:eastAsia="宋体" w:cs="Arial"/>
          <w:snapToGrid w:val="0"/>
          <w:lang w:eastAsia="zh-CN"/>
        </w:rPr>
        <w:t>毒性，及植入位置的局部影响。也应包含宏观病理学和组织病理学。</w:t>
      </w:r>
    </w:p>
    <w:p w14:paraId="35E3EB97">
      <w:pPr>
        <w:rPr>
          <w:rFonts w:ascii="Arial" w:hAnsi="Arial" w:eastAsia="宋体" w:cs="Arial"/>
          <w:snapToGrid w:val="0"/>
          <w:sz w:val="24"/>
          <w:szCs w:val="24"/>
          <w:lang w:eastAsia="zh-CN"/>
        </w:rPr>
      </w:pPr>
      <w:r>
        <w:rPr>
          <w:rFonts w:ascii="Arial" w:hAnsi="Arial" w:eastAsia="宋体" w:cs="Arial"/>
          <w:snapToGrid w:val="0"/>
          <w:lang w:eastAsia="zh-CN"/>
        </w:rPr>
        <w:br w:type="page"/>
      </w:r>
    </w:p>
    <w:p w14:paraId="03466BBD">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如果接触时间多于30天，我们也建议实施慢性毒性和致癌性研究（即2年大鼠植入）。</w:t>
      </w:r>
    </w:p>
    <w:p w14:paraId="440119DF">
      <w:pPr>
        <w:pStyle w:val="17"/>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lang w:eastAsia="zh-CN"/>
        </w:rPr>
      </w:pPr>
      <w:r>
        <w:rPr>
          <w:rFonts w:ascii="Arial" w:hAnsi="Arial" w:eastAsia="宋体" w:cs="Arial"/>
          <w:snapToGrid w:val="0"/>
          <w:u w:val="thick" w:color="000000"/>
          <w:lang w:eastAsia="zh-CN"/>
        </w:rPr>
        <w:t>防粘连产品的一般考虑</w:t>
      </w:r>
    </w:p>
    <w:p w14:paraId="64381DE1">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b/>
          <w:snapToGrid w:val="0"/>
          <w:lang w:eastAsia="zh-CN"/>
        </w:rPr>
        <w:t>安全边际</w:t>
      </w:r>
      <w:r>
        <w:rPr>
          <w:rFonts w:ascii="Arial" w:hAnsi="Arial" w:eastAsia="宋体" w:cs="Arial"/>
          <w:snapToGrid w:val="0"/>
          <w:lang w:eastAsia="zh-CN"/>
        </w:rPr>
        <w:t>--在所有生物相容性和</w:t>
      </w:r>
      <w:bookmarkStart w:id="19" w:name="OLE_LINK23"/>
      <w:r>
        <w:rPr>
          <w:rFonts w:ascii="Arial" w:hAnsi="Arial" w:eastAsia="宋体" w:cs="Arial"/>
          <w:snapToGrid w:val="0"/>
          <w:lang w:eastAsia="zh-CN"/>
        </w:rPr>
        <w:t>毒性测试</w:t>
      </w:r>
      <w:bookmarkEnd w:id="19"/>
      <w:r>
        <w:rPr>
          <w:rFonts w:ascii="Arial" w:hAnsi="Arial" w:eastAsia="宋体" w:cs="Arial"/>
          <w:snapToGrid w:val="0"/>
          <w:lang w:eastAsia="zh-CN"/>
        </w:rPr>
        <w:t>中，所用产品剂量应反映相比于提议人类用量的合理安全边际。通常，您应测试一系列的剂量，最高剂量应达到最大人类用量的10倍，如果安全边际比这更小，提供理由。如果人类用量多于动物中观察到的无不良影响浓度的1/10，提供理由。</w:t>
      </w:r>
    </w:p>
    <w:p w14:paraId="21CEC436">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b/>
          <w:snapToGrid w:val="0"/>
          <w:lang w:eastAsia="zh-CN"/>
        </w:rPr>
        <w:t>评估防粘连产品的生物相容性</w:t>
      </w:r>
      <w:r>
        <w:rPr>
          <w:rFonts w:ascii="Arial" w:hAnsi="Arial" w:eastAsia="宋体" w:cs="Arial"/>
          <w:snapToGrid w:val="0"/>
          <w:lang w:eastAsia="zh-CN"/>
        </w:rPr>
        <w:t>--评估防粘连产品生物相容性所需的试验不统一。对于一些材料，如果您提供充分理由，可能无需进行某些试验。对于</w:t>
      </w:r>
      <w:r>
        <w:rPr>
          <w:rFonts w:hint="eastAsia" w:ascii="Arial" w:hAnsi="Arial" w:eastAsia="宋体" w:cs="Arial"/>
          <w:snapToGrid w:val="0"/>
          <w:lang w:eastAsia="zh-CN"/>
        </w:rPr>
        <w:t>其他</w:t>
      </w:r>
      <w:r>
        <w:rPr>
          <w:rFonts w:ascii="Arial" w:hAnsi="Arial" w:eastAsia="宋体" w:cs="Arial"/>
          <w:snapToGrid w:val="0"/>
          <w:lang w:eastAsia="zh-CN"/>
        </w:rPr>
        <w:t>材料，由于材料本质可能需要进行额外的试验。</w:t>
      </w:r>
    </w:p>
    <w:p w14:paraId="38C2750D">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b/>
          <w:snapToGrid w:val="0"/>
          <w:lang w:eastAsia="zh-CN"/>
        </w:rPr>
        <w:t>临床前测试</w:t>
      </w:r>
      <w:r>
        <w:rPr>
          <w:rFonts w:ascii="Arial" w:hAnsi="Arial" w:eastAsia="宋体" w:cs="Arial"/>
          <w:snapToGrid w:val="0"/>
          <w:lang w:eastAsia="zh-CN"/>
        </w:rPr>
        <w:t>--在您提交IDE且产品用于临床前，应完成所有临床前测试，致癌性和生殖发育毒性测试可能例外。例外将取决于基因毒性测试结果；可能的生殖或发育影响；</w:t>
      </w:r>
      <w:r>
        <w:rPr>
          <w:rFonts w:hint="eastAsia" w:ascii="Arial" w:hAnsi="Arial" w:eastAsia="宋体" w:cs="Arial"/>
          <w:snapToGrid w:val="0"/>
          <w:lang w:eastAsia="zh-CN"/>
        </w:rPr>
        <w:t>以及</w:t>
      </w:r>
      <w:r>
        <w:rPr>
          <w:rFonts w:ascii="Arial" w:hAnsi="Arial" w:eastAsia="宋体" w:cs="Arial"/>
          <w:snapToGrid w:val="0"/>
          <w:lang w:eastAsia="zh-CN"/>
        </w:rPr>
        <w:t>器械的预期用途。知情同意书应披露任何待定的安全</w:t>
      </w:r>
      <w:r>
        <w:rPr>
          <w:rFonts w:hint="eastAsia" w:ascii="Arial" w:hAnsi="Arial" w:eastAsia="宋体" w:cs="Arial"/>
          <w:snapToGrid w:val="0"/>
          <w:lang w:eastAsia="zh-CN"/>
        </w:rPr>
        <w:t>性</w:t>
      </w:r>
      <w:r>
        <w:rPr>
          <w:rFonts w:ascii="Arial" w:hAnsi="Arial" w:eastAsia="宋体" w:cs="Arial"/>
          <w:snapToGrid w:val="0"/>
          <w:lang w:eastAsia="zh-CN"/>
        </w:rPr>
        <w:t>研究。如果预期用途是为提高生育能力，应在对患者使用防粘连产品前完成生殖毒理学测试。与本指南文件的</w:t>
      </w:r>
      <w:r>
        <w:rPr>
          <w:rFonts w:hint="eastAsia" w:ascii="Arial" w:hAnsi="Arial" w:eastAsia="宋体" w:cs="Arial"/>
          <w:snapToGrid w:val="0"/>
          <w:lang w:eastAsia="zh-CN"/>
        </w:rPr>
        <w:t>其他</w:t>
      </w:r>
      <w:r>
        <w:rPr>
          <w:rFonts w:ascii="Arial" w:hAnsi="Arial" w:eastAsia="宋体" w:cs="Arial"/>
          <w:snapToGrid w:val="0"/>
          <w:lang w:eastAsia="zh-CN"/>
        </w:rPr>
        <w:t>方面一样，您应向适当的</w:t>
      </w:r>
      <w:r>
        <w:rPr>
          <w:rFonts w:hint="eastAsia" w:ascii="Arial" w:hAnsi="Arial" w:eastAsia="宋体" w:cs="Arial"/>
          <w:snapToGrid w:val="0"/>
          <w:lang w:eastAsia="zh-CN"/>
        </w:rPr>
        <w:t>部门</w:t>
      </w:r>
      <w:r>
        <w:rPr>
          <w:rFonts w:ascii="Arial" w:hAnsi="Arial" w:eastAsia="宋体" w:cs="Arial"/>
          <w:snapToGrid w:val="0"/>
          <w:lang w:eastAsia="zh-CN"/>
        </w:rPr>
        <w:t>和</w:t>
      </w:r>
      <w:r>
        <w:rPr>
          <w:rFonts w:hint="eastAsia" w:ascii="Arial" w:hAnsi="Arial" w:eastAsia="宋体" w:cs="Arial"/>
          <w:snapToGrid w:val="0"/>
          <w:lang w:eastAsia="zh-CN"/>
        </w:rPr>
        <w:t>分部</w:t>
      </w:r>
      <w:r>
        <w:rPr>
          <w:rFonts w:ascii="Arial" w:hAnsi="Arial" w:eastAsia="宋体" w:cs="Arial"/>
          <w:snapToGrid w:val="0"/>
          <w:lang w:eastAsia="zh-CN"/>
        </w:rPr>
        <w:t>咨询具体问题。</w:t>
      </w:r>
    </w:p>
    <w:p w14:paraId="26AF50AB">
      <w:pPr>
        <w:pStyle w:val="17"/>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lang w:eastAsia="zh-CN"/>
        </w:rPr>
      </w:pPr>
      <w:r>
        <w:rPr>
          <w:rFonts w:ascii="Arial" w:hAnsi="Arial" w:eastAsia="宋体" w:cs="Arial"/>
          <w:snapToGrid w:val="0"/>
          <w:u w:val="thick" w:color="000000"/>
          <w:lang w:eastAsia="zh-CN"/>
        </w:rPr>
        <w:t>防粘连产品的特殊考虑</w:t>
      </w:r>
    </w:p>
    <w:p w14:paraId="02020557">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b/>
          <w:snapToGrid w:val="0"/>
          <w:lang w:eastAsia="zh-CN"/>
        </w:rPr>
        <w:t>愈合延迟或受阻测试</w:t>
      </w:r>
      <w:r>
        <w:rPr>
          <w:rFonts w:ascii="Arial" w:hAnsi="Arial" w:eastAsia="宋体" w:cs="Arial"/>
          <w:snapToGrid w:val="0"/>
          <w:lang w:eastAsia="zh-CN"/>
        </w:rPr>
        <w:t>--发炎和由纤维组织替换软组织是正常愈合过程的预期结果。减少粘连的形成也可能延迟或阻止愈合。应在动物研究中测试这一点。放在缝合线或吻合口的防粘连产品在缝线取出后不应减少组织维持</w:t>
      </w:r>
      <w:r>
        <w:rPr>
          <w:rFonts w:hint="eastAsia" w:ascii="Arial" w:hAnsi="Arial" w:eastAsia="宋体" w:cs="Arial"/>
          <w:snapToGrid w:val="0"/>
          <w:lang w:eastAsia="zh-CN"/>
        </w:rPr>
        <w:t>强度</w:t>
      </w:r>
      <w:r>
        <w:rPr>
          <w:rFonts w:ascii="Arial" w:hAnsi="Arial" w:eastAsia="宋体" w:cs="Arial"/>
          <w:snapToGrid w:val="0"/>
          <w:lang w:eastAsia="zh-CN"/>
        </w:rPr>
        <w:t>。</w:t>
      </w:r>
    </w:p>
    <w:p w14:paraId="17371F88">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b/>
          <w:snapToGrid w:val="0"/>
          <w:lang w:eastAsia="zh-CN"/>
        </w:rPr>
        <w:t>感染性测试</w:t>
      </w:r>
      <w:r>
        <w:rPr>
          <w:rFonts w:ascii="Arial" w:hAnsi="Arial" w:eastAsia="宋体" w:cs="Arial"/>
          <w:snapToGrid w:val="0"/>
          <w:lang w:eastAsia="zh-CN"/>
        </w:rPr>
        <w:t>—您应测试用细菌接种体挑战后脓毒症的恶化。可能导致这种恶化的原因有：细菌生长刺激，抑制抗生素扩散至感染部位，由器械导致的从手术部位进入体循环的感染生物体增长，或未知机制。您应在有或无防粘连产品情况下分别用混合肠道微生物挑战动物，并对死亡率和脓肿形成进行评分。</w:t>
      </w:r>
    </w:p>
    <w:p w14:paraId="58531BF9">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您实施的研究应采用适当样本量和设计以便在统计学上有效。</w:t>
      </w:r>
    </w:p>
    <w:p w14:paraId="699F1E49">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b/>
          <w:bCs/>
          <w:snapToGrid w:val="0"/>
          <w:lang w:eastAsia="zh-CN"/>
        </w:rPr>
        <w:t>生殖／毒理学研究</w:t>
      </w:r>
      <w:r>
        <w:rPr>
          <w:rFonts w:ascii="Arial" w:hAnsi="Arial" w:eastAsia="宋体" w:cs="Arial"/>
          <w:snapToGrid w:val="0"/>
          <w:lang w:eastAsia="zh-CN"/>
        </w:rPr>
        <w:t>–您应对两个物种实施生殖／发育（畸形学）毒理学研究并评价器械对排卵／精子形成、怀孕的可能影响、胚胎毒性和畸形学影响。您设计的生殖／发育毒性研究应使基于产品ADME的最大用量（见</w:t>
      </w:r>
      <w:r>
        <w:rPr>
          <w:rFonts w:hint="eastAsia" w:ascii="Arial" w:hAnsi="Arial" w:eastAsia="宋体" w:cs="Arial"/>
          <w:snapToGrid w:val="0"/>
          <w:lang w:eastAsia="zh-CN"/>
        </w:rPr>
        <w:t>下文</w:t>
      </w:r>
      <w:r>
        <w:rPr>
          <w:rFonts w:ascii="Arial" w:hAnsi="Arial" w:eastAsia="宋体" w:cs="Arial"/>
          <w:snapToGrid w:val="0"/>
          <w:lang w:eastAsia="zh-CN"/>
        </w:rPr>
        <w:t>的药代动力学）发生在利益相关时间（排卵／怀孕，妊娠早期和晚期）。</w:t>
      </w:r>
    </w:p>
    <w:p w14:paraId="5482BFF3">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b/>
          <w:snapToGrid w:val="0"/>
          <w:lang w:eastAsia="zh-CN"/>
        </w:rPr>
        <w:t>致癌作用／转移影响--</w:t>
      </w:r>
      <w:r>
        <w:rPr>
          <w:rFonts w:ascii="Arial" w:hAnsi="Arial" w:eastAsia="宋体" w:cs="Arial"/>
          <w:snapToGrid w:val="0"/>
          <w:lang w:eastAsia="zh-CN"/>
        </w:rPr>
        <w:t>器械材料可能对恶性肿瘤增长和／或转移有局部或全身影响。FDA认为如果防粘连产品的部件没有经证实的腹部和骨盆植入史，或如果有理由怀疑其中一种材料组成可能引起恶性细胞生长或转移，则需进行特殊测试。如果器械预期用于癌症患者，则完成临床前测试后应进行肿瘤学试验。否则，应禁止器械用于已知或疑似患有恶性肿瘤的患者。</w:t>
      </w:r>
    </w:p>
    <w:p w14:paraId="4E74869D">
      <w:pPr>
        <w:pStyle w:val="17"/>
        <w:numPr>
          <w:ilvl w:val="0"/>
          <w:numId w:val="6"/>
        </w:numPr>
        <w:tabs>
          <w:tab w:val="left" w:pos="755"/>
          <w:tab w:val="left" w:pos="1029"/>
        </w:tabs>
        <w:topLinePunct/>
        <w:adjustRightInd w:val="0"/>
        <w:snapToGrid w:val="0"/>
        <w:spacing w:after="224" w:afterLines="75" w:line="288" w:lineRule="auto"/>
        <w:ind w:left="785" w:leftChars="193"/>
        <w:jc w:val="both"/>
        <w:outlineLvl w:val="9"/>
        <w:rPr>
          <w:rFonts w:ascii="Arial" w:hAnsi="Arial" w:eastAsia="宋体" w:cs="Arial"/>
          <w:b w:val="0"/>
          <w:bCs w:val="0"/>
          <w:snapToGrid w:val="0"/>
        </w:rPr>
      </w:pPr>
      <w:r>
        <w:rPr>
          <w:rFonts w:ascii="Arial" w:hAnsi="Arial" w:eastAsia="宋体" w:cs="Arial"/>
          <w:snapToGrid w:val="0"/>
          <w:u w:val="thick" w:color="000000"/>
          <w:lang w:eastAsia="zh-CN"/>
        </w:rPr>
        <w:t>药代动力学研究</w:t>
      </w:r>
    </w:p>
    <w:p w14:paraId="6CA05819">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您应实施药代动力学研究以确定产品的吸收、分布、代谢与排泄（ADME）途径、机制和排泄时间线。如果产品被代谢为或通过</w:t>
      </w:r>
      <w:r>
        <w:rPr>
          <w:rFonts w:hint="eastAsia" w:ascii="Arial" w:hAnsi="Arial" w:eastAsia="宋体" w:cs="Arial"/>
          <w:snapToGrid w:val="0"/>
          <w:lang w:eastAsia="zh-CN"/>
        </w:rPr>
        <w:t>其他</w:t>
      </w:r>
      <w:r>
        <w:rPr>
          <w:rFonts w:ascii="Arial" w:hAnsi="Arial" w:eastAsia="宋体" w:cs="Arial"/>
          <w:snapToGrid w:val="0"/>
          <w:lang w:eastAsia="zh-CN"/>
        </w:rPr>
        <w:t>方式转化为可能导致毒性的分子实体，则药代动力学研究应解决每个有毒成分随时间的命运。研究应持续至不能检测到产品的时间点。研究应明确解决在化学部分确定的任何</w:t>
      </w:r>
      <w:r>
        <w:rPr>
          <w:rFonts w:hint="eastAsia" w:ascii="Arial" w:hAnsi="Arial" w:eastAsia="宋体" w:cs="Arial"/>
          <w:snapToGrid w:val="0"/>
          <w:lang w:eastAsia="zh-CN"/>
        </w:rPr>
        <w:t>毒性成分的结果</w:t>
      </w:r>
      <w:r>
        <w:rPr>
          <w:rFonts w:ascii="Arial" w:hAnsi="Arial" w:eastAsia="宋体" w:cs="Arial"/>
          <w:snapToGrid w:val="0"/>
          <w:lang w:eastAsia="zh-CN"/>
        </w:rPr>
        <w:t>。在对人</w:t>
      </w:r>
      <w:r>
        <w:rPr>
          <w:rFonts w:hint="eastAsia" w:ascii="Arial" w:hAnsi="Arial" w:eastAsia="宋体" w:cs="Arial"/>
          <w:snapToGrid w:val="0"/>
          <w:lang w:eastAsia="zh-CN"/>
        </w:rPr>
        <w:t>类</w:t>
      </w:r>
      <w:r>
        <w:rPr>
          <w:rFonts w:ascii="Arial" w:hAnsi="Arial" w:eastAsia="宋体" w:cs="Arial"/>
          <w:snapToGrid w:val="0"/>
          <w:lang w:eastAsia="zh-CN"/>
        </w:rPr>
        <w:t>进行器械测试前，药代动力学或</w:t>
      </w:r>
      <w:r>
        <w:rPr>
          <w:rFonts w:hint="eastAsia" w:ascii="Arial" w:hAnsi="Arial" w:eastAsia="宋体" w:cs="Arial"/>
          <w:snapToGrid w:val="0"/>
          <w:lang w:eastAsia="zh-CN"/>
        </w:rPr>
        <w:t>其他</w:t>
      </w:r>
      <w:r>
        <w:rPr>
          <w:rFonts w:ascii="Arial" w:hAnsi="Arial" w:eastAsia="宋体" w:cs="Arial"/>
          <w:snapToGrid w:val="0"/>
          <w:lang w:eastAsia="zh-CN"/>
        </w:rPr>
        <w:t>数据应证明任何潜在毒素不会造成安全问题。</w:t>
      </w:r>
    </w:p>
    <w:p w14:paraId="79A20CCD">
      <w:pPr>
        <w:pStyle w:val="17"/>
        <w:numPr>
          <w:ilvl w:val="0"/>
          <w:numId w:val="6"/>
        </w:numPr>
        <w:tabs>
          <w:tab w:val="left" w:pos="752"/>
          <w:tab w:val="left" w:pos="1009"/>
        </w:tabs>
        <w:topLinePunct/>
        <w:adjustRightInd w:val="0"/>
        <w:snapToGrid w:val="0"/>
        <w:spacing w:after="224" w:afterLines="75" w:line="288" w:lineRule="auto"/>
        <w:ind w:left="785" w:leftChars="193"/>
        <w:jc w:val="both"/>
        <w:outlineLvl w:val="9"/>
        <w:rPr>
          <w:rFonts w:ascii="Arial" w:hAnsi="Arial" w:eastAsia="宋体" w:cs="Arial"/>
          <w:b w:val="0"/>
          <w:bCs w:val="0"/>
          <w:snapToGrid w:val="0"/>
        </w:rPr>
      </w:pPr>
      <w:r>
        <w:rPr>
          <w:rFonts w:ascii="Arial" w:hAnsi="Arial" w:eastAsia="宋体" w:cs="Arial"/>
          <w:snapToGrid w:val="0"/>
          <w:u w:val="thick" w:color="000000"/>
          <w:lang w:eastAsia="zh-CN"/>
        </w:rPr>
        <w:t>有效性研究</w:t>
      </w:r>
    </w:p>
    <w:p w14:paraId="0F0FAC37">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您应在适当的动物模型内实施有效性研究以提供</w:t>
      </w:r>
      <w:r>
        <w:rPr>
          <w:rFonts w:ascii="宋体" w:hAnsi="宋体" w:eastAsia="宋体" w:cs="Arial"/>
          <w:snapToGrid w:val="0"/>
          <w:lang w:eastAsia="zh-CN"/>
        </w:rPr>
        <w:t>“</w:t>
      </w:r>
      <w:r>
        <w:rPr>
          <w:rFonts w:ascii="Arial" w:hAnsi="Arial" w:eastAsia="宋体" w:cs="Arial"/>
          <w:snapToGrid w:val="0"/>
          <w:lang w:eastAsia="zh-CN"/>
        </w:rPr>
        <w:t>概念验证</w:t>
      </w:r>
      <w:r>
        <w:rPr>
          <w:rFonts w:ascii="宋体" w:hAnsi="宋体" w:eastAsia="宋体" w:cs="Arial"/>
          <w:snapToGrid w:val="0"/>
          <w:lang w:eastAsia="zh-CN"/>
        </w:rPr>
        <w:t>”</w:t>
      </w:r>
      <w:r>
        <w:rPr>
          <w:rFonts w:ascii="Arial" w:hAnsi="Arial" w:eastAsia="宋体" w:cs="Arial"/>
          <w:snapToGrid w:val="0"/>
          <w:lang w:eastAsia="zh-CN"/>
        </w:rPr>
        <w:t>，即这些研究应表明在人</w:t>
      </w:r>
      <w:r>
        <w:rPr>
          <w:rFonts w:hint="eastAsia" w:ascii="Arial" w:hAnsi="Arial" w:eastAsia="宋体" w:cs="Arial"/>
          <w:snapToGrid w:val="0"/>
          <w:lang w:eastAsia="zh-CN"/>
        </w:rPr>
        <w:t>类体内</w:t>
      </w:r>
      <w:r>
        <w:rPr>
          <w:rFonts w:ascii="Arial" w:hAnsi="Arial" w:eastAsia="宋体" w:cs="Arial"/>
          <w:snapToGrid w:val="0"/>
          <w:lang w:eastAsia="zh-CN"/>
        </w:rPr>
        <w:t>发挥功效是有合理前提的。动物研究也可能暗示供临床研究遵守的更好设计。只要可能，这些研究应代表</w:t>
      </w:r>
      <w:r>
        <w:rPr>
          <w:rFonts w:hint="eastAsia" w:ascii="Arial" w:hAnsi="Arial" w:eastAsia="宋体" w:cs="Arial"/>
          <w:snapToGrid w:val="0"/>
          <w:lang w:eastAsia="zh-CN"/>
        </w:rPr>
        <w:t>人类</w:t>
      </w:r>
      <w:r>
        <w:rPr>
          <w:rFonts w:ascii="Arial" w:hAnsi="Arial" w:eastAsia="宋体" w:cs="Arial"/>
          <w:snapToGrid w:val="0"/>
          <w:lang w:eastAsia="zh-CN"/>
        </w:rPr>
        <w:t>研究中将使用的手术入路（开腹手术对比腹腔镜手术），具体的手术部位（例如在内脏和体壁之间，围绕直肠）</w:t>
      </w:r>
      <w:r>
        <w:rPr>
          <w:rFonts w:hint="eastAsia" w:ascii="Arial" w:hAnsi="Arial" w:eastAsia="宋体" w:cs="Arial"/>
          <w:snapToGrid w:val="0"/>
          <w:lang w:eastAsia="zh-CN"/>
        </w:rPr>
        <w:t>、</w:t>
      </w:r>
      <w:r>
        <w:rPr>
          <w:rFonts w:ascii="Arial" w:hAnsi="Arial" w:eastAsia="宋体" w:cs="Arial"/>
          <w:snapToGrid w:val="0"/>
          <w:lang w:eastAsia="zh-CN"/>
        </w:rPr>
        <w:t>粘连类型（例如新粘连形成对比现有粘连重新形成）</w:t>
      </w:r>
      <w:r>
        <w:rPr>
          <w:rFonts w:hint="eastAsia" w:ascii="Arial" w:hAnsi="Arial" w:eastAsia="宋体" w:cs="Arial"/>
          <w:snapToGrid w:val="0"/>
          <w:lang w:eastAsia="zh-CN"/>
        </w:rPr>
        <w:t>、</w:t>
      </w:r>
      <w:r>
        <w:rPr>
          <w:rFonts w:ascii="Arial" w:hAnsi="Arial" w:eastAsia="宋体" w:cs="Arial"/>
          <w:snapToGrid w:val="0"/>
          <w:lang w:eastAsia="zh-CN"/>
        </w:rPr>
        <w:t>粘连评价方法（例如分数、发生率、范围、严重性）和施加方法。</w:t>
      </w:r>
    </w:p>
    <w:p w14:paraId="11CA8B88">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也应精心设计这些研究并进行对照以显示产品治疗组和对照组的统计显著差异。您应</w:t>
      </w:r>
      <w:r>
        <w:rPr>
          <w:rFonts w:hint="eastAsia" w:ascii="Arial" w:hAnsi="Arial" w:eastAsia="宋体" w:cs="Arial"/>
          <w:snapToGrid w:val="0"/>
          <w:lang w:eastAsia="zh-CN"/>
        </w:rPr>
        <w:t>将</w:t>
      </w:r>
      <w:r>
        <w:rPr>
          <w:rFonts w:ascii="Arial" w:hAnsi="Arial" w:eastAsia="宋体" w:cs="Arial"/>
          <w:snapToGrid w:val="0"/>
          <w:lang w:eastAsia="zh-CN"/>
        </w:rPr>
        <w:t>产品剂量与提议人类用量进行比较。您也应包含所用动物模型原理的简要讨论和局限性。</w:t>
      </w:r>
    </w:p>
    <w:p w14:paraId="30B9B414">
      <w:pPr>
        <w:rPr>
          <w:rFonts w:ascii="Arial" w:hAnsi="Arial" w:eastAsia="宋体" w:cs="Arial"/>
          <w:b/>
          <w:bCs/>
          <w:snapToGrid w:val="0"/>
          <w:sz w:val="24"/>
          <w:szCs w:val="24"/>
          <w:lang w:eastAsia="zh-CN"/>
        </w:rPr>
      </w:pPr>
      <w:r>
        <w:rPr>
          <w:rFonts w:ascii="Arial" w:hAnsi="Arial" w:eastAsia="宋体" w:cs="Arial"/>
          <w:snapToGrid w:val="0"/>
          <w:lang w:eastAsia="zh-CN"/>
        </w:rPr>
        <w:br w:type="page"/>
      </w:r>
    </w:p>
    <w:p w14:paraId="6653E4E0">
      <w:pPr>
        <w:pStyle w:val="17"/>
        <w:numPr>
          <w:ilvl w:val="0"/>
          <w:numId w:val="5"/>
        </w:numPr>
        <w:tabs>
          <w:tab w:val="left" w:pos="426"/>
          <w:tab w:val="left" w:pos="46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物理和</w:t>
      </w:r>
      <w:r>
        <w:rPr>
          <w:rFonts w:hint="eastAsia" w:ascii="Arial" w:hAnsi="Arial" w:eastAsia="宋体" w:cs="Arial"/>
          <w:snapToGrid w:val="0"/>
          <w:lang w:eastAsia="zh-CN"/>
        </w:rPr>
        <w:t>机械试验</w:t>
      </w:r>
    </w:p>
    <w:p w14:paraId="0CEBD8DC">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您应实施产品的物理／力学性质</w:t>
      </w:r>
      <w:r>
        <w:rPr>
          <w:rFonts w:hint="eastAsia" w:ascii="Arial" w:hAnsi="Arial" w:eastAsia="宋体" w:cs="Arial"/>
          <w:snapToGrid w:val="0"/>
          <w:lang w:eastAsia="zh-CN"/>
        </w:rPr>
        <w:t>台架试验</w:t>
      </w:r>
      <w:r>
        <w:rPr>
          <w:rFonts w:ascii="Arial" w:hAnsi="Arial" w:eastAsia="宋体" w:cs="Arial"/>
          <w:snapToGrid w:val="0"/>
          <w:lang w:eastAsia="zh-CN"/>
        </w:rPr>
        <w:t>并在IDE申请中提交该信息。应描绘器械的关键物理性质。实际</w:t>
      </w:r>
      <w:r>
        <w:rPr>
          <w:rFonts w:hint="eastAsia" w:ascii="Arial" w:hAnsi="Arial" w:eastAsia="宋体" w:cs="Arial"/>
          <w:snapToGrid w:val="0"/>
          <w:lang w:eastAsia="zh-CN"/>
        </w:rPr>
        <w:t>试验</w:t>
      </w:r>
      <w:r>
        <w:rPr>
          <w:rFonts w:ascii="Arial" w:hAnsi="Arial" w:eastAsia="宋体" w:cs="Arial"/>
          <w:snapToGrid w:val="0"/>
          <w:lang w:eastAsia="zh-CN"/>
        </w:rPr>
        <w:t>将取决于器械本质。可分别用撕裂强度、粘聚性或粘度描绘固体、凝胶和液体防粘连产品。应至少使用一种物理参数作为产品发行规格。</w:t>
      </w:r>
    </w:p>
    <w:p w14:paraId="4A9B412A">
      <w:pPr>
        <w:pStyle w:val="17"/>
        <w:numPr>
          <w:ilvl w:val="0"/>
          <w:numId w:val="5"/>
        </w:numPr>
        <w:tabs>
          <w:tab w:val="left" w:pos="426"/>
          <w:tab w:val="left" w:pos="46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制造</w:t>
      </w:r>
    </w:p>
    <w:p w14:paraId="1BF18B2E">
      <w:pPr>
        <w:pStyle w:val="17"/>
        <w:numPr>
          <w:ilvl w:val="1"/>
          <w:numId w:val="5"/>
        </w:numPr>
        <w:tabs>
          <w:tab w:val="left" w:pos="772"/>
          <w:tab w:val="left" w:pos="1029"/>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产品表征</w:t>
      </w:r>
    </w:p>
    <w:p w14:paraId="5C9772C4">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关于产品构成和结构的信息对于精确定义器械是否受临床前和临床测试约束很关键。因此，您应包含器械的完整描述，包括产品的外形尺寸、材料和性质。类似上面</w:t>
      </w:r>
      <w:r>
        <w:rPr>
          <w:rFonts w:ascii="Arial" w:hAnsi="Arial" w:eastAsia="宋体" w:cs="Arial"/>
          <w:b/>
          <w:snapToGrid w:val="0"/>
          <w:lang w:eastAsia="zh-CN"/>
        </w:rPr>
        <w:t>化学</w:t>
      </w:r>
      <w:r>
        <w:rPr>
          <w:rFonts w:ascii="Arial" w:hAnsi="Arial" w:eastAsia="宋体" w:cs="Arial"/>
          <w:snapToGrid w:val="0"/>
          <w:lang w:eastAsia="zh-CN"/>
        </w:rPr>
        <w:t>部分所讨论信息的信息（即试剂来源、纯度、分析证书和／或MSDS）可能有助于确定最终产品规格。</w:t>
      </w:r>
    </w:p>
    <w:p w14:paraId="2920D67E">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您应确定每个制造、加工和包装步骤并用流程图呈现这些步骤。附属文本应指出每个步骤的目的，每个步骤所用部件和材料及所用的质量控制程序和设施。</w:t>
      </w:r>
    </w:p>
    <w:p w14:paraId="5731E975">
      <w:pPr>
        <w:pStyle w:val="17"/>
        <w:numPr>
          <w:ilvl w:val="1"/>
          <w:numId w:val="5"/>
        </w:numPr>
        <w:tabs>
          <w:tab w:val="left" w:pos="775"/>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最终产品规格</w:t>
      </w:r>
    </w:p>
    <w:p w14:paraId="48AD7C74">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您应提供关于所有中间体和最终产品测试的信息并确定产品发行规格、试验方法、抽样计划（包括大批次或小批次定义）和验收质量标准。</w:t>
      </w:r>
    </w:p>
    <w:p w14:paraId="7865D5B7">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您选择的最终产品发行规格应确保产品将安全有效运行。您应提供所选规格的原理。最终产品发行规格包括：</w:t>
      </w:r>
    </w:p>
    <w:p w14:paraId="0F31A886">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器械尺寸</w:t>
      </w:r>
    </w:p>
    <w:p w14:paraId="798C088F">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所选部件</w:t>
      </w:r>
      <w:r>
        <w:rPr>
          <w:rFonts w:hint="eastAsia" w:ascii="Arial" w:hAnsi="Arial" w:eastAsia="宋体" w:cs="Arial"/>
          <w:snapToGrid w:val="0"/>
          <w:lang w:eastAsia="zh-CN"/>
        </w:rPr>
        <w:t>组</w:t>
      </w:r>
      <w:r>
        <w:rPr>
          <w:rFonts w:ascii="Arial" w:hAnsi="Arial" w:eastAsia="宋体" w:cs="Arial"/>
          <w:snapToGrid w:val="0"/>
          <w:lang w:eastAsia="zh-CN"/>
        </w:rPr>
        <w:t>分</w:t>
      </w:r>
    </w:p>
    <w:p w14:paraId="66A058A0">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hint="eastAsia" w:ascii="Arial" w:hAnsi="Arial" w:eastAsia="宋体" w:cs="Arial"/>
          <w:snapToGrid w:val="0"/>
          <w:lang w:eastAsia="zh-CN"/>
        </w:rPr>
        <w:t>机械性能</w:t>
      </w:r>
    </w:p>
    <w:p w14:paraId="6E28B494">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生产试剂残留量</w:t>
      </w:r>
    </w:p>
    <w:p w14:paraId="74536B74">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重金属残留量</w:t>
      </w:r>
    </w:p>
    <w:p w14:paraId="6F86DE9F">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热原质水平</w:t>
      </w:r>
    </w:p>
    <w:p w14:paraId="60F7A064">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无菌性。</w:t>
      </w:r>
    </w:p>
    <w:p w14:paraId="2759E173">
      <w:pPr>
        <w:pStyle w:val="17"/>
        <w:numPr>
          <w:ilvl w:val="1"/>
          <w:numId w:val="5"/>
        </w:numPr>
        <w:tabs>
          <w:tab w:val="left" w:pos="752"/>
          <w:tab w:val="left" w:pos="1009"/>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rPr>
        <w:br w:type="page"/>
      </w:r>
      <w:r>
        <w:rPr>
          <w:rFonts w:ascii="Arial" w:hAnsi="Arial" w:eastAsia="宋体" w:cs="Arial"/>
          <w:snapToGrid w:val="0"/>
          <w:u w:val="thick" w:color="000000"/>
          <w:lang w:eastAsia="zh-CN"/>
        </w:rPr>
        <w:t>产品</w:t>
      </w:r>
      <w:r>
        <w:rPr>
          <w:rFonts w:hint="eastAsia" w:ascii="Arial" w:hAnsi="Arial" w:eastAsia="宋体" w:cs="Arial"/>
          <w:snapToGrid w:val="0"/>
          <w:u w:val="thick" w:color="000000"/>
          <w:lang w:eastAsia="zh-CN"/>
        </w:rPr>
        <w:t>有效期</w:t>
      </w:r>
    </w:p>
    <w:p w14:paraId="1B9FB177">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您应提交支持产品</w:t>
      </w:r>
      <w:r>
        <w:rPr>
          <w:rFonts w:hint="eastAsia" w:ascii="Arial" w:hAnsi="Arial" w:eastAsia="宋体" w:cs="Arial"/>
          <w:snapToGrid w:val="0"/>
          <w:lang w:eastAsia="zh-CN"/>
        </w:rPr>
        <w:t>有效期</w:t>
      </w:r>
      <w:r>
        <w:rPr>
          <w:rFonts w:ascii="Arial" w:hAnsi="Arial" w:eastAsia="宋体" w:cs="Arial"/>
          <w:snapToGrid w:val="0"/>
          <w:lang w:eastAsia="zh-CN"/>
        </w:rPr>
        <w:t>的数据。稳定性研究应监测确保器械在其整个有效期内安全有效运行所需的器械关键参数（如上面最终产品规格（V. B.）的描述）。您应提供所选试验的依据。研究也应通过无菌检验或包装完整性测试证明在器械有效期内可保持无菌性。</w:t>
      </w:r>
    </w:p>
    <w:p w14:paraId="6AE9DA3C">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您应从至少三个连续产品小批次收集用于</w:t>
      </w:r>
      <w:r>
        <w:rPr>
          <w:rFonts w:hint="eastAsia" w:ascii="Arial" w:hAnsi="Arial" w:eastAsia="宋体" w:cs="Arial"/>
          <w:snapToGrid w:val="0"/>
          <w:lang w:eastAsia="zh-CN"/>
        </w:rPr>
        <w:t>货架期</w:t>
      </w:r>
      <w:r>
        <w:rPr>
          <w:rFonts w:ascii="Arial" w:hAnsi="Arial" w:eastAsia="宋体" w:cs="Arial"/>
          <w:snapToGrid w:val="0"/>
          <w:lang w:eastAsia="zh-CN"/>
        </w:rPr>
        <w:t>测试的器械；来自每个产品小批次的器械应均匀分布在用于各种试验的器械小组。数据所支持的到期日应确保所选参数在到期日验收极限内的可能性至少为95%。</w:t>
      </w:r>
    </w:p>
    <w:p w14:paraId="66C66408">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当采用加速老化研究支持有效期时，您应提供加速</w:t>
      </w:r>
      <w:r>
        <w:rPr>
          <w:rFonts w:hint="eastAsia" w:ascii="Arial" w:hAnsi="Arial" w:eastAsia="宋体" w:cs="Arial"/>
          <w:snapToGrid w:val="0"/>
          <w:lang w:eastAsia="zh-CN"/>
        </w:rPr>
        <w:t>应力</w:t>
      </w:r>
      <w:r>
        <w:rPr>
          <w:rFonts w:ascii="Arial" w:hAnsi="Arial" w:eastAsia="宋体" w:cs="Arial"/>
          <w:snapToGrid w:val="0"/>
          <w:lang w:eastAsia="zh-CN"/>
        </w:rPr>
        <w:t>条件的依据。例如，分解机理可证明标准温度和高温的等同性，即随着温度变化，阿伦纽斯曲线的斜率是恒定的。在不能证明等同性的情况下例如不同温度时器械故障的机理不同，您应提交额外的依据。</w:t>
      </w:r>
    </w:p>
    <w:p w14:paraId="7F8130C3">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您应该用实时试验数据核实加速研究结果。</w:t>
      </w:r>
    </w:p>
    <w:p w14:paraId="3C405B2B">
      <w:pPr>
        <w:pStyle w:val="17"/>
        <w:numPr>
          <w:ilvl w:val="1"/>
          <w:numId w:val="5"/>
        </w:numPr>
        <w:tabs>
          <w:tab w:val="left" w:pos="77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器械涂药器</w:t>
      </w:r>
    </w:p>
    <w:p w14:paraId="45CA9A76">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如果使用器械涂药器涂抹器械，您应包含涂药器的设计、功能和性能描述。如果涂药器</w:t>
      </w:r>
      <w:r>
        <w:rPr>
          <w:rFonts w:hint="eastAsia" w:ascii="Arial" w:hAnsi="Arial" w:eastAsia="宋体" w:cs="Arial"/>
          <w:snapToGrid w:val="0"/>
          <w:lang w:eastAsia="zh-CN"/>
        </w:rPr>
        <w:t>获得</w:t>
      </w:r>
      <w:r>
        <w:rPr>
          <w:rFonts w:ascii="Arial" w:hAnsi="Arial" w:eastAsia="宋体" w:cs="Arial"/>
          <w:snapToGrid w:val="0"/>
          <w:lang w:eastAsia="zh-CN"/>
        </w:rPr>
        <w:t>510（k）批准，只需提供带有510（k）鉴定的简要说明。</w:t>
      </w:r>
    </w:p>
    <w:p w14:paraId="4397D20F">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如果涂药器为您的防粘连产品专门提供和设计，但未</w:t>
      </w:r>
      <w:r>
        <w:rPr>
          <w:rFonts w:hint="eastAsia" w:ascii="Arial" w:hAnsi="Arial" w:eastAsia="宋体" w:cs="Arial"/>
          <w:snapToGrid w:val="0"/>
          <w:lang w:eastAsia="zh-CN"/>
        </w:rPr>
        <w:t>获得</w:t>
      </w:r>
      <w:r>
        <w:rPr>
          <w:rFonts w:ascii="Arial" w:hAnsi="Arial" w:eastAsia="宋体" w:cs="Arial"/>
          <w:snapToGrid w:val="0"/>
          <w:lang w:eastAsia="zh-CN"/>
        </w:rPr>
        <w:t>510（k）批准，那么需要更完整的描述。如果涂药器可重复使用，见指导性文件</w:t>
      </w:r>
      <w:r>
        <w:rPr>
          <w:rFonts w:ascii="宋体" w:hAnsi="宋体" w:eastAsia="宋体" w:cs="Arial"/>
          <w:snapToGrid w:val="0"/>
          <w:lang w:eastAsia="zh-CN"/>
        </w:rPr>
        <w:t>“</w:t>
      </w:r>
      <w:r>
        <w:rPr>
          <w:rFonts w:ascii="Arial" w:hAnsi="Arial" w:eastAsia="宋体" w:cs="Arial"/>
          <w:snapToGrid w:val="0"/>
          <w:lang w:eastAsia="zh-CN"/>
        </w:rPr>
        <w:t>卫生保健设施内可重复使用医疗器械再处理的标签：FDA评审员指南</w:t>
      </w:r>
      <w:r>
        <w:rPr>
          <w:rFonts w:ascii="宋体" w:hAnsi="宋体" w:eastAsia="宋体" w:cs="Arial"/>
          <w:snapToGrid w:val="0"/>
          <w:lang w:eastAsia="zh-CN"/>
        </w:rPr>
        <w:t>”</w:t>
      </w:r>
      <w:r>
        <w:rPr>
          <w:rFonts w:ascii="Arial" w:hAnsi="Arial" w:eastAsia="宋体" w:cs="Arial"/>
          <w:snapToGrid w:val="0"/>
          <w:lang w:eastAsia="zh-CN"/>
        </w:rPr>
        <w:t>（1996年4月），</w:t>
      </w:r>
      <w:r>
        <w:fldChar w:fldCharType="begin"/>
      </w:r>
      <w:r>
        <w:instrText xml:space="preserve"> HYPERLINK "http://www.fda.gov/cdrh/ode/198.pdf。" </w:instrText>
      </w:r>
      <w:r>
        <w:fldChar w:fldCharType="separate"/>
      </w:r>
      <w:r>
        <w:rPr>
          <w:rStyle w:val="10"/>
          <w:rFonts w:ascii="Arial" w:hAnsi="Arial" w:eastAsia="宋体" w:cs="Arial"/>
          <w:snapToGrid w:val="0"/>
          <w:u w:color="0000FF"/>
          <w:lang w:eastAsia="zh-CN"/>
        </w:rPr>
        <w:t>http://www.fda.gov/cdrh/ode/198.pdf</w:t>
      </w:r>
      <w:r>
        <w:rPr>
          <w:rStyle w:val="10"/>
          <w:rFonts w:ascii="Arial" w:hAnsi="Arial" w:eastAsia="宋体" w:cs="Arial"/>
          <w:snapToGrid w:val="0"/>
          <w:lang w:eastAsia="zh-CN"/>
        </w:rPr>
        <w:t>。</w:t>
      </w:r>
      <w:r>
        <w:rPr>
          <w:rStyle w:val="10"/>
          <w:rFonts w:ascii="Arial" w:hAnsi="Arial" w:eastAsia="宋体" w:cs="Arial"/>
          <w:snapToGrid w:val="0"/>
          <w:lang w:eastAsia="zh-CN"/>
        </w:rPr>
        <w:fldChar w:fldCharType="end"/>
      </w:r>
      <w:r>
        <w:rPr>
          <w:rStyle w:val="10"/>
          <w:rFonts w:ascii="Arial" w:hAnsi="Arial" w:eastAsia="宋体" w:cs="Arial"/>
          <w:snapToGrid w:val="0"/>
          <w:color w:val="auto"/>
          <w:u w:val="none"/>
          <w:lang w:eastAsia="zh-CN"/>
        </w:rPr>
        <w:t>您也可以从国际与消费者协助小型制造商服务组（</w:t>
      </w:r>
      <w:r>
        <w:rPr>
          <w:rFonts w:ascii="Arial" w:hAnsi="Arial" w:eastAsia="宋体" w:cs="Arial"/>
          <w:snapToGrid w:val="0"/>
          <w:lang w:eastAsia="zh-CN"/>
        </w:rPr>
        <w:t>DSMICA</w:t>
      </w:r>
      <w:r>
        <w:rPr>
          <w:rStyle w:val="10"/>
          <w:rFonts w:ascii="Arial" w:hAnsi="Arial" w:eastAsia="宋体" w:cs="Arial"/>
          <w:snapToGrid w:val="0"/>
          <w:color w:val="auto"/>
          <w:u w:val="none"/>
          <w:lang w:eastAsia="zh-CN"/>
        </w:rPr>
        <w:t>）</w:t>
      </w:r>
      <w:r>
        <w:rPr>
          <w:rFonts w:ascii="Arial" w:hAnsi="Arial" w:eastAsia="宋体" w:cs="Arial"/>
          <w:snapToGrid w:val="0"/>
          <w:lang w:eastAsia="zh-CN"/>
        </w:rPr>
        <w:t>获得本指南。</w:t>
      </w:r>
    </w:p>
    <w:p w14:paraId="5550A094">
      <w:pPr>
        <w:pStyle w:val="17"/>
        <w:numPr>
          <w:ilvl w:val="1"/>
          <w:numId w:val="5"/>
        </w:numPr>
        <w:tabs>
          <w:tab w:val="left" w:pos="738"/>
          <w:tab w:val="left" w:pos="1009"/>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灭菌</w:t>
      </w:r>
    </w:p>
    <w:p w14:paraId="79705ECB">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您应包含关于产品灭菌的以下信息：</w:t>
      </w:r>
    </w:p>
    <w:p w14:paraId="1F8FE167">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灭菌方法（例如，环氧乙烷、辐照）</w:t>
      </w:r>
    </w:p>
    <w:p w14:paraId="08C3A10F">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rPr>
      </w:pPr>
      <w:r>
        <w:rPr>
          <w:rFonts w:ascii="Arial" w:hAnsi="Arial" w:eastAsia="宋体" w:cs="Arial"/>
          <w:snapToGrid w:val="0"/>
          <w:lang w:eastAsia="zh-CN"/>
        </w:rPr>
        <w:t>灭菌周期的确认方法</w:t>
      </w:r>
    </w:p>
    <w:p w14:paraId="2BB62ADA">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rPr>
      </w:pPr>
      <w:r>
        <w:rPr>
          <w:rFonts w:ascii="Arial" w:hAnsi="Arial" w:eastAsia="宋体" w:cs="Arial"/>
          <w:snapToGrid w:val="0"/>
          <w:lang w:eastAsia="zh-CN"/>
        </w:rPr>
        <w:t>达到的无菌保证水平（SAL）（通常，所有无菌器械需要10</w:t>
      </w:r>
      <w:r>
        <w:rPr>
          <w:rFonts w:ascii="Arial" w:hAnsi="Arial" w:eastAsia="宋体" w:cs="Arial"/>
          <w:snapToGrid w:val="0"/>
          <w:vertAlign w:val="superscript"/>
          <w:lang w:eastAsia="zh-CN"/>
        </w:rPr>
        <w:t>-6</w:t>
      </w:r>
      <w:r>
        <w:rPr>
          <w:rFonts w:ascii="Arial" w:hAnsi="Arial" w:eastAsia="宋体" w:cs="Arial"/>
          <w:snapToGrid w:val="0"/>
          <w:lang w:eastAsia="zh-CN"/>
        </w:rPr>
        <w:t xml:space="preserve"> SAL，除非提供实质性依据证明</w:t>
      </w:r>
      <w:r>
        <w:rPr>
          <w:rFonts w:hint="eastAsia" w:ascii="Arial" w:hAnsi="Arial" w:eastAsia="宋体" w:cs="Arial"/>
          <w:snapToGrid w:val="0"/>
          <w:lang w:eastAsia="zh-CN"/>
        </w:rPr>
        <w:t>无需</w:t>
      </w:r>
      <w:r>
        <w:rPr>
          <w:rFonts w:ascii="Arial" w:hAnsi="Arial" w:eastAsia="宋体" w:cs="Arial"/>
          <w:snapToGrid w:val="0"/>
          <w:lang w:eastAsia="zh-CN"/>
        </w:rPr>
        <w:t>达到这个水平。）</w:t>
      </w:r>
    </w:p>
    <w:p w14:paraId="12AF1DB4">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监控每个生产批次无菌性的方法</w:t>
      </w:r>
    </w:p>
    <w:p w14:paraId="09245E5E">
      <w:pPr>
        <w:pStyle w:val="2"/>
        <w:numPr>
          <w:ilvl w:val="0"/>
          <w:numId w:val="8"/>
        </w:numPr>
        <w:tabs>
          <w:tab w:val="left" w:pos="1520"/>
        </w:tabs>
        <w:topLinePunct/>
        <w:adjustRightInd w:val="0"/>
        <w:snapToGrid w:val="0"/>
        <w:spacing w:after="224" w:afterLines="75" w:line="288" w:lineRule="auto"/>
        <w:ind w:left="1079" w:leftChars="327"/>
        <w:jc w:val="both"/>
        <w:rPr>
          <w:rFonts w:ascii="Arial" w:hAnsi="Arial" w:eastAsia="宋体" w:cs="Arial"/>
          <w:snapToGrid w:val="0"/>
          <w:lang w:eastAsia="zh-CN"/>
        </w:rPr>
      </w:pPr>
      <w:r>
        <w:rPr>
          <w:rFonts w:ascii="Arial" w:hAnsi="Arial" w:eastAsia="宋体" w:cs="Arial"/>
          <w:snapToGrid w:val="0"/>
          <w:lang w:eastAsia="zh-CN"/>
        </w:rPr>
        <w:t>包装的完整描述，包括密封器械的方法。</w:t>
      </w:r>
    </w:p>
    <w:p w14:paraId="3D945DB9">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如果灭菌方法是辐照，您应指定剂量。如果灭菌方法是环氧乙烷（EtO），您应确定器械上残留的环氧乙烷和乙撑氯醇的最高水平。EtO灭菌后器械上的环氧乙烷和乙撑氯醇残留量应符合ANSI/AAMI/ISO 10993-7:1995，医疗器械的生物学评价-第7部分：环氧乙烷灭菌残留（无菌性）（1998年8月20日修订）中建议的残积物最大极限或遵守相当的方法学。ANSI/AAMI/ISO文件应与附属AAMI技术信息报告（TIR）No. 19:1998一同使用。</w:t>
      </w:r>
    </w:p>
    <w:p w14:paraId="4FA6DEF1">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您应描述使产品达到指定残留量所需的通气条件和时间。您也应包含环氧乙烷和乙撑氯醇残留量的耗散曲线。</w:t>
      </w:r>
    </w:p>
    <w:p w14:paraId="1B852DAA">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文件也应包含分析方法的完整描述，即用于证明一次性涂药器和防粘连产品灭菌周期合格并进行确认的分析方法。您应包含支持灭菌周期确认的所有方案和原始数据，包括关于无菌保证水平的所有计算的副本。</w:t>
      </w:r>
    </w:p>
    <w:p w14:paraId="31B90D11">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确定器械生物负载并提供数据以支持生产器械时对该生物负载的控制。您应包含所有方案和原始数据（包括参与抽样测试器械部分识别）的副本。该申请也应包含生物负载抵抗力测试的结果或提供依据说明为何无需进行该测试。该测试应包含来自至少三个制造小批次的器械。</w:t>
      </w:r>
    </w:p>
    <w:p w14:paraId="293DFEF7">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您应确定</w:t>
      </w:r>
      <w:r>
        <w:rPr>
          <w:rFonts w:hint="eastAsia" w:ascii="Arial" w:hAnsi="Arial" w:eastAsia="宋体" w:cs="Arial"/>
          <w:snapToGrid w:val="0"/>
          <w:lang w:eastAsia="zh-CN"/>
        </w:rPr>
        <w:t>常规</w:t>
      </w:r>
      <w:r>
        <w:rPr>
          <w:rFonts w:ascii="Arial" w:hAnsi="Arial" w:eastAsia="宋体" w:cs="Arial"/>
          <w:snapToGrid w:val="0"/>
          <w:lang w:eastAsia="zh-CN"/>
        </w:rPr>
        <w:t>再确认时间和需要进行灭菌周期再确认的情况（生物负载超过已确定极限，或产品或包装变更）。</w:t>
      </w:r>
    </w:p>
    <w:p w14:paraId="6FF584AD">
      <w:pPr>
        <w:pStyle w:val="17"/>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lang w:eastAsia="zh-CN"/>
        </w:rPr>
      </w:pPr>
      <w:r>
        <w:rPr>
          <w:rFonts w:ascii="Arial" w:hAnsi="Arial" w:eastAsia="宋体" w:cs="Arial"/>
          <w:snapToGrid w:val="0"/>
          <w:u w:val="thick" w:color="000000"/>
          <w:lang w:eastAsia="zh-CN"/>
        </w:rPr>
        <w:t>动物源材料</w:t>
      </w:r>
    </w:p>
    <w:p w14:paraId="5CB0DE4B">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对于源自动物材料的器械，FDA认为您需要证明加工方法和灭菌技术足以产生10</w:t>
      </w:r>
      <w:r>
        <w:rPr>
          <w:rFonts w:ascii="Arial" w:hAnsi="Arial" w:eastAsia="宋体" w:cs="Arial"/>
          <w:snapToGrid w:val="0"/>
          <w:szCs w:val="16"/>
          <w:vertAlign w:val="superscript"/>
          <w:lang w:eastAsia="zh-CN"/>
        </w:rPr>
        <w:t>-6</w:t>
      </w:r>
      <w:r>
        <w:rPr>
          <w:rFonts w:ascii="Arial" w:hAnsi="Arial" w:eastAsia="宋体" w:cs="Arial"/>
          <w:snapToGrid w:val="0"/>
          <w:lang w:eastAsia="zh-CN"/>
        </w:rPr>
        <w:t xml:space="preserve"> SAL。申请应指出材料源于的物种和组织。您应查阅CDRH指南，</w:t>
      </w:r>
      <w:r>
        <w:rPr>
          <w:rFonts w:ascii="宋体" w:hAnsi="宋体" w:eastAsia="宋体" w:cs="Arial"/>
          <w:snapToGrid w:val="0"/>
          <w:lang w:eastAsia="zh-CN"/>
        </w:rPr>
        <w:t>“</w:t>
      </w:r>
      <w:r>
        <w:rPr>
          <w:rFonts w:ascii="Arial" w:hAnsi="Arial" w:eastAsia="宋体" w:cs="Arial"/>
          <w:snapToGrid w:val="0"/>
          <w:lang w:eastAsia="zh-CN"/>
        </w:rPr>
        <w:t>含动物源材料的医疗器械（</w:t>
      </w:r>
      <w:r>
        <w:rPr>
          <w:rFonts w:ascii="Arial" w:hAnsi="Arial" w:eastAsia="宋体" w:cs="Arial"/>
          <w:i/>
          <w:snapToGrid w:val="0"/>
          <w:lang w:eastAsia="zh-CN"/>
        </w:rPr>
        <w:t>体外</w:t>
      </w:r>
      <w:r>
        <w:rPr>
          <w:rFonts w:ascii="Arial" w:hAnsi="Arial" w:eastAsia="宋体" w:cs="Arial"/>
          <w:snapToGrid w:val="0"/>
          <w:lang w:eastAsia="zh-CN"/>
        </w:rPr>
        <w:t>诊断器械除外）：评审员和行业指南</w:t>
      </w:r>
      <w:r>
        <w:rPr>
          <w:rFonts w:ascii="宋体" w:hAnsi="宋体" w:eastAsia="宋体" w:cs="Arial"/>
          <w:snapToGrid w:val="0"/>
          <w:lang w:eastAsia="zh-CN"/>
        </w:rPr>
        <w:t>”</w:t>
      </w:r>
      <w:r>
        <w:fldChar w:fldCharType="begin"/>
      </w:r>
      <w:r>
        <w:instrText xml:space="preserve"> HYPERLINK "http://www.fda.gov/cdrh/ode/88.html" </w:instrText>
      </w:r>
      <w:r>
        <w:fldChar w:fldCharType="separate"/>
      </w:r>
      <w:r>
        <w:rPr>
          <w:rStyle w:val="10"/>
          <w:rFonts w:ascii="Arial" w:hAnsi="Arial" w:eastAsia="宋体" w:cs="Arial"/>
          <w:snapToGrid w:val="0"/>
          <w:lang w:eastAsia="zh-CN"/>
        </w:rPr>
        <w:t>http://www.fda.gov/cdrh/ode/88.html</w:t>
      </w:r>
      <w:r>
        <w:rPr>
          <w:rStyle w:val="10"/>
          <w:rFonts w:ascii="Arial" w:hAnsi="Arial" w:eastAsia="宋体" w:cs="Arial"/>
          <w:snapToGrid w:val="0"/>
          <w:lang w:eastAsia="zh-CN"/>
        </w:rPr>
        <w:fldChar w:fldCharType="end"/>
      </w:r>
      <w:r>
        <w:rPr>
          <w:rFonts w:ascii="Arial" w:hAnsi="Arial" w:eastAsia="宋体" w:cs="Arial"/>
          <w:snapToGrid w:val="0"/>
          <w:lang w:eastAsia="zh-CN"/>
        </w:rPr>
        <w:t>获得适用信息。关于这类产品病毒安全性的指南，见</w:t>
      </w:r>
      <w:r>
        <w:rPr>
          <w:rFonts w:ascii="宋体" w:hAnsi="宋体" w:eastAsia="宋体" w:cs="Arial"/>
          <w:snapToGrid w:val="0"/>
          <w:lang w:eastAsia="zh-CN"/>
        </w:rPr>
        <w:t>“</w:t>
      </w:r>
      <w:r>
        <w:rPr>
          <w:rFonts w:ascii="Arial" w:hAnsi="Arial" w:eastAsia="宋体" w:cs="Arial"/>
          <w:snapToGrid w:val="0"/>
          <w:lang w:eastAsia="zh-CN"/>
        </w:rPr>
        <w:t>国际协调会议；源于人类或动物源细胞系生物技术产品的病毒安全性评价指南</w:t>
      </w:r>
      <w:r>
        <w:rPr>
          <w:rFonts w:ascii="宋体" w:hAnsi="宋体" w:eastAsia="宋体" w:cs="Arial"/>
          <w:snapToGrid w:val="0"/>
          <w:lang w:eastAsia="zh-CN"/>
        </w:rPr>
        <w:t>”</w:t>
      </w:r>
      <w:r>
        <w:rPr>
          <w:rFonts w:ascii="Arial" w:hAnsi="Arial" w:eastAsia="宋体" w:cs="Arial"/>
          <w:snapToGrid w:val="0"/>
          <w:lang w:eastAsia="zh-CN"/>
        </w:rPr>
        <w:t>。</w:t>
      </w:r>
    </w:p>
    <w:p w14:paraId="0CF7F971">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br w:type="page"/>
      </w:r>
      <w:bookmarkStart w:id="20" w:name="_bookmark6"/>
      <w:bookmarkEnd w:id="20"/>
      <w:r>
        <w:rPr>
          <w:rFonts w:ascii="Arial" w:hAnsi="Arial" w:eastAsia="宋体" w:cs="Arial"/>
          <w:snapToGrid w:val="0"/>
          <w:lang w:eastAsia="zh-CN"/>
        </w:rPr>
        <w:t>可通过1-888- CBER-传真从生物</w:t>
      </w:r>
      <w:r>
        <w:rPr>
          <w:rFonts w:hint="eastAsia" w:ascii="Arial" w:hAnsi="Arial" w:eastAsia="宋体" w:cs="Arial"/>
          <w:snapToGrid w:val="0"/>
          <w:lang w:eastAsia="zh-CN"/>
        </w:rPr>
        <w:t>制剂</w:t>
      </w:r>
      <w:r>
        <w:rPr>
          <w:rFonts w:ascii="Arial" w:hAnsi="Arial" w:eastAsia="宋体" w:cs="Arial"/>
          <w:snapToGrid w:val="0"/>
          <w:lang w:eastAsia="zh-CN"/>
        </w:rPr>
        <w:t>评价和研究中心（CBER）获得该文件。</w:t>
      </w:r>
    </w:p>
    <w:p w14:paraId="785FD7B4">
      <w:pPr>
        <w:pStyle w:val="17"/>
        <w:numPr>
          <w:ilvl w:val="1"/>
          <w:numId w:val="5"/>
        </w:numPr>
        <w:tabs>
          <w:tab w:val="left" w:pos="1104"/>
          <w:tab w:val="left" w:pos="1389"/>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产热原性</w:t>
      </w:r>
      <w:r>
        <w:rPr>
          <w:rFonts w:hint="eastAsia" w:ascii="Arial" w:hAnsi="Arial" w:eastAsia="宋体" w:cs="Arial"/>
          <w:snapToGrid w:val="0"/>
          <w:u w:val="thick" w:color="000000"/>
          <w:lang w:eastAsia="zh-CN"/>
        </w:rPr>
        <w:t>试验</w:t>
      </w:r>
    </w:p>
    <w:p w14:paraId="1C0F0324">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产热原性</w:t>
      </w:r>
      <w:r>
        <w:rPr>
          <w:rFonts w:hint="eastAsia" w:ascii="Arial" w:hAnsi="Arial" w:eastAsia="宋体" w:cs="Arial"/>
          <w:snapToGrid w:val="0"/>
          <w:lang w:eastAsia="zh-CN"/>
        </w:rPr>
        <w:t>试验</w:t>
      </w:r>
      <w:r>
        <w:rPr>
          <w:rFonts w:ascii="Arial" w:hAnsi="Arial" w:eastAsia="宋体" w:cs="Arial"/>
          <w:snapToGrid w:val="0"/>
          <w:lang w:eastAsia="zh-CN"/>
        </w:rPr>
        <w:t>将帮助定义保护患者免受发热反应风险的范围。对发热体的发热反应有可能增加粘连率。根据已确定的USP产热原性化验进行的</w:t>
      </w:r>
      <w:r>
        <w:rPr>
          <w:rFonts w:hint="eastAsia" w:ascii="Arial" w:hAnsi="Arial" w:eastAsia="宋体" w:cs="Arial"/>
          <w:snapToGrid w:val="0"/>
          <w:lang w:eastAsia="zh-CN"/>
        </w:rPr>
        <w:t>试验</w:t>
      </w:r>
      <w:r>
        <w:rPr>
          <w:rFonts w:ascii="Arial" w:hAnsi="Arial" w:eastAsia="宋体" w:cs="Arial"/>
          <w:snapToGrid w:val="0"/>
          <w:lang w:eastAsia="zh-CN"/>
        </w:rPr>
        <w:t>比如采用鲎变形细胞溶解物（LAL）的细菌内毒素试验（专著85）或兔热原质试验（专著151）方法确保检测接触患者的防粘连产品器械中存在的革兰氏阴性细菌内毒素水平。</w:t>
      </w:r>
    </w:p>
    <w:p w14:paraId="6F0079B9">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您应指出产热原性</w:t>
      </w:r>
      <w:r>
        <w:rPr>
          <w:rFonts w:hint="eastAsia" w:ascii="Arial" w:hAnsi="Arial" w:eastAsia="宋体" w:cs="Arial"/>
          <w:snapToGrid w:val="0"/>
          <w:lang w:eastAsia="zh-CN"/>
        </w:rPr>
        <w:t>试验</w:t>
      </w:r>
      <w:r>
        <w:rPr>
          <w:rFonts w:ascii="Arial" w:hAnsi="Arial" w:eastAsia="宋体" w:cs="Arial"/>
          <w:snapToGrid w:val="0"/>
          <w:lang w:eastAsia="zh-CN"/>
        </w:rPr>
        <w:t>的方法，及关于如何实施化验的信息和化验结果。由于医学界没有确定防粘连产品可接受内毒素水平上限的</w:t>
      </w:r>
      <w:r>
        <w:rPr>
          <w:rFonts w:ascii="宋体" w:hAnsi="宋体" w:eastAsia="宋体" w:cs="Arial"/>
          <w:snapToGrid w:val="0"/>
          <w:lang w:eastAsia="zh-CN"/>
        </w:rPr>
        <w:t>“</w:t>
      </w:r>
      <w:r>
        <w:rPr>
          <w:rFonts w:ascii="Arial" w:hAnsi="Arial" w:eastAsia="宋体" w:cs="Arial"/>
          <w:snapToGrid w:val="0"/>
          <w:lang w:eastAsia="zh-CN"/>
        </w:rPr>
        <w:t>黄金标准</w:t>
      </w:r>
      <w:r>
        <w:rPr>
          <w:rFonts w:ascii="宋体" w:hAnsi="宋体" w:eastAsia="宋体" w:cs="Arial"/>
          <w:snapToGrid w:val="0"/>
          <w:lang w:eastAsia="zh-CN"/>
        </w:rPr>
        <w:t>”</w:t>
      </w:r>
      <w:r>
        <w:rPr>
          <w:rFonts w:ascii="Arial" w:hAnsi="Arial" w:eastAsia="宋体" w:cs="Arial"/>
          <w:snapToGrid w:val="0"/>
          <w:lang w:eastAsia="zh-CN"/>
        </w:rPr>
        <w:t>，重要的是</w:t>
      </w:r>
      <w:r>
        <w:rPr>
          <w:rFonts w:hint="eastAsia" w:ascii="Arial" w:hAnsi="Arial" w:eastAsia="宋体" w:cs="Arial"/>
          <w:snapToGrid w:val="0"/>
          <w:lang w:eastAsia="zh-CN"/>
        </w:rPr>
        <w:t>，</w:t>
      </w:r>
      <w:r>
        <w:rPr>
          <w:rFonts w:ascii="Arial" w:hAnsi="Arial" w:eastAsia="宋体" w:cs="Arial"/>
          <w:snapToGrid w:val="0"/>
          <w:lang w:eastAsia="zh-CN"/>
        </w:rPr>
        <w:t>您需要</w:t>
      </w:r>
      <w:r>
        <w:rPr>
          <w:rFonts w:hint="eastAsia" w:ascii="Arial" w:hAnsi="Arial" w:eastAsia="宋体" w:cs="Arial"/>
          <w:snapToGrid w:val="0"/>
          <w:lang w:eastAsia="zh-CN"/>
        </w:rPr>
        <w:t>建立规范限制</w:t>
      </w:r>
      <w:r>
        <w:rPr>
          <w:rFonts w:ascii="Arial" w:hAnsi="Arial" w:eastAsia="宋体" w:cs="Arial"/>
          <w:snapToGrid w:val="0"/>
          <w:lang w:eastAsia="zh-CN"/>
        </w:rPr>
        <w:t>和</w:t>
      </w:r>
      <w:r>
        <w:rPr>
          <w:rFonts w:hint="eastAsia" w:ascii="Arial" w:hAnsi="Arial" w:eastAsia="宋体" w:cs="Arial"/>
          <w:snapToGrid w:val="0"/>
          <w:lang w:eastAsia="zh-CN"/>
        </w:rPr>
        <w:t>制造行动</w:t>
      </w:r>
      <w:r>
        <w:rPr>
          <w:rFonts w:ascii="Arial" w:hAnsi="Arial" w:eastAsia="宋体" w:cs="Arial"/>
          <w:snapToGrid w:val="0"/>
          <w:lang w:eastAsia="zh-CN"/>
        </w:rPr>
        <w:t>水平并对任何植入式器械实施一种已确定的USP内毒素试验比如采用LAL的细菌内毒素试验或兔热原质试验。</w:t>
      </w:r>
    </w:p>
    <w:p w14:paraId="5525C804">
      <w:pPr>
        <w:pStyle w:val="17"/>
        <w:topLinePunct/>
        <w:adjustRightInd w:val="0"/>
        <w:snapToGrid w:val="0"/>
        <w:spacing w:after="224" w:afterLines="75" w:line="288" w:lineRule="auto"/>
        <w:ind w:left="0" w:firstLine="0"/>
        <w:jc w:val="both"/>
        <w:outlineLvl w:val="9"/>
        <w:rPr>
          <w:rFonts w:ascii="Arial" w:hAnsi="Arial" w:eastAsia="宋体" w:cs="Arial"/>
          <w:b w:val="0"/>
          <w:bCs w:val="0"/>
          <w:snapToGrid w:val="0"/>
          <w:sz w:val="28"/>
          <w:lang w:eastAsia="zh-CN"/>
        </w:rPr>
      </w:pPr>
      <w:r>
        <w:rPr>
          <w:rFonts w:ascii="Arial" w:hAnsi="Arial" w:eastAsia="宋体" w:cs="Arial"/>
          <w:snapToGrid w:val="0"/>
          <w:sz w:val="28"/>
          <w:lang w:eastAsia="zh-CN"/>
        </w:rPr>
        <w:t>临床试验计划</w:t>
      </w:r>
    </w:p>
    <w:p w14:paraId="6316EB01">
      <w:pPr>
        <w:pStyle w:val="17"/>
        <w:numPr>
          <w:ilvl w:val="0"/>
          <w:numId w:val="9"/>
        </w:numPr>
        <w:tabs>
          <w:tab w:val="left" w:pos="426"/>
          <w:tab w:val="left" w:pos="118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引言</w:t>
      </w:r>
    </w:p>
    <w:p w14:paraId="2110574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本部分提供设计支持腹膜／骨盆腔可吸收防粘连产品PMA或PDP申请的临床方案时需考虑的点。尽管未达成适用于所有这些器械的标准化临床试验设计，但FDA认为有一些原则对于提供有效科学证据必不可少。这些有效科学证据是指提供合理安全性和有效性保证并将这些产品引入市场所需的证据。防粘连产品的临床方案应包含：</w:t>
      </w:r>
    </w:p>
    <w:p w14:paraId="15DEA94B">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器械预期用途的清晰</w:t>
      </w:r>
      <w:r>
        <w:rPr>
          <w:rFonts w:hint="eastAsia" w:ascii="Arial" w:hAnsi="Arial" w:eastAsia="宋体" w:cs="Arial"/>
          <w:snapToGrid w:val="0"/>
          <w:lang w:eastAsia="zh-CN"/>
        </w:rPr>
        <w:t>描述</w:t>
      </w:r>
    </w:p>
    <w:p w14:paraId="2B0D53DF">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为开发支持预期用途所需数据而设计的临床开发计划</w:t>
      </w:r>
    </w:p>
    <w:p w14:paraId="6AF284F3">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rPr>
      </w:pPr>
      <w:r>
        <w:rPr>
          <w:rFonts w:ascii="Arial" w:hAnsi="Arial" w:eastAsia="宋体" w:cs="Arial"/>
          <w:snapToGrid w:val="0"/>
          <w:lang w:eastAsia="zh-CN"/>
        </w:rPr>
        <w:t>研究假设</w:t>
      </w:r>
    </w:p>
    <w:p w14:paraId="2F26A409">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研究的安全性和有效性指标</w:t>
      </w:r>
    </w:p>
    <w:p w14:paraId="0DFFCD1A">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鉴定并分析所有不良事件以评估安全性的计划</w:t>
      </w:r>
    </w:p>
    <w:p w14:paraId="40503B70">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基于治疗人群意图和可评价人群的安全性和有效性评估计划</w:t>
      </w:r>
    </w:p>
    <w:p w14:paraId="291B7FC1">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评估工具（例如粘连评分系统</w:t>
      </w:r>
      <w:r>
        <w:rPr>
          <w:rFonts w:hint="eastAsia" w:ascii="Arial" w:hAnsi="Arial" w:eastAsia="宋体" w:cs="Arial"/>
          <w:snapToGrid w:val="0"/>
          <w:lang w:eastAsia="zh-CN"/>
        </w:rPr>
        <w:t>、</w:t>
      </w:r>
      <w:r>
        <w:rPr>
          <w:rFonts w:ascii="Arial" w:hAnsi="Arial" w:eastAsia="宋体" w:cs="Arial"/>
          <w:snapToGrid w:val="0"/>
          <w:lang w:eastAsia="zh-CN"/>
        </w:rPr>
        <w:t>计划的二次探查程序</w:t>
      </w:r>
      <w:r>
        <w:rPr>
          <w:rFonts w:hint="eastAsia" w:ascii="Arial" w:hAnsi="Arial" w:eastAsia="宋体" w:cs="Arial"/>
          <w:snapToGrid w:val="0"/>
          <w:lang w:eastAsia="zh-CN"/>
        </w:rPr>
        <w:t>、</w:t>
      </w:r>
      <w:r>
        <w:rPr>
          <w:rFonts w:ascii="Arial" w:hAnsi="Arial" w:eastAsia="宋体" w:cs="Arial"/>
          <w:snapToGrid w:val="0"/>
          <w:lang w:eastAsia="zh-CN"/>
        </w:rPr>
        <w:t>录像机</w:t>
      </w:r>
      <w:r>
        <w:rPr>
          <w:rFonts w:hint="eastAsia" w:ascii="Arial" w:hAnsi="Arial" w:eastAsia="宋体" w:cs="Arial"/>
          <w:snapToGrid w:val="0"/>
          <w:lang w:eastAsia="zh-CN"/>
        </w:rPr>
        <w:t>、</w:t>
      </w:r>
      <w:r>
        <w:rPr>
          <w:rFonts w:ascii="Arial" w:hAnsi="Arial" w:eastAsia="宋体" w:cs="Arial"/>
          <w:snapToGrid w:val="0"/>
          <w:lang w:eastAsia="zh-CN"/>
        </w:rPr>
        <w:t>功能</w:t>
      </w:r>
      <w:r>
        <w:rPr>
          <w:rFonts w:hint="eastAsia" w:ascii="Arial" w:hAnsi="Arial" w:eastAsia="宋体" w:cs="Arial"/>
          <w:snapToGrid w:val="0"/>
          <w:lang w:eastAsia="zh-CN"/>
        </w:rPr>
        <w:t>试验</w:t>
      </w:r>
      <w:r>
        <w:rPr>
          <w:rFonts w:ascii="Arial" w:hAnsi="Arial" w:eastAsia="宋体" w:cs="Arial"/>
          <w:snapToGrid w:val="0"/>
          <w:lang w:eastAsia="zh-CN"/>
        </w:rPr>
        <w:t>）</w:t>
      </w:r>
    </w:p>
    <w:p w14:paraId="1B5A3A82">
      <w:pPr>
        <w:pStyle w:val="2"/>
        <w:numPr>
          <w:ilvl w:val="1"/>
          <w:numId w:val="9"/>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研究设计，包括入选和排除标准</w:t>
      </w:r>
    </w:p>
    <w:p w14:paraId="137CE449">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rPr>
      </w:pPr>
      <w:r>
        <w:rPr>
          <w:rFonts w:ascii="Arial" w:hAnsi="Arial" w:eastAsia="宋体" w:cs="Arial"/>
          <w:snapToGrid w:val="0"/>
          <w:lang w:eastAsia="zh-CN"/>
        </w:rPr>
        <w:br w:type="page"/>
      </w:r>
      <w:bookmarkStart w:id="21" w:name="_bookmark7"/>
      <w:bookmarkEnd w:id="21"/>
      <w:r>
        <w:rPr>
          <w:rFonts w:ascii="Arial" w:hAnsi="Arial" w:eastAsia="宋体" w:cs="Arial"/>
          <w:snapToGrid w:val="0"/>
          <w:lang w:eastAsia="zh-CN"/>
        </w:rPr>
        <w:t>病例报告表</w:t>
      </w:r>
    </w:p>
    <w:p w14:paraId="40105D52">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rPr>
      </w:pPr>
      <w:r>
        <w:rPr>
          <w:rFonts w:ascii="Arial" w:hAnsi="Arial" w:eastAsia="宋体" w:cs="Arial"/>
          <w:snapToGrid w:val="0"/>
          <w:lang w:eastAsia="zh-CN"/>
        </w:rPr>
        <w:t>统计方法</w:t>
      </w:r>
    </w:p>
    <w:p w14:paraId="0A68FFFF">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rPr>
      </w:pPr>
      <w:r>
        <w:rPr>
          <w:rFonts w:ascii="Arial" w:hAnsi="Arial" w:eastAsia="宋体" w:cs="Arial"/>
          <w:snapToGrid w:val="0"/>
          <w:lang w:eastAsia="zh-CN"/>
        </w:rPr>
        <w:t>风险／</w:t>
      </w:r>
      <w:r>
        <w:rPr>
          <w:rFonts w:hint="eastAsia" w:ascii="Arial" w:hAnsi="Arial" w:eastAsia="宋体" w:cs="Arial"/>
          <w:snapToGrid w:val="0"/>
          <w:lang w:eastAsia="zh-CN"/>
        </w:rPr>
        <w:t>获益</w:t>
      </w:r>
      <w:r>
        <w:rPr>
          <w:rFonts w:ascii="Arial" w:hAnsi="Arial" w:eastAsia="宋体" w:cs="Arial"/>
          <w:snapToGrid w:val="0"/>
          <w:lang w:eastAsia="zh-CN"/>
        </w:rPr>
        <w:t>分析</w:t>
      </w:r>
    </w:p>
    <w:p w14:paraId="23C2BC26">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rPr>
      </w:pPr>
      <w:r>
        <w:rPr>
          <w:rFonts w:ascii="Arial" w:hAnsi="Arial" w:eastAsia="宋体" w:cs="Arial"/>
          <w:snapToGrid w:val="0"/>
          <w:lang w:eastAsia="zh-CN"/>
        </w:rPr>
        <w:t>知情同意</w:t>
      </w:r>
    </w:p>
    <w:p w14:paraId="063BAE44">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上市前和批准后数据开发的平衡</w:t>
      </w:r>
    </w:p>
    <w:p w14:paraId="1B1EE176">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精确</w:t>
      </w:r>
      <w:r>
        <w:rPr>
          <w:rFonts w:hint="eastAsia" w:ascii="Arial" w:hAnsi="Arial" w:eastAsia="宋体" w:cs="Arial"/>
          <w:snapToGrid w:val="0"/>
          <w:lang w:eastAsia="zh-CN"/>
        </w:rPr>
        <w:t>提供</w:t>
      </w:r>
      <w:r>
        <w:rPr>
          <w:rFonts w:ascii="Arial" w:hAnsi="Arial" w:eastAsia="宋体" w:cs="Arial"/>
          <w:snapToGrid w:val="0"/>
          <w:lang w:eastAsia="zh-CN"/>
        </w:rPr>
        <w:t>研究数据的标签。</w:t>
      </w:r>
    </w:p>
    <w:p w14:paraId="450A64D0">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注意：我们鼓励您制定这些器械的研究计划和方案时与FDA密切合作。</w:t>
      </w:r>
    </w:p>
    <w:p w14:paraId="7911E5B8">
      <w:pPr>
        <w:pStyle w:val="17"/>
        <w:numPr>
          <w:ilvl w:val="0"/>
          <w:numId w:val="9"/>
        </w:numPr>
        <w:tabs>
          <w:tab w:val="left" w:pos="426"/>
          <w:tab w:val="left" w:pos="82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预期用途</w:t>
      </w:r>
    </w:p>
    <w:p w14:paraId="615AC2D2">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您应尽可能清晰和精确地指出防粘连产品的预期用途。具体的适应症应包含以下内容：</w:t>
      </w:r>
    </w:p>
    <w:p w14:paraId="2292EAC6">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粘连类型，即新</w:t>
      </w:r>
      <w:r>
        <w:rPr>
          <w:rFonts w:hint="eastAsia" w:ascii="Arial" w:hAnsi="Arial" w:eastAsia="宋体" w:cs="Arial"/>
          <w:snapToGrid w:val="0"/>
          <w:lang w:eastAsia="zh-CN"/>
        </w:rPr>
        <w:t>型、</w:t>
      </w:r>
      <w:r>
        <w:rPr>
          <w:rFonts w:ascii="Arial" w:hAnsi="Arial" w:eastAsia="宋体" w:cs="Arial"/>
          <w:snapToGrid w:val="0"/>
          <w:lang w:eastAsia="zh-CN"/>
        </w:rPr>
        <w:t>重新形成</w:t>
      </w:r>
      <w:r>
        <w:rPr>
          <w:rFonts w:hint="eastAsia" w:ascii="Arial" w:hAnsi="Arial" w:eastAsia="宋体" w:cs="Arial"/>
          <w:snapToGrid w:val="0"/>
          <w:lang w:eastAsia="zh-CN"/>
        </w:rPr>
        <w:t>、</w:t>
      </w:r>
      <w:r>
        <w:rPr>
          <w:rFonts w:ascii="Arial" w:hAnsi="Arial" w:eastAsia="宋体" w:cs="Arial"/>
          <w:snapToGrid w:val="0"/>
          <w:lang w:eastAsia="zh-CN"/>
        </w:rPr>
        <w:t>手术部位</w:t>
      </w:r>
      <w:r>
        <w:rPr>
          <w:rFonts w:hint="eastAsia" w:ascii="Arial" w:hAnsi="Arial" w:eastAsia="宋体" w:cs="Arial"/>
          <w:snapToGrid w:val="0"/>
          <w:lang w:eastAsia="zh-CN"/>
        </w:rPr>
        <w:t>、</w:t>
      </w:r>
      <w:r>
        <w:rPr>
          <w:rFonts w:ascii="Arial" w:hAnsi="Arial" w:eastAsia="宋体" w:cs="Arial"/>
          <w:snapToGrid w:val="0"/>
          <w:lang w:eastAsia="zh-CN"/>
        </w:rPr>
        <w:t>非手术部位</w:t>
      </w:r>
    </w:p>
    <w:p w14:paraId="708E4CC0">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目标人群</w:t>
      </w:r>
    </w:p>
    <w:p w14:paraId="5D800BD4">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使用条件</w:t>
      </w:r>
    </w:p>
    <w:p w14:paraId="1114E51C">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应用的解剖部位</w:t>
      </w:r>
    </w:p>
    <w:p w14:paraId="753659A6">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rPr>
      </w:pPr>
      <w:r>
        <w:rPr>
          <w:rFonts w:ascii="Arial" w:hAnsi="Arial" w:eastAsia="宋体" w:cs="Arial"/>
          <w:snapToGrid w:val="0"/>
          <w:lang w:eastAsia="zh-CN"/>
        </w:rPr>
        <w:t>预期结果。</w:t>
      </w:r>
    </w:p>
    <w:p w14:paraId="1EDEABC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分析完来自可行性研究的临床经验后，通常会改进这些适应症。在产品开发的关键试验阶段，预期用途和适应症应适当成为重点。</w:t>
      </w:r>
    </w:p>
    <w:p w14:paraId="13F4D979">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预期用途决定临床试验目标，这些目标通常是为证明在具体使用条件下器械在目标人群中为达到规定临床</w:t>
      </w:r>
      <w:r>
        <w:rPr>
          <w:rFonts w:hint="eastAsia" w:ascii="Arial" w:hAnsi="Arial" w:eastAsia="宋体" w:cs="Arial"/>
          <w:snapToGrid w:val="0"/>
          <w:lang w:eastAsia="zh-CN"/>
        </w:rPr>
        <w:t>获益</w:t>
      </w:r>
      <w:r>
        <w:rPr>
          <w:rFonts w:ascii="Arial" w:hAnsi="Arial" w:eastAsia="宋体" w:cs="Arial"/>
          <w:snapToGrid w:val="0"/>
          <w:lang w:eastAsia="zh-CN"/>
        </w:rPr>
        <w:t>时的安全性（即相关的发病率和死亡率）和有效性（即相关患者</w:t>
      </w:r>
      <w:r>
        <w:rPr>
          <w:rFonts w:hint="eastAsia" w:ascii="Arial" w:hAnsi="Arial" w:eastAsia="宋体" w:cs="Arial"/>
          <w:snapToGrid w:val="0"/>
          <w:lang w:eastAsia="zh-CN"/>
        </w:rPr>
        <w:t>获益</w:t>
      </w:r>
      <w:r>
        <w:rPr>
          <w:rFonts w:ascii="Arial" w:hAnsi="Arial" w:eastAsia="宋体" w:cs="Arial"/>
          <w:snapToGrid w:val="0"/>
          <w:lang w:eastAsia="zh-CN"/>
        </w:rPr>
        <w:t>）。</w:t>
      </w:r>
    </w:p>
    <w:p w14:paraId="2DE97825">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预期用途应得到明确的数据支持且应呈现在提议标签中。临床方案中的标签应精确呈现从器械收集的数据。防粘连产品器械的其中一个最困难问题是适应症范围应为多宽或多窄，即临床试验的数据在多大程度上能推广至更广泛或相关用途。这个问题的部分答案取决于试验中所选手术模式和申办方或申请者提供合理科学依据，即证明在更广泛应用中数据支持临床</w:t>
      </w:r>
      <w:r>
        <w:rPr>
          <w:rFonts w:hint="eastAsia" w:ascii="Arial" w:hAnsi="Arial" w:eastAsia="宋体" w:cs="Arial"/>
          <w:snapToGrid w:val="0"/>
          <w:lang w:eastAsia="zh-CN"/>
        </w:rPr>
        <w:t>获益</w:t>
      </w:r>
      <w:r>
        <w:rPr>
          <w:rFonts w:ascii="Arial" w:hAnsi="Arial" w:eastAsia="宋体" w:cs="Arial"/>
          <w:snapToGrid w:val="0"/>
          <w:lang w:eastAsia="zh-CN"/>
        </w:rPr>
        <w:t>和安全性的能力。</w:t>
      </w:r>
    </w:p>
    <w:p w14:paraId="171EF8BD">
      <w:pPr>
        <w:pStyle w:val="17"/>
        <w:numPr>
          <w:ilvl w:val="0"/>
          <w:numId w:val="9"/>
        </w:numPr>
        <w:tabs>
          <w:tab w:val="left" w:pos="426"/>
          <w:tab w:val="left" w:pos="82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可行性研究</w:t>
      </w:r>
    </w:p>
    <w:p w14:paraId="3B90438C">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可行性（关键试验前）研究的目的是检验研究方法学并获得器械安全性和有效性的初步临床评估。这些小型，通常非随机化，一个或两个中心研究是为了评估您在关键研</w:t>
      </w:r>
      <w:r>
        <w:rPr>
          <w:rFonts w:ascii="Arial" w:hAnsi="Arial" w:eastAsia="宋体" w:cs="Arial"/>
          <w:snapToGrid w:val="0"/>
          <w:lang w:eastAsia="zh-CN"/>
        </w:rPr>
        <w:br w:type="page"/>
      </w:r>
      <w:bookmarkStart w:id="22" w:name="_bookmark8"/>
      <w:bookmarkEnd w:id="22"/>
      <w:r>
        <w:rPr>
          <w:rFonts w:ascii="Arial" w:hAnsi="Arial" w:eastAsia="宋体" w:cs="Arial"/>
          <w:snapToGrid w:val="0"/>
          <w:lang w:eastAsia="zh-CN"/>
        </w:rPr>
        <w:t>究中将使用的程序</w:t>
      </w:r>
      <w:r>
        <w:rPr>
          <w:rFonts w:hint="eastAsia" w:ascii="Arial" w:hAnsi="Arial" w:eastAsia="宋体" w:cs="Arial"/>
          <w:snapToGrid w:val="0"/>
          <w:lang w:eastAsia="zh-CN"/>
        </w:rPr>
        <w:t>、</w:t>
      </w:r>
      <w:r>
        <w:rPr>
          <w:rFonts w:ascii="Arial" w:hAnsi="Arial" w:eastAsia="宋体" w:cs="Arial"/>
          <w:snapToGrid w:val="0"/>
          <w:lang w:eastAsia="zh-CN"/>
        </w:rPr>
        <w:t>改进器械设计</w:t>
      </w:r>
      <w:r>
        <w:rPr>
          <w:rFonts w:hint="eastAsia" w:ascii="Arial" w:hAnsi="Arial" w:eastAsia="宋体" w:cs="Arial"/>
          <w:snapToGrid w:val="0"/>
          <w:lang w:eastAsia="zh-CN"/>
        </w:rPr>
        <w:t>、</w:t>
      </w:r>
      <w:r>
        <w:rPr>
          <w:rFonts w:ascii="Arial" w:hAnsi="Arial" w:eastAsia="宋体" w:cs="Arial"/>
          <w:snapToGrid w:val="0"/>
          <w:lang w:eastAsia="zh-CN"/>
        </w:rPr>
        <w:t>改进使用说明书并为可能的研究者提供初步经验。来自可行性研究的数据用于设计关键试验，估计关键安全性和有效性研究的治疗效果和样本量。</w:t>
      </w:r>
    </w:p>
    <w:p w14:paraId="69717DB3">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您在关键试验前研究中应解决与防粘连产品器械相关具体问题包括：</w:t>
      </w:r>
    </w:p>
    <w:p w14:paraId="07B7579D">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输送和放置方法</w:t>
      </w:r>
    </w:p>
    <w:p w14:paraId="74D84A19">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人</w:t>
      </w:r>
      <w:r>
        <w:rPr>
          <w:rFonts w:hint="eastAsia" w:ascii="Arial" w:hAnsi="Arial" w:eastAsia="宋体" w:cs="Arial"/>
          <w:snapToGrid w:val="0"/>
          <w:lang w:eastAsia="zh-CN"/>
        </w:rPr>
        <w:t>类</w:t>
      </w:r>
      <w:r>
        <w:rPr>
          <w:rFonts w:ascii="Arial" w:hAnsi="Arial" w:eastAsia="宋体" w:cs="Arial"/>
          <w:snapToGrid w:val="0"/>
          <w:lang w:eastAsia="zh-CN"/>
        </w:rPr>
        <w:t>的再吸收和排泄（如果适用）</w:t>
      </w:r>
    </w:p>
    <w:p w14:paraId="0C37C666">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在</w:t>
      </w:r>
      <w:r>
        <w:rPr>
          <w:rFonts w:hint="eastAsia" w:ascii="Arial" w:hAnsi="Arial" w:eastAsia="宋体" w:cs="Arial"/>
          <w:snapToGrid w:val="0"/>
          <w:lang w:eastAsia="zh-CN"/>
        </w:rPr>
        <w:t>人类</w:t>
      </w:r>
      <w:r>
        <w:rPr>
          <w:rFonts w:ascii="Arial" w:hAnsi="Arial" w:eastAsia="宋体" w:cs="Arial"/>
          <w:snapToGrid w:val="0"/>
          <w:lang w:eastAsia="zh-CN"/>
        </w:rPr>
        <w:t>不同位置的变化性（如果适用）</w:t>
      </w:r>
    </w:p>
    <w:p w14:paraId="0D548A91">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对各类型粘连的有效性</w:t>
      </w:r>
    </w:p>
    <w:p w14:paraId="1E6F1AD5">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器械的处理特性</w:t>
      </w:r>
    </w:p>
    <w:p w14:paraId="7D950C44">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目标人群</w:t>
      </w:r>
    </w:p>
    <w:p w14:paraId="5C2A6931">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使用条件</w:t>
      </w:r>
    </w:p>
    <w:p w14:paraId="71B34FDD">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初步安全：发病率和死亡率影响；感染性增加和伤口愈合改变的迹象</w:t>
      </w:r>
    </w:p>
    <w:p w14:paraId="2F5526DA">
      <w:pPr>
        <w:pStyle w:val="2"/>
        <w:numPr>
          <w:ilvl w:val="0"/>
          <w:numId w:val="4"/>
        </w:numPr>
        <w:tabs>
          <w:tab w:val="left" w:pos="851"/>
        </w:tabs>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研究指标和临床</w:t>
      </w:r>
      <w:r>
        <w:rPr>
          <w:rFonts w:hint="eastAsia" w:ascii="Arial" w:hAnsi="Arial" w:eastAsia="宋体" w:cs="Arial"/>
          <w:snapToGrid w:val="0"/>
          <w:lang w:eastAsia="zh-CN"/>
        </w:rPr>
        <w:t>获益</w:t>
      </w:r>
      <w:r>
        <w:rPr>
          <w:rFonts w:ascii="Arial" w:hAnsi="Arial" w:eastAsia="宋体" w:cs="Arial"/>
          <w:snapToGrid w:val="0"/>
          <w:lang w:eastAsia="zh-CN"/>
        </w:rPr>
        <w:t>评估工具的敏感性与特异性。</w:t>
      </w:r>
    </w:p>
    <w:p w14:paraId="03179C2B">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在开始关键试验前，您应在IDE申请补充文件中分析可行性研究结果。我们鼓励您安排与FDA的关键试验前会面以</w:t>
      </w:r>
      <w:r>
        <w:rPr>
          <w:rFonts w:hint="eastAsia" w:ascii="Arial" w:hAnsi="Arial" w:eastAsia="宋体" w:cs="Arial"/>
          <w:snapToGrid w:val="0"/>
          <w:lang w:eastAsia="zh-CN"/>
        </w:rPr>
        <w:t>提供</w:t>
      </w:r>
      <w:r>
        <w:rPr>
          <w:rFonts w:ascii="Arial" w:hAnsi="Arial" w:eastAsia="宋体" w:cs="Arial"/>
          <w:snapToGrid w:val="0"/>
          <w:lang w:eastAsia="zh-CN"/>
        </w:rPr>
        <w:t>和讨论这些可行性研究的结果。</w:t>
      </w:r>
    </w:p>
    <w:p w14:paraId="1179EDEC">
      <w:pPr>
        <w:pStyle w:val="17"/>
        <w:numPr>
          <w:ilvl w:val="0"/>
          <w:numId w:val="9"/>
        </w:numPr>
        <w:tabs>
          <w:tab w:val="left" w:pos="426"/>
          <w:tab w:val="left" w:pos="82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关键研究</w:t>
      </w:r>
    </w:p>
    <w:p w14:paraId="4D29B6D5">
      <w:pPr>
        <w:pStyle w:val="17"/>
        <w:numPr>
          <w:ilvl w:val="0"/>
          <w:numId w:val="10"/>
        </w:numPr>
        <w:tabs>
          <w:tab w:val="left" w:pos="103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研究目的</w:t>
      </w:r>
    </w:p>
    <w:p w14:paraId="7382EDA9">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关键研究的目的是开发支持预期用途的安全性和有效性数据，从而证明适应症合理。研究目的应明确指出预期用途的要素：</w:t>
      </w:r>
      <w:r>
        <w:rPr>
          <w:rFonts w:hint="eastAsia" w:ascii="Arial" w:hAnsi="Arial" w:eastAsia="宋体" w:cs="Arial"/>
          <w:snapToGrid w:val="0"/>
          <w:lang w:eastAsia="zh-CN"/>
        </w:rPr>
        <w:t>目标</w:t>
      </w:r>
      <w:r>
        <w:rPr>
          <w:rFonts w:ascii="Arial" w:hAnsi="Arial" w:eastAsia="宋体" w:cs="Arial"/>
          <w:snapToGrid w:val="0"/>
          <w:lang w:eastAsia="zh-CN"/>
        </w:rPr>
        <w:t>、目标人群和使用条件。应在各自的明确声明中解决复合（多种）预期用途。研究越广泛，最终标注的适应症可能越宽。</w:t>
      </w:r>
    </w:p>
    <w:p w14:paraId="746EE222">
      <w:pPr>
        <w:pStyle w:val="17"/>
        <w:numPr>
          <w:ilvl w:val="0"/>
          <w:numId w:val="10"/>
        </w:numPr>
        <w:tabs>
          <w:tab w:val="left" w:pos="103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研究假设</w:t>
      </w:r>
    </w:p>
    <w:p w14:paraId="1776B6A0">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尽管目标提供试验重点，但假设是统计分析的基础。一个有效和高效的临床试验将有一个或多个目标和对应的非常具体和明确的假设。这些目标将回答关于为何实施试验的许多详细问题，包括：</w:t>
      </w:r>
    </w:p>
    <w:p w14:paraId="0AA97FD2">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试验</w:t>
      </w:r>
      <w:r>
        <w:rPr>
          <w:rFonts w:hint="eastAsia" w:ascii="Arial" w:hAnsi="Arial" w:eastAsia="宋体" w:cs="Arial"/>
          <w:snapToGrid w:val="0"/>
          <w:lang w:eastAsia="zh-CN"/>
        </w:rPr>
        <w:t>是否是</w:t>
      </w:r>
      <w:r>
        <w:rPr>
          <w:rFonts w:ascii="Arial" w:hAnsi="Arial" w:eastAsia="宋体" w:cs="Arial"/>
          <w:snapToGrid w:val="0"/>
          <w:lang w:eastAsia="zh-CN"/>
        </w:rPr>
        <w:t>为证明新器械与另一种介入或治疗同样有效或更有效？换句话说，试验是</w:t>
      </w:r>
      <w:r>
        <w:rPr>
          <w:rFonts w:hint="eastAsia" w:ascii="Arial" w:hAnsi="Arial" w:eastAsia="宋体" w:cs="Arial"/>
          <w:snapToGrid w:val="0"/>
          <w:lang w:eastAsia="zh-CN"/>
        </w:rPr>
        <w:t>否是</w:t>
      </w:r>
      <w:r>
        <w:rPr>
          <w:rFonts w:ascii="Arial" w:hAnsi="Arial" w:eastAsia="宋体" w:cs="Arial"/>
          <w:snapToGrid w:val="0"/>
          <w:lang w:eastAsia="zh-CN"/>
        </w:rPr>
        <w:t>为支持</w:t>
      </w:r>
      <w:r>
        <w:rPr>
          <w:rFonts w:ascii="Arial" w:hAnsi="Arial" w:eastAsia="宋体" w:cs="Arial"/>
          <w:i/>
          <w:snapToGrid w:val="0"/>
          <w:lang w:eastAsia="zh-CN"/>
        </w:rPr>
        <w:t>等同性</w:t>
      </w:r>
      <w:r>
        <w:rPr>
          <w:rFonts w:ascii="Arial" w:hAnsi="Arial" w:eastAsia="宋体" w:cs="Arial"/>
          <w:snapToGrid w:val="0"/>
          <w:lang w:eastAsia="zh-CN"/>
        </w:rPr>
        <w:t>（非劣效性）或</w:t>
      </w:r>
      <w:r>
        <w:rPr>
          <w:rFonts w:ascii="Arial" w:hAnsi="Arial" w:eastAsia="宋体" w:cs="Arial"/>
          <w:i/>
          <w:snapToGrid w:val="0"/>
          <w:lang w:eastAsia="zh-CN"/>
        </w:rPr>
        <w:t>优效性</w:t>
      </w:r>
      <w:r>
        <w:rPr>
          <w:rFonts w:ascii="Arial" w:hAnsi="Arial" w:eastAsia="宋体" w:cs="Arial"/>
          <w:snapToGrid w:val="0"/>
          <w:lang w:eastAsia="zh-CN"/>
        </w:rPr>
        <w:t>声称？</w:t>
      </w:r>
    </w:p>
    <w:p w14:paraId="33F1A5BD">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rPr>
      </w:pPr>
      <w:r>
        <w:rPr>
          <w:rFonts w:ascii="Arial" w:hAnsi="Arial" w:eastAsia="宋体" w:cs="Arial"/>
          <w:snapToGrid w:val="0"/>
          <w:lang w:eastAsia="zh-CN"/>
        </w:rPr>
        <w:t>如何判断有效性</w:t>
      </w:r>
      <w:r>
        <w:rPr>
          <w:rFonts w:ascii="Arial" w:hAnsi="Arial" w:eastAsia="宋体" w:cs="Arial"/>
          <w:snapToGrid w:val="0"/>
        </w:rPr>
        <w:t>?</w:t>
      </w:r>
    </w:p>
    <w:p w14:paraId="5FFD61F6">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关于安全性，试验</w:t>
      </w:r>
      <w:r>
        <w:rPr>
          <w:rFonts w:hint="eastAsia" w:ascii="Arial" w:hAnsi="Arial" w:eastAsia="宋体" w:cs="Arial"/>
          <w:snapToGrid w:val="0"/>
          <w:lang w:eastAsia="zh-CN"/>
        </w:rPr>
        <w:t>是否是</w:t>
      </w:r>
      <w:r>
        <w:rPr>
          <w:rFonts w:ascii="Arial" w:hAnsi="Arial" w:eastAsia="宋体" w:cs="Arial"/>
          <w:snapToGrid w:val="0"/>
          <w:lang w:eastAsia="zh-CN"/>
        </w:rPr>
        <w:t>为证明新器械与另一种治疗同样安全或更安全；如何评价安全性？</w:t>
      </w:r>
    </w:p>
    <w:p w14:paraId="1F5E5D7B">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器械将用于哪些患者和</w:t>
      </w:r>
      <w:r>
        <w:rPr>
          <w:rFonts w:hint="eastAsia" w:ascii="Arial" w:hAnsi="Arial" w:eastAsia="宋体" w:cs="Arial"/>
          <w:snapToGrid w:val="0"/>
          <w:lang w:eastAsia="zh-CN"/>
        </w:rPr>
        <w:t>病症</w:t>
      </w:r>
      <w:r>
        <w:rPr>
          <w:rFonts w:ascii="Arial" w:hAnsi="Arial" w:eastAsia="宋体" w:cs="Arial"/>
          <w:snapToGrid w:val="0"/>
          <w:lang w:eastAsia="zh-CN"/>
        </w:rPr>
        <w:t>?</w:t>
      </w:r>
    </w:p>
    <w:p w14:paraId="7A5C6390">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回答这些问题通常将为整个试验以及</w:t>
      </w:r>
      <w:r>
        <w:rPr>
          <w:rFonts w:hint="eastAsia" w:ascii="Arial" w:hAnsi="Arial" w:eastAsia="宋体" w:cs="Arial"/>
          <w:snapToGrid w:val="0"/>
          <w:lang w:eastAsia="zh-CN"/>
        </w:rPr>
        <w:t>之后</w:t>
      </w:r>
      <w:r>
        <w:rPr>
          <w:rFonts w:ascii="Arial" w:hAnsi="Arial" w:eastAsia="宋体" w:cs="Arial"/>
          <w:snapToGrid w:val="0"/>
          <w:lang w:eastAsia="zh-CN"/>
        </w:rPr>
        <w:t>的标签提供基础。</w:t>
      </w:r>
      <w:r>
        <w:rPr>
          <w:rFonts w:hint="eastAsia" w:ascii="Arial" w:hAnsi="Arial" w:eastAsia="宋体" w:cs="Arial"/>
          <w:snapToGrid w:val="0"/>
          <w:lang w:eastAsia="zh-CN"/>
        </w:rPr>
        <w:t>将</w:t>
      </w:r>
      <w:r>
        <w:rPr>
          <w:rFonts w:ascii="Arial" w:hAnsi="Arial" w:eastAsia="宋体" w:cs="Arial"/>
          <w:snapToGrid w:val="0"/>
          <w:lang w:eastAsia="zh-CN"/>
        </w:rPr>
        <w:t>临床有意义的差异作为任何统计假设测试的基础很重要。</w:t>
      </w:r>
    </w:p>
    <w:p w14:paraId="455556A7">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指标</w:t>
      </w:r>
    </w:p>
    <w:p w14:paraId="0F3E1A99">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基于有效性定义（21 CFR 860.7），提供有效性有效科学证据的最直接方法是选择适当的临床结果并设计一项研究以评价对公认粘连相关发病率的统计显著和临床有意义影响。然而，在上市前阶段想要评价一些由粘连导致的临床结果可能很难或不现实，原因是例如临床结果（比如活产或术后疼痛）的多因素本质，或由术后粘连导致的肠梗阻发生率总体较低且与时间相关。可通过更能直接测量和不太容易混淆的参数合理评估与粘连相关的临床结果。</w:t>
      </w:r>
    </w:p>
    <w:p w14:paraId="5A748EA0">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无论如何，临床研究结果指标应：</w:t>
      </w:r>
    </w:p>
    <w:p w14:paraId="5A6114A5">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客观</w:t>
      </w:r>
    </w:p>
    <w:p w14:paraId="1FEEC61D">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可再生</w:t>
      </w:r>
    </w:p>
    <w:p w14:paraId="511A9EBD">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是目标人群临床</w:t>
      </w:r>
      <w:r>
        <w:rPr>
          <w:rFonts w:hint="eastAsia" w:ascii="Arial" w:hAnsi="Arial" w:eastAsia="宋体" w:cs="Arial"/>
          <w:snapToGrid w:val="0"/>
          <w:lang w:eastAsia="zh-CN"/>
        </w:rPr>
        <w:t>获益</w:t>
      </w:r>
      <w:r>
        <w:rPr>
          <w:rFonts w:ascii="Arial" w:hAnsi="Arial" w:eastAsia="宋体" w:cs="Arial"/>
          <w:snapToGrid w:val="0"/>
          <w:lang w:eastAsia="zh-CN"/>
        </w:rPr>
        <w:t>的临床合理／生物学可信衡量标准。</w:t>
      </w:r>
    </w:p>
    <w:p w14:paraId="2408A554">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临床合理／生物学可信衡量标准有：</w:t>
      </w:r>
    </w:p>
    <w:p w14:paraId="32F4C0A7">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经确认的多因素评分系统</w:t>
      </w:r>
    </w:p>
    <w:p w14:paraId="0467F178">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具有临床意义的发生率</w:t>
      </w:r>
    </w:p>
    <w:p w14:paraId="1817AFDA">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治疗后患者体内粘连范围和严重性（基线处无粘连）</w:t>
      </w:r>
    </w:p>
    <w:p w14:paraId="75DE315B">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具有临床意义的粘连数量减少</w:t>
      </w:r>
    </w:p>
    <w:p w14:paraId="0AC37517">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治疗后患者体内粘连范围和／或严重性（基线部位有粘连）。</w:t>
      </w:r>
    </w:p>
    <w:p w14:paraId="51D4EDBE">
      <w:pPr>
        <w:topLinePunct/>
        <w:adjustRightInd w:val="0"/>
        <w:snapToGrid w:val="0"/>
        <w:spacing w:after="224" w:afterLines="75" w:line="288" w:lineRule="auto"/>
        <w:jc w:val="both"/>
        <w:rPr>
          <w:rFonts w:ascii="Arial" w:hAnsi="Arial" w:eastAsia="宋体" w:cs="Arial"/>
          <w:snapToGrid w:val="0"/>
          <w:sz w:val="24"/>
          <w:szCs w:val="11"/>
          <w:lang w:eastAsia="zh-CN"/>
        </w:rPr>
      </w:pPr>
      <w:r>
        <w:rPr>
          <w:rFonts w:ascii="Arial" w:hAnsi="Arial" w:eastAsia="宋体" w:cs="Arial"/>
          <w:snapToGrid w:val="0"/>
          <w:sz w:val="24"/>
          <w:lang w:eastAsia="zh-CN"/>
        </w:rPr>
        <w:br w:type="page"/>
      </w:r>
    </w:p>
    <w:p w14:paraId="6224E96F">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您可采用多种方式报告观察到粘连的发生率，例如无粘连患者的百分比，或有粘连的预先指定手术位置的数量。也采用各种不同术语以各种方式对</w:t>
      </w:r>
      <w:r>
        <w:rPr>
          <w:rFonts w:hint="eastAsia" w:ascii="Arial" w:hAnsi="Arial" w:eastAsia="宋体" w:cs="Arial"/>
          <w:snapToGrid w:val="0"/>
          <w:lang w:eastAsia="zh-CN"/>
        </w:rPr>
        <w:t>范围</w:t>
      </w:r>
      <w:r>
        <w:rPr>
          <w:rFonts w:ascii="Arial" w:hAnsi="Arial" w:eastAsia="宋体" w:cs="Arial"/>
          <w:snapToGrid w:val="0"/>
          <w:lang w:eastAsia="zh-CN"/>
        </w:rPr>
        <w:t>和严重性进行评分</w:t>
      </w:r>
      <w:r>
        <w:rPr>
          <w:rFonts w:hint="eastAsia" w:ascii="Arial" w:hAnsi="Arial" w:eastAsia="宋体" w:cs="Arial"/>
          <w:snapToGrid w:val="0"/>
          <w:lang w:eastAsia="zh-CN"/>
        </w:rPr>
        <w:t>和报告</w:t>
      </w:r>
      <w:r>
        <w:rPr>
          <w:rFonts w:ascii="Arial" w:hAnsi="Arial" w:eastAsia="宋体" w:cs="Arial"/>
          <w:snapToGrid w:val="0"/>
          <w:lang w:eastAsia="zh-CN"/>
        </w:rPr>
        <w:t>。正在制定预先确定部位预先确定级别粘连的标准化综合</w:t>
      </w:r>
      <w:r>
        <w:rPr>
          <w:rFonts w:hint="eastAsia" w:ascii="Arial" w:hAnsi="Arial" w:eastAsia="宋体" w:cs="Arial"/>
          <w:snapToGrid w:val="0"/>
          <w:lang w:eastAsia="zh-CN"/>
        </w:rPr>
        <w:t>评分</w:t>
      </w:r>
      <w:r>
        <w:rPr>
          <w:rFonts w:ascii="Arial" w:hAnsi="Arial" w:eastAsia="宋体" w:cs="Arial"/>
          <w:snapToGrid w:val="0"/>
          <w:lang w:eastAsia="zh-CN"/>
        </w:rPr>
        <w:t>，其使用频率在增加并将导致研究内和研究间的更大再现性。</w:t>
      </w:r>
      <w:r>
        <w:rPr>
          <w:rFonts w:ascii="Arial" w:hAnsi="Arial" w:eastAsia="宋体" w:cs="Arial"/>
          <w:snapToGrid w:val="0"/>
          <w:vertAlign w:val="superscript"/>
          <w:lang w:eastAsia="zh-CN"/>
        </w:rPr>
        <w:t>1,2,3,6,7,9</w:t>
      </w:r>
      <w:r>
        <w:rPr>
          <w:rFonts w:ascii="Arial" w:hAnsi="Arial" w:eastAsia="宋体" w:cs="Arial"/>
          <w:snapToGrid w:val="0"/>
          <w:lang w:eastAsia="zh-CN"/>
        </w:rPr>
        <w:t>对于任何评分系统，您应明确规定对哪些解剖部位进行评分。如果您的评分系统采用以下方法，也应对其进行规定：</w:t>
      </w:r>
    </w:p>
    <w:p w14:paraId="22134794">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评价粘连范围的方法，即直接用厘米标度尺测量对比估计覆盖器官百分比；</w:t>
      </w:r>
    </w:p>
    <w:p w14:paraId="5B04BAB4">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ascii="Arial" w:hAnsi="Arial" w:eastAsia="宋体" w:cs="Arial"/>
          <w:snapToGrid w:val="0"/>
          <w:lang w:eastAsia="zh-CN"/>
        </w:rPr>
        <w:t>评价粘连严重性的方法；和</w:t>
      </w:r>
    </w:p>
    <w:p w14:paraId="299FCA83">
      <w:pPr>
        <w:pStyle w:val="2"/>
        <w:numPr>
          <w:ilvl w:val="0"/>
          <w:numId w:val="4"/>
        </w:numPr>
        <w:tabs>
          <w:tab w:val="left" w:pos="1134"/>
        </w:tabs>
        <w:topLinePunct/>
        <w:adjustRightInd w:val="0"/>
        <w:snapToGrid w:val="0"/>
        <w:spacing w:after="224" w:afterLines="75" w:line="288" w:lineRule="auto"/>
        <w:ind w:left="1145" w:leftChars="327" w:hanging="426"/>
        <w:jc w:val="both"/>
        <w:rPr>
          <w:rFonts w:ascii="Arial" w:hAnsi="Arial" w:eastAsia="宋体" w:cs="Arial"/>
          <w:snapToGrid w:val="0"/>
          <w:lang w:eastAsia="zh-CN"/>
        </w:rPr>
      </w:pPr>
      <w:r>
        <w:rPr>
          <w:rFonts w:hint="eastAsia" w:ascii="Arial" w:hAnsi="Arial" w:eastAsia="宋体" w:cs="Arial"/>
          <w:snapToGrid w:val="0"/>
          <w:lang w:eastAsia="zh-CN"/>
        </w:rPr>
        <w:t>将</w:t>
      </w:r>
      <w:r>
        <w:rPr>
          <w:rFonts w:ascii="Arial" w:hAnsi="Arial" w:eastAsia="宋体" w:cs="Arial"/>
          <w:snapToGrid w:val="0"/>
          <w:lang w:eastAsia="zh-CN"/>
        </w:rPr>
        <w:t>发生率、严重性和范围分数结合成为有意义综合</w:t>
      </w:r>
      <w:r>
        <w:rPr>
          <w:rFonts w:hint="eastAsia" w:ascii="Arial" w:hAnsi="Arial" w:eastAsia="宋体" w:cs="Arial"/>
          <w:snapToGrid w:val="0"/>
          <w:lang w:eastAsia="zh-CN"/>
        </w:rPr>
        <w:t>评分</w:t>
      </w:r>
      <w:r>
        <w:rPr>
          <w:rFonts w:ascii="Arial" w:hAnsi="Arial" w:eastAsia="宋体" w:cs="Arial"/>
          <w:snapToGrid w:val="0"/>
          <w:lang w:eastAsia="zh-CN"/>
        </w:rPr>
        <w:t>的方法。</w:t>
      </w:r>
    </w:p>
    <w:p w14:paraId="217A8A28">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关于具有临床意义的粘连减少水平，目前没有达成共识。此外，关于具体解剖部位粘连减少，或粘连范围或严重性减少临床意义的信息很少。</w:t>
      </w:r>
      <w:r>
        <w:rPr>
          <w:rFonts w:ascii="Arial" w:hAnsi="Arial" w:eastAsia="宋体" w:cs="Arial"/>
          <w:snapToGrid w:val="0"/>
          <w:vertAlign w:val="superscript"/>
          <w:lang w:eastAsia="zh-CN"/>
        </w:rPr>
        <w:t>4,5,11,12,14</w:t>
      </w:r>
      <w:r>
        <w:rPr>
          <w:rFonts w:ascii="Arial" w:hAnsi="Arial" w:eastAsia="宋体" w:cs="Arial"/>
          <w:snapToGrid w:val="0"/>
          <w:lang w:eastAsia="zh-CN"/>
        </w:rPr>
        <w:t>设计临床试验时您应仔细考虑所有这些参数（粘连减少的水平和部位）。您应讨论您的指标所显示粘连减少程度的临床相关性。</w:t>
      </w:r>
    </w:p>
    <w:p w14:paraId="6C7CBDD1">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批准后研究是进一步理解所选指标临床相关性的合理方法。</w:t>
      </w:r>
      <w:r>
        <w:rPr>
          <w:rFonts w:hint="eastAsia" w:ascii="Arial" w:hAnsi="Arial" w:eastAsia="宋体" w:cs="Arial"/>
          <w:snapToGrid w:val="0"/>
          <w:lang w:eastAsia="zh-CN"/>
        </w:rPr>
        <w:t>下文</w:t>
      </w:r>
      <w:r>
        <w:rPr>
          <w:rFonts w:ascii="Arial" w:hAnsi="Arial" w:eastAsia="宋体" w:cs="Arial"/>
          <w:snapToGrid w:val="0"/>
          <w:lang w:eastAsia="zh-CN"/>
        </w:rPr>
        <w:t>的K部分讨论了批准后研究。</w:t>
      </w:r>
    </w:p>
    <w:p w14:paraId="1C6A1C01">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评估工具</w:t>
      </w:r>
    </w:p>
    <w:p w14:paraId="3C8CD990">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以下评估粘连减少的工具，有的正在使用，有的通过进一步开发和测试，将来可能投入使用。我们</w:t>
      </w:r>
      <w:r>
        <w:rPr>
          <w:rFonts w:hint="eastAsia" w:ascii="Arial" w:hAnsi="Arial" w:eastAsia="宋体" w:cs="Arial"/>
          <w:snapToGrid w:val="0"/>
          <w:lang w:eastAsia="zh-CN"/>
        </w:rPr>
        <w:t>认识到</w:t>
      </w:r>
      <w:r>
        <w:rPr>
          <w:rFonts w:ascii="Arial" w:hAnsi="Arial" w:eastAsia="宋体" w:cs="Arial"/>
          <w:snapToGrid w:val="0"/>
          <w:lang w:eastAsia="zh-CN"/>
        </w:rPr>
        <w:t>各种工具均有优缺点。当选择评估方法时，申办方应讨论为何所选工具适合于研究。</w:t>
      </w:r>
    </w:p>
    <w:p w14:paraId="1C042F28">
      <w:pPr>
        <w:pStyle w:val="17"/>
        <w:numPr>
          <w:ilvl w:val="0"/>
          <w:numId w:val="11"/>
        </w:numPr>
        <w:tabs>
          <w:tab w:val="left" w:pos="125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lang w:eastAsia="zh-CN"/>
        </w:rPr>
        <w:t>二次探查手术</w:t>
      </w:r>
    </w:p>
    <w:p w14:paraId="24EAE29D">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目前通过开腹手术或腹腔镜手术进行二次探查是评估腹部和骨盆内粘连形成／减少的主要形式。</w:t>
      </w:r>
      <w:r>
        <w:rPr>
          <w:rFonts w:hint="eastAsia" w:ascii="Arial" w:hAnsi="Arial" w:eastAsia="宋体" w:cs="Arial"/>
          <w:snapToGrid w:val="0"/>
          <w:lang w:eastAsia="zh-CN"/>
        </w:rPr>
        <w:t>其</w:t>
      </w:r>
      <w:r>
        <w:rPr>
          <w:rFonts w:ascii="Arial" w:hAnsi="Arial" w:eastAsia="宋体" w:cs="Arial"/>
          <w:snapToGrid w:val="0"/>
          <w:lang w:eastAsia="zh-CN"/>
        </w:rPr>
        <w:t>优势是直接目检；是完全探测腹腔并评估严重性（例如薄膜状、牢固、凝结）的手术操作；可同时进行治疗性干预。进行二次探查时需解决的问题包括：</w:t>
      </w:r>
    </w:p>
    <w:p w14:paraId="613953D0">
      <w:pPr>
        <w:rPr>
          <w:rFonts w:ascii="Arial" w:hAnsi="Arial" w:eastAsia="宋体" w:cs="Arial"/>
          <w:snapToGrid w:val="0"/>
          <w:sz w:val="24"/>
          <w:szCs w:val="24"/>
          <w:lang w:eastAsia="zh-CN"/>
        </w:rPr>
      </w:pPr>
      <w:r>
        <w:rPr>
          <w:rFonts w:ascii="Arial" w:hAnsi="Arial" w:eastAsia="宋体" w:cs="Arial"/>
          <w:snapToGrid w:val="0"/>
          <w:lang w:eastAsia="zh-CN"/>
        </w:rPr>
        <w:br w:type="page"/>
      </w:r>
    </w:p>
    <w:p w14:paraId="2C986407">
      <w:pPr>
        <w:pStyle w:val="2"/>
        <w:numPr>
          <w:ilvl w:val="1"/>
          <w:numId w:val="12"/>
        </w:numPr>
        <w:tabs>
          <w:tab w:val="left" w:pos="1520"/>
        </w:tabs>
        <w:topLinePunct/>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二次</w:t>
      </w:r>
      <w:r>
        <w:rPr>
          <w:rFonts w:hint="eastAsia" w:ascii="Arial" w:hAnsi="Arial" w:eastAsia="宋体" w:cs="Arial"/>
          <w:snapToGrid w:val="0"/>
          <w:lang w:eastAsia="zh-CN"/>
        </w:rPr>
        <w:t>手术操作</w:t>
      </w:r>
      <w:r>
        <w:rPr>
          <w:rFonts w:ascii="Arial" w:hAnsi="Arial" w:eastAsia="宋体" w:cs="Arial"/>
          <w:snapToGrid w:val="0"/>
          <w:lang w:eastAsia="zh-CN"/>
        </w:rPr>
        <w:t>可能的发病率（除非在标准护理中做出规划）；</w:t>
      </w:r>
    </w:p>
    <w:p w14:paraId="6CE8C632">
      <w:pPr>
        <w:pStyle w:val="2"/>
        <w:numPr>
          <w:ilvl w:val="1"/>
          <w:numId w:val="12"/>
        </w:numPr>
        <w:tabs>
          <w:tab w:val="left" w:pos="1520"/>
        </w:tabs>
        <w:topLinePunct/>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关于这类</w:t>
      </w:r>
      <w:r>
        <w:rPr>
          <w:rFonts w:hint="eastAsia" w:ascii="Arial" w:hAnsi="Arial" w:eastAsia="宋体" w:cs="Arial"/>
          <w:snapToGrid w:val="0"/>
          <w:lang w:eastAsia="zh-CN"/>
        </w:rPr>
        <w:t>操作</w:t>
      </w:r>
      <w:r>
        <w:rPr>
          <w:rFonts w:ascii="Arial" w:hAnsi="Arial" w:eastAsia="宋体" w:cs="Arial"/>
          <w:snapToGrid w:val="0"/>
          <w:lang w:eastAsia="zh-CN"/>
        </w:rPr>
        <w:t>对</w:t>
      </w:r>
      <w:r>
        <w:rPr>
          <w:rFonts w:hint="eastAsia" w:ascii="Arial" w:hAnsi="Arial" w:eastAsia="宋体" w:cs="Arial"/>
          <w:snapToGrid w:val="0"/>
          <w:lang w:eastAsia="zh-CN"/>
        </w:rPr>
        <w:t>个体受试者</w:t>
      </w:r>
      <w:r>
        <w:rPr>
          <w:rFonts w:ascii="Arial" w:hAnsi="Arial" w:eastAsia="宋体" w:cs="Arial"/>
          <w:snapToGrid w:val="0"/>
          <w:lang w:eastAsia="zh-CN"/>
        </w:rPr>
        <w:t>的可能</w:t>
      </w:r>
      <w:r>
        <w:rPr>
          <w:rFonts w:hint="eastAsia" w:ascii="Arial" w:hAnsi="Arial" w:eastAsia="宋体" w:cs="Arial"/>
          <w:snapToGrid w:val="0"/>
          <w:lang w:eastAsia="zh-CN"/>
        </w:rPr>
        <w:t>获益</w:t>
      </w:r>
      <w:r>
        <w:rPr>
          <w:rFonts w:ascii="Arial" w:hAnsi="Arial" w:eastAsia="宋体" w:cs="Arial"/>
          <w:snapToGrid w:val="0"/>
          <w:lang w:eastAsia="zh-CN"/>
        </w:rPr>
        <w:t>（或没有</w:t>
      </w:r>
      <w:r>
        <w:rPr>
          <w:rFonts w:hint="eastAsia" w:ascii="Arial" w:hAnsi="Arial" w:eastAsia="宋体" w:cs="Arial"/>
          <w:snapToGrid w:val="0"/>
          <w:lang w:eastAsia="zh-CN"/>
        </w:rPr>
        <w:t>获益</w:t>
      </w:r>
      <w:r>
        <w:rPr>
          <w:rFonts w:ascii="Arial" w:hAnsi="Arial" w:eastAsia="宋体" w:cs="Arial"/>
          <w:snapToGrid w:val="0"/>
          <w:lang w:eastAsia="zh-CN"/>
        </w:rPr>
        <w:t>）的伦理问题；</w:t>
      </w:r>
    </w:p>
    <w:p w14:paraId="6B26DABB">
      <w:pPr>
        <w:pStyle w:val="2"/>
        <w:numPr>
          <w:ilvl w:val="1"/>
          <w:numId w:val="12"/>
        </w:numPr>
        <w:tabs>
          <w:tab w:val="left" w:pos="1520"/>
        </w:tabs>
        <w:topLinePunct/>
        <w:adjustRightInd w:val="0"/>
        <w:snapToGrid w:val="0"/>
        <w:spacing w:after="224" w:afterLines="75" w:line="288" w:lineRule="auto"/>
        <w:jc w:val="both"/>
        <w:rPr>
          <w:rFonts w:ascii="Arial" w:hAnsi="Arial" w:eastAsia="宋体" w:cs="Arial"/>
          <w:snapToGrid w:val="0"/>
        </w:rPr>
      </w:pPr>
      <w:r>
        <w:rPr>
          <w:rFonts w:ascii="Arial" w:hAnsi="Arial" w:eastAsia="宋体" w:cs="Arial"/>
          <w:snapToGrid w:val="0"/>
          <w:lang w:eastAsia="zh-CN"/>
        </w:rPr>
        <w:t>盲法问题；和</w:t>
      </w:r>
    </w:p>
    <w:p w14:paraId="2EE726D0">
      <w:pPr>
        <w:pStyle w:val="2"/>
        <w:numPr>
          <w:ilvl w:val="1"/>
          <w:numId w:val="12"/>
        </w:numPr>
        <w:tabs>
          <w:tab w:val="left" w:pos="1520"/>
        </w:tabs>
        <w:topLinePunct/>
        <w:adjustRightInd w:val="0"/>
        <w:snapToGrid w:val="0"/>
        <w:spacing w:after="224" w:afterLines="75" w:line="288" w:lineRule="auto"/>
        <w:jc w:val="both"/>
        <w:rPr>
          <w:rFonts w:ascii="Arial" w:hAnsi="Arial" w:eastAsia="宋体" w:cs="Arial"/>
          <w:snapToGrid w:val="0"/>
          <w:lang w:eastAsia="zh-CN"/>
        </w:rPr>
      </w:pPr>
      <w:r>
        <w:rPr>
          <w:rFonts w:ascii="Arial" w:hAnsi="Arial" w:eastAsia="宋体" w:cs="Arial"/>
          <w:snapToGrid w:val="0"/>
          <w:lang w:eastAsia="zh-CN"/>
        </w:rPr>
        <w:t>与研究者偏差相关的问题。</w:t>
      </w:r>
    </w:p>
    <w:p w14:paraId="1ACCE8BF">
      <w:pPr>
        <w:pStyle w:val="17"/>
        <w:numPr>
          <w:ilvl w:val="0"/>
          <w:numId w:val="11"/>
        </w:numPr>
        <w:tabs>
          <w:tab w:val="left" w:pos="125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bookmarkStart w:id="23" w:name="OLE_LINK2"/>
      <w:bookmarkStart w:id="24" w:name="OLE_LINK7"/>
      <w:r>
        <w:rPr>
          <w:rFonts w:ascii="Arial" w:hAnsi="Arial" w:eastAsia="宋体" w:cs="Arial"/>
          <w:snapToGrid w:val="0"/>
          <w:lang w:eastAsia="zh-CN"/>
        </w:rPr>
        <w:t>视频记录</w:t>
      </w:r>
    </w:p>
    <w:bookmarkEnd w:id="23"/>
    <w:bookmarkEnd w:id="24"/>
    <w:p w14:paraId="67539E3C">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二次探查评估时经常加入视频记录以提供手术</w:t>
      </w:r>
      <w:r>
        <w:rPr>
          <w:rFonts w:hint="eastAsia" w:ascii="Arial" w:hAnsi="Arial" w:eastAsia="宋体" w:cs="Arial"/>
          <w:snapToGrid w:val="0"/>
          <w:lang w:eastAsia="zh-CN"/>
        </w:rPr>
        <w:t>操作</w:t>
      </w:r>
      <w:r>
        <w:rPr>
          <w:rFonts w:ascii="Arial" w:hAnsi="Arial" w:eastAsia="宋体" w:cs="Arial"/>
          <w:snapToGrid w:val="0"/>
          <w:lang w:eastAsia="zh-CN"/>
        </w:rPr>
        <w:t>的永久记录并通过允许独立第三方审核提供盲法机制。与</w:t>
      </w:r>
      <w:r>
        <w:rPr>
          <w:rFonts w:hint="eastAsia" w:ascii="Arial" w:hAnsi="Arial" w:eastAsia="宋体" w:cs="Arial"/>
          <w:snapToGrid w:val="0"/>
          <w:lang w:eastAsia="zh-CN"/>
        </w:rPr>
        <w:t>其他</w:t>
      </w:r>
      <w:r>
        <w:rPr>
          <w:rFonts w:ascii="Arial" w:hAnsi="Arial" w:eastAsia="宋体" w:cs="Arial"/>
          <w:snapToGrid w:val="0"/>
          <w:lang w:eastAsia="zh-CN"/>
        </w:rPr>
        <w:t>技术进步一样，该方法的效用高度依赖于记录的质量和可靠性。记录应完整并有足够的光学质量以允许精确评估粘连数量和质量及评估这些粘连如何受手术探查本身的影响。使用视频记录时一项重要的考虑是对于所有患者评价腹部的方法应一致（例如，以相同的顺序并用相同时间评估手术部位）以减少可能的偏差。</w:t>
      </w:r>
    </w:p>
    <w:p w14:paraId="25853D73">
      <w:pPr>
        <w:pStyle w:val="17"/>
        <w:numPr>
          <w:ilvl w:val="0"/>
          <w:numId w:val="11"/>
        </w:numPr>
        <w:tabs>
          <w:tab w:val="left" w:pos="125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lang w:eastAsia="zh-CN"/>
        </w:rPr>
        <w:t>成像研究</w:t>
      </w:r>
    </w:p>
    <w:p w14:paraId="602E33F4">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随着其他技术的发展，评估防粘连产品时可能会使用成像研究。迄今为止，成像研究不能提供在腹骨盆腔内可有效使用的足够细节。</w:t>
      </w:r>
    </w:p>
    <w:p w14:paraId="1E47AF8A">
      <w:pPr>
        <w:pStyle w:val="17"/>
        <w:numPr>
          <w:ilvl w:val="0"/>
          <w:numId w:val="11"/>
        </w:numPr>
        <w:tabs>
          <w:tab w:val="left" w:pos="125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lang w:eastAsia="zh-CN"/>
        </w:rPr>
        <w:t>功能测试</w:t>
      </w:r>
    </w:p>
    <w:p w14:paraId="6D21BD67">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功能测试已显示出评估肌肉骨骼应用内粘连减少影响的巨大潜力；然而，目前</w:t>
      </w:r>
      <w:r>
        <w:rPr>
          <w:rFonts w:hint="eastAsia" w:ascii="Arial" w:hAnsi="Arial" w:eastAsia="宋体" w:cs="Arial"/>
          <w:snapToGrid w:val="0"/>
          <w:lang w:eastAsia="zh-CN"/>
        </w:rPr>
        <w:t>其</w:t>
      </w:r>
      <w:r>
        <w:rPr>
          <w:rFonts w:ascii="Arial" w:hAnsi="Arial" w:eastAsia="宋体" w:cs="Arial"/>
          <w:snapToGrid w:val="0"/>
          <w:lang w:eastAsia="zh-CN"/>
        </w:rPr>
        <w:t>对腹骨盆应用的效用不太明显。将来可能开发出测量肠动力的新方法和</w:t>
      </w:r>
      <w:r>
        <w:rPr>
          <w:rFonts w:hint="eastAsia" w:ascii="Arial" w:hAnsi="Arial" w:eastAsia="宋体" w:cs="Arial"/>
          <w:snapToGrid w:val="0"/>
          <w:lang w:eastAsia="zh-CN"/>
        </w:rPr>
        <w:t>其他</w:t>
      </w:r>
      <w:r>
        <w:rPr>
          <w:rFonts w:ascii="Arial" w:hAnsi="Arial" w:eastAsia="宋体" w:cs="Arial"/>
          <w:snapToGrid w:val="0"/>
          <w:lang w:eastAsia="zh-CN"/>
        </w:rPr>
        <w:t>测试胃肠和妇科器官系统功能的方法以提供一种可替代通过手术进行解剖学评估的有益、</w:t>
      </w:r>
      <w:r>
        <w:rPr>
          <w:rFonts w:hint="eastAsia" w:ascii="Arial" w:hAnsi="Arial" w:eastAsia="宋体" w:cs="Arial"/>
          <w:snapToGrid w:val="0"/>
          <w:lang w:eastAsia="zh-CN"/>
        </w:rPr>
        <w:t>非侵入性</w:t>
      </w:r>
      <w:r>
        <w:rPr>
          <w:rFonts w:ascii="Arial" w:hAnsi="Arial" w:eastAsia="宋体" w:cs="Arial"/>
          <w:snapToGrid w:val="0"/>
          <w:lang w:eastAsia="zh-CN"/>
        </w:rPr>
        <w:t>方法。这些方法需要进一步的研究和确认。</w:t>
      </w:r>
    </w:p>
    <w:p w14:paraId="0704F58E">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重要评估考虑</w:t>
      </w:r>
    </w:p>
    <w:p w14:paraId="1E847DCC">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由于还未确定评估粘连减少的一致方法，因此您的临床方案应包含关于以下内容的详细信息：</w:t>
      </w:r>
    </w:p>
    <w:p w14:paraId="63306BD3">
      <w:pPr>
        <w:pStyle w:val="2"/>
        <w:numPr>
          <w:ilvl w:val="1"/>
          <w:numId w:val="10"/>
        </w:numPr>
        <w:tabs>
          <w:tab w:val="left" w:pos="1160"/>
        </w:tabs>
        <w:topLinePunct/>
        <w:adjustRightInd w:val="0"/>
        <w:snapToGrid w:val="0"/>
        <w:spacing w:after="224" w:afterLines="75" w:line="288" w:lineRule="auto"/>
        <w:ind w:left="1133" w:leftChars="298" w:hanging="477"/>
        <w:jc w:val="both"/>
        <w:rPr>
          <w:rFonts w:ascii="Arial" w:hAnsi="Arial" w:eastAsia="宋体" w:cs="Arial"/>
          <w:snapToGrid w:val="0"/>
        </w:rPr>
      </w:pPr>
      <w:r>
        <w:rPr>
          <w:rFonts w:ascii="Arial" w:hAnsi="Arial" w:eastAsia="宋体" w:cs="Arial"/>
          <w:snapToGrid w:val="0"/>
          <w:lang w:eastAsia="zh-CN"/>
        </w:rPr>
        <w:t>将评价的解剖部位；</w:t>
      </w:r>
    </w:p>
    <w:p w14:paraId="339DC95F">
      <w:pPr>
        <w:pStyle w:val="2"/>
        <w:numPr>
          <w:ilvl w:val="1"/>
          <w:numId w:val="10"/>
        </w:numPr>
        <w:tabs>
          <w:tab w:val="left" w:pos="1160"/>
        </w:tabs>
        <w:topLinePunct/>
        <w:adjustRightInd w:val="0"/>
        <w:snapToGrid w:val="0"/>
        <w:spacing w:after="224" w:afterLines="75" w:line="288" w:lineRule="auto"/>
        <w:ind w:left="1133" w:leftChars="298" w:hanging="477"/>
        <w:jc w:val="both"/>
        <w:rPr>
          <w:rFonts w:ascii="Arial" w:hAnsi="Arial" w:eastAsia="宋体" w:cs="Arial"/>
          <w:snapToGrid w:val="0"/>
          <w:lang w:eastAsia="zh-CN"/>
        </w:rPr>
      </w:pPr>
      <w:r>
        <w:rPr>
          <w:rFonts w:ascii="Arial" w:hAnsi="Arial" w:eastAsia="宋体" w:cs="Arial"/>
          <w:snapToGrid w:val="0"/>
          <w:lang w:eastAsia="zh-CN"/>
        </w:rPr>
        <w:t>外科手术中完成粘连评分的时间点（</w:t>
      </w:r>
      <w:r>
        <w:rPr>
          <w:rFonts w:hint="eastAsia" w:ascii="Arial" w:hAnsi="Arial" w:eastAsia="宋体" w:cs="Arial"/>
          <w:snapToGrid w:val="0"/>
          <w:lang w:eastAsia="zh-CN"/>
        </w:rPr>
        <w:t>在局部</w:t>
      </w:r>
      <w:r>
        <w:rPr>
          <w:rFonts w:ascii="Arial" w:hAnsi="Arial" w:eastAsia="宋体" w:cs="Arial"/>
          <w:snapToGrid w:val="0"/>
          <w:lang w:eastAsia="zh-CN"/>
        </w:rPr>
        <w:t>或选择性粘连松解</w:t>
      </w:r>
      <w:r>
        <w:rPr>
          <w:rFonts w:hint="eastAsia" w:ascii="Arial" w:hAnsi="Arial" w:eastAsia="宋体" w:cs="Arial"/>
          <w:snapToGrid w:val="0"/>
          <w:lang w:eastAsia="zh-CN"/>
        </w:rPr>
        <w:t>情况下开始</w:t>
      </w:r>
      <w:r>
        <w:rPr>
          <w:rFonts w:ascii="Arial" w:hAnsi="Arial" w:eastAsia="宋体" w:cs="Arial"/>
          <w:snapToGrid w:val="0"/>
          <w:lang w:eastAsia="zh-CN"/>
        </w:rPr>
        <w:t>或</w:t>
      </w:r>
      <w:r>
        <w:rPr>
          <w:rFonts w:hint="eastAsia" w:ascii="Arial" w:hAnsi="Arial" w:eastAsia="宋体" w:cs="Arial"/>
          <w:snapToGrid w:val="0"/>
          <w:lang w:eastAsia="zh-CN"/>
        </w:rPr>
        <w:t>结束</w:t>
      </w:r>
      <w:r>
        <w:rPr>
          <w:rFonts w:ascii="Arial" w:hAnsi="Arial" w:eastAsia="宋体" w:cs="Arial"/>
          <w:snapToGrid w:val="0"/>
          <w:lang w:eastAsia="zh-CN"/>
        </w:rPr>
        <w:t>或两者</w:t>
      </w:r>
      <w:r>
        <w:rPr>
          <w:rFonts w:hint="eastAsia" w:ascii="Arial" w:hAnsi="Arial" w:eastAsia="宋体" w:cs="Arial"/>
          <w:snapToGrid w:val="0"/>
          <w:lang w:eastAsia="zh-CN"/>
        </w:rPr>
        <w:t>兼有</w:t>
      </w:r>
      <w:r>
        <w:rPr>
          <w:rFonts w:ascii="Arial" w:hAnsi="Arial" w:eastAsia="宋体" w:cs="Arial"/>
          <w:snapToGrid w:val="0"/>
          <w:lang w:eastAsia="zh-CN"/>
        </w:rPr>
        <w:t>）；</w:t>
      </w:r>
    </w:p>
    <w:p w14:paraId="763EEB03">
      <w:pPr>
        <w:pStyle w:val="2"/>
        <w:numPr>
          <w:ilvl w:val="1"/>
          <w:numId w:val="10"/>
        </w:numPr>
        <w:tabs>
          <w:tab w:val="left" w:pos="1160"/>
        </w:tabs>
        <w:topLinePunct/>
        <w:adjustRightInd w:val="0"/>
        <w:snapToGrid w:val="0"/>
        <w:spacing w:after="224" w:afterLines="75" w:line="288" w:lineRule="auto"/>
        <w:ind w:left="1133" w:leftChars="286" w:hanging="504"/>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将测量的粘连特性（发生率、严重性、范围）和分级或测量每种特性的方法；</w:t>
      </w:r>
    </w:p>
    <w:p w14:paraId="6C1CB01D">
      <w:pPr>
        <w:pStyle w:val="2"/>
        <w:numPr>
          <w:ilvl w:val="1"/>
          <w:numId w:val="10"/>
        </w:numPr>
        <w:tabs>
          <w:tab w:val="left" w:pos="1160"/>
        </w:tabs>
        <w:topLinePunct/>
        <w:adjustRightInd w:val="0"/>
        <w:snapToGrid w:val="0"/>
        <w:spacing w:after="224" w:afterLines="75" w:line="288" w:lineRule="auto"/>
        <w:ind w:left="1133" w:leftChars="286" w:hanging="504"/>
        <w:jc w:val="both"/>
        <w:rPr>
          <w:rFonts w:ascii="Arial" w:hAnsi="Arial" w:eastAsia="宋体" w:cs="Arial"/>
          <w:snapToGrid w:val="0"/>
          <w:lang w:eastAsia="zh-CN"/>
        </w:rPr>
      </w:pPr>
      <w:r>
        <w:rPr>
          <w:rFonts w:ascii="Arial" w:hAnsi="Arial" w:eastAsia="宋体" w:cs="Arial"/>
          <w:snapToGrid w:val="0"/>
          <w:lang w:eastAsia="zh-CN"/>
        </w:rPr>
        <w:t>评估每个解剖部位分数的每种组成部分的方法，例如腹腔镜检查</w:t>
      </w:r>
      <w:r>
        <w:rPr>
          <w:rFonts w:hint="eastAsia" w:ascii="Arial" w:hAnsi="Arial" w:eastAsia="宋体" w:cs="Arial"/>
          <w:snapToGrid w:val="0"/>
          <w:lang w:eastAsia="zh-CN"/>
        </w:rPr>
        <w:t>、</w:t>
      </w:r>
      <w:r>
        <w:rPr>
          <w:rFonts w:ascii="Arial" w:hAnsi="Arial" w:eastAsia="宋体" w:cs="Arial"/>
          <w:snapToGrid w:val="0"/>
          <w:lang w:eastAsia="zh-CN"/>
        </w:rPr>
        <w:t>开腹手术，录像；</w:t>
      </w:r>
    </w:p>
    <w:p w14:paraId="7B424144">
      <w:pPr>
        <w:pStyle w:val="2"/>
        <w:numPr>
          <w:ilvl w:val="1"/>
          <w:numId w:val="10"/>
        </w:numPr>
        <w:tabs>
          <w:tab w:val="left" w:pos="1160"/>
        </w:tabs>
        <w:topLinePunct/>
        <w:adjustRightInd w:val="0"/>
        <w:snapToGrid w:val="0"/>
        <w:spacing w:after="224" w:afterLines="75" w:line="288" w:lineRule="auto"/>
        <w:ind w:left="1133" w:leftChars="286" w:hanging="504"/>
        <w:jc w:val="both"/>
        <w:rPr>
          <w:rFonts w:ascii="Arial" w:hAnsi="Arial" w:eastAsia="宋体" w:cs="Arial"/>
          <w:snapToGrid w:val="0"/>
          <w:lang w:eastAsia="zh-CN"/>
        </w:rPr>
      </w:pPr>
      <w:r>
        <w:rPr>
          <w:rFonts w:ascii="Arial" w:hAnsi="Arial" w:eastAsia="宋体" w:cs="Arial"/>
          <w:snapToGrid w:val="0"/>
          <w:lang w:eastAsia="zh-CN"/>
        </w:rPr>
        <w:t>计算特定患者体内即将评价但解剖学上不存在或不可评估解剖部位的方法；</w:t>
      </w:r>
    </w:p>
    <w:p w14:paraId="2C23A4B8">
      <w:pPr>
        <w:pStyle w:val="2"/>
        <w:numPr>
          <w:ilvl w:val="1"/>
          <w:numId w:val="10"/>
        </w:numPr>
        <w:tabs>
          <w:tab w:val="left" w:pos="1160"/>
        </w:tabs>
        <w:topLinePunct/>
        <w:adjustRightInd w:val="0"/>
        <w:snapToGrid w:val="0"/>
        <w:spacing w:after="224" w:afterLines="75" w:line="288" w:lineRule="auto"/>
        <w:ind w:left="1133" w:leftChars="286" w:hanging="504"/>
        <w:jc w:val="both"/>
        <w:rPr>
          <w:rFonts w:ascii="Arial" w:hAnsi="Arial" w:eastAsia="宋体" w:cs="Arial"/>
          <w:snapToGrid w:val="0"/>
          <w:lang w:eastAsia="zh-CN"/>
        </w:rPr>
      </w:pPr>
      <w:r>
        <w:rPr>
          <w:rFonts w:ascii="Arial" w:hAnsi="Arial" w:eastAsia="宋体" w:cs="Arial"/>
          <w:snapToGrid w:val="0"/>
          <w:lang w:eastAsia="zh-CN"/>
        </w:rPr>
        <w:t>结合每</w:t>
      </w:r>
      <w:r>
        <w:rPr>
          <w:rFonts w:hint="eastAsia" w:ascii="Arial" w:hAnsi="Arial" w:eastAsia="宋体" w:cs="Arial"/>
          <w:snapToGrid w:val="0"/>
          <w:lang w:eastAsia="zh-CN"/>
        </w:rPr>
        <w:t>例</w:t>
      </w:r>
      <w:r>
        <w:rPr>
          <w:rFonts w:ascii="Arial" w:hAnsi="Arial" w:eastAsia="宋体" w:cs="Arial"/>
          <w:snapToGrid w:val="0"/>
          <w:lang w:eastAsia="zh-CN"/>
        </w:rPr>
        <w:t>患者或每个治疗组每个解剖部位粘连特性的方法；和</w:t>
      </w:r>
    </w:p>
    <w:p w14:paraId="7BDFD946">
      <w:pPr>
        <w:pStyle w:val="2"/>
        <w:numPr>
          <w:ilvl w:val="1"/>
          <w:numId w:val="10"/>
        </w:numPr>
        <w:tabs>
          <w:tab w:val="left" w:pos="1160"/>
        </w:tabs>
        <w:topLinePunct/>
        <w:adjustRightInd w:val="0"/>
        <w:snapToGrid w:val="0"/>
        <w:spacing w:after="224" w:afterLines="75" w:line="288" w:lineRule="auto"/>
        <w:ind w:left="1133" w:leftChars="286" w:hanging="504"/>
        <w:jc w:val="both"/>
        <w:rPr>
          <w:rFonts w:ascii="Arial" w:hAnsi="Arial" w:eastAsia="宋体" w:cs="Arial"/>
          <w:snapToGrid w:val="0"/>
          <w:lang w:eastAsia="zh-CN"/>
        </w:rPr>
      </w:pPr>
      <w:r>
        <w:rPr>
          <w:rFonts w:ascii="Arial" w:hAnsi="Arial" w:eastAsia="宋体" w:cs="Arial"/>
          <w:snapToGrid w:val="0"/>
          <w:lang w:eastAsia="zh-CN"/>
        </w:rPr>
        <w:t>证实综合</w:t>
      </w:r>
      <w:r>
        <w:rPr>
          <w:rFonts w:hint="eastAsia" w:ascii="Arial" w:hAnsi="Arial" w:eastAsia="宋体" w:cs="Arial"/>
          <w:snapToGrid w:val="0"/>
          <w:lang w:eastAsia="zh-CN"/>
        </w:rPr>
        <w:t>评分</w:t>
      </w:r>
      <w:r>
        <w:rPr>
          <w:rFonts w:ascii="Arial" w:hAnsi="Arial" w:eastAsia="宋体" w:cs="Arial"/>
          <w:snapToGrid w:val="0"/>
          <w:lang w:eastAsia="zh-CN"/>
        </w:rPr>
        <w:t>（如果使用）是评估粘连或粘连所致发病率的有效和可靠工具的方法。</w:t>
      </w:r>
    </w:p>
    <w:p w14:paraId="494A3801">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研究设计</w:t>
      </w:r>
    </w:p>
    <w:p w14:paraId="51F471A5">
      <w:pPr>
        <w:numPr>
          <w:ilvl w:val="0"/>
          <w:numId w:val="13"/>
        </w:numPr>
        <w:topLinePunct/>
        <w:adjustRightInd w:val="0"/>
        <w:snapToGrid w:val="0"/>
        <w:spacing w:after="224" w:afterLines="75" w:line="288" w:lineRule="auto"/>
        <w:ind w:left="1132" w:leftChars="322" w:hanging="424" w:hangingChars="176"/>
        <w:jc w:val="both"/>
        <w:rPr>
          <w:rFonts w:ascii="Arial" w:hAnsi="Arial" w:eastAsia="宋体" w:cs="Arial"/>
          <w:snapToGrid w:val="0"/>
          <w:sz w:val="24"/>
          <w:szCs w:val="24"/>
        </w:rPr>
      </w:pPr>
      <w:r>
        <w:rPr>
          <w:rFonts w:ascii="Arial" w:hAnsi="Arial" w:eastAsia="宋体" w:cs="Arial"/>
          <w:b/>
          <w:snapToGrid w:val="0"/>
          <w:sz w:val="24"/>
          <w:lang w:eastAsia="zh-CN"/>
        </w:rPr>
        <w:t>对照</w:t>
      </w:r>
    </w:p>
    <w:p w14:paraId="65FC1369">
      <w:pPr>
        <w:pStyle w:val="2"/>
        <w:topLinePunct/>
        <w:adjustRightInd w:val="0"/>
        <w:snapToGrid w:val="0"/>
        <w:spacing w:after="224" w:afterLines="75" w:line="288" w:lineRule="auto"/>
        <w:ind w:left="708" w:leftChars="322" w:firstLine="0"/>
        <w:jc w:val="both"/>
        <w:rPr>
          <w:rFonts w:ascii="Arial" w:hAnsi="Arial" w:eastAsia="宋体" w:cs="Arial"/>
          <w:snapToGrid w:val="0"/>
          <w:lang w:eastAsia="zh-CN"/>
        </w:rPr>
      </w:pPr>
      <w:r>
        <w:rPr>
          <w:rFonts w:ascii="Arial" w:hAnsi="Arial" w:eastAsia="宋体" w:cs="Arial"/>
          <w:snapToGrid w:val="0"/>
          <w:lang w:eastAsia="zh-CN"/>
        </w:rPr>
        <w:t>考虑到没有明确的历史对照或</w:t>
      </w:r>
      <w:r>
        <w:rPr>
          <w:rFonts w:hint="eastAsia" w:ascii="Arial" w:hAnsi="Arial" w:eastAsia="宋体" w:cs="Arial"/>
          <w:snapToGrid w:val="0"/>
          <w:lang w:eastAsia="zh-CN"/>
        </w:rPr>
        <w:t>其他</w:t>
      </w:r>
      <w:r>
        <w:rPr>
          <w:rFonts w:ascii="Arial" w:hAnsi="Arial" w:eastAsia="宋体" w:cs="Arial"/>
          <w:snapToGrid w:val="0"/>
          <w:lang w:eastAsia="zh-CN"/>
        </w:rPr>
        <w:t>适当对照方法，FDA建议实施随机</w:t>
      </w:r>
      <w:r>
        <w:rPr>
          <w:rFonts w:hint="eastAsia" w:ascii="Arial" w:hAnsi="Arial" w:eastAsia="宋体" w:cs="Arial"/>
          <w:snapToGrid w:val="0"/>
          <w:lang w:eastAsia="zh-CN"/>
        </w:rPr>
        <w:t>化、并行</w:t>
      </w:r>
      <w:r>
        <w:rPr>
          <w:rFonts w:ascii="Arial" w:hAnsi="Arial" w:eastAsia="宋体" w:cs="Arial"/>
          <w:snapToGrid w:val="0"/>
          <w:lang w:eastAsia="zh-CN"/>
        </w:rPr>
        <w:t>对照关键试验。您应该用最新可用的同行评议文献证明所选对照合理。</w:t>
      </w:r>
    </w:p>
    <w:p w14:paraId="49AC75F8">
      <w:pPr>
        <w:pStyle w:val="17"/>
        <w:numPr>
          <w:ilvl w:val="0"/>
          <w:numId w:val="13"/>
        </w:numPr>
        <w:topLinePunct/>
        <w:adjustRightInd w:val="0"/>
        <w:snapToGrid w:val="0"/>
        <w:spacing w:after="224" w:afterLines="75" w:line="288" w:lineRule="auto"/>
        <w:ind w:left="1132" w:leftChars="322" w:hanging="424" w:hangingChars="176"/>
        <w:jc w:val="both"/>
        <w:outlineLvl w:val="9"/>
        <w:rPr>
          <w:rFonts w:ascii="Arial" w:hAnsi="Arial" w:eastAsia="宋体" w:cs="Arial"/>
          <w:b w:val="0"/>
          <w:bCs w:val="0"/>
          <w:snapToGrid w:val="0"/>
        </w:rPr>
      </w:pPr>
      <w:r>
        <w:rPr>
          <w:rFonts w:ascii="Arial" w:hAnsi="Arial" w:eastAsia="宋体" w:cs="Arial"/>
          <w:snapToGrid w:val="0"/>
          <w:lang w:eastAsia="zh-CN"/>
        </w:rPr>
        <w:t>随机化</w:t>
      </w:r>
    </w:p>
    <w:p w14:paraId="4DDF2A2E">
      <w:pPr>
        <w:pStyle w:val="2"/>
        <w:topLinePunct/>
        <w:adjustRightInd w:val="0"/>
        <w:snapToGrid w:val="0"/>
        <w:spacing w:after="224" w:afterLines="75" w:line="288" w:lineRule="auto"/>
        <w:ind w:left="708" w:leftChars="322" w:firstLine="0"/>
        <w:jc w:val="both"/>
        <w:rPr>
          <w:rFonts w:ascii="Arial" w:hAnsi="Arial" w:eastAsia="宋体" w:cs="Arial"/>
          <w:snapToGrid w:val="0"/>
          <w:lang w:eastAsia="zh-CN"/>
        </w:rPr>
      </w:pPr>
      <w:r>
        <w:rPr>
          <w:rFonts w:ascii="Arial" w:hAnsi="Arial" w:eastAsia="宋体" w:cs="Arial"/>
          <w:snapToGrid w:val="0"/>
          <w:lang w:eastAsia="zh-CN"/>
        </w:rPr>
        <w:t>随机化应发生在评价并发现患者满足术前及术中入选／排除标准后、即将应用器械之前。随机化时间应记录在病例报告表中。</w:t>
      </w:r>
    </w:p>
    <w:p w14:paraId="7E4E1729">
      <w:pPr>
        <w:pStyle w:val="17"/>
        <w:numPr>
          <w:ilvl w:val="0"/>
          <w:numId w:val="13"/>
        </w:numPr>
        <w:topLinePunct/>
        <w:adjustRightInd w:val="0"/>
        <w:snapToGrid w:val="0"/>
        <w:spacing w:after="224" w:afterLines="75" w:line="288" w:lineRule="auto"/>
        <w:ind w:left="1132" w:leftChars="322" w:hanging="424" w:hangingChars="176"/>
        <w:jc w:val="both"/>
        <w:outlineLvl w:val="9"/>
        <w:rPr>
          <w:rFonts w:ascii="Arial" w:hAnsi="Arial" w:eastAsia="宋体" w:cs="Arial"/>
          <w:b w:val="0"/>
          <w:bCs w:val="0"/>
          <w:snapToGrid w:val="0"/>
        </w:rPr>
      </w:pPr>
      <w:r>
        <w:rPr>
          <w:rFonts w:ascii="Arial" w:hAnsi="Arial" w:eastAsia="宋体" w:cs="Arial"/>
          <w:snapToGrid w:val="0"/>
          <w:lang w:eastAsia="zh-CN"/>
        </w:rPr>
        <w:t>盲法</w:t>
      </w:r>
    </w:p>
    <w:p w14:paraId="4E023E58">
      <w:pPr>
        <w:pStyle w:val="2"/>
        <w:topLinePunct/>
        <w:adjustRightInd w:val="0"/>
        <w:snapToGrid w:val="0"/>
        <w:spacing w:after="224" w:afterLines="75" w:line="288" w:lineRule="auto"/>
        <w:ind w:left="708" w:leftChars="322" w:firstLine="0"/>
        <w:jc w:val="both"/>
        <w:rPr>
          <w:rFonts w:ascii="Arial" w:hAnsi="Arial" w:eastAsia="宋体" w:cs="Arial"/>
          <w:snapToGrid w:val="0"/>
          <w:lang w:eastAsia="zh-CN"/>
        </w:rPr>
      </w:pPr>
      <w:r>
        <w:rPr>
          <w:rFonts w:ascii="Arial" w:hAnsi="Arial" w:eastAsia="宋体" w:cs="Arial"/>
          <w:snapToGrid w:val="0"/>
          <w:lang w:eastAsia="zh-CN"/>
        </w:rPr>
        <w:t>您应尽可能最大程度地解决研究者可能性，并使患者偏差程度更小。对于使用安慰剂或活性对照的防粘连产品试验，研究者盲法</w:t>
      </w:r>
      <w:r>
        <w:rPr>
          <w:rFonts w:hint="eastAsia" w:ascii="Arial" w:hAnsi="Arial" w:eastAsia="宋体" w:cs="Arial"/>
          <w:snapToGrid w:val="0"/>
          <w:lang w:eastAsia="zh-CN"/>
        </w:rPr>
        <w:t>存在问题</w:t>
      </w:r>
      <w:r>
        <w:rPr>
          <w:rFonts w:ascii="Arial" w:hAnsi="Arial" w:eastAsia="宋体" w:cs="Arial"/>
          <w:snapToGrid w:val="0"/>
          <w:lang w:eastAsia="zh-CN"/>
        </w:rPr>
        <w:t>，原因是试验人员和对照人员的差异通常显而易见且从患者护理角度来看由相同外科医生实施首次和二次探查手术通常更可取。您可采用其中一种控制偏差的替代方法，包括可进行盲法独立审核的视频记录或由不参与粘连评分的助理施加器械／对照品。您应在开发的可行性（关键试验前）阶段评估这些方法或</w:t>
      </w:r>
      <w:r>
        <w:rPr>
          <w:rFonts w:hint="eastAsia" w:ascii="Arial" w:hAnsi="Arial" w:eastAsia="宋体" w:cs="Arial"/>
          <w:snapToGrid w:val="0"/>
          <w:lang w:eastAsia="zh-CN"/>
        </w:rPr>
        <w:t>其他</w:t>
      </w:r>
      <w:r>
        <w:rPr>
          <w:rFonts w:ascii="Arial" w:hAnsi="Arial" w:eastAsia="宋体" w:cs="Arial"/>
          <w:snapToGrid w:val="0"/>
          <w:lang w:eastAsia="zh-CN"/>
        </w:rPr>
        <w:t>方法学。</w:t>
      </w:r>
    </w:p>
    <w:p w14:paraId="4C1FC856">
      <w:pPr>
        <w:pStyle w:val="17"/>
        <w:numPr>
          <w:ilvl w:val="0"/>
          <w:numId w:val="13"/>
        </w:numPr>
        <w:topLinePunct/>
        <w:adjustRightInd w:val="0"/>
        <w:snapToGrid w:val="0"/>
        <w:spacing w:after="224" w:afterLines="75" w:line="288" w:lineRule="auto"/>
        <w:ind w:left="1132" w:leftChars="322" w:hanging="424" w:hangingChars="176"/>
        <w:jc w:val="both"/>
        <w:outlineLvl w:val="9"/>
        <w:rPr>
          <w:rFonts w:ascii="Arial" w:hAnsi="Arial" w:eastAsia="宋体" w:cs="Arial"/>
          <w:b w:val="0"/>
          <w:bCs w:val="0"/>
          <w:snapToGrid w:val="0"/>
        </w:rPr>
      </w:pPr>
      <w:r>
        <w:rPr>
          <w:rFonts w:ascii="Arial" w:hAnsi="Arial" w:eastAsia="宋体" w:cs="Arial"/>
          <w:snapToGrid w:val="0"/>
          <w:lang w:eastAsia="zh-CN"/>
        </w:rPr>
        <w:t>患者选择标准</w:t>
      </w:r>
    </w:p>
    <w:p w14:paraId="0AB78A6C">
      <w:pPr>
        <w:pStyle w:val="2"/>
        <w:topLinePunct/>
        <w:adjustRightInd w:val="0"/>
        <w:snapToGrid w:val="0"/>
        <w:spacing w:after="224" w:afterLines="75" w:line="288" w:lineRule="auto"/>
        <w:ind w:left="708" w:leftChars="322" w:firstLine="0"/>
        <w:jc w:val="both"/>
        <w:rPr>
          <w:rFonts w:ascii="Arial" w:hAnsi="Arial" w:eastAsia="宋体" w:cs="Arial"/>
          <w:snapToGrid w:val="0"/>
          <w:lang w:eastAsia="zh-CN"/>
        </w:rPr>
      </w:pPr>
      <w:r>
        <w:rPr>
          <w:rFonts w:ascii="Arial" w:hAnsi="Arial" w:eastAsia="宋体" w:cs="Arial"/>
          <w:snapToGrid w:val="0"/>
          <w:lang w:eastAsia="zh-CN"/>
        </w:rPr>
        <w:t>目标人群应由在指定使用条件下预期</w:t>
      </w:r>
      <w:r>
        <w:rPr>
          <w:rFonts w:hint="eastAsia" w:ascii="Arial" w:hAnsi="Arial" w:eastAsia="宋体" w:cs="Arial"/>
          <w:snapToGrid w:val="0"/>
          <w:lang w:eastAsia="zh-CN"/>
        </w:rPr>
        <w:t>获益</w:t>
      </w:r>
      <w:r>
        <w:rPr>
          <w:rFonts w:ascii="Arial" w:hAnsi="Arial" w:eastAsia="宋体" w:cs="Arial"/>
          <w:snapToGrid w:val="0"/>
          <w:lang w:eastAsia="zh-CN"/>
        </w:rPr>
        <w:t>于器械使用的患者组成。临床研究的入选和排除标准应指出</w:t>
      </w:r>
      <w:r>
        <w:rPr>
          <w:rFonts w:hint="eastAsia" w:ascii="Arial" w:hAnsi="Arial" w:eastAsia="宋体" w:cs="Arial"/>
          <w:snapToGrid w:val="0"/>
          <w:lang w:eastAsia="zh-CN"/>
        </w:rPr>
        <w:t>描述</w:t>
      </w:r>
      <w:r>
        <w:rPr>
          <w:rFonts w:ascii="Arial" w:hAnsi="Arial" w:eastAsia="宋体" w:cs="Arial"/>
          <w:snapToGrid w:val="0"/>
          <w:lang w:eastAsia="zh-CN"/>
        </w:rPr>
        <w:t>目标人群特性的重要患者变量，比如：</w:t>
      </w:r>
    </w:p>
    <w:p w14:paraId="37845350">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年龄</w:t>
      </w:r>
    </w:p>
    <w:p w14:paraId="7578DCB0">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性别</w:t>
      </w:r>
    </w:p>
    <w:p w14:paraId="7FFF228A">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生育状况</w:t>
      </w:r>
    </w:p>
    <w:p w14:paraId="6955796D">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rPr>
      </w:pPr>
      <w:r>
        <w:rPr>
          <w:rFonts w:ascii="Arial" w:hAnsi="Arial" w:eastAsia="宋体" w:cs="Arial"/>
          <w:snapToGrid w:val="0"/>
          <w:lang w:eastAsia="zh-CN"/>
        </w:rPr>
        <w:t>妊娠史</w:t>
      </w:r>
    </w:p>
    <w:p w14:paraId="044CF973">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由粘连导致的腹骨盆疾病史，例如肠梗阻复发</w:t>
      </w:r>
      <w:r>
        <w:rPr>
          <w:rFonts w:hint="eastAsia" w:ascii="Arial" w:hAnsi="Arial" w:eastAsia="宋体" w:cs="Arial"/>
          <w:snapToGrid w:val="0"/>
          <w:lang w:eastAsia="zh-CN"/>
        </w:rPr>
        <w:t>、</w:t>
      </w:r>
      <w:r>
        <w:rPr>
          <w:rFonts w:ascii="Arial" w:hAnsi="Arial" w:eastAsia="宋体" w:cs="Arial"/>
          <w:snapToGrid w:val="0"/>
          <w:lang w:eastAsia="zh-CN"/>
        </w:rPr>
        <w:t>不孕症</w:t>
      </w:r>
      <w:r>
        <w:rPr>
          <w:rFonts w:hint="eastAsia" w:ascii="Arial" w:hAnsi="Arial" w:eastAsia="宋体" w:cs="Arial"/>
          <w:snapToGrid w:val="0"/>
          <w:lang w:eastAsia="zh-CN"/>
        </w:rPr>
        <w:t>、</w:t>
      </w:r>
      <w:r>
        <w:rPr>
          <w:rFonts w:ascii="Arial" w:hAnsi="Arial" w:eastAsia="宋体" w:cs="Arial"/>
          <w:snapToGrid w:val="0"/>
          <w:lang w:eastAsia="zh-CN"/>
        </w:rPr>
        <w:t>疼痛</w:t>
      </w:r>
    </w:p>
    <w:p w14:paraId="41ED750A">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基线粘连负担，</w:t>
      </w:r>
      <w:r>
        <w:rPr>
          <w:rFonts w:hint="eastAsia" w:ascii="Arial" w:hAnsi="Arial" w:eastAsia="宋体" w:cs="Arial"/>
          <w:snapToGrid w:val="0"/>
          <w:lang w:eastAsia="zh-CN"/>
        </w:rPr>
        <w:t>例如客观上无（粘连）、轻微、中等、严重，并提供轻微、中等、严重的定义</w:t>
      </w:r>
    </w:p>
    <w:p w14:paraId="6ED724EF">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手术史</w:t>
      </w:r>
    </w:p>
    <w:p w14:paraId="6C7D7BDE">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炎性疾病史</w:t>
      </w:r>
    </w:p>
    <w:p w14:paraId="577CE7AD">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重要器官功能障碍史</w:t>
      </w:r>
    </w:p>
    <w:p w14:paraId="23741535">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手术创口分类</w:t>
      </w:r>
      <w:r>
        <w:rPr>
          <w:rFonts w:ascii="Arial" w:hAnsi="Arial" w:eastAsia="宋体" w:cs="Arial"/>
          <w:snapToGrid w:val="0"/>
          <w:vertAlign w:val="superscript"/>
          <w:lang w:eastAsia="zh-CN"/>
        </w:rPr>
        <w:t>10</w:t>
      </w:r>
      <w:r>
        <w:rPr>
          <w:rFonts w:ascii="Arial" w:hAnsi="Arial" w:eastAsia="宋体" w:cs="Arial"/>
          <w:snapToGrid w:val="0"/>
          <w:lang w:eastAsia="zh-CN"/>
        </w:rPr>
        <w:t>：清洁</w:t>
      </w:r>
      <w:r>
        <w:rPr>
          <w:rFonts w:hint="eastAsia" w:ascii="Arial" w:hAnsi="Arial" w:eastAsia="宋体" w:cs="Arial"/>
          <w:snapToGrid w:val="0"/>
          <w:lang w:eastAsia="zh-CN"/>
        </w:rPr>
        <w:t>、</w:t>
      </w:r>
      <w:r>
        <w:rPr>
          <w:rFonts w:ascii="Arial" w:hAnsi="Arial" w:eastAsia="宋体" w:cs="Arial"/>
          <w:snapToGrid w:val="0"/>
          <w:lang w:eastAsia="zh-CN"/>
        </w:rPr>
        <w:t>清洁有感染</w:t>
      </w:r>
      <w:r>
        <w:rPr>
          <w:rFonts w:hint="eastAsia" w:ascii="Arial" w:hAnsi="Arial" w:eastAsia="宋体" w:cs="Arial"/>
          <w:snapToGrid w:val="0"/>
          <w:lang w:eastAsia="zh-CN"/>
        </w:rPr>
        <w:t>、</w:t>
      </w:r>
      <w:r>
        <w:rPr>
          <w:rFonts w:ascii="Arial" w:hAnsi="Arial" w:eastAsia="宋体" w:cs="Arial"/>
          <w:snapToGrid w:val="0"/>
          <w:lang w:eastAsia="zh-CN"/>
        </w:rPr>
        <w:t>感染或肮脏。</w:t>
      </w:r>
    </w:p>
    <w:p w14:paraId="76EC740B">
      <w:pPr>
        <w:pStyle w:val="2"/>
        <w:topLinePunct/>
        <w:adjustRightInd w:val="0"/>
        <w:snapToGrid w:val="0"/>
        <w:spacing w:after="224" w:afterLines="75" w:line="288" w:lineRule="auto"/>
        <w:ind w:left="708" w:leftChars="322" w:firstLine="0"/>
        <w:jc w:val="both"/>
        <w:rPr>
          <w:rFonts w:ascii="Arial" w:hAnsi="Arial" w:eastAsia="宋体" w:cs="Arial"/>
          <w:snapToGrid w:val="0"/>
          <w:lang w:eastAsia="zh-CN"/>
        </w:rPr>
      </w:pPr>
      <w:r>
        <w:rPr>
          <w:rFonts w:ascii="Arial" w:hAnsi="Arial" w:eastAsia="宋体" w:cs="Arial"/>
          <w:snapToGrid w:val="0"/>
          <w:lang w:eastAsia="zh-CN"/>
        </w:rPr>
        <w:t>您应</w:t>
      </w:r>
      <w:r>
        <w:rPr>
          <w:rFonts w:hint="eastAsia" w:ascii="Arial" w:hAnsi="Arial" w:eastAsia="宋体" w:cs="Arial"/>
          <w:snapToGrid w:val="0"/>
          <w:lang w:eastAsia="zh-CN"/>
        </w:rPr>
        <w:t>预先</w:t>
      </w:r>
      <w:r>
        <w:rPr>
          <w:rFonts w:ascii="Arial" w:hAnsi="Arial" w:eastAsia="宋体" w:cs="Arial"/>
          <w:snapToGrid w:val="0"/>
          <w:lang w:eastAsia="zh-CN"/>
        </w:rPr>
        <w:t>确定术中入选／排除标准。一些排除标准（比如活动性盆腔炎</w:t>
      </w:r>
      <w:r>
        <w:rPr>
          <w:rFonts w:hint="eastAsia" w:ascii="Arial" w:hAnsi="Arial" w:eastAsia="宋体" w:cs="Arial"/>
          <w:snapToGrid w:val="0"/>
          <w:lang w:eastAsia="zh-CN"/>
        </w:rPr>
        <w:t>、</w:t>
      </w:r>
      <w:r>
        <w:rPr>
          <w:rFonts w:ascii="Arial" w:hAnsi="Arial" w:eastAsia="宋体" w:cs="Arial"/>
          <w:snapToGrid w:val="0"/>
          <w:lang w:eastAsia="zh-CN"/>
        </w:rPr>
        <w:t>粪便性污染</w:t>
      </w:r>
      <w:r>
        <w:rPr>
          <w:rFonts w:hint="eastAsia" w:ascii="Arial" w:hAnsi="Arial" w:eastAsia="宋体" w:cs="Arial"/>
          <w:snapToGrid w:val="0"/>
          <w:lang w:eastAsia="zh-CN"/>
        </w:rPr>
        <w:t>、</w:t>
      </w:r>
      <w:r>
        <w:rPr>
          <w:rFonts w:ascii="Arial" w:hAnsi="Arial" w:eastAsia="宋体" w:cs="Arial"/>
          <w:snapToGrid w:val="0"/>
          <w:lang w:eastAsia="zh-CN"/>
        </w:rPr>
        <w:t>意外的恶性肿瘤）和粘连范围可能直到手术时才会知晓。您应考虑排除经历某种未预料到手术程序（比如输卵管或卵巢切除）的患者，原因是这类程序可能使粘连计数变得复杂。随机化只应发生在放置器械或对照品时。</w:t>
      </w:r>
    </w:p>
    <w:p w14:paraId="0C43E522">
      <w:pPr>
        <w:pStyle w:val="17"/>
        <w:numPr>
          <w:ilvl w:val="0"/>
          <w:numId w:val="13"/>
        </w:numPr>
        <w:tabs>
          <w:tab w:val="left" w:pos="1250"/>
        </w:tabs>
        <w:topLinePunct/>
        <w:adjustRightInd w:val="0"/>
        <w:snapToGrid w:val="0"/>
        <w:spacing w:after="224" w:afterLines="75" w:line="288" w:lineRule="auto"/>
        <w:ind w:left="1132" w:leftChars="322" w:hanging="424" w:hangingChars="176"/>
        <w:jc w:val="both"/>
        <w:outlineLvl w:val="9"/>
        <w:rPr>
          <w:rFonts w:ascii="Arial" w:hAnsi="Arial" w:eastAsia="宋体" w:cs="Arial"/>
          <w:b w:val="0"/>
          <w:bCs w:val="0"/>
          <w:snapToGrid w:val="0"/>
        </w:rPr>
      </w:pPr>
      <w:r>
        <w:rPr>
          <w:rFonts w:ascii="Arial" w:hAnsi="Arial" w:eastAsia="宋体" w:cs="Arial"/>
          <w:snapToGrid w:val="0"/>
          <w:lang w:eastAsia="zh-CN"/>
        </w:rPr>
        <w:t>程序</w:t>
      </w:r>
    </w:p>
    <w:p w14:paraId="2B2CEC84">
      <w:pPr>
        <w:pStyle w:val="2"/>
        <w:topLinePunct/>
        <w:adjustRightInd w:val="0"/>
        <w:snapToGrid w:val="0"/>
        <w:spacing w:after="224" w:afterLines="75" w:line="288" w:lineRule="auto"/>
        <w:ind w:left="708" w:leftChars="322" w:firstLine="0"/>
        <w:jc w:val="both"/>
        <w:rPr>
          <w:rFonts w:ascii="Arial" w:hAnsi="Arial" w:eastAsia="宋体" w:cs="Arial"/>
          <w:snapToGrid w:val="0"/>
          <w:lang w:eastAsia="zh-CN"/>
        </w:rPr>
      </w:pPr>
      <w:r>
        <w:rPr>
          <w:rFonts w:ascii="Arial" w:hAnsi="Arial" w:eastAsia="宋体" w:cs="Arial"/>
          <w:snapToGrid w:val="0"/>
          <w:lang w:eastAsia="zh-CN"/>
        </w:rPr>
        <w:t>在您对使用防粘连产品器械临床程序的描述中应包含关于以下内容的信息：</w:t>
      </w:r>
    </w:p>
    <w:p w14:paraId="10F8D2AC">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何时、</w:t>
      </w:r>
      <w:r>
        <w:rPr>
          <w:rFonts w:hint="eastAsia" w:ascii="Arial" w:hAnsi="Arial" w:eastAsia="宋体" w:cs="Arial"/>
          <w:snapToGrid w:val="0"/>
          <w:lang w:eastAsia="zh-CN"/>
        </w:rPr>
        <w:t>何地</w:t>
      </w:r>
      <w:r>
        <w:rPr>
          <w:rFonts w:ascii="Arial" w:hAnsi="Arial" w:eastAsia="宋体" w:cs="Arial"/>
          <w:snapToGrid w:val="0"/>
          <w:lang w:eastAsia="zh-CN"/>
        </w:rPr>
        <w:t>、如何使用器械</w:t>
      </w:r>
    </w:p>
    <w:p w14:paraId="72B89396">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每</w:t>
      </w:r>
      <w:r>
        <w:rPr>
          <w:rFonts w:hint="eastAsia" w:ascii="Arial" w:hAnsi="Arial" w:eastAsia="宋体" w:cs="Arial"/>
          <w:snapToGrid w:val="0"/>
          <w:lang w:eastAsia="zh-CN"/>
        </w:rPr>
        <w:t>例</w:t>
      </w:r>
      <w:r>
        <w:rPr>
          <w:rFonts w:ascii="Arial" w:hAnsi="Arial" w:eastAsia="宋体" w:cs="Arial"/>
          <w:snapToGrid w:val="0"/>
          <w:lang w:eastAsia="zh-CN"/>
        </w:rPr>
        <w:t>患者的最小和最大剂量</w:t>
      </w:r>
    </w:p>
    <w:p w14:paraId="7EDC6CAB">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rPr>
      </w:pPr>
      <w:r>
        <w:rPr>
          <w:rFonts w:hint="eastAsia" w:ascii="Arial" w:hAnsi="Arial" w:eastAsia="宋体" w:cs="Arial"/>
          <w:snapToGrid w:val="0"/>
          <w:lang w:eastAsia="zh-CN"/>
        </w:rPr>
        <w:t>手术</w:t>
      </w:r>
      <w:r>
        <w:rPr>
          <w:rFonts w:ascii="Arial" w:hAnsi="Arial" w:eastAsia="宋体" w:cs="Arial"/>
          <w:snapToGrid w:val="0"/>
          <w:lang w:eastAsia="zh-CN"/>
        </w:rPr>
        <w:t>时长</w:t>
      </w:r>
    </w:p>
    <w:p w14:paraId="5523A1AE">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rPr>
      </w:pPr>
      <w:r>
        <w:rPr>
          <w:rFonts w:ascii="Arial" w:hAnsi="Arial" w:eastAsia="宋体" w:cs="Arial"/>
          <w:snapToGrid w:val="0"/>
          <w:lang w:eastAsia="zh-CN"/>
        </w:rPr>
        <w:t>溶解方法</w:t>
      </w:r>
    </w:p>
    <w:p w14:paraId="2F0C97DF">
      <w:pPr>
        <w:pStyle w:val="2"/>
        <w:numPr>
          <w:ilvl w:val="1"/>
          <w:numId w:val="13"/>
        </w:numPr>
        <w:topLinePunct/>
        <w:adjustRightInd w:val="0"/>
        <w:snapToGrid w:val="0"/>
        <w:spacing w:after="224" w:afterLines="75" w:line="288" w:lineRule="auto"/>
        <w:ind w:left="1700" w:leftChars="580" w:hanging="424" w:hangingChars="177"/>
        <w:jc w:val="both"/>
        <w:rPr>
          <w:rFonts w:ascii="Arial" w:hAnsi="Arial" w:eastAsia="宋体" w:cs="Arial"/>
          <w:snapToGrid w:val="0"/>
          <w:lang w:eastAsia="zh-CN"/>
        </w:rPr>
      </w:pPr>
      <w:r>
        <w:rPr>
          <w:rFonts w:ascii="Arial" w:hAnsi="Arial" w:eastAsia="宋体" w:cs="Arial"/>
          <w:snapToGrid w:val="0"/>
          <w:lang w:eastAsia="zh-CN"/>
        </w:rPr>
        <w:t>可能的协变量，例如失血</w:t>
      </w:r>
      <w:r>
        <w:rPr>
          <w:rFonts w:hint="eastAsia" w:ascii="Arial" w:hAnsi="Arial" w:eastAsia="宋体" w:cs="Arial"/>
          <w:snapToGrid w:val="0"/>
          <w:lang w:eastAsia="zh-CN"/>
        </w:rPr>
        <w:t>、</w:t>
      </w:r>
      <w:r>
        <w:rPr>
          <w:rFonts w:ascii="Arial" w:hAnsi="Arial" w:eastAsia="宋体" w:cs="Arial"/>
          <w:snapToGrid w:val="0"/>
          <w:lang w:eastAsia="zh-CN"/>
        </w:rPr>
        <w:t>手套使用。</w:t>
      </w:r>
    </w:p>
    <w:p w14:paraId="5264C031">
      <w:pPr>
        <w:pStyle w:val="17"/>
        <w:numPr>
          <w:ilvl w:val="0"/>
          <w:numId w:val="13"/>
        </w:numPr>
        <w:tabs>
          <w:tab w:val="left" w:pos="1250"/>
        </w:tabs>
        <w:topLinePunct/>
        <w:adjustRightInd w:val="0"/>
        <w:snapToGrid w:val="0"/>
        <w:spacing w:after="224" w:afterLines="75" w:line="288" w:lineRule="auto"/>
        <w:ind w:left="1132" w:leftChars="322" w:hanging="424" w:hangingChars="176"/>
        <w:jc w:val="both"/>
        <w:outlineLvl w:val="9"/>
        <w:rPr>
          <w:rFonts w:ascii="Arial" w:hAnsi="Arial" w:eastAsia="宋体" w:cs="Arial"/>
          <w:b w:val="0"/>
          <w:bCs w:val="0"/>
          <w:snapToGrid w:val="0"/>
        </w:rPr>
      </w:pPr>
      <w:r>
        <w:rPr>
          <w:rFonts w:ascii="Arial" w:hAnsi="Arial" w:eastAsia="宋体" w:cs="Arial"/>
          <w:snapToGrid w:val="0"/>
          <w:lang w:eastAsia="zh-CN"/>
        </w:rPr>
        <w:t>随访</w:t>
      </w:r>
    </w:p>
    <w:p w14:paraId="6747215B">
      <w:pPr>
        <w:pStyle w:val="2"/>
        <w:topLinePunct/>
        <w:adjustRightInd w:val="0"/>
        <w:snapToGrid w:val="0"/>
        <w:spacing w:after="224" w:afterLines="75" w:line="288" w:lineRule="auto"/>
        <w:ind w:left="708" w:leftChars="322" w:firstLine="0"/>
        <w:jc w:val="both"/>
        <w:rPr>
          <w:rFonts w:ascii="Arial" w:hAnsi="Arial" w:eastAsia="宋体" w:cs="Arial"/>
          <w:snapToGrid w:val="0"/>
          <w:lang w:eastAsia="zh-CN"/>
        </w:rPr>
      </w:pPr>
      <w:r>
        <w:rPr>
          <w:rFonts w:ascii="Arial" w:hAnsi="Arial" w:eastAsia="宋体" w:cs="Arial"/>
          <w:snapToGrid w:val="0"/>
          <w:lang w:eastAsia="zh-CN"/>
        </w:rPr>
        <w:t>您应</w:t>
      </w:r>
      <w:r>
        <w:rPr>
          <w:rFonts w:hint="eastAsia" w:ascii="Arial" w:hAnsi="Arial" w:eastAsia="宋体" w:cs="Arial"/>
          <w:snapToGrid w:val="0"/>
          <w:lang w:eastAsia="zh-CN"/>
        </w:rPr>
        <w:t>预先</w:t>
      </w:r>
      <w:r>
        <w:rPr>
          <w:rFonts w:ascii="Arial" w:hAnsi="Arial" w:eastAsia="宋体" w:cs="Arial"/>
          <w:snapToGrid w:val="0"/>
          <w:lang w:eastAsia="zh-CN"/>
        </w:rPr>
        <w:t>确定随访时间和评价的频率／内容。它们均应适合于您正在评价的器械、临床程序和指标。进一步信息请见</w:t>
      </w:r>
      <w:r>
        <w:rPr>
          <w:rFonts w:hint="eastAsia" w:ascii="Arial" w:hAnsi="Arial" w:eastAsia="宋体" w:cs="Arial"/>
          <w:snapToGrid w:val="0"/>
          <w:lang w:eastAsia="zh-CN"/>
        </w:rPr>
        <w:t>下文</w:t>
      </w:r>
      <w:r>
        <w:rPr>
          <w:rFonts w:ascii="Arial" w:hAnsi="Arial" w:eastAsia="宋体" w:cs="Arial"/>
          <w:snapToGrid w:val="0"/>
          <w:lang w:eastAsia="zh-CN"/>
        </w:rPr>
        <w:t>K部分中批准后研究的讨论。</w:t>
      </w:r>
    </w:p>
    <w:p w14:paraId="5BCC816D">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统计方法</w:t>
      </w:r>
    </w:p>
    <w:p w14:paraId="0D6AECFB">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您应提供全面的统计计划。</w:t>
      </w:r>
      <w:r>
        <w:rPr>
          <w:rFonts w:hint="eastAsia" w:ascii="Arial" w:hAnsi="Arial" w:eastAsia="宋体" w:cs="Arial"/>
          <w:snapToGrid w:val="0"/>
          <w:lang w:eastAsia="zh-CN"/>
        </w:rPr>
        <w:t>其</w:t>
      </w:r>
      <w:r>
        <w:rPr>
          <w:rFonts w:ascii="Arial" w:hAnsi="Arial" w:eastAsia="宋体" w:cs="Arial"/>
          <w:snapToGrid w:val="0"/>
          <w:lang w:eastAsia="zh-CN"/>
        </w:rPr>
        <w:t>应包括</w:t>
      </w:r>
      <w:r>
        <w:rPr>
          <w:rFonts w:hint="eastAsia" w:ascii="Arial" w:hAnsi="Arial" w:eastAsia="宋体" w:cs="Arial"/>
          <w:snapToGrid w:val="0"/>
          <w:lang w:eastAsia="zh-CN"/>
        </w:rPr>
        <w:t>预先</w:t>
      </w:r>
      <w:r>
        <w:rPr>
          <w:rFonts w:ascii="Arial" w:hAnsi="Arial" w:eastAsia="宋体" w:cs="Arial"/>
          <w:snapToGrid w:val="0"/>
          <w:lang w:eastAsia="zh-CN"/>
        </w:rPr>
        <w:t>确定的解决以下内容的方法：</w:t>
      </w:r>
    </w:p>
    <w:p w14:paraId="0C6F8673">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研究假设</w:t>
      </w:r>
    </w:p>
    <w:p w14:paraId="1E58BF73">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样本量计算</w:t>
      </w:r>
    </w:p>
    <w:p w14:paraId="2F5C7815">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研究中心数量</w:t>
      </w:r>
    </w:p>
    <w:p w14:paraId="7E37CF53">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成功</w:t>
      </w:r>
      <w:r>
        <w:rPr>
          <w:rFonts w:ascii="Arial" w:hAnsi="Arial" w:eastAsia="宋体" w:cs="Arial"/>
          <w:snapToGrid w:val="0"/>
        </w:rPr>
        <w:t>／</w:t>
      </w:r>
      <w:r>
        <w:rPr>
          <w:rFonts w:ascii="Arial" w:hAnsi="Arial" w:eastAsia="宋体" w:cs="Arial"/>
          <w:snapToGrid w:val="0"/>
          <w:lang w:eastAsia="zh-CN"/>
        </w:rPr>
        <w:t>失败标准</w:t>
      </w:r>
    </w:p>
    <w:p w14:paraId="39F50646">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患者人群有效性（意向治疗</w:t>
      </w:r>
      <w:r>
        <w:rPr>
          <w:rFonts w:hint="eastAsia" w:ascii="Arial" w:hAnsi="Arial" w:eastAsia="宋体" w:cs="Arial"/>
          <w:snapToGrid w:val="0"/>
          <w:lang w:eastAsia="zh-CN"/>
        </w:rPr>
        <w:t>、</w:t>
      </w:r>
      <w:r>
        <w:rPr>
          <w:rFonts w:ascii="Arial" w:hAnsi="Arial" w:eastAsia="宋体" w:cs="Arial"/>
          <w:snapToGrid w:val="0"/>
          <w:lang w:eastAsia="zh-CN"/>
        </w:rPr>
        <w:t>可评价等）</w:t>
      </w:r>
    </w:p>
    <w:p w14:paraId="7AFFD350">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数据混合</w:t>
      </w:r>
    </w:p>
    <w:p w14:paraId="55AA3E7C">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协变量</w:t>
      </w:r>
    </w:p>
    <w:p w14:paraId="30C40BBA">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分层</w:t>
      </w:r>
    </w:p>
    <w:p w14:paraId="409CE069">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方案偏差</w:t>
      </w:r>
    </w:p>
    <w:p w14:paraId="3F46ABBF">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漏失</w:t>
      </w:r>
    </w:p>
    <w:p w14:paraId="78664FA1">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分析计划和统计方法</w:t>
      </w:r>
    </w:p>
    <w:p w14:paraId="421193D2">
      <w:pPr>
        <w:pStyle w:val="2"/>
        <w:numPr>
          <w:ilvl w:val="1"/>
          <w:numId w:val="10"/>
        </w:numPr>
        <w:tabs>
          <w:tab w:val="left" w:pos="1843"/>
        </w:tabs>
        <w:topLinePunct/>
        <w:adjustRightInd w:val="0"/>
        <w:snapToGrid w:val="0"/>
        <w:spacing w:after="149" w:afterLines="50" w:line="288" w:lineRule="auto"/>
        <w:ind w:left="1441" w:leftChars="655" w:firstLine="0"/>
        <w:jc w:val="both"/>
        <w:rPr>
          <w:rFonts w:ascii="Arial" w:hAnsi="Arial" w:eastAsia="宋体" w:cs="Arial"/>
          <w:snapToGrid w:val="0"/>
        </w:rPr>
      </w:pPr>
      <w:r>
        <w:rPr>
          <w:rFonts w:ascii="Arial" w:hAnsi="Arial" w:eastAsia="宋体" w:cs="Arial"/>
          <w:snapToGrid w:val="0"/>
          <w:lang w:eastAsia="zh-CN"/>
        </w:rPr>
        <w:t>数据审计。</w:t>
      </w:r>
    </w:p>
    <w:p w14:paraId="20B43B44">
      <w:pPr>
        <w:pStyle w:val="17"/>
        <w:numPr>
          <w:ilvl w:val="0"/>
          <w:numId w:val="14"/>
        </w:numPr>
        <w:tabs>
          <w:tab w:val="left" w:pos="1250"/>
        </w:tabs>
        <w:topLinePunct/>
        <w:adjustRightInd w:val="0"/>
        <w:snapToGrid w:val="0"/>
        <w:spacing w:after="224" w:afterLines="75" w:line="288" w:lineRule="auto"/>
        <w:ind w:left="1441" w:leftChars="655" w:firstLine="0"/>
        <w:jc w:val="both"/>
        <w:outlineLvl w:val="9"/>
        <w:rPr>
          <w:rFonts w:ascii="Arial" w:hAnsi="Arial" w:eastAsia="宋体" w:cs="Arial"/>
          <w:b w:val="0"/>
          <w:bCs w:val="0"/>
          <w:snapToGrid w:val="0"/>
        </w:rPr>
      </w:pPr>
      <w:r>
        <w:rPr>
          <w:rFonts w:ascii="Arial" w:hAnsi="Arial" w:eastAsia="宋体" w:cs="Arial"/>
          <w:snapToGrid w:val="0"/>
          <w:lang w:eastAsia="zh-CN"/>
        </w:rPr>
        <w:t>分析</w:t>
      </w:r>
      <w:r>
        <w:rPr>
          <w:rFonts w:hint="eastAsia" w:ascii="Arial" w:hAnsi="Arial" w:eastAsia="宋体" w:cs="Arial"/>
          <w:snapToGrid w:val="0"/>
          <w:lang w:eastAsia="zh-CN"/>
        </w:rPr>
        <w:t>队列</w:t>
      </w:r>
    </w:p>
    <w:p w14:paraId="32919E04">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宋体" w:hAnsi="宋体" w:eastAsia="宋体" w:cs="Arial"/>
          <w:snapToGrid w:val="0"/>
          <w:lang w:eastAsia="zh-CN"/>
        </w:rPr>
        <w:t>“</w:t>
      </w:r>
      <w:r>
        <w:rPr>
          <w:rFonts w:ascii="Arial" w:hAnsi="Arial" w:eastAsia="宋体" w:cs="Arial"/>
          <w:snapToGrid w:val="0"/>
          <w:lang w:eastAsia="zh-CN"/>
        </w:rPr>
        <w:t>意向治疗</w:t>
      </w:r>
      <w:r>
        <w:rPr>
          <w:rFonts w:ascii="宋体" w:hAnsi="宋体" w:eastAsia="宋体" w:cs="Arial"/>
          <w:snapToGrid w:val="0"/>
          <w:lang w:eastAsia="zh-CN"/>
        </w:rPr>
        <w:t>”</w:t>
      </w:r>
      <w:r>
        <w:rPr>
          <w:rFonts w:ascii="Arial" w:hAnsi="Arial" w:eastAsia="宋体" w:cs="Arial"/>
          <w:snapToGrid w:val="0"/>
          <w:lang w:eastAsia="zh-CN"/>
        </w:rPr>
        <w:t>人群，是所有入选和接受治疗患者的</w:t>
      </w:r>
      <w:r>
        <w:rPr>
          <w:rFonts w:hint="eastAsia" w:ascii="Arial" w:hAnsi="Arial" w:eastAsia="宋体" w:cs="Arial"/>
          <w:snapToGrid w:val="0"/>
          <w:lang w:eastAsia="zh-CN"/>
        </w:rPr>
        <w:t>队列</w:t>
      </w:r>
      <w:r>
        <w:rPr>
          <w:rFonts w:ascii="Arial" w:hAnsi="Arial" w:eastAsia="宋体" w:cs="Arial"/>
          <w:snapToGrid w:val="0"/>
          <w:lang w:eastAsia="zh-CN"/>
        </w:rPr>
        <w:t>，是研究结果分析的首选人群。意向治疗分析允许评价所有参与研究的患者，尽管一些人可能不会完成研究，例如因任何理由从随访中丢失</w:t>
      </w:r>
      <w:r>
        <w:rPr>
          <w:rFonts w:hint="eastAsia" w:ascii="Arial" w:hAnsi="Arial" w:eastAsia="宋体" w:cs="Arial"/>
          <w:snapToGrid w:val="0"/>
          <w:lang w:eastAsia="zh-CN"/>
        </w:rPr>
        <w:t>、</w:t>
      </w:r>
      <w:r>
        <w:rPr>
          <w:rFonts w:ascii="Arial" w:hAnsi="Arial" w:eastAsia="宋体" w:cs="Arial"/>
          <w:snapToGrid w:val="0"/>
          <w:lang w:eastAsia="zh-CN"/>
        </w:rPr>
        <w:t>漏失或由研究者终止的患者。您应</w:t>
      </w:r>
      <w:r>
        <w:rPr>
          <w:rFonts w:hint="eastAsia" w:ascii="Arial" w:hAnsi="Arial" w:eastAsia="宋体" w:cs="Arial"/>
          <w:snapToGrid w:val="0"/>
          <w:lang w:eastAsia="zh-CN"/>
        </w:rPr>
        <w:t>预先</w:t>
      </w:r>
      <w:r>
        <w:rPr>
          <w:rFonts w:ascii="Arial" w:hAnsi="Arial" w:eastAsia="宋体" w:cs="Arial"/>
          <w:snapToGrid w:val="0"/>
          <w:lang w:eastAsia="zh-CN"/>
        </w:rPr>
        <w:t>指定将对未完成研究患者做出解释的分析计划。您也应</w:t>
      </w:r>
      <w:r>
        <w:rPr>
          <w:rFonts w:hint="eastAsia" w:ascii="Arial" w:hAnsi="Arial" w:eastAsia="宋体" w:cs="Arial"/>
          <w:snapToGrid w:val="0"/>
          <w:lang w:eastAsia="zh-CN"/>
        </w:rPr>
        <w:t>提供</w:t>
      </w:r>
      <w:r>
        <w:rPr>
          <w:rFonts w:ascii="宋体" w:hAnsi="宋体" w:eastAsia="宋体" w:cs="Arial"/>
          <w:snapToGrid w:val="0"/>
          <w:lang w:eastAsia="zh-CN"/>
        </w:rPr>
        <w:t>“</w:t>
      </w:r>
      <w:r>
        <w:rPr>
          <w:rFonts w:ascii="Arial" w:hAnsi="Arial" w:eastAsia="宋体" w:cs="Arial"/>
          <w:snapToGrid w:val="0"/>
          <w:lang w:eastAsia="zh-CN"/>
        </w:rPr>
        <w:t>可评价</w:t>
      </w:r>
      <w:r>
        <w:rPr>
          <w:rFonts w:ascii="宋体" w:hAnsi="宋体" w:eastAsia="宋体" w:cs="Arial"/>
          <w:snapToGrid w:val="0"/>
          <w:lang w:eastAsia="zh-CN"/>
        </w:rPr>
        <w:t>”</w:t>
      </w:r>
      <w:r>
        <w:rPr>
          <w:rFonts w:ascii="Arial" w:hAnsi="Arial" w:eastAsia="宋体" w:cs="Arial"/>
          <w:snapToGrid w:val="0"/>
          <w:lang w:eastAsia="zh-CN"/>
        </w:rPr>
        <w:t>患者</w:t>
      </w:r>
      <w:r>
        <w:rPr>
          <w:rFonts w:hint="eastAsia" w:ascii="Arial" w:hAnsi="Arial" w:eastAsia="宋体" w:cs="Arial"/>
          <w:snapToGrid w:val="0"/>
          <w:lang w:eastAsia="zh-CN"/>
        </w:rPr>
        <w:t>队列</w:t>
      </w:r>
      <w:r>
        <w:rPr>
          <w:rFonts w:ascii="Arial" w:hAnsi="Arial" w:eastAsia="宋体" w:cs="Arial"/>
          <w:snapToGrid w:val="0"/>
          <w:lang w:eastAsia="zh-CN"/>
        </w:rPr>
        <w:t>（即参与并完成研究患者）的分析，</w:t>
      </w:r>
      <w:r>
        <w:rPr>
          <w:rFonts w:hint="eastAsia" w:ascii="Arial" w:hAnsi="Arial" w:eastAsia="宋体" w:cs="Arial"/>
          <w:snapToGrid w:val="0"/>
          <w:lang w:eastAsia="zh-CN"/>
        </w:rPr>
        <w:t>认识到</w:t>
      </w:r>
      <w:r>
        <w:rPr>
          <w:rFonts w:ascii="Arial" w:hAnsi="Arial" w:eastAsia="宋体" w:cs="Arial"/>
          <w:snapToGrid w:val="0"/>
          <w:lang w:eastAsia="zh-CN"/>
        </w:rPr>
        <w:t>这类分析受偏差影响。基于意向治疗和可评价患者的结果对比允许评估结果稳健性。申办方和FDA应</w:t>
      </w:r>
      <w:r>
        <w:rPr>
          <w:rFonts w:hint="eastAsia" w:ascii="Arial" w:hAnsi="Arial" w:eastAsia="宋体" w:cs="Arial"/>
          <w:snapToGrid w:val="0"/>
          <w:lang w:eastAsia="zh-CN"/>
        </w:rPr>
        <w:t>预先</w:t>
      </w:r>
      <w:r>
        <w:rPr>
          <w:rFonts w:ascii="Arial" w:hAnsi="Arial" w:eastAsia="宋体" w:cs="Arial"/>
          <w:snapToGrid w:val="0"/>
          <w:lang w:eastAsia="zh-CN"/>
        </w:rPr>
        <w:t>商定分析细节。</w:t>
      </w:r>
    </w:p>
    <w:p w14:paraId="04027897">
      <w:pPr>
        <w:pStyle w:val="17"/>
        <w:numPr>
          <w:ilvl w:val="0"/>
          <w:numId w:val="14"/>
        </w:numPr>
        <w:tabs>
          <w:tab w:val="left" w:pos="1250"/>
        </w:tabs>
        <w:topLinePunct/>
        <w:adjustRightInd w:val="0"/>
        <w:snapToGrid w:val="0"/>
        <w:spacing w:after="224" w:afterLines="75" w:line="288" w:lineRule="auto"/>
        <w:ind w:left="1441" w:leftChars="655" w:firstLine="0"/>
        <w:jc w:val="both"/>
        <w:outlineLvl w:val="9"/>
        <w:rPr>
          <w:rFonts w:ascii="Arial" w:hAnsi="Arial" w:eastAsia="宋体" w:cs="Arial"/>
          <w:b w:val="0"/>
          <w:bCs w:val="0"/>
          <w:snapToGrid w:val="0"/>
        </w:rPr>
      </w:pPr>
      <w:r>
        <w:rPr>
          <w:rFonts w:ascii="Arial" w:hAnsi="Arial" w:eastAsia="宋体" w:cs="Arial"/>
          <w:snapToGrid w:val="0"/>
          <w:lang w:eastAsia="zh-CN"/>
        </w:rPr>
        <w:t>数据混合性</w:t>
      </w:r>
    </w:p>
    <w:p w14:paraId="11CFDF4D">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大多数临床试验在一个以上研究中心实施，但研究样本量假定来自所有研究中心的结果可结合或</w:t>
      </w:r>
      <w:r>
        <w:rPr>
          <w:rFonts w:ascii="Arial" w:hAnsi="Arial" w:eastAsia="宋体" w:cs="Arial"/>
          <w:i/>
          <w:snapToGrid w:val="0"/>
          <w:lang w:eastAsia="zh-CN"/>
        </w:rPr>
        <w:t>混合</w:t>
      </w:r>
      <w:r>
        <w:rPr>
          <w:rFonts w:ascii="Arial" w:hAnsi="Arial" w:eastAsia="宋体" w:cs="Arial"/>
          <w:snapToGrid w:val="0"/>
          <w:lang w:eastAsia="zh-CN"/>
        </w:rPr>
        <w:t>。很多时候，这种假定是批准的。然而，有时得不到批准。因此，调查研究结果是否可跨研究中心混合将是分析的关键要素。</w:t>
      </w:r>
    </w:p>
    <w:p w14:paraId="7BA907C8">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混合性既是临床也是统计问题。如果不同中心完成试验的方式有重要临床差异，</w:t>
      </w:r>
      <w:r>
        <w:rPr>
          <w:rFonts w:hint="eastAsia" w:ascii="Arial" w:hAnsi="Arial" w:eastAsia="宋体" w:cs="Arial"/>
          <w:snapToGrid w:val="0"/>
          <w:lang w:eastAsia="zh-CN"/>
        </w:rPr>
        <w:t>则</w:t>
      </w:r>
      <w:r>
        <w:rPr>
          <w:rFonts w:ascii="Arial" w:hAnsi="Arial" w:eastAsia="宋体" w:cs="Arial"/>
          <w:snapToGrid w:val="0"/>
          <w:lang w:eastAsia="zh-CN"/>
        </w:rPr>
        <w:t xml:space="preserve">就不是多个中心单一试验，而实际上是需要单独评估和呈现的一系列单个中心试验。同样地，各研究中心的结果有统计显著差异表明各研究中心之间存在需调查的重要不一致性，且总体发现中不应丢失该内容。各中心间差异可能是器械性能中关键问题的重要指标。例如，探索所观察到差异的原因可能会揭示培训、学习曲线问题或特殊标签关注点。 </w:t>
      </w:r>
    </w:p>
    <w:p w14:paraId="3015FFD9">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调查混合性的简单方法包含三步。</w:t>
      </w:r>
    </w:p>
    <w:p w14:paraId="27EDDE19">
      <w:pPr>
        <w:pStyle w:val="2"/>
        <w:numPr>
          <w:ilvl w:val="1"/>
          <w:numId w:val="14"/>
        </w:numPr>
        <w:topLinePunct/>
        <w:adjustRightInd w:val="0"/>
        <w:snapToGrid w:val="0"/>
        <w:spacing w:after="224" w:afterLines="75" w:line="288" w:lineRule="auto"/>
        <w:ind w:left="1983" w:leftChars="655" w:hanging="542" w:hangingChars="226"/>
        <w:jc w:val="both"/>
        <w:rPr>
          <w:rFonts w:ascii="Arial" w:hAnsi="Arial" w:eastAsia="宋体" w:cs="Arial"/>
          <w:snapToGrid w:val="0"/>
          <w:lang w:eastAsia="zh-CN"/>
        </w:rPr>
      </w:pPr>
      <w:r>
        <w:rPr>
          <w:rFonts w:ascii="Arial" w:hAnsi="Arial" w:eastAsia="宋体" w:cs="Arial"/>
          <w:snapToGrid w:val="0"/>
          <w:lang w:eastAsia="zh-CN"/>
        </w:rPr>
        <w:t>对各研究中心完成试验的方式进行临床评估。这里具有临床意义的差异可能阻止混合。</w:t>
      </w:r>
    </w:p>
    <w:p w14:paraId="366519EF">
      <w:pPr>
        <w:pStyle w:val="2"/>
        <w:numPr>
          <w:ilvl w:val="1"/>
          <w:numId w:val="14"/>
        </w:numPr>
        <w:tabs>
          <w:tab w:val="left" w:pos="1520"/>
        </w:tabs>
        <w:topLinePunct/>
        <w:adjustRightInd w:val="0"/>
        <w:snapToGrid w:val="0"/>
        <w:spacing w:after="224" w:afterLines="75" w:line="288" w:lineRule="auto"/>
        <w:ind w:left="1983" w:leftChars="655" w:hanging="542" w:hangingChars="226"/>
        <w:jc w:val="both"/>
        <w:rPr>
          <w:rFonts w:ascii="Arial" w:hAnsi="Arial" w:eastAsia="宋体" w:cs="Arial"/>
          <w:snapToGrid w:val="0"/>
          <w:lang w:eastAsia="zh-CN"/>
        </w:rPr>
      </w:pPr>
      <w:r>
        <w:rPr>
          <w:rFonts w:ascii="Arial" w:hAnsi="Arial" w:eastAsia="宋体" w:cs="Arial"/>
          <w:snapToGrid w:val="0"/>
          <w:lang w:eastAsia="zh-CN"/>
        </w:rPr>
        <w:t>评价患者特征和基线测量相似性的统计／临床评估。这里的差异可能表明混合性问题。至少，这些差异将表明需要一种更复杂的统计分析。</w:t>
      </w:r>
    </w:p>
    <w:p w14:paraId="3CCA57C5">
      <w:pPr>
        <w:pStyle w:val="2"/>
        <w:numPr>
          <w:ilvl w:val="1"/>
          <w:numId w:val="14"/>
        </w:numPr>
        <w:tabs>
          <w:tab w:val="left" w:pos="1520"/>
        </w:tabs>
        <w:topLinePunct/>
        <w:adjustRightInd w:val="0"/>
        <w:snapToGrid w:val="0"/>
        <w:spacing w:after="224" w:afterLines="75" w:line="288" w:lineRule="auto"/>
        <w:ind w:left="1983" w:leftChars="655" w:hanging="542" w:hangingChars="226"/>
        <w:jc w:val="both"/>
        <w:rPr>
          <w:rFonts w:ascii="Arial" w:hAnsi="Arial" w:eastAsia="宋体" w:cs="Arial"/>
          <w:snapToGrid w:val="0"/>
          <w:lang w:eastAsia="zh-CN"/>
        </w:rPr>
      </w:pPr>
      <w:r>
        <w:rPr>
          <w:rFonts w:ascii="Arial" w:hAnsi="Arial" w:eastAsia="宋体" w:cs="Arial"/>
          <w:snapToGrid w:val="0"/>
          <w:lang w:eastAsia="zh-CN"/>
        </w:rPr>
        <w:t>检验各研究中心结果一致性的统计分析。再次，这里的差异可能表明混合性问题或需要一种更复杂的统计分析。</w:t>
      </w:r>
    </w:p>
    <w:p w14:paraId="68AE2817">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检验各中心差异时，没有统计显著差异</w:t>
      </w:r>
      <w:r>
        <w:rPr>
          <w:rFonts w:hint="eastAsia" w:ascii="Arial" w:hAnsi="Arial" w:eastAsia="宋体" w:cs="Arial"/>
          <w:snapToGrid w:val="0"/>
          <w:lang w:eastAsia="zh-CN"/>
        </w:rPr>
        <w:t>并</w:t>
      </w:r>
      <w:r>
        <w:rPr>
          <w:rFonts w:ascii="Arial" w:hAnsi="Arial" w:eastAsia="宋体" w:cs="Arial"/>
          <w:snapToGrid w:val="0"/>
          <w:lang w:eastAsia="zh-CN"/>
        </w:rPr>
        <w:t>不表明数据可以混合，原因是大多数试验选取的样本量均是</w:t>
      </w:r>
      <w:r>
        <w:rPr>
          <w:rFonts w:hint="eastAsia" w:ascii="Arial" w:hAnsi="Arial" w:eastAsia="宋体" w:cs="Arial"/>
          <w:snapToGrid w:val="0"/>
          <w:lang w:eastAsia="zh-CN"/>
        </w:rPr>
        <w:t>对</w:t>
      </w:r>
      <w:r>
        <w:rPr>
          <w:rFonts w:ascii="Arial" w:hAnsi="Arial" w:eastAsia="宋体" w:cs="Arial"/>
          <w:snapToGrid w:val="0"/>
          <w:lang w:eastAsia="zh-CN"/>
        </w:rPr>
        <w:t>所有中心</w:t>
      </w:r>
      <w:r>
        <w:rPr>
          <w:rFonts w:hint="eastAsia" w:ascii="Arial" w:hAnsi="Arial" w:eastAsia="宋体" w:cs="Arial"/>
          <w:snapToGrid w:val="0"/>
          <w:lang w:eastAsia="zh-CN"/>
        </w:rPr>
        <w:t>进行</w:t>
      </w:r>
      <w:r>
        <w:rPr>
          <w:rFonts w:ascii="Arial" w:hAnsi="Arial" w:eastAsia="宋体" w:cs="Arial"/>
          <w:snapToGrid w:val="0"/>
          <w:lang w:eastAsia="zh-CN"/>
        </w:rPr>
        <w:t>评估。因此，不应忽略具有临床意义的差异（甚至统计不显著差异），相反应进行调查。</w:t>
      </w:r>
    </w:p>
    <w:p w14:paraId="7749B4E9">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调查各中心统计起伏的方法是使用一种包含中心及</w:t>
      </w:r>
      <w:r>
        <w:rPr>
          <w:rFonts w:hint="eastAsia" w:ascii="Arial" w:hAnsi="Arial" w:eastAsia="宋体" w:cs="Arial"/>
          <w:snapToGrid w:val="0"/>
          <w:lang w:eastAsia="zh-CN"/>
        </w:rPr>
        <w:t>其他</w:t>
      </w:r>
      <w:r>
        <w:rPr>
          <w:rFonts w:ascii="Arial" w:hAnsi="Arial" w:eastAsia="宋体" w:cs="Arial"/>
          <w:snapToGrid w:val="0"/>
          <w:lang w:eastAsia="zh-CN"/>
        </w:rPr>
        <w:t>因素的统计模型。如果分析证实中心很重要，则应按照中心</w:t>
      </w:r>
      <w:r>
        <w:rPr>
          <w:rFonts w:hint="eastAsia" w:ascii="Arial" w:hAnsi="Arial" w:eastAsia="宋体" w:cs="Arial"/>
          <w:snapToGrid w:val="0"/>
          <w:lang w:eastAsia="zh-CN"/>
        </w:rPr>
        <w:t>提供</w:t>
      </w:r>
      <w:r>
        <w:rPr>
          <w:rFonts w:ascii="Arial" w:hAnsi="Arial" w:eastAsia="宋体" w:cs="Arial"/>
          <w:snapToGrid w:val="0"/>
          <w:lang w:eastAsia="zh-CN"/>
        </w:rPr>
        <w:t>结果。如果中心和治疗之间发生统计显著相互作用，</w:t>
      </w:r>
      <w:r>
        <w:rPr>
          <w:rFonts w:hint="eastAsia" w:ascii="Arial" w:hAnsi="Arial" w:eastAsia="宋体" w:cs="Arial"/>
          <w:snapToGrid w:val="0"/>
          <w:lang w:eastAsia="zh-CN"/>
        </w:rPr>
        <w:t>其</w:t>
      </w:r>
      <w:r>
        <w:rPr>
          <w:rFonts w:ascii="Arial" w:hAnsi="Arial" w:eastAsia="宋体" w:cs="Arial"/>
          <w:snapToGrid w:val="0"/>
          <w:lang w:eastAsia="zh-CN"/>
        </w:rPr>
        <w:t>表明各中心的主要不一致性，应进行调查。</w:t>
      </w:r>
    </w:p>
    <w:p w14:paraId="2E3658D0">
      <w:pPr>
        <w:pStyle w:val="17"/>
        <w:numPr>
          <w:ilvl w:val="0"/>
          <w:numId w:val="14"/>
        </w:numPr>
        <w:tabs>
          <w:tab w:val="left" w:pos="1250"/>
        </w:tabs>
        <w:topLinePunct/>
        <w:adjustRightInd w:val="0"/>
        <w:snapToGrid w:val="0"/>
        <w:spacing w:after="224" w:afterLines="75" w:line="288" w:lineRule="auto"/>
        <w:ind w:left="1441" w:leftChars="655" w:firstLine="0"/>
        <w:jc w:val="both"/>
        <w:outlineLvl w:val="9"/>
        <w:rPr>
          <w:rFonts w:ascii="Arial" w:hAnsi="Arial" w:eastAsia="宋体" w:cs="Arial"/>
          <w:b w:val="0"/>
          <w:bCs w:val="0"/>
          <w:snapToGrid w:val="0"/>
        </w:rPr>
      </w:pPr>
      <w:r>
        <w:rPr>
          <w:rFonts w:ascii="Arial" w:hAnsi="Arial" w:eastAsia="宋体" w:cs="Arial"/>
          <w:snapToGrid w:val="0"/>
          <w:lang w:eastAsia="zh-CN"/>
        </w:rPr>
        <w:t>协变量</w:t>
      </w:r>
    </w:p>
    <w:p w14:paraId="31A59189">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协变量，或可能的混杂变量，可能显著影响申办方和机构充分分析临床试验数据的能力。只要可能，您应避免程序变量，如使用不同剂量</w:t>
      </w:r>
      <w:r>
        <w:rPr>
          <w:rFonts w:hint="eastAsia" w:ascii="Arial" w:hAnsi="Arial" w:eastAsia="宋体" w:cs="Arial"/>
          <w:snapToGrid w:val="0"/>
          <w:lang w:eastAsia="zh-CN"/>
        </w:rPr>
        <w:t>、</w:t>
      </w:r>
      <w:r>
        <w:rPr>
          <w:rFonts w:ascii="Arial" w:hAnsi="Arial" w:eastAsia="宋体" w:cs="Arial"/>
          <w:snapToGrid w:val="0"/>
          <w:lang w:eastAsia="zh-CN"/>
        </w:rPr>
        <w:t>不同施加方法</w:t>
      </w:r>
      <w:r>
        <w:rPr>
          <w:rFonts w:hint="eastAsia" w:ascii="Arial" w:hAnsi="Arial" w:eastAsia="宋体" w:cs="Arial"/>
          <w:snapToGrid w:val="0"/>
          <w:lang w:eastAsia="zh-CN"/>
        </w:rPr>
        <w:t>、</w:t>
      </w:r>
      <w:r>
        <w:rPr>
          <w:rFonts w:ascii="Arial" w:hAnsi="Arial" w:eastAsia="宋体" w:cs="Arial"/>
          <w:snapToGrid w:val="0"/>
          <w:lang w:eastAsia="zh-CN"/>
        </w:rPr>
        <w:t>不同外科工具</w:t>
      </w:r>
      <w:r>
        <w:rPr>
          <w:rFonts w:hint="eastAsia" w:ascii="Arial" w:hAnsi="Arial" w:eastAsia="宋体" w:cs="Arial"/>
          <w:snapToGrid w:val="0"/>
          <w:lang w:eastAsia="zh-CN"/>
        </w:rPr>
        <w:t>、</w:t>
      </w:r>
      <w:r>
        <w:rPr>
          <w:rFonts w:ascii="Arial" w:hAnsi="Arial" w:eastAsia="宋体" w:cs="Arial"/>
          <w:snapToGrid w:val="0"/>
          <w:lang w:eastAsia="zh-CN"/>
        </w:rPr>
        <w:t>不同手套等。您应准确记录所有变量，如</w:t>
      </w:r>
      <w:bookmarkStart w:id="25" w:name="OLE_LINK20"/>
      <w:r>
        <w:rPr>
          <w:rFonts w:ascii="Arial" w:hAnsi="Arial" w:eastAsia="宋体" w:cs="Arial"/>
          <w:snapToGrid w:val="0"/>
          <w:lang w:eastAsia="zh-CN"/>
        </w:rPr>
        <w:t>乳酸林格氏液</w:t>
      </w:r>
      <w:bookmarkEnd w:id="25"/>
      <w:r>
        <w:rPr>
          <w:rFonts w:ascii="Arial" w:hAnsi="Arial" w:eastAsia="宋体" w:cs="Arial"/>
          <w:snapToGrid w:val="0"/>
          <w:lang w:eastAsia="zh-CN"/>
        </w:rPr>
        <w:t>或其</w:t>
      </w:r>
      <w:r>
        <w:rPr>
          <w:rFonts w:hint="eastAsia" w:ascii="Arial" w:hAnsi="Arial" w:eastAsia="宋体" w:cs="Arial"/>
          <w:snapToGrid w:val="0"/>
          <w:lang w:eastAsia="zh-CN"/>
        </w:rPr>
        <w:t>他</w:t>
      </w:r>
      <w:r>
        <w:rPr>
          <w:rFonts w:ascii="Arial" w:hAnsi="Arial" w:eastAsia="宋体" w:cs="Arial"/>
          <w:snapToGrid w:val="0"/>
          <w:lang w:eastAsia="zh-CN"/>
        </w:rPr>
        <w:t>滴注液是否留在腹部或完全或部分消除。</w:t>
      </w:r>
    </w:p>
    <w:p w14:paraId="1FC99C16">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您应解决手术入路的主要差异，比如开腹手术对比腹腔镜手术，并在独立研究中或通过前瞻性设计的分层计划包含粘连形成可能性截然不同的多个手术程序。</w:t>
      </w:r>
    </w:p>
    <w:p w14:paraId="0C741937">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您应确定并控制可能混淆器械效果评价的</w:t>
      </w:r>
      <w:r>
        <w:rPr>
          <w:rFonts w:hint="eastAsia" w:ascii="Arial" w:hAnsi="Arial" w:eastAsia="宋体" w:cs="Arial"/>
          <w:snapToGrid w:val="0"/>
          <w:lang w:eastAsia="zh-CN"/>
        </w:rPr>
        <w:t>共患病</w:t>
      </w:r>
      <w:r>
        <w:rPr>
          <w:rFonts w:ascii="Arial" w:hAnsi="Arial" w:eastAsia="宋体" w:cs="Arial"/>
          <w:snapToGrid w:val="0"/>
          <w:lang w:eastAsia="zh-CN"/>
        </w:rPr>
        <w:t>。入选／排除标准应解决疾病存在或不存在（例如活动性盆腔炎）</w:t>
      </w:r>
      <w:r>
        <w:rPr>
          <w:rFonts w:hint="eastAsia" w:ascii="Arial" w:hAnsi="Arial" w:eastAsia="宋体" w:cs="Arial"/>
          <w:snapToGrid w:val="0"/>
          <w:lang w:eastAsia="zh-CN"/>
        </w:rPr>
        <w:t>、</w:t>
      </w:r>
      <w:r>
        <w:rPr>
          <w:rFonts w:ascii="Arial" w:hAnsi="Arial" w:eastAsia="宋体" w:cs="Arial"/>
          <w:snapToGrid w:val="0"/>
          <w:lang w:eastAsia="zh-CN"/>
        </w:rPr>
        <w:t>疾病严重性和历史信息。未入选研究的患者通常也不能入选已获批产品的标签。</w:t>
      </w:r>
    </w:p>
    <w:p w14:paraId="2BBC37F3">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您应控制已知或怀疑可产生混淆的</w:t>
      </w:r>
      <w:r>
        <w:rPr>
          <w:rFonts w:hint="eastAsia" w:ascii="Arial" w:hAnsi="Arial" w:eastAsia="宋体" w:cs="Arial"/>
          <w:snapToGrid w:val="0"/>
          <w:lang w:eastAsia="zh-CN"/>
        </w:rPr>
        <w:t>其他</w:t>
      </w:r>
      <w:r>
        <w:rPr>
          <w:rFonts w:ascii="Arial" w:hAnsi="Arial" w:eastAsia="宋体" w:cs="Arial"/>
          <w:snapToGrid w:val="0"/>
          <w:lang w:eastAsia="zh-CN"/>
        </w:rPr>
        <w:t>变量，例如消炎药的使用（用适当的随机化控制）</w:t>
      </w:r>
      <w:r>
        <w:rPr>
          <w:rFonts w:hint="eastAsia" w:ascii="Arial" w:hAnsi="Arial" w:eastAsia="宋体" w:cs="Arial"/>
          <w:snapToGrid w:val="0"/>
          <w:lang w:eastAsia="zh-CN"/>
        </w:rPr>
        <w:t>、</w:t>
      </w:r>
      <w:r>
        <w:rPr>
          <w:rFonts w:ascii="Arial" w:hAnsi="Arial" w:eastAsia="宋体" w:cs="Arial"/>
          <w:snapToGrid w:val="0"/>
          <w:lang w:eastAsia="zh-CN"/>
        </w:rPr>
        <w:t>入选／排除标准（用各研究组的独立评价</w:t>
      </w:r>
      <w:r>
        <w:rPr>
          <w:rFonts w:hint="eastAsia" w:ascii="Arial" w:hAnsi="Arial" w:eastAsia="宋体" w:cs="Arial"/>
          <w:snapToGrid w:val="0"/>
          <w:lang w:eastAsia="zh-CN"/>
        </w:rPr>
        <w:t>、</w:t>
      </w:r>
      <w:r>
        <w:rPr>
          <w:rFonts w:ascii="Arial" w:hAnsi="Arial" w:eastAsia="宋体" w:cs="Arial"/>
          <w:snapToGrid w:val="0"/>
          <w:lang w:eastAsia="zh-CN"/>
        </w:rPr>
        <w:t>分层或前瞻性设计的协变量分析控制）。</w:t>
      </w:r>
    </w:p>
    <w:p w14:paraId="691C837E">
      <w:pPr>
        <w:pStyle w:val="17"/>
        <w:numPr>
          <w:ilvl w:val="0"/>
          <w:numId w:val="14"/>
        </w:numPr>
        <w:tabs>
          <w:tab w:val="left" w:pos="1250"/>
        </w:tabs>
        <w:topLinePunct/>
        <w:adjustRightInd w:val="0"/>
        <w:snapToGrid w:val="0"/>
        <w:spacing w:after="224" w:afterLines="75" w:line="288" w:lineRule="auto"/>
        <w:ind w:left="1441" w:leftChars="655" w:firstLine="0"/>
        <w:jc w:val="both"/>
        <w:outlineLvl w:val="9"/>
        <w:rPr>
          <w:rFonts w:ascii="Arial" w:hAnsi="Arial" w:eastAsia="宋体" w:cs="Arial"/>
          <w:b w:val="0"/>
          <w:bCs w:val="0"/>
          <w:snapToGrid w:val="0"/>
        </w:rPr>
      </w:pPr>
      <w:r>
        <w:rPr>
          <w:rFonts w:hint="eastAsia" w:ascii="Arial" w:hAnsi="Arial" w:eastAsia="宋体" w:cs="Arial"/>
          <w:snapToGrid w:val="0"/>
          <w:lang w:eastAsia="zh-CN"/>
        </w:rPr>
        <w:t>其他</w:t>
      </w:r>
      <w:r>
        <w:rPr>
          <w:rFonts w:ascii="Arial" w:hAnsi="Arial" w:eastAsia="宋体" w:cs="Arial"/>
          <w:snapToGrid w:val="0"/>
          <w:lang w:eastAsia="zh-CN"/>
        </w:rPr>
        <w:t>信息</w:t>
      </w:r>
    </w:p>
    <w:p w14:paraId="70BF0573">
      <w:pPr>
        <w:pStyle w:val="2"/>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关于研究设计和统计分析问题的其</w:t>
      </w:r>
      <w:r>
        <w:rPr>
          <w:rFonts w:hint="eastAsia" w:ascii="Arial" w:hAnsi="Arial" w:eastAsia="宋体" w:cs="Arial"/>
          <w:snapToGrid w:val="0"/>
          <w:lang w:eastAsia="zh-CN"/>
        </w:rPr>
        <w:t>他</w:t>
      </w:r>
      <w:r>
        <w:rPr>
          <w:rFonts w:ascii="Arial" w:hAnsi="Arial" w:eastAsia="宋体" w:cs="Arial"/>
          <w:snapToGrid w:val="0"/>
          <w:lang w:eastAsia="zh-CN"/>
        </w:rPr>
        <w:t>信息可从CDRH</w:t>
      </w:r>
      <w:r>
        <w:rPr>
          <w:rFonts w:hint="eastAsia" w:ascii="Arial" w:hAnsi="Arial" w:eastAsia="宋体" w:cs="Arial"/>
          <w:snapToGrid w:val="0"/>
          <w:lang w:eastAsia="zh-CN"/>
        </w:rPr>
        <w:t>标题</w:t>
      </w:r>
      <w:r>
        <w:rPr>
          <w:rFonts w:ascii="Arial" w:hAnsi="Arial" w:eastAsia="宋体" w:cs="Arial"/>
          <w:snapToGrid w:val="0"/>
          <w:lang w:eastAsia="zh-CN"/>
        </w:rPr>
        <w:t>为</w:t>
      </w:r>
      <w:r>
        <w:rPr>
          <w:rFonts w:ascii="宋体" w:hAnsi="宋体" w:eastAsia="宋体" w:cs="Arial"/>
          <w:snapToGrid w:val="0"/>
          <w:lang w:eastAsia="zh-CN"/>
        </w:rPr>
        <w:t>“</w:t>
      </w:r>
      <w:r>
        <w:rPr>
          <w:rFonts w:ascii="Arial" w:hAnsi="Arial" w:eastAsia="宋体" w:cs="Arial"/>
          <w:snapToGrid w:val="0"/>
          <w:lang w:eastAsia="zh-CN"/>
        </w:rPr>
        <w:t>非诊断性医疗器械临床试验的统计指南</w:t>
      </w:r>
      <w:r>
        <w:rPr>
          <w:rFonts w:ascii="宋体" w:hAnsi="宋体" w:eastAsia="宋体" w:cs="Arial"/>
          <w:snapToGrid w:val="0"/>
          <w:lang w:eastAsia="zh-CN"/>
        </w:rPr>
        <w:t>”</w:t>
      </w:r>
      <w:r>
        <w:rPr>
          <w:rFonts w:ascii="Arial" w:hAnsi="Arial" w:eastAsia="宋体" w:cs="Arial"/>
          <w:snapToGrid w:val="0"/>
          <w:lang w:eastAsia="zh-CN"/>
        </w:rPr>
        <w:t>，</w:t>
      </w:r>
      <w:r>
        <w:fldChar w:fldCharType="begin"/>
      </w:r>
      <w:r>
        <w:instrText xml:space="preserve"> HYPERLINK "http://www.fda.gov/cdrh/ode/ot476.html" </w:instrText>
      </w:r>
      <w:r>
        <w:fldChar w:fldCharType="separate"/>
      </w:r>
      <w:r>
        <w:rPr>
          <w:rStyle w:val="10"/>
          <w:rFonts w:ascii="Arial" w:hAnsi="Arial" w:eastAsia="宋体" w:cs="Arial"/>
          <w:snapToGrid w:val="0"/>
          <w:lang w:eastAsia="zh-CN"/>
        </w:rPr>
        <w:t>www.fda.gov/cdrh/ode/ot476.html</w:t>
      </w:r>
      <w:r>
        <w:rPr>
          <w:rStyle w:val="10"/>
          <w:rFonts w:ascii="Arial" w:hAnsi="Arial" w:eastAsia="宋体" w:cs="Arial"/>
          <w:snapToGrid w:val="0"/>
          <w:lang w:eastAsia="zh-CN"/>
        </w:rPr>
        <w:fldChar w:fldCharType="end"/>
      </w:r>
      <w:r>
        <w:rPr>
          <w:rFonts w:ascii="Arial" w:hAnsi="Arial" w:eastAsia="宋体" w:cs="Arial"/>
          <w:snapToGrid w:val="0"/>
          <w:lang w:eastAsia="zh-CN"/>
        </w:rPr>
        <w:t>的指南文件获得。该中心的生物统计学司利用来自ODE</w:t>
      </w:r>
      <w:r>
        <w:rPr>
          <w:rFonts w:hint="eastAsia" w:ascii="Arial" w:hAnsi="Arial" w:eastAsia="宋体" w:cs="Arial"/>
          <w:snapToGrid w:val="0"/>
          <w:lang w:eastAsia="zh-CN"/>
        </w:rPr>
        <w:t>、</w:t>
      </w:r>
      <w:r>
        <w:rPr>
          <w:rFonts w:ascii="Arial" w:hAnsi="Arial" w:eastAsia="宋体" w:cs="Arial"/>
          <w:snapToGrid w:val="0"/>
          <w:lang w:eastAsia="zh-CN"/>
        </w:rPr>
        <w:t>学术界和医疗器械界的输入</w:t>
      </w:r>
      <w:r>
        <w:rPr>
          <w:rFonts w:hint="eastAsia" w:ascii="Arial" w:hAnsi="Arial" w:eastAsia="宋体" w:cs="Arial"/>
          <w:snapToGrid w:val="0"/>
          <w:lang w:eastAsia="zh-CN"/>
        </w:rPr>
        <w:t>准备</w:t>
      </w:r>
      <w:r>
        <w:rPr>
          <w:rFonts w:ascii="Arial" w:hAnsi="Arial" w:eastAsia="宋体" w:cs="Arial"/>
          <w:snapToGrid w:val="0"/>
          <w:lang w:eastAsia="zh-CN"/>
        </w:rPr>
        <w:t>该指南。</w:t>
      </w:r>
    </w:p>
    <w:p w14:paraId="322E764C">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病例报告表</w:t>
      </w:r>
    </w:p>
    <w:p w14:paraId="425BDC08">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您应设计病例报告表以通过患者筛选</w:t>
      </w:r>
      <w:r>
        <w:rPr>
          <w:rFonts w:hint="eastAsia" w:ascii="Arial" w:hAnsi="Arial" w:eastAsia="宋体" w:cs="Arial"/>
          <w:snapToGrid w:val="0"/>
          <w:lang w:eastAsia="zh-CN"/>
        </w:rPr>
        <w:t>、</w:t>
      </w:r>
      <w:r>
        <w:rPr>
          <w:rFonts w:ascii="Arial" w:hAnsi="Arial" w:eastAsia="宋体" w:cs="Arial"/>
          <w:snapToGrid w:val="0"/>
          <w:lang w:eastAsia="zh-CN"/>
        </w:rPr>
        <w:t>患者登记</w:t>
      </w:r>
      <w:r>
        <w:rPr>
          <w:rFonts w:hint="eastAsia" w:ascii="Arial" w:hAnsi="Arial" w:eastAsia="宋体" w:cs="Arial"/>
          <w:snapToGrid w:val="0"/>
          <w:lang w:eastAsia="zh-CN"/>
        </w:rPr>
        <w:t>、</w:t>
      </w:r>
      <w:r>
        <w:rPr>
          <w:rFonts w:ascii="Arial" w:hAnsi="Arial" w:eastAsia="宋体" w:cs="Arial"/>
          <w:snapToGrid w:val="0"/>
          <w:lang w:eastAsia="zh-CN"/>
        </w:rPr>
        <w:t>初始治疗阶段</w:t>
      </w:r>
      <w:r>
        <w:rPr>
          <w:rFonts w:hint="eastAsia" w:ascii="Arial" w:hAnsi="Arial" w:eastAsia="宋体" w:cs="Arial"/>
          <w:snapToGrid w:val="0"/>
          <w:lang w:eastAsia="zh-CN"/>
        </w:rPr>
        <w:t>、</w:t>
      </w:r>
      <w:r>
        <w:rPr>
          <w:rFonts w:ascii="Arial" w:hAnsi="Arial" w:eastAsia="宋体" w:cs="Arial"/>
          <w:snapToGrid w:val="0"/>
          <w:lang w:eastAsia="zh-CN"/>
        </w:rPr>
        <w:t>粘连评估和所有其他患者随访获得研究每个要点的所有相关信息。您应保留前导性和关键研究的筛选记录以允许评估考虑参与试验患者未登记的原因。</w:t>
      </w:r>
    </w:p>
    <w:p w14:paraId="23C67218">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对于手术程序，病例报告表应记录可能会混淆指标的变量（协变量），如：</w:t>
      </w:r>
    </w:p>
    <w:p w14:paraId="21C94DBA">
      <w:pPr>
        <w:pStyle w:val="2"/>
        <w:numPr>
          <w:ilvl w:val="1"/>
          <w:numId w:val="10"/>
        </w:numPr>
        <w:tabs>
          <w:tab w:val="left" w:pos="116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由未洗手套、纱布、或纸巾上的粉末导致的异物</w:t>
      </w:r>
    </w:p>
    <w:p w14:paraId="48AA3031">
      <w:pPr>
        <w:pStyle w:val="2"/>
        <w:numPr>
          <w:ilvl w:val="1"/>
          <w:numId w:val="10"/>
        </w:numPr>
        <w:tabs>
          <w:tab w:val="left" w:pos="1160"/>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程序持续时间</w:t>
      </w:r>
    </w:p>
    <w:p w14:paraId="321FF5F4">
      <w:pPr>
        <w:pStyle w:val="2"/>
        <w:numPr>
          <w:ilvl w:val="1"/>
          <w:numId w:val="10"/>
        </w:numPr>
        <w:tabs>
          <w:tab w:val="left" w:pos="1160"/>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估计的失血</w:t>
      </w:r>
    </w:p>
    <w:p w14:paraId="6A587C33">
      <w:pPr>
        <w:pStyle w:val="2"/>
        <w:numPr>
          <w:ilvl w:val="1"/>
          <w:numId w:val="10"/>
        </w:numPr>
        <w:tabs>
          <w:tab w:val="left" w:pos="116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所松解粘连的数量和位置</w:t>
      </w:r>
    </w:p>
    <w:p w14:paraId="3FA8F09B">
      <w:pPr>
        <w:pStyle w:val="2"/>
        <w:numPr>
          <w:ilvl w:val="1"/>
          <w:numId w:val="10"/>
        </w:numPr>
        <w:tabs>
          <w:tab w:val="left" w:pos="116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粘连类型，例如新</w:t>
      </w:r>
      <w:r>
        <w:rPr>
          <w:rFonts w:hint="eastAsia" w:ascii="Arial" w:hAnsi="Arial" w:eastAsia="宋体" w:cs="Arial"/>
          <w:snapToGrid w:val="0"/>
          <w:lang w:eastAsia="zh-CN"/>
        </w:rPr>
        <w:t>型</w:t>
      </w:r>
      <w:r>
        <w:rPr>
          <w:rFonts w:ascii="Arial" w:hAnsi="Arial" w:eastAsia="宋体" w:cs="Arial"/>
          <w:snapToGrid w:val="0"/>
          <w:lang w:eastAsia="zh-CN"/>
        </w:rPr>
        <w:t>或重新形成</w:t>
      </w:r>
    </w:p>
    <w:p w14:paraId="4866612F">
      <w:pPr>
        <w:pStyle w:val="2"/>
        <w:numPr>
          <w:ilvl w:val="1"/>
          <w:numId w:val="10"/>
        </w:numPr>
        <w:tabs>
          <w:tab w:val="left" w:pos="116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手术创口分类</w:t>
      </w:r>
      <w:r>
        <w:rPr>
          <w:rFonts w:ascii="Arial" w:hAnsi="Arial" w:eastAsia="宋体" w:cs="Arial"/>
          <w:snapToGrid w:val="0"/>
          <w:vertAlign w:val="superscript"/>
          <w:lang w:eastAsia="zh-CN"/>
        </w:rPr>
        <w:t>10</w:t>
      </w:r>
      <w:r>
        <w:rPr>
          <w:rFonts w:ascii="Arial" w:hAnsi="Arial" w:eastAsia="宋体" w:cs="Arial"/>
          <w:snapToGrid w:val="0"/>
          <w:lang w:eastAsia="zh-CN"/>
        </w:rPr>
        <w:t>：清洁</w:t>
      </w:r>
      <w:r>
        <w:rPr>
          <w:rFonts w:hint="eastAsia" w:ascii="Arial" w:hAnsi="Arial" w:eastAsia="宋体" w:cs="Arial"/>
          <w:snapToGrid w:val="0"/>
          <w:lang w:eastAsia="zh-CN"/>
        </w:rPr>
        <w:t>、</w:t>
      </w:r>
      <w:r>
        <w:rPr>
          <w:rFonts w:ascii="Arial" w:hAnsi="Arial" w:eastAsia="宋体" w:cs="Arial"/>
          <w:snapToGrid w:val="0"/>
          <w:lang w:eastAsia="zh-CN"/>
        </w:rPr>
        <w:t>清洁有感染</w:t>
      </w:r>
      <w:r>
        <w:rPr>
          <w:rFonts w:hint="eastAsia" w:ascii="Arial" w:hAnsi="Arial" w:eastAsia="宋体" w:cs="Arial"/>
          <w:snapToGrid w:val="0"/>
          <w:lang w:eastAsia="zh-CN"/>
        </w:rPr>
        <w:t>、</w:t>
      </w:r>
      <w:r>
        <w:rPr>
          <w:rFonts w:ascii="Arial" w:hAnsi="Arial" w:eastAsia="宋体" w:cs="Arial"/>
          <w:snapToGrid w:val="0"/>
          <w:lang w:eastAsia="zh-CN"/>
        </w:rPr>
        <w:t>感染</w:t>
      </w:r>
      <w:r>
        <w:rPr>
          <w:rFonts w:hint="eastAsia" w:ascii="Arial" w:hAnsi="Arial" w:eastAsia="宋体" w:cs="Arial"/>
          <w:snapToGrid w:val="0"/>
          <w:lang w:eastAsia="zh-CN"/>
        </w:rPr>
        <w:t>、</w:t>
      </w:r>
      <w:r>
        <w:rPr>
          <w:rFonts w:ascii="Arial" w:hAnsi="Arial" w:eastAsia="宋体" w:cs="Arial"/>
          <w:snapToGrid w:val="0"/>
          <w:lang w:eastAsia="zh-CN"/>
        </w:rPr>
        <w:t>肮脏。</w:t>
      </w:r>
    </w:p>
    <w:p w14:paraId="115F904B">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器械涂药器</w:t>
      </w:r>
    </w:p>
    <w:p w14:paraId="2504A4FD">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您应在临床方案中描述与防粘连产品产品一同使用的任何器械涂药器并提供关于研究者和医生所受培训的信息。如果涂药器未</w:t>
      </w:r>
      <w:r>
        <w:rPr>
          <w:rFonts w:hint="eastAsia" w:ascii="Arial" w:hAnsi="Arial" w:eastAsia="宋体" w:cs="Arial"/>
          <w:snapToGrid w:val="0"/>
          <w:lang w:eastAsia="zh-CN"/>
        </w:rPr>
        <w:t>获得</w:t>
      </w:r>
      <w:r>
        <w:rPr>
          <w:rFonts w:ascii="Arial" w:hAnsi="Arial" w:eastAsia="宋体" w:cs="Arial"/>
          <w:snapToGrid w:val="0"/>
          <w:lang w:eastAsia="zh-CN"/>
        </w:rPr>
        <w:t>510（k）批准，并为您的防粘连产品专门提供和设计，</w:t>
      </w:r>
      <w:r>
        <w:rPr>
          <w:rFonts w:hint="eastAsia" w:ascii="Arial" w:hAnsi="Arial" w:eastAsia="宋体" w:cs="Arial"/>
          <w:snapToGrid w:val="0"/>
          <w:lang w:eastAsia="zh-CN"/>
        </w:rPr>
        <w:t>则</w:t>
      </w:r>
      <w:r>
        <w:rPr>
          <w:rFonts w:ascii="Arial" w:hAnsi="Arial" w:eastAsia="宋体" w:cs="Arial"/>
          <w:snapToGrid w:val="0"/>
          <w:lang w:eastAsia="zh-CN"/>
        </w:rPr>
        <w:t>FDA可能认为涂药器是器械的一部分，在评估器械安全性和有效性时也会评估器械涂药器。</w:t>
      </w:r>
    </w:p>
    <w:p w14:paraId="35AA4435">
      <w:pPr>
        <w:rPr>
          <w:rFonts w:ascii="Arial" w:hAnsi="Arial" w:eastAsia="宋体" w:cs="Arial"/>
          <w:b/>
          <w:bCs/>
          <w:snapToGrid w:val="0"/>
          <w:sz w:val="24"/>
          <w:szCs w:val="24"/>
          <w:lang w:eastAsia="zh-CN"/>
        </w:rPr>
      </w:pPr>
      <w:r>
        <w:rPr>
          <w:rFonts w:ascii="Arial" w:hAnsi="Arial" w:eastAsia="宋体" w:cs="Arial"/>
          <w:snapToGrid w:val="0"/>
          <w:lang w:eastAsia="zh-CN"/>
        </w:rPr>
        <w:br w:type="page"/>
      </w:r>
    </w:p>
    <w:p w14:paraId="20944A74">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知情同意</w:t>
      </w:r>
    </w:p>
    <w:p w14:paraId="761A13BA">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21 CFR第50、56和812部分规定了对所有患者知情同意，充分监测和必要记录和报告的要求。除</w:t>
      </w:r>
      <w:r>
        <w:rPr>
          <w:rFonts w:hint="eastAsia" w:ascii="Arial" w:hAnsi="Arial" w:eastAsia="宋体" w:cs="Arial"/>
          <w:snapToGrid w:val="0"/>
          <w:lang w:eastAsia="zh-CN"/>
        </w:rPr>
        <w:t>其他</w:t>
      </w:r>
      <w:r>
        <w:rPr>
          <w:rFonts w:ascii="Arial" w:hAnsi="Arial" w:eastAsia="宋体" w:cs="Arial"/>
          <w:snapToGrid w:val="0"/>
          <w:lang w:eastAsia="zh-CN"/>
        </w:rPr>
        <w:t>方面外，还应明确告知患者以下内容：</w:t>
      </w:r>
    </w:p>
    <w:p w14:paraId="6A92DBF7">
      <w:pPr>
        <w:pStyle w:val="2"/>
        <w:numPr>
          <w:ilvl w:val="1"/>
          <w:numId w:val="10"/>
        </w:numPr>
        <w:tabs>
          <w:tab w:val="left" w:pos="125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新器械的安全性和有效性</w:t>
      </w:r>
      <w:r>
        <w:rPr>
          <w:rFonts w:hint="eastAsia" w:ascii="Arial" w:hAnsi="Arial" w:eastAsia="宋体" w:cs="Arial"/>
          <w:snapToGrid w:val="0"/>
          <w:lang w:eastAsia="zh-CN"/>
        </w:rPr>
        <w:t>尚</w:t>
      </w:r>
      <w:r>
        <w:rPr>
          <w:rFonts w:ascii="Arial" w:hAnsi="Arial" w:eastAsia="宋体" w:cs="Arial"/>
          <w:snapToGrid w:val="0"/>
          <w:lang w:eastAsia="zh-CN"/>
        </w:rPr>
        <w:t>未确定</w:t>
      </w:r>
    </w:p>
    <w:p w14:paraId="0990C5BB">
      <w:pPr>
        <w:pStyle w:val="2"/>
        <w:numPr>
          <w:ilvl w:val="1"/>
          <w:numId w:val="10"/>
        </w:numPr>
        <w:tabs>
          <w:tab w:val="left" w:pos="125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治疗后粘连实际上可能更严重</w:t>
      </w:r>
    </w:p>
    <w:p w14:paraId="402811B3">
      <w:pPr>
        <w:pStyle w:val="2"/>
        <w:numPr>
          <w:ilvl w:val="1"/>
          <w:numId w:val="10"/>
        </w:numPr>
        <w:tabs>
          <w:tab w:val="left" w:pos="125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粘连可能导致发病或使发病率更高</w:t>
      </w:r>
      <w:r>
        <w:rPr>
          <w:rFonts w:hint="eastAsia" w:ascii="Arial" w:hAnsi="Arial" w:eastAsia="宋体" w:cs="Arial"/>
          <w:snapToGrid w:val="0"/>
          <w:lang w:eastAsia="zh-CN"/>
        </w:rPr>
        <w:t>，</w:t>
      </w:r>
      <w:r>
        <w:rPr>
          <w:rFonts w:ascii="Arial" w:hAnsi="Arial" w:eastAsia="宋体" w:cs="Arial"/>
          <w:snapToGrid w:val="0"/>
          <w:lang w:eastAsia="zh-CN"/>
        </w:rPr>
        <w:t>如女性不孕症或疼痛</w:t>
      </w:r>
    </w:p>
    <w:p w14:paraId="0B26F988">
      <w:pPr>
        <w:pStyle w:val="2"/>
        <w:numPr>
          <w:ilvl w:val="1"/>
          <w:numId w:val="10"/>
        </w:numPr>
        <w:tabs>
          <w:tab w:val="left" w:pos="125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粘连可能预防或减少发病率</w:t>
      </w:r>
      <w:r>
        <w:rPr>
          <w:rFonts w:hint="eastAsia" w:ascii="Arial" w:hAnsi="Arial" w:eastAsia="宋体" w:cs="Arial"/>
          <w:snapToGrid w:val="0"/>
          <w:lang w:eastAsia="zh-CN"/>
        </w:rPr>
        <w:t>，</w:t>
      </w:r>
      <w:r>
        <w:rPr>
          <w:rFonts w:ascii="Arial" w:hAnsi="Arial" w:eastAsia="宋体" w:cs="Arial"/>
          <w:snapToGrid w:val="0"/>
          <w:lang w:eastAsia="zh-CN"/>
        </w:rPr>
        <w:t>如梗阻性吻合口瘘</w:t>
      </w:r>
    </w:p>
    <w:p w14:paraId="55CAD00B">
      <w:pPr>
        <w:pStyle w:val="2"/>
        <w:numPr>
          <w:ilvl w:val="1"/>
          <w:numId w:val="10"/>
        </w:numPr>
        <w:tabs>
          <w:tab w:val="left" w:pos="125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因开腹手术后粘连导致的小肠梗阻发生率约为5%。</w:t>
      </w:r>
    </w:p>
    <w:p w14:paraId="0CA21D85">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应拒绝渴望生育的女性参与可行性研究或警告她们还未确定器械对生育的影响。</w:t>
      </w:r>
    </w:p>
    <w:p w14:paraId="4FD176D5">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批准后研究</w:t>
      </w:r>
    </w:p>
    <w:p w14:paraId="6B8A015F">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有几种原因导致您需要实施批准后研究。在某些情况下，FDA可能要求您实施批准后研究作为PMA批准的条件。FDA可能要求实施批准后研究以随访未解决的安全</w:t>
      </w:r>
      <w:r>
        <w:rPr>
          <w:rFonts w:hint="eastAsia" w:ascii="Arial" w:hAnsi="Arial" w:eastAsia="宋体" w:cs="Arial"/>
          <w:snapToGrid w:val="0"/>
          <w:lang w:eastAsia="zh-CN"/>
        </w:rPr>
        <w:t>性</w:t>
      </w:r>
      <w:r>
        <w:rPr>
          <w:rFonts w:ascii="Arial" w:hAnsi="Arial" w:eastAsia="宋体" w:cs="Arial"/>
          <w:snapToGrid w:val="0"/>
          <w:lang w:eastAsia="zh-CN"/>
        </w:rPr>
        <w:t>问题，如感染率（当发生率太低以致关键研究不能对其进行精确预测时）。或者，当可用数据不能完全解释关键研究中的某一发现时，FDA可能要求实施批准后研究以提供对发现的进一步理解。</w:t>
      </w:r>
    </w:p>
    <w:p w14:paraId="41EB616D">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当要求实施批准后研究时，FDA通常依赖于来自顾问小组的输入。</w:t>
      </w:r>
    </w:p>
    <w:p w14:paraId="5B6FCE49">
      <w:pPr>
        <w:pStyle w:val="2"/>
        <w:topLinePunct/>
        <w:adjustRightInd w:val="0"/>
        <w:snapToGrid w:val="0"/>
        <w:spacing w:after="224" w:afterLines="75" w:line="288" w:lineRule="auto"/>
        <w:ind w:left="425" w:leftChars="193" w:firstLine="0"/>
        <w:jc w:val="both"/>
        <w:rPr>
          <w:rFonts w:ascii="Arial" w:hAnsi="Arial" w:eastAsia="宋体" w:cs="Arial"/>
          <w:snapToGrid w:val="0"/>
          <w:lang w:eastAsia="zh-CN"/>
        </w:rPr>
      </w:pPr>
      <w:r>
        <w:rPr>
          <w:rFonts w:ascii="Arial" w:hAnsi="Arial" w:eastAsia="宋体" w:cs="Arial"/>
          <w:snapToGrid w:val="0"/>
          <w:lang w:eastAsia="zh-CN"/>
        </w:rPr>
        <w:t>而且，您可选择实施关于您的已获批器械的</w:t>
      </w:r>
      <w:r>
        <w:rPr>
          <w:rFonts w:hint="eastAsia" w:ascii="Arial" w:hAnsi="Arial" w:eastAsia="宋体" w:cs="Arial"/>
          <w:snapToGrid w:val="0"/>
          <w:lang w:eastAsia="zh-CN"/>
        </w:rPr>
        <w:t>其他</w:t>
      </w:r>
      <w:r>
        <w:rPr>
          <w:rFonts w:ascii="Arial" w:hAnsi="Arial" w:eastAsia="宋体" w:cs="Arial"/>
          <w:snapToGrid w:val="0"/>
          <w:lang w:eastAsia="zh-CN"/>
        </w:rPr>
        <w:t>研究以解决已获批标签中的局限性，为器械的相关临床使用者或第三方付款人提供</w:t>
      </w:r>
      <w:r>
        <w:rPr>
          <w:rFonts w:hint="eastAsia" w:ascii="Arial" w:hAnsi="Arial" w:eastAsia="宋体" w:cs="Arial"/>
          <w:snapToGrid w:val="0"/>
          <w:lang w:eastAsia="zh-CN"/>
        </w:rPr>
        <w:t>其他</w:t>
      </w:r>
      <w:r>
        <w:rPr>
          <w:rFonts w:ascii="Arial" w:hAnsi="Arial" w:eastAsia="宋体" w:cs="Arial"/>
          <w:snapToGrid w:val="0"/>
          <w:lang w:eastAsia="zh-CN"/>
        </w:rPr>
        <w:t>信息。</w:t>
      </w:r>
    </w:p>
    <w:p w14:paraId="101C6630">
      <w:pPr>
        <w:pStyle w:val="17"/>
        <w:numPr>
          <w:ilvl w:val="0"/>
          <w:numId w:val="10"/>
        </w:numPr>
        <w:tabs>
          <w:tab w:val="left" w:pos="1010"/>
        </w:tabs>
        <w:topLinePunct/>
        <w:adjustRightInd w:val="0"/>
        <w:snapToGrid w:val="0"/>
        <w:spacing w:after="224" w:afterLines="75" w:line="288" w:lineRule="auto"/>
        <w:ind w:left="425" w:leftChars="193"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特殊考虑</w:t>
      </w:r>
    </w:p>
    <w:p w14:paraId="597C7222">
      <w:pPr>
        <w:numPr>
          <w:ilvl w:val="0"/>
          <w:numId w:val="15"/>
        </w:numPr>
        <w:tabs>
          <w:tab w:val="left" w:pos="1250"/>
        </w:tabs>
        <w:topLinePunct/>
        <w:adjustRightInd w:val="0"/>
        <w:snapToGrid w:val="0"/>
        <w:spacing w:after="224" w:afterLines="75" w:line="288" w:lineRule="auto"/>
        <w:ind w:left="719" w:leftChars="327" w:firstLine="0"/>
        <w:jc w:val="both"/>
        <w:rPr>
          <w:rFonts w:ascii="Arial" w:hAnsi="Arial" w:eastAsia="宋体" w:cs="Arial"/>
          <w:snapToGrid w:val="0"/>
          <w:sz w:val="24"/>
          <w:szCs w:val="24"/>
          <w:lang w:eastAsia="zh-CN"/>
        </w:rPr>
      </w:pPr>
      <w:r>
        <w:rPr>
          <w:rFonts w:ascii="Arial" w:hAnsi="Arial" w:eastAsia="宋体" w:cs="Arial"/>
          <w:b/>
          <w:snapToGrid w:val="0"/>
          <w:sz w:val="24"/>
          <w:lang w:eastAsia="zh-CN"/>
        </w:rPr>
        <w:t>开腹手术对比腹腔镜手术</w:t>
      </w:r>
    </w:p>
    <w:p w14:paraId="3B9604FF">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通常，您应分别评价开腹手术和腹腔镜手术模式中的防粘连产品。</w:t>
      </w:r>
      <w:r>
        <w:rPr>
          <w:rFonts w:ascii="Arial" w:hAnsi="Arial" w:eastAsia="宋体" w:cs="Arial"/>
          <w:snapToGrid w:val="0"/>
          <w:vertAlign w:val="superscript"/>
          <w:lang w:eastAsia="zh-CN"/>
        </w:rPr>
        <w:t>8,13</w:t>
      </w:r>
      <w:r>
        <w:rPr>
          <w:rFonts w:ascii="Arial" w:hAnsi="Arial" w:eastAsia="宋体" w:cs="Arial"/>
          <w:snapToGrid w:val="0"/>
          <w:lang w:eastAsia="zh-CN"/>
        </w:rPr>
        <w:t>当推广至腹腔镜手术模式时，来自开腹手术研究的数据可能不能精确预测功效，原因是腹腔镜手术和开腹手术中形成的粘连可能存在显著定量和定性差异。</w:t>
      </w:r>
    </w:p>
    <w:p w14:paraId="43D14671">
      <w:pPr>
        <w:pStyle w:val="17"/>
        <w:numPr>
          <w:ilvl w:val="0"/>
          <w:numId w:val="15"/>
        </w:numPr>
        <w:tabs>
          <w:tab w:val="left" w:pos="127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lang w:eastAsia="zh-CN"/>
        </w:rPr>
        <w:br w:type="page"/>
      </w:r>
      <w:bookmarkStart w:id="26" w:name="_bookmark9"/>
      <w:bookmarkEnd w:id="26"/>
      <w:r>
        <w:rPr>
          <w:rFonts w:ascii="Arial" w:hAnsi="Arial" w:eastAsia="宋体" w:cs="Arial"/>
          <w:snapToGrid w:val="0"/>
          <w:lang w:eastAsia="zh-CN"/>
        </w:rPr>
        <w:t>恶性肿瘤</w:t>
      </w:r>
    </w:p>
    <w:p w14:paraId="56BBEF59">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对于当存在已知或新发现恶性肿瘤时使用的防粘连产品器械，您应预期是否需要实施其他临床前和临床测试，即集中讨论加速的肿瘤生长问题和对主要和转移性疾病临床进展影响的测试。在开始其中一项试验前，您应与审核部门讨论具体方案。</w:t>
      </w:r>
    </w:p>
    <w:p w14:paraId="229D17A0">
      <w:pPr>
        <w:pStyle w:val="17"/>
        <w:numPr>
          <w:ilvl w:val="0"/>
          <w:numId w:val="9"/>
        </w:numPr>
        <w:tabs>
          <w:tab w:val="left" w:pos="426"/>
          <w:tab w:val="left" w:pos="82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风险</w:t>
      </w:r>
      <w:r>
        <w:rPr>
          <w:rFonts w:ascii="Arial" w:hAnsi="Arial" w:eastAsia="宋体" w:cs="Arial"/>
          <w:snapToGrid w:val="0"/>
        </w:rPr>
        <w:t>／</w:t>
      </w:r>
      <w:r>
        <w:rPr>
          <w:rFonts w:hint="eastAsia" w:ascii="Arial" w:hAnsi="Arial" w:eastAsia="宋体" w:cs="Arial"/>
          <w:snapToGrid w:val="0"/>
          <w:lang w:eastAsia="zh-CN"/>
        </w:rPr>
        <w:t>获益</w:t>
      </w:r>
      <w:r>
        <w:rPr>
          <w:rFonts w:ascii="Arial" w:hAnsi="Arial" w:eastAsia="宋体" w:cs="Arial"/>
          <w:snapToGrid w:val="0"/>
          <w:lang w:eastAsia="zh-CN"/>
        </w:rPr>
        <w:t>分析</w:t>
      </w:r>
    </w:p>
    <w:p w14:paraId="25F2F588">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合理的安全性和有效性保证是基于对风险／获益的科学分析。为实施这类分析，至关重要的一点是（如</w:t>
      </w:r>
      <w:r>
        <w:rPr>
          <w:rFonts w:hint="eastAsia" w:ascii="Arial" w:hAnsi="Arial" w:eastAsia="宋体" w:cs="Arial"/>
          <w:snapToGrid w:val="0"/>
          <w:lang w:eastAsia="zh-CN"/>
        </w:rPr>
        <w:t>上文</w:t>
      </w:r>
      <w:r>
        <w:rPr>
          <w:rFonts w:ascii="Arial" w:hAnsi="Arial" w:eastAsia="宋体" w:cs="Arial"/>
          <w:snapToGrid w:val="0"/>
          <w:lang w:eastAsia="zh-CN"/>
        </w:rPr>
        <w:t>讨论的）您收集的供FDA审核的安全性和有效性数据应完整、客观且</w:t>
      </w:r>
      <w:r>
        <w:rPr>
          <w:rFonts w:hint="eastAsia" w:ascii="Arial" w:hAnsi="Arial" w:eastAsia="宋体" w:cs="Arial"/>
          <w:snapToGrid w:val="0"/>
          <w:lang w:eastAsia="zh-CN"/>
        </w:rPr>
        <w:t>公正</w:t>
      </w:r>
      <w:r>
        <w:rPr>
          <w:rFonts w:ascii="Arial" w:hAnsi="Arial" w:eastAsia="宋体" w:cs="Arial"/>
          <w:snapToGrid w:val="0"/>
          <w:lang w:eastAsia="zh-CN"/>
        </w:rPr>
        <w:t>。FDA及其顾问小组将实施他们自己的独立风险／获益分析。</w:t>
      </w:r>
    </w:p>
    <w:p w14:paraId="76F88B73">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我们鼓励您在IDE和PMA中提供风险／获益分析，该分析应精确描述您的产品以允许将来的使用者做出关于产品使用的知情决定。由于PMA的风险／获益分析将包含临床试验结果，因此更具决定性。风险／获益分析应基于您对您的器械、数据及粘连形成和预防科学的深入了解。很重要的一点是该分析应尽可能基于数据和客观。</w:t>
      </w:r>
    </w:p>
    <w:p w14:paraId="3F414FE4">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风险分析应确定与器械使用相关的所有已知和潜在风险。</w:t>
      </w:r>
      <w:r>
        <w:rPr>
          <w:rFonts w:hint="eastAsia" w:ascii="Arial" w:hAnsi="Arial" w:eastAsia="宋体" w:cs="Arial"/>
          <w:snapToGrid w:val="0"/>
          <w:lang w:eastAsia="zh-CN"/>
        </w:rPr>
        <w:t>其</w:t>
      </w:r>
      <w:r>
        <w:rPr>
          <w:rFonts w:ascii="Arial" w:hAnsi="Arial" w:eastAsia="宋体" w:cs="Arial"/>
          <w:snapToGrid w:val="0"/>
          <w:lang w:eastAsia="zh-CN"/>
        </w:rPr>
        <w:t>应包括试验涉及程序的伴随风险及直接归因于产品使用的风险。应单独和合并分析这些风险。您也应描述鉴定、理解风险并将风险降至最低的计划。</w:t>
      </w:r>
    </w:p>
    <w:p w14:paraId="0F6B9939">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获益分析应确定对患者的可能</w:t>
      </w:r>
      <w:r>
        <w:rPr>
          <w:rFonts w:hint="eastAsia" w:ascii="Arial" w:hAnsi="Arial" w:eastAsia="宋体" w:cs="Arial"/>
          <w:snapToGrid w:val="0"/>
          <w:lang w:eastAsia="zh-CN"/>
        </w:rPr>
        <w:t>获益</w:t>
      </w:r>
      <w:r>
        <w:rPr>
          <w:rFonts w:ascii="Arial" w:hAnsi="Arial" w:eastAsia="宋体" w:cs="Arial"/>
          <w:snapToGrid w:val="0"/>
          <w:lang w:eastAsia="zh-CN"/>
        </w:rPr>
        <w:t>。对不同患者人群的</w:t>
      </w:r>
      <w:r>
        <w:rPr>
          <w:rFonts w:hint="eastAsia" w:ascii="Arial" w:hAnsi="Arial" w:eastAsia="宋体" w:cs="Arial"/>
          <w:snapToGrid w:val="0"/>
          <w:lang w:eastAsia="zh-CN"/>
        </w:rPr>
        <w:t>获益</w:t>
      </w:r>
      <w:r>
        <w:rPr>
          <w:rFonts w:ascii="Arial" w:hAnsi="Arial" w:eastAsia="宋体" w:cs="Arial"/>
          <w:snapToGrid w:val="0"/>
          <w:lang w:eastAsia="zh-CN"/>
        </w:rPr>
        <w:t>可能有差异，获益分析应包含关于该内容的任何可用信息。</w:t>
      </w:r>
    </w:p>
    <w:p w14:paraId="01FD4A4F">
      <w:pPr>
        <w:pStyle w:val="17"/>
        <w:numPr>
          <w:ilvl w:val="0"/>
          <w:numId w:val="9"/>
        </w:numPr>
        <w:tabs>
          <w:tab w:val="left" w:pos="426"/>
          <w:tab w:val="left" w:pos="820"/>
        </w:tabs>
        <w:topLinePunct/>
        <w:adjustRightInd w:val="0"/>
        <w:snapToGrid w:val="0"/>
        <w:spacing w:after="224" w:afterLines="75" w:line="288" w:lineRule="auto"/>
        <w:ind w:left="0" w:firstLine="0"/>
        <w:jc w:val="both"/>
        <w:outlineLvl w:val="9"/>
        <w:rPr>
          <w:rFonts w:ascii="Arial" w:hAnsi="Arial" w:eastAsia="宋体" w:cs="Arial"/>
          <w:b w:val="0"/>
          <w:bCs w:val="0"/>
          <w:snapToGrid w:val="0"/>
        </w:rPr>
      </w:pPr>
      <w:r>
        <w:rPr>
          <w:rFonts w:ascii="Arial" w:hAnsi="Arial" w:eastAsia="宋体" w:cs="Arial"/>
          <w:snapToGrid w:val="0"/>
          <w:lang w:eastAsia="zh-CN"/>
        </w:rPr>
        <w:t>标签</w:t>
      </w:r>
    </w:p>
    <w:p w14:paraId="6F0774CD">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试验用器械的标签必须符合21 CFR 812.5和21 CFR 812.5，</w:t>
      </w:r>
      <w:r>
        <w:rPr>
          <w:rFonts w:hint="eastAsia" w:ascii="Arial" w:hAnsi="Arial" w:eastAsia="宋体" w:cs="Arial"/>
          <w:snapToGrid w:val="0"/>
          <w:lang w:eastAsia="zh-CN"/>
        </w:rPr>
        <w:t>其</w:t>
      </w:r>
      <w:r>
        <w:rPr>
          <w:rFonts w:ascii="Arial" w:hAnsi="Arial" w:eastAsia="宋体" w:cs="Arial"/>
          <w:snapToGrid w:val="0"/>
          <w:lang w:eastAsia="zh-CN"/>
        </w:rPr>
        <w:t>必须声明：</w:t>
      </w:r>
      <w:r>
        <w:rPr>
          <w:rFonts w:ascii="宋体" w:hAnsi="宋体" w:eastAsia="宋体" w:cs="Arial"/>
          <w:snapToGrid w:val="0"/>
          <w:lang w:eastAsia="zh-CN"/>
        </w:rPr>
        <w:t>“</w:t>
      </w:r>
      <w:bookmarkStart w:id="27" w:name="OLE_LINK10"/>
      <w:bookmarkStart w:id="28" w:name="OLE_LINK11"/>
      <w:r>
        <w:rPr>
          <w:rFonts w:ascii="Arial" w:hAnsi="Arial" w:eastAsia="宋体" w:cs="Arial"/>
          <w:snapToGrid w:val="0"/>
          <w:lang w:eastAsia="zh-CN"/>
        </w:rPr>
        <w:t>警告-试验用器械。联邦（或美国）法</w:t>
      </w:r>
      <w:bookmarkEnd w:id="27"/>
      <w:bookmarkEnd w:id="28"/>
      <w:r>
        <w:rPr>
          <w:rFonts w:ascii="Arial" w:hAnsi="Arial" w:eastAsia="宋体" w:cs="Arial"/>
          <w:snapToGrid w:val="0"/>
          <w:lang w:eastAsia="zh-CN"/>
        </w:rPr>
        <w:t>律规定仅限于试验使用。</w:t>
      </w:r>
      <w:r>
        <w:rPr>
          <w:rFonts w:ascii="宋体" w:hAnsi="宋体" w:eastAsia="宋体" w:cs="Arial"/>
          <w:snapToGrid w:val="0"/>
          <w:lang w:eastAsia="zh-CN"/>
        </w:rPr>
        <w:t>”</w:t>
      </w:r>
    </w:p>
    <w:p w14:paraId="6B2C3D17">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在PMA中，最终</w:t>
      </w:r>
      <w:r>
        <w:rPr>
          <w:rFonts w:hint="eastAsia" w:ascii="Arial" w:hAnsi="Arial" w:eastAsia="宋体" w:cs="Arial"/>
          <w:snapToGrid w:val="0"/>
          <w:lang w:eastAsia="zh-CN"/>
        </w:rPr>
        <w:t>上市</w:t>
      </w:r>
      <w:r>
        <w:rPr>
          <w:rFonts w:ascii="Arial" w:hAnsi="Arial" w:eastAsia="宋体" w:cs="Arial"/>
          <w:snapToGrid w:val="0"/>
          <w:lang w:eastAsia="zh-CN"/>
        </w:rPr>
        <w:t>标签应包含以下基本要素：</w:t>
      </w:r>
    </w:p>
    <w:p w14:paraId="249DDEB8">
      <w:pPr>
        <w:pStyle w:val="2"/>
        <w:numPr>
          <w:ilvl w:val="0"/>
          <w:numId w:val="4"/>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ascii="Arial" w:hAnsi="Arial" w:eastAsia="宋体" w:cs="Arial"/>
          <w:snapToGrid w:val="0"/>
          <w:lang w:eastAsia="zh-CN"/>
        </w:rPr>
        <w:t>简要器械说明</w:t>
      </w:r>
    </w:p>
    <w:p w14:paraId="68D0793A">
      <w:pPr>
        <w:pStyle w:val="2"/>
        <w:numPr>
          <w:ilvl w:val="0"/>
          <w:numId w:val="4"/>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ascii="Arial" w:hAnsi="Arial" w:eastAsia="宋体" w:cs="Arial"/>
          <w:snapToGrid w:val="0"/>
          <w:lang w:eastAsia="zh-CN"/>
        </w:rPr>
        <w:t>适应症</w:t>
      </w:r>
    </w:p>
    <w:p w14:paraId="7E287B1E">
      <w:pPr>
        <w:pStyle w:val="2"/>
        <w:numPr>
          <w:ilvl w:val="0"/>
          <w:numId w:val="4"/>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ascii="Arial" w:hAnsi="Arial" w:eastAsia="宋体" w:cs="Arial"/>
          <w:snapToGrid w:val="0"/>
          <w:lang w:eastAsia="zh-CN"/>
        </w:rPr>
        <w:t>禁忌症</w:t>
      </w:r>
    </w:p>
    <w:p w14:paraId="43618ADD">
      <w:pPr>
        <w:pStyle w:val="2"/>
        <w:numPr>
          <w:ilvl w:val="0"/>
          <w:numId w:val="4"/>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ascii="Arial" w:hAnsi="Arial" w:eastAsia="宋体" w:cs="Arial"/>
          <w:snapToGrid w:val="0"/>
          <w:lang w:eastAsia="zh-CN"/>
        </w:rPr>
        <w:t>警告</w:t>
      </w:r>
      <w:r>
        <w:rPr>
          <w:rFonts w:ascii="Arial" w:hAnsi="Arial" w:eastAsia="宋体" w:cs="Arial"/>
          <w:snapToGrid w:val="0"/>
        </w:rPr>
        <w:t>／</w:t>
      </w:r>
      <w:r>
        <w:rPr>
          <w:rFonts w:ascii="Arial" w:hAnsi="Arial" w:eastAsia="宋体" w:cs="Arial"/>
          <w:snapToGrid w:val="0"/>
          <w:lang w:eastAsia="zh-CN"/>
        </w:rPr>
        <w:t>注意事项</w:t>
      </w:r>
    </w:p>
    <w:p w14:paraId="047DF514">
      <w:pPr>
        <w:pStyle w:val="2"/>
        <w:numPr>
          <w:ilvl w:val="0"/>
          <w:numId w:val="4"/>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ascii="Arial" w:hAnsi="Arial" w:eastAsia="宋体" w:cs="Arial"/>
          <w:snapToGrid w:val="0"/>
          <w:lang w:eastAsia="zh-CN"/>
        </w:rPr>
        <w:t>不良事件</w:t>
      </w:r>
    </w:p>
    <w:p w14:paraId="4A834696">
      <w:pPr>
        <w:pStyle w:val="2"/>
        <w:numPr>
          <w:ilvl w:val="0"/>
          <w:numId w:val="4"/>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ascii="Arial" w:hAnsi="Arial" w:eastAsia="宋体" w:cs="Arial"/>
          <w:snapToGrid w:val="0"/>
          <w:lang w:eastAsia="zh-CN"/>
        </w:rPr>
        <w:t>临床研究</w:t>
      </w:r>
    </w:p>
    <w:p w14:paraId="5F5D1FA6">
      <w:pPr>
        <w:pStyle w:val="2"/>
        <w:numPr>
          <w:ilvl w:val="0"/>
          <w:numId w:val="4"/>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ascii="Arial" w:hAnsi="Arial" w:eastAsia="宋体" w:cs="Arial"/>
          <w:snapToGrid w:val="0"/>
        </w:rPr>
        <w:br w:type="page"/>
      </w:r>
      <w:r>
        <w:rPr>
          <w:rFonts w:ascii="Arial" w:hAnsi="Arial" w:eastAsia="宋体" w:cs="Arial"/>
          <w:snapToGrid w:val="0"/>
          <w:lang w:eastAsia="zh-CN"/>
        </w:rPr>
        <w:t>患者信息</w:t>
      </w:r>
      <w:r>
        <w:rPr>
          <w:rFonts w:ascii="Arial" w:hAnsi="Arial" w:eastAsia="宋体" w:cs="Arial"/>
          <w:snapToGrid w:val="0"/>
        </w:rPr>
        <w:t>（</w:t>
      </w:r>
      <w:r>
        <w:rPr>
          <w:rFonts w:ascii="Arial" w:hAnsi="Arial" w:eastAsia="宋体" w:cs="Arial"/>
          <w:snapToGrid w:val="0"/>
          <w:lang w:eastAsia="zh-CN"/>
        </w:rPr>
        <w:t>根据需要</w:t>
      </w:r>
      <w:r>
        <w:rPr>
          <w:rFonts w:ascii="Arial" w:hAnsi="Arial" w:eastAsia="宋体" w:cs="Arial"/>
          <w:snapToGrid w:val="0"/>
        </w:rPr>
        <w:t>）</w:t>
      </w:r>
    </w:p>
    <w:p w14:paraId="47933F2B">
      <w:pPr>
        <w:pStyle w:val="2"/>
        <w:numPr>
          <w:ilvl w:val="0"/>
          <w:numId w:val="4"/>
        </w:numPr>
        <w:tabs>
          <w:tab w:val="left" w:pos="1134"/>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使用说明书。</w:t>
      </w:r>
    </w:p>
    <w:p w14:paraId="3F2AEC7B">
      <w:pPr>
        <w:pStyle w:val="17"/>
        <w:numPr>
          <w:ilvl w:val="0"/>
          <w:numId w:val="16"/>
        </w:numPr>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适应症</w:t>
      </w:r>
    </w:p>
    <w:p w14:paraId="25B8206F">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标签应准确代表已收集的关于器械的数据。标签适应症应基于实施的支持该适应症的研究。您应前瞻性地规定预期适应症并尽可能清晰和详尽。适应症将取决于试验中所选手术模式。也见临床试验计划</w:t>
      </w:r>
      <w:r>
        <w:rPr>
          <w:rFonts w:ascii="Arial" w:hAnsi="Arial" w:eastAsia="宋体" w:cs="Arial"/>
          <w:snapToGrid w:val="0"/>
        </w:rPr>
        <w:t>II</w:t>
      </w:r>
      <w:r>
        <w:rPr>
          <w:rFonts w:ascii="Arial" w:hAnsi="Arial" w:eastAsia="宋体" w:cs="Arial"/>
          <w:snapToGrid w:val="0"/>
          <w:lang w:eastAsia="zh-CN"/>
        </w:rPr>
        <w:t>预期用途部分。</w:t>
      </w:r>
    </w:p>
    <w:p w14:paraId="71BDB64B">
      <w:pPr>
        <w:pStyle w:val="17"/>
        <w:numPr>
          <w:ilvl w:val="0"/>
          <w:numId w:val="16"/>
        </w:numPr>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禁忌症</w:t>
      </w:r>
    </w:p>
    <w:p w14:paraId="60CAC1CA">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这部分应列出永远不能使用器械的情况。例如，如果基于动物或人类数据，已知防粘连产品会增加感染性，则存在活动性感染或肠内污染时禁止使用该器械。</w:t>
      </w:r>
    </w:p>
    <w:p w14:paraId="314B2534">
      <w:pPr>
        <w:pStyle w:val="17"/>
        <w:numPr>
          <w:ilvl w:val="0"/>
          <w:numId w:val="16"/>
        </w:numPr>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bookmarkStart w:id="29" w:name="_TOC_250003"/>
      <w:r>
        <w:rPr>
          <w:rFonts w:ascii="Arial" w:hAnsi="Arial" w:eastAsia="宋体" w:cs="Arial"/>
          <w:snapToGrid w:val="0"/>
          <w:u w:val="thick" w:color="000000"/>
          <w:lang w:eastAsia="zh-CN"/>
        </w:rPr>
        <w:t>警告</w:t>
      </w:r>
      <w:bookmarkEnd w:id="29"/>
      <w:r>
        <w:rPr>
          <w:rFonts w:ascii="Arial" w:hAnsi="Arial" w:eastAsia="宋体" w:cs="Arial"/>
          <w:snapToGrid w:val="0"/>
          <w:u w:val="thick" w:color="000000"/>
        </w:rPr>
        <w:t>／</w:t>
      </w:r>
      <w:r>
        <w:rPr>
          <w:rFonts w:ascii="Arial" w:hAnsi="Arial" w:eastAsia="宋体" w:cs="Arial"/>
          <w:snapToGrid w:val="0"/>
          <w:u w:val="thick" w:color="000000"/>
          <w:lang w:eastAsia="zh-CN"/>
        </w:rPr>
        <w:t>注意事项</w:t>
      </w:r>
    </w:p>
    <w:p w14:paraId="06D04202">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本部分应列出基于可用信息预期风险增加或获益减少或研究设计（入选／排除标准）未能充分评价的因素，包括：</w:t>
      </w:r>
    </w:p>
    <w:p w14:paraId="66E10D62">
      <w:pPr>
        <w:pStyle w:val="2"/>
        <w:numPr>
          <w:ilvl w:val="1"/>
          <w:numId w:val="16"/>
        </w:numPr>
        <w:tabs>
          <w:tab w:val="left" w:pos="1160"/>
        </w:tabs>
        <w:topLinePunct/>
        <w:adjustRightInd w:val="0"/>
        <w:snapToGrid w:val="0"/>
        <w:spacing w:after="224" w:afterLines="75" w:line="288" w:lineRule="auto"/>
        <w:ind w:left="1159" w:leftChars="527" w:firstLine="0"/>
        <w:jc w:val="both"/>
        <w:rPr>
          <w:rFonts w:ascii="Arial" w:hAnsi="Arial" w:eastAsia="宋体" w:cs="Arial"/>
          <w:snapToGrid w:val="0"/>
          <w:lang w:eastAsia="zh-CN"/>
        </w:rPr>
      </w:pPr>
      <w:r>
        <w:rPr>
          <w:rFonts w:ascii="Arial" w:hAnsi="Arial" w:eastAsia="宋体" w:cs="Arial"/>
          <w:snapToGrid w:val="0"/>
          <w:lang w:eastAsia="zh-CN"/>
        </w:rPr>
        <w:t>止血不够细致时，预期有效性会降低。</w:t>
      </w:r>
    </w:p>
    <w:p w14:paraId="738E6F80">
      <w:pPr>
        <w:pStyle w:val="2"/>
        <w:numPr>
          <w:ilvl w:val="1"/>
          <w:numId w:val="16"/>
        </w:numPr>
        <w:tabs>
          <w:tab w:val="left" w:pos="1160"/>
        </w:tabs>
        <w:topLinePunct/>
        <w:adjustRightInd w:val="0"/>
        <w:snapToGrid w:val="0"/>
        <w:spacing w:after="224" w:afterLines="75" w:line="288" w:lineRule="auto"/>
        <w:ind w:left="1159" w:leftChars="527" w:firstLine="0"/>
        <w:jc w:val="both"/>
        <w:rPr>
          <w:rFonts w:ascii="Arial" w:hAnsi="Arial" w:eastAsia="宋体" w:cs="Arial"/>
          <w:snapToGrid w:val="0"/>
          <w:lang w:eastAsia="zh-CN"/>
        </w:rPr>
      </w:pPr>
      <w:r>
        <w:rPr>
          <w:rFonts w:ascii="Arial" w:hAnsi="Arial" w:eastAsia="宋体" w:cs="Arial"/>
          <w:snapToGrid w:val="0"/>
          <w:lang w:eastAsia="zh-CN"/>
        </w:rPr>
        <w:t>还未评价该产品在妊娠期间的安全性和有效性。</w:t>
      </w:r>
    </w:p>
    <w:p w14:paraId="5C140CE7">
      <w:pPr>
        <w:pStyle w:val="2"/>
        <w:numPr>
          <w:ilvl w:val="1"/>
          <w:numId w:val="16"/>
        </w:numPr>
        <w:tabs>
          <w:tab w:val="left" w:pos="1160"/>
        </w:tabs>
        <w:topLinePunct/>
        <w:adjustRightInd w:val="0"/>
        <w:snapToGrid w:val="0"/>
        <w:spacing w:after="224" w:afterLines="75" w:line="288" w:lineRule="auto"/>
        <w:ind w:left="1159" w:leftChars="527" w:firstLine="0"/>
        <w:jc w:val="both"/>
        <w:rPr>
          <w:rFonts w:ascii="Arial" w:hAnsi="Arial" w:eastAsia="宋体" w:cs="Arial"/>
          <w:snapToGrid w:val="0"/>
          <w:lang w:eastAsia="zh-CN"/>
        </w:rPr>
      </w:pPr>
      <w:r>
        <w:rPr>
          <w:rFonts w:ascii="Arial" w:hAnsi="Arial" w:eastAsia="宋体" w:cs="Arial"/>
          <w:snapToGrid w:val="0"/>
          <w:lang w:eastAsia="zh-CN"/>
        </w:rPr>
        <w:t>还未评价该产品在影响受孕能力方面的安全性和有效性。</w:t>
      </w:r>
    </w:p>
    <w:p w14:paraId="3B22F458">
      <w:pPr>
        <w:pStyle w:val="17"/>
        <w:numPr>
          <w:ilvl w:val="0"/>
          <w:numId w:val="16"/>
        </w:numPr>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不良事件</w:t>
      </w:r>
    </w:p>
    <w:p w14:paraId="11ABFEE5">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您应以表格形式清晰呈现临床试验中记录的所有不良事件，包括数量和百分比。您应基于发生率、严重性或其他相关范例按</w:t>
      </w:r>
      <w:r>
        <w:rPr>
          <w:rFonts w:hint="eastAsia" w:ascii="Arial" w:hAnsi="Arial" w:eastAsia="宋体" w:cs="Arial"/>
          <w:snapToGrid w:val="0"/>
          <w:lang w:eastAsia="zh-CN"/>
        </w:rPr>
        <w:t>有意义的</w:t>
      </w:r>
      <w:r>
        <w:rPr>
          <w:rFonts w:ascii="Arial" w:hAnsi="Arial" w:eastAsia="宋体" w:cs="Arial"/>
          <w:snapToGrid w:val="0"/>
          <w:lang w:eastAsia="zh-CN"/>
        </w:rPr>
        <w:t>顺序列出不良事件。您应以文本和表格形式描述死亡和其他重大不良事件。</w:t>
      </w:r>
    </w:p>
    <w:p w14:paraId="3A09C80C">
      <w:pPr>
        <w:topLinePunct/>
        <w:adjustRightInd w:val="0"/>
        <w:snapToGrid w:val="0"/>
        <w:spacing w:after="224" w:afterLines="75" w:line="288" w:lineRule="auto"/>
        <w:jc w:val="both"/>
        <w:rPr>
          <w:rFonts w:ascii="Arial" w:hAnsi="Arial" w:eastAsia="宋体" w:cs="Arial"/>
          <w:snapToGrid w:val="0"/>
          <w:sz w:val="24"/>
          <w:szCs w:val="11"/>
          <w:lang w:eastAsia="zh-CN"/>
        </w:rPr>
      </w:pPr>
      <w:r>
        <w:rPr>
          <w:rFonts w:ascii="Arial" w:hAnsi="Arial" w:eastAsia="宋体" w:cs="Arial"/>
          <w:snapToGrid w:val="0"/>
          <w:sz w:val="24"/>
          <w:lang w:eastAsia="zh-CN"/>
        </w:rPr>
        <w:br w:type="page"/>
      </w:r>
    </w:p>
    <w:p w14:paraId="5B5751B7">
      <w:pPr>
        <w:pStyle w:val="17"/>
        <w:numPr>
          <w:ilvl w:val="0"/>
          <w:numId w:val="16"/>
        </w:numPr>
        <w:tabs>
          <w:tab w:val="left" w:pos="139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bookmarkStart w:id="30" w:name="_bookmark10"/>
      <w:bookmarkEnd w:id="30"/>
      <w:r>
        <w:rPr>
          <w:rFonts w:ascii="Arial" w:hAnsi="Arial" w:eastAsia="宋体" w:cs="Arial"/>
          <w:snapToGrid w:val="0"/>
          <w:u w:val="thick" w:color="000000"/>
          <w:lang w:eastAsia="zh-CN"/>
        </w:rPr>
        <w:t>临床研究</w:t>
      </w:r>
    </w:p>
    <w:p w14:paraId="500CFA04">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hint="eastAsia" w:ascii="Arial" w:hAnsi="Arial" w:eastAsia="宋体" w:cs="Arial"/>
          <w:snapToGrid w:val="0"/>
          <w:lang w:eastAsia="zh-CN"/>
        </w:rPr>
        <w:t>关于</w:t>
      </w:r>
      <w:r>
        <w:rPr>
          <w:rFonts w:ascii="Arial" w:hAnsi="Arial" w:eastAsia="宋体" w:cs="Arial"/>
          <w:snapToGrid w:val="0"/>
          <w:lang w:eastAsia="zh-CN"/>
        </w:rPr>
        <w:t>的临床研究安全性和有效性应以表格形式总结，表格中应包含以下数据：</w:t>
      </w:r>
    </w:p>
    <w:p w14:paraId="63465786">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患者问责</w:t>
      </w:r>
    </w:p>
    <w:p w14:paraId="5B94BB77">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人口统计资料</w:t>
      </w:r>
    </w:p>
    <w:p w14:paraId="05C53CE8">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手术变量</w:t>
      </w:r>
    </w:p>
    <w:p w14:paraId="002834DC">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有效性</w:t>
      </w:r>
      <w:r>
        <w:rPr>
          <w:rFonts w:hint="eastAsia" w:ascii="Arial" w:hAnsi="Arial" w:eastAsia="宋体" w:cs="Arial"/>
          <w:snapToGrid w:val="0"/>
          <w:lang w:eastAsia="zh-CN"/>
        </w:rPr>
        <w:t>终点</w:t>
      </w:r>
      <w:r>
        <w:rPr>
          <w:rFonts w:ascii="Arial" w:hAnsi="Arial" w:eastAsia="宋体" w:cs="Arial"/>
          <w:snapToGrid w:val="0"/>
          <w:lang w:eastAsia="zh-CN"/>
        </w:rPr>
        <w:t>的基线评价</w:t>
      </w:r>
    </w:p>
    <w:p w14:paraId="1601CE25">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有效性</w:t>
      </w:r>
      <w:r>
        <w:rPr>
          <w:rFonts w:hint="eastAsia" w:ascii="Arial" w:hAnsi="Arial" w:eastAsia="宋体" w:cs="Arial"/>
          <w:snapToGrid w:val="0"/>
          <w:lang w:eastAsia="zh-CN"/>
        </w:rPr>
        <w:t>终点</w:t>
      </w:r>
      <w:r>
        <w:rPr>
          <w:rFonts w:ascii="Arial" w:hAnsi="Arial" w:eastAsia="宋体" w:cs="Arial"/>
          <w:snapToGrid w:val="0"/>
          <w:lang w:eastAsia="zh-CN"/>
        </w:rPr>
        <w:t>的随访评价</w:t>
      </w:r>
    </w:p>
    <w:p w14:paraId="7B51CEED">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lang w:eastAsia="zh-CN"/>
        </w:rPr>
      </w:pPr>
      <w:r>
        <w:rPr>
          <w:rFonts w:ascii="Arial" w:hAnsi="Arial" w:eastAsia="宋体" w:cs="Arial"/>
          <w:snapToGrid w:val="0"/>
          <w:lang w:eastAsia="zh-CN"/>
        </w:rPr>
        <w:t>安全性</w:t>
      </w:r>
      <w:r>
        <w:rPr>
          <w:rFonts w:hint="eastAsia" w:ascii="Arial" w:hAnsi="Arial" w:eastAsia="宋体" w:cs="Arial"/>
          <w:snapToGrid w:val="0"/>
          <w:lang w:eastAsia="zh-CN"/>
        </w:rPr>
        <w:t>终点</w:t>
      </w:r>
      <w:r>
        <w:rPr>
          <w:rFonts w:ascii="Arial" w:hAnsi="Arial" w:eastAsia="宋体" w:cs="Arial"/>
          <w:snapToGrid w:val="0"/>
          <w:lang w:eastAsia="zh-CN"/>
        </w:rPr>
        <w:t>的随访评价</w:t>
      </w:r>
    </w:p>
    <w:p w14:paraId="402834A5">
      <w:pPr>
        <w:pStyle w:val="2"/>
        <w:tabs>
          <w:tab w:val="left" w:pos="1540"/>
        </w:tabs>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lang w:eastAsia="zh-CN"/>
        </w:rPr>
        <w:t>结论与解释应客观。</w:t>
      </w:r>
    </w:p>
    <w:p w14:paraId="71B5A700">
      <w:pPr>
        <w:pStyle w:val="17"/>
        <w:numPr>
          <w:ilvl w:val="0"/>
          <w:numId w:val="16"/>
        </w:numPr>
        <w:tabs>
          <w:tab w:val="left" w:pos="139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rPr>
      </w:pPr>
      <w:r>
        <w:rPr>
          <w:rFonts w:ascii="Arial" w:hAnsi="Arial" w:eastAsia="宋体" w:cs="Arial"/>
          <w:snapToGrid w:val="0"/>
          <w:u w:val="thick" w:color="000000"/>
          <w:lang w:eastAsia="zh-CN"/>
        </w:rPr>
        <w:t>使用说明书</w:t>
      </w:r>
    </w:p>
    <w:p w14:paraId="592AC215">
      <w:pPr>
        <w:pStyle w:val="2"/>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您应提供反映从临床前和临床研究所获经验的详细说明。这些说明应包括：</w:t>
      </w:r>
    </w:p>
    <w:p w14:paraId="1A33B79B">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器械准备</w:t>
      </w:r>
    </w:p>
    <w:p w14:paraId="0A36127E">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患者准备</w:t>
      </w:r>
    </w:p>
    <w:p w14:paraId="5C376219">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器械输送</w:t>
      </w:r>
    </w:p>
    <w:p w14:paraId="5A2DF9AC">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器械应用</w:t>
      </w:r>
    </w:p>
    <w:p w14:paraId="506E4252">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推荐剂量</w:t>
      </w:r>
    </w:p>
    <w:p w14:paraId="114D5824">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操作技术</w:t>
      </w:r>
    </w:p>
    <w:p w14:paraId="0F4C4F0F">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术后护理</w:t>
      </w:r>
    </w:p>
    <w:p w14:paraId="05856F98">
      <w:pPr>
        <w:pStyle w:val="2"/>
        <w:numPr>
          <w:ilvl w:val="1"/>
          <w:numId w:val="16"/>
        </w:numPr>
        <w:tabs>
          <w:tab w:val="left" w:pos="1843"/>
        </w:tabs>
        <w:topLinePunct/>
        <w:adjustRightInd w:val="0"/>
        <w:snapToGrid w:val="0"/>
        <w:spacing w:after="224" w:afterLines="75" w:line="288" w:lineRule="auto"/>
        <w:ind w:left="1441" w:leftChars="655" w:firstLine="0"/>
        <w:jc w:val="both"/>
        <w:rPr>
          <w:rFonts w:ascii="Arial" w:hAnsi="Arial" w:eastAsia="宋体" w:cs="Arial"/>
          <w:snapToGrid w:val="0"/>
        </w:rPr>
      </w:pPr>
      <w:r>
        <w:rPr>
          <w:rFonts w:ascii="Arial" w:hAnsi="Arial" w:eastAsia="宋体" w:cs="Arial"/>
          <w:snapToGrid w:val="0"/>
          <w:lang w:eastAsia="zh-CN"/>
        </w:rPr>
        <w:t>再治疗</w:t>
      </w:r>
      <w:r>
        <w:rPr>
          <w:rFonts w:ascii="Arial" w:hAnsi="Arial" w:eastAsia="宋体" w:cs="Arial"/>
          <w:snapToGrid w:val="0"/>
        </w:rPr>
        <w:t>（</w:t>
      </w:r>
      <w:r>
        <w:rPr>
          <w:rFonts w:ascii="Arial" w:hAnsi="Arial" w:eastAsia="宋体" w:cs="Arial"/>
          <w:snapToGrid w:val="0"/>
          <w:lang w:eastAsia="zh-CN"/>
        </w:rPr>
        <w:t>如果适用</w:t>
      </w:r>
      <w:r>
        <w:rPr>
          <w:rFonts w:ascii="Arial" w:hAnsi="Arial" w:eastAsia="宋体" w:cs="Arial"/>
          <w:snapToGrid w:val="0"/>
        </w:rPr>
        <w:t>）</w:t>
      </w:r>
      <w:r>
        <w:rPr>
          <w:rFonts w:ascii="Arial" w:hAnsi="Arial" w:eastAsia="宋体" w:cs="Arial"/>
          <w:snapToGrid w:val="0"/>
          <w:lang w:eastAsia="zh-CN"/>
        </w:rPr>
        <w:t>。</w:t>
      </w:r>
    </w:p>
    <w:p w14:paraId="60427FFE">
      <w:pPr>
        <w:pStyle w:val="17"/>
        <w:topLinePunct/>
        <w:adjustRightInd w:val="0"/>
        <w:snapToGrid w:val="0"/>
        <w:spacing w:after="224" w:afterLines="75" w:line="288" w:lineRule="auto"/>
        <w:ind w:left="0" w:firstLine="0"/>
        <w:jc w:val="both"/>
        <w:outlineLvl w:val="9"/>
        <w:rPr>
          <w:rFonts w:ascii="Arial" w:hAnsi="Arial" w:eastAsia="宋体" w:cs="Arial"/>
          <w:b w:val="0"/>
          <w:bCs w:val="0"/>
          <w:snapToGrid w:val="0"/>
          <w:lang w:eastAsia="zh-CN"/>
        </w:rPr>
      </w:pPr>
      <w:r>
        <w:rPr>
          <w:rFonts w:ascii="Arial" w:hAnsi="Arial" w:eastAsia="宋体" w:cs="Arial"/>
          <w:snapToGrid w:val="0"/>
          <w:lang w:eastAsia="zh-CN"/>
        </w:rPr>
        <w:t>参考</w:t>
      </w:r>
      <w:r>
        <w:rPr>
          <w:rFonts w:hint="eastAsia" w:ascii="Arial" w:hAnsi="Arial" w:eastAsia="宋体" w:cs="Arial"/>
          <w:snapToGrid w:val="0"/>
          <w:lang w:eastAsia="zh-CN"/>
        </w:rPr>
        <w:t>文件</w:t>
      </w:r>
    </w:p>
    <w:p w14:paraId="44778CB0">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lang w:eastAsia="zh-CN"/>
        </w:rPr>
        <w:t>粘连评分组。1994。粘连评分系统观察者间再现性的提高。</w:t>
      </w:r>
      <w:r>
        <w:rPr>
          <w:rFonts w:ascii="Arial" w:hAnsi="Arial" w:eastAsia="宋体" w:cs="Arial"/>
          <w:i/>
          <w:snapToGrid w:val="0"/>
          <w:lang w:eastAsia="zh-CN"/>
        </w:rPr>
        <w:t>生育与不育</w:t>
      </w:r>
      <w:r>
        <w:rPr>
          <w:rFonts w:ascii="Arial" w:hAnsi="Arial" w:eastAsia="宋体" w:cs="Arial"/>
          <w:snapToGrid w:val="0"/>
        </w:rPr>
        <w:t>62: 984-988</w:t>
      </w:r>
      <w:r>
        <w:rPr>
          <w:rFonts w:ascii="Arial" w:hAnsi="Arial" w:eastAsia="宋体" w:cs="Arial"/>
          <w:snapToGrid w:val="0"/>
          <w:lang w:eastAsia="zh-CN"/>
        </w:rPr>
        <w:t>。</w:t>
      </w:r>
    </w:p>
    <w:p w14:paraId="083566BD">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lang w:eastAsia="zh-CN"/>
        </w:rPr>
      </w:pPr>
      <w:r>
        <w:rPr>
          <w:rFonts w:ascii="Arial" w:hAnsi="Arial" w:eastAsia="宋体" w:cs="Arial"/>
          <w:snapToGrid w:val="0"/>
          <w:lang w:eastAsia="zh-CN"/>
        </w:rPr>
        <w:t>美国生育学会。1988。美国生育学会附件粘连、继发于输卵管结扎的输卵管远端堵塞、输卵管妊娠、</w:t>
      </w:r>
      <w:r>
        <w:rPr>
          <w:rFonts w:hint="eastAsia" w:ascii="Arial" w:hAnsi="Arial" w:eastAsia="宋体" w:cs="Arial"/>
          <w:snapToGrid w:val="0"/>
          <w:lang w:eastAsia="zh-CN"/>
        </w:rPr>
        <w:t>宫颈内膜</w:t>
      </w:r>
      <w:r>
        <w:rPr>
          <w:rFonts w:ascii="Arial" w:hAnsi="Arial" w:eastAsia="宋体" w:cs="Arial"/>
          <w:snapToGrid w:val="0"/>
          <w:lang w:eastAsia="zh-CN"/>
        </w:rPr>
        <w:t>异常和宫腔粘连分类</w:t>
      </w:r>
      <w:r>
        <w:rPr>
          <w:rFonts w:ascii="Arial" w:hAnsi="Arial" w:eastAsia="宋体" w:cs="Arial"/>
          <w:i/>
          <w:snapToGrid w:val="0"/>
          <w:lang w:eastAsia="zh-CN"/>
        </w:rPr>
        <w:t>生育与不育</w:t>
      </w:r>
      <w:r>
        <w:rPr>
          <w:rFonts w:ascii="Arial" w:hAnsi="Arial" w:eastAsia="宋体" w:cs="Arial"/>
          <w:snapToGrid w:val="0"/>
          <w:lang w:eastAsia="zh-CN"/>
        </w:rPr>
        <w:t>49: 944-955。</w:t>
      </w:r>
    </w:p>
    <w:p w14:paraId="41D819DF">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lang w:eastAsia="zh-CN"/>
        </w:rPr>
        <w:t>美国生殖医学学会。1997。ASRM子宫内膜异位分类修订：1996。</w:t>
      </w:r>
      <w:r>
        <w:rPr>
          <w:rFonts w:ascii="Arial" w:hAnsi="Arial" w:eastAsia="宋体" w:cs="Arial"/>
          <w:i/>
          <w:snapToGrid w:val="0"/>
          <w:lang w:eastAsia="zh-CN"/>
        </w:rPr>
        <w:t>生育与不育</w:t>
      </w:r>
      <w:r>
        <w:rPr>
          <w:rFonts w:ascii="Arial" w:hAnsi="Arial" w:eastAsia="宋体" w:cs="Arial"/>
          <w:snapToGrid w:val="0"/>
        </w:rPr>
        <w:t>67 (5): 817-821</w:t>
      </w:r>
      <w:r>
        <w:rPr>
          <w:rFonts w:ascii="Arial" w:hAnsi="Arial" w:eastAsia="宋体" w:cs="Arial"/>
          <w:snapToGrid w:val="0"/>
          <w:lang w:eastAsia="zh-CN"/>
        </w:rPr>
        <w:t>。</w:t>
      </w:r>
    </w:p>
    <w:p w14:paraId="660CF4FA">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rPr>
        <w:t>Corson SL</w:t>
      </w:r>
      <w:r>
        <w:rPr>
          <w:rFonts w:ascii="Arial" w:hAnsi="Arial" w:eastAsia="宋体" w:cs="Arial"/>
          <w:snapToGrid w:val="0"/>
          <w:lang w:eastAsia="zh-CN"/>
        </w:rPr>
        <w:t>，</w:t>
      </w:r>
      <w:r>
        <w:rPr>
          <w:rFonts w:ascii="Arial" w:hAnsi="Arial" w:eastAsia="宋体" w:cs="Arial"/>
          <w:snapToGrid w:val="0"/>
        </w:rPr>
        <w:t>Batzer FR</w:t>
      </w:r>
      <w:r>
        <w:rPr>
          <w:rFonts w:ascii="Arial" w:hAnsi="Arial" w:eastAsia="宋体" w:cs="Arial"/>
          <w:snapToGrid w:val="0"/>
          <w:lang w:eastAsia="zh-CN"/>
        </w:rPr>
        <w:t>，</w:t>
      </w:r>
      <w:r>
        <w:rPr>
          <w:rFonts w:ascii="Arial" w:hAnsi="Arial" w:eastAsia="宋体" w:cs="Arial"/>
          <w:snapToGrid w:val="0"/>
        </w:rPr>
        <w:t>Gocial B</w:t>
      </w:r>
      <w:r>
        <w:rPr>
          <w:rFonts w:ascii="Arial" w:hAnsi="Arial" w:eastAsia="宋体" w:cs="Arial"/>
          <w:snapToGrid w:val="0"/>
          <w:lang w:eastAsia="zh-CN"/>
        </w:rPr>
        <w:t>，</w:t>
      </w:r>
      <w:r>
        <w:rPr>
          <w:rFonts w:ascii="Arial" w:hAnsi="Arial" w:eastAsia="宋体" w:cs="Arial"/>
          <w:snapToGrid w:val="0"/>
        </w:rPr>
        <w:t>Kelly M</w:t>
      </w:r>
      <w:r>
        <w:rPr>
          <w:rFonts w:ascii="Arial" w:hAnsi="Arial" w:eastAsia="宋体" w:cs="Arial"/>
          <w:snapToGrid w:val="0"/>
          <w:lang w:eastAsia="zh-CN"/>
        </w:rPr>
        <w:t>，</w:t>
      </w:r>
      <w:r>
        <w:rPr>
          <w:rFonts w:ascii="Arial" w:hAnsi="Arial" w:eastAsia="宋体" w:cs="Arial"/>
          <w:snapToGrid w:val="0"/>
        </w:rPr>
        <w:t>Gutmann JN</w:t>
      </w:r>
      <w:r>
        <w:rPr>
          <w:rFonts w:ascii="Arial" w:hAnsi="Arial" w:eastAsia="宋体" w:cs="Arial"/>
          <w:snapToGrid w:val="0"/>
          <w:lang w:eastAsia="zh-CN"/>
        </w:rPr>
        <w:t>和</w:t>
      </w:r>
      <w:r>
        <w:rPr>
          <w:rFonts w:ascii="Arial" w:hAnsi="Arial" w:eastAsia="宋体" w:cs="Arial"/>
          <w:snapToGrid w:val="0"/>
        </w:rPr>
        <w:t>Maislin G</w:t>
      </w:r>
      <w:r>
        <w:rPr>
          <w:rFonts w:ascii="Arial" w:hAnsi="Arial" w:eastAsia="宋体" w:cs="Arial"/>
          <w:snapToGrid w:val="0"/>
          <w:lang w:eastAsia="zh-CN"/>
        </w:rPr>
        <w:t>。1995。盆腔粘连腹腔镜检查诊断评分的观察者内和观察者间可变性。</w:t>
      </w:r>
      <w:r>
        <w:rPr>
          <w:rFonts w:ascii="Arial" w:hAnsi="Arial" w:eastAsia="宋体" w:cs="Arial"/>
          <w:i/>
          <w:snapToGrid w:val="0"/>
          <w:lang w:eastAsia="zh-CN"/>
        </w:rPr>
        <w:t>人类生殖</w:t>
      </w:r>
      <w:r>
        <w:rPr>
          <w:rFonts w:ascii="Arial" w:hAnsi="Arial" w:eastAsia="宋体" w:cs="Arial"/>
          <w:snapToGrid w:val="0"/>
        </w:rPr>
        <w:t>19 (1): 161-164</w:t>
      </w:r>
      <w:r>
        <w:rPr>
          <w:rFonts w:ascii="Arial" w:hAnsi="Arial" w:eastAsia="宋体" w:cs="Arial"/>
          <w:snapToGrid w:val="0"/>
          <w:lang w:eastAsia="zh-CN"/>
        </w:rPr>
        <w:t>。</w:t>
      </w:r>
    </w:p>
    <w:p w14:paraId="7AA2AAF8">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lang w:eastAsia="zh-CN"/>
        </w:rPr>
      </w:pPr>
      <w:r>
        <w:rPr>
          <w:rFonts w:ascii="Arial" w:hAnsi="Arial" w:eastAsia="宋体" w:cs="Arial"/>
          <w:snapToGrid w:val="0"/>
        </w:rPr>
        <w:t>Gomel V</w:t>
      </w:r>
      <w:r>
        <w:rPr>
          <w:rFonts w:ascii="Arial" w:hAnsi="Arial" w:eastAsia="宋体" w:cs="Arial"/>
          <w:snapToGrid w:val="0"/>
          <w:lang w:eastAsia="zh-CN"/>
        </w:rPr>
        <w:t>和</w:t>
      </w:r>
      <w:r>
        <w:rPr>
          <w:rFonts w:ascii="Arial" w:hAnsi="Arial" w:eastAsia="宋体" w:cs="Arial"/>
          <w:snapToGrid w:val="0"/>
        </w:rPr>
        <w:t>Erenus M</w:t>
      </w:r>
      <w:r>
        <w:rPr>
          <w:rFonts w:ascii="Arial" w:hAnsi="Arial" w:eastAsia="宋体" w:cs="Arial"/>
          <w:snapToGrid w:val="0"/>
          <w:lang w:eastAsia="zh-CN"/>
        </w:rPr>
        <w:t>。1990。美国生育学会，第16次年会。项目副刊（摘要）P-097，S-106。</w:t>
      </w:r>
    </w:p>
    <w:p w14:paraId="595CDCD3">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lang w:eastAsia="zh-CN"/>
        </w:rPr>
        <w:t>Hulka JF。1982。附件粘连：基于北卡罗来纳州教堂山生育手术结果五年调查的一种预后分级和分类系统。</w:t>
      </w:r>
      <w:r>
        <w:rPr>
          <w:rFonts w:ascii="Arial" w:hAnsi="Arial" w:eastAsia="宋体" w:cs="Arial"/>
          <w:i/>
          <w:snapToGrid w:val="0"/>
          <w:lang w:eastAsia="zh-CN"/>
        </w:rPr>
        <w:t xml:space="preserve"> </w:t>
      </w:r>
      <w:r>
        <w:rPr>
          <w:rFonts w:ascii="Arial" w:hAnsi="Arial" w:eastAsia="宋体" w:cs="Arial"/>
          <w:i/>
          <w:snapToGrid w:val="0"/>
        </w:rPr>
        <w:t>Am. J. Obstet.</w:t>
      </w:r>
      <w:r>
        <w:rPr>
          <w:rFonts w:ascii="Arial" w:hAnsi="Arial" w:eastAsia="宋体" w:cs="Arial"/>
          <w:i/>
          <w:snapToGrid w:val="0"/>
          <w:lang w:eastAsia="zh-CN"/>
        </w:rPr>
        <w:t>妇科学。</w:t>
      </w:r>
      <w:r>
        <w:rPr>
          <w:rFonts w:ascii="Arial" w:hAnsi="Arial" w:eastAsia="宋体" w:cs="Arial"/>
          <w:snapToGrid w:val="0"/>
        </w:rPr>
        <w:t>144 (2): 141-148</w:t>
      </w:r>
      <w:r>
        <w:rPr>
          <w:rFonts w:ascii="Arial" w:hAnsi="Arial" w:eastAsia="宋体" w:cs="Arial"/>
          <w:snapToGrid w:val="0"/>
          <w:lang w:eastAsia="zh-CN"/>
        </w:rPr>
        <w:t>。</w:t>
      </w:r>
    </w:p>
    <w:p w14:paraId="772EC694">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rPr>
        <w:t>Hulka JF</w:t>
      </w:r>
      <w:r>
        <w:rPr>
          <w:rFonts w:ascii="Arial" w:hAnsi="Arial" w:eastAsia="宋体" w:cs="Arial"/>
          <w:snapToGrid w:val="0"/>
          <w:lang w:eastAsia="zh-CN"/>
        </w:rPr>
        <w:t>，</w:t>
      </w:r>
      <w:r>
        <w:rPr>
          <w:rFonts w:ascii="Arial" w:hAnsi="Arial" w:eastAsia="宋体" w:cs="Arial"/>
          <w:snapToGrid w:val="0"/>
        </w:rPr>
        <w:t>Omran K</w:t>
      </w:r>
      <w:r>
        <w:rPr>
          <w:rFonts w:ascii="Arial" w:hAnsi="Arial" w:eastAsia="宋体" w:cs="Arial"/>
          <w:snapToGrid w:val="0"/>
          <w:lang w:eastAsia="zh-CN"/>
        </w:rPr>
        <w:t>和</w:t>
      </w:r>
      <w:r>
        <w:rPr>
          <w:rFonts w:ascii="Arial" w:hAnsi="Arial" w:eastAsia="宋体" w:cs="Arial"/>
          <w:snapToGrid w:val="0"/>
        </w:rPr>
        <w:t>Berger GS</w:t>
      </w:r>
      <w:r>
        <w:rPr>
          <w:rFonts w:ascii="Arial" w:hAnsi="Arial" w:eastAsia="宋体" w:cs="Arial"/>
          <w:snapToGrid w:val="0"/>
          <w:lang w:eastAsia="zh-CN"/>
        </w:rPr>
        <w:t>。1978。附件粘连分类：预后意义建议和评价。</w:t>
      </w:r>
      <w:r>
        <w:rPr>
          <w:rFonts w:ascii="Arial" w:hAnsi="Arial" w:eastAsia="宋体" w:cs="Arial"/>
          <w:i/>
          <w:snapToGrid w:val="0"/>
          <w:lang w:eastAsia="zh-CN"/>
        </w:rPr>
        <w:t>生育与不育</w:t>
      </w:r>
      <w:r>
        <w:rPr>
          <w:rFonts w:ascii="Arial" w:hAnsi="Arial" w:eastAsia="宋体" w:cs="Arial"/>
          <w:snapToGrid w:val="0"/>
        </w:rPr>
        <w:t>30: 661-665</w:t>
      </w:r>
      <w:r>
        <w:rPr>
          <w:rFonts w:ascii="Arial" w:hAnsi="Arial" w:eastAsia="宋体" w:cs="Arial"/>
          <w:snapToGrid w:val="0"/>
          <w:lang w:eastAsia="zh-CN"/>
        </w:rPr>
        <w:t>。</w:t>
      </w:r>
    </w:p>
    <w:p w14:paraId="37366929">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rPr>
        <w:t>Lundorff P</w:t>
      </w:r>
      <w:r>
        <w:rPr>
          <w:rFonts w:ascii="Arial" w:hAnsi="Arial" w:eastAsia="宋体" w:cs="Arial"/>
          <w:snapToGrid w:val="0"/>
          <w:lang w:eastAsia="zh-CN"/>
        </w:rPr>
        <w:t>，</w:t>
      </w:r>
      <w:r>
        <w:rPr>
          <w:rFonts w:ascii="Arial" w:hAnsi="Arial" w:eastAsia="宋体" w:cs="Arial"/>
          <w:snapToGrid w:val="0"/>
        </w:rPr>
        <w:t>Halin M</w:t>
      </w:r>
      <w:r>
        <w:rPr>
          <w:rFonts w:ascii="Arial" w:hAnsi="Arial" w:eastAsia="宋体" w:cs="Arial"/>
          <w:snapToGrid w:val="0"/>
          <w:lang w:eastAsia="zh-CN"/>
        </w:rPr>
        <w:t>，</w:t>
      </w:r>
      <w:r>
        <w:rPr>
          <w:rFonts w:ascii="Arial" w:hAnsi="Arial" w:eastAsia="宋体" w:cs="Arial"/>
          <w:snapToGrid w:val="0"/>
        </w:rPr>
        <w:t>Kallfelt B</w:t>
      </w:r>
      <w:r>
        <w:rPr>
          <w:rFonts w:ascii="Arial" w:hAnsi="Arial" w:eastAsia="宋体" w:cs="Arial"/>
          <w:snapToGrid w:val="0"/>
          <w:lang w:eastAsia="zh-CN"/>
        </w:rPr>
        <w:t>，</w:t>
      </w:r>
      <w:r>
        <w:rPr>
          <w:rFonts w:ascii="Arial" w:hAnsi="Arial" w:eastAsia="宋体" w:cs="Arial"/>
          <w:snapToGrid w:val="0"/>
        </w:rPr>
        <w:t>Thorburn J</w:t>
      </w:r>
      <w:r>
        <w:rPr>
          <w:rFonts w:ascii="Arial" w:hAnsi="Arial" w:eastAsia="宋体" w:cs="Arial"/>
          <w:snapToGrid w:val="0"/>
          <w:lang w:eastAsia="zh-CN"/>
        </w:rPr>
        <w:t>和</w:t>
      </w:r>
      <w:r>
        <w:rPr>
          <w:rFonts w:ascii="Arial" w:hAnsi="Arial" w:eastAsia="宋体" w:cs="Arial"/>
          <w:snapToGrid w:val="0"/>
        </w:rPr>
        <w:t>Lindblom B</w:t>
      </w:r>
      <w:r>
        <w:rPr>
          <w:rFonts w:ascii="Arial" w:hAnsi="Arial" w:eastAsia="宋体" w:cs="Arial"/>
          <w:snapToGrid w:val="0"/>
          <w:lang w:eastAsia="zh-CN"/>
        </w:rPr>
        <w:t>。1991。输卵管妊娠行腹腔镜手术后粘连形成：一项随机试验对比开腹手术。</w:t>
      </w:r>
      <w:r>
        <w:rPr>
          <w:rFonts w:ascii="Arial" w:hAnsi="Arial" w:eastAsia="宋体" w:cs="Arial"/>
          <w:i/>
          <w:snapToGrid w:val="0"/>
          <w:lang w:eastAsia="zh-CN"/>
        </w:rPr>
        <w:t>生育与不育</w:t>
      </w:r>
      <w:r>
        <w:rPr>
          <w:rFonts w:ascii="Arial" w:hAnsi="Arial" w:eastAsia="宋体" w:cs="Arial"/>
          <w:snapToGrid w:val="0"/>
        </w:rPr>
        <w:t>55 (5): 911-915</w:t>
      </w:r>
      <w:r>
        <w:rPr>
          <w:rFonts w:ascii="Arial" w:hAnsi="Arial" w:eastAsia="宋体" w:cs="Arial"/>
          <w:snapToGrid w:val="0"/>
          <w:lang w:eastAsia="zh-CN"/>
        </w:rPr>
        <w:t>。</w:t>
      </w:r>
    </w:p>
    <w:p w14:paraId="1921AC1A">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rPr>
        <w:t>Mage G</w:t>
      </w:r>
      <w:r>
        <w:rPr>
          <w:rFonts w:ascii="Arial" w:hAnsi="Arial" w:eastAsia="宋体" w:cs="Arial"/>
          <w:snapToGrid w:val="0"/>
          <w:lang w:eastAsia="zh-CN"/>
        </w:rPr>
        <w:t>，</w:t>
      </w:r>
      <w:r>
        <w:rPr>
          <w:rFonts w:ascii="Arial" w:hAnsi="Arial" w:eastAsia="宋体" w:cs="Arial"/>
          <w:snapToGrid w:val="0"/>
        </w:rPr>
        <w:t>Pouly JL</w:t>
      </w:r>
      <w:r>
        <w:rPr>
          <w:rFonts w:ascii="Arial" w:hAnsi="Arial" w:eastAsia="宋体" w:cs="Arial"/>
          <w:snapToGrid w:val="0"/>
          <w:lang w:eastAsia="zh-CN"/>
        </w:rPr>
        <w:t>，</w:t>
      </w:r>
      <w:r>
        <w:rPr>
          <w:rFonts w:ascii="Arial" w:hAnsi="Arial" w:eastAsia="宋体" w:cs="Arial"/>
          <w:snapToGrid w:val="0"/>
        </w:rPr>
        <w:t>Bouquet de Jolinere J</w:t>
      </w:r>
      <w:r>
        <w:rPr>
          <w:rFonts w:ascii="Arial" w:hAnsi="Arial" w:eastAsia="宋体" w:cs="Arial"/>
          <w:snapToGrid w:val="0"/>
          <w:lang w:eastAsia="zh-CN"/>
        </w:rPr>
        <w:t>，</w:t>
      </w:r>
      <w:r>
        <w:rPr>
          <w:rFonts w:ascii="Arial" w:hAnsi="Arial" w:eastAsia="宋体" w:cs="Arial"/>
          <w:snapToGrid w:val="0"/>
        </w:rPr>
        <w:t>Chabrand S</w:t>
      </w:r>
      <w:r>
        <w:rPr>
          <w:rFonts w:ascii="Arial" w:hAnsi="Arial" w:eastAsia="宋体" w:cs="Arial"/>
          <w:snapToGrid w:val="0"/>
          <w:lang w:eastAsia="zh-CN"/>
        </w:rPr>
        <w:t>，</w:t>
      </w:r>
      <w:r>
        <w:rPr>
          <w:rFonts w:ascii="Arial" w:hAnsi="Arial" w:eastAsia="宋体" w:cs="Arial"/>
          <w:snapToGrid w:val="0"/>
        </w:rPr>
        <w:t>Riouallon A</w:t>
      </w:r>
      <w:r>
        <w:rPr>
          <w:rFonts w:ascii="Arial" w:hAnsi="Arial" w:eastAsia="宋体" w:cs="Arial"/>
          <w:snapToGrid w:val="0"/>
          <w:lang w:eastAsia="zh-CN"/>
        </w:rPr>
        <w:t>，</w:t>
      </w:r>
      <w:r>
        <w:rPr>
          <w:rFonts w:ascii="Arial" w:hAnsi="Arial" w:eastAsia="宋体" w:cs="Arial"/>
          <w:snapToGrid w:val="0"/>
        </w:rPr>
        <w:t>Bruhat MA</w:t>
      </w:r>
      <w:r>
        <w:rPr>
          <w:rFonts w:ascii="Arial" w:hAnsi="Arial" w:eastAsia="宋体" w:cs="Arial"/>
          <w:snapToGrid w:val="0"/>
          <w:lang w:eastAsia="zh-CN"/>
        </w:rPr>
        <w:t>。1986。预测行远端输卵管显微手术后宫内孕和宫外孕比率的术前分类。</w:t>
      </w:r>
      <w:r>
        <w:rPr>
          <w:rFonts w:ascii="Arial" w:hAnsi="Arial" w:eastAsia="宋体" w:cs="Arial"/>
          <w:i/>
          <w:snapToGrid w:val="0"/>
          <w:lang w:eastAsia="zh-CN"/>
        </w:rPr>
        <w:t>生育与不育</w:t>
      </w:r>
      <w:r>
        <w:rPr>
          <w:rFonts w:ascii="Arial" w:hAnsi="Arial" w:eastAsia="宋体" w:cs="Arial"/>
          <w:snapToGrid w:val="0"/>
        </w:rPr>
        <w:t>46 (5): 807-810</w:t>
      </w:r>
      <w:r>
        <w:rPr>
          <w:rFonts w:ascii="Arial" w:hAnsi="Arial" w:eastAsia="宋体" w:cs="Arial"/>
          <w:snapToGrid w:val="0"/>
          <w:lang w:eastAsia="zh-CN"/>
        </w:rPr>
        <w:t>。</w:t>
      </w:r>
    </w:p>
    <w:p w14:paraId="4254886D">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lang w:eastAsia="zh-CN"/>
        </w:rPr>
      </w:pPr>
      <w:r>
        <w:rPr>
          <w:rFonts w:ascii="Arial" w:hAnsi="Arial" w:eastAsia="宋体" w:cs="Arial"/>
          <w:snapToGrid w:val="0"/>
        </w:rPr>
        <w:t>Mangram AJ</w:t>
      </w:r>
      <w:r>
        <w:rPr>
          <w:rFonts w:ascii="Arial" w:hAnsi="Arial" w:eastAsia="宋体" w:cs="Arial"/>
          <w:snapToGrid w:val="0"/>
          <w:lang w:eastAsia="zh-CN"/>
        </w:rPr>
        <w:t>，</w:t>
      </w:r>
      <w:r>
        <w:rPr>
          <w:rFonts w:ascii="Arial" w:hAnsi="Arial" w:eastAsia="宋体" w:cs="Arial"/>
          <w:snapToGrid w:val="0"/>
        </w:rPr>
        <w:t>Horan TC</w:t>
      </w:r>
      <w:r>
        <w:rPr>
          <w:rFonts w:ascii="Arial" w:hAnsi="Arial" w:eastAsia="宋体" w:cs="Arial"/>
          <w:snapToGrid w:val="0"/>
          <w:lang w:eastAsia="zh-CN"/>
        </w:rPr>
        <w:t>，</w:t>
      </w:r>
      <w:r>
        <w:rPr>
          <w:rFonts w:ascii="Arial" w:hAnsi="Arial" w:eastAsia="宋体" w:cs="Arial"/>
          <w:snapToGrid w:val="0"/>
        </w:rPr>
        <w:t>Pearson ML</w:t>
      </w:r>
      <w:r>
        <w:rPr>
          <w:rFonts w:ascii="Arial" w:hAnsi="Arial" w:eastAsia="宋体" w:cs="Arial"/>
          <w:snapToGrid w:val="0"/>
          <w:lang w:eastAsia="zh-CN"/>
        </w:rPr>
        <w:t>，</w:t>
      </w:r>
      <w:r>
        <w:rPr>
          <w:rFonts w:ascii="Arial" w:hAnsi="Arial" w:eastAsia="宋体" w:cs="Arial"/>
          <w:snapToGrid w:val="0"/>
        </w:rPr>
        <w:t>Silver LC</w:t>
      </w:r>
      <w:r>
        <w:rPr>
          <w:rFonts w:ascii="Arial" w:hAnsi="Arial" w:eastAsia="宋体" w:cs="Arial"/>
          <w:snapToGrid w:val="0"/>
          <w:lang w:eastAsia="zh-CN"/>
        </w:rPr>
        <w:t>，</w:t>
      </w:r>
      <w:r>
        <w:rPr>
          <w:rFonts w:ascii="Arial" w:hAnsi="Arial" w:eastAsia="宋体" w:cs="Arial"/>
          <w:snapToGrid w:val="0"/>
        </w:rPr>
        <w:t>Jarvis WR</w:t>
      </w:r>
      <w:r>
        <w:rPr>
          <w:rFonts w:ascii="Arial" w:hAnsi="Arial" w:eastAsia="宋体" w:cs="Arial"/>
          <w:snapToGrid w:val="0"/>
          <w:lang w:eastAsia="zh-CN"/>
        </w:rPr>
        <w:t>。</w:t>
      </w:r>
      <w:r>
        <w:rPr>
          <w:rFonts w:ascii="Arial" w:hAnsi="Arial" w:eastAsia="宋体" w:cs="Arial"/>
          <w:snapToGrid w:val="0"/>
        </w:rPr>
        <w:t xml:space="preserve"> </w:t>
      </w:r>
      <w:r>
        <w:rPr>
          <w:rFonts w:ascii="Arial" w:hAnsi="Arial" w:eastAsia="宋体" w:cs="Arial"/>
          <w:snapToGrid w:val="0"/>
          <w:lang w:eastAsia="zh-CN"/>
        </w:rPr>
        <w:t>1999。手术部位感染预防指导原则，1999。</w:t>
      </w:r>
      <w:r>
        <w:rPr>
          <w:rFonts w:ascii="Arial" w:hAnsi="Arial" w:eastAsia="宋体" w:cs="Arial"/>
          <w:i/>
          <w:snapToGrid w:val="0"/>
          <w:lang w:eastAsia="zh-CN"/>
        </w:rPr>
        <w:t>传染控制和医院流行病学</w:t>
      </w:r>
      <w:r>
        <w:rPr>
          <w:rFonts w:ascii="Arial" w:hAnsi="Arial" w:eastAsia="宋体" w:cs="Arial"/>
          <w:snapToGrid w:val="0"/>
          <w:lang w:eastAsia="zh-CN"/>
        </w:rPr>
        <w:t>20 (4): 247-278。（第259页）</w:t>
      </w:r>
      <w:r>
        <w:fldChar w:fldCharType="begin"/>
      </w:r>
      <w:r>
        <w:instrText xml:space="preserve"> HYPERLINK "http://www.cdc.gov/ncidod/hip/SSI/SSI.pdf" \h </w:instrText>
      </w:r>
      <w:r>
        <w:fldChar w:fldCharType="separate"/>
      </w:r>
      <w:r>
        <w:rPr>
          <w:rFonts w:ascii="Arial" w:hAnsi="Arial" w:eastAsia="宋体" w:cs="Arial"/>
          <w:snapToGrid w:val="0"/>
          <w:color w:val="0000FF"/>
          <w:u w:val="single" w:color="0000FF"/>
          <w:lang w:eastAsia="zh-CN"/>
        </w:rPr>
        <w:t>http: //www.cdc.gov/ncidod/hip/SSI/SSI.pdf</w:t>
      </w:r>
      <w:r>
        <w:rPr>
          <w:rFonts w:ascii="Arial" w:hAnsi="Arial" w:eastAsia="宋体" w:cs="Arial"/>
          <w:snapToGrid w:val="0"/>
          <w:color w:val="0000FF"/>
          <w:u w:val="single" w:color="0000FF"/>
          <w:lang w:eastAsia="zh-CN"/>
        </w:rPr>
        <w:fldChar w:fldCharType="end"/>
      </w:r>
    </w:p>
    <w:p w14:paraId="42CD3AC1">
      <w:pPr>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sz w:val="24"/>
          <w:szCs w:val="24"/>
        </w:rPr>
      </w:pPr>
      <w:r>
        <w:rPr>
          <w:rFonts w:ascii="Arial" w:hAnsi="Arial" w:eastAsia="宋体" w:cs="Arial"/>
          <w:snapToGrid w:val="0"/>
          <w:sz w:val="24"/>
        </w:rPr>
        <w:t>Nagata Y</w:t>
      </w:r>
      <w:r>
        <w:rPr>
          <w:rFonts w:ascii="Arial" w:hAnsi="Arial" w:eastAsia="宋体" w:cs="Arial"/>
          <w:snapToGrid w:val="0"/>
          <w:sz w:val="24"/>
          <w:lang w:eastAsia="zh-CN"/>
        </w:rPr>
        <w:t>，</w:t>
      </w:r>
      <w:r>
        <w:rPr>
          <w:rFonts w:ascii="Arial" w:hAnsi="Arial" w:eastAsia="宋体" w:cs="Arial"/>
          <w:snapToGrid w:val="0"/>
          <w:sz w:val="24"/>
        </w:rPr>
        <w:t>Honjo K</w:t>
      </w:r>
      <w:r>
        <w:rPr>
          <w:rFonts w:ascii="Arial" w:hAnsi="Arial" w:eastAsia="宋体" w:cs="Arial"/>
          <w:snapToGrid w:val="0"/>
          <w:sz w:val="24"/>
          <w:lang w:eastAsia="zh-CN"/>
        </w:rPr>
        <w:t>，</w:t>
      </w:r>
      <w:r>
        <w:rPr>
          <w:rFonts w:ascii="Arial" w:hAnsi="Arial" w:eastAsia="宋体" w:cs="Arial"/>
          <w:snapToGrid w:val="0"/>
          <w:sz w:val="24"/>
        </w:rPr>
        <w:t>Shindio M</w:t>
      </w:r>
      <w:r>
        <w:rPr>
          <w:rFonts w:ascii="Arial" w:hAnsi="Arial" w:eastAsia="宋体" w:cs="Arial"/>
          <w:snapToGrid w:val="0"/>
          <w:sz w:val="24"/>
          <w:lang w:eastAsia="zh-CN"/>
        </w:rPr>
        <w:t>，</w:t>
      </w:r>
      <w:r>
        <w:rPr>
          <w:rFonts w:ascii="Arial" w:hAnsi="Arial" w:eastAsia="宋体" w:cs="Arial"/>
          <w:snapToGrid w:val="0"/>
          <w:sz w:val="24"/>
        </w:rPr>
        <w:t>Tamura M</w:t>
      </w:r>
      <w:r>
        <w:rPr>
          <w:rFonts w:ascii="Arial" w:hAnsi="Arial" w:eastAsia="宋体" w:cs="Arial"/>
          <w:snapToGrid w:val="0"/>
          <w:sz w:val="24"/>
          <w:lang w:eastAsia="zh-CN"/>
        </w:rPr>
        <w:t>，</w:t>
      </w:r>
      <w:r>
        <w:rPr>
          <w:rFonts w:ascii="Arial" w:hAnsi="Arial" w:eastAsia="宋体" w:cs="Arial"/>
          <w:snapToGrid w:val="0"/>
          <w:sz w:val="24"/>
        </w:rPr>
        <w:t>Kurashima M</w:t>
      </w:r>
      <w:r>
        <w:rPr>
          <w:rFonts w:ascii="Arial" w:hAnsi="Arial" w:eastAsia="宋体" w:cs="Arial"/>
          <w:snapToGrid w:val="0"/>
          <w:sz w:val="24"/>
          <w:lang w:eastAsia="zh-CN"/>
        </w:rPr>
        <w:t>，</w:t>
      </w:r>
      <w:r>
        <w:rPr>
          <w:rFonts w:ascii="Arial" w:hAnsi="Arial" w:eastAsia="宋体" w:cs="Arial"/>
          <w:snapToGrid w:val="0"/>
          <w:sz w:val="24"/>
        </w:rPr>
        <w:t>Shirakawa K</w:t>
      </w:r>
      <w:r>
        <w:rPr>
          <w:rFonts w:ascii="Arial" w:hAnsi="Arial" w:eastAsia="宋体" w:cs="Arial"/>
          <w:snapToGrid w:val="0"/>
          <w:sz w:val="24"/>
          <w:lang w:eastAsia="zh-CN"/>
        </w:rPr>
        <w:t>。1997。卵巢周围粘连对IVF-ET治疗结果的影响。</w:t>
      </w:r>
      <w:r>
        <w:rPr>
          <w:rFonts w:ascii="Arial" w:hAnsi="Arial" w:eastAsia="宋体" w:cs="Arial"/>
          <w:i/>
          <w:snapToGrid w:val="0"/>
          <w:sz w:val="24"/>
        </w:rPr>
        <w:t>日本受精着床协会杂志</w:t>
      </w:r>
      <w:r>
        <w:rPr>
          <w:rFonts w:ascii="Arial" w:hAnsi="Arial" w:eastAsia="宋体" w:cs="Arial"/>
          <w:snapToGrid w:val="0"/>
          <w:sz w:val="24"/>
        </w:rPr>
        <w:t>14: 54-57</w:t>
      </w:r>
      <w:r>
        <w:rPr>
          <w:rFonts w:ascii="Arial" w:hAnsi="Arial" w:eastAsia="宋体" w:cs="Arial"/>
          <w:snapToGrid w:val="0"/>
          <w:sz w:val="24"/>
          <w:lang w:eastAsia="zh-CN"/>
        </w:rPr>
        <w:t>。</w:t>
      </w:r>
    </w:p>
    <w:p w14:paraId="7950A6DD">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rPr>
        <w:t>Nagata Y</w:t>
      </w:r>
      <w:r>
        <w:rPr>
          <w:rFonts w:ascii="Arial" w:hAnsi="Arial" w:eastAsia="宋体" w:cs="Arial"/>
          <w:snapToGrid w:val="0"/>
          <w:lang w:eastAsia="zh-CN"/>
        </w:rPr>
        <w:t>，</w:t>
      </w:r>
      <w:r>
        <w:rPr>
          <w:rFonts w:ascii="Arial" w:hAnsi="Arial" w:eastAsia="宋体" w:cs="Arial"/>
          <w:snapToGrid w:val="0"/>
        </w:rPr>
        <w:t>Honjou K</w:t>
      </w:r>
      <w:r>
        <w:rPr>
          <w:rFonts w:ascii="Arial" w:hAnsi="Arial" w:eastAsia="宋体" w:cs="Arial"/>
          <w:snapToGrid w:val="0"/>
          <w:lang w:eastAsia="zh-CN"/>
        </w:rPr>
        <w:t>，</w:t>
      </w:r>
      <w:r>
        <w:rPr>
          <w:rFonts w:ascii="Arial" w:hAnsi="Arial" w:eastAsia="宋体" w:cs="Arial"/>
          <w:snapToGrid w:val="0"/>
        </w:rPr>
        <w:t>Sonoda M</w:t>
      </w:r>
      <w:r>
        <w:rPr>
          <w:rFonts w:ascii="Arial" w:hAnsi="Arial" w:eastAsia="宋体" w:cs="Arial"/>
          <w:snapToGrid w:val="0"/>
          <w:lang w:eastAsia="zh-CN"/>
        </w:rPr>
        <w:t>，</w:t>
      </w:r>
      <w:r>
        <w:rPr>
          <w:rFonts w:ascii="Arial" w:hAnsi="Arial" w:eastAsia="宋体" w:cs="Arial"/>
          <w:snapToGrid w:val="0"/>
        </w:rPr>
        <w:t>Makino I</w:t>
      </w:r>
      <w:r>
        <w:rPr>
          <w:rFonts w:ascii="Arial" w:hAnsi="Arial" w:eastAsia="宋体" w:cs="Arial"/>
          <w:snapToGrid w:val="0"/>
          <w:lang w:eastAsia="zh-CN"/>
        </w:rPr>
        <w:t>，</w:t>
      </w:r>
      <w:r>
        <w:rPr>
          <w:rFonts w:ascii="Arial" w:hAnsi="Arial" w:eastAsia="宋体" w:cs="Arial"/>
          <w:snapToGrid w:val="0"/>
        </w:rPr>
        <w:t>Tamura R</w:t>
      </w:r>
      <w:r>
        <w:rPr>
          <w:rFonts w:ascii="Arial" w:hAnsi="Arial" w:eastAsia="宋体" w:cs="Arial"/>
          <w:snapToGrid w:val="0"/>
          <w:lang w:eastAsia="zh-CN"/>
        </w:rPr>
        <w:t>和</w:t>
      </w:r>
      <w:r>
        <w:rPr>
          <w:rFonts w:ascii="Arial" w:hAnsi="Arial" w:eastAsia="宋体" w:cs="Arial"/>
          <w:snapToGrid w:val="0"/>
        </w:rPr>
        <w:t>Kawarabayashi T</w:t>
      </w:r>
      <w:r>
        <w:rPr>
          <w:rFonts w:ascii="Arial" w:hAnsi="Arial" w:eastAsia="宋体" w:cs="Arial"/>
          <w:snapToGrid w:val="0"/>
          <w:lang w:eastAsia="zh-CN"/>
        </w:rPr>
        <w:t>。</w:t>
      </w:r>
      <w:r>
        <w:rPr>
          <w:rFonts w:ascii="Arial" w:hAnsi="Arial" w:eastAsia="宋体" w:cs="Arial"/>
          <w:snapToGrid w:val="0"/>
        </w:rPr>
        <w:t xml:space="preserve"> </w:t>
      </w:r>
      <w:r>
        <w:rPr>
          <w:rFonts w:ascii="Arial" w:hAnsi="Arial" w:eastAsia="宋体" w:cs="Arial"/>
          <w:snapToGrid w:val="0"/>
          <w:lang w:eastAsia="zh-CN"/>
        </w:rPr>
        <w:t>1998。卵巢周围粘连干扰促性腺激素向卵泡液的扩散。</w:t>
      </w:r>
      <w:r>
        <w:rPr>
          <w:rFonts w:ascii="Arial" w:hAnsi="Arial" w:eastAsia="宋体" w:cs="Arial"/>
          <w:i/>
          <w:snapToGrid w:val="0"/>
          <w:lang w:eastAsia="zh-CN"/>
        </w:rPr>
        <w:t>人类生殖</w:t>
      </w:r>
      <w:r>
        <w:rPr>
          <w:rFonts w:ascii="Arial" w:hAnsi="Arial" w:eastAsia="宋体" w:cs="Arial"/>
          <w:snapToGrid w:val="0"/>
        </w:rPr>
        <w:t>13 (8): 2072-2076</w:t>
      </w:r>
      <w:r>
        <w:rPr>
          <w:rFonts w:ascii="Arial" w:hAnsi="Arial" w:eastAsia="宋体" w:cs="Arial"/>
          <w:snapToGrid w:val="0"/>
          <w:lang w:eastAsia="zh-CN"/>
        </w:rPr>
        <w:t>。</w:t>
      </w:r>
    </w:p>
    <w:p w14:paraId="06373073">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lang w:eastAsia="zh-CN"/>
        </w:rPr>
        <w:t>腹腔镜手术研究组。1991。腹腔镜手术术后粘连发展：早期二次探查手术评价。</w:t>
      </w:r>
      <w:r>
        <w:rPr>
          <w:rFonts w:ascii="Arial" w:hAnsi="Arial" w:eastAsia="宋体" w:cs="Arial"/>
          <w:i/>
          <w:snapToGrid w:val="0"/>
          <w:lang w:eastAsia="zh-CN"/>
        </w:rPr>
        <w:t>生育与不育</w:t>
      </w:r>
      <w:r>
        <w:rPr>
          <w:rFonts w:ascii="Arial" w:hAnsi="Arial" w:eastAsia="宋体" w:cs="Arial"/>
          <w:snapToGrid w:val="0"/>
        </w:rPr>
        <w:t>55 (4): 700-704</w:t>
      </w:r>
      <w:r>
        <w:rPr>
          <w:rFonts w:ascii="Arial" w:hAnsi="Arial" w:eastAsia="宋体" w:cs="Arial"/>
          <w:snapToGrid w:val="0"/>
          <w:lang w:eastAsia="zh-CN"/>
        </w:rPr>
        <w:t>。</w:t>
      </w:r>
    </w:p>
    <w:p w14:paraId="3CAF3728">
      <w:pPr>
        <w:pStyle w:val="2"/>
        <w:numPr>
          <w:ilvl w:val="0"/>
          <w:numId w:val="17"/>
        </w:numPr>
        <w:tabs>
          <w:tab w:val="left" w:pos="535"/>
        </w:tabs>
        <w:topLinePunct/>
        <w:adjustRightInd w:val="0"/>
        <w:snapToGrid w:val="0"/>
        <w:spacing w:after="224" w:afterLines="75" w:line="288" w:lineRule="auto"/>
        <w:ind w:hanging="535"/>
        <w:jc w:val="both"/>
        <w:rPr>
          <w:rFonts w:ascii="Arial" w:hAnsi="Arial" w:eastAsia="宋体" w:cs="Arial"/>
          <w:snapToGrid w:val="0"/>
        </w:rPr>
      </w:pPr>
      <w:r>
        <w:rPr>
          <w:rFonts w:ascii="Arial" w:hAnsi="Arial" w:eastAsia="宋体" w:cs="Arial"/>
          <w:snapToGrid w:val="0"/>
        </w:rPr>
        <w:t>Stout AL</w:t>
      </w:r>
      <w:r>
        <w:rPr>
          <w:rFonts w:ascii="Arial" w:hAnsi="Arial" w:eastAsia="宋体" w:cs="Arial"/>
          <w:snapToGrid w:val="0"/>
          <w:lang w:eastAsia="zh-CN"/>
        </w:rPr>
        <w:t>和</w:t>
      </w:r>
      <w:r>
        <w:rPr>
          <w:rFonts w:ascii="Arial" w:hAnsi="Arial" w:eastAsia="宋体" w:cs="Arial"/>
          <w:snapToGrid w:val="0"/>
        </w:rPr>
        <w:t>Steege JF</w:t>
      </w:r>
      <w:r>
        <w:rPr>
          <w:rFonts w:ascii="Arial" w:hAnsi="Arial" w:eastAsia="宋体" w:cs="Arial"/>
          <w:snapToGrid w:val="0"/>
          <w:lang w:eastAsia="zh-CN"/>
        </w:rPr>
        <w:t>。1991。行腹腔镜粘连松解术后慢性盆腔疼痛的解决办法。</w:t>
      </w:r>
      <w:r>
        <w:rPr>
          <w:rFonts w:ascii="Arial" w:hAnsi="Arial" w:eastAsia="宋体" w:cs="Arial"/>
          <w:i/>
          <w:snapToGrid w:val="0"/>
        </w:rPr>
        <w:t>Am. J. Obstet.</w:t>
      </w:r>
      <w:r>
        <w:rPr>
          <w:rFonts w:ascii="Arial" w:hAnsi="Arial" w:eastAsia="宋体" w:cs="Arial"/>
          <w:i/>
          <w:snapToGrid w:val="0"/>
          <w:lang w:eastAsia="zh-CN"/>
        </w:rPr>
        <w:t>妇科学。</w:t>
      </w:r>
      <w:r>
        <w:rPr>
          <w:rFonts w:ascii="Arial" w:hAnsi="Arial" w:eastAsia="宋体" w:cs="Arial"/>
          <w:snapToGrid w:val="0"/>
        </w:rPr>
        <w:t>165 (2): 278-283</w:t>
      </w:r>
      <w:r>
        <w:rPr>
          <w:rFonts w:ascii="Arial" w:hAnsi="Arial" w:eastAsia="宋体" w:cs="Arial"/>
          <w:snapToGrid w:val="0"/>
          <w:lang w:eastAsia="zh-CN"/>
        </w:rPr>
        <w:t>。</w:t>
      </w:r>
    </w:p>
    <w:p w14:paraId="3B8D23B6">
      <w:pPr>
        <w:topLinePunct/>
        <w:adjustRightInd w:val="0"/>
        <w:snapToGrid w:val="0"/>
        <w:spacing w:after="224" w:afterLines="75" w:line="288" w:lineRule="auto"/>
        <w:jc w:val="center"/>
        <w:rPr>
          <w:rFonts w:hint="eastAsia" w:eastAsia="宋体"/>
          <w:lang w:eastAsia="zh-CN"/>
        </w:rPr>
      </w:pPr>
    </w:p>
    <w:p w14:paraId="14A3CB70">
      <w:pPr>
        <w:topLinePunct/>
        <w:adjustRightInd w:val="0"/>
        <w:snapToGrid w:val="0"/>
        <w:spacing w:after="224" w:afterLines="75" w:line="288" w:lineRule="auto"/>
        <w:jc w:val="center"/>
        <w:rPr>
          <w:rFonts w:hint="eastAsia" w:eastAsia="宋体"/>
          <w:lang w:eastAsia="zh-CN"/>
        </w:rPr>
      </w:pPr>
    </w:p>
    <w:p w14:paraId="41EF7161">
      <w:pPr>
        <w:topLinePunct/>
        <w:adjustRightInd w:val="0"/>
        <w:snapToGrid w:val="0"/>
        <w:spacing w:after="22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720" w:footer="720" w:gutter="0"/>
      <w:pgNumType w:start="1"/>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3056">
    <w:pPr>
      <w:spacing w:line="14" w:lineRule="auto"/>
      <w:rPr>
        <w:rFonts w:ascii="Arial" w:hAnsi="Arial" w:eastAsia="宋体"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4A08">
    <w:pPr>
      <w:rPr>
        <w:rFonts w:ascii="Arial" w:hAnsi="Arial" w:eastAsia="宋体" w:cs="Arial"/>
        <w:sz w:val="21"/>
        <w:szCs w:val="20"/>
        <w:lang w:eastAsia="zh-CN"/>
      </w:rPr>
    </w:pPr>
  </w:p>
  <w:p w14:paraId="29C8D1B3">
    <w:pPr>
      <w:jc w:val="right"/>
      <w:rPr>
        <w:rFonts w:ascii="Arial" w:hAnsi="Arial" w:eastAsia="宋体" w:cs="Arial"/>
        <w:sz w:val="21"/>
        <w:szCs w:val="20"/>
        <w:lang w:eastAsia="zh-CN"/>
      </w:rPr>
    </w:pPr>
    <w:r>
      <w:rPr>
        <w:rFonts w:ascii="Arial" w:hAnsi="Arial" w:eastAsia="宋体" w:cs="Arial"/>
        <w:sz w:val="21"/>
        <w:szCs w:val="20"/>
        <w:lang w:eastAsia="zh-CN"/>
      </w:rPr>
      <w:fldChar w:fldCharType="begin"/>
    </w:r>
    <w:r>
      <w:rPr>
        <w:rFonts w:ascii="Arial" w:hAnsi="Arial" w:eastAsia="宋体" w:cs="Arial"/>
        <w:sz w:val="21"/>
        <w:szCs w:val="20"/>
        <w:lang w:eastAsia="zh-CN"/>
      </w:rPr>
      <w:instrText xml:space="preserve">PAGE   \* MERGEFORMAT</w:instrText>
    </w:r>
    <w:r>
      <w:rPr>
        <w:rFonts w:ascii="Arial" w:hAnsi="Arial" w:eastAsia="宋体" w:cs="Arial"/>
        <w:sz w:val="21"/>
        <w:szCs w:val="20"/>
        <w:lang w:eastAsia="zh-CN"/>
      </w:rPr>
      <w:fldChar w:fldCharType="separate"/>
    </w:r>
    <w:r>
      <w:rPr>
        <w:rFonts w:ascii="Arial" w:hAnsi="Arial" w:eastAsia="宋体" w:cs="Arial"/>
        <w:sz w:val="21"/>
        <w:szCs w:val="20"/>
        <w:lang w:val="zh-CN" w:eastAsia="zh-CN"/>
      </w:rPr>
      <w:t>26</w:t>
    </w:r>
    <w:r>
      <w:rPr>
        <w:rFonts w:ascii="Arial" w:hAnsi="Arial" w:eastAsia="宋体" w:cs="Arial"/>
        <w:sz w:val="21"/>
        <w:szCs w:val="20"/>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0F97">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1A3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80501"/>
    <w:multiLevelType w:val="multilevel"/>
    <w:tmpl w:val="03E80501"/>
    <w:lvl w:ilvl="0" w:tentative="0">
      <w:start w:val="1"/>
      <w:numFmt w:val="bullet"/>
      <w:lvlText w:val=""/>
      <w:lvlJc w:val="left"/>
      <w:pPr>
        <w:ind w:left="820" w:hanging="360"/>
      </w:pPr>
      <w:rPr>
        <w:rFonts w:hint="default" w:ascii="Symbol" w:hAnsi="Symbol" w:eastAsia="Symbol"/>
        <w:sz w:val="24"/>
        <w:szCs w:val="24"/>
      </w:rPr>
    </w:lvl>
    <w:lvl w:ilvl="1" w:tentative="0">
      <w:start w:val="1"/>
      <w:numFmt w:val="bullet"/>
      <w:lvlText w:val=""/>
      <w:lvlJc w:val="left"/>
      <w:pPr>
        <w:ind w:left="1360" w:hanging="360"/>
      </w:pPr>
      <w:rPr>
        <w:rFonts w:hint="default" w:ascii="Wingdings" w:hAnsi="Wingdings"/>
        <w:w w:val="99"/>
        <w:sz w:val="24"/>
        <w:szCs w:val="24"/>
      </w:rPr>
    </w:lvl>
    <w:lvl w:ilvl="2" w:tentative="0">
      <w:start w:val="1"/>
      <w:numFmt w:val="bullet"/>
      <w:lvlText w:val="•"/>
      <w:lvlJc w:val="left"/>
      <w:pPr>
        <w:ind w:left="2273" w:hanging="360"/>
      </w:pPr>
      <w:rPr>
        <w:rFonts w:hint="default"/>
      </w:rPr>
    </w:lvl>
    <w:lvl w:ilvl="3" w:tentative="0">
      <w:start w:val="1"/>
      <w:numFmt w:val="bullet"/>
      <w:lvlText w:val="•"/>
      <w:lvlJc w:val="left"/>
      <w:pPr>
        <w:ind w:left="3186" w:hanging="360"/>
      </w:pPr>
      <w:rPr>
        <w:rFonts w:hint="default"/>
      </w:rPr>
    </w:lvl>
    <w:lvl w:ilvl="4" w:tentative="0">
      <w:start w:val="1"/>
      <w:numFmt w:val="bullet"/>
      <w:lvlText w:val="•"/>
      <w:lvlJc w:val="left"/>
      <w:pPr>
        <w:ind w:left="4100" w:hanging="360"/>
      </w:pPr>
      <w:rPr>
        <w:rFonts w:hint="default"/>
      </w:rPr>
    </w:lvl>
    <w:lvl w:ilvl="5" w:tentative="0">
      <w:start w:val="1"/>
      <w:numFmt w:val="bullet"/>
      <w:lvlText w:val="•"/>
      <w:lvlJc w:val="left"/>
      <w:pPr>
        <w:ind w:left="5013" w:hanging="360"/>
      </w:pPr>
      <w:rPr>
        <w:rFonts w:hint="default"/>
      </w:rPr>
    </w:lvl>
    <w:lvl w:ilvl="6" w:tentative="0">
      <w:start w:val="1"/>
      <w:numFmt w:val="bullet"/>
      <w:lvlText w:val="•"/>
      <w:lvlJc w:val="left"/>
      <w:pPr>
        <w:ind w:left="5926" w:hanging="360"/>
      </w:pPr>
      <w:rPr>
        <w:rFonts w:hint="default"/>
      </w:rPr>
    </w:lvl>
    <w:lvl w:ilvl="7" w:tentative="0">
      <w:start w:val="1"/>
      <w:numFmt w:val="bullet"/>
      <w:lvlText w:val="•"/>
      <w:lvlJc w:val="left"/>
      <w:pPr>
        <w:ind w:left="6840" w:hanging="360"/>
      </w:pPr>
      <w:rPr>
        <w:rFonts w:hint="default"/>
      </w:rPr>
    </w:lvl>
    <w:lvl w:ilvl="8" w:tentative="0">
      <w:start w:val="1"/>
      <w:numFmt w:val="bullet"/>
      <w:lvlText w:val="•"/>
      <w:lvlJc w:val="left"/>
      <w:pPr>
        <w:ind w:left="7753" w:hanging="360"/>
      </w:pPr>
      <w:rPr>
        <w:rFonts w:hint="default"/>
      </w:rPr>
    </w:lvl>
  </w:abstractNum>
  <w:abstractNum w:abstractNumId="1">
    <w:nsid w:val="140C36AE"/>
    <w:multiLevelType w:val="multilevel"/>
    <w:tmpl w:val="140C36AE"/>
    <w:lvl w:ilvl="0" w:tentative="0">
      <w:start w:val="1"/>
      <w:numFmt w:val="upperLetter"/>
      <w:lvlText w:val="%1."/>
      <w:lvlJc w:val="left"/>
      <w:pPr>
        <w:ind w:left="1030" w:hanging="480"/>
      </w:pPr>
      <w:rPr>
        <w:rFonts w:hint="default" w:ascii="Arial" w:hAnsi="Arial" w:eastAsia="Times New Roman" w:cs="Arial"/>
        <w:b/>
        <w:bCs/>
        <w:spacing w:val="-12"/>
        <w:sz w:val="24"/>
        <w:szCs w:val="24"/>
      </w:rPr>
    </w:lvl>
    <w:lvl w:ilvl="1" w:tentative="0">
      <w:start w:val="1"/>
      <w:numFmt w:val="bullet"/>
      <w:lvlText w:val=""/>
      <w:lvlJc w:val="left"/>
      <w:pPr>
        <w:ind w:left="1160" w:hanging="360"/>
      </w:pPr>
      <w:rPr>
        <w:rFonts w:hint="default" w:ascii="Symbol" w:hAnsi="Symbol" w:eastAsia="Symbol"/>
        <w:sz w:val="24"/>
        <w:szCs w:val="24"/>
      </w:rPr>
    </w:lvl>
    <w:lvl w:ilvl="2" w:tentative="0">
      <w:start w:val="1"/>
      <w:numFmt w:val="bullet"/>
      <w:lvlText w:val="•"/>
      <w:lvlJc w:val="left"/>
      <w:pPr>
        <w:ind w:left="1205" w:hanging="360"/>
      </w:pPr>
      <w:rPr>
        <w:rFonts w:hint="default"/>
      </w:rPr>
    </w:lvl>
    <w:lvl w:ilvl="3" w:tentative="0">
      <w:start w:val="1"/>
      <w:numFmt w:val="bullet"/>
      <w:lvlText w:val="•"/>
      <w:lvlJc w:val="left"/>
      <w:pPr>
        <w:ind w:left="1250" w:hanging="360"/>
      </w:pPr>
      <w:rPr>
        <w:rFonts w:hint="default"/>
      </w:rPr>
    </w:lvl>
    <w:lvl w:ilvl="4" w:tentative="0">
      <w:start w:val="1"/>
      <w:numFmt w:val="bullet"/>
      <w:lvlText w:val="•"/>
      <w:lvlJc w:val="left"/>
      <w:pPr>
        <w:ind w:left="1520" w:hanging="360"/>
      </w:pPr>
      <w:rPr>
        <w:rFonts w:hint="default"/>
      </w:rPr>
    </w:lvl>
    <w:lvl w:ilvl="5" w:tentative="0">
      <w:start w:val="1"/>
      <w:numFmt w:val="bullet"/>
      <w:lvlText w:val="•"/>
      <w:lvlJc w:val="left"/>
      <w:pPr>
        <w:ind w:left="2800" w:hanging="360"/>
      </w:pPr>
      <w:rPr>
        <w:rFonts w:hint="default"/>
      </w:rPr>
    </w:lvl>
    <w:lvl w:ilvl="6" w:tentative="0">
      <w:start w:val="1"/>
      <w:numFmt w:val="bullet"/>
      <w:lvlText w:val="•"/>
      <w:lvlJc w:val="left"/>
      <w:pPr>
        <w:ind w:left="4080" w:hanging="360"/>
      </w:pPr>
      <w:rPr>
        <w:rFonts w:hint="default"/>
      </w:rPr>
    </w:lvl>
    <w:lvl w:ilvl="7" w:tentative="0">
      <w:start w:val="1"/>
      <w:numFmt w:val="bullet"/>
      <w:lvlText w:val="•"/>
      <w:lvlJc w:val="left"/>
      <w:pPr>
        <w:ind w:left="5360" w:hanging="360"/>
      </w:pPr>
      <w:rPr>
        <w:rFonts w:hint="default"/>
      </w:rPr>
    </w:lvl>
    <w:lvl w:ilvl="8" w:tentative="0">
      <w:start w:val="1"/>
      <w:numFmt w:val="bullet"/>
      <w:lvlText w:val="•"/>
      <w:lvlJc w:val="left"/>
      <w:pPr>
        <w:ind w:left="6640" w:hanging="360"/>
      </w:pPr>
      <w:rPr>
        <w:rFonts w:hint="default"/>
      </w:rPr>
    </w:lvl>
  </w:abstractNum>
  <w:abstractNum w:abstractNumId="2">
    <w:nsid w:val="18C87048"/>
    <w:multiLevelType w:val="multilevel"/>
    <w:tmpl w:val="18C87048"/>
    <w:lvl w:ilvl="0" w:tentative="0">
      <w:start w:val="1"/>
      <w:numFmt w:val="decimal"/>
      <w:lvlText w:val="%1."/>
      <w:lvlJc w:val="left"/>
      <w:pPr>
        <w:ind w:left="1250" w:hanging="360"/>
      </w:pPr>
      <w:rPr>
        <w:rFonts w:hint="default" w:ascii="Arial" w:hAnsi="Arial" w:eastAsia="Times New Roman" w:cs="Arial"/>
        <w:b/>
        <w:bCs/>
        <w:sz w:val="24"/>
        <w:szCs w:val="24"/>
      </w:rPr>
    </w:lvl>
    <w:lvl w:ilvl="1" w:tentative="0">
      <w:start w:val="1"/>
      <w:numFmt w:val="decimal"/>
      <w:lvlText w:val="%2."/>
      <w:lvlJc w:val="left"/>
      <w:pPr>
        <w:ind w:left="1520" w:hanging="360"/>
      </w:pPr>
      <w:rPr>
        <w:rFonts w:hint="default" w:ascii="Arial" w:hAnsi="Arial" w:eastAsia="Times New Roman" w:cs="Arial"/>
        <w:sz w:val="24"/>
        <w:szCs w:val="24"/>
      </w:rPr>
    </w:lvl>
    <w:lvl w:ilvl="2" w:tentative="0">
      <w:start w:val="1"/>
      <w:numFmt w:val="bullet"/>
      <w:lvlText w:val="•"/>
      <w:lvlJc w:val="left"/>
      <w:pPr>
        <w:ind w:left="2373" w:hanging="360"/>
      </w:pPr>
      <w:rPr>
        <w:rFonts w:hint="default"/>
      </w:rPr>
    </w:lvl>
    <w:lvl w:ilvl="3" w:tentative="0">
      <w:start w:val="1"/>
      <w:numFmt w:val="bullet"/>
      <w:lvlText w:val="•"/>
      <w:lvlJc w:val="left"/>
      <w:pPr>
        <w:ind w:left="3226" w:hanging="360"/>
      </w:pPr>
      <w:rPr>
        <w:rFonts w:hint="default"/>
      </w:rPr>
    </w:lvl>
    <w:lvl w:ilvl="4" w:tentative="0">
      <w:start w:val="1"/>
      <w:numFmt w:val="bullet"/>
      <w:lvlText w:val="•"/>
      <w:lvlJc w:val="left"/>
      <w:pPr>
        <w:ind w:left="4080" w:hanging="360"/>
      </w:pPr>
      <w:rPr>
        <w:rFonts w:hint="default"/>
      </w:rPr>
    </w:lvl>
    <w:lvl w:ilvl="5" w:tentative="0">
      <w:start w:val="1"/>
      <w:numFmt w:val="bullet"/>
      <w:lvlText w:val="•"/>
      <w:lvlJc w:val="left"/>
      <w:pPr>
        <w:ind w:left="4933" w:hanging="360"/>
      </w:pPr>
      <w:rPr>
        <w:rFonts w:hint="default"/>
      </w:rPr>
    </w:lvl>
    <w:lvl w:ilvl="6" w:tentative="0">
      <w:start w:val="1"/>
      <w:numFmt w:val="bullet"/>
      <w:lvlText w:val="•"/>
      <w:lvlJc w:val="left"/>
      <w:pPr>
        <w:ind w:left="5786" w:hanging="360"/>
      </w:pPr>
      <w:rPr>
        <w:rFonts w:hint="default"/>
      </w:rPr>
    </w:lvl>
    <w:lvl w:ilvl="7" w:tentative="0">
      <w:start w:val="1"/>
      <w:numFmt w:val="bullet"/>
      <w:lvlText w:val="•"/>
      <w:lvlJc w:val="left"/>
      <w:pPr>
        <w:ind w:left="6640" w:hanging="360"/>
      </w:pPr>
      <w:rPr>
        <w:rFonts w:hint="default"/>
      </w:rPr>
    </w:lvl>
    <w:lvl w:ilvl="8" w:tentative="0">
      <w:start w:val="1"/>
      <w:numFmt w:val="bullet"/>
      <w:lvlText w:val="•"/>
      <w:lvlJc w:val="left"/>
      <w:pPr>
        <w:ind w:left="7493" w:hanging="360"/>
      </w:pPr>
      <w:rPr>
        <w:rFonts w:hint="default"/>
      </w:rPr>
    </w:lvl>
  </w:abstractNum>
  <w:abstractNum w:abstractNumId="3">
    <w:nsid w:val="209F330C"/>
    <w:multiLevelType w:val="multilevel"/>
    <w:tmpl w:val="209F330C"/>
    <w:lvl w:ilvl="0" w:tentative="0">
      <w:start w:val="1"/>
      <w:numFmt w:val="upperRoman"/>
      <w:lvlText w:val="%1."/>
      <w:lvlJc w:val="left"/>
      <w:pPr>
        <w:ind w:left="839" w:hanging="480"/>
      </w:pPr>
      <w:rPr>
        <w:rFonts w:hint="default" w:ascii="Arial" w:hAnsi="Arial" w:eastAsia="Times New Roman" w:cs="Arial"/>
        <w:color w:val="0000FF"/>
        <w:spacing w:val="-3"/>
        <w:sz w:val="24"/>
        <w:szCs w:val="24"/>
      </w:rPr>
    </w:lvl>
    <w:lvl w:ilvl="1" w:tentative="0">
      <w:start w:val="1"/>
      <w:numFmt w:val="upperLetter"/>
      <w:lvlText w:val="%2."/>
      <w:lvlJc w:val="left"/>
      <w:pPr>
        <w:ind w:left="1079" w:hanging="480"/>
      </w:pPr>
      <w:rPr>
        <w:rFonts w:hint="default" w:ascii="Arial" w:hAnsi="Arial" w:eastAsia="Times New Roman" w:cs="Arial"/>
        <w:spacing w:val="-12"/>
        <w:sz w:val="24"/>
        <w:szCs w:val="24"/>
      </w:rPr>
    </w:lvl>
    <w:lvl w:ilvl="2" w:tentative="0">
      <w:start w:val="1"/>
      <w:numFmt w:val="bullet"/>
      <w:lvlText w:val="•"/>
      <w:lvlJc w:val="left"/>
      <w:pPr>
        <w:ind w:left="1079" w:hanging="480"/>
      </w:pPr>
      <w:rPr>
        <w:rFonts w:hint="default"/>
      </w:rPr>
    </w:lvl>
    <w:lvl w:ilvl="3" w:tentative="0">
      <w:start w:val="1"/>
      <w:numFmt w:val="bullet"/>
      <w:lvlText w:val="•"/>
      <w:lvlJc w:val="left"/>
      <w:pPr>
        <w:ind w:left="2141" w:hanging="480"/>
      </w:pPr>
      <w:rPr>
        <w:rFonts w:hint="default"/>
      </w:rPr>
    </w:lvl>
    <w:lvl w:ilvl="4" w:tentative="0">
      <w:start w:val="1"/>
      <w:numFmt w:val="bullet"/>
      <w:lvlText w:val="•"/>
      <w:lvlJc w:val="left"/>
      <w:pPr>
        <w:ind w:left="3204" w:hanging="480"/>
      </w:pPr>
      <w:rPr>
        <w:rFonts w:hint="default"/>
      </w:rPr>
    </w:lvl>
    <w:lvl w:ilvl="5" w:tentative="0">
      <w:start w:val="1"/>
      <w:numFmt w:val="bullet"/>
      <w:lvlText w:val="•"/>
      <w:lvlJc w:val="left"/>
      <w:pPr>
        <w:ind w:left="4266" w:hanging="480"/>
      </w:pPr>
      <w:rPr>
        <w:rFonts w:hint="default"/>
      </w:rPr>
    </w:lvl>
    <w:lvl w:ilvl="6" w:tentative="0">
      <w:start w:val="1"/>
      <w:numFmt w:val="bullet"/>
      <w:lvlText w:val="•"/>
      <w:lvlJc w:val="left"/>
      <w:pPr>
        <w:ind w:left="5329" w:hanging="480"/>
      </w:pPr>
      <w:rPr>
        <w:rFonts w:hint="default"/>
      </w:rPr>
    </w:lvl>
    <w:lvl w:ilvl="7" w:tentative="0">
      <w:start w:val="1"/>
      <w:numFmt w:val="bullet"/>
      <w:lvlText w:val="•"/>
      <w:lvlJc w:val="left"/>
      <w:pPr>
        <w:ind w:left="6392" w:hanging="480"/>
      </w:pPr>
      <w:rPr>
        <w:rFonts w:hint="default"/>
      </w:rPr>
    </w:lvl>
    <w:lvl w:ilvl="8" w:tentative="0">
      <w:start w:val="1"/>
      <w:numFmt w:val="bullet"/>
      <w:lvlText w:val="•"/>
      <w:lvlJc w:val="left"/>
      <w:pPr>
        <w:ind w:left="7454" w:hanging="480"/>
      </w:pPr>
      <w:rPr>
        <w:rFonts w:hint="default"/>
      </w:rPr>
    </w:lvl>
  </w:abstractNum>
  <w:abstractNum w:abstractNumId="4">
    <w:nsid w:val="25555C83"/>
    <w:multiLevelType w:val="multilevel"/>
    <w:tmpl w:val="25555C83"/>
    <w:lvl w:ilvl="0" w:tentative="0">
      <w:start w:val="1"/>
      <w:numFmt w:val="decimal"/>
      <w:lvlText w:val="%1."/>
      <w:lvlJc w:val="left"/>
      <w:pPr>
        <w:ind w:left="1250" w:hanging="360"/>
      </w:pPr>
      <w:rPr>
        <w:rFonts w:hint="default" w:ascii="Arial" w:hAnsi="Arial" w:eastAsia="Times New Roman" w:cs="Arial"/>
        <w:b/>
        <w:bCs/>
        <w:sz w:val="24"/>
        <w:szCs w:val="24"/>
      </w:rPr>
    </w:lvl>
    <w:lvl w:ilvl="1" w:tentative="0">
      <w:start w:val="1"/>
      <w:numFmt w:val="bullet"/>
      <w:lvlText w:val="●"/>
      <w:lvlJc w:val="left"/>
      <w:pPr>
        <w:ind w:left="1520" w:hanging="360"/>
      </w:pPr>
      <w:rPr>
        <w:rFonts w:hint="default" w:ascii="Arial" w:hAnsi="Arial"/>
        <w:w w:val="100"/>
        <w:sz w:val="24"/>
        <w:szCs w:val="16"/>
      </w:rPr>
    </w:lvl>
    <w:lvl w:ilvl="2" w:tentative="0">
      <w:start w:val="1"/>
      <w:numFmt w:val="bullet"/>
      <w:lvlText w:val="•"/>
      <w:lvlJc w:val="left"/>
      <w:pPr>
        <w:ind w:left="2373" w:hanging="360"/>
      </w:pPr>
      <w:rPr>
        <w:rFonts w:hint="default"/>
      </w:rPr>
    </w:lvl>
    <w:lvl w:ilvl="3" w:tentative="0">
      <w:start w:val="1"/>
      <w:numFmt w:val="bullet"/>
      <w:lvlText w:val="•"/>
      <w:lvlJc w:val="left"/>
      <w:pPr>
        <w:ind w:left="3226" w:hanging="360"/>
      </w:pPr>
      <w:rPr>
        <w:rFonts w:hint="default"/>
      </w:rPr>
    </w:lvl>
    <w:lvl w:ilvl="4" w:tentative="0">
      <w:start w:val="1"/>
      <w:numFmt w:val="bullet"/>
      <w:lvlText w:val="•"/>
      <w:lvlJc w:val="left"/>
      <w:pPr>
        <w:ind w:left="4080" w:hanging="360"/>
      </w:pPr>
      <w:rPr>
        <w:rFonts w:hint="default"/>
      </w:rPr>
    </w:lvl>
    <w:lvl w:ilvl="5" w:tentative="0">
      <w:start w:val="1"/>
      <w:numFmt w:val="bullet"/>
      <w:lvlText w:val="•"/>
      <w:lvlJc w:val="left"/>
      <w:pPr>
        <w:ind w:left="4933" w:hanging="360"/>
      </w:pPr>
      <w:rPr>
        <w:rFonts w:hint="default"/>
      </w:rPr>
    </w:lvl>
    <w:lvl w:ilvl="6" w:tentative="0">
      <w:start w:val="1"/>
      <w:numFmt w:val="bullet"/>
      <w:lvlText w:val="•"/>
      <w:lvlJc w:val="left"/>
      <w:pPr>
        <w:ind w:left="5786" w:hanging="360"/>
      </w:pPr>
      <w:rPr>
        <w:rFonts w:hint="default"/>
      </w:rPr>
    </w:lvl>
    <w:lvl w:ilvl="7" w:tentative="0">
      <w:start w:val="1"/>
      <w:numFmt w:val="bullet"/>
      <w:lvlText w:val="•"/>
      <w:lvlJc w:val="left"/>
      <w:pPr>
        <w:ind w:left="6640" w:hanging="360"/>
      </w:pPr>
      <w:rPr>
        <w:rFonts w:hint="default"/>
      </w:rPr>
    </w:lvl>
    <w:lvl w:ilvl="8" w:tentative="0">
      <w:start w:val="1"/>
      <w:numFmt w:val="bullet"/>
      <w:lvlText w:val="•"/>
      <w:lvlJc w:val="left"/>
      <w:pPr>
        <w:ind w:left="7493" w:hanging="360"/>
      </w:pPr>
      <w:rPr>
        <w:rFonts w:hint="default"/>
      </w:rPr>
    </w:lvl>
  </w:abstractNum>
  <w:abstractNum w:abstractNumId="5">
    <w:nsid w:val="2BFA415E"/>
    <w:multiLevelType w:val="multilevel"/>
    <w:tmpl w:val="2BFA415E"/>
    <w:lvl w:ilvl="0" w:tentative="0">
      <w:start w:val="1"/>
      <w:numFmt w:val="decimal"/>
      <w:lvlText w:val="%1."/>
      <w:lvlJc w:val="left"/>
      <w:pPr>
        <w:ind w:left="1250" w:hanging="360"/>
      </w:pPr>
      <w:rPr>
        <w:rFonts w:hint="default" w:ascii="Arial" w:hAnsi="Arial" w:eastAsia="Times New Roman" w:cs="Arial"/>
        <w:b/>
        <w:bCs/>
        <w:sz w:val="24"/>
        <w:szCs w:val="24"/>
      </w:rPr>
    </w:lvl>
    <w:lvl w:ilvl="1" w:tentative="0">
      <w:start w:val="1"/>
      <w:numFmt w:val="bullet"/>
      <w:lvlText w:val=""/>
      <w:lvlJc w:val="left"/>
      <w:pPr>
        <w:ind w:left="1610" w:hanging="450"/>
      </w:pPr>
      <w:rPr>
        <w:rFonts w:hint="default" w:ascii="Symbol" w:hAnsi="Symbol" w:eastAsia="Symbol"/>
        <w:sz w:val="24"/>
        <w:szCs w:val="24"/>
      </w:rPr>
    </w:lvl>
    <w:lvl w:ilvl="2" w:tentative="0">
      <w:start w:val="1"/>
      <w:numFmt w:val="bullet"/>
      <w:lvlText w:val="•"/>
      <w:lvlJc w:val="left"/>
      <w:pPr>
        <w:ind w:left="1610" w:hanging="450"/>
      </w:pPr>
      <w:rPr>
        <w:rFonts w:hint="default"/>
      </w:rPr>
    </w:lvl>
    <w:lvl w:ilvl="3" w:tentative="0">
      <w:start w:val="1"/>
      <w:numFmt w:val="bullet"/>
      <w:lvlText w:val="•"/>
      <w:lvlJc w:val="left"/>
      <w:pPr>
        <w:ind w:left="2558" w:hanging="450"/>
      </w:pPr>
      <w:rPr>
        <w:rFonts w:hint="default"/>
      </w:rPr>
    </w:lvl>
    <w:lvl w:ilvl="4" w:tentative="0">
      <w:start w:val="1"/>
      <w:numFmt w:val="bullet"/>
      <w:lvlText w:val="•"/>
      <w:lvlJc w:val="left"/>
      <w:pPr>
        <w:ind w:left="3507" w:hanging="450"/>
      </w:pPr>
      <w:rPr>
        <w:rFonts w:hint="default"/>
      </w:rPr>
    </w:lvl>
    <w:lvl w:ilvl="5" w:tentative="0">
      <w:start w:val="1"/>
      <w:numFmt w:val="bullet"/>
      <w:lvlText w:val="•"/>
      <w:lvlJc w:val="left"/>
      <w:pPr>
        <w:ind w:left="4456" w:hanging="450"/>
      </w:pPr>
      <w:rPr>
        <w:rFonts w:hint="default"/>
      </w:rPr>
    </w:lvl>
    <w:lvl w:ilvl="6" w:tentative="0">
      <w:start w:val="1"/>
      <w:numFmt w:val="bullet"/>
      <w:lvlText w:val="•"/>
      <w:lvlJc w:val="left"/>
      <w:pPr>
        <w:ind w:left="5405" w:hanging="450"/>
      </w:pPr>
      <w:rPr>
        <w:rFonts w:hint="default"/>
      </w:rPr>
    </w:lvl>
    <w:lvl w:ilvl="7" w:tentative="0">
      <w:start w:val="1"/>
      <w:numFmt w:val="bullet"/>
      <w:lvlText w:val="•"/>
      <w:lvlJc w:val="left"/>
      <w:pPr>
        <w:ind w:left="6353" w:hanging="450"/>
      </w:pPr>
      <w:rPr>
        <w:rFonts w:hint="default"/>
      </w:rPr>
    </w:lvl>
    <w:lvl w:ilvl="8" w:tentative="0">
      <w:start w:val="1"/>
      <w:numFmt w:val="bullet"/>
      <w:lvlText w:val="•"/>
      <w:lvlJc w:val="left"/>
      <w:pPr>
        <w:ind w:left="7302" w:hanging="450"/>
      </w:pPr>
      <w:rPr>
        <w:rFonts w:hint="default"/>
      </w:rPr>
    </w:lvl>
  </w:abstractNum>
  <w:abstractNum w:abstractNumId="6">
    <w:nsid w:val="2FD25940"/>
    <w:multiLevelType w:val="multilevel"/>
    <w:tmpl w:val="2FD25940"/>
    <w:lvl w:ilvl="0" w:tentative="0">
      <w:start w:val="1"/>
      <w:numFmt w:val="bullet"/>
      <w:lvlText w:val="●"/>
      <w:lvlJc w:val="left"/>
      <w:pPr>
        <w:ind w:left="820" w:hanging="360"/>
      </w:pPr>
      <w:rPr>
        <w:rFonts w:hint="default" w:ascii="Arial" w:hAnsi="Arial"/>
        <w:sz w:val="24"/>
        <w:szCs w:val="24"/>
      </w:rPr>
    </w:lvl>
    <w:lvl w:ilvl="1" w:tentative="0">
      <w:start w:val="1"/>
      <w:numFmt w:val="bullet"/>
      <w:lvlText w:val=""/>
      <w:lvlJc w:val="left"/>
      <w:pPr>
        <w:ind w:left="1360" w:hanging="360"/>
      </w:pPr>
      <w:rPr>
        <w:rFonts w:hint="default" w:ascii="Wingdings" w:hAnsi="Wingdings" w:eastAsia="Wingdings"/>
        <w:w w:val="99"/>
        <w:sz w:val="24"/>
        <w:szCs w:val="24"/>
      </w:rPr>
    </w:lvl>
    <w:lvl w:ilvl="2" w:tentative="0">
      <w:start w:val="1"/>
      <w:numFmt w:val="bullet"/>
      <w:lvlText w:val="•"/>
      <w:lvlJc w:val="left"/>
      <w:pPr>
        <w:ind w:left="2273" w:hanging="360"/>
      </w:pPr>
      <w:rPr>
        <w:rFonts w:hint="default"/>
      </w:rPr>
    </w:lvl>
    <w:lvl w:ilvl="3" w:tentative="0">
      <w:start w:val="1"/>
      <w:numFmt w:val="bullet"/>
      <w:lvlText w:val="•"/>
      <w:lvlJc w:val="left"/>
      <w:pPr>
        <w:ind w:left="3186" w:hanging="360"/>
      </w:pPr>
      <w:rPr>
        <w:rFonts w:hint="default"/>
      </w:rPr>
    </w:lvl>
    <w:lvl w:ilvl="4" w:tentative="0">
      <w:start w:val="1"/>
      <w:numFmt w:val="bullet"/>
      <w:lvlText w:val="•"/>
      <w:lvlJc w:val="left"/>
      <w:pPr>
        <w:ind w:left="4100" w:hanging="360"/>
      </w:pPr>
      <w:rPr>
        <w:rFonts w:hint="default"/>
      </w:rPr>
    </w:lvl>
    <w:lvl w:ilvl="5" w:tentative="0">
      <w:start w:val="1"/>
      <w:numFmt w:val="bullet"/>
      <w:lvlText w:val="•"/>
      <w:lvlJc w:val="left"/>
      <w:pPr>
        <w:ind w:left="5013" w:hanging="360"/>
      </w:pPr>
      <w:rPr>
        <w:rFonts w:hint="default"/>
      </w:rPr>
    </w:lvl>
    <w:lvl w:ilvl="6" w:tentative="0">
      <w:start w:val="1"/>
      <w:numFmt w:val="bullet"/>
      <w:lvlText w:val="•"/>
      <w:lvlJc w:val="left"/>
      <w:pPr>
        <w:ind w:left="5926" w:hanging="360"/>
      </w:pPr>
      <w:rPr>
        <w:rFonts w:hint="default"/>
      </w:rPr>
    </w:lvl>
    <w:lvl w:ilvl="7" w:tentative="0">
      <w:start w:val="1"/>
      <w:numFmt w:val="bullet"/>
      <w:lvlText w:val="•"/>
      <w:lvlJc w:val="left"/>
      <w:pPr>
        <w:ind w:left="6840" w:hanging="360"/>
      </w:pPr>
      <w:rPr>
        <w:rFonts w:hint="default"/>
      </w:rPr>
    </w:lvl>
    <w:lvl w:ilvl="8" w:tentative="0">
      <w:start w:val="1"/>
      <w:numFmt w:val="bullet"/>
      <w:lvlText w:val="•"/>
      <w:lvlJc w:val="left"/>
      <w:pPr>
        <w:ind w:left="7753" w:hanging="360"/>
      </w:pPr>
      <w:rPr>
        <w:rFonts w:hint="default"/>
      </w:rPr>
    </w:lvl>
  </w:abstractNum>
  <w:abstractNum w:abstractNumId="7">
    <w:nsid w:val="31DD199D"/>
    <w:multiLevelType w:val="multilevel"/>
    <w:tmpl w:val="31DD199D"/>
    <w:lvl w:ilvl="0" w:tentative="0">
      <w:start w:val="1"/>
      <w:numFmt w:val="bullet"/>
      <w:lvlText w:val="●"/>
      <w:lvlJc w:val="left"/>
      <w:pPr>
        <w:ind w:left="845" w:hanging="420"/>
      </w:pPr>
      <w:rPr>
        <w:rFonts w:hint="default" w:ascii="Arial" w:hAnsi="Arial"/>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8">
    <w:nsid w:val="39970F54"/>
    <w:multiLevelType w:val="multilevel"/>
    <w:tmpl w:val="39970F54"/>
    <w:lvl w:ilvl="0" w:tentative="0">
      <w:start w:val="1"/>
      <w:numFmt w:val="upperRoman"/>
      <w:lvlText w:val="%1."/>
      <w:lvlJc w:val="left"/>
      <w:pPr>
        <w:ind w:left="820" w:hanging="360"/>
        <w:jc w:val="right"/>
      </w:pPr>
      <w:rPr>
        <w:rFonts w:hint="default" w:ascii="Arial" w:hAnsi="Arial" w:eastAsia="Times New Roman" w:cs="Arial"/>
        <w:b/>
        <w:bCs/>
        <w:spacing w:val="-2"/>
        <w:sz w:val="24"/>
        <w:szCs w:val="24"/>
      </w:rPr>
    </w:lvl>
    <w:lvl w:ilvl="1" w:tentative="0">
      <w:start w:val="1"/>
      <w:numFmt w:val="upperLetter"/>
      <w:lvlText w:val="%2."/>
      <w:lvlJc w:val="left"/>
      <w:pPr>
        <w:ind w:left="1070" w:hanging="360"/>
        <w:jc w:val="right"/>
      </w:pPr>
      <w:rPr>
        <w:rFonts w:hint="default" w:ascii="Arial" w:hAnsi="Arial" w:eastAsia="Times New Roman" w:cs="Arial"/>
        <w:b/>
        <w:spacing w:val="-12"/>
        <w:sz w:val="24"/>
        <w:szCs w:val="24"/>
      </w:rPr>
    </w:lvl>
    <w:lvl w:ilvl="2" w:tentative="0">
      <w:start w:val="1"/>
      <w:numFmt w:val="bullet"/>
      <w:lvlText w:val=""/>
      <w:lvlJc w:val="left"/>
      <w:pPr>
        <w:ind w:left="1900" w:hanging="360"/>
      </w:pPr>
      <w:rPr>
        <w:rFonts w:hint="default" w:ascii="Symbol" w:hAnsi="Symbol" w:eastAsia="Symbol"/>
        <w:sz w:val="24"/>
        <w:szCs w:val="24"/>
      </w:rPr>
    </w:lvl>
    <w:lvl w:ilvl="3" w:tentative="0">
      <w:start w:val="1"/>
      <w:numFmt w:val="bullet"/>
      <w:lvlText w:val="•"/>
      <w:lvlJc w:val="left"/>
      <w:pPr>
        <w:ind w:left="1270" w:hanging="360"/>
      </w:pPr>
      <w:rPr>
        <w:rFonts w:hint="default"/>
      </w:rPr>
    </w:lvl>
    <w:lvl w:ilvl="4" w:tentative="0">
      <w:start w:val="1"/>
      <w:numFmt w:val="bullet"/>
      <w:lvlText w:val="•"/>
      <w:lvlJc w:val="left"/>
      <w:pPr>
        <w:ind w:left="1520" w:hanging="360"/>
      </w:pPr>
      <w:rPr>
        <w:rFonts w:hint="default"/>
      </w:rPr>
    </w:lvl>
    <w:lvl w:ilvl="5" w:tentative="0">
      <w:start w:val="1"/>
      <w:numFmt w:val="bullet"/>
      <w:lvlText w:val="•"/>
      <w:lvlJc w:val="left"/>
      <w:pPr>
        <w:ind w:left="1900" w:hanging="360"/>
      </w:pPr>
      <w:rPr>
        <w:rFonts w:hint="default"/>
      </w:rPr>
    </w:lvl>
    <w:lvl w:ilvl="6" w:tentative="0">
      <w:start w:val="1"/>
      <w:numFmt w:val="bullet"/>
      <w:lvlText w:val="•"/>
      <w:lvlJc w:val="left"/>
      <w:pPr>
        <w:ind w:left="3360" w:hanging="360"/>
      </w:pPr>
      <w:rPr>
        <w:rFonts w:hint="default"/>
      </w:rPr>
    </w:lvl>
    <w:lvl w:ilvl="7" w:tentative="0">
      <w:start w:val="1"/>
      <w:numFmt w:val="bullet"/>
      <w:lvlText w:val="•"/>
      <w:lvlJc w:val="left"/>
      <w:pPr>
        <w:ind w:left="4820" w:hanging="360"/>
      </w:pPr>
      <w:rPr>
        <w:rFonts w:hint="default"/>
      </w:rPr>
    </w:lvl>
    <w:lvl w:ilvl="8" w:tentative="0">
      <w:start w:val="1"/>
      <w:numFmt w:val="bullet"/>
      <w:lvlText w:val="•"/>
      <w:lvlJc w:val="left"/>
      <w:pPr>
        <w:ind w:left="6280" w:hanging="360"/>
      </w:pPr>
      <w:rPr>
        <w:rFonts w:hint="default"/>
      </w:rPr>
    </w:lvl>
  </w:abstractNum>
  <w:abstractNum w:abstractNumId="9">
    <w:nsid w:val="3ACB4C3E"/>
    <w:multiLevelType w:val="multilevel"/>
    <w:tmpl w:val="3ACB4C3E"/>
    <w:lvl w:ilvl="0" w:tentative="0">
      <w:start w:val="1"/>
      <w:numFmt w:val="upperLetter"/>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3140CD"/>
    <w:multiLevelType w:val="multilevel"/>
    <w:tmpl w:val="443140CD"/>
    <w:lvl w:ilvl="0" w:tentative="0">
      <w:start w:val="1"/>
      <w:numFmt w:val="upperRoman"/>
      <w:lvlText w:val="%1."/>
      <w:lvlJc w:val="left"/>
      <w:pPr>
        <w:ind w:left="838" w:hanging="480"/>
      </w:pPr>
      <w:rPr>
        <w:rFonts w:hint="default" w:ascii="Arial" w:hAnsi="Arial" w:eastAsia="Times New Roman" w:cs="Arial"/>
        <w:color w:val="0000FF"/>
        <w:spacing w:val="-3"/>
        <w:sz w:val="24"/>
        <w:szCs w:val="24"/>
      </w:rPr>
    </w:lvl>
    <w:lvl w:ilvl="1" w:tentative="0">
      <w:start w:val="1"/>
      <w:numFmt w:val="upperLetter"/>
      <w:lvlText w:val="%2."/>
      <w:lvlJc w:val="left"/>
      <w:pPr>
        <w:ind w:left="1078" w:hanging="480"/>
      </w:pPr>
      <w:rPr>
        <w:rFonts w:hint="default" w:ascii="Arial" w:hAnsi="Arial" w:eastAsia="Times New Roman" w:cs="Arial"/>
        <w:spacing w:val="-12"/>
        <w:sz w:val="24"/>
        <w:szCs w:val="24"/>
      </w:rPr>
    </w:lvl>
    <w:lvl w:ilvl="2" w:tentative="0">
      <w:start w:val="1"/>
      <w:numFmt w:val="bullet"/>
      <w:lvlText w:val="•"/>
      <w:lvlJc w:val="left"/>
      <w:pPr>
        <w:ind w:left="1079" w:hanging="480"/>
      </w:pPr>
      <w:rPr>
        <w:rFonts w:hint="default"/>
      </w:rPr>
    </w:lvl>
    <w:lvl w:ilvl="3" w:tentative="0">
      <w:start w:val="1"/>
      <w:numFmt w:val="bullet"/>
      <w:lvlText w:val="•"/>
      <w:lvlJc w:val="left"/>
      <w:pPr>
        <w:ind w:left="2142" w:hanging="480"/>
      </w:pPr>
      <w:rPr>
        <w:rFonts w:hint="default"/>
      </w:rPr>
    </w:lvl>
    <w:lvl w:ilvl="4" w:tentative="0">
      <w:start w:val="1"/>
      <w:numFmt w:val="bullet"/>
      <w:lvlText w:val="•"/>
      <w:lvlJc w:val="left"/>
      <w:pPr>
        <w:ind w:left="3204" w:hanging="480"/>
      </w:pPr>
      <w:rPr>
        <w:rFonts w:hint="default"/>
      </w:rPr>
    </w:lvl>
    <w:lvl w:ilvl="5" w:tentative="0">
      <w:start w:val="1"/>
      <w:numFmt w:val="bullet"/>
      <w:lvlText w:val="•"/>
      <w:lvlJc w:val="left"/>
      <w:pPr>
        <w:ind w:left="4267" w:hanging="480"/>
      </w:pPr>
      <w:rPr>
        <w:rFonts w:hint="default"/>
      </w:rPr>
    </w:lvl>
    <w:lvl w:ilvl="6" w:tentative="0">
      <w:start w:val="1"/>
      <w:numFmt w:val="bullet"/>
      <w:lvlText w:val="•"/>
      <w:lvlJc w:val="left"/>
      <w:pPr>
        <w:ind w:left="5329" w:hanging="480"/>
      </w:pPr>
      <w:rPr>
        <w:rFonts w:hint="default"/>
      </w:rPr>
    </w:lvl>
    <w:lvl w:ilvl="7" w:tentative="0">
      <w:start w:val="1"/>
      <w:numFmt w:val="bullet"/>
      <w:lvlText w:val="•"/>
      <w:lvlJc w:val="left"/>
      <w:pPr>
        <w:ind w:left="6392" w:hanging="480"/>
      </w:pPr>
      <w:rPr>
        <w:rFonts w:hint="default"/>
      </w:rPr>
    </w:lvl>
    <w:lvl w:ilvl="8" w:tentative="0">
      <w:start w:val="1"/>
      <w:numFmt w:val="bullet"/>
      <w:lvlText w:val="•"/>
      <w:lvlJc w:val="left"/>
      <w:pPr>
        <w:ind w:left="7454" w:hanging="480"/>
      </w:pPr>
      <w:rPr>
        <w:rFonts w:hint="default"/>
      </w:rPr>
    </w:lvl>
  </w:abstractNum>
  <w:abstractNum w:abstractNumId="11">
    <w:nsid w:val="46225A5E"/>
    <w:multiLevelType w:val="multilevel"/>
    <w:tmpl w:val="46225A5E"/>
    <w:lvl w:ilvl="0" w:tentative="0">
      <w:start w:val="1"/>
      <w:numFmt w:val="upperLetter"/>
      <w:lvlText w:val="%1."/>
      <w:lvlJc w:val="left"/>
      <w:pPr>
        <w:ind w:left="1010" w:hanging="480"/>
        <w:jc w:val="right"/>
      </w:pPr>
      <w:rPr>
        <w:rFonts w:hint="default" w:ascii="Arial" w:hAnsi="Arial" w:eastAsia="Times New Roman" w:cs="Arial"/>
        <w:b/>
        <w:bCs/>
        <w:spacing w:val="-12"/>
        <w:sz w:val="24"/>
        <w:szCs w:val="24"/>
      </w:rPr>
    </w:lvl>
    <w:lvl w:ilvl="1" w:tentative="0">
      <w:start w:val="1"/>
      <w:numFmt w:val="bullet"/>
      <w:lvlText w:val=""/>
      <w:lvlJc w:val="left"/>
      <w:pPr>
        <w:ind w:left="1160" w:hanging="360"/>
      </w:pPr>
      <w:rPr>
        <w:rFonts w:hint="default" w:ascii="Symbol" w:hAnsi="Symbol" w:eastAsia="Symbol"/>
        <w:sz w:val="24"/>
        <w:szCs w:val="24"/>
      </w:rPr>
    </w:lvl>
    <w:lvl w:ilvl="2" w:tentative="0">
      <w:start w:val="1"/>
      <w:numFmt w:val="bullet"/>
      <w:lvlText w:val="•"/>
      <w:lvlJc w:val="left"/>
      <w:pPr>
        <w:ind w:left="1160" w:hanging="360"/>
      </w:pPr>
      <w:rPr>
        <w:rFonts w:hint="default"/>
      </w:rPr>
    </w:lvl>
    <w:lvl w:ilvl="3" w:tentative="0">
      <w:start w:val="1"/>
      <w:numFmt w:val="bullet"/>
      <w:lvlText w:val="•"/>
      <w:lvlJc w:val="left"/>
      <w:pPr>
        <w:ind w:left="1630" w:hanging="360"/>
      </w:pPr>
      <w:rPr>
        <w:rFonts w:hint="default"/>
      </w:rPr>
    </w:lvl>
    <w:lvl w:ilvl="4" w:tentative="0">
      <w:start w:val="1"/>
      <w:numFmt w:val="bullet"/>
      <w:lvlText w:val="•"/>
      <w:lvlJc w:val="left"/>
      <w:pPr>
        <w:ind w:left="2711" w:hanging="360"/>
      </w:pPr>
      <w:rPr>
        <w:rFonts w:hint="default"/>
      </w:rPr>
    </w:lvl>
    <w:lvl w:ilvl="5" w:tentative="0">
      <w:start w:val="1"/>
      <w:numFmt w:val="bullet"/>
      <w:lvlText w:val="•"/>
      <w:lvlJc w:val="left"/>
      <w:pPr>
        <w:ind w:left="3792" w:hanging="360"/>
      </w:pPr>
      <w:rPr>
        <w:rFonts w:hint="default"/>
      </w:rPr>
    </w:lvl>
    <w:lvl w:ilvl="6" w:tentative="0">
      <w:start w:val="1"/>
      <w:numFmt w:val="bullet"/>
      <w:lvlText w:val="•"/>
      <w:lvlJc w:val="left"/>
      <w:pPr>
        <w:ind w:left="4874" w:hanging="360"/>
      </w:pPr>
      <w:rPr>
        <w:rFonts w:hint="default"/>
      </w:rPr>
    </w:lvl>
    <w:lvl w:ilvl="7" w:tentative="0">
      <w:start w:val="1"/>
      <w:numFmt w:val="bullet"/>
      <w:lvlText w:val="•"/>
      <w:lvlJc w:val="left"/>
      <w:pPr>
        <w:ind w:left="5955" w:hanging="360"/>
      </w:pPr>
      <w:rPr>
        <w:rFonts w:hint="default"/>
      </w:rPr>
    </w:lvl>
    <w:lvl w:ilvl="8" w:tentative="0">
      <w:start w:val="1"/>
      <w:numFmt w:val="bullet"/>
      <w:lvlText w:val="•"/>
      <w:lvlJc w:val="left"/>
      <w:pPr>
        <w:ind w:left="7037" w:hanging="360"/>
      </w:pPr>
      <w:rPr>
        <w:rFonts w:hint="default"/>
      </w:rPr>
    </w:lvl>
  </w:abstractNum>
  <w:abstractNum w:abstractNumId="12">
    <w:nsid w:val="49CA0B91"/>
    <w:multiLevelType w:val="multilevel"/>
    <w:tmpl w:val="49CA0B91"/>
    <w:lvl w:ilvl="0" w:tentative="0">
      <w:start w:val="1"/>
      <w:numFmt w:val="upperRoman"/>
      <w:lvlText w:val="%1."/>
      <w:lvlJc w:val="left"/>
      <w:pPr>
        <w:ind w:left="1180" w:hanging="720"/>
        <w:jc w:val="right"/>
      </w:pPr>
      <w:rPr>
        <w:rFonts w:hint="default" w:ascii="Arial" w:hAnsi="Arial" w:eastAsia="Times New Roman" w:cs="Arial"/>
        <w:b/>
        <w:bCs/>
        <w:spacing w:val="-2"/>
        <w:sz w:val="24"/>
        <w:szCs w:val="24"/>
      </w:rPr>
    </w:lvl>
    <w:lvl w:ilvl="1" w:tentative="0">
      <w:start w:val="1"/>
      <w:numFmt w:val="bullet"/>
      <w:lvlText w:val=""/>
      <w:lvlJc w:val="left"/>
      <w:pPr>
        <w:ind w:left="1180" w:hanging="360"/>
      </w:pPr>
      <w:rPr>
        <w:rFonts w:hint="default" w:ascii="Symbol" w:hAnsi="Symbol" w:eastAsia="Symbol"/>
        <w:sz w:val="24"/>
        <w:szCs w:val="24"/>
      </w:rPr>
    </w:lvl>
    <w:lvl w:ilvl="2" w:tentative="0">
      <w:start w:val="1"/>
      <w:numFmt w:val="bullet"/>
      <w:lvlText w:val="•"/>
      <w:lvlJc w:val="left"/>
      <w:pPr>
        <w:ind w:left="2860" w:hanging="360"/>
      </w:pPr>
      <w:rPr>
        <w:rFonts w:hint="default"/>
      </w:rPr>
    </w:lvl>
    <w:lvl w:ilvl="3" w:tentative="0">
      <w:start w:val="1"/>
      <w:numFmt w:val="bullet"/>
      <w:lvlText w:val="•"/>
      <w:lvlJc w:val="left"/>
      <w:pPr>
        <w:ind w:left="3700" w:hanging="360"/>
      </w:pPr>
      <w:rPr>
        <w:rFonts w:hint="default"/>
      </w:rPr>
    </w:lvl>
    <w:lvl w:ilvl="4" w:tentative="0">
      <w:start w:val="1"/>
      <w:numFmt w:val="bullet"/>
      <w:lvlText w:val="•"/>
      <w:lvlJc w:val="left"/>
      <w:pPr>
        <w:ind w:left="4540" w:hanging="360"/>
      </w:pPr>
      <w:rPr>
        <w:rFonts w:hint="default"/>
      </w:rPr>
    </w:lvl>
    <w:lvl w:ilvl="5" w:tentative="0">
      <w:start w:val="1"/>
      <w:numFmt w:val="bullet"/>
      <w:lvlText w:val="•"/>
      <w:lvlJc w:val="left"/>
      <w:pPr>
        <w:ind w:left="5380" w:hanging="360"/>
      </w:pPr>
      <w:rPr>
        <w:rFonts w:hint="default"/>
      </w:rPr>
    </w:lvl>
    <w:lvl w:ilvl="6" w:tentative="0">
      <w:start w:val="1"/>
      <w:numFmt w:val="bullet"/>
      <w:lvlText w:val="•"/>
      <w:lvlJc w:val="left"/>
      <w:pPr>
        <w:ind w:left="6220" w:hanging="360"/>
      </w:pPr>
      <w:rPr>
        <w:rFonts w:hint="default"/>
      </w:rPr>
    </w:lvl>
    <w:lvl w:ilvl="7" w:tentative="0">
      <w:start w:val="1"/>
      <w:numFmt w:val="bullet"/>
      <w:lvlText w:val="•"/>
      <w:lvlJc w:val="left"/>
      <w:pPr>
        <w:ind w:left="7060" w:hanging="360"/>
      </w:pPr>
      <w:rPr>
        <w:rFonts w:hint="default"/>
      </w:rPr>
    </w:lvl>
    <w:lvl w:ilvl="8" w:tentative="0">
      <w:start w:val="1"/>
      <w:numFmt w:val="bullet"/>
      <w:lvlText w:val="•"/>
      <w:lvlJc w:val="left"/>
      <w:pPr>
        <w:ind w:left="7900" w:hanging="360"/>
      </w:pPr>
      <w:rPr>
        <w:rFonts w:hint="default"/>
      </w:rPr>
    </w:lvl>
  </w:abstractNum>
  <w:abstractNum w:abstractNumId="13">
    <w:nsid w:val="59C8234A"/>
    <w:multiLevelType w:val="multilevel"/>
    <w:tmpl w:val="59C8234A"/>
    <w:lvl w:ilvl="0" w:tentative="0">
      <w:start w:val="1"/>
      <w:numFmt w:val="decimal"/>
      <w:lvlText w:val="%1."/>
      <w:lvlJc w:val="left"/>
      <w:pPr>
        <w:ind w:left="535" w:hanging="435"/>
      </w:pPr>
      <w:rPr>
        <w:rFonts w:hint="default" w:ascii="Arial" w:hAnsi="Arial" w:eastAsia="Times New Roman" w:cs="Arial"/>
        <w:sz w:val="24"/>
        <w:szCs w:val="24"/>
      </w:rPr>
    </w:lvl>
    <w:lvl w:ilvl="1" w:tentative="0">
      <w:start w:val="1"/>
      <w:numFmt w:val="bullet"/>
      <w:lvlText w:val="•"/>
      <w:lvlJc w:val="left"/>
      <w:pPr>
        <w:ind w:left="1439" w:hanging="435"/>
      </w:pPr>
      <w:rPr>
        <w:rFonts w:hint="default"/>
      </w:rPr>
    </w:lvl>
    <w:lvl w:ilvl="2" w:tentative="0">
      <w:start w:val="1"/>
      <w:numFmt w:val="bullet"/>
      <w:lvlText w:val="•"/>
      <w:lvlJc w:val="left"/>
      <w:pPr>
        <w:ind w:left="2344" w:hanging="435"/>
      </w:pPr>
      <w:rPr>
        <w:rFonts w:hint="default"/>
      </w:rPr>
    </w:lvl>
    <w:lvl w:ilvl="3" w:tentative="0">
      <w:start w:val="1"/>
      <w:numFmt w:val="bullet"/>
      <w:lvlText w:val="•"/>
      <w:lvlJc w:val="left"/>
      <w:pPr>
        <w:ind w:left="3248" w:hanging="435"/>
      </w:pPr>
      <w:rPr>
        <w:rFonts w:hint="default"/>
      </w:rPr>
    </w:lvl>
    <w:lvl w:ilvl="4" w:tentative="0">
      <w:start w:val="1"/>
      <w:numFmt w:val="bullet"/>
      <w:lvlText w:val="•"/>
      <w:lvlJc w:val="left"/>
      <w:pPr>
        <w:ind w:left="4153" w:hanging="435"/>
      </w:pPr>
      <w:rPr>
        <w:rFonts w:hint="default"/>
      </w:rPr>
    </w:lvl>
    <w:lvl w:ilvl="5" w:tentative="0">
      <w:start w:val="1"/>
      <w:numFmt w:val="bullet"/>
      <w:lvlText w:val="•"/>
      <w:lvlJc w:val="left"/>
      <w:pPr>
        <w:ind w:left="5057" w:hanging="435"/>
      </w:pPr>
      <w:rPr>
        <w:rFonts w:hint="default"/>
      </w:rPr>
    </w:lvl>
    <w:lvl w:ilvl="6" w:tentative="0">
      <w:start w:val="1"/>
      <w:numFmt w:val="bullet"/>
      <w:lvlText w:val="•"/>
      <w:lvlJc w:val="left"/>
      <w:pPr>
        <w:ind w:left="5962" w:hanging="435"/>
      </w:pPr>
      <w:rPr>
        <w:rFonts w:hint="default"/>
      </w:rPr>
    </w:lvl>
    <w:lvl w:ilvl="7" w:tentative="0">
      <w:start w:val="1"/>
      <w:numFmt w:val="bullet"/>
      <w:lvlText w:val="•"/>
      <w:lvlJc w:val="left"/>
      <w:pPr>
        <w:ind w:left="6866" w:hanging="435"/>
      </w:pPr>
      <w:rPr>
        <w:rFonts w:hint="default"/>
      </w:rPr>
    </w:lvl>
    <w:lvl w:ilvl="8" w:tentative="0">
      <w:start w:val="1"/>
      <w:numFmt w:val="bullet"/>
      <w:lvlText w:val="•"/>
      <w:lvlJc w:val="left"/>
      <w:pPr>
        <w:ind w:left="7771" w:hanging="435"/>
      </w:pPr>
      <w:rPr>
        <w:rFonts w:hint="default"/>
      </w:rPr>
    </w:lvl>
  </w:abstractNum>
  <w:abstractNum w:abstractNumId="14">
    <w:nsid w:val="711F769E"/>
    <w:multiLevelType w:val="multilevel"/>
    <w:tmpl w:val="711F769E"/>
    <w:lvl w:ilvl="0" w:tentative="0">
      <w:start w:val="1"/>
      <w:numFmt w:val="decimal"/>
      <w:lvlText w:val="%1."/>
      <w:lvlJc w:val="left"/>
      <w:pPr>
        <w:ind w:left="1180" w:hanging="360"/>
      </w:pPr>
      <w:rPr>
        <w:rFonts w:hint="default" w:ascii="Arial" w:hAnsi="Arial" w:eastAsia="Times New Roman" w:cs="Arial"/>
        <w:sz w:val="24"/>
        <w:szCs w:val="24"/>
      </w:rPr>
    </w:lvl>
    <w:lvl w:ilvl="1" w:tentative="0">
      <w:start w:val="1"/>
      <w:numFmt w:val="bullet"/>
      <w:lvlText w:val="•"/>
      <w:lvlJc w:val="left"/>
      <w:pPr>
        <w:ind w:left="1984" w:hanging="360"/>
      </w:pPr>
      <w:rPr>
        <w:rFonts w:hint="default"/>
      </w:rPr>
    </w:lvl>
    <w:lvl w:ilvl="2" w:tentative="0">
      <w:start w:val="1"/>
      <w:numFmt w:val="bullet"/>
      <w:lvlText w:val="•"/>
      <w:lvlJc w:val="left"/>
      <w:pPr>
        <w:ind w:left="2788" w:hanging="360"/>
      </w:pPr>
      <w:rPr>
        <w:rFonts w:hint="default"/>
      </w:rPr>
    </w:lvl>
    <w:lvl w:ilvl="3" w:tentative="0">
      <w:start w:val="1"/>
      <w:numFmt w:val="bullet"/>
      <w:lvlText w:val="•"/>
      <w:lvlJc w:val="left"/>
      <w:pPr>
        <w:ind w:left="3592" w:hanging="360"/>
      </w:pPr>
      <w:rPr>
        <w:rFonts w:hint="default"/>
      </w:rPr>
    </w:lvl>
    <w:lvl w:ilvl="4" w:tentative="0">
      <w:start w:val="1"/>
      <w:numFmt w:val="bullet"/>
      <w:lvlText w:val="•"/>
      <w:lvlJc w:val="left"/>
      <w:pPr>
        <w:ind w:left="4396"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04" w:hanging="360"/>
      </w:pPr>
      <w:rPr>
        <w:rFonts w:hint="default"/>
      </w:rPr>
    </w:lvl>
    <w:lvl w:ilvl="7" w:tentative="0">
      <w:start w:val="1"/>
      <w:numFmt w:val="bullet"/>
      <w:lvlText w:val="•"/>
      <w:lvlJc w:val="left"/>
      <w:pPr>
        <w:ind w:left="6808" w:hanging="360"/>
      </w:pPr>
      <w:rPr>
        <w:rFonts w:hint="default"/>
      </w:rPr>
    </w:lvl>
    <w:lvl w:ilvl="8" w:tentative="0">
      <w:start w:val="1"/>
      <w:numFmt w:val="bullet"/>
      <w:lvlText w:val="•"/>
      <w:lvlJc w:val="left"/>
      <w:pPr>
        <w:ind w:left="7612" w:hanging="360"/>
      </w:pPr>
      <w:rPr>
        <w:rFonts w:hint="default"/>
      </w:rPr>
    </w:lvl>
  </w:abstractNum>
  <w:abstractNum w:abstractNumId="15">
    <w:nsid w:val="780B12FA"/>
    <w:multiLevelType w:val="multilevel"/>
    <w:tmpl w:val="780B12FA"/>
    <w:lvl w:ilvl="0" w:tentative="0">
      <w:start w:val="1"/>
      <w:numFmt w:val="decimal"/>
      <w:lvlText w:val="%1."/>
      <w:lvlJc w:val="left"/>
      <w:pPr>
        <w:ind w:left="1250" w:hanging="360"/>
      </w:pPr>
      <w:rPr>
        <w:rFonts w:hint="default" w:ascii="Arial" w:hAnsi="Arial" w:eastAsia="Times New Roman" w:cs="Arial"/>
        <w:b/>
        <w:bCs/>
        <w:sz w:val="24"/>
        <w:szCs w:val="24"/>
      </w:rPr>
    </w:lvl>
    <w:lvl w:ilvl="1" w:tentative="0">
      <w:start w:val="1"/>
      <w:numFmt w:val="bullet"/>
      <w:lvlText w:val="•"/>
      <w:lvlJc w:val="left"/>
      <w:pPr>
        <w:ind w:left="2045" w:hanging="360"/>
      </w:pPr>
      <w:rPr>
        <w:rFonts w:hint="default"/>
      </w:rPr>
    </w:lvl>
    <w:lvl w:ilvl="2" w:tentative="0">
      <w:start w:val="1"/>
      <w:numFmt w:val="bullet"/>
      <w:lvlText w:val="•"/>
      <w:lvlJc w:val="left"/>
      <w:pPr>
        <w:ind w:left="2840" w:hanging="360"/>
      </w:pPr>
      <w:rPr>
        <w:rFonts w:hint="default"/>
      </w:rPr>
    </w:lvl>
    <w:lvl w:ilvl="3" w:tentative="0">
      <w:start w:val="1"/>
      <w:numFmt w:val="bullet"/>
      <w:lvlText w:val="•"/>
      <w:lvlJc w:val="left"/>
      <w:pPr>
        <w:ind w:left="3635" w:hanging="360"/>
      </w:pPr>
      <w:rPr>
        <w:rFonts w:hint="default"/>
      </w:rPr>
    </w:lvl>
    <w:lvl w:ilvl="4" w:tentative="0">
      <w:start w:val="1"/>
      <w:numFmt w:val="bullet"/>
      <w:lvlText w:val="•"/>
      <w:lvlJc w:val="left"/>
      <w:pPr>
        <w:ind w:left="4430" w:hanging="360"/>
      </w:pPr>
      <w:rPr>
        <w:rFonts w:hint="default"/>
      </w:rPr>
    </w:lvl>
    <w:lvl w:ilvl="5" w:tentative="0">
      <w:start w:val="1"/>
      <w:numFmt w:val="bullet"/>
      <w:lvlText w:val="•"/>
      <w:lvlJc w:val="left"/>
      <w:pPr>
        <w:ind w:left="5225" w:hanging="360"/>
      </w:pPr>
      <w:rPr>
        <w:rFonts w:hint="default"/>
      </w:rPr>
    </w:lvl>
    <w:lvl w:ilvl="6" w:tentative="0">
      <w:start w:val="1"/>
      <w:numFmt w:val="bullet"/>
      <w:lvlText w:val="•"/>
      <w:lvlJc w:val="left"/>
      <w:pPr>
        <w:ind w:left="6020" w:hanging="360"/>
      </w:pPr>
      <w:rPr>
        <w:rFonts w:hint="default"/>
      </w:rPr>
    </w:lvl>
    <w:lvl w:ilvl="7" w:tentative="0">
      <w:start w:val="1"/>
      <w:numFmt w:val="bullet"/>
      <w:lvlText w:val="•"/>
      <w:lvlJc w:val="left"/>
      <w:pPr>
        <w:ind w:left="6815" w:hanging="360"/>
      </w:pPr>
      <w:rPr>
        <w:rFonts w:hint="default"/>
      </w:rPr>
    </w:lvl>
    <w:lvl w:ilvl="8" w:tentative="0">
      <w:start w:val="1"/>
      <w:numFmt w:val="bullet"/>
      <w:lvlText w:val="•"/>
      <w:lvlJc w:val="left"/>
      <w:pPr>
        <w:ind w:left="7610" w:hanging="360"/>
      </w:pPr>
      <w:rPr>
        <w:rFonts w:hint="default"/>
      </w:rPr>
    </w:lvl>
  </w:abstractNum>
  <w:abstractNum w:abstractNumId="16">
    <w:nsid w:val="7D795441"/>
    <w:multiLevelType w:val="multilevel"/>
    <w:tmpl w:val="7D795441"/>
    <w:lvl w:ilvl="0" w:tentative="0">
      <w:start w:val="1"/>
      <w:numFmt w:val="decimal"/>
      <w:lvlText w:val="%1."/>
      <w:lvlJc w:val="left"/>
      <w:pPr>
        <w:ind w:left="1250" w:hanging="360"/>
      </w:pPr>
      <w:rPr>
        <w:rFonts w:hint="default" w:ascii="Arial" w:hAnsi="Arial" w:eastAsia="Times New Roman" w:cs="Arial"/>
        <w:b/>
        <w:bCs/>
        <w:sz w:val="24"/>
        <w:szCs w:val="24"/>
      </w:rPr>
    </w:lvl>
    <w:lvl w:ilvl="1" w:tentative="0">
      <w:start w:val="1"/>
      <w:numFmt w:val="bullet"/>
      <w:lvlText w:val=""/>
      <w:lvlJc w:val="left"/>
      <w:pPr>
        <w:ind w:left="1520" w:hanging="360"/>
      </w:pPr>
      <w:rPr>
        <w:rFonts w:hint="default" w:ascii="Symbol" w:hAnsi="Symbol" w:eastAsia="Symbol"/>
        <w:w w:val="103"/>
        <w:sz w:val="16"/>
        <w:szCs w:val="16"/>
      </w:rPr>
    </w:lvl>
    <w:lvl w:ilvl="2" w:tentative="0">
      <w:start w:val="1"/>
      <w:numFmt w:val="bullet"/>
      <w:lvlText w:val="•"/>
      <w:lvlJc w:val="left"/>
      <w:pPr>
        <w:ind w:left="2373" w:hanging="360"/>
      </w:pPr>
      <w:rPr>
        <w:rFonts w:hint="default"/>
      </w:rPr>
    </w:lvl>
    <w:lvl w:ilvl="3" w:tentative="0">
      <w:start w:val="1"/>
      <w:numFmt w:val="bullet"/>
      <w:lvlText w:val="•"/>
      <w:lvlJc w:val="left"/>
      <w:pPr>
        <w:ind w:left="3226" w:hanging="360"/>
      </w:pPr>
      <w:rPr>
        <w:rFonts w:hint="default"/>
      </w:rPr>
    </w:lvl>
    <w:lvl w:ilvl="4" w:tentative="0">
      <w:start w:val="1"/>
      <w:numFmt w:val="bullet"/>
      <w:lvlText w:val="•"/>
      <w:lvlJc w:val="left"/>
      <w:pPr>
        <w:ind w:left="4080" w:hanging="360"/>
      </w:pPr>
      <w:rPr>
        <w:rFonts w:hint="default"/>
      </w:rPr>
    </w:lvl>
    <w:lvl w:ilvl="5" w:tentative="0">
      <w:start w:val="1"/>
      <w:numFmt w:val="bullet"/>
      <w:lvlText w:val="•"/>
      <w:lvlJc w:val="left"/>
      <w:pPr>
        <w:ind w:left="4933" w:hanging="360"/>
      </w:pPr>
      <w:rPr>
        <w:rFonts w:hint="default"/>
      </w:rPr>
    </w:lvl>
    <w:lvl w:ilvl="6" w:tentative="0">
      <w:start w:val="1"/>
      <w:numFmt w:val="bullet"/>
      <w:lvlText w:val="•"/>
      <w:lvlJc w:val="left"/>
      <w:pPr>
        <w:ind w:left="5786" w:hanging="360"/>
      </w:pPr>
      <w:rPr>
        <w:rFonts w:hint="default"/>
      </w:rPr>
    </w:lvl>
    <w:lvl w:ilvl="7" w:tentative="0">
      <w:start w:val="1"/>
      <w:numFmt w:val="bullet"/>
      <w:lvlText w:val="•"/>
      <w:lvlJc w:val="left"/>
      <w:pPr>
        <w:ind w:left="6640" w:hanging="360"/>
      </w:pPr>
      <w:rPr>
        <w:rFonts w:hint="default"/>
      </w:rPr>
    </w:lvl>
    <w:lvl w:ilvl="8" w:tentative="0">
      <w:start w:val="1"/>
      <w:numFmt w:val="bullet"/>
      <w:lvlText w:val="•"/>
      <w:lvlJc w:val="left"/>
      <w:pPr>
        <w:ind w:left="7493" w:hanging="360"/>
      </w:pPr>
      <w:rPr>
        <w:rFonts w:hint="default"/>
      </w:rPr>
    </w:lvl>
  </w:abstractNum>
  <w:num w:numId="1">
    <w:abstractNumId w:val="3"/>
  </w:num>
  <w:num w:numId="2">
    <w:abstractNumId w:val="10"/>
  </w:num>
  <w:num w:numId="3">
    <w:abstractNumId w:val="6"/>
  </w:num>
  <w:num w:numId="4">
    <w:abstractNumId w:val="0"/>
  </w:num>
  <w:num w:numId="5">
    <w:abstractNumId w:val="8"/>
  </w:num>
  <w:num w:numId="6">
    <w:abstractNumId w:val="9"/>
  </w:num>
  <w:num w:numId="7">
    <w:abstractNumId w:val="14"/>
  </w:num>
  <w:num w:numId="8">
    <w:abstractNumId w:val="7"/>
  </w:num>
  <w:num w:numId="9">
    <w:abstractNumId w:val="12"/>
  </w:num>
  <w:num w:numId="10">
    <w:abstractNumId w:val="1"/>
  </w:num>
  <w:num w:numId="11">
    <w:abstractNumId w:val="16"/>
  </w:num>
  <w:num w:numId="12">
    <w:abstractNumId w:val="4"/>
  </w:num>
  <w:num w:numId="13">
    <w:abstractNumId w:val="5"/>
  </w:num>
  <w:num w:numId="14">
    <w:abstractNumId w:val="2"/>
  </w:num>
  <w:num w:numId="15">
    <w:abstractNumId w:val="1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dit="readOnly" w:enforcement="0"/>
  <w:defaultTabStop w:val="720"/>
  <w:drawingGridHorizontalSpacing w:val="110"/>
  <w:drawingGridVerticalSpacing w:val="299"/>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D2"/>
    <w:rsid w:val="00000C3A"/>
    <w:rsid w:val="00002957"/>
    <w:rsid w:val="00003812"/>
    <w:rsid w:val="00005AC8"/>
    <w:rsid w:val="00005E70"/>
    <w:rsid w:val="00007865"/>
    <w:rsid w:val="00007D18"/>
    <w:rsid w:val="0001064E"/>
    <w:rsid w:val="00014E4F"/>
    <w:rsid w:val="00016DE0"/>
    <w:rsid w:val="00020778"/>
    <w:rsid w:val="00021494"/>
    <w:rsid w:val="000230EE"/>
    <w:rsid w:val="00023589"/>
    <w:rsid w:val="00023991"/>
    <w:rsid w:val="00025FFE"/>
    <w:rsid w:val="00027CFD"/>
    <w:rsid w:val="00031866"/>
    <w:rsid w:val="00033F24"/>
    <w:rsid w:val="00034D6A"/>
    <w:rsid w:val="0003536C"/>
    <w:rsid w:val="00037078"/>
    <w:rsid w:val="000403B8"/>
    <w:rsid w:val="0004207C"/>
    <w:rsid w:val="000436F9"/>
    <w:rsid w:val="0004502B"/>
    <w:rsid w:val="00045072"/>
    <w:rsid w:val="00045F1A"/>
    <w:rsid w:val="00046429"/>
    <w:rsid w:val="0004658C"/>
    <w:rsid w:val="000511C6"/>
    <w:rsid w:val="000513FF"/>
    <w:rsid w:val="000530C1"/>
    <w:rsid w:val="00054193"/>
    <w:rsid w:val="000546AD"/>
    <w:rsid w:val="00054C0D"/>
    <w:rsid w:val="0006204C"/>
    <w:rsid w:val="000629E0"/>
    <w:rsid w:val="000638F3"/>
    <w:rsid w:val="000661FF"/>
    <w:rsid w:val="000669DC"/>
    <w:rsid w:val="000709F0"/>
    <w:rsid w:val="00070F50"/>
    <w:rsid w:val="00071D0E"/>
    <w:rsid w:val="00072161"/>
    <w:rsid w:val="00073026"/>
    <w:rsid w:val="00074331"/>
    <w:rsid w:val="000748F8"/>
    <w:rsid w:val="00074E20"/>
    <w:rsid w:val="00076075"/>
    <w:rsid w:val="0007698B"/>
    <w:rsid w:val="00077385"/>
    <w:rsid w:val="00081A81"/>
    <w:rsid w:val="00083DDB"/>
    <w:rsid w:val="00084C4D"/>
    <w:rsid w:val="00086F8B"/>
    <w:rsid w:val="00087D15"/>
    <w:rsid w:val="00093F47"/>
    <w:rsid w:val="00094D5C"/>
    <w:rsid w:val="000A3917"/>
    <w:rsid w:val="000A3EDC"/>
    <w:rsid w:val="000A3FE4"/>
    <w:rsid w:val="000A52F5"/>
    <w:rsid w:val="000A57AF"/>
    <w:rsid w:val="000A64EF"/>
    <w:rsid w:val="000A7066"/>
    <w:rsid w:val="000B118D"/>
    <w:rsid w:val="000B17FA"/>
    <w:rsid w:val="000B48EA"/>
    <w:rsid w:val="000B51B6"/>
    <w:rsid w:val="000B7FAB"/>
    <w:rsid w:val="000C0B14"/>
    <w:rsid w:val="000C0BC2"/>
    <w:rsid w:val="000C1ADB"/>
    <w:rsid w:val="000C1F67"/>
    <w:rsid w:val="000C2847"/>
    <w:rsid w:val="000C359B"/>
    <w:rsid w:val="000C3C7E"/>
    <w:rsid w:val="000D0D1C"/>
    <w:rsid w:val="000D4DCD"/>
    <w:rsid w:val="000D535F"/>
    <w:rsid w:val="000D5F45"/>
    <w:rsid w:val="000D5F49"/>
    <w:rsid w:val="000D69DC"/>
    <w:rsid w:val="000D6BD2"/>
    <w:rsid w:val="000D738F"/>
    <w:rsid w:val="000D76C6"/>
    <w:rsid w:val="000E388F"/>
    <w:rsid w:val="000E5D36"/>
    <w:rsid w:val="000F0F06"/>
    <w:rsid w:val="000F1CF7"/>
    <w:rsid w:val="000F2C28"/>
    <w:rsid w:val="000F2C6B"/>
    <w:rsid w:val="000F414E"/>
    <w:rsid w:val="000F437F"/>
    <w:rsid w:val="000F6634"/>
    <w:rsid w:val="000F7947"/>
    <w:rsid w:val="000F7F18"/>
    <w:rsid w:val="00101779"/>
    <w:rsid w:val="00104736"/>
    <w:rsid w:val="001104CA"/>
    <w:rsid w:val="00111AF6"/>
    <w:rsid w:val="00113E51"/>
    <w:rsid w:val="00115F5E"/>
    <w:rsid w:val="001163C0"/>
    <w:rsid w:val="00120E27"/>
    <w:rsid w:val="00123258"/>
    <w:rsid w:val="00123F5A"/>
    <w:rsid w:val="0012656C"/>
    <w:rsid w:val="0013092A"/>
    <w:rsid w:val="00131EA1"/>
    <w:rsid w:val="001338B6"/>
    <w:rsid w:val="00133CA5"/>
    <w:rsid w:val="00133F30"/>
    <w:rsid w:val="00134290"/>
    <w:rsid w:val="00134C36"/>
    <w:rsid w:val="00136CA2"/>
    <w:rsid w:val="00140431"/>
    <w:rsid w:val="001409B4"/>
    <w:rsid w:val="00140D8F"/>
    <w:rsid w:val="00142C21"/>
    <w:rsid w:val="00143B26"/>
    <w:rsid w:val="00143F66"/>
    <w:rsid w:val="001447C5"/>
    <w:rsid w:val="00146C78"/>
    <w:rsid w:val="001470E0"/>
    <w:rsid w:val="00147D60"/>
    <w:rsid w:val="001508AE"/>
    <w:rsid w:val="0015093A"/>
    <w:rsid w:val="00151658"/>
    <w:rsid w:val="001536C1"/>
    <w:rsid w:val="00154940"/>
    <w:rsid w:val="001555B9"/>
    <w:rsid w:val="00157CFE"/>
    <w:rsid w:val="001614D1"/>
    <w:rsid w:val="00162F14"/>
    <w:rsid w:val="0016429B"/>
    <w:rsid w:val="0016761C"/>
    <w:rsid w:val="00170A46"/>
    <w:rsid w:val="00171AFE"/>
    <w:rsid w:val="0017330E"/>
    <w:rsid w:val="001751D8"/>
    <w:rsid w:val="00175D9B"/>
    <w:rsid w:val="00176D84"/>
    <w:rsid w:val="0017769A"/>
    <w:rsid w:val="001778AA"/>
    <w:rsid w:val="0018066B"/>
    <w:rsid w:val="00181F95"/>
    <w:rsid w:val="00186B7C"/>
    <w:rsid w:val="00187E6B"/>
    <w:rsid w:val="00190AD1"/>
    <w:rsid w:val="00190B0D"/>
    <w:rsid w:val="001927DF"/>
    <w:rsid w:val="0019392A"/>
    <w:rsid w:val="00194652"/>
    <w:rsid w:val="001952E6"/>
    <w:rsid w:val="00195AB8"/>
    <w:rsid w:val="00196131"/>
    <w:rsid w:val="00197D41"/>
    <w:rsid w:val="001A0113"/>
    <w:rsid w:val="001A1EE8"/>
    <w:rsid w:val="001A27F4"/>
    <w:rsid w:val="001A51C5"/>
    <w:rsid w:val="001A7B6D"/>
    <w:rsid w:val="001B1597"/>
    <w:rsid w:val="001B3175"/>
    <w:rsid w:val="001B321F"/>
    <w:rsid w:val="001B4C1F"/>
    <w:rsid w:val="001B4EDC"/>
    <w:rsid w:val="001B73DD"/>
    <w:rsid w:val="001C2B9A"/>
    <w:rsid w:val="001C3352"/>
    <w:rsid w:val="001C4656"/>
    <w:rsid w:val="001C4D96"/>
    <w:rsid w:val="001C52E3"/>
    <w:rsid w:val="001C5356"/>
    <w:rsid w:val="001C659F"/>
    <w:rsid w:val="001D0E64"/>
    <w:rsid w:val="001D33C6"/>
    <w:rsid w:val="001D57C3"/>
    <w:rsid w:val="001D61B3"/>
    <w:rsid w:val="001E22B1"/>
    <w:rsid w:val="001F03E1"/>
    <w:rsid w:val="001F113B"/>
    <w:rsid w:val="001F2815"/>
    <w:rsid w:val="001F5130"/>
    <w:rsid w:val="001F61CC"/>
    <w:rsid w:val="001F6CD9"/>
    <w:rsid w:val="001F6EF7"/>
    <w:rsid w:val="001F733E"/>
    <w:rsid w:val="001F7349"/>
    <w:rsid w:val="00200E20"/>
    <w:rsid w:val="0020120E"/>
    <w:rsid w:val="002035C4"/>
    <w:rsid w:val="00203B40"/>
    <w:rsid w:val="00204150"/>
    <w:rsid w:val="0020419E"/>
    <w:rsid w:val="002048F9"/>
    <w:rsid w:val="0020587D"/>
    <w:rsid w:val="002059D8"/>
    <w:rsid w:val="002114AC"/>
    <w:rsid w:val="002131E3"/>
    <w:rsid w:val="00214754"/>
    <w:rsid w:val="002151EB"/>
    <w:rsid w:val="002168F9"/>
    <w:rsid w:val="00217109"/>
    <w:rsid w:val="00217E88"/>
    <w:rsid w:val="00217EA8"/>
    <w:rsid w:val="002200EC"/>
    <w:rsid w:val="002229E8"/>
    <w:rsid w:val="00222BEC"/>
    <w:rsid w:val="0022382E"/>
    <w:rsid w:val="00223E46"/>
    <w:rsid w:val="00226C1E"/>
    <w:rsid w:val="002302F7"/>
    <w:rsid w:val="00230EAC"/>
    <w:rsid w:val="002337B4"/>
    <w:rsid w:val="00234A04"/>
    <w:rsid w:val="00234FA9"/>
    <w:rsid w:val="002353CA"/>
    <w:rsid w:val="0024076D"/>
    <w:rsid w:val="00240F87"/>
    <w:rsid w:val="00241270"/>
    <w:rsid w:val="002418C5"/>
    <w:rsid w:val="00243F2F"/>
    <w:rsid w:val="00244CD2"/>
    <w:rsid w:val="002471B1"/>
    <w:rsid w:val="002501DA"/>
    <w:rsid w:val="00250F18"/>
    <w:rsid w:val="00251A94"/>
    <w:rsid w:val="002557FE"/>
    <w:rsid w:val="00256A90"/>
    <w:rsid w:val="00260468"/>
    <w:rsid w:val="0026051D"/>
    <w:rsid w:val="00260F2E"/>
    <w:rsid w:val="00261ECD"/>
    <w:rsid w:val="00262BA8"/>
    <w:rsid w:val="00267D9D"/>
    <w:rsid w:val="00267F5B"/>
    <w:rsid w:val="0027145D"/>
    <w:rsid w:val="002728D8"/>
    <w:rsid w:val="00275A6C"/>
    <w:rsid w:val="002770CB"/>
    <w:rsid w:val="00277DB5"/>
    <w:rsid w:val="0028120E"/>
    <w:rsid w:val="00282B78"/>
    <w:rsid w:val="00283016"/>
    <w:rsid w:val="00284830"/>
    <w:rsid w:val="002848BF"/>
    <w:rsid w:val="00286375"/>
    <w:rsid w:val="00286A04"/>
    <w:rsid w:val="00286F37"/>
    <w:rsid w:val="00290F38"/>
    <w:rsid w:val="00293FCC"/>
    <w:rsid w:val="00294031"/>
    <w:rsid w:val="00294406"/>
    <w:rsid w:val="00294B9C"/>
    <w:rsid w:val="00296C92"/>
    <w:rsid w:val="00297084"/>
    <w:rsid w:val="00297E17"/>
    <w:rsid w:val="002A1EB6"/>
    <w:rsid w:val="002A3677"/>
    <w:rsid w:val="002A3E7C"/>
    <w:rsid w:val="002A4875"/>
    <w:rsid w:val="002A5974"/>
    <w:rsid w:val="002A5D86"/>
    <w:rsid w:val="002A7174"/>
    <w:rsid w:val="002B0E9B"/>
    <w:rsid w:val="002B1462"/>
    <w:rsid w:val="002B30F3"/>
    <w:rsid w:val="002B6000"/>
    <w:rsid w:val="002B7A6E"/>
    <w:rsid w:val="002C233D"/>
    <w:rsid w:val="002C31C0"/>
    <w:rsid w:val="002C4A68"/>
    <w:rsid w:val="002C664A"/>
    <w:rsid w:val="002C7056"/>
    <w:rsid w:val="002D20C2"/>
    <w:rsid w:val="002D2D60"/>
    <w:rsid w:val="002D2ECB"/>
    <w:rsid w:val="002D3C4E"/>
    <w:rsid w:val="002D53A5"/>
    <w:rsid w:val="002D5448"/>
    <w:rsid w:val="002D7BDA"/>
    <w:rsid w:val="002E1DE6"/>
    <w:rsid w:val="002E3069"/>
    <w:rsid w:val="002E5B34"/>
    <w:rsid w:val="002E5B45"/>
    <w:rsid w:val="002E6288"/>
    <w:rsid w:val="002F0290"/>
    <w:rsid w:val="002F0812"/>
    <w:rsid w:val="002F24E9"/>
    <w:rsid w:val="002F2D08"/>
    <w:rsid w:val="002F4BF7"/>
    <w:rsid w:val="002F4C7A"/>
    <w:rsid w:val="002F6055"/>
    <w:rsid w:val="002F66AE"/>
    <w:rsid w:val="00300758"/>
    <w:rsid w:val="00300CEC"/>
    <w:rsid w:val="003020B7"/>
    <w:rsid w:val="00303EDF"/>
    <w:rsid w:val="00304B1F"/>
    <w:rsid w:val="003061E6"/>
    <w:rsid w:val="003069BC"/>
    <w:rsid w:val="003106CE"/>
    <w:rsid w:val="0031579E"/>
    <w:rsid w:val="00315BC8"/>
    <w:rsid w:val="00316FD1"/>
    <w:rsid w:val="0031762A"/>
    <w:rsid w:val="0031779C"/>
    <w:rsid w:val="00320034"/>
    <w:rsid w:val="00320656"/>
    <w:rsid w:val="00322548"/>
    <w:rsid w:val="00323479"/>
    <w:rsid w:val="00325322"/>
    <w:rsid w:val="00326AA2"/>
    <w:rsid w:val="0032730F"/>
    <w:rsid w:val="00332CB0"/>
    <w:rsid w:val="003333AA"/>
    <w:rsid w:val="00333F86"/>
    <w:rsid w:val="00334CE9"/>
    <w:rsid w:val="00336073"/>
    <w:rsid w:val="00336DF8"/>
    <w:rsid w:val="00342B92"/>
    <w:rsid w:val="00342DA9"/>
    <w:rsid w:val="003440EE"/>
    <w:rsid w:val="003462A9"/>
    <w:rsid w:val="00346789"/>
    <w:rsid w:val="00346945"/>
    <w:rsid w:val="00347D75"/>
    <w:rsid w:val="003505FA"/>
    <w:rsid w:val="0035099A"/>
    <w:rsid w:val="00350AF4"/>
    <w:rsid w:val="0035155E"/>
    <w:rsid w:val="003515CF"/>
    <w:rsid w:val="0035261D"/>
    <w:rsid w:val="003531C6"/>
    <w:rsid w:val="00353353"/>
    <w:rsid w:val="00354721"/>
    <w:rsid w:val="00354B4E"/>
    <w:rsid w:val="00355125"/>
    <w:rsid w:val="00355CAC"/>
    <w:rsid w:val="0036017F"/>
    <w:rsid w:val="00361D78"/>
    <w:rsid w:val="00363C06"/>
    <w:rsid w:val="00365CF8"/>
    <w:rsid w:val="00367FB5"/>
    <w:rsid w:val="0037024F"/>
    <w:rsid w:val="00370317"/>
    <w:rsid w:val="00370BD9"/>
    <w:rsid w:val="0037203E"/>
    <w:rsid w:val="00372F90"/>
    <w:rsid w:val="00375020"/>
    <w:rsid w:val="00375DBD"/>
    <w:rsid w:val="00382DE2"/>
    <w:rsid w:val="0038368F"/>
    <w:rsid w:val="003841CB"/>
    <w:rsid w:val="0039032E"/>
    <w:rsid w:val="00390C9B"/>
    <w:rsid w:val="003923A4"/>
    <w:rsid w:val="00394E04"/>
    <w:rsid w:val="00395AAC"/>
    <w:rsid w:val="00396809"/>
    <w:rsid w:val="00396D22"/>
    <w:rsid w:val="00397073"/>
    <w:rsid w:val="0039759B"/>
    <w:rsid w:val="00397655"/>
    <w:rsid w:val="003A162E"/>
    <w:rsid w:val="003A25B4"/>
    <w:rsid w:val="003A2680"/>
    <w:rsid w:val="003A26A2"/>
    <w:rsid w:val="003A31AC"/>
    <w:rsid w:val="003A334B"/>
    <w:rsid w:val="003A4985"/>
    <w:rsid w:val="003A4A89"/>
    <w:rsid w:val="003A4CB2"/>
    <w:rsid w:val="003A6F2B"/>
    <w:rsid w:val="003B1AD2"/>
    <w:rsid w:val="003B3278"/>
    <w:rsid w:val="003B4014"/>
    <w:rsid w:val="003B4BD0"/>
    <w:rsid w:val="003B4FD1"/>
    <w:rsid w:val="003B5130"/>
    <w:rsid w:val="003B625E"/>
    <w:rsid w:val="003C00B7"/>
    <w:rsid w:val="003C0558"/>
    <w:rsid w:val="003C49E6"/>
    <w:rsid w:val="003C5DA8"/>
    <w:rsid w:val="003C6C12"/>
    <w:rsid w:val="003C706A"/>
    <w:rsid w:val="003D604D"/>
    <w:rsid w:val="003D6468"/>
    <w:rsid w:val="003D6CD8"/>
    <w:rsid w:val="003D73F8"/>
    <w:rsid w:val="003E0B7C"/>
    <w:rsid w:val="003E0E15"/>
    <w:rsid w:val="003E115A"/>
    <w:rsid w:val="003E2FF0"/>
    <w:rsid w:val="003E33FC"/>
    <w:rsid w:val="003E4EE5"/>
    <w:rsid w:val="003E5004"/>
    <w:rsid w:val="003E58BA"/>
    <w:rsid w:val="003E5D1D"/>
    <w:rsid w:val="003F272A"/>
    <w:rsid w:val="003F2DCE"/>
    <w:rsid w:val="003F364E"/>
    <w:rsid w:val="003F4826"/>
    <w:rsid w:val="003F51B1"/>
    <w:rsid w:val="003F5DBF"/>
    <w:rsid w:val="00401CE9"/>
    <w:rsid w:val="00402586"/>
    <w:rsid w:val="004032BA"/>
    <w:rsid w:val="00403BAA"/>
    <w:rsid w:val="004049AB"/>
    <w:rsid w:val="00406EA6"/>
    <w:rsid w:val="004076D8"/>
    <w:rsid w:val="00410EF9"/>
    <w:rsid w:val="00410F00"/>
    <w:rsid w:val="0041139D"/>
    <w:rsid w:val="004120A3"/>
    <w:rsid w:val="004132F9"/>
    <w:rsid w:val="00413741"/>
    <w:rsid w:val="0041384F"/>
    <w:rsid w:val="00414D8A"/>
    <w:rsid w:val="00415201"/>
    <w:rsid w:val="00415213"/>
    <w:rsid w:val="004204A5"/>
    <w:rsid w:val="0042392B"/>
    <w:rsid w:val="00426793"/>
    <w:rsid w:val="00431A0D"/>
    <w:rsid w:val="00432172"/>
    <w:rsid w:val="00434FD9"/>
    <w:rsid w:val="0043657E"/>
    <w:rsid w:val="004371B8"/>
    <w:rsid w:val="004408DE"/>
    <w:rsid w:val="00441A36"/>
    <w:rsid w:val="00444ED3"/>
    <w:rsid w:val="00446165"/>
    <w:rsid w:val="00446B04"/>
    <w:rsid w:val="00450639"/>
    <w:rsid w:val="00453DE8"/>
    <w:rsid w:val="004542BB"/>
    <w:rsid w:val="00454511"/>
    <w:rsid w:val="00454709"/>
    <w:rsid w:val="004549CC"/>
    <w:rsid w:val="00454FFA"/>
    <w:rsid w:val="00455DB4"/>
    <w:rsid w:val="00460436"/>
    <w:rsid w:val="004613D1"/>
    <w:rsid w:val="004616DD"/>
    <w:rsid w:val="004622FC"/>
    <w:rsid w:val="0046327F"/>
    <w:rsid w:val="0046563A"/>
    <w:rsid w:val="00466243"/>
    <w:rsid w:val="004669A4"/>
    <w:rsid w:val="00470118"/>
    <w:rsid w:val="00471260"/>
    <w:rsid w:val="00474256"/>
    <w:rsid w:val="00474E35"/>
    <w:rsid w:val="00477160"/>
    <w:rsid w:val="00477BFE"/>
    <w:rsid w:val="00480B29"/>
    <w:rsid w:val="00481C75"/>
    <w:rsid w:val="0048203E"/>
    <w:rsid w:val="00482B9D"/>
    <w:rsid w:val="00482DE9"/>
    <w:rsid w:val="004831E4"/>
    <w:rsid w:val="00485DA7"/>
    <w:rsid w:val="00487F31"/>
    <w:rsid w:val="00490D04"/>
    <w:rsid w:val="004912CF"/>
    <w:rsid w:val="00491BBE"/>
    <w:rsid w:val="0049250B"/>
    <w:rsid w:val="0049639D"/>
    <w:rsid w:val="00496EF4"/>
    <w:rsid w:val="004A15D8"/>
    <w:rsid w:val="004A1702"/>
    <w:rsid w:val="004A342B"/>
    <w:rsid w:val="004A529C"/>
    <w:rsid w:val="004B0215"/>
    <w:rsid w:val="004B14CA"/>
    <w:rsid w:val="004B3A2D"/>
    <w:rsid w:val="004B428E"/>
    <w:rsid w:val="004B4451"/>
    <w:rsid w:val="004B45A9"/>
    <w:rsid w:val="004B658D"/>
    <w:rsid w:val="004B6C43"/>
    <w:rsid w:val="004B7336"/>
    <w:rsid w:val="004C3687"/>
    <w:rsid w:val="004C4153"/>
    <w:rsid w:val="004C622E"/>
    <w:rsid w:val="004C65DC"/>
    <w:rsid w:val="004C66C1"/>
    <w:rsid w:val="004C7478"/>
    <w:rsid w:val="004C7894"/>
    <w:rsid w:val="004D4476"/>
    <w:rsid w:val="004D6AD9"/>
    <w:rsid w:val="004D7254"/>
    <w:rsid w:val="004E3F12"/>
    <w:rsid w:val="004E40DC"/>
    <w:rsid w:val="004E6079"/>
    <w:rsid w:val="004F0197"/>
    <w:rsid w:val="004F036F"/>
    <w:rsid w:val="004F094F"/>
    <w:rsid w:val="004F11CB"/>
    <w:rsid w:val="004F122C"/>
    <w:rsid w:val="004F1BAF"/>
    <w:rsid w:val="004F315A"/>
    <w:rsid w:val="004F3165"/>
    <w:rsid w:val="004F364A"/>
    <w:rsid w:val="004F3724"/>
    <w:rsid w:val="004F4046"/>
    <w:rsid w:val="004F6A1C"/>
    <w:rsid w:val="004F6AB0"/>
    <w:rsid w:val="004F6B73"/>
    <w:rsid w:val="004F6ED3"/>
    <w:rsid w:val="00500272"/>
    <w:rsid w:val="005015D5"/>
    <w:rsid w:val="00503B73"/>
    <w:rsid w:val="00503B79"/>
    <w:rsid w:val="00504ECD"/>
    <w:rsid w:val="00505309"/>
    <w:rsid w:val="00507191"/>
    <w:rsid w:val="00507DC2"/>
    <w:rsid w:val="00507E04"/>
    <w:rsid w:val="00510CC1"/>
    <w:rsid w:val="00510E13"/>
    <w:rsid w:val="00511EB5"/>
    <w:rsid w:val="00512C57"/>
    <w:rsid w:val="00514125"/>
    <w:rsid w:val="00515056"/>
    <w:rsid w:val="005156B9"/>
    <w:rsid w:val="005204C8"/>
    <w:rsid w:val="005207EE"/>
    <w:rsid w:val="0052084B"/>
    <w:rsid w:val="005212E1"/>
    <w:rsid w:val="00521664"/>
    <w:rsid w:val="00521AE6"/>
    <w:rsid w:val="00522236"/>
    <w:rsid w:val="00522B37"/>
    <w:rsid w:val="00524547"/>
    <w:rsid w:val="005269BD"/>
    <w:rsid w:val="005310DD"/>
    <w:rsid w:val="00531705"/>
    <w:rsid w:val="00533809"/>
    <w:rsid w:val="0053512B"/>
    <w:rsid w:val="00537F98"/>
    <w:rsid w:val="00541EBD"/>
    <w:rsid w:val="005432DA"/>
    <w:rsid w:val="00543D49"/>
    <w:rsid w:val="00543FB9"/>
    <w:rsid w:val="00544613"/>
    <w:rsid w:val="00547A3E"/>
    <w:rsid w:val="00547FEA"/>
    <w:rsid w:val="00550435"/>
    <w:rsid w:val="00551079"/>
    <w:rsid w:val="0055346F"/>
    <w:rsid w:val="005538D4"/>
    <w:rsid w:val="00553B94"/>
    <w:rsid w:val="00554FA3"/>
    <w:rsid w:val="005550EF"/>
    <w:rsid w:val="005578D1"/>
    <w:rsid w:val="00557A95"/>
    <w:rsid w:val="0056059C"/>
    <w:rsid w:val="00560CDA"/>
    <w:rsid w:val="0056161F"/>
    <w:rsid w:val="0056741F"/>
    <w:rsid w:val="00567D0E"/>
    <w:rsid w:val="00567D28"/>
    <w:rsid w:val="0057058F"/>
    <w:rsid w:val="00570989"/>
    <w:rsid w:val="0057148E"/>
    <w:rsid w:val="005721BB"/>
    <w:rsid w:val="005729D9"/>
    <w:rsid w:val="00572F1A"/>
    <w:rsid w:val="005743AA"/>
    <w:rsid w:val="005749A5"/>
    <w:rsid w:val="00574A4D"/>
    <w:rsid w:val="00576A33"/>
    <w:rsid w:val="005808D0"/>
    <w:rsid w:val="00580D3C"/>
    <w:rsid w:val="00580D4D"/>
    <w:rsid w:val="0058125C"/>
    <w:rsid w:val="0058389E"/>
    <w:rsid w:val="00585817"/>
    <w:rsid w:val="005922A9"/>
    <w:rsid w:val="005925C8"/>
    <w:rsid w:val="005957D5"/>
    <w:rsid w:val="005968DF"/>
    <w:rsid w:val="005A0605"/>
    <w:rsid w:val="005A07AE"/>
    <w:rsid w:val="005B273A"/>
    <w:rsid w:val="005B5546"/>
    <w:rsid w:val="005B6140"/>
    <w:rsid w:val="005B7321"/>
    <w:rsid w:val="005C1786"/>
    <w:rsid w:val="005C4DF5"/>
    <w:rsid w:val="005C5039"/>
    <w:rsid w:val="005C78B1"/>
    <w:rsid w:val="005D01BE"/>
    <w:rsid w:val="005D11B5"/>
    <w:rsid w:val="005D18B1"/>
    <w:rsid w:val="005D1B4D"/>
    <w:rsid w:val="005D3D0D"/>
    <w:rsid w:val="005D3DE2"/>
    <w:rsid w:val="005D583D"/>
    <w:rsid w:val="005D6507"/>
    <w:rsid w:val="005D6A06"/>
    <w:rsid w:val="005D79E9"/>
    <w:rsid w:val="005E4B6A"/>
    <w:rsid w:val="005E5316"/>
    <w:rsid w:val="005E53DC"/>
    <w:rsid w:val="005E6263"/>
    <w:rsid w:val="005E7ACE"/>
    <w:rsid w:val="005F21C3"/>
    <w:rsid w:val="005F258F"/>
    <w:rsid w:val="005F2AE0"/>
    <w:rsid w:val="005F2F2A"/>
    <w:rsid w:val="005F30EB"/>
    <w:rsid w:val="005F322A"/>
    <w:rsid w:val="005F3879"/>
    <w:rsid w:val="005F5408"/>
    <w:rsid w:val="005F6132"/>
    <w:rsid w:val="005F61FE"/>
    <w:rsid w:val="006006B2"/>
    <w:rsid w:val="00600DB9"/>
    <w:rsid w:val="00601CF4"/>
    <w:rsid w:val="00603CA5"/>
    <w:rsid w:val="00603DE0"/>
    <w:rsid w:val="00605072"/>
    <w:rsid w:val="0060644E"/>
    <w:rsid w:val="00606C0F"/>
    <w:rsid w:val="00610692"/>
    <w:rsid w:val="00610923"/>
    <w:rsid w:val="0061271F"/>
    <w:rsid w:val="00613151"/>
    <w:rsid w:val="006141CE"/>
    <w:rsid w:val="0061424E"/>
    <w:rsid w:val="006150D9"/>
    <w:rsid w:val="006175C1"/>
    <w:rsid w:val="00617900"/>
    <w:rsid w:val="0062010C"/>
    <w:rsid w:val="00620D45"/>
    <w:rsid w:val="006211A7"/>
    <w:rsid w:val="00621D40"/>
    <w:rsid w:val="006239D0"/>
    <w:rsid w:val="00624283"/>
    <w:rsid w:val="006247E0"/>
    <w:rsid w:val="006261A2"/>
    <w:rsid w:val="0062642D"/>
    <w:rsid w:val="00626C9E"/>
    <w:rsid w:val="00630086"/>
    <w:rsid w:val="0063203B"/>
    <w:rsid w:val="006322B5"/>
    <w:rsid w:val="006327B8"/>
    <w:rsid w:val="0063283B"/>
    <w:rsid w:val="00633BF0"/>
    <w:rsid w:val="006344D7"/>
    <w:rsid w:val="00635A99"/>
    <w:rsid w:val="00637457"/>
    <w:rsid w:val="006378C1"/>
    <w:rsid w:val="0064175B"/>
    <w:rsid w:val="00642697"/>
    <w:rsid w:val="0064324D"/>
    <w:rsid w:val="00643631"/>
    <w:rsid w:val="006440FD"/>
    <w:rsid w:val="00644400"/>
    <w:rsid w:val="00644885"/>
    <w:rsid w:val="00646F90"/>
    <w:rsid w:val="00646FB1"/>
    <w:rsid w:val="006479E2"/>
    <w:rsid w:val="006508F3"/>
    <w:rsid w:val="006523AE"/>
    <w:rsid w:val="0065325A"/>
    <w:rsid w:val="006536C3"/>
    <w:rsid w:val="00655685"/>
    <w:rsid w:val="006563F4"/>
    <w:rsid w:val="00656658"/>
    <w:rsid w:val="006612D3"/>
    <w:rsid w:val="0066209A"/>
    <w:rsid w:val="00663C67"/>
    <w:rsid w:val="00663E08"/>
    <w:rsid w:val="00664018"/>
    <w:rsid w:val="00670E99"/>
    <w:rsid w:val="006710E4"/>
    <w:rsid w:val="00671D15"/>
    <w:rsid w:val="00671E40"/>
    <w:rsid w:val="006729EA"/>
    <w:rsid w:val="006731AB"/>
    <w:rsid w:val="00675899"/>
    <w:rsid w:val="00675C02"/>
    <w:rsid w:val="00676660"/>
    <w:rsid w:val="006808B3"/>
    <w:rsid w:val="00680E5E"/>
    <w:rsid w:val="006812CA"/>
    <w:rsid w:val="006818E0"/>
    <w:rsid w:val="00684577"/>
    <w:rsid w:val="00684599"/>
    <w:rsid w:val="00684665"/>
    <w:rsid w:val="00685A2D"/>
    <w:rsid w:val="00686424"/>
    <w:rsid w:val="0068684C"/>
    <w:rsid w:val="0069085E"/>
    <w:rsid w:val="00691E88"/>
    <w:rsid w:val="00691FE0"/>
    <w:rsid w:val="0069620B"/>
    <w:rsid w:val="006966FE"/>
    <w:rsid w:val="00697A84"/>
    <w:rsid w:val="006A05D2"/>
    <w:rsid w:val="006A24AD"/>
    <w:rsid w:val="006A2560"/>
    <w:rsid w:val="006A380B"/>
    <w:rsid w:val="006A5AE6"/>
    <w:rsid w:val="006A66C2"/>
    <w:rsid w:val="006A7A34"/>
    <w:rsid w:val="006B03F1"/>
    <w:rsid w:val="006B0E3A"/>
    <w:rsid w:val="006B159F"/>
    <w:rsid w:val="006B2337"/>
    <w:rsid w:val="006B254A"/>
    <w:rsid w:val="006B3C80"/>
    <w:rsid w:val="006B4E36"/>
    <w:rsid w:val="006B536D"/>
    <w:rsid w:val="006B5781"/>
    <w:rsid w:val="006B670D"/>
    <w:rsid w:val="006C2071"/>
    <w:rsid w:val="006C2AA4"/>
    <w:rsid w:val="006C4DF1"/>
    <w:rsid w:val="006C6786"/>
    <w:rsid w:val="006C756F"/>
    <w:rsid w:val="006C7F21"/>
    <w:rsid w:val="006D0B43"/>
    <w:rsid w:val="006D4F75"/>
    <w:rsid w:val="006D5AB3"/>
    <w:rsid w:val="006D6B15"/>
    <w:rsid w:val="006D713C"/>
    <w:rsid w:val="006D7A4C"/>
    <w:rsid w:val="006E114A"/>
    <w:rsid w:val="006E16E0"/>
    <w:rsid w:val="006E4556"/>
    <w:rsid w:val="006E4BBE"/>
    <w:rsid w:val="006E5C37"/>
    <w:rsid w:val="006F0392"/>
    <w:rsid w:val="006F0CCE"/>
    <w:rsid w:val="006F2FD8"/>
    <w:rsid w:val="006F3324"/>
    <w:rsid w:val="006F3BA6"/>
    <w:rsid w:val="006F5EAB"/>
    <w:rsid w:val="007005EB"/>
    <w:rsid w:val="00700F53"/>
    <w:rsid w:val="00704266"/>
    <w:rsid w:val="00706776"/>
    <w:rsid w:val="007071FF"/>
    <w:rsid w:val="0071008C"/>
    <w:rsid w:val="00710345"/>
    <w:rsid w:val="00711332"/>
    <w:rsid w:val="007118D6"/>
    <w:rsid w:val="007157B1"/>
    <w:rsid w:val="00717BB9"/>
    <w:rsid w:val="00721506"/>
    <w:rsid w:val="00721C50"/>
    <w:rsid w:val="00721DD8"/>
    <w:rsid w:val="00723209"/>
    <w:rsid w:val="00723963"/>
    <w:rsid w:val="00723DDA"/>
    <w:rsid w:val="007245B4"/>
    <w:rsid w:val="00730439"/>
    <w:rsid w:val="00732988"/>
    <w:rsid w:val="007337DA"/>
    <w:rsid w:val="0073478B"/>
    <w:rsid w:val="007356FF"/>
    <w:rsid w:val="00735BBC"/>
    <w:rsid w:val="0073693D"/>
    <w:rsid w:val="00736C02"/>
    <w:rsid w:val="00737C0A"/>
    <w:rsid w:val="00741096"/>
    <w:rsid w:val="00743EFF"/>
    <w:rsid w:val="00744B9B"/>
    <w:rsid w:val="0074654D"/>
    <w:rsid w:val="0074710C"/>
    <w:rsid w:val="00750FED"/>
    <w:rsid w:val="00755E55"/>
    <w:rsid w:val="00756E1F"/>
    <w:rsid w:val="007605ED"/>
    <w:rsid w:val="007616F9"/>
    <w:rsid w:val="007617C8"/>
    <w:rsid w:val="007646EC"/>
    <w:rsid w:val="00766892"/>
    <w:rsid w:val="00766FA4"/>
    <w:rsid w:val="00767B79"/>
    <w:rsid w:val="007711C6"/>
    <w:rsid w:val="00771380"/>
    <w:rsid w:val="00773C45"/>
    <w:rsid w:val="00775465"/>
    <w:rsid w:val="007769AB"/>
    <w:rsid w:val="0077757E"/>
    <w:rsid w:val="00781AF5"/>
    <w:rsid w:val="0078646B"/>
    <w:rsid w:val="00787676"/>
    <w:rsid w:val="00790D03"/>
    <w:rsid w:val="00791653"/>
    <w:rsid w:val="0079272D"/>
    <w:rsid w:val="007928F2"/>
    <w:rsid w:val="00793390"/>
    <w:rsid w:val="007934C4"/>
    <w:rsid w:val="007946EB"/>
    <w:rsid w:val="007949DC"/>
    <w:rsid w:val="007A02BF"/>
    <w:rsid w:val="007A20EE"/>
    <w:rsid w:val="007A38DF"/>
    <w:rsid w:val="007B10E0"/>
    <w:rsid w:val="007B30DE"/>
    <w:rsid w:val="007B3EC1"/>
    <w:rsid w:val="007B3F3F"/>
    <w:rsid w:val="007B4311"/>
    <w:rsid w:val="007B5E11"/>
    <w:rsid w:val="007B5FD3"/>
    <w:rsid w:val="007B6A6F"/>
    <w:rsid w:val="007B7698"/>
    <w:rsid w:val="007C0632"/>
    <w:rsid w:val="007C09C1"/>
    <w:rsid w:val="007C2064"/>
    <w:rsid w:val="007C208C"/>
    <w:rsid w:val="007C2E0A"/>
    <w:rsid w:val="007C3181"/>
    <w:rsid w:val="007C322F"/>
    <w:rsid w:val="007C34F1"/>
    <w:rsid w:val="007C383A"/>
    <w:rsid w:val="007C446D"/>
    <w:rsid w:val="007C5587"/>
    <w:rsid w:val="007C5DB0"/>
    <w:rsid w:val="007C5FA5"/>
    <w:rsid w:val="007C73A1"/>
    <w:rsid w:val="007C7A99"/>
    <w:rsid w:val="007D0040"/>
    <w:rsid w:val="007D0264"/>
    <w:rsid w:val="007D1D28"/>
    <w:rsid w:val="007D2261"/>
    <w:rsid w:val="007D24B7"/>
    <w:rsid w:val="007D7756"/>
    <w:rsid w:val="007E033F"/>
    <w:rsid w:val="007E283D"/>
    <w:rsid w:val="007E4FFF"/>
    <w:rsid w:val="007E5E73"/>
    <w:rsid w:val="007E6508"/>
    <w:rsid w:val="007F0749"/>
    <w:rsid w:val="007F15A0"/>
    <w:rsid w:val="007F3FE8"/>
    <w:rsid w:val="007F54B6"/>
    <w:rsid w:val="007F5EBD"/>
    <w:rsid w:val="007F6E74"/>
    <w:rsid w:val="007F76EA"/>
    <w:rsid w:val="00801478"/>
    <w:rsid w:val="008016E9"/>
    <w:rsid w:val="00802636"/>
    <w:rsid w:val="008043DA"/>
    <w:rsid w:val="008047D6"/>
    <w:rsid w:val="00804A45"/>
    <w:rsid w:val="00804B9A"/>
    <w:rsid w:val="00804C5A"/>
    <w:rsid w:val="00806791"/>
    <w:rsid w:val="00807249"/>
    <w:rsid w:val="00811933"/>
    <w:rsid w:val="00813110"/>
    <w:rsid w:val="008133AF"/>
    <w:rsid w:val="00813F5F"/>
    <w:rsid w:val="00815786"/>
    <w:rsid w:val="00815BD5"/>
    <w:rsid w:val="00817410"/>
    <w:rsid w:val="00820617"/>
    <w:rsid w:val="00820BFC"/>
    <w:rsid w:val="0082157F"/>
    <w:rsid w:val="0082268B"/>
    <w:rsid w:val="008241D1"/>
    <w:rsid w:val="00824BC7"/>
    <w:rsid w:val="00827604"/>
    <w:rsid w:val="008309AB"/>
    <w:rsid w:val="00830B0A"/>
    <w:rsid w:val="0083246C"/>
    <w:rsid w:val="0083385E"/>
    <w:rsid w:val="008353D4"/>
    <w:rsid w:val="00836644"/>
    <w:rsid w:val="00836E54"/>
    <w:rsid w:val="00837379"/>
    <w:rsid w:val="00837E2A"/>
    <w:rsid w:val="0084045B"/>
    <w:rsid w:val="008413FC"/>
    <w:rsid w:val="00841774"/>
    <w:rsid w:val="00841FE1"/>
    <w:rsid w:val="00842CF9"/>
    <w:rsid w:val="00843689"/>
    <w:rsid w:val="00843FA6"/>
    <w:rsid w:val="00845DF8"/>
    <w:rsid w:val="008460AF"/>
    <w:rsid w:val="00847495"/>
    <w:rsid w:val="00851433"/>
    <w:rsid w:val="00851B1B"/>
    <w:rsid w:val="00857933"/>
    <w:rsid w:val="00860AA7"/>
    <w:rsid w:val="00860D15"/>
    <w:rsid w:val="00860E69"/>
    <w:rsid w:val="00861397"/>
    <w:rsid w:val="00861523"/>
    <w:rsid w:val="008633FA"/>
    <w:rsid w:val="00863EEB"/>
    <w:rsid w:val="00864588"/>
    <w:rsid w:val="00864BD1"/>
    <w:rsid w:val="008653C7"/>
    <w:rsid w:val="0086550A"/>
    <w:rsid w:val="00865C9C"/>
    <w:rsid w:val="00872FBC"/>
    <w:rsid w:val="008737C7"/>
    <w:rsid w:val="00875E0E"/>
    <w:rsid w:val="0087750D"/>
    <w:rsid w:val="008776A4"/>
    <w:rsid w:val="00882093"/>
    <w:rsid w:val="00883472"/>
    <w:rsid w:val="00884A1F"/>
    <w:rsid w:val="00885AE1"/>
    <w:rsid w:val="00885C65"/>
    <w:rsid w:val="00886D71"/>
    <w:rsid w:val="008875F6"/>
    <w:rsid w:val="00891700"/>
    <w:rsid w:val="00892668"/>
    <w:rsid w:val="008935AB"/>
    <w:rsid w:val="00893790"/>
    <w:rsid w:val="00896479"/>
    <w:rsid w:val="00896E3C"/>
    <w:rsid w:val="008A1BAD"/>
    <w:rsid w:val="008A2A11"/>
    <w:rsid w:val="008A3233"/>
    <w:rsid w:val="008A3C42"/>
    <w:rsid w:val="008A4945"/>
    <w:rsid w:val="008A4E00"/>
    <w:rsid w:val="008A53EE"/>
    <w:rsid w:val="008A5D07"/>
    <w:rsid w:val="008B1C1E"/>
    <w:rsid w:val="008B2156"/>
    <w:rsid w:val="008B2631"/>
    <w:rsid w:val="008B2D2B"/>
    <w:rsid w:val="008B2EA0"/>
    <w:rsid w:val="008B30C1"/>
    <w:rsid w:val="008B422C"/>
    <w:rsid w:val="008B4B62"/>
    <w:rsid w:val="008B5C6E"/>
    <w:rsid w:val="008B6F71"/>
    <w:rsid w:val="008C0E46"/>
    <w:rsid w:val="008C1E98"/>
    <w:rsid w:val="008C366A"/>
    <w:rsid w:val="008C4520"/>
    <w:rsid w:val="008C69C9"/>
    <w:rsid w:val="008C7ECA"/>
    <w:rsid w:val="008D06C8"/>
    <w:rsid w:val="008D21FF"/>
    <w:rsid w:val="008D3924"/>
    <w:rsid w:val="008D3BC5"/>
    <w:rsid w:val="008D4E4B"/>
    <w:rsid w:val="008D5F71"/>
    <w:rsid w:val="008D6A15"/>
    <w:rsid w:val="008D7946"/>
    <w:rsid w:val="008E27A0"/>
    <w:rsid w:val="008E2E6D"/>
    <w:rsid w:val="008E5E16"/>
    <w:rsid w:val="008E6603"/>
    <w:rsid w:val="008E66CF"/>
    <w:rsid w:val="008E7406"/>
    <w:rsid w:val="008E7671"/>
    <w:rsid w:val="008F11E1"/>
    <w:rsid w:val="008F27B7"/>
    <w:rsid w:val="008F3CCB"/>
    <w:rsid w:val="008F4C48"/>
    <w:rsid w:val="008F5387"/>
    <w:rsid w:val="00901E15"/>
    <w:rsid w:val="0090355C"/>
    <w:rsid w:val="00904549"/>
    <w:rsid w:val="0090496F"/>
    <w:rsid w:val="0090679C"/>
    <w:rsid w:val="009118D0"/>
    <w:rsid w:val="00911A66"/>
    <w:rsid w:val="00912C0E"/>
    <w:rsid w:val="00915E19"/>
    <w:rsid w:val="009160F3"/>
    <w:rsid w:val="00916C22"/>
    <w:rsid w:val="00917D43"/>
    <w:rsid w:val="00921D7F"/>
    <w:rsid w:val="0092480A"/>
    <w:rsid w:val="00927152"/>
    <w:rsid w:val="0093010F"/>
    <w:rsid w:val="00930CB9"/>
    <w:rsid w:val="00931BC2"/>
    <w:rsid w:val="00934533"/>
    <w:rsid w:val="00940278"/>
    <w:rsid w:val="00943A3A"/>
    <w:rsid w:val="00943CD4"/>
    <w:rsid w:val="009440DC"/>
    <w:rsid w:val="0094415D"/>
    <w:rsid w:val="0094417A"/>
    <w:rsid w:val="00946770"/>
    <w:rsid w:val="00946BED"/>
    <w:rsid w:val="009472F1"/>
    <w:rsid w:val="00947C9D"/>
    <w:rsid w:val="00947CE0"/>
    <w:rsid w:val="009539DE"/>
    <w:rsid w:val="00953B7D"/>
    <w:rsid w:val="00954C08"/>
    <w:rsid w:val="00955096"/>
    <w:rsid w:val="00955326"/>
    <w:rsid w:val="0095671F"/>
    <w:rsid w:val="00957348"/>
    <w:rsid w:val="00957CC1"/>
    <w:rsid w:val="009611D1"/>
    <w:rsid w:val="00961AA6"/>
    <w:rsid w:val="00961BFA"/>
    <w:rsid w:val="009625CC"/>
    <w:rsid w:val="009631D3"/>
    <w:rsid w:val="009645DC"/>
    <w:rsid w:val="00965610"/>
    <w:rsid w:val="00965C04"/>
    <w:rsid w:val="00971D8F"/>
    <w:rsid w:val="0097410B"/>
    <w:rsid w:val="0097482C"/>
    <w:rsid w:val="00975B24"/>
    <w:rsid w:val="00977986"/>
    <w:rsid w:val="00980526"/>
    <w:rsid w:val="00981AE7"/>
    <w:rsid w:val="00981CA4"/>
    <w:rsid w:val="0098244B"/>
    <w:rsid w:val="00983141"/>
    <w:rsid w:val="009831A4"/>
    <w:rsid w:val="00984698"/>
    <w:rsid w:val="009863EF"/>
    <w:rsid w:val="00987428"/>
    <w:rsid w:val="00991368"/>
    <w:rsid w:val="00991C26"/>
    <w:rsid w:val="0099243E"/>
    <w:rsid w:val="00992688"/>
    <w:rsid w:val="009932A3"/>
    <w:rsid w:val="009A0475"/>
    <w:rsid w:val="009A18BC"/>
    <w:rsid w:val="009A2A76"/>
    <w:rsid w:val="009A32C8"/>
    <w:rsid w:val="009A3A30"/>
    <w:rsid w:val="009A502C"/>
    <w:rsid w:val="009B11D2"/>
    <w:rsid w:val="009B279A"/>
    <w:rsid w:val="009B29CD"/>
    <w:rsid w:val="009B323C"/>
    <w:rsid w:val="009B3319"/>
    <w:rsid w:val="009B6CC1"/>
    <w:rsid w:val="009C00B4"/>
    <w:rsid w:val="009C2130"/>
    <w:rsid w:val="009C2906"/>
    <w:rsid w:val="009C3F1A"/>
    <w:rsid w:val="009C4276"/>
    <w:rsid w:val="009C5E6D"/>
    <w:rsid w:val="009C76C9"/>
    <w:rsid w:val="009D178E"/>
    <w:rsid w:val="009D1CC2"/>
    <w:rsid w:val="009D3B60"/>
    <w:rsid w:val="009D6098"/>
    <w:rsid w:val="009E1036"/>
    <w:rsid w:val="009E18C5"/>
    <w:rsid w:val="009E251F"/>
    <w:rsid w:val="009E2905"/>
    <w:rsid w:val="009E2B24"/>
    <w:rsid w:val="009E350D"/>
    <w:rsid w:val="009E3728"/>
    <w:rsid w:val="009E48FC"/>
    <w:rsid w:val="009E51DA"/>
    <w:rsid w:val="009E6252"/>
    <w:rsid w:val="009E7E4E"/>
    <w:rsid w:val="009F5C2D"/>
    <w:rsid w:val="009F5C97"/>
    <w:rsid w:val="00A01810"/>
    <w:rsid w:val="00A030FA"/>
    <w:rsid w:val="00A0792E"/>
    <w:rsid w:val="00A11421"/>
    <w:rsid w:val="00A126AE"/>
    <w:rsid w:val="00A16BBF"/>
    <w:rsid w:val="00A16D82"/>
    <w:rsid w:val="00A175C3"/>
    <w:rsid w:val="00A20495"/>
    <w:rsid w:val="00A2053C"/>
    <w:rsid w:val="00A2066F"/>
    <w:rsid w:val="00A216A5"/>
    <w:rsid w:val="00A238AD"/>
    <w:rsid w:val="00A24997"/>
    <w:rsid w:val="00A24AA7"/>
    <w:rsid w:val="00A26D91"/>
    <w:rsid w:val="00A273E3"/>
    <w:rsid w:val="00A30BD9"/>
    <w:rsid w:val="00A31668"/>
    <w:rsid w:val="00A340D6"/>
    <w:rsid w:val="00A354A1"/>
    <w:rsid w:val="00A37885"/>
    <w:rsid w:val="00A37D6C"/>
    <w:rsid w:val="00A40A96"/>
    <w:rsid w:val="00A41BA9"/>
    <w:rsid w:val="00A420A1"/>
    <w:rsid w:val="00A421CB"/>
    <w:rsid w:val="00A430E7"/>
    <w:rsid w:val="00A43118"/>
    <w:rsid w:val="00A43A0D"/>
    <w:rsid w:val="00A44C9B"/>
    <w:rsid w:val="00A45A87"/>
    <w:rsid w:val="00A45C9F"/>
    <w:rsid w:val="00A468F9"/>
    <w:rsid w:val="00A46DE3"/>
    <w:rsid w:val="00A46EE6"/>
    <w:rsid w:val="00A479E6"/>
    <w:rsid w:val="00A52FE2"/>
    <w:rsid w:val="00A53657"/>
    <w:rsid w:val="00A53972"/>
    <w:rsid w:val="00A545F9"/>
    <w:rsid w:val="00A57D57"/>
    <w:rsid w:val="00A60599"/>
    <w:rsid w:val="00A60DA8"/>
    <w:rsid w:val="00A631D3"/>
    <w:rsid w:val="00A64E76"/>
    <w:rsid w:val="00A656C6"/>
    <w:rsid w:val="00A6589A"/>
    <w:rsid w:val="00A65F55"/>
    <w:rsid w:val="00A667BC"/>
    <w:rsid w:val="00A7032A"/>
    <w:rsid w:val="00A7032B"/>
    <w:rsid w:val="00A71019"/>
    <w:rsid w:val="00A71651"/>
    <w:rsid w:val="00A72CEB"/>
    <w:rsid w:val="00A735D6"/>
    <w:rsid w:val="00A74B9F"/>
    <w:rsid w:val="00A770AA"/>
    <w:rsid w:val="00A8068F"/>
    <w:rsid w:val="00A822B1"/>
    <w:rsid w:val="00A8437B"/>
    <w:rsid w:val="00A856EB"/>
    <w:rsid w:val="00A86096"/>
    <w:rsid w:val="00A87A81"/>
    <w:rsid w:val="00A93189"/>
    <w:rsid w:val="00A937F1"/>
    <w:rsid w:val="00A93F13"/>
    <w:rsid w:val="00A94A09"/>
    <w:rsid w:val="00A9511A"/>
    <w:rsid w:val="00A957D5"/>
    <w:rsid w:val="00A959D3"/>
    <w:rsid w:val="00A961E5"/>
    <w:rsid w:val="00A97082"/>
    <w:rsid w:val="00AA06D6"/>
    <w:rsid w:val="00AA2A65"/>
    <w:rsid w:val="00AA2B87"/>
    <w:rsid w:val="00AA478E"/>
    <w:rsid w:val="00AA4AB0"/>
    <w:rsid w:val="00AA5E80"/>
    <w:rsid w:val="00AA76EC"/>
    <w:rsid w:val="00AB040E"/>
    <w:rsid w:val="00AB21B2"/>
    <w:rsid w:val="00AB24E8"/>
    <w:rsid w:val="00AB39C4"/>
    <w:rsid w:val="00AB4371"/>
    <w:rsid w:val="00AB4675"/>
    <w:rsid w:val="00AB4BE3"/>
    <w:rsid w:val="00AB6137"/>
    <w:rsid w:val="00AB7088"/>
    <w:rsid w:val="00AC0BE5"/>
    <w:rsid w:val="00AC1159"/>
    <w:rsid w:val="00AC1917"/>
    <w:rsid w:val="00AC1B0A"/>
    <w:rsid w:val="00AC20FB"/>
    <w:rsid w:val="00AC26F4"/>
    <w:rsid w:val="00AC2881"/>
    <w:rsid w:val="00AC47CB"/>
    <w:rsid w:val="00AC50B9"/>
    <w:rsid w:val="00AC577C"/>
    <w:rsid w:val="00AC716C"/>
    <w:rsid w:val="00AC73C0"/>
    <w:rsid w:val="00AD026D"/>
    <w:rsid w:val="00AD1832"/>
    <w:rsid w:val="00AD2C83"/>
    <w:rsid w:val="00AD3602"/>
    <w:rsid w:val="00AD4110"/>
    <w:rsid w:val="00AD54C4"/>
    <w:rsid w:val="00AD66A9"/>
    <w:rsid w:val="00AD6BF7"/>
    <w:rsid w:val="00AD6C48"/>
    <w:rsid w:val="00AD7BB0"/>
    <w:rsid w:val="00AE0401"/>
    <w:rsid w:val="00AE0698"/>
    <w:rsid w:val="00AE0D06"/>
    <w:rsid w:val="00AE411B"/>
    <w:rsid w:val="00AE6AE0"/>
    <w:rsid w:val="00AE6C60"/>
    <w:rsid w:val="00AE75A7"/>
    <w:rsid w:val="00AE785C"/>
    <w:rsid w:val="00AE7A01"/>
    <w:rsid w:val="00AF189E"/>
    <w:rsid w:val="00AF430E"/>
    <w:rsid w:val="00AF4E4B"/>
    <w:rsid w:val="00AF4E8A"/>
    <w:rsid w:val="00AF658F"/>
    <w:rsid w:val="00AF7655"/>
    <w:rsid w:val="00AF7CA9"/>
    <w:rsid w:val="00B00EAD"/>
    <w:rsid w:val="00B0148D"/>
    <w:rsid w:val="00B014E7"/>
    <w:rsid w:val="00B017A3"/>
    <w:rsid w:val="00B0380A"/>
    <w:rsid w:val="00B053D9"/>
    <w:rsid w:val="00B05844"/>
    <w:rsid w:val="00B05A9A"/>
    <w:rsid w:val="00B05C6A"/>
    <w:rsid w:val="00B06A84"/>
    <w:rsid w:val="00B07382"/>
    <w:rsid w:val="00B076D2"/>
    <w:rsid w:val="00B1070D"/>
    <w:rsid w:val="00B10DB0"/>
    <w:rsid w:val="00B1141D"/>
    <w:rsid w:val="00B155F8"/>
    <w:rsid w:val="00B1625D"/>
    <w:rsid w:val="00B16FD7"/>
    <w:rsid w:val="00B17E5A"/>
    <w:rsid w:val="00B21260"/>
    <w:rsid w:val="00B21C55"/>
    <w:rsid w:val="00B21E50"/>
    <w:rsid w:val="00B23F92"/>
    <w:rsid w:val="00B250B2"/>
    <w:rsid w:val="00B25E8E"/>
    <w:rsid w:val="00B30B6E"/>
    <w:rsid w:val="00B32319"/>
    <w:rsid w:val="00B32DFA"/>
    <w:rsid w:val="00B332B3"/>
    <w:rsid w:val="00B350A7"/>
    <w:rsid w:val="00B36790"/>
    <w:rsid w:val="00B376E3"/>
    <w:rsid w:val="00B40784"/>
    <w:rsid w:val="00B42E6E"/>
    <w:rsid w:val="00B4395B"/>
    <w:rsid w:val="00B43CF4"/>
    <w:rsid w:val="00B457A5"/>
    <w:rsid w:val="00B461DB"/>
    <w:rsid w:val="00B4795A"/>
    <w:rsid w:val="00B51BA3"/>
    <w:rsid w:val="00B52D36"/>
    <w:rsid w:val="00B532A4"/>
    <w:rsid w:val="00B53414"/>
    <w:rsid w:val="00B53E9F"/>
    <w:rsid w:val="00B56376"/>
    <w:rsid w:val="00B56668"/>
    <w:rsid w:val="00B57935"/>
    <w:rsid w:val="00B60428"/>
    <w:rsid w:val="00B62A26"/>
    <w:rsid w:val="00B649DE"/>
    <w:rsid w:val="00B64BD3"/>
    <w:rsid w:val="00B66567"/>
    <w:rsid w:val="00B70F6F"/>
    <w:rsid w:val="00B712F5"/>
    <w:rsid w:val="00B7229D"/>
    <w:rsid w:val="00B73FF8"/>
    <w:rsid w:val="00B7525E"/>
    <w:rsid w:val="00B77B52"/>
    <w:rsid w:val="00B83A28"/>
    <w:rsid w:val="00B8417F"/>
    <w:rsid w:val="00B86BAE"/>
    <w:rsid w:val="00B90728"/>
    <w:rsid w:val="00B919EE"/>
    <w:rsid w:val="00B92494"/>
    <w:rsid w:val="00B934BF"/>
    <w:rsid w:val="00B95D26"/>
    <w:rsid w:val="00B95D7B"/>
    <w:rsid w:val="00B96135"/>
    <w:rsid w:val="00B978F5"/>
    <w:rsid w:val="00B97B30"/>
    <w:rsid w:val="00BA21B2"/>
    <w:rsid w:val="00BA3A73"/>
    <w:rsid w:val="00BA3ED1"/>
    <w:rsid w:val="00BA48E1"/>
    <w:rsid w:val="00BA6C1A"/>
    <w:rsid w:val="00BB0834"/>
    <w:rsid w:val="00BB1778"/>
    <w:rsid w:val="00BB22A2"/>
    <w:rsid w:val="00BB3984"/>
    <w:rsid w:val="00BB41BB"/>
    <w:rsid w:val="00BB609C"/>
    <w:rsid w:val="00BB6F0A"/>
    <w:rsid w:val="00BC0208"/>
    <w:rsid w:val="00BC0B1A"/>
    <w:rsid w:val="00BC2526"/>
    <w:rsid w:val="00BC2759"/>
    <w:rsid w:val="00BC448F"/>
    <w:rsid w:val="00BC478C"/>
    <w:rsid w:val="00BC4B9D"/>
    <w:rsid w:val="00BC5BD9"/>
    <w:rsid w:val="00BD01A4"/>
    <w:rsid w:val="00BD2E52"/>
    <w:rsid w:val="00BD4658"/>
    <w:rsid w:val="00BD657F"/>
    <w:rsid w:val="00BE0E30"/>
    <w:rsid w:val="00BE1307"/>
    <w:rsid w:val="00BE2CFF"/>
    <w:rsid w:val="00BE3BCC"/>
    <w:rsid w:val="00BF0542"/>
    <w:rsid w:val="00BF0C28"/>
    <w:rsid w:val="00BF4887"/>
    <w:rsid w:val="00BF55C2"/>
    <w:rsid w:val="00BF7662"/>
    <w:rsid w:val="00C00703"/>
    <w:rsid w:val="00C03BC8"/>
    <w:rsid w:val="00C05402"/>
    <w:rsid w:val="00C05E0A"/>
    <w:rsid w:val="00C074D0"/>
    <w:rsid w:val="00C104E0"/>
    <w:rsid w:val="00C10851"/>
    <w:rsid w:val="00C12178"/>
    <w:rsid w:val="00C12409"/>
    <w:rsid w:val="00C132E0"/>
    <w:rsid w:val="00C133EC"/>
    <w:rsid w:val="00C149CF"/>
    <w:rsid w:val="00C149E5"/>
    <w:rsid w:val="00C14B11"/>
    <w:rsid w:val="00C14F64"/>
    <w:rsid w:val="00C15AC9"/>
    <w:rsid w:val="00C16D25"/>
    <w:rsid w:val="00C20E72"/>
    <w:rsid w:val="00C21EFA"/>
    <w:rsid w:val="00C22F22"/>
    <w:rsid w:val="00C24871"/>
    <w:rsid w:val="00C253E0"/>
    <w:rsid w:val="00C2567F"/>
    <w:rsid w:val="00C256E2"/>
    <w:rsid w:val="00C25DC5"/>
    <w:rsid w:val="00C27271"/>
    <w:rsid w:val="00C311A5"/>
    <w:rsid w:val="00C327D4"/>
    <w:rsid w:val="00C3412B"/>
    <w:rsid w:val="00C37EA3"/>
    <w:rsid w:val="00C418CF"/>
    <w:rsid w:val="00C41B9F"/>
    <w:rsid w:val="00C42FE0"/>
    <w:rsid w:val="00C43D5A"/>
    <w:rsid w:val="00C4599C"/>
    <w:rsid w:val="00C45DDE"/>
    <w:rsid w:val="00C4603C"/>
    <w:rsid w:val="00C47739"/>
    <w:rsid w:val="00C506B3"/>
    <w:rsid w:val="00C50C3E"/>
    <w:rsid w:val="00C513AD"/>
    <w:rsid w:val="00C52728"/>
    <w:rsid w:val="00C53275"/>
    <w:rsid w:val="00C56A35"/>
    <w:rsid w:val="00C602AD"/>
    <w:rsid w:val="00C618D6"/>
    <w:rsid w:val="00C6261E"/>
    <w:rsid w:val="00C62A00"/>
    <w:rsid w:val="00C62AB7"/>
    <w:rsid w:val="00C62AD2"/>
    <w:rsid w:val="00C63710"/>
    <w:rsid w:val="00C64D33"/>
    <w:rsid w:val="00C6670D"/>
    <w:rsid w:val="00C6730E"/>
    <w:rsid w:val="00C67815"/>
    <w:rsid w:val="00C709F8"/>
    <w:rsid w:val="00C72FC2"/>
    <w:rsid w:val="00C731EE"/>
    <w:rsid w:val="00C73678"/>
    <w:rsid w:val="00C745D4"/>
    <w:rsid w:val="00C76168"/>
    <w:rsid w:val="00C8117B"/>
    <w:rsid w:val="00C81797"/>
    <w:rsid w:val="00C81F42"/>
    <w:rsid w:val="00C820CD"/>
    <w:rsid w:val="00C84A0A"/>
    <w:rsid w:val="00C86340"/>
    <w:rsid w:val="00C86A21"/>
    <w:rsid w:val="00C903C6"/>
    <w:rsid w:val="00C914D1"/>
    <w:rsid w:val="00C91F22"/>
    <w:rsid w:val="00C92D9C"/>
    <w:rsid w:val="00C93E23"/>
    <w:rsid w:val="00C9423F"/>
    <w:rsid w:val="00C95A47"/>
    <w:rsid w:val="00C96F11"/>
    <w:rsid w:val="00CA03EF"/>
    <w:rsid w:val="00CA5AEA"/>
    <w:rsid w:val="00CA6D45"/>
    <w:rsid w:val="00CB0BC7"/>
    <w:rsid w:val="00CB2645"/>
    <w:rsid w:val="00CB3B2B"/>
    <w:rsid w:val="00CB3D7E"/>
    <w:rsid w:val="00CC04DB"/>
    <w:rsid w:val="00CC1BA1"/>
    <w:rsid w:val="00CC26B0"/>
    <w:rsid w:val="00CC2708"/>
    <w:rsid w:val="00CC2B60"/>
    <w:rsid w:val="00CC44A6"/>
    <w:rsid w:val="00CC4710"/>
    <w:rsid w:val="00CC5A71"/>
    <w:rsid w:val="00CC60B5"/>
    <w:rsid w:val="00CD1E6C"/>
    <w:rsid w:val="00CD219D"/>
    <w:rsid w:val="00CD2C8F"/>
    <w:rsid w:val="00CD31E7"/>
    <w:rsid w:val="00CD33F6"/>
    <w:rsid w:val="00CD40C9"/>
    <w:rsid w:val="00CD5F82"/>
    <w:rsid w:val="00CD7A2F"/>
    <w:rsid w:val="00CE1F4E"/>
    <w:rsid w:val="00CE24B3"/>
    <w:rsid w:val="00CE2560"/>
    <w:rsid w:val="00CE3335"/>
    <w:rsid w:val="00CE38C6"/>
    <w:rsid w:val="00CE4650"/>
    <w:rsid w:val="00CE7BBD"/>
    <w:rsid w:val="00CF043B"/>
    <w:rsid w:val="00CF059D"/>
    <w:rsid w:val="00CF1945"/>
    <w:rsid w:val="00CF211F"/>
    <w:rsid w:val="00CF62AC"/>
    <w:rsid w:val="00D02558"/>
    <w:rsid w:val="00D039ED"/>
    <w:rsid w:val="00D03C33"/>
    <w:rsid w:val="00D0494A"/>
    <w:rsid w:val="00D06308"/>
    <w:rsid w:val="00D0695D"/>
    <w:rsid w:val="00D1105B"/>
    <w:rsid w:val="00D111BD"/>
    <w:rsid w:val="00D1378F"/>
    <w:rsid w:val="00D14A75"/>
    <w:rsid w:val="00D17C3A"/>
    <w:rsid w:val="00D208B7"/>
    <w:rsid w:val="00D20C90"/>
    <w:rsid w:val="00D22312"/>
    <w:rsid w:val="00D22406"/>
    <w:rsid w:val="00D22C14"/>
    <w:rsid w:val="00D22EC2"/>
    <w:rsid w:val="00D238DA"/>
    <w:rsid w:val="00D2579C"/>
    <w:rsid w:val="00D26BCA"/>
    <w:rsid w:val="00D2774E"/>
    <w:rsid w:val="00D300CF"/>
    <w:rsid w:val="00D34595"/>
    <w:rsid w:val="00D350D8"/>
    <w:rsid w:val="00D35266"/>
    <w:rsid w:val="00D37887"/>
    <w:rsid w:val="00D3799B"/>
    <w:rsid w:val="00D37B09"/>
    <w:rsid w:val="00D40864"/>
    <w:rsid w:val="00D41D9B"/>
    <w:rsid w:val="00D420D3"/>
    <w:rsid w:val="00D43464"/>
    <w:rsid w:val="00D44610"/>
    <w:rsid w:val="00D44F17"/>
    <w:rsid w:val="00D44F9F"/>
    <w:rsid w:val="00D472EA"/>
    <w:rsid w:val="00D473D2"/>
    <w:rsid w:val="00D51BEC"/>
    <w:rsid w:val="00D52851"/>
    <w:rsid w:val="00D5311A"/>
    <w:rsid w:val="00D53900"/>
    <w:rsid w:val="00D54B94"/>
    <w:rsid w:val="00D5591E"/>
    <w:rsid w:val="00D56EEC"/>
    <w:rsid w:val="00D61948"/>
    <w:rsid w:val="00D62CA7"/>
    <w:rsid w:val="00D63313"/>
    <w:rsid w:val="00D63740"/>
    <w:rsid w:val="00D63C5F"/>
    <w:rsid w:val="00D65020"/>
    <w:rsid w:val="00D651B9"/>
    <w:rsid w:val="00D6551D"/>
    <w:rsid w:val="00D664F3"/>
    <w:rsid w:val="00D67485"/>
    <w:rsid w:val="00D710DA"/>
    <w:rsid w:val="00D71F70"/>
    <w:rsid w:val="00D72401"/>
    <w:rsid w:val="00D73016"/>
    <w:rsid w:val="00D74205"/>
    <w:rsid w:val="00D7436F"/>
    <w:rsid w:val="00D75258"/>
    <w:rsid w:val="00D80FA1"/>
    <w:rsid w:val="00D81544"/>
    <w:rsid w:val="00D82C27"/>
    <w:rsid w:val="00D86703"/>
    <w:rsid w:val="00D877BF"/>
    <w:rsid w:val="00D87FE4"/>
    <w:rsid w:val="00D93959"/>
    <w:rsid w:val="00D93FBE"/>
    <w:rsid w:val="00D96D21"/>
    <w:rsid w:val="00D97A9D"/>
    <w:rsid w:val="00DA2EC4"/>
    <w:rsid w:val="00DA58C6"/>
    <w:rsid w:val="00DA6441"/>
    <w:rsid w:val="00DB1003"/>
    <w:rsid w:val="00DB1A75"/>
    <w:rsid w:val="00DB1B39"/>
    <w:rsid w:val="00DB39A2"/>
    <w:rsid w:val="00DB580E"/>
    <w:rsid w:val="00DB5A58"/>
    <w:rsid w:val="00DB5FEC"/>
    <w:rsid w:val="00DB65F5"/>
    <w:rsid w:val="00DB666B"/>
    <w:rsid w:val="00DC061B"/>
    <w:rsid w:val="00DC1286"/>
    <w:rsid w:val="00DC1458"/>
    <w:rsid w:val="00DC168B"/>
    <w:rsid w:val="00DC17A0"/>
    <w:rsid w:val="00DC20BF"/>
    <w:rsid w:val="00DC21F7"/>
    <w:rsid w:val="00DC339E"/>
    <w:rsid w:val="00DC48E7"/>
    <w:rsid w:val="00DC4E45"/>
    <w:rsid w:val="00DC5FFB"/>
    <w:rsid w:val="00DC660D"/>
    <w:rsid w:val="00DC6636"/>
    <w:rsid w:val="00DC6684"/>
    <w:rsid w:val="00DC7E61"/>
    <w:rsid w:val="00DD17FE"/>
    <w:rsid w:val="00DD32BF"/>
    <w:rsid w:val="00DD3B13"/>
    <w:rsid w:val="00DD4A1A"/>
    <w:rsid w:val="00DD59D5"/>
    <w:rsid w:val="00DD61D3"/>
    <w:rsid w:val="00DD6BD4"/>
    <w:rsid w:val="00DE007A"/>
    <w:rsid w:val="00DE04C5"/>
    <w:rsid w:val="00DE3488"/>
    <w:rsid w:val="00DE473B"/>
    <w:rsid w:val="00DE4CE3"/>
    <w:rsid w:val="00DE7573"/>
    <w:rsid w:val="00DF03EC"/>
    <w:rsid w:val="00DF0C21"/>
    <w:rsid w:val="00DF2AEB"/>
    <w:rsid w:val="00DF2E46"/>
    <w:rsid w:val="00DF37A1"/>
    <w:rsid w:val="00DF53B8"/>
    <w:rsid w:val="00DF5E35"/>
    <w:rsid w:val="00DF68FB"/>
    <w:rsid w:val="00DF7318"/>
    <w:rsid w:val="00DF7607"/>
    <w:rsid w:val="00E009E0"/>
    <w:rsid w:val="00E014EB"/>
    <w:rsid w:val="00E01C72"/>
    <w:rsid w:val="00E01EBA"/>
    <w:rsid w:val="00E10247"/>
    <w:rsid w:val="00E10A67"/>
    <w:rsid w:val="00E10CFE"/>
    <w:rsid w:val="00E12B59"/>
    <w:rsid w:val="00E13608"/>
    <w:rsid w:val="00E145AA"/>
    <w:rsid w:val="00E15133"/>
    <w:rsid w:val="00E2175D"/>
    <w:rsid w:val="00E21803"/>
    <w:rsid w:val="00E22373"/>
    <w:rsid w:val="00E2321C"/>
    <w:rsid w:val="00E23647"/>
    <w:rsid w:val="00E23A67"/>
    <w:rsid w:val="00E267AF"/>
    <w:rsid w:val="00E26B99"/>
    <w:rsid w:val="00E276C6"/>
    <w:rsid w:val="00E27AD9"/>
    <w:rsid w:val="00E3018A"/>
    <w:rsid w:val="00E32311"/>
    <w:rsid w:val="00E34A0D"/>
    <w:rsid w:val="00E35C7E"/>
    <w:rsid w:val="00E35EE2"/>
    <w:rsid w:val="00E3676D"/>
    <w:rsid w:val="00E4137A"/>
    <w:rsid w:val="00E4143F"/>
    <w:rsid w:val="00E42FCA"/>
    <w:rsid w:val="00E4485D"/>
    <w:rsid w:val="00E520AF"/>
    <w:rsid w:val="00E553E5"/>
    <w:rsid w:val="00E56A0A"/>
    <w:rsid w:val="00E5729F"/>
    <w:rsid w:val="00E61229"/>
    <w:rsid w:val="00E61490"/>
    <w:rsid w:val="00E62416"/>
    <w:rsid w:val="00E62DB9"/>
    <w:rsid w:val="00E6350F"/>
    <w:rsid w:val="00E64314"/>
    <w:rsid w:val="00E64A35"/>
    <w:rsid w:val="00E64B43"/>
    <w:rsid w:val="00E6783F"/>
    <w:rsid w:val="00E70A6C"/>
    <w:rsid w:val="00E70EF3"/>
    <w:rsid w:val="00E71B4B"/>
    <w:rsid w:val="00E74D83"/>
    <w:rsid w:val="00E75FD3"/>
    <w:rsid w:val="00E761DF"/>
    <w:rsid w:val="00E82741"/>
    <w:rsid w:val="00E833F1"/>
    <w:rsid w:val="00E85E79"/>
    <w:rsid w:val="00E861F6"/>
    <w:rsid w:val="00E92353"/>
    <w:rsid w:val="00E93CFA"/>
    <w:rsid w:val="00E952F6"/>
    <w:rsid w:val="00E95304"/>
    <w:rsid w:val="00E96399"/>
    <w:rsid w:val="00EA0527"/>
    <w:rsid w:val="00EA1277"/>
    <w:rsid w:val="00EA1954"/>
    <w:rsid w:val="00EA277E"/>
    <w:rsid w:val="00EA2AF4"/>
    <w:rsid w:val="00EA7994"/>
    <w:rsid w:val="00EB0A76"/>
    <w:rsid w:val="00EB1D3C"/>
    <w:rsid w:val="00EB2235"/>
    <w:rsid w:val="00EB42B7"/>
    <w:rsid w:val="00EB54F1"/>
    <w:rsid w:val="00EB677F"/>
    <w:rsid w:val="00EC2BF3"/>
    <w:rsid w:val="00EC3E5F"/>
    <w:rsid w:val="00EC4A12"/>
    <w:rsid w:val="00EC5F1B"/>
    <w:rsid w:val="00EC6652"/>
    <w:rsid w:val="00ED0D68"/>
    <w:rsid w:val="00ED2A9E"/>
    <w:rsid w:val="00ED2BB4"/>
    <w:rsid w:val="00ED557D"/>
    <w:rsid w:val="00ED6327"/>
    <w:rsid w:val="00ED6EEC"/>
    <w:rsid w:val="00ED7ECF"/>
    <w:rsid w:val="00EE0C4A"/>
    <w:rsid w:val="00EE649C"/>
    <w:rsid w:val="00EE6E16"/>
    <w:rsid w:val="00EF24FB"/>
    <w:rsid w:val="00EF33B1"/>
    <w:rsid w:val="00EF3863"/>
    <w:rsid w:val="00EF3F64"/>
    <w:rsid w:val="00EF50A5"/>
    <w:rsid w:val="00EF5CF2"/>
    <w:rsid w:val="00EF6135"/>
    <w:rsid w:val="00EF786A"/>
    <w:rsid w:val="00F029B7"/>
    <w:rsid w:val="00F04BDA"/>
    <w:rsid w:val="00F05603"/>
    <w:rsid w:val="00F062A7"/>
    <w:rsid w:val="00F07121"/>
    <w:rsid w:val="00F10204"/>
    <w:rsid w:val="00F11C8A"/>
    <w:rsid w:val="00F125EE"/>
    <w:rsid w:val="00F14E1E"/>
    <w:rsid w:val="00F17839"/>
    <w:rsid w:val="00F220F3"/>
    <w:rsid w:val="00F22235"/>
    <w:rsid w:val="00F23B6D"/>
    <w:rsid w:val="00F25A0D"/>
    <w:rsid w:val="00F26AE5"/>
    <w:rsid w:val="00F26D67"/>
    <w:rsid w:val="00F309AB"/>
    <w:rsid w:val="00F31A98"/>
    <w:rsid w:val="00F326AF"/>
    <w:rsid w:val="00F32A72"/>
    <w:rsid w:val="00F33CC8"/>
    <w:rsid w:val="00F3533E"/>
    <w:rsid w:val="00F357FA"/>
    <w:rsid w:val="00F361EA"/>
    <w:rsid w:val="00F3715D"/>
    <w:rsid w:val="00F37F7C"/>
    <w:rsid w:val="00F40500"/>
    <w:rsid w:val="00F41EFD"/>
    <w:rsid w:val="00F43F8E"/>
    <w:rsid w:val="00F46100"/>
    <w:rsid w:val="00F46BF4"/>
    <w:rsid w:val="00F516DB"/>
    <w:rsid w:val="00F5283F"/>
    <w:rsid w:val="00F5447D"/>
    <w:rsid w:val="00F54F11"/>
    <w:rsid w:val="00F5553D"/>
    <w:rsid w:val="00F5746D"/>
    <w:rsid w:val="00F5765E"/>
    <w:rsid w:val="00F61E56"/>
    <w:rsid w:val="00F6338A"/>
    <w:rsid w:val="00F6370F"/>
    <w:rsid w:val="00F64142"/>
    <w:rsid w:val="00F73B6D"/>
    <w:rsid w:val="00F74D82"/>
    <w:rsid w:val="00F775D6"/>
    <w:rsid w:val="00F80609"/>
    <w:rsid w:val="00F81A00"/>
    <w:rsid w:val="00F83CF4"/>
    <w:rsid w:val="00F8506F"/>
    <w:rsid w:val="00F85ADB"/>
    <w:rsid w:val="00F85C36"/>
    <w:rsid w:val="00F87E45"/>
    <w:rsid w:val="00F92866"/>
    <w:rsid w:val="00F9409F"/>
    <w:rsid w:val="00F94700"/>
    <w:rsid w:val="00F94A30"/>
    <w:rsid w:val="00F9594A"/>
    <w:rsid w:val="00F960E9"/>
    <w:rsid w:val="00F974E7"/>
    <w:rsid w:val="00F97ABF"/>
    <w:rsid w:val="00FA1857"/>
    <w:rsid w:val="00FA2E1A"/>
    <w:rsid w:val="00FA4B25"/>
    <w:rsid w:val="00FA6938"/>
    <w:rsid w:val="00FA7128"/>
    <w:rsid w:val="00FA756F"/>
    <w:rsid w:val="00FA77ED"/>
    <w:rsid w:val="00FB14CE"/>
    <w:rsid w:val="00FB18E5"/>
    <w:rsid w:val="00FB264F"/>
    <w:rsid w:val="00FB5129"/>
    <w:rsid w:val="00FB7569"/>
    <w:rsid w:val="00FC01A6"/>
    <w:rsid w:val="00FC02F2"/>
    <w:rsid w:val="00FC0F64"/>
    <w:rsid w:val="00FC17A2"/>
    <w:rsid w:val="00FC1A43"/>
    <w:rsid w:val="00FC27AA"/>
    <w:rsid w:val="00FC53B4"/>
    <w:rsid w:val="00FC53FA"/>
    <w:rsid w:val="00FC5695"/>
    <w:rsid w:val="00FC6501"/>
    <w:rsid w:val="00FC7A27"/>
    <w:rsid w:val="00FD0AAD"/>
    <w:rsid w:val="00FD0F4A"/>
    <w:rsid w:val="00FD125C"/>
    <w:rsid w:val="00FD12C7"/>
    <w:rsid w:val="00FD2275"/>
    <w:rsid w:val="00FD753B"/>
    <w:rsid w:val="00FE16C6"/>
    <w:rsid w:val="00FE1878"/>
    <w:rsid w:val="00FE2ABC"/>
    <w:rsid w:val="00FE3893"/>
    <w:rsid w:val="00FE3E20"/>
    <w:rsid w:val="00FE3E96"/>
    <w:rsid w:val="00FE59D5"/>
    <w:rsid w:val="00FE5F84"/>
    <w:rsid w:val="00FE6322"/>
    <w:rsid w:val="00FE6909"/>
    <w:rsid w:val="00FE6E94"/>
    <w:rsid w:val="00FE79F1"/>
    <w:rsid w:val="00FF38C6"/>
    <w:rsid w:val="00FF68E7"/>
    <w:rsid w:val="36A1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820" w:hanging="360"/>
    </w:pPr>
    <w:rPr>
      <w:rFonts w:ascii="Times New Roman" w:hAnsi="Times New Roman" w:eastAsia="Times New Roman"/>
      <w:sz w:val="24"/>
      <w:szCs w:val="24"/>
    </w:rPr>
  </w:style>
  <w:style w:type="paragraph" w:styleId="3">
    <w:name w:val="Balloon Text"/>
    <w:basedOn w:val="1"/>
    <w:link w:val="20"/>
    <w:semiHidden/>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nhideWhenUsed/>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目录 11"/>
    <w:basedOn w:val="1"/>
    <w:qFormat/>
    <w:uiPriority w:val="1"/>
    <w:pPr>
      <w:spacing w:before="144"/>
      <w:ind w:left="3"/>
    </w:pPr>
    <w:rPr>
      <w:rFonts w:ascii="Times New Roman" w:hAnsi="Times New Roman" w:eastAsia="Times New Roman"/>
      <w:sz w:val="24"/>
      <w:szCs w:val="24"/>
    </w:rPr>
  </w:style>
  <w:style w:type="paragraph" w:customStyle="1" w:styleId="13">
    <w:name w:val="目录 21"/>
    <w:basedOn w:val="1"/>
    <w:qFormat/>
    <w:uiPriority w:val="1"/>
    <w:pPr>
      <w:spacing w:before="144"/>
      <w:ind w:left="119"/>
    </w:pPr>
    <w:rPr>
      <w:rFonts w:ascii="Times New Roman" w:hAnsi="Times New Roman" w:eastAsia="Times New Roman"/>
      <w:sz w:val="24"/>
      <w:szCs w:val="24"/>
    </w:rPr>
  </w:style>
  <w:style w:type="paragraph" w:customStyle="1" w:styleId="14">
    <w:name w:val="目录 31"/>
    <w:basedOn w:val="1"/>
    <w:qFormat/>
    <w:uiPriority w:val="1"/>
    <w:pPr>
      <w:spacing w:before="144"/>
      <w:ind w:left="838" w:hanging="480"/>
    </w:pPr>
    <w:rPr>
      <w:rFonts w:ascii="Times New Roman" w:hAnsi="Times New Roman" w:eastAsia="Times New Roman"/>
      <w:sz w:val="24"/>
      <w:szCs w:val="24"/>
    </w:rPr>
  </w:style>
  <w:style w:type="paragraph" w:customStyle="1" w:styleId="15">
    <w:name w:val="目录 41"/>
    <w:basedOn w:val="1"/>
    <w:qFormat/>
    <w:uiPriority w:val="1"/>
    <w:pPr>
      <w:spacing w:before="129"/>
      <w:ind w:left="1078" w:hanging="480"/>
    </w:pPr>
    <w:rPr>
      <w:rFonts w:ascii="Times New Roman" w:hAnsi="Times New Roman" w:eastAsia="Times New Roman"/>
      <w:sz w:val="24"/>
      <w:szCs w:val="24"/>
    </w:rPr>
  </w:style>
  <w:style w:type="paragraph" w:customStyle="1" w:styleId="16">
    <w:name w:val="标题 11"/>
    <w:basedOn w:val="1"/>
    <w:qFormat/>
    <w:uiPriority w:val="1"/>
    <w:pPr>
      <w:spacing w:before="27"/>
      <w:ind w:left="100"/>
      <w:outlineLvl w:val="1"/>
    </w:pPr>
    <w:rPr>
      <w:rFonts w:ascii="Times New Roman" w:hAnsi="Times New Roman" w:eastAsia="Times New Roman"/>
      <w:b/>
      <w:bCs/>
      <w:sz w:val="48"/>
      <w:szCs w:val="48"/>
    </w:rPr>
  </w:style>
  <w:style w:type="paragraph" w:customStyle="1" w:styleId="17">
    <w:name w:val="标题 21"/>
    <w:basedOn w:val="1"/>
    <w:qFormat/>
    <w:uiPriority w:val="1"/>
    <w:pPr>
      <w:ind w:left="1250" w:hanging="360"/>
      <w:outlineLvl w:val="2"/>
    </w:pPr>
    <w:rPr>
      <w:rFonts w:ascii="Times New Roman" w:hAnsi="Times New Roman" w:eastAsia="Times New Roman"/>
      <w:b/>
      <w:bCs/>
      <w:sz w:val="24"/>
      <w:szCs w:val="24"/>
    </w:r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批注框文本 Char"/>
    <w:basedOn w:val="8"/>
    <w:link w:val="3"/>
    <w:semiHidden/>
    <w:qFormat/>
    <w:uiPriority w:val="99"/>
    <w:rPr>
      <w:sz w:val="18"/>
      <w:szCs w:val="18"/>
    </w:rPr>
  </w:style>
  <w:style w:type="character" w:customStyle="1" w:styleId="21">
    <w:name w:val="页眉 Char"/>
    <w:basedOn w:val="8"/>
    <w:link w:val="5"/>
    <w:uiPriority w:val="99"/>
    <w:rPr>
      <w:sz w:val="18"/>
      <w:szCs w:val="18"/>
    </w:rPr>
  </w:style>
  <w:style w:type="character" w:customStyle="1" w:styleId="22">
    <w:name w:val="页脚 Char"/>
    <w:basedOn w:val="8"/>
    <w:link w:val="4"/>
    <w:qFormat/>
    <w:uiPriority w:val="99"/>
    <w:rPr>
      <w:sz w:val="18"/>
      <w:szCs w:val="18"/>
    </w:rPr>
  </w:style>
  <w:style w:type="character" w:customStyle="1" w:styleId="23">
    <w:name w:val="apple-converted-space"/>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CC2A96-A1DC-4C09-80EA-309BA07CEF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15211</Words>
  <Characters>17041</Characters>
  <Lines>135</Lines>
  <Paragraphs>38</Paragraphs>
  <TotalTime>1</TotalTime>
  <ScaleCrop>false</ScaleCrop>
  <LinksUpToDate>false</LinksUpToDate>
  <CharactersWithSpaces>17290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2017-12-18T10:58:00Z</dcterms:created>
  <dc:creator>Author: ODE</dc:creator>
  <cp:keywords>Posted: 06-17-2002, pelvic, adhesions</cp:keywords>
  <cp:lastModifiedBy>太极箫客</cp:lastModifiedBy>
  <dcterms:modified xsi:type="dcterms:W3CDTF">2025-08-14T06:44:33Z</dcterms:modified>
  <dc:subject>Issued: 06-17-2002</dc:subject>
  <dc:title>Guidance for Resorbable Adhesion Barrier Devices for Use in Abdominal and/or Pelic Surgery; Guidance for Industry</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2002-06-13T00:00:00Z</vt:filetime>
  </property>
  <property fmtid="{D5CDD505-2E9C-101B-9397-08002B2CF9AE}" pid="3" name="LastSaved">
    <vt:filetime>2017-10-17T00:00:00Z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EA5C303AFF5144E2A1FFEAC75834F756_12</vt:lpwstr>
  </property>
</Properties>
</file>