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74FA2">
      <w:pPr>
        <w:pBdr>
          <w:bottom w:val="single" w:color="auto" w:sz="4" w:space="1"/>
        </w:pBdr>
        <w:topLinePunct/>
        <w:adjustRightInd w:val="0"/>
        <w:snapToGrid w:val="0"/>
        <w:spacing w:after="234" w:afterLines="75" w:line="288" w:lineRule="auto"/>
        <w:jc w:val="center"/>
        <w:rPr>
          <w:rFonts w:ascii="Arial" w:hAnsi="Arial" w:eastAsia="宋体" w:cs="Arial"/>
          <w:b/>
          <w:snapToGrid w:val="0"/>
          <w:kern w:val="0"/>
          <w:sz w:val="52"/>
          <w:szCs w:val="52"/>
        </w:rPr>
      </w:pPr>
      <w:bookmarkStart w:id="14" w:name="_GoBack"/>
      <w:bookmarkEnd w:id="14"/>
      <w:r>
        <w:rPr>
          <w:rFonts w:hint="eastAsia" w:ascii="Arial" w:hAnsi="Arial" w:eastAsia="宋体" w:cs="Arial"/>
          <w:b/>
          <w:snapToGrid w:val="0"/>
          <w:kern w:val="0"/>
          <w:sz w:val="52"/>
          <w:szCs w:val="52"/>
        </w:rPr>
        <w:t>即时生效指导性文件：空气传导助听器销售条件</w:t>
      </w:r>
    </w:p>
    <w:p w14:paraId="47FB44AA">
      <w:pPr>
        <w:topLinePunct/>
        <w:adjustRightInd w:val="0"/>
        <w:snapToGrid w:val="0"/>
        <w:spacing w:after="234" w:afterLines="75" w:line="288" w:lineRule="auto"/>
        <w:jc w:val="center"/>
        <w:rPr>
          <w:rFonts w:ascii="Arial" w:hAnsi="Arial" w:eastAsia="宋体" w:cs="Arial"/>
          <w:b/>
          <w:snapToGrid w:val="0"/>
          <w:kern w:val="0"/>
          <w:sz w:val="52"/>
          <w:szCs w:val="52"/>
        </w:rPr>
      </w:pPr>
      <w:r>
        <w:rPr>
          <w:rFonts w:hint="eastAsia" w:ascii="Arial" w:hAnsi="Arial" w:eastAsia="宋体" w:cs="Arial"/>
          <w:b/>
          <w:snapToGrid w:val="0"/>
          <w:kern w:val="0"/>
          <w:sz w:val="52"/>
          <w:szCs w:val="52"/>
        </w:rPr>
        <w:t>行业和FDA工作人员指南</w:t>
      </w:r>
    </w:p>
    <w:p w14:paraId="5B4DA4CF">
      <w:pPr>
        <w:topLinePunct/>
        <w:adjustRightInd w:val="0"/>
        <w:snapToGrid w:val="0"/>
        <w:spacing w:after="234" w:afterLines="75" w:line="288" w:lineRule="auto"/>
        <w:jc w:val="center"/>
        <w:rPr>
          <w:rFonts w:ascii="Arial" w:hAnsi="Arial" w:eastAsia="宋体" w:cs="Arial"/>
          <w:b/>
          <w:snapToGrid w:val="0"/>
          <w:kern w:val="0"/>
          <w:sz w:val="24"/>
        </w:rPr>
      </w:pPr>
    </w:p>
    <w:p w14:paraId="79842A47">
      <w:pPr>
        <w:topLinePunct/>
        <w:adjustRightInd w:val="0"/>
        <w:snapToGrid w:val="0"/>
        <w:spacing w:after="234" w:afterLines="75" w:line="288" w:lineRule="auto"/>
        <w:jc w:val="center"/>
        <w:rPr>
          <w:rFonts w:ascii="Arial" w:hAnsi="Arial" w:eastAsia="宋体" w:cs="Arial"/>
          <w:b/>
          <w:snapToGrid w:val="0"/>
          <w:kern w:val="0"/>
          <w:sz w:val="24"/>
        </w:rPr>
      </w:pPr>
      <w:r>
        <w:rPr>
          <w:rFonts w:hint="eastAsia" w:ascii="Arial" w:hAnsi="Arial" w:eastAsia="宋体" w:cs="Arial"/>
          <w:b/>
          <w:snapToGrid w:val="0"/>
          <w:kern w:val="0"/>
          <w:sz w:val="24"/>
        </w:rPr>
        <w:t>文件发布于2016年12月12日</w:t>
      </w:r>
    </w:p>
    <w:p w14:paraId="030D8D46">
      <w:pPr>
        <w:topLinePunct/>
        <w:adjustRightInd w:val="0"/>
        <w:snapToGrid w:val="0"/>
        <w:spacing w:after="234" w:afterLines="75" w:line="288" w:lineRule="auto"/>
        <w:jc w:val="center"/>
        <w:rPr>
          <w:rFonts w:ascii="Arial" w:hAnsi="Arial" w:eastAsia="宋体" w:cs="Arial"/>
          <w:snapToGrid w:val="0"/>
          <w:kern w:val="0"/>
          <w:sz w:val="24"/>
        </w:rPr>
      </w:pPr>
    </w:p>
    <w:p w14:paraId="094A57E5">
      <w:pPr>
        <w:topLinePunct/>
        <w:adjustRightInd w:val="0"/>
        <w:snapToGrid w:val="0"/>
        <w:spacing w:after="234" w:afterLines="75" w:line="288" w:lineRule="auto"/>
        <w:jc w:val="center"/>
        <w:rPr>
          <w:rFonts w:ascii="Arial" w:hAnsi="Arial" w:eastAsia="宋体" w:cs="Arial"/>
          <w:snapToGrid w:val="0"/>
          <w:kern w:val="0"/>
          <w:sz w:val="24"/>
        </w:rPr>
      </w:pPr>
      <w:r>
        <w:rPr>
          <w:rFonts w:hint="eastAsia" w:ascii="Arial" w:hAnsi="Arial" w:eastAsia="宋体" w:cs="Arial"/>
          <w:snapToGrid w:val="0"/>
          <w:kern w:val="0"/>
          <w:sz w:val="24"/>
        </w:rPr>
        <w:t>关于本文件的任何问题，请联系Eric</w:t>
      </w:r>
      <w:r>
        <w:rPr>
          <w:rFonts w:ascii="Arial" w:hAnsi="Arial" w:eastAsia="宋体" w:cs="Arial"/>
          <w:snapToGrid w:val="0"/>
          <w:kern w:val="0"/>
          <w:sz w:val="24"/>
        </w:rPr>
        <w:t xml:space="preserve"> </w:t>
      </w:r>
      <w:r>
        <w:rPr>
          <w:rFonts w:hint="eastAsia" w:ascii="Arial" w:hAnsi="Arial" w:eastAsia="宋体" w:cs="Arial"/>
          <w:snapToGrid w:val="0"/>
          <w:kern w:val="0"/>
          <w:sz w:val="24"/>
        </w:rPr>
        <w:t>Mann，电话为（301）796-</w:t>
      </w:r>
      <w:r>
        <w:rPr>
          <w:rFonts w:ascii="Arial" w:hAnsi="Arial" w:eastAsia="宋体" w:cs="Arial"/>
          <w:snapToGrid w:val="0"/>
          <w:kern w:val="0"/>
          <w:sz w:val="24"/>
        </w:rPr>
        <w:t>5620</w:t>
      </w:r>
      <w:r>
        <w:rPr>
          <w:rFonts w:hint="eastAsia" w:ascii="Arial" w:hAnsi="Arial" w:eastAsia="宋体" w:cs="Arial"/>
          <w:snapToGrid w:val="0"/>
          <w:kern w:val="0"/>
          <w:sz w:val="24"/>
        </w:rPr>
        <w:t>。</w:t>
      </w:r>
    </w:p>
    <w:p w14:paraId="73924135">
      <w:pPr>
        <w:topLinePunct/>
        <w:adjustRightInd w:val="0"/>
        <w:snapToGrid w:val="0"/>
        <w:spacing w:after="234" w:afterLines="75" w:line="288" w:lineRule="auto"/>
        <w:rPr>
          <w:rFonts w:ascii="Arial" w:hAnsi="Arial" w:eastAsia="宋体" w:cs="Arial"/>
          <w:snapToGrid w:val="0"/>
          <w:kern w:val="0"/>
          <w:sz w:val="24"/>
        </w:rPr>
      </w:pPr>
    </w:p>
    <w:p w14:paraId="0AA1EB3B">
      <w:pPr>
        <w:topLinePunct/>
        <w:adjustRightInd w:val="0"/>
        <w:snapToGrid w:val="0"/>
        <w:spacing w:after="234" w:afterLines="75" w:line="288" w:lineRule="auto"/>
        <w:rPr>
          <w:rFonts w:ascii="Arial" w:hAnsi="Arial" w:eastAsia="宋体" w:cs="Arial"/>
          <w:snapToGrid w:val="0"/>
          <w:kern w:val="0"/>
          <w:sz w:val="24"/>
        </w:rPr>
      </w:pPr>
    </w:p>
    <w:p w14:paraId="1F09A5F6">
      <w:pPr>
        <w:topLinePunct/>
        <w:adjustRightInd w:val="0"/>
        <w:snapToGrid w:val="0"/>
        <w:spacing w:after="234" w:afterLines="75" w:line="288" w:lineRule="auto"/>
        <w:rPr>
          <w:rFonts w:ascii="Arial" w:hAnsi="Arial" w:eastAsia="宋体" w:cs="Arial"/>
          <w:snapToGrid w:val="0"/>
          <w:kern w:val="0"/>
          <w:sz w:val="24"/>
        </w:rPr>
      </w:pPr>
    </w:p>
    <w:p w14:paraId="6DF1E55C">
      <w:pPr>
        <w:topLinePunct/>
        <w:adjustRightInd w:val="0"/>
        <w:snapToGrid w:val="0"/>
        <w:spacing w:after="234" w:afterLines="75" w:line="288" w:lineRule="auto"/>
        <w:rPr>
          <w:rFonts w:ascii="Arial" w:hAnsi="Arial" w:eastAsia="宋体" w:cs="Arial"/>
          <w:snapToGrid w:val="0"/>
          <w:kern w:val="0"/>
          <w:sz w:val="24"/>
        </w:rPr>
      </w:pPr>
    </w:p>
    <w:p w14:paraId="031261F3">
      <w:pPr>
        <w:topLinePunct/>
        <w:adjustRightInd w:val="0"/>
        <w:snapToGrid w:val="0"/>
        <w:spacing w:after="234" w:afterLines="75" w:line="288" w:lineRule="auto"/>
        <w:rPr>
          <w:rFonts w:ascii="Arial" w:hAnsi="Arial" w:eastAsia="宋体" w:cs="Arial"/>
          <w:snapToGrid w:val="0"/>
          <w:kern w:val="0"/>
          <w:sz w:val="24"/>
        </w:rPr>
      </w:pPr>
    </w:p>
    <w:p w14:paraId="220E0148">
      <w:pPr>
        <w:topLinePunct/>
        <w:adjustRightInd w:val="0"/>
        <w:snapToGrid w:val="0"/>
        <w:spacing w:after="234" w:afterLines="75" w:line="288" w:lineRule="auto"/>
        <w:rPr>
          <w:rFonts w:ascii="Arial" w:hAnsi="Arial" w:eastAsia="宋体" w:cs="Arial"/>
          <w:snapToGrid w:val="0"/>
          <w:kern w:val="0"/>
          <w:sz w:val="24"/>
        </w:rPr>
      </w:pPr>
    </w:p>
    <w:p w14:paraId="3890A1AA">
      <w:pPr>
        <w:topLinePunct/>
        <w:adjustRightInd w:val="0"/>
        <w:snapToGrid w:val="0"/>
        <w:spacing w:after="234" w:afterLines="75" w:line="288" w:lineRule="auto"/>
        <w:rPr>
          <w:rFonts w:ascii="Arial" w:hAnsi="Arial" w:eastAsia="宋体" w:cs="Arial"/>
          <w:snapToGrid w:val="0"/>
          <w:kern w:val="0"/>
          <w:sz w:val="24"/>
        </w:rPr>
      </w:pPr>
    </w:p>
    <w:p w14:paraId="485CA46B">
      <w:pPr>
        <w:topLinePunct/>
        <w:adjustRightInd w:val="0"/>
        <w:snapToGrid w:val="0"/>
        <w:spacing w:after="234" w:afterLines="75" w:line="288" w:lineRule="auto"/>
        <w:rPr>
          <w:rFonts w:ascii="Arial" w:hAnsi="Arial" w:eastAsia="宋体" w:cs="Arial"/>
          <w:snapToGrid w:val="0"/>
          <w:kern w:val="0"/>
          <w:sz w:val="24"/>
        </w:rPr>
      </w:pPr>
    </w:p>
    <w:p w14:paraId="6016C22B">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kern w:val="0"/>
          <w:sz w:val="24"/>
        </w:rPr>
        <w:drawing>
          <wp:anchor distT="0" distB="0" distL="114300" distR="114300" simplePos="0" relativeHeight="251659264" behindDoc="1" locked="0" layoutInCell="0" allowOverlap="1">
            <wp:simplePos x="0" y="0"/>
            <wp:positionH relativeFrom="column">
              <wp:posOffset>3175</wp:posOffset>
            </wp:positionH>
            <wp:positionV relativeFrom="paragraph">
              <wp:posOffset>307975</wp:posOffset>
            </wp:positionV>
            <wp:extent cx="2465705" cy="7054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465705" cy="705485"/>
                    </a:xfrm>
                    <a:prstGeom prst="rect">
                      <a:avLst/>
                    </a:prstGeom>
                    <a:noFill/>
                    <a:ln>
                      <a:noFill/>
                    </a:ln>
                  </pic:spPr>
                </pic:pic>
              </a:graphicData>
            </a:graphic>
          </wp:anchor>
        </w:drawing>
      </w:r>
    </w:p>
    <w:p w14:paraId="48406B8D">
      <w:pPr>
        <w:topLinePunct/>
        <w:adjustRightInd w:val="0"/>
        <w:snapToGrid w:val="0"/>
        <w:spacing w:line="288" w:lineRule="auto"/>
        <w:jc w:val="right"/>
        <w:rPr>
          <w:rFonts w:ascii="Arial" w:hAnsi="Arial" w:eastAsia="宋体" w:cs="Arial"/>
          <w:b/>
          <w:snapToGrid w:val="0"/>
          <w:kern w:val="0"/>
          <w:sz w:val="24"/>
        </w:rPr>
      </w:pPr>
      <w:r>
        <w:rPr>
          <w:rFonts w:hint="eastAsia" w:ascii="Arial" w:hAnsi="Arial" w:eastAsia="宋体" w:cs="Arial"/>
          <w:b/>
          <w:snapToGrid w:val="0"/>
          <w:kern w:val="0"/>
          <w:sz w:val="24"/>
        </w:rPr>
        <w:t>美国卫生和人类服务署</w:t>
      </w:r>
    </w:p>
    <w:p w14:paraId="68F39263">
      <w:pPr>
        <w:topLinePunct/>
        <w:adjustRightInd w:val="0"/>
        <w:snapToGrid w:val="0"/>
        <w:spacing w:line="288" w:lineRule="auto"/>
        <w:jc w:val="right"/>
        <w:rPr>
          <w:rFonts w:ascii="Arial" w:hAnsi="Arial" w:eastAsia="宋体" w:cs="Arial"/>
          <w:b/>
          <w:snapToGrid w:val="0"/>
          <w:kern w:val="0"/>
          <w:sz w:val="24"/>
        </w:rPr>
      </w:pPr>
      <w:r>
        <w:rPr>
          <w:rFonts w:hint="eastAsia" w:ascii="Arial" w:hAnsi="Arial" w:eastAsia="宋体" w:cs="Arial"/>
          <w:b/>
          <w:snapToGrid w:val="0"/>
          <w:kern w:val="0"/>
          <w:sz w:val="24"/>
        </w:rPr>
        <w:t>食品药品监督管理局</w:t>
      </w:r>
    </w:p>
    <w:p w14:paraId="172312AE">
      <w:pPr>
        <w:topLinePunct/>
        <w:adjustRightInd w:val="0"/>
        <w:snapToGrid w:val="0"/>
        <w:spacing w:line="288" w:lineRule="auto"/>
        <w:jc w:val="right"/>
        <w:rPr>
          <w:rFonts w:ascii="Arial" w:hAnsi="Arial" w:eastAsia="宋体" w:cs="Arial"/>
          <w:b/>
          <w:snapToGrid w:val="0"/>
          <w:kern w:val="0"/>
          <w:sz w:val="24"/>
        </w:rPr>
      </w:pPr>
      <w:r>
        <w:rPr>
          <w:rFonts w:hint="eastAsia" w:ascii="Arial" w:hAnsi="Arial" w:eastAsia="宋体" w:cs="Arial"/>
          <w:b/>
          <w:snapToGrid w:val="0"/>
          <w:kern w:val="0"/>
          <w:sz w:val="24"/>
        </w:rPr>
        <w:t>器械和放射卫生中心</w:t>
      </w:r>
    </w:p>
    <w:p w14:paraId="5D8647A9">
      <w:pPr>
        <w:topLinePunct/>
        <w:adjustRightInd w:val="0"/>
        <w:snapToGrid w:val="0"/>
        <w:spacing w:line="288" w:lineRule="auto"/>
        <w:jc w:val="right"/>
        <w:rPr>
          <w:rFonts w:ascii="Arial" w:hAnsi="Arial" w:eastAsia="宋体" w:cs="Arial"/>
          <w:b/>
          <w:snapToGrid w:val="0"/>
          <w:kern w:val="0"/>
          <w:sz w:val="24"/>
        </w:rPr>
      </w:pPr>
    </w:p>
    <w:p w14:paraId="7674C934">
      <w:pPr>
        <w:topLinePunct/>
        <w:adjustRightInd w:val="0"/>
        <w:snapToGrid w:val="0"/>
        <w:spacing w:line="288" w:lineRule="auto"/>
        <w:jc w:val="right"/>
        <w:rPr>
          <w:rFonts w:ascii="Arial" w:hAnsi="Arial" w:eastAsia="宋体" w:cs="Arial"/>
          <w:b/>
          <w:snapToGrid w:val="0"/>
          <w:kern w:val="0"/>
          <w:sz w:val="24"/>
        </w:rPr>
      </w:pPr>
      <w:r>
        <w:rPr>
          <w:rFonts w:hint="eastAsia" w:ascii="Arial" w:hAnsi="Arial" w:eastAsia="宋体" w:cs="Arial"/>
          <w:b/>
          <w:snapToGrid w:val="0"/>
          <w:kern w:val="0"/>
          <w:sz w:val="24"/>
        </w:rPr>
        <w:t>器械评价办公室</w:t>
      </w:r>
    </w:p>
    <w:p w14:paraId="1D2061A6">
      <w:pPr>
        <w:topLinePunct/>
        <w:adjustRightInd w:val="0"/>
        <w:snapToGrid w:val="0"/>
        <w:spacing w:line="288" w:lineRule="auto"/>
        <w:jc w:val="right"/>
        <w:rPr>
          <w:rFonts w:ascii="Arial" w:hAnsi="Arial" w:eastAsia="宋体" w:cs="Arial"/>
          <w:b/>
          <w:snapToGrid w:val="0"/>
          <w:kern w:val="0"/>
          <w:sz w:val="24"/>
        </w:rPr>
      </w:pPr>
      <w:r>
        <w:rPr>
          <w:rFonts w:hint="eastAsia" w:ascii="Arial" w:hAnsi="Arial" w:eastAsia="宋体" w:cs="Arial"/>
          <w:b/>
          <w:snapToGrid w:val="0"/>
          <w:kern w:val="0"/>
          <w:sz w:val="24"/>
        </w:rPr>
        <w:t>耳鼻喉科器械分部（DOED）</w:t>
      </w:r>
    </w:p>
    <w:p w14:paraId="65CE3CD1">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br w:type="page"/>
      </w:r>
    </w:p>
    <w:p w14:paraId="642EBE6C">
      <w:pPr>
        <w:topLinePunct/>
        <w:adjustRightInd w:val="0"/>
        <w:snapToGrid w:val="0"/>
        <w:spacing w:after="234" w:afterLines="75" w:line="288" w:lineRule="auto"/>
        <w:jc w:val="center"/>
        <w:rPr>
          <w:rFonts w:ascii="Arial" w:hAnsi="Arial" w:eastAsia="宋体" w:cs="Arial"/>
          <w:b/>
          <w:snapToGrid w:val="0"/>
          <w:kern w:val="0"/>
          <w:sz w:val="52"/>
          <w:szCs w:val="52"/>
        </w:rPr>
      </w:pPr>
      <w:r>
        <w:rPr>
          <w:rFonts w:hint="eastAsia" w:ascii="Arial" w:hAnsi="Arial" w:eastAsia="宋体" w:cs="Arial"/>
          <w:b/>
          <w:snapToGrid w:val="0"/>
          <w:kern w:val="0"/>
          <w:sz w:val="52"/>
          <w:szCs w:val="52"/>
        </w:rPr>
        <w:t>前言</w:t>
      </w:r>
    </w:p>
    <w:p w14:paraId="08B59990">
      <w:pPr>
        <w:topLinePunct/>
        <w:adjustRightInd w:val="0"/>
        <w:snapToGrid w:val="0"/>
        <w:spacing w:after="234" w:afterLines="75" w:line="288" w:lineRule="auto"/>
        <w:rPr>
          <w:rFonts w:ascii="Arial" w:hAnsi="Arial" w:eastAsia="宋体" w:cs="Arial"/>
          <w:b/>
          <w:snapToGrid w:val="0"/>
          <w:kern w:val="0"/>
          <w:sz w:val="36"/>
          <w:szCs w:val="36"/>
        </w:rPr>
      </w:pPr>
      <w:bookmarkStart w:id="0" w:name="OLE_LINK14"/>
      <w:r>
        <w:rPr>
          <w:rFonts w:hint="eastAsia" w:ascii="Arial" w:hAnsi="Arial" w:eastAsia="宋体" w:cs="Arial"/>
          <w:b/>
          <w:snapToGrid w:val="0"/>
          <w:kern w:val="0"/>
          <w:sz w:val="36"/>
          <w:szCs w:val="36"/>
        </w:rPr>
        <w:t>公共评论</w:t>
      </w:r>
    </w:p>
    <w:p w14:paraId="5DE62989">
      <w:pPr>
        <w:topLinePunct/>
        <w:adjustRightInd w:val="0"/>
        <w:snapToGrid w:val="0"/>
        <w:spacing w:after="234" w:afterLines="75" w:line="288" w:lineRule="auto"/>
        <w:rPr>
          <w:rFonts w:ascii="Arial" w:hAnsi="Arial" w:eastAsia="宋体" w:cs="Arial"/>
          <w:snapToGrid w:val="0"/>
          <w:kern w:val="0"/>
          <w:sz w:val="24"/>
        </w:rPr>
      </w:pPr>
      <w:bookmarkStart w:id="1" w:name="OLE_LINK13"/>
      <w:bookmarkStart w:id="2" w:name="OLE_LINK12"/>
      <w:r>
        <w:rPr>
          <w:rFonts w:hint="eastAsia" w:ascii="Arial" w:hAnsi="Arial" w:eastAsia="宋体" w:cs="Arial"/>
          <w:snapToGrid w:val="0"/>
          <w:kern w:val="0"/>
          <w:sz w:val="24"/>
        </w:rPr>
        <w:t>您可以在任何时间向机构提交电子版评论或建议，网址为</w:t>
      </w:r>
      <w:r>
        <w:rPr>
          <w:rFonts w:ascii="Arial" w:hAnsi="Arial" w:eastAsia="宋体" w:cs="Arial"/>
          <w:snapToGrid w:val="0"/>
          <w:kern w:val="0"/>
          <w:sz w:val="24"/>
        </w:rPr>
        <w:fldChar w:fldCharType="begin"/>
      </w:r>
      <w:r>
        <w:rPr>
          <w:rFonts w:ascii="Arial" w:hAnsi="Arial" w:eastAsia="宋体" w:cs="Arial"/>
          <w:snapToGrid w:val="0"/>
          <w:kern w:val="0"/>
          <w:sz w:val="24"/>
        </w:rPr>
        <w:instrText xml:space="preserve"> HYPERLINK "http://www.regulation.gov" </w:instrText>
      </w:r>
      <w:r>
        <w:rPr>
          <w:rFonts w:ascii="Arial" w:hAnsi="Arial" w:eastAsia="宋体" w:cs="Arial"/>
          <w:snapToGrid w:val="0"/>
          <w:kern w:val="0"/>
          <w:sz w:val="24"/>
        </w:rPr>
        <w:fldChar w:fldCharType="separate"/>
      </w:r>
      <w:r>
        <w:rPr>
          <w:rStyle w:val="9"/>
          <w:rFonts w:ascii="Arial" w:hAnsi="Arial" w:eastAsia="宋体" w:cs="Arial"/>
          <w:snapToGrid w:val="0"/>
          <w:kern w:val="0"/>
          <w:sz w:val="24"/>
        </w:rPr>
        <w:t>http://www.regulation.gov</w:t>
      </w:r>
      <w:r>
        <w:rPr>
          <w:rFonts w:ascii="Arial" w:hAnsi="Arial" w:eastAsia="宋体" w:cs="Arial"/>
          <w:snapToGrid w:val="0"/>
          <w:kern w:val="0"/>
          <w:sz w:val="24"/>
        </w:rPr>
        <w:fldChar w:fldCharType="end"/>
      </w:r>
      <w:r>
        <w:rPr>
          <w:rFonts w:ascii="Arial" w:hAnsi="Arial" w:eastAsia="宋体" w:cs="Arial"/>
          <w:snapToGrid w:val="0"/>
          <w:kern w:val="0"/>
          <w:sz w:val="24"/>
        </w:rPr>
        <w:t xml:space="preserve"> </w:t>
      </w:r>
      <w:r>
        <w:rPr>
          <w:rFonts w:hint="eastAsia" w:ascii="Arial" w:hAnsi="Arial" w:eastAsia="宋体" w:cs="Arial"/>
          <w:snapToGrid w:val="0"/>
          <w:kern w:val="0"/>
          <w:sz w:val="24"/>
        </w:rPr>
        <w:t>。书面评论请提交至食品药品监督管理局案卷管理科（5630</w:t>
      </w:r>
      <w:r>
        <w:rPr>
          <w:rFonts w:ascii="Arial" w:hAnsi="Arial" w:eastAsia="宋体" w:cs="Arial"/>
          <w:snapToGrid w:val="0"/>
          <w:kern w:val="0"/>
          <w:sz w:val="24"/>
        </w:rPr>
        <w:t xml:space="preserve"> Fishers Lane</w:t>
      </w:r>
      <w:r>
        <w:rPr>
          <w:rFonts w:hint="eastAsia" w:ascii="Arial" w:hAnsi="Arial" w:eastAsia="宋体" w:cs="Arial"/>
          <w:snapToGrid w:val="0"/>
          <w:kern w:val="0"/>
          <w:sz w:val="24"/>
        </w:rPr>
        <w:t>，</w:t>
      </w:r>
      <w:r>
        <w:rPr>
          <w:rFonts w:ascii="Arial" w:hAnsi="Arial" w:eastAsia="宋体" w:cs="Arial"/>
          <w:snapToGrid w:val="0"/>
          <w:kern w:val="0"/>
          <w:sz w:val="24"/>
        </w:rPr>
        <w:t xml:space="preserve">Rm </w:t>
      </w:r>
      <w:r>
        <w:rPr>
          <w:rFonts w:hint="eastAsia" w:ascii="Arial" w:hAnsi="Arial" w:eastAsia="宋体" w:cs="Arial"/>
          <w:snapToGrid w:val="0"/>
          <w:kern w:val="0"/>
          <w:sz w:val="24"/>
        </w:rPr>
        <w:t>1061,（HFA-305），</w:t>
      </w:r>
      <w:r>
        <w:rPr>
          <w:rFonts w:ascii="Arial" w:hAnsi="Arial" w:eastAsia="宋体" w:cs="Arial"/>
          <w:snapToGrid w:val="0"/>
          <w:kern w:val="0"/>
          <w:sz w:val="24"/>
        </w:rPr>
        <w:t>Rockville</w:t>
      </w:r>
      <w:r>
        <w:rPr>
          <w:rFonts w:hint="eastAsia" w:ascii="Arial" w:hAnsi="Arial" w:eastAsia="宋体" w:cs="Arial"/>
          <w:snapToGrid w:val="0"/>
          <w:kern w:val="0"/>
          <w:sz w:val="24"/>
        </w:rPr>
        <w:t>，</w:t>
      </w:r>
      <w:r>
        <w:rPr>
          <w:rFonts w:ascii="Arial" w:hAnsi="Arial" w:eastAsia="宋体" w:cs="Arial"/>
          <w:snapToGrid w:val="0"/>
          <w:kern w:val="0"/>
          <w:sz w:val="24"/>
        </w:rPr>
        <w:t xml:space="preserve">MD </w:t>
      </w:r>
      <w:r>
        <w:rPr>
          <w:rFonts w:hint="eastAsia" w:ascii="Arial" w:hAnsi="Arial" w:eastAsia="宋体" w:cs="Arial"/>
          <w:snapToGrid w:val="0"/>
          <w:kern w:val="0"/>
          <w:sz w:val="24"/>
        </w:rPr>
        <w:t>20852）。所有评论应注明案卷编号FDA-2016-D-3466。再次进行文件修订或更新之前，本机构可能不会针对评论采取行动。</w:t>
      </w:r>
    </w:p>
    <w:p w14:paraId="3DB5A968">
      <w:pPr>
        <w:topLinePunct/>
        <w:adjustRightInd w:val="0"/>
        <w:snapToGrid w:val="0"/>
        <w:spacing w:after="234" w:afterLines="75" w:line="288" w:lineRule="auto"/>
        <w:rPr>
          <w:rFonts w:ascii="Arial" w:hAnsi="Arial" w:eastAsia="宋体" w:cs="Arial"/>
          <w:b/>
          <w:snapToGrid w:val="0"/>
          <w:kern w:val="0"/>
          <w:sz w:val="36"/>
          <w:szCs w:val="36"/>
        </w:rPr>
      </w:pPr>
      <w:r>
        <w:rPr>
          <w:rFonts w:hint="eastAsia" w:ascii="Arial" w:hAnsi="Arial" w:eastAsia="宋体" w:cs="Arial"/>
          <w:b/>
          <w:snapToGrid w:val="0"/>
          <w:kern w:val="0"/>
          <w:sz w:val="36"/>
          <w:szCs w:val="36"/>
        </w:rPr>
        <w:t>其他副本</w:t>
      </w:r>
    </w:p>
    <w:p w14:paraId="0F9DDCB2">
      <w:pPr>
        <w:wordWrap w:val="0"/>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其他副本可从互联网获得。您还可以向</w:t>
      </w:r>
      <w:r>
        <w:rPr>
          <w:rFonts w:ascii="Arial" w:hAnsi="Arial" w:eastAsia="宋体" w:cs="Arial"/>
          <w:snapToGrid w:val="0"/>
          <w:kern w:val="0"/>
          <w:sz w:val="24"/>
        </w:rPr>
        <w:fldChar w:fldCharType="begin"/>
      </w:r>
      <w:r>
        <w:rPr>
          <w:rFonts w:ascii="Arial" w:hAnsi="Arial" w:eastAsia="宋体" w:cs="Arial"/>
          <w:snapToGrid w:val="0"/>
          <w:kern w:val="0"/>
          <w:sz w:val="24"/>
        </w:rPr>
        <w:instrText xml:space="preserve"> HYPERLINK "mailto:</w:instrText>
      </w:r>
      <w:r>
        <w:rPr>
          <w:rFonts w:hint="eastAsia" w:ascii="Arial" w:hAnsi="Arial" w:eastAsia="宋体" w:cs="Arial"/>
          <w:snapToGrid w:val="0"/>
          <w:kern w:val="0"/>
          <w:sz w:val="24"/>
        </w:rPr>
        <w:instrText xml:space="preserve">您也可以发送请求邮件至</w:instrText>
      </w:r>
      <w:r>
        <w:rPr>
          <w:rFonts w:ascii="Arial" w:hAnsi="Arial" w:eastAsia="宋体" w:cs="Arial"/>
          <w:snapToGrid w:val="0"/>
          <w:kern w:val="0"/>
          <w:sz w:val="24"/>
        </w:rPr>
        <w:instrText xml:space="preserve">CDRH-Guidance@fda.hhs.gov" </w:instrText>
      </w:r>
      <w:r>
        <w:rPr>
          <w:rFonts w:ascii="Arial" w:hAnsi="Arial" w:eastAsia="宋体" w:cs="Arial"/>
          <w:snapToGrid w:val="0"/>
          <w:kern w:val="0"/>
          <w:sz w:val="24"/>
        </w:rPr>
        <w:fldChar w:fldCharType="separate"/>
      </w:r>
      <w:r>
        <w:rPr>
          <w:rStyle w:val="9"/>
          <w:rFonts w:ascii="Arial" w:hAnsi="Arial" w:eastAsia="宋体" w:cs="Arial"/>
          <w:snapToGrid w:val="0"/>
          <w:kern w:val="0"/>
          <w:sz w:val="24"/>
        </w:rPr>
        <w:t>CDRH-Guidance@fda.hhs.gov</w:t>
      </w:r>
      <w:r>
        <w:rPr>
          <w:rFonts w:ascii="Arial" w:hAnsi="Arial" w:eastAsia="宋体" w:cs="Arial"/>
          <w:snapToGrid w:val="0"/>
          <w:kern w:val="0"/>
          <w:sz w:val="24"/>
        </w:rPr>
        <w:fldChar w:fldCharType="end"/>
      </w:r>
      <w:r>
        <w:rPr>
          <w:rFonts w:hint="eastAsia" w:ascii="Arial" w:hAnsi="Arial" w:eastAsia="宋体" w:cs="Arial"/>
          <w:snapToGrid w:val="0"/>
          <w:kern w:val="0"/>
          <w:sz w:val="24"/>
        </w:rPr>
        <w:t xml:space="preserve"> </w:t>
      </w:r>
      <w:r>
        <w:rPr>
          <w:rFonts w:ascii="Arial" w:hAnsi="Arial" w:eastAsia="宋体" w:cs="Arial"/>
          <w:snapToGrid w:val="0"/>
          <w:kern w:val="0"/>
          <w:sz w:val="24"/>
        </w:rPr>
        <w:t>来</w:t>
      </w:r>
      <w:r>
        <w:rPr>
          <w:rFonts w:hint="eastAsia" w:ascii="Arial" w:hAnsi="Arial" w:eastAsia="宋体" w:cs="Arial"/>
          <w:snapToGrid w:val="0"/>
          <w:kern w:val="0"/>
          <w:sz w:val="24"/>
        </w:rPr>
        <w:t>发送电子邮件请求以接收本指南的电子副本</w:t>
      </w:r>
      <w:r>
        <w:rPr>
          <w:rFonts w:ascii="Arial" w:hAnsi="Arial" w:eastAsia="宋体" w:cs="Arial"/>
          <w:snapToGrid w:val="0"/>
          <w:kern w:val="0"/>
          <w:sz w:val="24"/>
        </w:rPr>
        <w:t>。请使用文件编号</w:t>
      </w:r>
      <w:r>
        <w:rPr>
          <w:rFonts w:hint="eastAsia" w:ascii="Arial" w:hAnsi="Arial" w:eastAsia="宋体" w:cs="Arial"/>
          <w:snapToGrid w:val="0"/>
          <w:kern w:val="0"/>
          <w:sz w:val="24"/>
        </w:rPr>
        <w:t>GUD-16-041来注明您所要求获得的指南。</w:t>
      </w:r>
      <w:r>
        <w:rPr>
          <w:rFonts w:ascii="Arial" w:hAnsi="Arial" w:eastAsia="宋体" w:cs="Arial"/>
          <w:snapToGrid w:val="0"/>
          <w:kern w:val="0"/>
          <w:sz w:val="24"/>
        </w:rPr>
        <w:t>。</w:t>
      </w:r>
    </w:p>
    <w:bookmarkEnd w:id="0"/>
    <w:bookmarkEnd w:id="1"/>
    <w:bookmarkEnd w:id="2"/>
    <w:p w14:paraId="0E4BB8D8">
      <w:pPr>
        <w:topLinePunct/>
        <w:adjustRightInd w:val="0"/>
        <w:snapToGrid w:val="0"/>
        <w:spacing w:after="234" w:afterLines="75" w:line="288" w:lineRule="auto"/>
        <w:rPr>
          <w:rFonts w:ascii="Arial" w:hAnsi="Arial" w:eastAsia="宋体" w:cs="Arial"/>
          <w:snapToGrid w:val="0"/>
          <w:kern w:val="0"/>
          <w:sz w:val="24"/>
        </w:rPr>
      </w:pPr>
    </w:p>
    <w:p w14:paraId="4E3DA8A4">
      <w:pPr>
        <w:topLinePunct/>
        <w:adjustRightInd w:val="0"/>
        <w:snapToGrid w:val="0"/>
        <w:spacing w:after="234" w:afterLines="75" w:line="288" w:lineRule="auto"/>
        <w:rPr>
          <w:rFonts w:ascii="Arial" w:hAnsi="Arial" w:eastAsia="宋体" w:cs="Arial"/>
          <w:snapToGrid w:val="0"/>
          <w:kern w:val="0"/>
          <w:sz w:val="24"/>
        </w:rPr>
        <w:sectPr>
          <w:headerReference r:id="rId4" w:type="default"/>
          <w:pgSz w:w="11906" w:h="16838"/>
          <w:pgMar w:top="1134" w:right="1440" w:bottom="1134" w:left="1440" w:header="720" w:footer="720" w:gutter="0"/>
          <w:cols w:space="425" w:num="1"/>
          <w:docGrid w:type="lines" w:linePitch="312" w:charSpace="0"/>
        </w:sectPr>
      </w:pPr>
    </w:p>
    <w:p w14:paraId="16C13DBB">
      <w:pPr>
        <w:pBdr>
          <w:bottom w:val="single" w:color="auto" w:sz="4" w:space="1"/>
        </w:pBdr>
        <w:topLinePunct/>
        <w:adjustRightInd w:val="0"/>
        <w:snapToGrid w:val="0"/>
        <w:spacing w:after="234" w:afterLines="75" w:line="288" w:lineRule="auto"/>
        <w:jc w:val="center"/>
        <w:rPr>
          <w:rFonts w:ascii="Arial" w:hAnsi="Arial" w:eastAsia="宋体" w:cs="Arial"/>
          <w:b/>
          <w:snapToGrid w:val="0"/>
          <w:kern w:val="0"/>
          <w:sz w:val="52"/>
          <w:szCs w:val="52"/>
        </w:rPr>
      </w:pPr>
      <w:r>
        <w:rPr>
          <w:rFonts w:hint="eastAsia" w:ascii="Arial" w:hAnsi="Arial" w:eastAsia="宋体" w:cs="Arial"/>
          <w:b/>
          <w:snapToGrid w:val="0"/>
          <w:kern w:val="0"/>
          <w:sz w:val="52"/>
          <w:szCs w:val="52"/>
        </w:rPr>
        <w:t>即时生效指导性文件：空气传导助听器销售条件</w:t>
      </w:r>
    </w:p>
    <w:p w14:paraId="4DA441E8">
      <w:pPr>
        <w:topLinePunct/>
        <w:adjustRightInd w:val="0"/>
        <w:snapToGrid w:val="0"/>
        <w:spacing w:after="234" w:afterLines="75" w:line="288" w:lineRule="auto"/>
        <w:jc w:val="center"/>
        <w:rPr>
          <w:rFonts w:ascii="Arial" w:hAnsi="Arial" w:eastAsia="宋体" w:cs="Arial"/>
          <w:b/>
          <w:snapToGrid w:val="0"/>
          <w:kern w:val="0"/>
          <w:sz w:val="52"/>
          <w:szCs w:val="52"/>
        </w:rPr>
      </w:pPr>
      <w:r>
        <w:rPr>
          <w:rFonts w:hint="eastAsia" w:ascii="Arial" w:hAnsi="Arial" w:eastAsia="宋体" w:cs="Arial"/>
          <w:b/>
          <w:snapToGrid w:val="0"/>
          <w:kern w:val="0"/>
          <w:sz w:val="52"/>
          <w:szCs w:val="52"/>
        </w:rPr>
        <w:t>行业和FDA工作人员指南</w:t>
      </w:r>
    </w:p>
    <w:tbl>
      <w:tblPr>
        <w:tblStyle w:val="7"/>
        <w:tblW w:w="9242" w:type="dxa"/>
        <w:tblInd w:w="0" w:type="dxa"/>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30CF123A">
        <w:tblPrEx>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CellMar>
            <w:top w:w="0" w:type="dxa"/>
            <w:left w:w="108" w:type="dxa"/>
            <w:bottom w:w="0" w:type="dxa"/>
            <w:right w:w="108" w:type="dxa"/>
          </w:tblCellMar>
        </w:tblPrEx>
        <w:tc>
          <w:tcPr>
            <w:tcW w:w="9242" w:type="dxa"/>
          </w:tcPr>
          <w:p w14:paraId="3B3852BB">
            <w:pPr>
              <w:topLinePunct/>
              <w:adjustRightInd w:val="0"/>
              <w:snapToGrid w:val="0"/>
              <w:spacing w:before="156" w:beforeLines="50" w:after="234" w:afterLines="75" w:line="288" w:lineRule="auto"/>
              <w:rPr>
                <w:rFonts w:ascii="Arial" w:hAnsi="Arial" w:eastAsia="宋体" w:cs="Arial"/>
                <w:b/>
                <w:i/>
                <w:snapToGrid w:val="0"/>
                <w:kern w:val="0"/>
                <w:sz w:val="24"/>
              </w:rPr>
            </w:pPr>
            <w:r>
              <w:rPr>
                <w:rFonts w:hint="eastAsia" w:ascii="Arial" w:hAnsi="Arial" w:eastAsia="宋体" w:cs="Arial"/>
                <w:b/>
                <w:i/>
                <w:snapToGrid w:val="0"/>
                <w:kern w:val="0"/>
                <w:sz w:val="24"/>
              </w:rPr>
              <w:t>本指南代表</w:t>
            </w:r>
            <w:bookmarkStart w:id="3" w:name="OLE_LINK7"/>
            <w:bookmarkStart w:id="4" w:name="OLE_LINK8"/>
            <w:r>
              <w:rPr>
                <w:rFonts w:hint="eastAsia" w:ascii="Arial" w:hAnsi="Arial" w:eastAsia="宋体" w:cs="Arial"/>
                <w:b/>
                <w:i/>
                <w:snapToGrid w:val="0"/>
                <w:kern w:val="0"/>
                <w:sz w:val="24"/>
              </w:rPr>
              <w:t>食品药品监督管理局（</w:t>
            </w:r>
            <w:r>
              <w:rPr>
                <w:rFonts w:ascii="Arial" w:hAnsi="Arial" w:eastAsia="宋体" w:cs="Arial"/>
                <w:b/>
                <w:i/>
                <w:snapToGrid w:val="0"/>
                <w:kern w:val="0"/>
                <w:sz w:val="24"/>
              </w:rPr>
              <w:t>FDA</w:t>
            </w:r>
            <w:bookmarkEnd w:id="3"/>
            <w:bookmarkEnd w:id="4"/>
            <w:r>
              <w:rPr>
                <w:rFonts w:hint="eastAsia" w:ascii="Arial" w:hAnsi="Arial" w:eastAsia="宋体" w:cs="Arial"/>
                <w:b/>
                <w:i/>
                <w:snapToGrid w:val="0"/>
                <w:kern w:val="0"/>
                <w:sz w:val="24"/>
              </w:rPr>
              <w:t>）目前关于这一主题的看法</w:t>
            </w:r>
            <w:r>
              <w:rPr>
                <w:rFonts w:ascii="Arial" w:hAnsi="Arial" w:eastAsia="宋体" w:cs="Arial"/>
                <w:b/>
                <w:i/>
                <w:snapToGrid w:val="0"/>
                <w:kern w:val="0"/>
                <w:sz w:val="24"/>
              </w:rPr>
              <w:t>。其不会为任何人创造或赋予任何权利，也不对FDA或公众具有约束力。如果替代方法满足适用法律法规的要求，可以使用替代方法。如果贵公司希望讨论一种替代方法，请联系负责实施本指南的FDA工作人员</w:t>
            </w:r>
            <w:r>
              <w:rPr>
                <w:rFonts w:hint="eastAsia" w:ascii="Arial" w:hAnsi="Arial" w:eastAsia="宋体" w:cs="Arial"/>
                <w:b/>
                <w:i/>
                <w:snapToGrid w:val="0"/>
                <w:kern w:val="0"/>
                <w:sz w:val="24"/>
              </w:rPr>
              <w:t>或</w:t>
            </w:r>
            <w:r>
              <w:rPr>
                <w:rFonts w:ascii="Arial" w:hAnsi="Arial" w:eastAsia="宋体" w:cs="Arial"/>
                <w:b/>
                <w:i/>
                <w:snapToGrid w:val="0"/>
                <w:kern w:val="0"/>
                <w:sz w:val="24"/>
              </w:rPr>
              <w:t>本指南标题页上列出的</w:t>
            </w:r>
            <w:r>
              <w:rPr>
                <w:rFonts w:hint="eastAsia" w:ascii="Arial" w:hAnsi="Arial" w:eastAsia="宋体" w:cs="Arial"/>
                <w:b/>
                <w:i/>
                <w:snapToGrid w:val="0"/>
                <w:kern w:val="0"/>
                <w:sz w:val="24"/>
              </w:rPr>
              <w:t>相关责任办公室</w:t>
            </w:r>
            <w:r>
              <w:rPr>
                <w:rFonts w:ascii="Arial" w:hAnsi="Arial" w:eastAsia="宋体" w:cs="Arial"/>
                <w:b/>
                <w:i/>
                <w:snapToGrid w:val="0"/>
                <w:kern w:val="0"/>
                <w:sz w:val="24"/>
              </w:rPr>
              <w:t>。</w:t>
            </w:r>
          </w:p>
        </w:tc>
      </w:tr>
    </w:tbl>
    <w:p w14:paraId="1EFED6E4">
      <w:pPr>
        <w:topLinePunct/>
        <w:adjustRightInd w:val="0"/>
        <w:snapToGrid w:val="0"/>
        <w:spacing w:after="234" w:afterLines="75" w:line="288" w:lineRule="auto"/>
        <w:rPr>
          <w:rFonts w:ascii="Arial" w:hAnsi="Arial" w:eastAsia="宋体" w:cs="Arial"/>
          <w:snapToGrid w:val="0"/>
          <w:kern w:val="0"/>
          <w:sz w:val="24"/>
        </w:rPr>
      </w:pPr>
    </w:p>
    <w:p w14:paraId="33E2341D">
      <w:pPr>
        <w:pStyle w:val="15"/>
        <w:numPr>
          <w:ilvl w:val="0"/>
          <w:numId w:val="1"/>
        </w:numPr>
        <w:topLinePunct/>
        <w:adjustRightInd w:val="0"/>
        <w:snapToGrid w:val="0"/>
        <w:spacing w:after="234" w:afterLines="75" w:line="288" w:lineRule="auto"/>
        <w:ind w:firstLineChars="0"/>
        <w:rPr>
          <w:rFonts w:ascii="Arial" w:hAnsi="Arial" w:eastAsia="宋体" w:cs="Arial"/>
          <w:b/>
          <w:snapToGrid w:val="0"/>
          <w:kern w:val="0"/>
          <w:sz w:val="32"/>
          <w:szCs w:val="32"/>
        </w:rPr>
      </w:pPr>
      <w:r>
        <w:rPr>
          <w:rFonts w:hint="eastAsia" w:ascii="Arial" w:hAnsi="Arial" w:eastAsia="宋体" w:cs="Arial"/>
          <w:b/>
          <w:snapToGrid w:val="0"/>
          <w:kern w:val="0"/>
          <w:sz w:val="32"/>
          <w:szCs w:val="32"/>
        </w:rPr>
        <w:t>引言</w:t>
      </w:r>
    </w:p>
    <w:p w14:paraId="7DB2C408">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本指导性文件描述了FDA建立灵活、适应性的助听器监管途径，提高器械可用性和易用性的一部分工作。</w:t>
      </w:r>
    </w:p>
    <w:p w14:paraId="25E0C123">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据估计，在美国有3000万人受到听力损失的影响</w:t>
      </w:r>
      <w:r>
        <w:rPr>
          <w:rStyle w:val="10"/>
          <w:rFonts w:ascii="Arial" w:hAnsi="Arial" w:eastAsia="宋体" w:cs="Arial"/>
          <w:snapToGrid w:val="0"/>
          <w:kern w:val="0"/>
          <w:sz w:val="24"/>
        </w:rPr>
        <w:footnoteReference w:id="0"/>
      </w:r>
      <w:r>
        <w:rPr>
          <w:rFonts w:hint="eastAsia" w:ascii="Arial" w:hAnsi="Arial" w:eastAsia="宋体" w:cs="Arial"/>
          <w:snapToGrid w:val="0"/>
          <w:kern w:val="0"/>
          <w:sz w:val="24"/>
        </w:rPr>
        <w:t>，对于交流、社会参与和整体健康和生活质量有重要影响</w:t>
      </w:r>
      <w:r>
        <w:rPr>
          <w:rStyle w:val="10"/>
          <w:rFonts w:ascii="Arial" w:hAnsi="Arial" w:eastAsia="宋体" w:cs="Arial"/>
          <w:snapToGrid w:val="0"/>
          <w:kern w:val="0"/>
          <w:sz w:val="24"/>
        </w:rPr>
        <w:footnoteReference w:id="1"/>
      </w:r>
      <w:r>
        <w:rPr>
          <w:rFonts w:hint="eastAsia" w:ascii="Arial" w:hAnsi="Arial" w:eastAsia="宋体" w:cs="Arial"/>
          <w:snapToGrid w:val="0"/>
          <w:kern w:val="0"/>
          <w:sz w:val="24"/>
        </w:rPr>
        <w:t>。</w:t>
      </w:r>
      <w:bookmarkStart w:id="5" w:name="OLE_LINK6"/>
      <w:r>
        <w:rPr>
          <w:rFonts w:hint="eastAsia" w:ascii="Arial" w:hAnsi="Arial" w:eastAsia="宋体" w:cs="Arial"/>
          <w:snapToGrid w:val="0"/>
          <w:kern w:val="0"/>
          <w:sz w:val="24"/>
        </w:rPr>
        <w:t>虽然听力损失的发生率很高，对公众健康的影响很大，但在可以使用助听器的人群中，仅有约五分之一的人会寻求治疗</w:t>
      </w:r>
      <w:bookmarkEnd w:id="5"/>
      <w:r>
        <w:rPr>
          <w:rStyle w:val="10"/>
          <w:rFonts w:ascii="Arial" w:hAnsi="Arial" w:eastAsia="宋体" w:cs="Arial"/>
          <w:snapToGrid w:val="0"/>
          <w:kern w:val="0"/>
          <w:sz w:val="24"/>
        </w:rPr>
        <w:footnoteReference w:id="2"/>
      </w:r>
      <w:r>
        <w:rPr>
          <w:rFonts w:hint="eastAsia" w:ascii="Arial" w:hAnsi="Arial" w:eastAsia="宋体" w:cs="Arial"/>
          <w:snapToGrid w:val="0"/>
          <w:kern w:val="0"/>
          <w:sz w:val="24"/>
        </w:rPr>
        <w:t>。一些原因造成了听力损失人群中助听器的低使用率情况，例如高昂的花费、害怕造成衰老或衰弱的刻板印象、及价值（相对于花费而言的听力收益）等</w:t>
      </w:r>
      <w:r>
        <w:rPr>
          <w:rStyle w:val="10"/>
          <w:rFonts w:ascii="Arial" w:hAnsi="Arial" w:eastAsia="宋体" w:cs="Arial"/>
          <w:snapToGrid w:val="0"/>
          <w:kern w:val="0"/>
          <w:sz w:val="24"/>
        </w:rPr>
        <w:footnoteReference w:id="3"/>
      </w:r>
      <w:r>
        <w:rPr>
          <w:rFonts w:hint="eastAsia" w:ascii="Arial" w:hAnsi="Arial" w:eastAsia="宋体" w:cs="Arial"/>
          <w:snapToGrid w:val="0"/>
          <w:kern w:val="0"/>
          <w:sz w:val="24"/>
        </w:rPr>
        <w:t>。</w:t>
      </w:r>
    </w:p>
    <w:p w14:paraId="50CD2B0F">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FDA关于销售条件的法规也被认为是助听器可用性和易用性的潜在障碍</w:t>
      </w:r>
      <w:r>
        <w:rPr>
          <w:rStyle w:val="10"/>
          <w:rFonts w:ascii="Arial" w:hAnsi="Arial" w:eastAsia="宋体" w:cs="Arial"/>
          <w:snapToGrid w:val="0"/>
          <w:kern w:val="0"/>
          <w:sz w:val="24"/>
        </w:rPr>
        <w:footnoteReference w:id="4"/>
      </w:r>
      <w:r>
        <w:rPr>
          <w:rStyle w:val="10"/>
          <w:rFonts w:ascii="Arial" w:hAnsi="Arial" w:eastAsia="宋体" w:cs="Arial"/>
          <w:snapToGrid w:val="0"/>
          <w:kern w:val="0"/>
          <w:sz w:val="24"/>
        </w:rPr>
        <w:footnoteReference w:id="5"/>
      </w:r>
      <w:r>
        <w:rPr>
          <w:rFonts w:hint="eastAsia" w:ascii="Arial" w:hAnsi="Arial" w:eastAsia="宋体" w:cs="Arial"/>
          <w:snapToGrid w:val="0"/>
          <w:kern w:val="0"/>
          <w:sz w:val="24"/>
        </w:rPr>
        <w:t>。FDA发布本指南旨在与消费者、助听器销售商、助听器制造商以及听力健康专家进行沟通，申明FDA希望不针对助听器器械实施FDA法规所规定的特定销售条件。具体来说，对用于18岁及以上个体的特定助听器器械，FDA希望在销售前不再实施医疗器械评价（</w:t>
      </w:r>
      <w:r>
        <w:rPr>
          <w:rFonts w:ascii="Arial" w:hAnsi="Arial" w:eastAsia="宋体" w:cs="Arial"/>
          <w:snapToGrid w:val="0"/>
          <w:kern w:val="0"/>
          <w:sz w:val="24"/>
        </w:rPr>
        <w:t>21 CFR 801.421（a）</w:t>
      </w:r>
      <w:r>
        <w:rPr>
          <w:rFonts w:hint="eastAsia" w:ascii="Arial" w:hAnsi="Arial" w:eastAsia="宋体" w:cs="Arial"/>
          <w:snapToGrid w:val="0"/>
          <w:kern w:val="0"/>
          <w:sz w:val="24"/>
        </w:rPr>
        <w:t>）或记录保存（</w:t>
      </w:r>
      <w:r>
        <w:rPr>
          <w:rFonts w:ascii="Arial" w:hAnsi="Arial" w:eastAsia="宋体" w:cs="Arial"/>
          <w:snapToGrid w:val="0"/>
          <w:kern w:val="0"/>
          <w:sz w:val="24"/>
        </w:rPr>
        <w:t>21 CFR 801.421（d）</w:t>
      </w:r>
      <w:r>
        <w:rPr>
          <w:rFonts w:hint="eastAsia" w:ascii="Arial" w:hAnsi="Arial" w:eastAsia="宋体" w:cs="Arial"/>
          <w:snapToGrid w:val="0"/>
          <w:kern w:val="0"/>
          <w:sz w:val="24"/>
        </w:rPr>
        <w:t>）要求。但FDA会继续施行</w:t>
      </w:r>
      <w:r>
        <w:rPr>
          <w:rFonts w:ascii="Arial" w:hAnsi="Arial" w:eastAsia="宋体" w:cs="Arial"/>
          <w:snapToGrid w:val="0"/>
          <w:kern w:val="0"/>
          <w:sz w:val="24"/>
        </w:rPr>
        <w:t>21 CFR 801.421（b）</w:t>
      </w:r>
      <w:r>
        <w:rPr>
          <w:rFonts w:hint="eastAsia" w:ascii="Arial" w:hAnsi="Arial" w:eastAsia="宋体" w:cs="Arial"/>
          <w:snapToGrid w:val="0"/>
          <w:kern w:val="0"/>
          <w:sz w:val="24"/>
        </w:rPr>
        <w:t>和（</w:t>
      </w:r>
      <w:r>
        <w:rPr>
          <w:rFonts w:ascii="Arial" w:hAnsi="Arial" w:eastAsia="宋体" w:cs="Arial"/>
          <w:snapToGrid w:val="0"/>
          <w:kern w:val="0"/>
          <w:sz w:val="24"/>
        </w:rPr>
        <w:t>c）</w:t>
      </w:r>
      <w:r>
        <w:rPr>
          <w:rFonts w:hint="eastAsia" w:ascii="Arial" w:hAnsi="Arial" w:eastAsia="宋体" w:cs="Arial"/>
          <w:snapToGrid w:val="0"/>
          <w:kern w:val="0"/>
          <w:sz w:val="24"/>
        </w:rPr>
        <w:t>部分的要求，要求助听器销售商在助听器销售前为可能的用户提供评价产品的机会，并提供包含特定要求标签的</w:t>
      </w:r>
      <w:r>
        <w:rPr>
          <w:rFonts w:hint="eastAsia" w:ascii="宋体" w:hAnsi="宋体" w:eastAsia="宋体" w:cs="Arial"/>
          <w:snapToGrid w:val="0"/>
          <w:kern w:val="0"/>
          <w:sz w:val="24"/>
        </w:rPr>
        <w:t>“</w:t>
      </w:r>
      <w:r>
        <w:rPr>
          <w:rFonts w:hint="eastAsia" w:ascii="Arial" w:hAnsi="Arial" w:eastAsia="宋体" w:cs="Arial"/>
          <w:snapToGrid w:val="0"/>
          <w:kern w:val="0"/>
          <w:sz w:val="24"/>
        </w:rPr>
        <w:t>用户指导手册</w:t>
      </w:r>
      <w:r>
        <w:rPr>
          <w:rFonts w:hint="eastAsia" w:ascii="宋体" w:hAnsi="宋体" w:eastAsia="宋体" w:cs="Arial"/>
          <w:snapToGrid w:val="0"/>
          <w:kern w:val="0"/>
          <w:sz w:val="24"/>
        </w:rPr>
        <w:t>”</w:t>
      </w:r>
      <w:r>
        <w:rPr>
          <w:rFonts w:hint="eastAsia" w:ascii="Arial" w:hAnsi="Arial" w:eastAsia="宋体" w:cs="Arial"/>
          <w:snapToGrid w:val="0"/>
          <w:kern w:val="0"/>
          <w:sz w:val="24"/>
        </w:rPr>
        <w:t>。</w:t>
      </w:r>
    </w:p>
    <w:p w14:paraId="15908524">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本指南在实施前不会寻求公共评论，因为机构认为先期的公众参与不可行或不合适（FD&amp;C法案</w:t>
      </w:r>
      <w:r>
        <w:rPr>
          <w:rFonts w:ascii="Arial" w:hAnsi="Arial" w:eastAsia="宋体" w:cs="Arial"/>
          <w:snapToGrid w:val="0"/>
          <w:kern w:val="0"/>
          <w:sz w:val="24"/>
        </w:rPr>
        <w:t>701（h）（1）（C</w:t>
      </w:r>
      <w:r>
        <w:rPr>
          <w:rFonts w:hint="eastAsia" w:ascii="Arial" w:hAnsi="Arial" w:eastAsia="宋体" w:cs="Arial"/>
          <w:snapToGrid w:val="0"/>
          <w:kern w:val="0"/>
          <w:sz w:val="24"/>
        </w:rPr>
        <w:t>）</w:t>
      </w:r>
      <w:r>
        <w:rPr>
          <w:rFonts w:ascii="Arial" w:hAnsi="Arial" w:eastAsia="宋体" w:cs="Arial"/>
          <w:snapToGrid w:val="0"/>
          <w:kern w:val="0"/>
          <w:sz w:val="24"/>
        </w:rPr>
        <w:t xml:space="preserve"> （i）</w:t>
      </w:r>
      <w:r>
        <w:rPr>
          <w:rFonts w:hint="eastAsia" w:ascii="Arial" w:hAnsi="Arial" w:eastAsia="宋体" w:cs="Arial"/>
          <w:snapToGrid w:val="0"/>
          <w:kern w:val="0"/>
          <w:sz w:val="24"/>
        </w:rPr>
        <w:t>部分和</w:t>
      </w:r>
      <w:r>
        <w:rPr>
          <w:rFonts w:ascii="Arial" w:hAnsi="Arial" w:eastAsia="宋体" w:cs="Arial"/>
          <w:snapToGrid w:val="0"/>
          <w:kern w:val="0"/>
          <w:sz w:val="24"/>
        </w:rPr>
        <w:t xml:space="preserve">21 CFR 10.115 </w:t>
      </w:r>
      <w:r>
        <w:rPr>
          <w:rFonts w:hint="eastAsia" w:ascii="Arial" w:hAnsi="Arial" w:eastAsia="宋体" w:cs="Arial"/>
          <w:snapToGrid w:val="0"/>
          <w:kern w:val="0"/>
          <w:sz w:val="24"/>
        </w:rPr>
        <w:t>（</w:t>
      </w:r>
      <w:r>
        <w:rPr>
          <w:rFonts w:ascii="Arial" w:hAnsi="Arial" w:eastAsia="宋体" w:cs="Arial"/>
          <w:snapToGrid w:val="0"/>
          <w:kern w:val="0"/>
          <w:sz w:val="24"/>
        </w:rPr>
        <w:t>g</w:t>
      </w:r>
      <w:r>
        <w:rPr>
          <w:rFonts w:hint="eastAsia" w:ascii="Arial" w:hAnsi="Arial" w:eastAsia="宋体" w:cs="Arial"/>
          <w:snapToGrid w:val="0"/>
          <w:kern w:val="0"/>
          <w:sz w:val="24"/>
        </w:rPr>
        <w:t>）</w:t>
      </w:r>
      <w:r>
        <w:rPr>
          <w:rFonts w:ascii="Arial" w:hAnsi="Arial" w:eastAsia="宋体" w:cs="Arial"/>
          <w:snapToGrid w:val="0"/>
          <w:kern w:val="0"/>
          <w:sz w:val="24"/>
        </w:rPr>
        <w:t>（2）</w:t>
      </w:r>
      <w:r>
        <w:rPr>
          <w:rFonts w:hint="eastAsia" w:ascii="Arial" w:hAnsi="Arial" w:eastAsia="宋体" w:cs="Arial"/>
          <w:snapToGrid w:val="0"/>
          <w:kern w:val="0"/>
          <w:sz w:val="24"/>
        </w:rPr>
        <w:t>）。FDA认为本指南文件代表了最小负担手段原则，与公众健康一致。虽然本指南即时生效，但适当的情况下，FDA也会考虑接收到的评论并对指南文件进行修改。</w:t>
      </w:r>
    </w:p>
    <w:p w14:paraId="016B8F04">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F</w:t>
      </w:r>
      <w:r>
        <w:rPr>
          <w:rFonts w:ascii="Arial" w:hAnsi="Arial" w:eastAsia="宋体" w:cs="Arial"/>
          <w:snapToGrid w:val="0"/>
          <w:kern w:val="0"/>
          <w:sz w:val="24"/>
        </w:rPr>
        <w:t>DA指导性文件，包括本指南</w:t>
      </w:r>
      <w:r>
        <w:rPr>
          <w:rFonts w:hint="eastAsia" w:ascii="Arial" w:hAnsi="Arial" w:eastAsia="宋体" w:cs="Arial"/>
          <w:snapToGrid w:val="0"/>
          <w:kern w:val="0"/>
          <w:sz w:val="24"/>
        </w:rPr>
        <w:t>在内</w:t>
      </w:r>
      <w:r>
        <w:rPr>
          <w:rFonts w:ascii="Arial" w:hAnsi="Arial" w:eastAsia="宋体" w:cs="Arial"/>
          <w:snapToGrid w:val="0"/>
          <w:kern w:val="0"/>
          <w:sz w:val="24"/>
        </w:rPr>
        <w:t>，不构成具有法律强制力的责任。相反，指南表明了本审查机构对某一主题的最新见解，除非引用具体的法规或法律要求，否则只应视为建议。在本审查机构指南中使用词语</w:t>
      </w:r>
      <w:r>
        <w:rPr>
          <w:rFonts w:hint="eastAsia" w:ascii="宋体" w:hAnsi="宋体" w:eastAsia="宋体" w:cs="Arial"/>
          <w:snapToGrid w:val="0"/>
          <w:kern w:val="0"/>
          <w:sz w:val="24"/>
        </w:rPr>
        <w:t>“</w:t>
      </w:r>
      <w:r>
        <w:rPr>
          <w:rFonts w:hint="eastAsia" w:ascii="Arial" w:hAnsi="Arial" w:eastAsia="宋体" w:cs="Arial"/>
          <w:snapToGrid w:val="0"/>
          <w:kern w:val="0"/>
          <w:sz w:val="24"/>
        </w:rPr>
        <w:t>应</w:t>
      </w:r>
      <w:r>
        <w:rPr>
          <w:rFonts w:hint="eastAsia" w:ascii="宋体" w:hAnsi="宋体" w:eastAsia="宋体" w:cs="Arial"/>
          <w:snapToGrid w:val="0"/>
          <w:kern w:val="0"/>
          <w:sz w:val="24"/>
        </w:rPr>
        <w:t>”</w:t>
      </w:r>
      <w:r>
        <w:rPr>
          <w:rFonts w:ascii="Arial" w:hAnsi="Arial" w:eastAsia="宋体" w:cs="Arial"/>
          <w:snapToGrid w:val="0"/>
          <w:kern w:val="0"/>
          <w:sz w:val="24"/>
        </w:rPr>
        <w:t>是指建议或推荐进行某一事项，并非强制要求。</w:t>
      </w:r>
    </w:p>
    <w:p w14:paraId="23B14FDA">
      <w:pPr>
        <w:pStyle w:val="15"/>
        <w:numPr>
          <w:ilvl w:val="0"/>
          <w:numId w:val="1"/>
        </w:numPr>
        <w:topLinePunct/>
        <w:adjustRightInd w:val="0"/>
        <w:snapToGrid w:val="0"/>
        <w:spacing w:after="234" w:afterLines="75" w:line="288" w:lineRule="auto"/>
        <w:ind w:firstLineChars="0"/>
        <w:rPr>
          <w:rFonts w:ascii="Arial" w:hAnsi="Arial" w:eastAsia="宋体" w:cs="Arial"/>
          <w:b/>
          <w:snapToGrid w:val="0"/>
          <w:kern w:val="0"/>
          <w:sz w:val="32"/>
          <w:szCs w:val="32"/>
        </w:rPr>
      </w:pPr>
      <w:r>
        <w:rPr>
          <w:rFonts w:hint="eastAsia" w:ascii="Arial" w:hAnsi="Arial" w:eastAsia="宋体" w:cs="Arial"/>
          <w:b/>
          <w:snapToGrid w:val="0"/>
          <w:kern w:val="0"/>
          <w:sz w:val="32"/>
          <w:szCs w:val="32"/>
        </w:rPr>
        <w:t>背景</w:t>
      </w:r>
    </w:p>
    <w:p w14:paraId="454D5E94">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虽然听力损失的发生率很高，对公众健康的影响很大，但在可以使用助听器的人群中，仅有约五分之一的人会寻求治疗。鉴于此，FDA已经采取了一些管理措施，希望提高助听器对消费者的可用性和易用性。例如，机构已经豁免了特定类别助听器的上市前通知，包括</w:t>
      </w:r>
      <w:r>
        <w:rPr>
          <w:rFonts w:ascii="Arial" w:hAnsi="Arial" w:eastAsia="宋体" w:cs="Arial"/>
          <w:snapToGrid w:val="0"/>
          <w:kern w:val="0"/>
          <w:sz w:val="24"/>
        </w:rPr>
        <w:t xml:space="preserve">21 CFR 874.3300 </w:t>
      </w:r>
      <w:r>
        <w:rPr>
          <w:rFonts w:hint="eastAsia" w:ascii="Arial" w:hAnsi="Arial" w:eastAsia="宋体" w:cs="Arial"/>
          <w:snapToGrid w:val="0"/>
          <w:kern w:val="0"/>
          <w:sz w:val="24"/>
        </w:rPr>
        <w:t>（</w:t>
      </w:r>
      <w:r>
        <w:rPr>
          <w:rFonts w:ascii="Arial" w:hAnsi="Arial" w:eastAsia="宋体" w:cs="Arial"/>
          <w:snapToGrid w:val="0"/>
          <w:kern w:val="0"/>
          <w:sz w:val="24"/>
        </w:rPr>
        <w:t>b</w:t>
      </w:r>
      <w:r>
        <w:rPr>
          <w:rFonts w:hint="eastAsia" w:ascii="Arial" w:hAnsi="Arial" w:eastAsia="宋体" w:cs="Arial"/>
          <w:snapToGrid w:val="0"/>
          <w:kern w:val="0"/>
          <w:sz w:val="24"/>
        </w:rPr>
        <w:t>）</w:t>
      </w:r>
      <w:r>
        <w:rPr>
          <w:rFonts w:ascii="Arial" w:hAnsi="Arial" w:eastAsia="宋体" w:cs="Arial"/>
          <w:snapToGrid w:val="0"/>
          <w:kern w:val="0"/>
          <w:sz w:val="24"/>
        </w:rPr>
        <w:t>（1）</w:t>
      </w:r>
      <w:r>
        <w:rPr>
          <w:rFonts w:hint="eastAsia" w:ascii="Arial" w:hAnsi="Arial" w:eastAsia="宋体" w:cs="Arial"/>
          <w:snapToGrid w:val="0"/>
          <w:kern w:val="0"/>
          <w:sz w:val="24"/>
        </w:rPr>
        <w:t>和</w:t>
      </w:r>
      <w:r>
        <w:rPr>
          <w:rFonts w:ascii="Arial" w:hAnsi="Arial" w:eastAsia="宋体" w:cs="Arial"/>
          <w:snapToGrid w:val="0"/>
          <w:kern w:val="0"/>
          <w:sz w:val="24"/>
        </w:rPr>
        <w:t>21 CFR 874.3305</w:t>
      </w:r>
      <w:r>
        <w:rPr>
          <w:rFonts w:hint="eastAsia" w:ascii="Arial" w:hAnsi="Arial" w:eastAsia="宋体" w:cs="Arial"/>
          <w:snapToGrid w:val="0"/>
          <w:kern w:val="0"/>
          <w:sz w:val="24"/>
        </w:rPr>
        <w:t>监管范围内的空气传导助听器。但最初实施于1970年的一些其他的FDA法规对标签和销售条件提出了特定的要求，这些法规成为了获取助听器的潜在障碍</w:t>
      </w:r>
      <w:r>
        <w:rPr>
          <w:rStyle w:val="10"/>
          <w:rFonts w:ascii="Arial" w:hAnsi="Arial" w:eastAsia="宋体" w:cs="Arial"/>
          <w:snapToGrid w:val="0"/>
          <w:kern w:val="0"/>
          <w:sz w:val="24"/>
        </w:rPr>
        <w:footnoteReference w:id="6"/>
      </w:r>
      <w:r>
        <w:rPr>
          <w:rStyle w:val="10"/>
          <w:rFonts w:ascii="Arial" w:hAnsi="Arial" w:eastAsia="宋体" w:cs="Arial"/>
          <w:snapToGrid w:val="0"/>
          <w:kern w:val="0"/>
          <w:sz w:val="24"/>
        </w:rPr>
        <w:footnoteReference w:id="7"/>
      </w:r>
      <w:r>
        <w:rPr>
          <w:rFonts w:hint="eastAsia" w:ascii="Arial" w:hAnsi="Arial" w:eastAsia="宋体" w:cs="Arial"/>
          <w:snapToGrid w:val="0"/>
          <w:kern w:val="0"/>
          <w:sz w:val="24"/>
        </w:rPr>
        <w:t>。标签相关法规（</w:t>
      </w:r>
      <w:r>
        <w:rPr>
          <w:rFonts w:ascii="Arial" w:hAnsi="Arial" w:eastAsia="宋体" w:cs="Arial"/>
          <w:snapToGrid w:val="0"/>
          <w:kern w:val="0"/>
          <w:sz w:val="24"/>
        </w:rPr>
        <w:t>21 CFR 801.420</w:t>
      </w:r>
      <w:r>
        <w:rPr>
          <w:rFonts w:hint="eastAsia" w:ascii="Arial" w:hAnsi="Arial" w:eastAsia="宋体" w:cs="Arial"/>
          <w:snapToGrid w:val="0"/>
          <w:kern w:val="0"/>
          <w:sz w:val="24"/>
        </w:rPr>
        <w:t>）要求所有助听器用户指导手册必须包含：1）通用标签说明书（及器械使用、维护与服务的说明书，以及关于助听器不会恢复正常听力的声明），2）一份</w:t>
      </w:r>
      <w:r>
        <w:rPr>
          <w:rFonts w:hint="eastAsia" w:ascii="宋体" w:hAnsi="宋体" w:eastAsia="宋体" w:cs="Arial"/>
          <w:snapToGrid w:val="0"/>
          <w:kern w:val="0"/>
          <w:sz w:val="24"/>
        </w:rPr>
        <w:t>“</w:t>
      </w:r>
      <w:r>
        <w:rPr>
          <w:rFonts w:hint="eastAsia" w:ascii="Arial" w:hAnsi="Arial" w:eastAsia="宋体" w:cs="Arial"/>
          <w:snapToGrid w:val="0"/>
          <w:kern w:val="0"/>
          <w:sz w:val="24"/>
        </w:rPr>
        <w:t>助听器销售商警告</w:t>
      </w:r>
      <w:r>
        <w:rPr>
          <w:rFonts w:hint="eastAsia" w:ascii="宋体" w:hAnsi="宋体" w:eastAsia="宋体" w:cs="Arial"/>
          <w:snapToGrid w:val="0"/>
          <w:kern w:val="0"/>
          <w:sz w:val="24"/>
        </w:rPr>
        <w:t>”</w:t>
      </w:r>
      <w:r>
        <w:rPr>
          <w:rFonts w:hint="eastAsia" w:ascii="Arial" w:hAnsi="Arial" w:eastAsia="宋体" w:cs="Arial"/>
          <w:snapToGrid w:val="0"/>
          <w:kern w:val="0"/>
          <w:sz w:val="24"/>
        </w:rPr>
        <w:t>，如果销售商发现了某种特定情况表明患者为医学可治疗的听力损失，则建议销售商及时将该潜在用户提交至具有测法资质的医生处（推荐为听力专家），3）一份</w:t>
      </w:r>
      <w:r>
        <w:rPr>
          <w:rFonts w:hint="eastAsia" w:ascii="宋体" w:hAnsi="宋体" w:eastAsia="宋体" w:cs="Arial"/>
          <w:snapToGrid w:val="0"/>
          <w:kern w:val="0"/>
          <w:sz w:val="24"/>
        </w:rPr>
        <w:t>“</w:t>
      </w:r>
      <w:r>
        <w:rPr>
          <w:rFonts w:hint="eastAsia" w:ascii="Arial" w:hAnsi="Arial" w:eastAsia="宋体" w:cs="Arial"/>
          <w:snapToGrid w:val="0"/>
          <w:kern w:val="0"/>
          <w:sz w:val="24"/>
        </w:rPr>
        <w:t>对潜在助听器用户的重要通知</w:t>
      </w:r>
      <w:r>
        <w:rPr>
          <w:rFonts w:hint="eastAsia" w:ascii="宋体" w:hAnsi="宋体" w:eastAsia="宋体" w:cs="Arial"/>
          <w:snapToGrid w:val="0"/>
          <w:kern w:val="0"/>
          <w:sz w:val="24"/>
        </w:rPr>
        <w:t>”</w:t>
      </w:r>
      <w:r>
        <w:rPr>
          <w:rFonts w:hint="eastAsia" w:ascii="Arial" w:hAnsi="Arial" w:eastAsia="宋体" w:cs="Arial"/>
          <w:snapToGrid w:val="0"/>
          <w:kern w:val="0"/>
          <w:sz w:val="24"/>
        </w:rPr>
        <w:t>，强调医疗评价（推荐由听力障碍专家进行），和4）对选择、适配和检查助听器性能有用的技术数据。在某种程度上，</w:t>
      </w:r>
      <w:r>
        <w:rPr>
          <w:rFonts w:hint="eastAsia" w:ascii="宋体" w:hAnsi="宋体" w:eastAsia="宋体" w:cs="Arial"/>
          <w:snapToGrid w:val="0"/>
          <w:kern w:val="0"/>
          <w:sz w:val="24"/>
        </w:rPr>
        <w:t>“</w:t>
      </w:r>
      <w:r>
        <w:rPr>
          <w:rFonts w:hint="eastAsia" w:ascii="Arial" w:hAnsi="Arial" w:eastAsia="宋体" w:cs="Arial"/>
          <w:snapToGrid w:val="0"/>
          <w:kern w:val="0"/>
          <w:sz w:val="24"/>
        </w:rPr>
        <w:t>销售条件</w:t>
      </w:r>
      <w:r>
        <w:rPr>
          <w:rFonts w:hint="eastAsia" w:ascii="宋体" w:hAnsi="宋体" w:eastAsia="宋体" w:cs="Arial"/>
          <w:snapToGrid w:val="0"/>
          <w:kern w:val="0"/>
          <w:sz w:val="24"/>
        </w:rPr>
        <w:t>”</w:t>
      </w:r>
      <w:r>
        <w:rPr>
          <w:rFonts w:hint="eastAsia" w:ascii="Arial" w:hAnsi="Arial" w:eastAsia="宋体" w:cs="Arial"/>
          <w:snapToGrid w:val="0"/>
          <w:kern w:val="0"/>
          <w:sz w:val="24"/>
        </w:rPr>
        <w:t>法规（</w:t>
      </w:r>
      <w:r>
        <w:rPr>
          <w:rFonts w:ascii="Arial" w:hAnsi="Arial" w:eastAsia="宋体" w:cs="Arial"/>
          <w:snapToGrid w:val="0"/>
          <w:kern w:val="0"/>
          <w:sz w:val="24"/>
        </w:rPr>
        <w:t>21 CFR 801.421（a）</w:t>
      </w:r>
      <w:r>
        <w:rPr>
          <w:rFonts w:hint="eastAsia" w:ascii="Arial" w:hAnsi="Arial" w:eastAsia="宋体" w:cs="Arial"/>
          <w:snapToGrid w:val="0"/>
          <w:kern w:val="0"/>
          <w:sz w:val="24"/>
        </w:rPr>
        <w:t>）要求所有可能使用助听器的用户必须在使用助听器前6个月内由具有资质的医生进行医学评价。18岁及以上的个体可以通过签署弃权声明来放弃医疗评价的权利。</w:t>
      </w:r>
    </w:p>
    <w:p w14:paraId="3303F0D7">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最近的两份报告提出了针对促进助听器创新和提高可负担性和患者易用性的建议。2015年由</w:t>
      </w:r>
      <w:bookmarkStart w:id="6" w:name="OLE_LINK10"/>
      <w:bookmarkStart w:id="7" w:name="OLE_LINK9"/>
      <w:r>
        <w:rPr>
          <w:rFonts w:hint="eastAsia" w:ascii="Arial" w:hAnsi="Arial" w:eastAsia="宋体" w:cs="Arial"/>
          <w:snapToGrid w:val="0"/>
          <w:kern w:val="0"/>
          <w:sz w:val="24"/>
        </w:rPr>
        <w:t>总统科技顾问委员会（PCAST</w:t>
      </w:r>
      <w:bookmarkEnd w:id="6"/>
      <w:bookmarkEnd w:id="7"/>
      <w:r>
        <w:rPr>
          <w:rFonts w:hint="eastAsia" w:ascii="Arial" w:hAnsi="Arial" w:eastAsia="宋体" w:cs="Arial"/>
          <w:snapToGrid w:val="0"/>
          <w:kern w:val="0"/>
          <w:sz w:val="24"/>
        </w:rPr>
        <w:t>）发布的报告建议，</w:t>
      </w:r>
      <w:r>
        <w:rPr>
          <w:rFonts w:hint="eastAsia" w:ascii="宋体" w:hAnsi="宋体" w:eastAsia="宋体" w:cs="Arial"/>
          <w:snapToGrid w:val="0"/>
          <w:kern w:val="0"/>
          <w:sz w:val="24"/>
        </w:rPr>
        <w:t>“</w:t>
      </w:r>
      <w:r>
        <w:rPr>
          <w:rFonts w:hint="eastAsia" w:ascii="Arial" w:hAnsi="Arial" w:eastAsia="宋体" w:cs="Arial"/>
          <w:snapToGrid w:val="0"/>
          <w:kern w:val="0"/>
          <w:sz w:val="24"/>
        </w:rPr>
        <w:t>FDA应批准【</w:t>
      </w:r>
      <w:r>
        <w:rPr>
          <w:rFonts w:ascii="Arial" w:hAnsi="Arial" w:eastAsia="宋体" w:cs="Arial"/>
          <w:snapToGrid w:val="0"/>
          <w:kern w:val="0"/>
          <w:sz w:val="24"/>
        </w:rPr>
        <w:t>a</w:t>
      </w:r>
      <w:r>
        <w:rPr>
          <w:rFonts w:hint="eastAsia" w:ascii="Arial" w:hAnsi="Arial" w:eastAsia="宋体" w:cs="Arial"/>
          <w:snapToGrid w:val="0"/>
          <w:kern w:val="0"/>
          <w:sz w:val="24"/>
        </w:rPr>
        <w:t>】一类用于非处方（OTC）销售的助听器，</w:t>
      </w:r>
      <w:bookmarkStart w:id="8" w:name="OLE_LINK1"/>
      <w:bookmarkStart w:id="9" w:name="OLE_LINK2"/>
      <w:r>
        <w:rPr>
          <w:rFonts w:hint="eastAsia" w:ascii="Arial" w:hAnsi="Arial" w:eastAsia="宋体" w:cs="Arial"/>
          <w:snapToGrid w:val="0"/>
          <w:kern w:val="0"/>
          <w:sz w:val="24"/>
        </w:rPr>
        <w:t>对持有销售证书的销售商不再要求咨询</w:t>
      </w:r>
      <w:bookmarkEnd w:id="8"/>
      <w:bookmarkEnd w:id="9"/>
      <w:r>
        <w:rPr>
          <w:rFonts w:hint="eastAsia" w:ascii="Arial" w:hAnsi="Arial" w:eastAsia="宋体" w:cs="Arial"/>
          <w:snapToGrid w:val="0"/>
          <w:kern w:val="0"/>
          <w:sz w:val="24"/>
        </w:rPr>
        <w:t>。</w:t>
      </w:r>
      <w:r>
        <w:rPr>
          <w:rFonts w:hint="eastAsia" w:ascii="宋体" w:hAnsi="宋体" w:eastAsia="宋体" w:cs="Arial"/>
          <w:snapToGrid w:val="0"/>
          <w:kern w:val="0"/>
          <w:sz w:val="24"/>
        </w:rPr>
        <w:t>”</w:t>
      </w:r>
      <w:r>
        <w:rPr>
          <w:rFonts w:hint="eastAsia" w:ascii="Arial" w:hAnsi="Arial" w:eastAsia="宋体" w:cs="Arial"/>
          <w:snapToGrid w:val="0"/>
          <w:kern w:val="0"/>
          <w:sz w:val="24"/>
        </w:rPr>
        <w:t>该报告也指出</w:t>
      </w:r>
      <w:r>
        <w:rPr>
          <w:rFonts w:hint="eastAsia" w:ascii="宋体" w:hAnsi="宋体" w:eastAsia="宋体" w:cs="Arial"/>
          <w:snapToGrid w:val="0"/>
          <w:kern w:val="0"/>
          <w:sz w:val="24"/>
        </w:rPr>
        <w:t>“</w:t>
      </w:r>
      <w:r>
        <w:rPr>
          <w:rFonts w:hint="eastAsia" w:ascii="Arial" w:hAnsi="Arial" w:eastAsia="宋体" w:cs="Arial"/>
          <w:snapToGrid w:val="0"/>
          <w:kern w:val="0"/>
          <w:sz w:val="24"/>
        </w:rPr>
        <w:t>对医学检查的要求（或书面放弃该检查）对患者带来的收益有限，却阻碍了数以百万计需要助听器的美国人获取该器械。</w:t>
      </w:r>
      <w:r>
        <w:rPr>
          <w:rFonts w:hint="eastAsia" w:ascii="宋体" w:hAnsi="宋体" w:eastAsia="宋体" w:cs="Arial"/>
          <w:snapToGrid w:val="0"/>
          <w:kern w:val="0"/>
          <w:sz w:val="24"/>
        </w:rPr>
        <w:t>”</w:t>
      </w:r>
      <w:r>
        <w:rPr>
          <w:rFonts w:ascii="Arial" w:hAnsi="Arial" w:eastAsia="宋体" w:cs="Arial"/>
          <w:snapToGrid w:val="0"/>
          <w:kern w:val="0"/>
          <w:sz w:val="24"/>
          <w:vertAlign w:val="superscript"/>
        </w:rPr>
        <w:t>5</w:t>
      </w:r>
      <w:r>
        <w:rPr>
          <w:rFonts w:hint="eastAsia" w:ascii="Arial" w:hAnsi="Arial" w:eastAsia="宋体" w:cs="Arial"/>
          <w:snapToGrid w:val="0"/>
          <w:kern w:val="0"/>
          <w:sz w:val="24"/>
        </w:rPr>
        <w:t>除了PCAST报告外，FDA和其他联邦机构及消费者权益保护团体共同通过国家科学、工程和医学院（NAS）发起了一项题为</w:t>
      </w:r>
      <w:r>
        <w:rPr>
          <w:rFonts w:hint="eastAsia" w:ascii="宋体" w:hAnsi="宋体" w:eastAsia="宋体" w:cs="Arial"/>
          <w:snapToGrid w:val="0"/>
          <w:kern w:val="0"/>
          <w:sz w:val="24"/>
        </w:rPr>
        <w:t>“</w:t>
      </w:r>
      <w:bookmarkStart w:id="10" w:name="OLE_LINK11"/>
      <w:r>
        <w:rPr>
          <w:rFonts w:hint="eastAsia" w:ascii="Arial" w:hAnsi="Arial" w:eastAsia="宋体" w:cs="Arial"/>
          <w:snapToGrid w:val="0"/>
          <w:kern w:val="0"/>
          <w:sz w:val="24"/>
        </w:rPr>
        <w:t>成年人的听力健康护理：提高易用性和可负担性的优先级</w:t>
      </w:r>
      <w:bookmarkEnd w:id="10"/>
      <w:r>
        <w:rPr>
          <w:rFonts w:hint="eastAsia" w:ascii="宋体" w:hAnsi="宋体" w:eastAsia="宋体" w:cs="Arial"/>
          <w:snapToGrid w:val="0"/>
          <w:kern w:val="0"/>
          <w:sz w:val="24"/>
        </w:rPr>
        <w:t>”</w:t>
      </w:r>
      <w:r>
        <w:rPr>
          <w:rFonts w:hint="eastAsia" w:ascii="Arial" w:hAnsi="Arial" w:eastAsia="宋体" w:cs="Arial"/>
          <w:snapToGrid w:val="0"/>
          <w:kern w:val="0"/>
          <w:sz w:val="24"/>
        </w:rPr>
        <w:t>的研究。</w:t>
      </w:r>
      <w:r>
        <w:rPr>
          <w:rFonts w:hint="eastAsia" w:ascii="Arial" w:hAnsi="Arial" w:eastAsia="宋体" w:cs="Arial"/>
          <w:snapToGrid w:val="0"/>
          <w:kern w:val="0"/>
          <w:sz w:val="24"/>
          <w:vertAlign w:val="superscript"/>
        </w:rPr>
        <w:t>6</w:t>
      </w:r>
      <w:r>
        <w:rPr>
          <w:rFonts w:hint="eastAsia" w:ascii="Arial" w:hAnsi="Arial" w:eastAsia="宋体" w:cs="Arial"/>
          <w:snapToGrid w:val="0"/>
          <w:kern w:val="0"/>
          <w:sz w:val="24"/>
        </w:rPr>
        <w:t>NAS于2016年6月2日发布了研究报告，建议取消针对成年人的医学评价要求。在对美国国防部和美国退伍军人事务部的文献及相关临床数据库进行回顾后，NAS认为可治疗的听力损失漏诊带来的健康风险很低，并且</w:t>
      </w:r>
      <w:r>
        <w:rPr>
          <w:rFonts w:hint="eastAsia" w:ascii="宋体" w:hAnsi="宋体" w:eastAsia="宋体" w:cs="Arial"/>
          <w:snapToGrid w:val="0"/>
          <w:kern w:val="0"/>
          <w:sz w:val="24"/>
        </w:rPr>
        <w:t>“</w:t>
      </w:r>
      <w:r>
        <w:rPr>
          <w:rFonts w:hint="eastAsia" w:ascii="Arial" w:hAnsi="Arial" w:eastAsia="宋体" w:cs="Arial"/>
          <w:snapToGrid w:val="0"/>
          <w:kern w:val="0"/>
          <w:sz w:val="24"/>
        </w:rPr>
        <w:t>法规没有具有临床意义的收益，并且弃权过程阻碍了患者获得器械的过程，且对患者安全性没有实质性提高。</w:t>
      </w:r>
      <w:r>
        <w:rPr>
          <w:rFonts w:hint="eastAsia" w:ascii="宋体" w:hAnsi="宋体" w:eastAsia="宋体" w:cs="Arial"/>
          <w:snapToGrid w:val="0"/>
          <w:kern w:val="0"/>
          <w:sz w:val="24"/>
        </w:rPr>
        <w:t>”</w:t>
      </w:r>
      <w:r>
        <w:rPr>
          <w:rFonts w:hint="eastAsia" w:ascii="Arial" w:hAnsi="Arial" w:eastAsia="宋体" w:cs="Arial"/>
          <w:snapToGrid w:val="0"/>
          <w:kern w:val="0"/>
          <w:sz w:val="24"/>
        </w:rPr>
        <w:t>最后，有报告称现在的大多数消费者会签署弃权书而非进行医疗评价。</w:t>
      </w:r>
      <w:r>
        <w:rPr>
          <w:rStyle w:val="10"/>
          <w:rFonts w:ascii="Arial" w:hAnsi="Arial" w:eastAsia="宋体" w:cs="Arial"/>
          <w:snapToGrid w:val="0"/>
          <w:kern w:val="0"/>
          <w:sz w:val="24"/>
        </w:rPr>
        <w:footnoteReference w:id="8"/>
      </w:r>
    </w:p>
    <w:p w14:paraId="7C6FECFB">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基于上述信息，也为了提高消费者获得助听器械的易用性，FDA发布了本指南，传达其不再希望针对助听器实施特定的销售条件要求。除了本指南中所涉及的医疗器械评价和记录要求的建议外，PCAST和NAS报告还提出了其他涉及FDA助听器法规的建议。FDA确实希望在将来适当情况下考虑和采纳这些建议，包括以非处方形式直接出售给消费者的助听器监管框架，对持有销售证书的销售商不再要求咨询等。FDA希望在采纳上述建议前从相关利益方获取更多的公共评论。</w:t>
      </w:r>
    </w:p>
    <w:p w14:paraId="1493A5CB">
      <w:pPr>
        <w:pStyle w:val="15"/>
        <w:numPr>
          <w:ilvl w:val="0"/>
          <w:numId w:val="1"/>
        </w:numPr>
        <w:topLinePunct/>
        <w:adjustRightInd w:val="0"/>
        <w:snapToGrid w:val="0"/>
        <w:spacing w:after="234" w:afterLines="75" w:line="288" w:lineRule="auto"/>
        <w:ind w:firstLineChars="0"/>
        <w:rPr>
          <w:rFonts w:ascii="Arial" w:hAnsi="Arial" w:eastAsia="宋体" w:cs="Arial"/>
          <w:b/>
          <w:snapToGrid w:val="0"/>
          <w:kern w:val="0"/>
          <w:sz w:val="32"/>
          <w:szCs w:val="32"/>
        </w:rPr>
      </w:pPr>
      <w:r>
        <w:rPr>
          <w:rFonts w:hint="eastAsia" w:ascii="Arial" w:hAnsi="Arial" w:eastAsia="宋体" w:cs="Arial"/>
          <w:b/>
          <w:snapToGrid w:val="0"/>
          <w:kern w:val="0"/>
          <w:sz w:val="32"/>
          <w:szCs w:val="32"/>
        </w:rPr>
        <w:t>范围</w:t>
      </w:r>
    </w:p>
    <w:p w14:paraId="6868EEF9">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本指南适用于助听器的一个子集，即</w:t>
      </w:r>
      <w:r>
        <w:rPr>
          <w:rFonts w:ascii="Arial" w:hAnsi="Arial" w:eastAsia="宋体" w:cs="Arial"/>
          <w:snapToGrid w:val="0"/>
          <w:kern w:val="0"/>
          <w:sz w:val="24"/>
        </w:rPr>
        <w:t xml:space="preserve">21 CFR 874.3300 </w:t>
      </w:r>
      <w:r>
        <w:rPr>
          <w:rFonts w:hint="eastAsia" w:ascii="Arial" w:hAnsi="Arial" w:eastAsia="宋体" w:cs="Arial"/>
          <w:snapToGrid w:val="0"/>
          <w:kern w:val="0"/>
          <w:sz w:val="24"/>
        </w:rPr>
        <w:t>（</w:t>
      </w:r>
      <w:r>
        <w:rPr>
          <w:rFonts w:ascii="Arial" w:hAnsi="Arial" w:eastAsia="宋体" w:cs="Arial"/>
          <w:snapToGrid w:val="0"/>
          <w:kern w:val="0"/>
          <w:sz w:val="24"/>
        </w:rPr>
        <w:t>b</w:t>
      </w:r>
      <w:r>
        <w:rPr>
          <w:rFonts w:hint="eastAsia" w:ascii="Arial" w:hAnsi="Arial" w:eastAsia="宋体" w:cs="Arial"/>
          <w:snapToGrid w:val="0"/>
          <w:kern w:val="0"/>
          <w:sz w:val="24"/>
        </w:rPr>
        <w:t>）</w:t>
      </w:r>
      <w:r>
        <w:rPr>
          <w:rFonts w:ascii="Arial" w:hAnsi="Arial" w:eastAsia="宋体" w:cs="Arial"/>
          <w:snapToGrid w:val="0"/>
          <w:kern w:val="0"/>
          <w:sz w:val="24"/>
        </w:rPr>
        <w:t>（1）</w:t>
      </w:r>
      <w:r>
        <w:rPr>
          <w:rFonts w:hint="eastAsia" w:ascii="Arial" w:hAnsi="Arial" w:eastAsia="宋体" w:cs="Arial"/>
          <w:snapToGrid w:val="0"/>
          <w:kern w:val="0"/>
          <w:sz w:val="24"/>
        </w:rPr>
        <w:t>监管范围内的I类空气传导助听器，和</w:t>
      </w:r>
      <w:r>
        <w:rPr>
          <w:rFonts w:ascii="Arial" w:hAnsi="Arial" w:eastAsia="宋体" w:cs="Arial"/>
          <w:snapToGrid w:val="0"/>
          <w:kern w:val="0"/>
          <w:sz w:val="24"/>
        </w:rPr>
        <w:t>21 CFR 874.3305</w:t>
      </w:r>
      <w:r>
        <w:rPr>
          <w:rFonts w:hint="eastAsia" w:ascii="Arial" w:hAnsi="Arial" w:eastAsia="宋体" w:cs="Arial"/>
          <w:snapToGrid w:val="0"/>
          <w:kern w:val="0"/>
          <w:sz w:val="24"/>
        </w:rPr>
        <w:t>监管范围内的II类无线空气传导助听器；根据</w:t>
      </w:r>
      <w:r>
        <w:rPr>
          <w:rFonts w:ascii="Arial" w:hAnsi="Arial" w:eastAsia="宋体" w:cs="Arial"/>
          <w:snapToGrid w:val="0"/>
          <w:kern w:val="0"/>
          <w:sz w:val="24"/>
        </w:rPr>
        <w:t xml:space="preserve">21 CFR 801.420 </w:t>
      </w:r>
      <w:r>
        <w:rPr>
          <w:rFonts w:hint="eastAsia" w:ascii="Arial" w:hAnsi="Arial" w:eastAsia="宋体" w:cs="Arial"/>
          <w:snapToGrid w:val="0"/>
          <w:kern w:val="0"/>
          <w:sz w:val="24"/>
        </w:rPr>
        <w:t>（</w:t>
      </w:r>
      <w:r>
        <w:rPr>
          <w:rFonts w:ascii="Arial" w:hAnsi="Arial" w:eastAsia="宋体" w:cs="Arial"/>
          <w:snapToGrid w:val="0"/>
          <w:kern w:val="0"/>
          <w:sz w:val="24"/>
        </w:rPr>
        <w:t>a</w:t>
      </w:r>
      <w:r>
        <w:rPr>
          <w:rFonts w:hint="eastAsia" w:ascii="Arial" w:hAnsi="Arial" w:eastAsia="宋体" w:cs="Arial"/>
          <w:snapToGrid w:val="0"/>
          <w:kern w:val="0"/>
          <w:sz w:val="24"/>
        </w:rPr>
        <w:t>）</w:t>
      </w:r>
      <w:r>
        <w:rPr>
          <w:rFonts w:ascii="Arial" w:hAnsi="Arial" w:eastAsia="宋体" w:cs="Arial"/>
          <w:snapToGrid w:val="0"/>
          <w:kern w:val="0"/>
          <w:sz w:val="24"/>
        </w:rPr>
        <w:t>（1）</w:t>
      </w:r>
      <w:r>
        <w:rPr>
          <w:rFonts w:hint="eastAsia" w:ascii="Arial" w:hAnsi="Arial" w:eastAsia="宋体" w:cs="Arial"/>
          <w:snapToGrid w:val="0"/>
          <w:kern w:val="0"/>
          <w:sz w:val="24"/>
        </w:rPr>
        <w:t>，其中助听器的定义是</w:t>
      </w:r>
      <w:r>
        <w:rPr>
          <w:rFonts w:hint="eastAsia" w:ascii="宋体" w:hAnsi="宋体" w:eastAsia="宋体" w:cs="Arial"/>
          <w:snapToGrid w:val="0"/>
          <w:kern w:val="0"/>
          <w:sz w:val="24"/>
        </w:rPr>
        <w:t>“</w:t>
      </w:r>
      <w:r>
        <w:rPr>
          <w:rFonts w:hint="eastAsia" w:ascii="Arial" w:hAnsi="Arial" w:eastAsia="宋体" w:cs="Arial"/>
          <w:snapToGrid w:val="0"/>
          <w:kern w:val="0"/>
          <w:sz w:val="24"/>
        </w:rPr>
        <w:t>设计功能、目的或实际作用为辅助个体或补偿受损听力的可穿戴式设备或器械</w:t>
      </w:r>
      <w:r>
        <w:rPr>
          <w:rFonts w:hint="eastAsia" w:ascii="宋体" w:hAnsi="宋体" w:eastAsia="宋体" w:cs="Arial"/>
          <w:snapToGrid w:val="0"/>
          <w:kern w:val="0"/>
          <w:sz w:val="24"/>
        </w:rPr>
        <w:t>”</w:t>
      </w:r>
      <w:r>
        <w:rPr>
          <w:rFonts w:hint="eastAsia" w:ascii="Arial" w:hAnsi="Arial" w:eastAsia="宋体" w:cs="Arial"/>
          <w:snapToGrid w:val="0"/>
          <w:kern w:val="0"/>
          <w:sz w:val="24"/>
        </w:rPr>
        <w:t>。</w:t>
      </w:r>
    </w:p>
    <w:p w14:paraId="5702E35D">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5DF6A3AC">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本指南不适用于</w:t>
      </w:r>
      <w:r>
        <w:rPr>
          <w:rFonts w:ascii="Arial" w:hAnsi="Arial" w:eastAsia="宋体" w:cs="Arial"/>
          <w:snapToGrid w:val="0"/>
          <w:kern w:val="0"/>
          <w:sz w:val="24"/>
        </w:rPr>
        <w:t xml:space="preserve">21 CFR 874.3300 </w:t>
      </w:r>
      <w:r>
        <w:rPr>
          <w:rFonts w:hint="eastAsia" w:ascii="Arial" w:hAnsi="Arial" w:eastAsia="宋体" w:cs="Arial"/>
          <w:snapToGrid w:val="0"/>
          <w:kern w:val="0"/>
          <w:sz w:val="24"/>
        </w:rPr>
        <w:t>（</w:t>
      </w:r>
      <w:r>
        <w:rPr>
          <w:rFonts w:ascii="Arial" w:hAnsi="Arial" w:eastAsia="宋体" w:cs="Arial"/>
          <w:snapToGrid w:val="0"/>
          <w:kern w:val="0"/>
          <w:sz w:val="24"/>
        </w:rPr>
        <w:t>b</w:t>
      </w:r>
      <w:r>
        <w:rPr>
          <w:rFonts w:hint="eastAsia" w:ascii="Arial" w:hAnsi="Arial" w:eastAsia="宋体" w:cs="Arial"/>
          <w:snapToGrid w:val="0"/>
          <w:kern w:val="0"/>
          <w:sz w:val="24"/>
        </w:rPr>
        <w:t>）</w:t>
      </w:r>
      <w:r>
        <w:rPr>
          <w:rFonts w:ascii="Arial" w:hAnsi="Arial" w:eastAsia="宋体" w:cs="Arial"/>
          <w:snapToGrid w:val="0"/>
          <w:kern w:val="0"/>
          <w:sz w:val="24"/>
        </w:rPr>
        <w:t>（2）</w:t>
      </w:r>
      <w:r>
        <w:rPr>
          <w:rFonts w:hint="eastAsia" w:ascii="Arial" w:hAnsi="Arial" w:eastAsia="宋体" w:cs="Arial"/>
          <w:snapToGrid w:val="0"/>
          <w:kern w:val="0"/>
          <w:sz w:val="24"/>
        </w:rPr>
        <w:t>定义的II类骨传导助听器。骨传导助听器一般同于特定类型的听力损失（例如传导性／混合性听力损失，单侧听力损失），常用语具有重要疾病（例如慢性耳道流液、耳道闭锁或变型）需要特别注意的患者。同时，标注为仅用于处方用的助听器，如由听觉健康专家操作植入耳道深部的助听器，仍应在批准后出售。</w:t>
      </w:r>
    </w:p>
    <w:p w14:paraId="46203718">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本指南不适用于</w:t>
      </w:r>
      <w:bookmarkStart w:id="11" w:name="OLE_LINK4"/>
      <w:bookmarkStart w:id="12" w:name="OLE_LINK3"/>
      <w:r>
        <w:rPr>
          <w:rFonts w:hint="eastAsia" w:ascii="Arial" w:hAnsi="Arial" w:eastAsia="宋体" w:cs="Arial"/>
          <w:snapToGrid w:val="0"/>
          <w:kern w:val="0"/>
          <w:sz w:val="24"/>
        </w:rPr>
        <w:t>18岁及以下</w:t>
      </w:r>
      <w:bookmarkEnd w:id="11"/>
      <w:bookmarkEnd w:id="12"/>
      <w:r>
        <w:rPr>
          <w:rFonts w:hint="eastAsia" w:ascii="Arial" w:hAnsi="Arial" w:eastAsia="宋体" w:cs="Arial"/>
          <w:snapToGrid w:val="0"/>
          <w:kern w:val="0"/>
          <w:sz w:val="24"/>
        </w:rPr>
        <w:t>患者的助听器。对于18岁及以下可能使用助听器的患者，FDA将继续施行医疗评价要求。</w:t>
      </w:r>
    </w:p>
    <w:p w14:paraId="4D65BC10">
      <w:pPr>
        <w:pStyle w:val="15"/>
        <w:numPr>
          <w:ilvl w:val="0"/>
          <w:numId w:val="1"/>
        </w:numPr>
        <w:topLinePunct/>
        <w:adjustRightInd w:val="0"/>
        <w:snapToGrid w:val="0"/>
        <w:spacing w:after="234" w:afterLines="75" w:line="288" w:lineRule="auto"/>
        <w:ind w:firstLineChars="0"/>
        <w:rPr>
          <w:rFonts w:ascii="Arial" w:hAnsi="Arial" w:eastAsia="宋体" w:cs="Arial"/>
          <w:b/>
          <w:snapToGrid w:val="0"/>
          <w:kern w:val="0"/>
          <w:sz w:val="32"/>
          <w:szCs w:val="32"/>
        </w:rPr>
      </w:pPr>
      <w:r>
        <w:rPr>
          <w:rFonts w:hint="eastAsia" w:ascii="Arial" w:hAnsi="Arial" w:eastAsia="宋体" w:cs="Arial"/>
          <w:b/>
          <w:snapToGrid w:val="0"/>
          <w:kern w:val="0"/>
          <w:sz w:val="32"/>
          <w:szCs w:val="32"/>
        </w:rPr>
        <w:t>销售条件途径</w:t>
      </w:r>
    </w:p>
    <w:p w14:paraId="7A79D213">
      <w:pPr>
        <w:topLinePunct/>
        <w:adjustRightInd w:val="0"/>
        <w:snapToGrid w:val="0"/>
        <w:spacing w:after="234" w:afterLines="75" w:line="288" w:lineRule="auto"/>
        <w:jc w:val="left"/>
        <w:rPr>
          <w:rFonts w:ascii="Arial" w:hAnsi="Arial" w:eastAsia="宋体" w:cs="Arial"/>
          <w:snapToGrid w:val="0"/>
          <w:kern w:val="0"/>
          <w:sz w:val="24"/>
        </w:rPr>
      </w:pPr>
      <w:r>
        <w:rPr>
          <w:rFonts w:hint="eastAsia" w:ascii="Arial" w:hAnsi="Arial" w:eastAsia="宋体" w:cs="Arial"/>
          <w:snapToGrid w:val="0"/>
          <w:kern w:val="0"/>
          <w:sz w:val="24"/>
        </w:rPr>
        <w:t>如上文所述，近期来自于PCAST和NAS的专家报告和建议</w:t>
      </w:r>
      <w:r>
        <w:rPr>
          <w:rStyle w:val="10"/>
          <w:rFonts w:ascii="Arial" w:hAnsi="Arial" w:eastAsia="宋体" w:cs="Arial"/>
          <w:snapToGrid w:val="0"/>
          <w:kern w:val="0"/>
          <w:sz w:val="24"/>
        </w:rPr>
        <w:footnoteReference w:id="9"/>
      </w:r>
      <w:r>
        <w:rPr>
          <w:rStyle w:val="10"/>
          <w:rFonts w:ascii="Arial" w:hAnsi="Arial" w:eastAsia="宋体" w:cs="Arial"/>
          <w:snapToGrid w:val="0"/>
          <w:kern w:val="0"/>
          <w:sz w:val="24"/>
        </w:rPr>
        <w:footnoteReference w:id="10"/>
      </w:r>
      <w:r>
        <w:rPr>
          <w:rFonts w:hint="eastAsia" w:ascii="Arial" w:hAnsi="Arial" w:eastAsia="宋体" w:cs="Arial"/>
          <w:snapToGrid w:val="0"/>
          <w:kern w:val="0"/>
          <w:sz w:val="24"/>
        </w:rPr>
        <w:t>，以及对指南文件</w:t>
      </w:r>
      <w:r>
        <w:rPr>
          <w:rFonts w:hint="eastAsia" w:ascii="宋体" w:hAnsi="宋体" w:eastAsia="宋体" w:cs="Arial"/>
          <w:snapToGrid w:val="0"/>
          <w:kern w:val="0"/>
          <w:sz w:val="24"/>
        </w:rPr>
        <w:t>“</w:t>
      </w:r>
      <w:r>
        <w:rPr>
          <w:rFonts w:hint="eastAsia" w:ascii="Arial" w:hAnsi="Arial" w:eastAsia="宋体" w:cs="Arial"/>
          <w:snapToGrid w:val="0"/>
          <w:kern w:val="0"/>
          <w:sz w:val="24"/>
        </w:rPr>
        <w:t>助听器械和个人声音放大产品的监管要求——行业和FDA工作人员指南草案</w:t>
      </w:r>
      <w:r>
        <w:rPr>
          <w:rFonts w:hint="eastAsia" w:ascii="宋体" w:hAnsi="宋体" w:eastAsia="宋体" w:cs="Arial"/>
          <w:snapToGrid w:val="0"/>
          <w:kern w:val="0"/>
          <w:sz w:val="24"/>
        </w:rPr>
        <w:t>”</w:t>
      </w:r>
      <w:r>
        <w:rPr>
          <w:rFonts w:hint="eastAsia" w:ascii="Arial" w:hAnsi="Arial" w:eastAsia="宋体" w:cs="Arial"/>
          <w:snapToGrid w:val="0"/>
          <w:kern w:val="0"/>
          <w:sz w:val="24"/>
        </w:rPr>
        <w:t>（</w:t>
      </w:r>
      <w:r>
        <w:fldChar w:fldCharType="begin"/>
      </w:r>
      <w:r>
        <w:instrText xml:space="preserve"> HYPERLINK "http://www.fda.gov/MedicalDevices/DeviceRegulationandGuidance/GuidanceDocuments/ucm373461.htm" </w:instrText>
      </w:r>
      <w:r>
        <w:fldChar w:fldCharType="separate"/>
      </w:r>
      <w:r>
        <w:rPr>
          <w:rStyle w:val="9"/>
          <w:rFonts w:ascii="Arial" w:hAnsi="Arial" w:eastAsia="宋体" w:cs="Arial"/>
          <w:snapToGrid w:val="0"/>
          <w:kern w:val="0"/>
          <w:sz w:val="24"/>
        </w:rPr>
        <w:t>http://www.fda.gov/MedicalDevices/DeviceRegulationandGuidance/GuidanceDocuments/ucm373461.htm</w:t>
      </w:r>
      <w:r>
        <w:rPr>
          <w:rStyle w:val="9"/>
          <w:rFonts w:ascii="Arial" w:hAnsi="Arial" w:eastAsia="宋体" w:cs="Arial"/>
          <w:snapToGrid w:val="0"/>
          <w:kern w:val="0"/>
          <w:sz w:val="24"/>
        </w:rPr>
        <w:fldChar w:fldCharType="end"/>
      </w:r>
      <w:r>
        <w:rPr>
          <w:rFonts w:hint="eastAsia" w:ascii="Arial" w:hAnsi="Arial" w:eastAsia="宋体" w:cs="Arial"/>
          <w:snapToGrid w:val="0"/>
          <w:kern w:val="0"/>
          <w:sz w:val="24"/>
        </w:rPr>
        <w:t xml:space="preserve"> ）的公共评论，以及FDA针对</w:t>
      </w:r>
      <w:r>
        <w:rPr>
          <w:rFonts w:hint="eastAsia" w:ascii="宋体" w:hAnsi="宋体" w:eastAsia="宋体" w:cs="Arial"/>
          <w:snapToGrid w:val="0"/>
          <w:kern w:val="0"/>
          <w:sz w:val="24"/>
        </w:rPr>
        <w:t>“</w:t>
      </w:r>
      <w:r>
        <w:rPr>
          <w:rFonts w:hint="eastAsia" w:ascii="Arial" w:hAnsi="Arial" w:eastAsia="宋体" w:cs="Arial"/>
          <w:snapToGrid w:val="0"/>
          <w:kern w:val="0"/>
          <w:sz w:val="24"/>
        </w:rPr>
        <w:t>建立助听器良好生产规范的流程</w:t>
      </w:r>
      <w:r>
        <w:rPr>
          <w:rFonts w:hint="eastAsia" w:ascii="宋体" w:hAnsi="宋体" w:eastAsia="宋体" w:cs="Arial"/>
          <w:snapToGrid w:val="0"/>
          <w:kern w:val="0"/>
          <w:sz w:val="24"/>
        </w:rPr>
        <w:t>”</w:t>
      </w:r>
      <w:r>
        <w:rPr>
          <w:rFonts w:hint="eastAsia" w:ascii="Arial" w:hAnsi="Arial" w:eastAsia="宋体" w:cs="Arial"/>
          <w:snapToGrid w:val="0"/>
          <w:kern w:val="0"/>
          <w:sz w:val="24"/>
        </w:rPr>
        <w:t>（</w:t>
      </w:r>
      <w:r>
        <w:fldChar w:fldCharType="begin"/>
      </w:r>
      <w:r>
        <w:instrText xml:space="preserve"> HYPERLINK "http://www.fda.gov/MedicalDevices/NewsEvents/WorkshopsConferences/ucm480336.htm" </w:instrText>
      </w:r>
      <w:r>
        <w:fldChar w:fldCharType="separate"/>
      </w:r>
      <w:r>
        <w:rPr>
          <w:rStyle w:val="9"/>
          <w:rFonts w:ascii="Arial" w:hAnsi="Arial" w:eastAsia="宋体" w:cs="Arial"/>
          <w:snapToGrid w:val="0"/>
          <w:kern w:val="0"/>
          <w:sz w:val="24"/>
        </w:rPr>
        <w:t>http://www.fda.gov/MedicalDevices/NewsEvents/WorkshopsConferences/ucm480336.htm</w:t>
      </w:r>
      <w:r>
        <w:rPr>
          <w:rStyle w:val="9"/>
          <w:rFonts w:ascii="Arial" w:hAnsi="Arial" w:eastAsia="宋体" w:cs="Arial"/>
          <w:snapToGrid w:val="0"/>
          <w:kern w:val="0"/>
          <w:sz w:val="24"/>
        </w:rPr>
        <w:fldChar w:fldCharType="end"/>
      </w:r>
      <w:r>
        <w:rPr>
          <w:rFonts w:hint="eastAsia" w:ascii="Arial" w:hAnsi="Arial" w:eastAsia="宋体" w:cs="Arial"/>
          <w:snapToGrid w:val="0"/>
          <w:kern w:val="0"/>
          <w:sz w:val="24"/>
        </w:rPr>
        <w:t>）的工作会议均为FDA提供了当前助听器监管框架的新的信息和观点。尤其是PCAST和NAS报告达成了相似的结论，即医学检查和弃权要求对1</w:t>
      </w:r>
      <w:r>
        <w:rPr>
          <w:rFonts w:ascii="Arial" w:hAnsi="Arial" w:eastAsia="宋体" w:cs="Arial"/>
          <w:snapToGrid w:val="0"/>
          <w:kern w:val="0"/>
          <w:sz w:val="24"/>
        </w:rPr>
        <w:t>8</w:t>
      </w:r>
      <w:r>
        <w:rPr>
          <w:rFonts w:hint="eastAsia" w:ascii="Arial" w:hAnsi="Arial" w:eastAsia="宋体" w:cs="Arial"/>
          <w:snapToGrid w:val="0"/>
          <w:kern w:val="0"/>
          <w:sz w:val="24"/>
        </w:rPr>
        <w:t>岁及以上的患者带来的收益甚微，却阻碍了可能受益于助听器的患者获取器械的易用性。基于这些观点，以及考虑到目前大多数消费者选择放弃医疗检查的要求，FDA希望重新审查及进一步修改相应的</w:t>
      </w:r>
      <w:r>
        <w:rPr>
          <w:rFonts w:hint="eastAsia" w:ascii="宋体" w:hAnsi="宋体" w:eastAsia="宋体" w:cs="Arial"/>
          <w:snapToGrid w:val="0"/>
          <w:kern w:val="0"/>
          <w:sz w:val="24"/>
        </w:rPr>
        <w:t>“</w:t>
      </w:r>
      <w:r>
        <w:rPr>
          <w:rFonts w:hint="eastAsia" w:ascii="Arial" w:hAnsi="Arial" w:eastAsia="宋体" w:cs="Arial"/>
          <w:snapToGrid w:val="0"/>
          <w:kern w:val="0"/>
          <w:sz w:val="24"/>
        </w:rPr>
        <w:t>销售条件</w:t>
      </w:r>
      <w:r>
        <w:rPr>
          <w:rFonts w:hint="eastAsia" w:ascii="宋体" w:hAnsi="宋体" w:eastAsia="宋体" w:cs="Arial"/>
          <w:snapToGrid w:val="0"/>
          <w:kern w:val="0"/>
          <w:sz w:val="24"/>
        </w:rPr>
        <w:t>”</w:t>
      </w:r>
      <w:r>
        <w:rPr>
          <w:rFonts w:hint="eastAsia" w:ascii="Arial" w:hAnsi="Arial" w:eastAsia="宋体" w:cs="Arial"/>
          <w:snapToGrid w:val="0"/>
          <w:kern w:val="0"/>
          <w:sz w:val="24"/>
        </w:rPr>
        <w:t>法规（</w:t>
      </w:r>
      <w:r>
        <w:rPr>
          <w:rFonts w:ascii="Arial" w:hAnsi="Arial" w:eastAsia="宋体" w:cs="Arial"/>
          <w:snapToGrid w:val="0"/>
          <w:kern w:val="0"/>
          <w:sz w:val="24"/>
        </w:rPr>
        <w:t>21 CFR 801.421</w:t>
      </w:r>
      <w:r>
        <w:rPr>
          <w:rFonts w:hint="eastAsia" w:ascii="Arial" w:hAnsi="Arial" w:eastAsia="宋体" w:cs="Arial"/>
          <w:snapToGrid w:val="0"/>
          <w:kern w:val="0"/>
          <w:sz w:val="24"/>
        </w:rPr>
        <w:t>）。该提案的通知会在联邦公报上提供。但出于与重新评价助听器法规相同的原因，指导最终规定或要求发布前，FDA不会针对本指南文件中所描述的特定助听器施行具体的</w:t>
      </w:r>
      <w:r>
        <w:rPr>
          <w:rFonts w:hint="eastAsia" w:ascii="宋体" w:hAnsi="宋体" w:eastAsia="宋体" w:cs="Arial"/>
          <w:snapToGrid w:val="0"/>
          <w:kern w:val="0"/>
          <w:sz w:val="24"/>
        </w:rPr>
        <w:t>“</w:t>
      </w:r>
      <w:r>
        <w:rPr>
          <w:rFonts w:hint="eastAsia" w:ascii="Arial" w:hAnsi="Arial" w:eastAsia="宋体" w:cs="Arial"/>
          <w:snapToGrid w:val="0"/>
          <w:kern w:val="0"/>
          <w:sz w:val="24"/>
        </w:rPr>
        <w:t>销售条件</w:t>
      </w:r>
      <w:r>
        <w:rPr>
          <w:rFonts w:hint="eastAsia" w:ascii="宋体" w:hAnsi="宋体" w:eastAsia="宋体" w:cs="Arial"/>
          <w:snapToGrid w:val="0"/>
          <w:kern w:val="0"/>
          <w:sz w:val="24"/>
        </w:rPr>
        <w:t>”</w:t>
      </w:r>
      <w:r>
        <w:rPr>
          <w:rFonts w:hint="eastAsia" w:ascii="Arial" w:hAnsi="Arial" w:eastAsia="宋体" w:cs="Arial"/>
          <w:snapToGrid w:val="0"/>
          <w:kern w:val="0"/>
          <w:sz w:val="24"/>
        </w:rPr>
        <w:t>规定。</w:t>
      </w:r>
    </w:p>
    <w:p w14:paraId="13568792">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本政策同时也会继续实施已有的助听器标签要求，包括针对潜在助听器使用人群的声明（</w:t>
      </w:r>
      <w:r>
        <w:rPr>
          <w:rFonts w:ascii="Arial" w:hAnsi="Arial" w:eastAsia="宋体" w:cs="Arial"/>
          <w:snapToGrid w:val="0"/>
          <w:kern w:val="0"/>
          <w:sz w:val="24"/>
        </w:rPr>
        <w:t>21 CFR 801.420（c）（3）</w:t>
      </w:r>
      <w:r>
        <w:rPr>
          <w:rFonts w:hint="eastAsia" w:ascii="Arial" w:hAnsi="Arial" w:eastAsia="宋体" w:cs="Arial"/>
          <w:snapToGrid w:val="0"/>
          <w:kern w:val="0"/>
          <w:sz w:val="24"/>
        </w:rPr>
        <w:t>），包括：</w:t>
      </w:r>
    </w:p>
    <w:p w14:paraId="0ECB12B6">
      <w:pPr>
        <w:topLinePunct/>
        <w:adjustRightInd w:val="0"/>
        <w:snapToGrid w:val="0"/>
        <w:spacing w:line="288" w:lineRule="auto"/>
        <w:ind w:left="424" w:leftChars="202"/>
        <w:rPr>
          <w:rFonts w:ascii="Arial" w:hAnsi="Arial" w:eastAsia="宋体" w:cs="Arial"/>
          <w:i/>
          <w:snapToGrid w:val="0"/>
          <w:kern w:val="0"/>
          <w:sz w:val="24"/>
        </w:rPr>
      </w:pPr>
      <w:r>
        <w:rPr>
          <w:rFonts w:hint="eastAsia" w:ascii="Arial" w:hAnsi="Arial" w:eastAsia="宋体" w:cs="Arial"/>
          <w:i/>
          <w:snapToGrid w:val="0"/>
          <w:kern w:val="0"/>
          <w:sz w:val="24"/>
        </w:rPr>
        <w:t>用户指导手册应包含提醒：</w:t>
      </w:r>
    </w:p>
    <w:p w14:paraId="42251F7B">
      <w:pPr>
        <w:topLinePunct/>
        <w:adjustRightInd w:val="0"/>
        <w:snapToGrid w:val="0"/>
        <w:spacing w:after="234" w:afterLines="75" w:line="288" w:lineRule="auto"/>
        <w:ind w:left="424" w:leftChars="202"/>
        <w:rPr>
          <w:rFonts w:ascii="Arial" w:hAnsi="Arial" w:eastAsia="宋体" w:cs="Arial"/>
          <w:i/>
          <w:snapToGrid w:val="0"/>
          <w:kern w:val="0"/>
          <w:sz w:val="24"/>
        </w:rPr>
      </w:pPr>
      <w:r>
        <w:rPr>
          <w:rFonts w:hint="eastAsia" w:ascii="Arial" w:hAnsi="Arial" w:eastAsia="宋体" w:cs="Arial"/>
          <w:i/>
          <w:snapToGrid w:val="0"/>
          <w:kern w:val="0"/>
          <w:sz w:val="24"/>
        </w:rPr>
        <w:t>针对潜在助听器用户的重要提醒：</w:t>
      </w:r>
    </w:p>
    <w:p w14:paraId="40896924">
      <w:pPr>
        <w:widowControl/>
        <w:jc w:val="left"/>
        <w:rPr>
          <w:rFonts w:ascii="Arial" w:hAnsi="Arial" w:eastAsia="宋体" w:cs="Arial"/>
          <w:i/>
          <w:snapToGrid w:val="0"/>
          <w:kern w:val="0"/>
          <w:sz w:val="24"/>
        </w:rPr>
      </w:pPr>
      <w:r>
        <w:rPr>
          <w:rFonts w:ascii="Arial" w:hAnsi="Arial" w:eastAsia="宋体" w:cs="Arial"/>
          <w:i/>
          <w:snapToGrid w:val="0"/>
          <w:kern w:val="0"/>
          <w:sz w:val="24"/>
        </w:rPr>
        <w:br w:type="page"/>
      </w:r>
    </w:p>
    <w:p w14:paraId="4571FE50">
      <w:pPr>
        <w:topLinePunct/>
        <w:adjustRightInd w:val="0"/>
        <w:snapToGrid w:val="0"/>
        <w:spacing w:after="234" w:afterLines="75" w:line="288" w:lineRule="auto"/>
        <w:ind w:left="424" w:leftChars="202"/>
        <w:rPr>
          <w:rFonts w:ascii="Arial" w:hAnsi="Arial" w:eastAsia="宋体" w:cs="Arial"/>
          <w:i/>
          <w:snapToGrid w:val="0"/>
          <w:kern w:val="0"/>
          <w:sz w:val="24"/>
        </w:rPr>
      </w:pPr>
      <w:r>
        <w:rPr>
          <w:rFonts w:hint="eastAsia" w:ascii="Arial" w:hAnsi="Arial" w:eastAsia="宋体" w:cs="Arial"/>
          <w:i/>
          <w:snapToGrid w:val="0"/>
          <w:kern w:val="0"/>
          <w:sz w:val="24"/>
        </w:rPr>
        <w:t>良好健康行为规范要求听力受损的患者在购买助听器前由具有资质的医生（建议由</w:t>
      </w:r>
      <w:bookmarkStart w:id="13" w:name="OLE_LINK5"/>
      <w:r>
        <w:rPr>
          <w:rFonts w:hint="eastAsia" w:ascii="Arial" w:hAnsi="Arial" w:eastAsia="宋体" w:cs="Arial"/>
          <w:i/>
          <w:snapToGrid w:val="0"/>
          <w:kern w:val="0"/>
          <w:sz w:val="24"/>
        </w:rPr>
        <w:t>耳科疾病专家进行</w:t>
      </w:r>
      <w:bookmarkEnd w:id="13"/>
      <w:r>
        <w:rPr>
          <w:rFonts w:hint="eastAsia" w:ascii="Arial" w:hAnsi="Arial" w:eastAsia="宋体" w:cs="Arial"/>
          <w:i/>
          <w:snapToGrid w:val="0"/>
          <w:kern w:val="0"/>
          <w:sz w:val="24"/>
        </w:rPr>
        <w:t>）进行医学评价。具有资质的耳科疾病专家一般指的是耳鼻喉科医生、耳科医生或耳鼻喉科科学家。医学评价的目的是确保购买助听器前所有可治疗的影响听力的疾病已经确定并接受了治疗。</w:t>
      </w:r>
    </w:p>
    <w:p w14:paraId="38888211">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另外，</w:t>
      </w:r>
      <w:r>
        <w:rPr>
          <w:rFonts w:ascii="Arial" w:hAnsi="Arial" w:eastAsia="宋体" w:cs="Arial"/>
          <w:snapToGrid w:val="0"/>
          <w:kern w:val="0"/>
          <w:sz w:val="24"/>
        </w:rPr>
        <w:t xml:space="preserve">21 CFR 801.420 </w:t>
      </w:r>
      <w:r>
        <w:rPr>
          <w:rFonts w:hint="eastAsia" w:ascii="Arial" w:hAnsi="Arial" w:eastAsia="宋体" w:cs="Arial"/>
          <w:snapToGrid w:val="0"/>
          <w:kern w:val="0"/>
          <w:sz w:val="24"/>
        </w:rPr>
        <w:t>（</w:t>
      </w:r>
      <w:r>
        <w:rPr>
          <w:rFonts w:ascii="Arial" w:hAnsi="Arial" w:eastAsia="宋体" w:cs="Arial"/>
          <w:snapToGrid w:val="0"/>
          <w:kern w:val="0"/>
          <w:sz w:val="24"/>
        </w:rPr>
        <w:t>c</w:t>
      </w:r>
      <w:r>
        <w:rPr>
          <w:rFonts w:hint="eastAsia" w:ascii="Arial" w:hAnsi="Arial" w:eastAsia="宋体" w:cs="Arial"/>
          <w:snapToGrid w:val="0"/>
          <w:kern w:val="0"/>
          <w:sz w:val="24"/>
        </w:rPr>
        <w:t>）</w:t>
      </w:r>
      <w:r>
        <w:rPr>
          <w:rFonts w:ascii="Arial" w:hAnsi="Arial" w:eastAsia="宋体" w:cs="Arial"/>
          <w:snapToGrid w:val="0"/>
          <w:kern w:val="0"/>
          <w:sz w:val="24"/>
        </w:rPr>
        <w:t>（2）</w:t>
      </w:r>
      <w:r>
        <w:rPr>
          <w:rFonts w:hint="eastAsia" w:ascii="Arial" w:hAnsi="Arial" w:eastAsia="宋体" w:cs="Arial"/>
          <w:snapToGrid w:val="0"/>
          <w:kern w:val="0"/>
          <w:sz w:val="24"/>
        </w:rPr>
        <w:t>还要求包含一份警告声明，如下：</w:t>
      </w:r>
    </w:p>
    <w:p w14:paraId="6407B44A">
      <w:pPr>
        <w:topLinePunct/>
        <w:adjustRightInd w:val="0"/>
        <w:snapToGrid w:val="0"/>
        <w:spacing w:after="234" w:afterLines="75" w:line="288" w:lineRule="auto"/>
        <w:ind w:left="840" w:leftChars="400"/>
        <w:rPr>
          <w:rFonts w:ascii="Arial" w:hAnsi="Arial" w:eastAsia="宋体" w:cs="Arial"/>
          <w:b/>
          <w:i/>
          <w:snapToGrid w:val="0"/>
          <w:kern w:val="0"/>
          <w:sz w:val="24"/>
        </w:rPr>
      </w:pPr>
      <w:r>
        <w:rPr>
          <w:rFonts w:hint="eastAsia" w:ascii="Arial" w:hAnsi="Arial" w:eastAsia="宋体" w:cs="Arial"/>
          <w:b/>
          <w:i/>
          <w:snapToGrid w:val="0"/>
          <w:kern w:val="0"/>
          <w:sz w:val="24"/>
        </w:rPr>
        <w:t>警告声明：用户指导手册应包含以下警告声明：</w:t>
      </w:r>
    </w:p>
    <w:p w14:paraId="46CC7D9E">
      <w:pPr>
        <w:topLinePunct/>
        <w:adjustRightInd w:val="0"/>
        <w:snapToGrid w:val="0"/>
        <w:spacing w:after="234" w:afterLines="75" w:line="288" w:lineRule="auto"/>
        <w:ind w:left="840" w:leftChars="400"/>
        <w:rPr>
          <w:rFonts w:ascii="Arial" w:hAnsi="Arial" w:eastAsia="宋体" w:cs="Arial"/>
          <w:b/>
          <w:i/>
          <w:snapToGrid w:val="0"/>
          <w:kern w:val="0"/>
          <w:sz w:val="24"/>
        </w:rPr>
      </w:pPr>
      <w:r>
        <w:rPr>
          <w:rFonts w:hint="eastAsia" w:ascii="Arial" w:hAnsi="Arial" w:eastAsia="宋体" w:cs="Arial"/>
          <w:b/>
          <w:i/>
          <w:snapToGrid w:val="0"/>
          <w:kern w:val="0"/>
          <w:sz w:val="24"/>
        </w:rPr>
        <w:t>助听器销售商警告</w:t>
      </w:r>
    </w:p>
    <w:p w14:paraId="6DE4DA83">
      <w:pPr>
        <w:topLinePunct/>
        <w:adjustRightInd w:val="0"/>
        <w:snapToGrid w:val="0"/>
        <w:spacing w:after="234" w:afterLines="75" w:line="288" w:lineRule="auto"/>
        <w:ind w:left="840" w:leftChars="400"/>
        <w:rPr>
          <w:rFonts w:ascii="Arial" w:hAnsi="Arial" w:eastAsia="宋体" w:cs="Arial"/>
          <w:i/>
          <w:snapToGrid w:val="0"/>
          <w:kern w:val="0"/>
          <w:sz w:val="24"/>
        </w:rPr>
      </w:pPr>
      <w:r>
        <w:rPr>
          <w:rFonts w:hint="eastAsia" w:ascii="Arial" w:hAnsi="Arial" w:eastAsia="宋体" w:cs="Arial"/>
          <w:i/>
          <w:snapToGrid w:val="0"/>
          <w:kern w:val="0"/>
          <w:sz w:val="24"/>
        </w:rPr>
        <w:t>如果助听器的销售商通过询问、实际观察或通过评价任何与潜在用户相关的可供评价的信息发现，该潜在用户存在下列情况之一，则助听器销售商应在销售助听器前建议该潜在的助听器用户由具有资质的医生（建议由耳科疾病专家进行）进行医学评价：</w:t>
      </w:r>
    </w:p>
    <w:p w14:paraId="4367574C">
      <w:pPr>
        <w:topLinePunct/>
        <w:adjustRightInd w:val="0"/>
        <w:snapToGrid w:val="0"/>
        <w:spacing w:after="234" w:afterLines="75" w:line="288" w:lineRule="auto"/>
        <w:ind w:left="840" w:leftChars="400"/>
        <w:rPr>
          <w:rFonts w:ascii="Arial" w:hAnsi="Arial" w:eastAsia="宋体" w:cs="Arial"/>
          <w:i/>
          <w:snapToGrid w:val="0"/>
          <w:kern w:val="0"/>
          <w:sz w:val="24"/>
        </w:rPr>
      </w:pPr>
      <w:r>
        <w:rPr>
          <w:rFonts w:hint="eastAsia" w:ascii="Arial" w:hAnsi="Arial" w:eastAsia="宋体" w:cs="Arial"/>
          <w:i/>
          <w:snapToGrid w:val="0"/>
          <w:kern w:val="0"/>
          <w:sz w:val="24"/>
        </w:rPr>
        <w:t>（i）耳部存在可观察的先天性或器质性形变。</w:t>
      </w:r>
    </w:p>
    <w:p w14:paraId="18AB667D">
      <w:pPr>
        <w:topLinePunct/>
        <w:adjustRightInd w:val="0"/>
        <w:snapToGrid w:val="0"/>
        <w:spacing w:after="234" w:afterLines="75" w:line="288" w:lineRule="auto"/>
        <w:ind w:left="840" w:leftChars="400"/>
        <w:rPr>
          <w:rFonts w:ascii="Arial" w:hAnsi="Arial" w:eastAsia="宋体" w:cs="Arial"/>
          <w:i/>
          <w:snapToGrid w:val="0"/>
          <w:kern w:val="0"/>
          <w:sz w:val="24"/>
        </w:rPr>
      </w:pPr>
      <w:r>
        <w:rPr>
          <w:rFonts w:hint="eastAsia" w:ascii="Arial" w:hAnsi="Arial" w:eastAsia="宋体" w:cs="Arial"/>
          <w:i/>
          <w:snapToGrid w:val="0"/>
          <w:kern w:val="0"/>
          <w:sz w:val="24"/>
        </w:rPr>
        <w:t>（ii）在90天内存在耳部活动性流液情况。</w:t>
      </w:r>
    </w:p>
    <w:p w14:paraId="28C47678">
      <w:pPr>
        <w:topLinePunct/>
        <w:adjustRightInd w:val="0"/>
        <w:snapToGrid w:val="0"/>
        <w:spacing w:after="234" w:afterLines="75" w:line="288" w:lineRule="auto"/>
        <w:ind w:left="840" w:leftChars="400"/>
        <w:rPr>
          <w:rFonts w:ascii="Arial" w:hAnsi="Arial" w:eastAsia="宋体" w:cs="Arial"/>
          <w:i/>
          <w:snapToGrid w:val="0"/>
          <w:kern w:val="0"/>
          <w:sz w:val="24"/>
        </w:rPr>
      </w:pPr>
      <w:r>
        <w:rPr>
          <w:rFonts w:hint="eastAsia" w:ascii="Arial" w:hAnsi="Arial" w:eastAsia="宋体" w:cs="Arial"/>
          <w:i/>
          <w:snapToGrid w:val="0"/>
          <w:kern w:val="0"/>
          <w:sz w:val="24"/>
        </w:rPr>
        <w:t>（iii）在90天内曾发生突然或迅速进展的听力损失。</w:t>
      </w:r>
    </w:p>
    <w:p w14:paraId="02A2C3AF">
      <w:pPr>
        <w:topLinePunct/>
        <w:adjustRightInd w:val="0"/>
        <w:snapToGrid w:val="0"/>
        <w:spacing w:after="234" w:afterLines="75" w:line="288" w:lineRule="auto"/>
        <w:ind w:left="840" w:leftChars="400"/>
        <w:rPr>
          <w:rFonts w:ascii="Arial" w:hAnsi="Arial" w:eastAsia="宋体" w:cs="Arial"/>
          <w:i/>
          <w:snapToGrid w:val="0"/>
          <w:kern w:val="0"/>
          <w:sz w:val="24"/>
        </w:rPr>
      </w:pPr>
      <w:r>
        <w:rPr>
          <w:rFonts w:hint="eastAsia" w:ascii="Arial" w:hAnsi="Arial" w:eastAsia="宋体" w:cs="Arial"/>
          <w:i/>
          <w:snapToGrid w:val="0"/>
          <w:kern w:val="0"/>
          <w:sz w:val="24"/>
        </w:rPr>
        <w:t>（iv）急性或慢性头晕。</w:t>
      </w:r>
    </w:p>
    <w:p w14:paraId="2F9D8C1A">
      <w:pPr>
        <w:topLinePunct/>
        <w:adjustRightInd w:val="0"/>
        <w:snapToGrid w:val="0"/>
        <w:spacing w:after="234" w:afterLines="75" w:line="288" w:lineRule="auto"/>
        <w:ind w:left="840" w:leftChars="400"/>
        <w:rPr>
          <w:rFonts w:ascii="Arial" w:hAnsi="Arial" w:eastAsia="宋体" w:cs="Arial"/>
          <w:i/>
          <w:snapToGrid w:val="0"/>
          <w:kern w:val="0"/>
          <w:sz w:val="24"/>
        </w:rPr>
      </w:pPr>
      <w:r>
        <w:rPr>
          <w:rFonts w:hint="eastAsia" w:ascii="Arial" w:hAnsi="Arial" w:eastAsia="宋体" w:cs="Arial"/>
          <w:i/>
          <w:snapToGrid w:val="0"/>
          <w:kern w:val="0"/>
          <w:sz w:val="24"/>
        </w:rPr>
        <w:t>（v）突然出现或在90天内新出现的单侧听力损失。</w:t>
      </w:r>
    </w:p>
    <w:p w14:paraId="1999AF75">
      <w:pPr>
        <w:topLinePunct/>
        <w:adjustRightInd w:val="0"/>
        <w:snapToGrid w:val="0"/>
        <w:spacing w:after="234" w:afterLines="75" w:line="288" w:lineRule="auto"/>
        <w:ind w:left="840" w:leftChars="400"/>
        <w:rPr>
          <w:rFonts w:ascii="Arial" w:hAnsi="Arial" w:eastAsia="宋体" w:cs="Arial"/>
          <w:i/>
          <w:snapToGrid w:val="0"/>
          <w:kern w:val="0"/>
          <w:sz w:val="24"/>
        </w:rPr>
      </w:pPr>
      <w:r>
        <w:rPr>
          <w:rFonts w:hint="eastAsia" w:ascii="Arial" w:hAnsi="Arial" w:eastAsia="宋体" w:cs="Arial"/>
          <w:i/>
          <w:snapToGrid w:val="0"/>
          <w:kern w:val="0"/>
          <w:sz w:val="24"/>
        </w:rPr>
        <w:t>（vi）在</w:t>
      </w:r>
      <w:r>
        <w:rPr>
          <w:rFonts w:ascii="Arial" w:hAnsi="Arial" w:eastAsia="宋体" w:cs="Arial"/>
          <w:i/>
          <w:snapToGrid w:val="0"/>
          <w:kern w:val="0"/>
          <w:sz w:val="24"/>
        </w:rPr>
        <w:t>500</w:t>
      </w:r>
      <w:r>
        <w:rPr>
          <w:rFonts w:hint="eastAsia" w:ascii="Arial" w:hAnsi="Arial" w:eastAsia="宋体" w:cs="Arial"/>
          <w:i/>
          <w:snapToGrid w:val="0"/>
          <w:kern w:val="0"/>
          <w:sz w:val="24"/>
        </w:rPr>
        <w:t>赫兹（</w:t>
      </w:r>
      <w:r>
        <w:rPr>
          <w:rFonts w:ascii="Arial" w:hAnsi="Arial" w:eastAsia="宋体" w:cs="Arial"/>
          <w:i/>
          <w:snapToGrid w:val="0"/>
          <w:kern w:val="0"/>
          <w:sz w:val="24"/>
        </w:rPr>
        <w:t>Hz）</w:t>
      </w:r>
      <w:r>
        <w:rPr>
          <w:rFonts w:hint="eastAsia" w:ascii="Arial" w:hAnsi="Arial" w:eastAsia="宋体" w:cs="Arial"/>
          <w:i/>
          <w:snapToGrid w:val="0"/>
          <w:kern w:val="0"/>
          <w:sz w:val="24"/>
        </w:rPr>
        <w:t>、</w:t>
      </w:r>
      <w:r>
        <w:rPr>
          <w:rFonts w:ascii="Arial" w:hAnsi="Arial" w:eastAsia="宋体" w:cs="Arial"/>
          <w:i/>
          <w:snapToGrid w:val="0"/>
          <w:kern w:val="0"/>
          <w:sz w:val="24"/>
        </w:rPr>
        <w:t>1,000 Hz</w:t>
      </w:r>
      <w:r>
        <w:rPr>
          <w:rFonts w:hint="eastAsia" w:ascii="Arial" w:hAnsi="Arial" w:eastAsia="宋体" w:cs="Arial"/>
          <w:i/>
          <w:snapToGrid w:val="0"/>
          <w:kern w:val="0"/>
          <w:sz w:val="24"/>
        </w:rPr>
        <w:t>和</w:t>
      </w:r>
      <w:r>
        <w:rPr>
          <w:rFonts w:ascii="Arial" w:hAnsi="Arial" w:eastAsia="宋体" w:cs="Arial"/>
          <w:i/>
          <w:snapToGrid w:val="0"/>
          <w:kern w:val="0"/>
          <w:sz w:val="24"/>
        </w:rPr>
        <w:t>2,000 Hz</w:t>
      </w:r>
      <w:r>
        <w:rPr>
          <w:rFonts w:hint="eastAsia" w:ascii="Arial" w:hAnsi="Arial" w:eastAsia="宋体" w:cs="Arial"/>
          <w:i/>
          <w:snapToGrid w:val="0"/>
          <w:kern w:val="0"/>
          <w:sz w:val="24"/>
        </w:rPr>
        <w:t>情况下听力计气骨差异等于或超过15分贝。</w:t>
      </w:r>
    </w:p>
    <w:p w14:paraId="03985CC5">
      <w:pPr>
        <w:topLinePunct/>
        <w:adjustRightInd w:val="0"/>
        <w:snapToGrid w:val="0"/>
        <w:spacing w:after="234" w:afterLines="75" w:line="288" w:lineRule="auto"/>
        <w:ind w:left="840" w:leftChars="400"/>
        <w:rPr>
          <w:rFonts w:ascii="Arial" w:hAnsi="Arial" w:eastAsia="宋体" w:cs="Arial"/>
          <w:i/>
          <w:snapToGrid w:val="0"/>
          <w:kern w:val="0"/>
          <w:sz w:val="24"/>
        </w:rPr>
      </w:pPr>
      <w:r>
        <w:rPr>
          <w:rFonts w:hint="eastAsia" w:ascii="Arial" w:hAnsi="Arial" w:eastAsia="宋体" w:cs="Arial"/>
          <w:i/>
          <w:snapToGrid w:val="0"/>
          <w:kern w:val="0"/>
          <w:sz w:val="24"/>
        </w:rPr>
        <w:t>（vii）可观察到耳道内存在严重的耵聍累积或存在异物。</w:t>
      </w:r>
    </w:p>
    <w:p w14:paraId="4F16C944">
      <w:pPr>
        <w:topLinePunct/>
        <w:adjustRightInd w:val="0"/>
        <w:snapToGrid w:val="0"/>
        <w:spacing w:after="234" w:afterLines="75" w:line="288" w:lineRule="auto"/>
        <w:ind w:left="840" w:leftChars="400"/>
        <w:rPr>
          <w:rFonts w:ascii="Arial" w:hAnsi="Arial" w:eastAsia="宋体" w:cs="Arial"/>
          <w:i/>
          <w:snapToGrid w:val="0"/>
          <w:kern w:val="0"/>
          <w:sz w:val="24"/>
        </w:rPr>
      </w:pPr>
      <w:r>
        <w:rPr>
          <w:rFonts w:hint="eastAsia" w:ascii="Arial" w:hAnsi="Arial" w:eastAsia="宋体" w:cs="Arial"/>
          <w:i/>
          <w:snapToGrid w:val="0"/>
          <w:kern w:val="0"/>
          <w:sz w:val="24"/>
        </w:rPr>
        <w:t>（viii）耳部疼痛或不适。</w:t>
      </w:r>
    </w:p>
    <w:p w14:paraId="585E5458">
      <w:pPr>
        <w:topLinePunct/>
        <w:adjustRightInd w:val="0"/>
        <w:snapToGrid w:val="0"/>
        <w:spacing w:after="234" w:afterLines="75" w:line="288" w:lineRule="auto"/>
        <w:ind w:left="840" w:leftChars="400"/>
        <w:rPr>
          <w:rFonts w:ascii="Arial" w:hAnsi="Arial" w:eastAsia="宋体" w:cs="Arial"/>
          <w:i/>
          <w:snapToGrid w:val="0"/>
          <w:kern w:val="0"/>
          <w:sz w:val="24"/>
        </w:rPr>
      </w:pPr>
      <w:r>
        <w:rPr>
          <w:rFonts w:hint="eastAsia" w:ascii="Arial" w:hAnsi="Arial" w:eastAsia="宋体" w:cs="Arial"/>
          <w:i/>
          <w:snapToGrid w:val="0"/>
          <w:kern w:val="0"/>
          <w:sz w:val="24"/>
        </w:rPr>
        <w:t>在为最大声压水平超过132分贝的患者选择和适配助听器时应特别注意，因为有一定的风险会损害助听器用户仍然保留的听力。（本条款仅适用于最大声压超过132分贝（dB）的助听器）。</w:t>
      </w:r>
    </w:p>
    <w:p w14:paraId="433B77CD">
      <w:pPr>
        <w:widowControl/>
        <w:jc w:val="left"/>
        <w:rPr>
          <w:rFonts w:ascii="Arial" w:hAnsi="Arial" w:eastAsia="宋体" w:cs="Arial"/>
          <w:i/>
          <w:snapToGrid w:val="0"/>
          <w:kern w:val="0"/>
          <w:sz w:val="24"/>
        </w:rPr>
      </w:pPr>
      <w:r>
        <w:rPr>
          <w:rFonts w:ascii="Arial" w:hAnsi="Arial" w:eastAsia="宋体" w:cs="Arial"/>
          <w:i/>
          <w:snapToGrid w:val="0"/>
          <w:kern w:val="0"/>
          <w:sz w:val="24"/>
        </w:rPr>
        <w:br w:type="page"/>
      </w:r>
    </w:p>
    <w:p w14:paraId="6E07054B">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最后，根据</w:t>
      </w:r>
      <w:r>
        <w:rPr>
          <w:rFonts w:ascii="Arial" w:hAnsi="Arial" w:eastAsia="宋体" w:cs="Arial"/>
          <w:snapToGrid w:val="0"/>
          <w:kern w:val="0"/>
          <w:sz w:val="24"/>
        </w:rPr>
        <w:t>21 CFR 801.421（b）</w:t>
      </w:r>
      <w:r>
        <w:rPr>
          <w:rFonts w:hint="eastAsia" w:ascii="Arial" w:hAnsi="Arial" w:eastAsia="宋体" w:cs="Arial"/>
          <w:snapToGrid w:val="0"/>
          <w:kern w:val="0"/>
          <w:sz w:val="24"/>
        </w:rPr>
        <w:t>和（</w:t>
      </w:r>
      <w:r>
        <w:rPr>
          <w:rFonts w:ascii="Arial" w:hAnsi="Arial" w:eastAsia="宋体" w:cs="Arial"/>
          <w:snapToGrid w:val="0"/>
          <w:kern w:val="0"/>
          <w:sz w:val="24"/>
        </w:rPr>
        <w:t>c）</w:t>
      </w:r>
      <w:r>
        <w:rPr>
          <w:rFonts w:hint="eastAsia" w:ascii="Arial" w:hAnsi="Arial" w:eastAsia="宋体" w:cs="Arial"/>
          <w:snapToGrid w:val="0"/>
          <w:kern w:val="0"/>
          <w:sz w:val="24"/>
        </w:rPr>
        <w:t>，在销售助听器前，助听器销售商应当为潜在用户提供评价的机会，并提供包含上述标签要求的用户指导手册。</w:t>
      </w:r>
    </w:p>
    <w:p w14:paraId="23532341">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对于听力受损的儿童而言，由于存在与之相关的特殊需求和健康考虑，我们认为应当继续针对18岁及以下的年轻用户实施医学评价要求。因此，本指南不适用于18岁及以下的用户。</w:t>
      </w:r>
    </w:p>
    <w:p w14:paraId="3891CD22">
      <w:pPr>
        <w:pBdr>
          <w:bottom w:val="single" w:color="auto" w:sz="4" w:space="1"/>
        </w:pBdr>
        <w:topLinePunct/>
        <w:adjustRightInd w:val="0"/>
        <w:snapToGrid w:val="0"/>
        <w:spacing w:after="234" w:afterLines="75" w:line="288" w:lineRule="auto"/>
        <w:jc w:val="center"/>
        <w:rPr>
          <w:rFonts w:hint="eastAsia" w:eastAsia="等线"/>
          <w:lang w:eastAsia="zh-CN"/>
        </w:rPr>
      </w:pPr>
    </w:p>
    <w:p w14:paraId="156262D1">
      <w:pPr>
        <w:pBdr>
          <w:bottom w:val="single" w:color="auto" w:sz="4" w:space="1"/>
        </w:pBdr>
        <w:topLinePunct/>
        <w:adjustRightInd w:val="0"/>
        <w:snapToGrid w:val="0"/>
        <w:spacing w:after="234" w:afterLines="75" w:line="288" w:lineRule="auto"/>
        <w:jc w:val="center"/>
        <w:rPr>
          <w:rFonts w:hint="eastAsia" w:eastAsia="等线"/>
          <w:lang w:eastAsia="zh-CN"/>
        </w:rPr>
      </w:pPr>
    </w:p>
    <w:p w14:paraId="3BC90EC4">
      <w:pPr>
        <w:pBdr>
          <w:bottom w:val="single" w:color="auto" w:sz="4" w:space="1"/>
        </w:pBdr>
        <w:topLinePunct/>
        <w:adjustRightInd w:val="0"/>
        <w:snapToGrid w:val="0"/>
        <w:spacing w:after="234" w:afterLines="75" w:line="288"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1906" w:h="16838"/>
      <w:pgMar w:top="1134" w:right="1440" w:bottom="1134" w:left="1440" w:header="720" w:footer="72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66C1E">
    <w:pPr>
      <w:pStyle w:val="3"/>
      <w:jc w:val="right"/>
      <w:rPr>
        <w:rFonts w:ascii="Arial" w:hAnsi="Arial" w:cs="Arial"/>
        <w:sz w:val="21"/>
      </w:rPr>
    </w:pPr>
  </w:p>
  <w:p w14:paraId="4BF4E4AC">
    <w:pPr>
      <w:pStyle w:val="3"/>
      <w:jc w:val="right"/>
      <w:rPr>
        <w:rFonts w:ascii="Arial" w:hAnsi="Arial" w:cs="Arial"/>
        <w:sz w:val="21"/>
      </w:rPr>
    </w:pPr>
    <w:r>
      <w:rPr>
        <w:rFonts w:ascii="Arial" w:hAnsi="Arial" w:cs="Arial"/>
        <w:sz w:val="21"/>
      </w:rPr>
      <w:fldChar w:fldCharType="begin"/>
    </w:r>
    <w:r>
      <w:rPr>
        <w:rFonts w:ascii="Arial" w:hAnsi="Arial" w:cs="Arial"/>
        <w:sz w:val="21"/>
      </w:rPr>
      <w:instrText xml:space="preserve">PAGE   \* MERGEFORMAT</w:instrText>
    </w:r>
    <w:r>
      <w:rPr>
        <w:rFonts w:ascii="Arial" w:hAnsi="Arial" w:cs="Arial"/>
        <w:sz w:val="21"/>
      </w:rPr>
      <w:fldChar w:fldCharType="separate"/>
    </w:r>
    <w:r>
      <w:rPr>
        <w:rFonts w:ascii="Arial" w:hAnsi="Arial" w:cs="Arial"/>
        <w:sz w:val="21"/>
        <w:lang w:val="zh-CN"/>
      </w:rPr>
      <w:t>6</w:t>
    </w:r>
    <w:r>
      <w:rPr>
        <w:rFonts w:ascii="Arial" w:hAnsi="Arial" w:cs="Arial"/>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14:paraId="3212EDB9">
      <w:pPr>
        <w:pStyle w:val="5"/>
        <w:spacing w:line="300" w:lineRule="auto"/>
        <w:rPr>
          <w:rFonts w:ascii="Arial" w:hAnsi="Arial" w:eastAsia="宋体" w:cs="Arial"/>
          <w:sz w:val="21"/>
          <w:szCs w:val="21"/>
        </w:rPr>
      </w:pPr>
      <w:r>
        <w:rPr>
          <w:rStyle w:val="10"/>
          <w:rFonts w:ascii="Arial" w:hAnsi="Arial" w:eastAsia="宋体" w:cs="Arial"/>
          <w:sz w:val="21"/>
          <w:szCs w:val="21"/>
        </w:rPr>
        <w:footnoteRef/>
      </w:r>
      <w:r>
        <w:rPr>
          <w:rFonts w:ascii="Arial" w:hAnsi="Arial" w:eastAsia="宋体" w:cs="Arial"/>
          <w:sz w:val="21"/>
          <w:szCs w:val="21"/>
        </w:rPr>
        <w:t xml:space="preserve"> Lin FR</w:t>
      </w:r>
      <w:r>
        <w:rPr>
          <w:rFonts w:hint="eastAsia" w:ascii="Arial" w:hAnsi="Arial" w:eastAsia="宋体" w:cs="Arial"/>
          <w:sz w:val="21"/>
          <w:szCs w:val="21"/>
        </w:rPr>
        <w:t>，</w:t>
      </w:r>
      <w:r>
        <w:rPr>
          <w:rFonts w:ascii="Arial" w:hAnsi="Arial" w:eastAsia="宋体" w:cs="Arial"/>
          <w:sz w:val="21"/>
          <w:szCs w:val="21"/>
        </w:rPr>
        <w:t>Niparko JK</w:t>
      </w:r>
      <w:r>
        <w:rPr>
          <w:rFonts w:hint="eastAsia" w:ascii="Arial" w:hAnsi="Arial" w:eastAsia="宋体" w:cs="Arial"/>
          <w:sz w:val="21"/>
          <w:szCs w:val="21"/>
        </w:rPr>
        <w:t>，</w:t>
      </w:r>
      <w:r>
        <w:rPr>
          <w:rFonts w:ascii="Arial" w:hAnsi="Arial" w:eastAsia="宋体" w:cs="Arial"/>
          <w:sz w:val="21"/>
          <w:szCs w:val="21"/>
        </w:rPr>
        <w:t xml:space="preserve">Ferrucci L. </w:t>
      </w:r>
      <w:r>
        <w:rPr>
          <w:rFonts w:ascii="Arial" w:hAnsi="Arial" w:eastAsia="宋体" w:cs="Arial"/>
          <w:i/>
          <w:sz w:val="21"/>
          <w:szCs w:val="21"/>
        </w:rPr>
        <w:t>Hearing loss prevalence in the United States</w:t>
      </w:r>
      <w:r>
        <w:rPr>
          <w:rFonts w:ascii="Arial" w:hAnsi="Arial" w:eastAsia="宋体" w:cs="Arial"/>
          <w:sz w:val="21"/>
          <w:szCs w:val="21"/>
        </w:rPr>
        <w:t>. Archives of Internal Medicine</w:t>
      </w:r>
      <w:r>
        <w:rPr>
          <w:rFonts w:hint="eastAsia" w:ascii="Arial" w:hAnsi="Arial" w:eastAsia="宋体" w:cs="Arial"/>
          <w:sz w:val="21"/>
          <w:szCs w:val="21"/>
        </w:rPr>
        <w:t xml:space="preserve"> </w:t>
      </w:r>
      <w:r>
        <w:rPr>
          <w:rFonts w:ascii="Arial" w:hAnsi="Arial" w:eastAsia="宋体" w:cs="Arial"/>
          <w:sz w:val="21"/>
          <w:szCs w:val="21"/>
        </w:rPr>
        <w:t>2011;171</w:t>
      </w:r>
      <w:r>
        <w:rPr>
          <w:rFonts w:hint="eastAsia" w:ascii="Arial" w:hAnsi="Arial" w:eastAsia="宋体" w:cs="Arial"/>
          <w:sz w:val="21"/>
          <w:szCs w:val="21"/>
        </w:rPr>
        <w:t>（</w:t>
      </w:r>
      <w:r>
        <w:rPr>
          <w:rFonts w:ascii="Arial" w:hAnsi="Arial" w:eastAsia="宋体" w:cs="Arial"/>
          <w:sz w:val="21"/>
          <w:szCs w:val="21"/>
        </w:rPr>
        <w:t>20</w:t>
      </w:r>
      <w:r>
        <w:rPr>
          <w:rFonts w:hint="eastAsia" w:ascii="Arial" w:hAnsi="Arial" w:eastAsia="宋体" w:cs="Arial"/>
          <w:sz w:val="21"/>
          <w:szCs w:val="21"/>
        </w:rPr>
        <w:t>）</w:t>
      </w:r>
      <w:r>
        <w:rPr>
          <w:rFonts w:ascii="Arial" w:hAnsi="Arial" w:eastAsia="宋体" w:cs="Arial"/>
          <w:sz w:val="21"/>
          <w:szCs w:val="21"/>
        </w:rPr>
        <w:t>:1851-1853.</w:t>
      </w:r>
    </w:p>
  </w:footnote>
  <w:footnote w:id="1">
    <w:p w14:paraId="74122AD9">
      <w:pPr>
        <w:pStyle w:val="5"/>
        <w:spacing w:line="300" w:lineRule="auto"/>
        <w:rPr>
          <w:rFonts w:ascii="Arial" w:hAnsi="Arial" w:eastAsia="宋体" w:cs="Arial"/>
          <w:sz w:val="21"/>
          <w:szCs w:val="21"/>
        </w:rPr>
      </w:pPr>
      <w:r>
        <w:rPr>
          <w:rStyle w:val="10"/>
          <w:rFonts w:ascii="Arial" w:hAnsi="Arial" w:eastAsia="宋体" w:cs="Arial"/>
          <w:sz w:val="21"/>
          <w:szCs w:val="21"/>
        </w:rPr>
        <w:footnoteRef/>
      </w:r>
      <w:r>
        <w:rPr>
          <w:rFonts w:ascii="Arial" w:hAnsi="Arial" w:eastAsia="宋体" w:cs="Arial"/>
          <w:sz w:val="21"/>
          <w:szCs w:val="21"/>
        </w:rPr>
        <w:t xml:space="preserve"> Dalton DS. </w:t>
      </w:r>
      <w:r>
        <w:rPr>
          <w:rFonts w:ascii="Arial" w:hAnsi="Arial" w:eastAsia="宋体" w:cs="Arial"/>
          <w:i/>
          <w:sz w:val="21"/>
          <w:szCs w:val="21"/>
        </w:rPr>
        <w:t>The impact of hearing loss on quality of life in older adults.</w:t>
      </w:r>
      <w:r>
        <w:rPr>
          <w:rFonts w:ascii="Arial" w:hAnsi="Arial" w:eastAsia="宋体" w:cs="Arial"/>
          <w:sz w:val="21"/>
          <w:szCs w:val="21"/>
        </w:rPr>
        <w:t xml:space="preserve"> The Gerontologist 2005;43</w:t>
      </w:r>
      <w:r>
        <w:rPr>
          <w:rFonts w:hint="eastAsia" w:ascii="Arial" w:hAnsi="Arial" w:eastAsia="宋体" w:cs="Arial"/>
          <w:sz w:val="21"/>
          <w:szCs w:val="21"/>
        </w:rPr>
        <w:t>（</w:t>
      </w:r>
      <w:r>
        <w:rPr>
          <w:rFonts w:ascii="Arial" w:hAnsi="Arial" w:eastAsia="宋体" w:cs="Arial"/>
          <w:sz w:val="21"/>
          <w:szCs w:val="21"/>
        </w:rPr>
        <w:t>5</w:t>
      </w:r>
      <w:r>
        <w:rPr>
          <w:rFonts w:hint="eastAsia" w:ascii="Arial" w:hAnsi="Arial" w:eastAsia="宋体" w:cs="Arial"/>
          <w:sz w:val="21"/>
          <w:szCs w:val="21"/>
        </w:rPr>
        <w:t>）</w:t>
      </w:r>
      <w:r>
        <w:rPr>
          <w:rFonts w:ascii="Arial" w:hAnsi="Arial" w:eastAsia="宋体" w:cs="Arial"/>
          <w:sz w:val="21"/>
          <w:szCs w:val="21"/>
        </w:rPr>
        <w:t>:661-668.</w:t>
      </w:r>
    </w:p>
  </w:footnote>
  <w:footnote w:id="2">
    <w:p w14:paraId="3AEB40E1">
      <w:pPr>
        <w:pStyle w:val="5"/>
        <w:spacing w:line="300" w:lineRule="auto"/>
        <w:rPr>
          <w:rFonts w:ascii="Arial" w:hAnsi="Arial" w:eastAsia="宋体" w:cs="Arial"/>
          <w:sz w:val="21"/>
          <w:szCs w:val="21"/>
        </w:rPr>
      </w:pPr>
      <w:r>
        <w:rPr>
          <w:rStyle w:val="10"/>
          <w:rFonts w:ascii="Arial" w:hAnsi="Arial" w:eastAsia="宋体" w:cs="Arial"/>
          <w:sz w:val="21"/>
          <w:szCs w:val="21"/>
        </w:rPr>
        <w:footnoteRef/>
      </w:r>
      <w:r>
        <w:rPr>
          <w:rFonts w:ascii="Arial" w:hAnsi="Arial" w:eastAsia="宋体" w:cs="Arial"/>
          <w:sz w:val="21"/>
          <w:szCs w:val="21"/>
        </w:rPr>
        <w:t xml:space="preserve"> </w:t>
      </w:r>
      <w:r>
        <w:rPr>
          <w:rFonts w:hint="eastAsia" w:ascii="Arial" w:hAnsi="Arial" w:eastAsia="宋体" w:cs="Arial"/>
          <w:sz w:val="21"/>
          <w:szCs w:val="21"/>
        </w:rPr>
        <w:t>世界</w:t>
      </w:r>
      <w:r>
        <w:rPr>
          <w:rFonts w:ascii="Arial" w:hAnsi="Arial" w:eastAsia="宋体" w:cs="Arial"/>
          <w:sz w:val="21"/>
          <w:szCs w:val="21"/>
        </w:rPr>
        <w:t>卫生组织耳聋和听力损害。资料</w:t>
      </w:r>
      <w:r>
        <w:rPr>
          <w:rFonts w:hint="eastAsia" w:ascii="Arial" w:hAnsi="Arial" w:eastAsia="宋体" w:cs="Arial"/>
          <w:sz w:val="21"/>
          <w:szCs w:val="21"/>
        </w:rPr>
        <w:t>编号</w:t>
      </w:r>
      <w:r>
        <w:rPr>
          <w:rFonts w:ascii="Arial" w:hAnsi="Arial" w:eastAsia="宋体" w:cs="Arial"/>
          <w:sz w:val="21"/>
          <w:szCs w:val="21"/>
        </w:rPr>
        <w:t xml:space="preserve"> 300. 2006。</w:t>
      </w:r>
      <w:r>
        <w:rPr>
          <w:rFonts w:ascii="Arial" w:hAnsi="Arial" w:eastAsia="宋体" w:cs="Arial"/>
          <w:sz w:val="21"/>
          <w:szCs w:val="21"/>
        </w:rPr>
        <w:fldChar w:fldCharType="begin"/>
      </w:r>
      <w:r>
        <w:rPr>
          <w:rFonts w:ascii="Arial" w:hAnsi="Arial" w:eastAsia="宋体" w:cs="Arial"/>
          <w:sz w:val="21"/>
          <w:szCs w:val="21"/>
        </w:rPr>
        <w:instrText xml:space="preserve"> HYPERLINK "http://www.who.int/mediacentre/factsheets/fs300/en/index.html" </w:instrText>
      </w:r>
      <w:r>
        <w:rPr>
          <w:rFonts w:ascii="Arial" w:hAnsi="Arial" w:eastAsia="宋体" w:cs="Arial"/>
          <w:sz w:val="21"/>
          <w:szCs w:val="21"/>
        </w:rPr>
        <w:fldChar w:fldCharType="separate"/>
      </w:r>
      <w:r>
        <w:rPr>
          <w:rStyle w:val="9"/>
          <w:rFonts w:ascii="Arial" w:hAnsi="Arial" w:eastAsia="宋体" w:cs="Arial"/>
          <w:sz w:val="21"/>
          <w:szCs w:val="21"/>
        </w:rPr>
        <w:t>http://www.who.int/mediacentre/factsheets/fs300/en/index.html</w:t>
      </w:r>
      <w:r>
        <w:rPr>
          <w:rFonts w:ascii="Arial" w:hAnsi="Arial" w:eastAsia="宋体" w:cs="Arial"/>
          <w:sz w:val="21"/>
          <w:szCs w:val="21"/>
        </w:rPr>
        <w:fldChar w:fldCharType="end"/>
      </w:r>
      <w:r>
        <w:rPr>
          <w:rFonts w:hint="eastAsia" w:ascii="Arial" w:hAnsi="Arial" w:eastAsia="宋体" w:cs="Arial"/>
          <w:sz w:val="21"/>
          <w:szCs w:val="21"/>
        </w:rPr>
        <w:t xml:space="preserve"> </w:t>
      </w:r>
    </w:p>
  </w:footnote>
  <w:footnote w:id="3">
    <w:p w14:paraId="370E44F8">
      <w:pPr>
        <w:pStyle w:val="5"/>
        <w:spacing w:line="300" w:lineRule="auto"/>
        <w:rPr>
          <w:rFonts w:ascii="Arial" w:hAnsi="Arial" w:eastAsia="宋体" w:cs="Arial"/>
          <w:sz w:val="21"/>
          <w:szCs w:val="21"/>
        </w:rPr>
      </w:pPr>
      <w:r>
        <w:rPr>
          <w:rStyle w:val="10"/>
          <w:rFonts w:ascii="Arial" w:hAnsi="Arial" w:eastAsia="宋体" w:cs="Arial"/>
          <w:sz w:val="21"/>
          <w:szCs w:val="21"/>
        </w:rPr>
        <w:footnoteRef/>
      </w:r>
      <w:r>
        <w:rPr>
          <w:rFonts w:ascii="Arial" w:hAnsi="Arial" w:eastAsia="宋体" w:cs="Arial"/>
          <w:sz w:val="21"/>
          <w:szCs w:val="21"/>
        </w:rPr>
        <w:t xml:space="preserve"> McCormack A</w:t>
      </w:r>
      <w:r>
        <w:rPr>
          <w:rFonts w:hint="eastAsia" w:ascii="Arial" w:hAnsi="Arial" w:eastAsia="宋体" w:cs="Arial"/>
          <w:sz w:val="21"/>
          <w:szCs w:val="21"/>
        </w:rPr>
        <w:t>，</w:t>
      </w:r>
      <w:r>
        <w:rPr>
          <w:rFonts w:ascii="Arial" w:hAnsi="Arial" w:eastAsia="宋体" w:cs="Arial"/>
          <w:sz w:val="21"/>
          <w:szCs w:val="21"/>
        </w:rPr>
        <w:t>Fortnum H. Why do people fitted with hearing aids not wear them? International Journal of Audiology 2013;52</w:t>
      </w:r>
      <w:r>
        <w:rPr>
          <w:rFonts w:hint="eastAsia" w:ascii="Arial" w:hAnsi="Arial" w:eastAsia="宋体" w:cs="Arial"/>
          <w:sz w:val="21"/>
          <w:szCs w:val="21"/>
        </w:rPr>
        <w:t>（</w:t>
      </w:r>
      <w:r>
        <w:rPr>
          <w:rFonts w:ascii="Arial" w:hAnsi="Arial" w:eastAsia="宋体" w:cs="Arial"/>
          <w:sz w:val="21"/>
          <w:szCs w:val="21"/>
        </w:rPr>
        <w:t>5</w:t>
      </w:r>
      <w:r>
        <w:rPr>
          <w:rFonts w:hint="eastAsia" w:ascii="Arial" w:hAnsi="Arial" w:eastAsia="宋体" w:cs="Arial"/>
          <w:sz w:val="21"/>
          <w:szCs w:val="21"/>
        </w:rPr>
        <w:t>）</w:t>
      </w:r>
      <w:r>
        <w:rPr>
          <w:rFonts w:ascii="Arial" w:hAnsi="Arial" w:eastAsia="宋体" w:cs="Arial"/>
          <w:sz w:val="21"/>
          <w:szCs w:val="21"/>
        </w:rPr>
        <w:t>:360-368.</w:t>
      </w:r>
    </w:p>
  </w:footnote>
  <w:footnote w:id="4">
    <w:p w14:paraId="173A58E9">
      <w:pPr>
        <w:pStyle w:val="5"/>
        <w:spacing w:line="300" w:lineRule="auto"/>
        <w:rPr>
          <w:rFonts w:ascii="Arial" w:hAnsi="Arial" w:eastAsia="宋体" w:cs="Arial"/>
          <w:sz w:val="21"/>
          <w:szCs w:val="21"/>
        </w:rPr>
      </w:pPr>
      <w:r>
        <w:rPr>
          <w:rStyle w:val="10"/>
          <w:rFonts w:ascii="Arial" w:hAnsi="Arial" w:eastAsia="宋体" w:cs="Arial"/>
          <w:sz w:val="21"/>
          <w:szCs w:val="21"/>
        </w:rPr>
        <w:footnoteRef/>
      </w:r>
      <w:r>
        <w:rPr>
          <w:rFonts w:ascii="Arial" w:hAnsi="Arial" w:eastAsia="宋体" w:cs="Arial"/>
          <w:sz w:val="21"/>
          <w:szCs w:val="21"/>
        </w:rPr>
        <w:t xml:space="preserve"> 总统科技顾问委员会（PCAST）报告：助听器：美国老龄化与听力损失：迫切需要提高听力技术，2015年10月，见于</w:t>
      </w:r>
      <w:r>
        <w:fldChar w:fldCharType="begin"/>
      </w:r>
      <w:r>
        <w:rPr>
          <w:rFonts w:ascii="Arial" w:hAnsi="Arial" w:eastAsia="宋体" w:cs="Arial"/>
          <w:sz w:val="21"/>
          <w:szCs w:val="21"/>
        </w:rPr>
        <w:instrText xml:space="preserve"> HYPERLINK "https://www.whitehouse.gov/sites/default/files/microsites/ostp/PCAST/pcast_hearing_tech_letterreport_final.pdf" </w:instrText>
      </w:r>
      <w:r>
        <w:fldChar w:fldCharType="separate"/>
      </w:r>
      <w:r>
        <w:rPr>
          <w:rStyle w:val="9"/>
          <w:rFonts w:ascii="Arial" w:hAnsi="Arial" w:eastAsia="宋体" w:cs="Arial"/>
          <w:sz w:val="21"/>
          <w:szCs w:val="21"/>
        </w:rPr>
        <w:t>https://www.whitehouse.gov/sites/default/files/microsites/ostp/PCAST/pcast_hearing_tech_letterreport_final.pdf</w:t>
      </w:r>
      <w:r>
        <w:rPr>
          <w:rStyle w:val="9"/>
          <w:rFonts w:ascii="Arial" w:hAnsi="Arial" w:eastAsia="宋体" w:cs="Arial"/>
          <w:sz w:val="21"/>
          <w:szCs w:val="21"/>
        </w:rPr>
        <w:fldChar w:fldCharType="end"/>
      </w:r>
      <w:r>
        <w:rPr>
          <w:rFonts w:ascii="Arial" w:hAnsi="Arial" w:eastAsia="宋体" w:cs="Arial"/>
          <w:sz w:val="21"/>
          <w:szCs w:val="21"/>
        </w:rPr>
        <w:t>。</w:t>
      </w:r>
    </w:p>
  </w:footnote>
  <w:footnote w:id="5">
    <w:p w14:paraId="28AA122E">
      <w:pPr>
        <w:pStyle w:val="5"/>
        <w:spacing w:line="300" w:lineRule="auto"/>
        <w:rPr>
          <w:rFonts w:ascii="Arial" w:hAnsi="Arial" w:eastAsia="宋体" w:cs="Arial"/>
          <w:sz w:val="21"/>
          <w:szCs w:val="21"/>
        </w:rPr>
      </w:pPr>
      <w:r>
        <w:rPr>
          <w:rStyle w:val="10"/>
          <w:rFonts w:ascii="Arial" w:hAnsi="Arial" w:eastAsia="宋体" w:cs="Arial"/>
          <w:sz w:val="21"/>
          <w:szCs w:val="21"/>
        </w:rPr>
        <w:footnoteRef/>
      </w:r>
      <w:r>
        <w:rPr>
          <w:rFonts w:ascii="Arial" w:hAnsi="Arial" w:eastAsia="宋体" w:cs="Arial"/>
          <w:sz w:val="21"/>
          <w:szCs w:val="21"/>
        </w:rPr>
        <w:t xml:space="preserve"> 国家科学、工程和医学院（NAS）报告：成年人的听力健康护理：提高易用性和可负担性的优先级。2016年6月，见于</w:t>
      </w:r>
      <w:r>
        <w:fldChar w:fldCharType="begin"/>
      </w:r>
      <w:r>
        <w:rPr>
          <w:rFonts w:ascii="Arial" w:hAnsi="Arial" w:eastAsia="宋体" w:cs="Arial"/>
          <w:sz w:val="21"/>
          <w:szCs w:val="21"/>
        </w:rPr>
        <w:instrText xml:space="preserve"> HYPERLINK "http://www.hearingreview.com/2016/06/national-academies-sciences-release-report-hearing-aid-accessibilityaffordability/" </w:instrText>
      </w:r>
      <w:r>
        <w:fldChar w:fldCharType="separate"/>
      </w:r>
      <w:r>
        <w:rPr>
          <w:rStyle w:val="9"/>
          <w:rFonts w:ascii="Arial" w:hAnsi="Arial" w:eastAsia="宋体" w:cs="Arial"/>
          <w:sz w:val="21"/>
          <w:szCs w:val="21"/>
        </w:rPr>
        <w:t>http://www.hearingreview.com/2016/06/national-academies-sciences-release-report-hearing-aid-accessibilityaffordability/</w:t>
      </w:r>
      <w:r>
        <w:rPr>
          <w:rStyle w:val="9"/>
          <w:rFonts w:ascii="Arial" w:hAnsi="Arial" w:eastAsia="宋体" w:cs="Arial"/>
          <w:sz w:val="21"/>
          <w:szCs w:val="21"/>
        </w:rPr>
        <w:fldChar w:fldCharType="end"/>
      </w:r>
      <w:r>
        <w:rPr>
          <w:rFonts w:ascii="Arial" w:hAnsi="Arial" w:eastAsia="宋体" w:cs="Arial"/>
          <w:sz w:val="21"/>
          <w:szCs w:val="21"/>
        </w:rPr>
        <w:t>。</w:t>
      </w:r>
    </w:p>
  </w:footnote>
  <w:footnote w:id="6">
    <w:p w14:paraId="1264C4DA">
      <w:pPr>
        <w:pStyle w:val="5"/>
        <w:spacing w:line="300" w:lineRule="auto"/>
        <w:rPr>
          <w:rFonts w:ascii="Arial" w:hAnsi="Arial" w:eastAsia="宋体" w:cs="Arial"/>
          <w:sz w:val="21"/>
          <w:szCs w:val="21"/>
        </w:rPr>
      </w:pPr>
      <w:r>
        <w:rPr>
          <w:rStyle w:val="10"/>
          <w:rFonts w:ascii="Arial" w:hAnsi="Arial" w:eastAsia="宋体" w:cs="Arial"/>
          <w:sz w:val="21"/>
          <w:szCs w:val="21"/>
        </w:rPr>
        <w:footnoteRef/>
      </w:r>
      <w:r>
        <w:rPr>
          <w:rFonts w:ascii="Arial" w:hAnsi="Arial" w:eastAsia="宋体" w:cs="Arial"/>
          <w:sz w:val="21"/>
          <w:szCs w:val="21"/>
        </w:rPr>
        <w:t xml:space="preserve"> Gudmundsen申诉书，2003，文件编号FDA-2003-P-0342，</w:t>
      </w:r>
      <w:r>
        <w:fldChar w:fldCharType="begin"/>
      </w:r>
      <w:r>
        <w:instrText xml:space="preserve"> HYPERLINK "http://www.fda.gov/ohrms/dockets/dailys/03/aug03/081203/03p-0363-cp00001-vol1.pdf" </w:instrText>
      </w:r>
      <w:r>
        <w:fldChar w:fldCharType="separate"/>
      </w:r>
      <w:r>
        <w:rPr>
          <w:rStyle w:val="9"/>
          <w:rFonts w:ascii="Arial" w:hAnsi="Arial" w:eastAsia="宋体" w:cs="Arial"/>
          <w:sz w:val="21"/>
          <w:szCs w:val="21"/>
        </w:rPr>
        <w:t>http://www.fda.gov/ohrms/dockets/dailys/03/aug03/081203/03p-0363-cp00001-vol1.pdf</w:t>
      </w:r>
      <w:r>
        <w:rPr>
          <w:rStyle w:val="9"/>
          <w:rFonts w:ascii="Arial" w:hAnsi="Arial" w:eastAsia="宋体" w:cs="Arial"/>
          <w:sz w:val="21"/>
          <w:szCs w:val="21"/>
        </w:rPr>
        <w:fldChar w:fldCharType="end"/>
      </w:r>
      <w:r>
        <w:rPr>
          <w:rFonts w:ascii="Arial" w:hAnsi="Arial" w:eastAsia="宋体" w:cs="Arial"/>
          <w:sz w:val="21"/>
          <w:szCs w:val="21"/>
        </w:rPr>
        <w:t>。</w:t>
      </w:r>
    </w:p>
  </w:footnote>
  <w:footnote w:id="7">
    <w:p w14:paraId="19BAD99D">
      <w:pPr>
        <w:pStyle w:val="5"/>
        <w:spacing w:line="300" w:lineRule="auto"/>
        <w:jc w:val="both"/>
        <w:rPr>
          <w:rFonts w:ascii="Arial" w:hAnsi="Arial" w:eastAsia="宋体" w:cs="Arial"/>
          <w:sz w:val="21"/>
          <w:szCs w:val="21"/>
        </w:rPr>
      </w:pPr>
      <w:r>
        <w:rPr>
          <w:rStyle w:val="10"/>
          <w:rFonts w:ascii="Arial" w:hAnsi="Arial" w:eastAsia="宋体" w:cs="Arial"/>
          <w:sz w:val="21"/>
          <w:szCs w:val="21"/>
        </w:rPr>
        <w:footnoteRef/>
      </w:r>
      <w:r>
        <w:rPr>
          <w:rFonts w:ascii="Arial" w:hAnsi="Arial" w:eastAsia="宋体" w:cs="Arial"/>
          <w:sz w:val="21"/>
          <w:szCs w:val="21"/>
        </w:rPr>
        <w:t xml:space="preserve"> FDA颁布了相关法规，涉</w:t>
      </w:r>
      <w:r>
        <w:rPr>
          <w:rFonts w:ascii="宋体" w:hAnsi="宋体" w:eastAsia="宋体" w:cs="Arial"/>
          <w:sz w:val="21"/>
          <w:szCs w:val="21"/>
        </w:rPr>
        <w:t>及“助听器械；专家和患者标签”</w:t>
      </w:r>
      <w:r>
        <w:rPr>
          <w:rFonts w:ascii="Arial" w:hAnsi="Arial" w:eastAsia="宋体" w:cs="Arial"/>
          <w:sz w:val="21"/>
          <w:szCs w:val="21"/>
        </w:rPr>
        <w:t>（21 CFR 801.420）</w:t>
      </w:r>
      <w:r>
        <w:rPr>
          <w:rFonts w:ascii="宋体" w:hAnsi="宋体" w:eastAsia="宋体" w:cs="Arial"/>
          <w:sz w:val="21"/>
          <w:szCs w:val="21"/>
        </w:rPr>
        <w:t>和“</w:t>
      </w:r>
      <w:r>
        <w:rPr>
          <w:rFonts w:ascii="Arial" w:hAnsi="Arial" w:eastAsia="宋体" w:cs="Arial"/>
          <w:sz w:val="21"/>
          <w:szCs w:val="21"/>
        </w:rPr>
        <w:t>助听器械；销售条</w:t>
      </w:r>
      <w:r>
        <w:rPr>
          <w:rFonts w:ascii="宋体" w:hAnsi="宋体" w:eastAsia="宋体" w:cs="Arial"/>
          <w:sz w:val="21"/>
          <w:szCs w:val="21"/>
        </w:rPr>
        <w:t>件”</w:t>
      </w:r>
      <w:r>
        <w:rPr>
          <w:rFonts w:ascii="Arial" w:hAnsi="Arial" w:eastAsia="宋体" w:cs="Arial"/>
          <w:sz w:val="21"/>
          <w:szCs w:val="21"/>
        </w:rPr>
        <w:t>（21 CFR 801.421）。</w:t>
      </w:r>
    </w:p>
  </w:footnote>
  <w:footnote w:id="8">
    <w:p w14:paraId="2C4ABDB3">
      <w:pPr>
        <w:pStyle w:val="5"/>
        <w:spacing w:line="300" w:lineRule="auto"/>
        <w:jc w:val="both"/>
        <w:rPr>
          <w:rFonts w:ascii="Arial" w:hAnsi="Arial" w:eastAsia="宋体" w:cs="Arial"/>
          <w:sz w:val="21"/>
          <w:szCs w:val="21"/>
        </w:rPr>
      </w:pPr>
      <w:r>
        <w:rPr>
          <w:rStyle w:val="10"/>
          <w:rFonts w:ascii="Arial" w:hAnsi="Arial" w:eastAsia="宋体" w:cs="Arial"/>
          <w:sz w:val="21"/>
          <w:szCs w:val="21"/>
        </w:rPr>
        <w:footnoteRef/>
      </w:r>
      <w:r>
        <w:rPr>
          <w:rFonts w:ascii="Arial" w:hAnsi="Arial" w:eastAsia="宋体" w:cs="Arial"/>
          <w:sz w:val="21"/>
          <w:szCs w:val="21"/>
        </w:rPr>
        <w:t xml:space="preserve"> </w:t>
      </w:r>
      <w:r>
        <w:rPr>
          <w:rFonts w:ascii="Arial" w:hAnsi="Arial" w:eastAsia="宋体" w:cs="Arial"/>
          <w:szCs w:val="21"/>
        </w:rPr>
        <w:t>Adams</w:t>
      </w:r>
      <w:r>
        <w:rPr>
          <w:rFonts w:hint="eastAsia" w:ascii="Arial" w:hAnsi="Arial" w:eastAsia="宋体" w:cs="Arial"/>
          <w:szCs w:val="21"/>
        </w:rPr>
        <w:t>，</w:t>
      </w:r>
      <w:r>
        <w:rPr>
          <w:rFonts w:ascii="Arial" w:hAnsi="Arial" w:eastAsia="宋体" w:cs="Arial"/>
          <w:szCs w:val="21"/>
        </w:rPr>
        <w:t>SB. Who will hear? An examination of the regulation of hearing aids. Journal of Contemporary Health</w:t>
      </w:r>
      <w:r>
        <w:rPr>
          <w:rFonts w:hint="eastAsia" w:ascii="Arial" w:hAnsi="Arial" w:eastAsia="宋体" w:cs="Arial"/>
          <w:sz w:val="21"/>
          <w:szCs w:val="21"/>
        </w:rPr>
        <w:t xml:space="preserve"> </w:t>
      </w:r>
      <w:r>
        <w:rPr>
          <w:rFonts w:ascii="Arial" w:hAnsi="Arial" w:eastAsia="宋体" w:cs="Arial"/>
          <w:sz w:val="21"/>
          <w:szCs w:val="21"/>
        </w:rPr>
        <w:t>Law &amp; Policy 1995;11</w:t>
      </w:r>
      <w:r>
        <w:rPr>
          <w:rFonts w:hint="eastAsia" w:ascii="Arial" w:hAnsi="Arial" w:eastAsia="宋体" w:cs="Arial"/>
          <w:sz w:val="21"/>
          <w:szCs w:val="21"/>
        </w:rPr>
        <w:t>（</w:t>
      </w:r>
      <w:r>
        <w:rPr>
          <w:rFonts w:ascii="Arial" w:hAnsi="Arial" w:eastAsia="宋体" w:cs="Arial"/>
          <w:sz w:val="21"/>
          <w:szCs w:val="21"/>
        </w:rPr>
        <w:t>2</w:t>
      </w:r>
      <w:r>
        <w:rPr>
          <w:rFonts w:hint="eastAsia" w:ascii="Arial" w:hAnsi="Arial" w:eastAsia="宋体" w:cs="Arial"/>
          <w:sz w:val="21"/>
          <w:szCs w:val="21"/>
        </w:rPr>
        <w:t>）</w:t>
      </w:r>
      <w:r>
        <w:rPr>
          <w:rFonts w:ascii="Arial" w:hAnsi="Arial" w:eastAsia="宋体" w:cs="Arial"/>
          <w:sz w:val="21"/>
          <w:szCs w:val="21"/>
        </w:rPr>
        <w:t>:505-521</w:t>
      </w:r>
      <w:r>
        <w:rPr>
          <w:rFonts w:hint="eastAsia" w:ascii="Arial" w:hAnsi="Arial" w:eastAsia="宋体" w:cs="Arial"/>
          <w:sz w:val="21"/>
          <w:szCs w:val="21"/>
        </w:rPr>
        <w:t>。</w:t>
      </w:r>
    </w:p>
    <w:p w14:paraId="2349D53B">
      <w:pPr>
        <w:pStyle w:val="5"/>
        <w:spacing w:line="300" w:lineRule="auto"/>
        <w:jc w:val="both"/>
        <w:rPr>
          <w:rFonts w:ascii="Arial" w:hAnsi="Arial" w:eastAsia="宋体" w:cs="Arial"/>
          <w:sz w:val="21"/>
          <w:szCs w:val="21"/>
        </w:rPr>
      </w:pPr>
    </w:p>
  </w:footnote>
  <w:footnote w:id="9">
    <w:p w14:paraId="223D5FD9">
      <w:pPr>
        <w:pStyle w:val="5"/>
      </w:pPr>
      <w:r>
        <w:rPr>
          <w:rStyle w:val="10"/>
        </w:rPr>
        <w:footnoteRef/>
      </w:r>
      <w:r>
        <w:t xml:space="preserve"> </w:t>
      </w:r>
      <w:r>
        <w:rPr>
          <w:rFonts w:ascii="Arial" w:hAnsi="Arial" w:eastAsia="宋体" w:cs="Arial"/>
          <w:sz w:val="21"/>
          <w:szCs w:val="21"/>
        </w:rPr>
        <w:t>81 FR 786</w:t>
      </w:r>
      <w:r>
        <w:rPr>
          <w:rFonts w:hint="eastAsia" w:ascii="Arial" w:hAnsi="Arial" w:eastAsia="宋体" w:cs="Arial"/>
          <w:sz w:val="21"/>
          <w:szCs w:val="21"/>
        </w:rPr>
        <w:t>，档案编号</w:t>
      </w:r>
      <w:r>
        <w:rPr>
          <w:rFonts w:ascii="Arial" w:hAnsi="Arial" w:eastAsia="宋体" w:cs="Arial"/>
          <w:sz w:val="21"/>
          <w:szCs w:val="21"/>
        </w:rPr>
        <w:t>FDA-2013-D-1295,</w:t>
      </w:r>
      <w:r>
        <w:rPr>
          <w:rFonts w:ascii="Arial" w:hAnsi="Arial" w:cs="Arial"/>
        </w:rPr>
        <w:t xml:space="preserve"> </w:t>
      </w:r>
      <w:r>
        <w:fldChar w:fldCharType="begin"/>
      </w:r>
      <w:r>
        <w:instrText xml:space="preserve"> HYPERLINK "https://www.regulations.gov/document?D=FDA-2013-D-1295-0048" </w:instrText>
      </w:r>
      <w:r>
        <w:fldChar w:fldCharType="separate"/>
      </w:r>
      <w:r>
        <w:rPr>
          <w:rStyle w:val="9"/>
        </w:rPr>
        <w:t>https://www.regulations.gov/document?D=FDA-2013-D-1295-0048</w:t>
      </w:r>
      <w:r>
        <w:rPr>
          <w:rStyle w:val="9"/>
        </w:rPr>
        <w:fldChar w:fldCharType="end"/>
      </w:r>
      <w:r>
        <w:rPr>
          <w:rFonts w:hint="eastAsia"/>
        </w:rPr>
        <w:t>。</w:t>
      </w:r>
    </w:p>
  </w:footnote>
  <w:footnote w:id="10">
    <w:p w14:paraId="7AAC3A19">
      <w:pPr>
        <w:pStyle w:val="5"/>
      </w:pPr>
      <w:r>
        <w:rPr>
          <w:rStyle w:val="10"/>
        </w:rPr>
        <w:footnoteRef/>
      </w:r>
      <w:r>
        <w:t xml:space="preserve"> </w:t>
      </w:r>
      <w:r>
        <w:rPr>
          <w:rFonts w:ascii="Arial" w:hAnsi="Arial" w:eastAsia="宋体" w:cs="Arial"/>
          <w:sz w:val="21"/>
          <w:szCs w:val="21"/>
        </w:rPr>
        <w:t>81 FR 784</w:t>
      </w:r>
      <w:r>
        <w:rPr>
          <w:rFonts w:hint="eastAsia" w:ascii="Arial" w:hAnsi="Arial" w:eastAsia="宋体" w:cs="Arial"/>
          <w:sz w:val="21"/>
          <w:szCs w:val="21"/>
        </w:rPr>
        <w:t>和</w:t>
      </w:r>
      <w:r>
        <w:rPr>
          <w:rFonts w:ascii="Arial" w:hAnsi="Arial" w:eastAsia="宋体" w:cs="Arial"/>
          <w:sz w:val="21"/>
          <w:szCs w:val="21"/>
        </w:rPr>
        <w:t>81 FR 28083，档案编号FDA-2015-N-4602</w:t>
      </w:r>
      <w:r>
        <w:rPr>
          <w:rFonts w:hint="eastAsia" w:ascii="Arial" w:hAnsi="Arial" w:eastAsia="宋体" w:cs="Arial"/>
        </w:rPr>
        <w:t>，</w:t>
      </w:r>
      <w:r>
        <w:fldChar w:fldCharType="begin"/>
      </w:r>
      <w:r>
        <w:instrText xml:space="preserve"> HYPERLINK "https://www.regulations.gov/searchResults?rpp=25&amp;po=0&amp;s=FDA-2015-N-4602&amp;fp=true&amp;ns=true" </w:instrText>
      </w:r>
      <w:r>
        <w:fldChar w:fldCharType="separate"/>
      </w:r>
      <w:r>
        <w:rPr>
          <w:rStyle w:val="9"/>
        </w:rPr>
        <w:t>https://www.regulations.gov/searchResults?rpp=25&amp;po=0&amp;s=FDA-2015-N-4602&amp;fp=true&amp;ns=true</w:t>
      </w:r>
      <w:r>
        <w:rPr>
          <w:rStyle w:val="9"/>
        </w:rP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65CB7">
    <w:pPr>
      <w:topLinePunct/>
      <w:adjustRightInd w:val="0"/>
      <w:snapToGrid w:val="0"/>
      <w:spacing w:after="180" w:afterLines="75" w:line="288" w:lineRule="auto"/>
      <w:jc w:val="center"/>
      <w:rPr>
        <w:rFonts w:ascii="Arial" w:hAnsi="Arial" w:eastAsia="宋体" w:cs="Arial"/>
        <w:b/>
        <w:i/>
        <w:snapToGrid w:val="0"/>
        <w:kern w:val="0"/>
      </w:rPr>
    </w:pPr>
    <w:r>
      <w:rPr>
        <w:rFonts w:hint="eastAsia" w:ascii="Arial" w:hAnsi="Arial" w:eastAsia="宋体" w:cs="Arial"/>
        <w:b/>
        <w:i/>
        <w:snapToGrid w:val="0"/>
        <w:kern w:val="0"/>
      </w:rPr>
      <w:t>所含建议不具约束力</w:t>
    </w:r>
  </w:p>
  <w:p w14:paraId="76E8CCBA">
    <w:pPr>
      <w:pStyle w:val="4"/>
      <w:pBdr>
        <w:bottom w:val="none" w:color="auto" w:sz="0" w:space="0"/>
      </w:pBdr>
    </w:pPr>
  </w:p>
  <w:p w14:paraId="14A80451">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B8A91">
    <w:pPr>
      <w:pStyle w:val="4"/>
      <w:pBdr>
        <w:bottom w:val="none" w:color="auto" w:sz="0" w:space="0"/>
      </w:pBdr>
    </w:pPr>
    <w:r>
      <w:rPr>
        <w:rFonts w:hint="eastAsia" w:ascii="Arial" w:hAnsi="Arial" w:eastAsia="宋体" w:cs="Arial"/>
        <w:b/>
        <w:i/>
        <w:snapToGrid w:val="0"/>
        <w:kern w:val="0"/>
      </w:rPr>
      <w:t>所含建议不具约束力</w:t>
    </w:r>
  </w:p>
  <w:p w14:paraId="45A91245">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340588"/>
    <w:multiLevelType w:val="multilevel"/>
    <w:tmpl w:val="4D340588"/>
    <w:lvl w:ilvl="0" w:tentative="0">
      <w:start w:val="1"/>
      <w:numFmt w:val="upperRoman"/>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footnotePr>
    <w:footnote w:id="22"/>
    <w:footnote w:id="2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211"/>
    <w:rsid w:val="000210CF"/>
    <w:rsid w:val="000D3555"/>
    <w:rsid w:val="001054BC"/>
    <w:rsid w:val="00120C39"/>
    <w:rsid w:val="00176CAA"/>
    <w:rsid w:val="001A5A14"/>
    <w:rsid w:val="001A6598"/>
    <w:rsid w:val="001E601C"/>
    <w:rsid w:val="00202B33"/>
    <w:rsid w:val="002313C3"/>
    <w:rsid w:val="00241211"/>
    <w:rsid w:val="00244E2A"/>
    <w:rsid w:val="002864D8"/>
    <w:rsid w:val="00313983"/>
    <w:rsid w:val="003C4654"/>
    <w:rsid w:val="003D169D"/>
    <w:rsid w:val="003F51A4"/>
    <w:rsid w:val="00406199"/>
    <w:rsid w:val="0046370A"/>
    <w:rsid w:val="00467BE4"/>
    <w:rsid w:val="005453C2"/>
    <w:rsid w:val="005B61A7"/>
    <w:rsid w:val="00616F0D"/>
    <w:rsid w:val="00675E68"/>
    <w:rsid w:val="006A6B4F"/>
    <w:rsid w:val="006A7FEF"/>
    <w:rsid w:val="00741AA3"/>
    <w:rsid w:val="00742798"/>
    <w:rsid w:val="00747095"/>
    <w:rsid w:val="007A02F3"/>
    <w:rsid w:val="007B3A69"/>
    <w:rsid w:val="007C7166"/>
    <w:rsid w:val="007D16CA"/>
    <w:rsid w:val="007E5075"/>
    <w:rsid w:val="007F5054"/>
    <w:rsid w:val="008035DB"/>
    <w:rsid w:val="008056C1"/>
    <w:rsid w:val="008D096F"/>
    <w:rsid w:val="009316BB"/>
    <w:rsid w:val="00953582"/>
    <w:rsid w:val="00961308"/>
    <w:rsid w:val="009B618C"/>
    <w:rsid w:val="009D44FE"/>
    <w:rsid w:val="009F4F61"/>
    <w:rsid w:val="009F70D5"/>
    <w:rsid w:val="00A07A2E"/>
    <w:rsid w:val="00A7587F"/>
    <w:rsid w:val="00A976D8"/>
    <w:rsid w:val="00AA3F42"/>
    <w:rsid w:val="00AD0D86"/>
    <w:rsid w:val="00AE1B1A"/>
    <w:rsid w:val="00AF2576"/>
    <w:rsid w:val="00AF738B"/>
    <w:rsid w:val="00B34C90"/>
    <w:rsid w:val="00B87D4F"/>
    <w:rsid w:val="00BC0891"/>
    <w:rsid w:val="00BE2146"/>
    <w:rsid w:val="00BE54F9"/>
    <w:rsid w:val="00C07AB1"/>
    <w:rsid w:val="00C16D14"/>
    <w:rsid w:val="00C56C61"/>
    <w:rsid w:val="00C76FC2"/>
    <w:rsid w:val="00CA7A43"/>
    <w:rsid w:val="00D638B4"/>
    <w:rsid w:val="00D72C25"/>
    <w:rsid w:val="00DB08F2"/>
    <w:rsid w:val="00DE7350"/>
    <w:rsid w:val="00DF5A0B"/>
    <w:rsid w:val="00E04172"/>
    <w:rsid w:val="00E52D65"/>
    <w:rsid w:val="00E92599"/>
    <w:rsid w:val="00EA4E78"/>
    <w:rsid w:val="00F24C57"/>
    <w:rsid w:val="00F517A4"/>
    <w:rsid w:val="08091091"/>
    <w:rsid w:val="1DA23389"/>
    <w:rsid w:val="2BD1346C"/>
    <w:rsid w:val="371B42E7"/>
    <w:rsid w:val="43E75CEA"/>
    <w:rsid w:val="4CFF57B4"/>
    <w:rsid w:val="4EB57853"/>
    <w:rsid w:val="514C2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1"/>
    <w:unhideWhenUsed/>
    <w:qFormat/>
    <w:uiPriority w:val="99"/>
    <w:pPr>
      <w:snapToGrid w:val="0"/>
      <w:jc w:val="left"/>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uiPriority w:val="99"/>
    <w:rPr>
      <w:color w:val="0563C1" w:themeColor="hyperlink"/>
      <w:u w:val="single"/>
      <w14:textFill>
        <w14:solidFill>
          <w14:schemeClr w14:val="hlink"/>
        </w14:solidFill>
      </w14:textFill>
    </w:rPr>
  </w:style>
  <w:style w:type="character" w:styleId="10">
    <w:name w:val="footnote reference"/>
    <w:basedOn w:val="8"/>
    <w:unhideWhenUsed/>
    <w:uiPriority w:val="99"/>
    <w:rPr>
      <w:vertAlign w:val="superscript"/>
    </w:rPr>
  </w:style>
  <w:style w:type="character" w:customStyle="1" w:styleId="11">
    <w:name w:val="脚注文本 Char"/>
    <w:basedOn w:val="8"/>
    <w:link w:val="5"/>
    <w:semiHidden/>
    <w:uiPriority w:val="99"/>
    <w:rPr>
      <w:sz w:val="18"/>
      <w:szCs w:val="18"/>
    </w:rPr>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 w:type="character" w:customStyle="1" w:styleId="14">
    <w:name w:val="批注框文本 Char"/>
    <w:basedOn w:val="8"/>
    <w:link w:val="2"/>
    <w:semiHidden/>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476CA-9222-42DC-B1E5-C3E31157E8B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3733</Words>
  <Characters>4344</Characters>
  <Lines>33</Lines>
  <Paragraphs>9</Paragraphs>
  <TotalTime>0</TotalTime>
  <ScaleCrop>false</ScaleCrop>
  <LinksUpToDate>false</LinksUpToDate>
  <CharactersWithSpaces>4393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2017-12-18T15:02:00Z</dcterms:created>
  <dc:creator>Guozhen Liu</dc:creator>
  <cp:lastModifiedBy>太极箫客</cp:lastModifiedBy>
  <dcterms:modified xsi:type="dcterms:W3CDTF">2025-08-14T06:43:49Z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B795E668F4DA48F0AB32A0E85D30164E_12</vt:lpwstr>
  </property>
</Properties>
</file>