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EFC16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pPr>
      <w:bookmarkStart w:id="0" w:name="_GoBack"/>
      <w:bookmarkEnd w:id="0"/>
      <w:r>
        <w:rPr>
          <w:color w:val="000000"/>
        </w:rPr>
        <w:t>印度尼西亚是最新的亚洲市场之一，为外国中小型医疗器械公司提供了巨大的机会，这主要是由于近年来他们的医疗器械监管和进口要求变得更加透明。印度尼西亚为医疗器械制造商提供了一个利润丰厚的发展中市场，与类似规模的邻近市场相比，外国品牌更容易夺得市场份额。</w:t>
      </w:r>
    </w:p>
    <w:p w14:paraId="0335AF8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pPr>
      <w:r>
        <w:rPr>
          <w:color w:val="000000"/>
        </w:rPr>
        <w:t>印度尼西亚卫生部 (MoH) 负责监督该岛国的医疗器械行业，该行业为 2.64 亿人口提供服务，预计到 2022 年每年增长近 10%，达到 15 亿美元。再加上当地制造商的缺乏以及预计每年高达 40% 的医疗器械进口增长，印度尼西亚是全球中小型医疗器械制造商下一个未开发的前沿领域之一。</w:t>
      </w:r>
    </w:p>
    <w:p w14:paraId="2F0A1D2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pPr>
      <w:r>
        <w:rPr>
          <w:rStyle w:val="5"/>
        </w:rPr>
        <w:t>一、主管机构和核心法规</w:t>
      </w:r>
    </w:p>
    <w:p w14:paraId="06E0602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pPr>
      <w:r>
        <w:rPr>
          <w:color w:val="000000"/>
        </w:rPr>
        <w:t>印度尼西亚的医疗器械受印度尼西亚卫生部 (MoH) 下属的国家药品和食品控制局 (NADFC) 监管。最新的医疗器械进口法规是 2017 年实施的第 62 号法令。该机构还负责上市前和上市后评估、标准化、立法和良好生产规范 (GMP) 认证。在进口之前，医疗器械和 IVD 必须获得卫生部颁发给当地特许经销商的注册号和产品许可证（AKA 营销许可证）。</w:t>
      </w:r>
    </w:p>
    <w:p w14:paraId="251F520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pPr>
      <w:r>
        <w:rPr>
          <w:rStyle w:val="5"/>
        </w:rPr>
        <w:t>二、产品分类</w:t>
      </w:r>
    </w:p>
    <w:p w14:paraId="0F45D63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rStyle w:val="5"/>
        </w:rPr>
      </w:pPr>
      <w:r>
        <w:rPr>
          <w:color w:val="000000"/>
        </w:rPr>
        <w:t>印度尼西亚的医疗器械受印度尼西亚卫生部 (MoH) 下属的国家药品和食品控制局 (NADFC) 监管。最新的医疗器械进口法规是 2017 年实施的第 62 号法令。该机构还负责上市前和上市后评估、标准化、立法和良好生产规范 (GMP) 认证。在进口之前，医疗器械和 IVD 必须获得卫生部颁发给当地特许经销商的注册号和产品许可证（AKA 营销许可证）。</w:t>
      </w:r>
    </w:p>
    <w:p w14:paraId="6F99397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pPr>
      <w:r>
        <w:rPr>
          <w:rStyle w:val="5"/>
        </w:rPr>
        <w:t>三、认证模式&amp;审核流程</w:t>
      </w:r>
    </w:p>
    <w:p w14:paraId="5A0C4D48">
      <w:pPr>
        <w:keepNext w:val="0"/>
        <w:keepLines w:val="0"/>
        <w:widowControl/>
        <w:suppressLineNumbers w:val="0"/>
        <w:spacing w:line="360" w:lineRule="auto"/>
        <w:jc w:val="left"/>
      </w:pPr>
      <w:r>
        <w:rPr>
          <w:sz w:val="24"/>
        </w:rPr>
        <mc:AlternateContent>
          <mc:Choice Requires="wps">
            <w:drawing>
              <wp:anchor distT="0" distB="0" distL="114300" distR="114300" simplePos="0" relativeHeight="251660288" behindDoc="0" locked="0" layoutInCell="1" allowOverlap="1">
                <wp:simplePos x="0" y="0"/>
                <wp:positionH relativeFrom="column">
                  <wp:posOffset>3830955</wp:posOffset>
                </wp:positionH>
                <wp:positionV relativeFrom="paragraph">
                  <wp:posOffset>4319905</wp:posOffset>
                </wp:positionV>
                <wp:extent cx="711200" cy="546100"/>
                <wp:effectExtent l="6350" t="6350" r="6350" b="6350"/>
                <wp:wrapNone/>
                <wp:docPr id="6" name="矩形 6"/>
                <wp:cNvGraphicFramePr/>
                <a:graphic xmlns:a="http://schemas.openxmlformats.org/drawingml/2006/main">
                  <a:graphicData uri="http://schemas.microsoft.com/office/word/2010/wordprocessingShape">
                    <wps:wsp>
                      <wps:cNvSpPr/>
                      <wps:spPr>
                        <a:xfrm>
                          <a:off x="4059555" y="9707245"/>
                          <a:ext cx="711200" cy="5461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01.65pt;margin-top:340.15pt;height:43pt;width:56pt;z-index:251660288;v-text-anchor:middle;mso-width-relative:page;mso-height-relative:page;" fillcolor="#FFFFFF [3212]" filled="t" stroked="t" coordsize="21600,21600" o:gfxdata="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">
                <v:fill on="t" focussize="0,0"/>
                <v:stroke weight="1pt" color="#FFFFFF [3212]" miterlimit="8" joinstyle="miter"/>
                <v:imagedata o:title=""/>
                <o:lock v:ext="edit" aspectratio="f"/>
              </v:rect>
            </w:pict>
          </mc:Fallback>
        </mc:AlternateContent>
      </w:r>
      <w:r>
        <w:rPr>
          <w:sz w:val="24"/>
        </w:rPr>
        <mc:AlternateContent>
          <mc:Choice Requires="wps">
            <w:drawing>
              <wp:anchor distT="0" distB="0" distL="114300" distR="114300" simplePos="0" relativeHeight="251659264" behindDoc="0" locked="0" layoutInCell="1" allowOverlap="1">
                <wp:simplePos x="0" y="0"/>
                <wp:positionH relativeFrom="column">
                  <wp:posOffset>4326255</wp:posOffset>
                </wp:positionH>
                <wp:positionV relativeFrom="paragraph">
                  <wp:posOffset>5233035</wp:posOffset>
                </wp:positionV>
                <wp:extent cx="914400" cy="323850"/>
                <wp:effectExtent l="6350" t="6350" r="6350" b="12700"/>
                <wp:wrapNone/>
                <wp:docPr id="5" name="矩形 5"/>
                <wp:cNvGraphicFramePr/>
                <a:graphic xmlns:a="http://schemas.openxmlformats.org/drawingml/2006/main">
                  <a:graphicData uri="http://schemas.microsoft.com/office/word/2010/wordprocessingShape">
                    <wps:wsp>
                      <wps:cNvSpPr/>
                      <wps:spPr>
                        <a:xfrm>
                          <a:off x="5469255" y="6147435"/>
                          <a:ext cx="914400" cy="32385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40.65pt;margin-top:412.05pt;height:25.5pt;width:72pt;z-index:251659264;v-text-anchor:middle;mso-width-relative:page;mso-height-relative:page;" fillcolor="#FFFFFF [3212]" filled="t" stroked="t" coordsize="21600,21600" o:gfxdata="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">
                <v:fill on="t" focussize="0,0"/>
                <v:stroke weight="1pt" color="#FFFFFF [3212]" miterlimit="8" joinstyle="miter"/>
                <v:imagedata o:title=""/>
                <o:lock v:ext="edit" aspectratio="f"/>
              </v:rect>
            </w:pict>
          </mc:Fallback>
        </mc:AlternateContent>
      </w:r>
      <w:r>
        <w:rPr>
          <w:rFonts w:ascii="宋体" w:hAnsi="宋体" w:eastAsia="宋体" w:cs="宋体"/>
          <w:kern w:val="0"/>
          <w:sz w:val="24"/>
          <w:szCs w:val="24"/>
          <w:lang w:val="en-US" w:eastAsia="zh-CN" w:bidi="ar"/>
        </w:rPr>
        <w:drawing>
          <wp:inline distT="0" distB="0" distL="114300" distR="114300">
            <wp:extent cx="4603750" cy="4839335"/>
            <wp:effectExtent l="0" t="0" r="0" b="12065"/>
            <wp:docPr id="3" name="图片 4"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descr="IMG_259"/>
                    <pic:cNvPicPr>
                      <a:picLocks noChangeAspect="1"/>
                    </pic:cNvPicPr>
                  </pic:nvPicPr>
                  <pic:blipFill>
                    <a:blip r:embed="rId4"/>
                    <a:stretch>
                      <a:fillRect/>
                    </a:stretch>
                  </pic:blipFill>
                  <pic:spPr>
                    <a:xfrm>
                      <a:off x="0" y="0"/>
                      <a:ext cx="4603750" cy="4839335"/>
                    </a:xfrm>
                    <a:prstGeom prst="rect">
                      <a:avLst/>
                    </a:prstGeom>
                    <a:noFill/>
                    <a:ln w="9525">
                      <a:noFill/>
                    </a:ln>
                  </pic:spPr>
                </pic:pic>
              </a:graphicData>
            </a:graphic>
          </wp:inline>
        </w:drawing>
      </w:r>
    </w:p>
    <w:p w14:paraId="36A0182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pPr>
      <w:r>
        <w:rPr>
          <w:color w:val="000000"/>
        </w:rPr>
        <w:t>当地代表必须在在线门户中创建一个帐户。所有设备类别的注册过程都是相同的。但是，文档要求因设备类别而异。注册是一个两个阶段的过程：</w:t>
      </w:r>
    </w:p>
    <w:p w14:paraId="793CA00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color w:val="000000"/>
        </w:rPr>
      </w:pPr>
      <w:r>
        <w:rPr>
          <w:rStyle w:val="5"/>
          <w:color w:val="000000"/>
        </w:rPr>
        <w:t>预注册流程</w:t>
      </w:r>
    </w:p>
    <w:p w14:paraId="0A7D5EC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pPr>
      <w:r>
        <w:rPr>
          <w:rStyle w:val="5"/>
          <w:color w:val="000000"/>
        </w:rPr>
        <w:t>评估过程</w:t>
      </w:r>
    </w:p>
    <w:p w14:paraId="5E7F62D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pPr>
      <w:r>
        <w:rPr>
          <w:color w:val="000000"/>
        </w:rPr>
        <w:t>MoH 验证设备的分类并确定评估成本。预注册结果连同发票将通过电子邮件发送给申请人。当地代表LOA代表制造商付款并上传付款证明。卫生部将审查文件并通过电子邮件将结果分享给申请人。某些设备需要在认可的实验室进行国内测试。</w:t>
      </w:r>
    </w:p>
    <w:p w14:paraId="04A7836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pPr>
      <w:r>
        <w:rPr>
          <w:color w:val="000000"/>
        </w:rPr>
        <w:t>在印度尼西亚注册医疗器械所需的文件</w:t>
      </w:r>
    </w:p>
    <w:p w14:paraId="653AB4C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color w:val="000000"/>
        </w:rPr>
      </w:pPr>
      <w:r>
        <w:rPr>
          <w:color w:val="000000"/>
        </w:rPr>
        <w:t>注册申请必须按照东盟共同提交档案模板（CSDT）提交。东盟共同提交档案模板 (CSDT) 包括：</w:t>
      </w:r>
    </w:p>
    <w:p w14:paraId="54E73F8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pPr>
      <w:r>
        <w:rPr>
          <w:color w:val="000000"/>
        </w:rPr>
        <w:t>1. 执行摘要</w:t>
      </w:r>
    </w:p>
    <w:p w14:paraId="5BCB85A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pPr>
      <w:r>
        <w:rPr>
          <w:color w:val="000000"/>
        </w:rPr>
        <w:t>2. 设备标签</w:t>
      </w:r>
    </w:p>
    <w:p w14:paraId="09B7DFD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pPr>
      <w:r>
        <w:rPr>
          <w:color w:val="000000"/>
        </w:rPr>
        <w:t>3. 详细的制造商信息</w:t>
      </w:r>
    </w:p>
    <w:p w14:paraId="15A79B3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pPr>
      <w:r>
        <w:rPr>
          <w:color w:val="000000"/>
        </w:rPr>
        <w:t>4. 医疗器械安全和性能的基本原则以及用于证明符合性的方法</w:t>
      </w:r>
    </w:p>
    <w:p w14:paraId="5F6964F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pPr>
      <w:r>
        <w:rPr>
          <w:color w:val="000000"/>
        </w:rPr>
        <w:t>5. 设计验证和确认文件摘要</w:t>
      </w:r>
    </w:p>
    <w:p w14:paraId="2B6F540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pPr>
      <w:r>
        <w:rPr>
          <w:color w:val="000000"/>
        </w:rPr>
        <w:t>6. 风险分析</w:t>
      </w:r>
    </w:p>
    <w:p w14:paraId="26ACAE3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pPr>
      <w:r>
        <w:rPr>
          <w:color w:val="000000"/>
        </w:rPr>
        <w:t>7. 销毁方法</w:t>
      </w:r>
    </w:p>
    <w:p w14:paraId="04129B2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pPr>
      <w:r>
        <w:rPr>
          <w:color w:val="000000"/>
        </w:rPr>
        <w:t>8. 质量管理认证</w:t>
      </w:r>
    </w:p>
    <w:p w14:paraId="43DC59C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pPr>
      <w:r>
        <w:rPr>
          <w:color w:val="000000"/>
        </w:rPr>
        <w:t>9. 预期用途/指示/包装证明信、制造商或产品所有者的标签证明信和使用说明</w:t>
      </w:r>
    </w:p>
    <w:p w14:paraId="67106C6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pPr>
      <w:r>
        <w:rPr>
          <w:color w:val="000000"/>
        </w:rPr>
        <w:t>10. 符合性声明</w:t>
      </w:r>
    </w:p>
    <w:p w14:paraId="1EDA653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pPr>
      <w:r>
        <w:rPr>
          <w:color w:val="000000"/>
        </w:rPr>
        <w:t>11. 制造商的市场历史证明确认信</w:t>
      </w:r>
    </w:p>
    <w:p w14:paraId="2E625FB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pPr>
      <w:r>
        <w:rPr>
          <w:color w:val="000000"/>
        </w:rPr>
        <w:t>12. 制造商的安全确认信</w:t>
      </w:r>
    </w:p>
    <w:p w14:paraId="1B6C1E3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pPr>
      <w:r>
        <w:rPr>
          <w:color w:val="000000"/>
        </w:rPr>
        <w:t>13. 外国医疗器械监管机构的批准证明（印度尼西亚虽然没有原产国批准的要求，但外国制造商需要参考国家的批准，参考国为：澳大利亚 – 加拿大 – 欧盟 – 日本 – 美国）</w:t>
      </w:r>
    </w:p>
    <w:p w14:paraId="51239E1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pPr>
      <w:r>
        <w:rPr>
          <w:color w:val="000000"/>
        </w:rPr>
        <w:t>14. 授权委托书</w:t>
      </w:r>
    </w:p>
    <w:p w14:paraId="1D677C4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pPr>
      <w:r>
        <w:rPr>
          <w:color w:val="000000"/>
        </w:rPr>
        <w:t>15. 分组指示信（如果需要）</w:t>
      </w:r>
    </w:p>
    <w:p w14:paraId="0E444D8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rStyle w:val="5"/>
          <w:color w:val="1571ED"/>
        </w:rPr>
      </w:pPr>
    </w:p>
    <w:p w14:paraId="126A683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pPr>
      <w:r>
        <w:rPr>
          <w:rStyle w:val="5"/>
          <w:color w:val="1571ED"/>
        </w:rPr>
        <w:t>IVD产品注册</w:t>
      </w:r>
    </w:p>
    <w:p w14:paraId="243A035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pPr>
      <w:r>
        <w:rPr>
          <w:color w:val="000000"/>
        </w:rPr>
        <w:t>在产品销售之前，体外诊断设备必须获得卫生部颁发给当地持证人的注册号和产品许可证。在印度尼西亚注册 IVD 设备之前，需要参考国家/地区（澳大利亚 – 加拿大 – 欧盟 – 日本 – 美国）的批准。</w:t>
      </w:r>
    </w:p>
    <w:p w14:paraId="120B6EB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pPr>
      <w:r>
        <w:rPr>
          <w:color w:val="000000"/>
        </w:rPr>
        <w:t>IVD 仪器需要 IEC 61010-1:2001 报告，部分设备需要性能/特性评估报告。例如，HIV 试剂和试剂盒的申请需要在印度尼西亚参考国家实验室医院(RSCM) 生成性能测试报告。</w:t>
      </w:r>
    </w:p>
    <w:p w14:paraId="2C1F856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rStyle w:val="5"/>
        </w:rPr>
      </w:pPr>
      <w:r>
        <w:rPr>
          <w:color w:val="000000"/>
        </w:rPr>
        <w:t>产品许可证一经颁发，有效期最长为 5 年。</w:t>
      </w:r>
    </w:p>
    <w:p w14:paraId="685D18B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rStyle w:val="5"/>
          <w:sz w:val="21"/>
          <w:szCs w:val="21"/>
        </w:rPr>
      </w:pPr>
    </w:p>
    <w:p w14:paraId="30352E4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rStyle w:val="5"/>
          <w:sz w:val="21"/>
          <w:szCs w:val="21"/>
        </w:rPr>
      </w:pPr>
    </w:p>
    <w:p w14:paraId="645052C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sz w:val="24"/>
          <w:szCs w:val="24"/>
        </w:rPr>
      </w:pPr>
      <w:r>
        <w:rPr>
          <w:rStyle w:val="5"/>
          <w:sz w:val="24"/>
          <w:szCs w:val="24"/>
        </w:rPr>
        <w:t>注意事项</w:t>
      </w:r>
    </w:p>
    <w:p w14:paraId="630831A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sz w:val="24"/>
          <w:szCs w:val="24"/>
        </w:rPr>
      </w:pPr>
      <w:r>
        <w:rPr>
          <w:rStyle w:val="5"/>
          <w:color w:val="FF8124"/>
          <w:sz w:val="24"/>
          <w:szCs w:val="24"/>
        </w:rPr>
        <w:t>1. 质量体系合格评定</w:t>
      </w:r>
    </w:p>
    <w:p w14:paraId="1766255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sz w:val="24"/>
          <w:szCs w:val="24"/>
        </w:rPr>
      </w:pPr>
      <w:r>
        <w:rPr>
          <w:sz w:val="24"/>
          <w:szCs w:val="24"/>
        </w:rPr>
        <w:t>制造商需提供 ISO 13485 证书来证明合法和/或实际制造设施的质量体系。</w:t>
      </w:r>
    </w:p>
    <w:p w14:paraId="246735B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sz w:val="24"/>
          <w:szCs w:val="24"/>
        </w:rPr>
      </w:pPr>
      <w:r>
        <w:rPr>
          <w:rStyle w:val="5"/>
          <w:color w:val="FF8124"/>
          <w:sz w:val="24"/>
          <w:szCs w:val="24"/>
        </w:rPr>
        <w:t>2. 许可证有效期和延续</w:t>
      </w:r>
    </w:p>
    <w:p w14:paraId="4ED3938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sz w:val="24"/>
          <w:szCs w:val="24"/>
        </w:rPr>
      </w:pPr>
      <w:r>
        <w:rPr>
          <w:sz w:val="24"/>
          <w:szCs w:val="24"/>
        </w:rPr>
        <w:t>产品许可证的有效期为 2 至 5 年，具体取决于授权书的有效期。</w:t>
      </w:r>
    </w:p>
    <w:p w14:paraId="7ECD80F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sz w:val="24"/>
          <w:szCs w:val="24"/>
        </w:rPr>
      </w:pPr>
      <w:r>
        <w:rPr>
          <w:sz w:val="24"/>
          <w:szCs w:val="24"/>
        </w:rPr>
        <w:t>印度尼西亚法规（卫生部第 62/2017 号法令；第 30 条）规定可修改现有产品许可证，以应对包装尺寸、标签和税号的变化。所有其他产品更改都需要提交新的注册。</w:t>
      </w:r>
    </w:p>
    <w:p w14:paraId="66B3DDA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sz w:val="24"/>
          <w:szCs w:val="24"/>
        </w:rPr>
      </w:pPr>
      <w:r>
        <w:rPr>
          <w:sz w:val="24"/>
          <w:szCs w:val="24"/>
        </w:rPr>
        <w:t>许可证不可转让，每次每台设备只能有一个有效许可证。根据新规定，制造商可以单方面终止其许可证（在经销商不合作的情况下），但需要等待 6 个月才能重新申请。</w:t>
      </w:r>
    </w:p>
    <w:p w14:paraId="04C8DA0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sz w:val="24"/>
          <w:szCs w:val="24"/>
        </w:rPr>
      </w:pPr>
      <w:r>
        <w:rPr>
          <w:rStyle w:val="5"/>
          <w:color w:val="FF8124"/>
          <w:sz w:val="24"/>
          <w:szCs w:val="24"/>
        </w:rPr>
        <w:t>3. 许可证持有人要求</w:t>
      </w:r>
    </w:p>
    <w:p w14:paraId="4E6BB67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rStyle w:val="5"/>
          <w:color w:val="FF8124"/>
          <w:sz w:val="24"/>
          <w:szCs w:val="24"/>
        </w:rPr>
      </w:pPr>
      <w:r>
        <w:rPr>
          <w:sz w:val="24"/>
          <w:szCs w:val="24"/>
        </w:rPr>
        <w:t>医疗器械注册需要当地企业完成，外国制造商的注册必须由当地代理人代为申请并持有许可证。此外，许可证持有人必须参与进口过程。所以欧必美不建议外国制造商指定经销商在印度尼西亚代表外国制造商。这样做，会受持证人约束。外国制造商可以委任独立第三方（欧必美）作为持证人，保持销售商的自由独立，并委任多个分销商以提高市场渗透率提供灵活性。</w:t>
      </w:r>
    </w:p>
    <w:p w14:paraId="70C8E7E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sz w:val="24"/>
          <w:szCs w:val="24"/>
        </w:rPr>
      </w:pPr>
      <w:r>
        <w:rPr>
          <w:rStyle w:val="5"/>
          <w:color w:val="FF8124"/>
          <w:sz w:val="24"/>
          <w:szCs w:val="24"/>
        </w:rPr>
        <w:t>4. 许可证转让</w:t>
      </w:r>
    </w:p>
    <w:p w14:paraId="19A9C8E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sz w:val="24"/>
          <w:szCs w:val="24"/>
        </w:rPr>
      </w:pPr>
      <w:r>
        <w:rPr>
          <w:sz w:val="24"/>
          <w:szCs w:val="24"/>
        </w:rPr>
        <w:t>要将有效的产品许可证从一个本地代理转移到另一个代理，需要取消原始许可证并提交新的申请。该过程并不复杂，但需要原始许可证持有人的充分合作。如果许可证持有人不合作并拒绝放弃授权书，卫生部规定制造商需要等待 6 个月才能重新申请。</w:t>
      </w:r>
    </w:p>
    <w:p w14:paraId="655DCE0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sz w:val="24"/>
          <w:szCs w:val="24"/>
        </w:rPr>
      </w:pPr>
      <w:r>
        <w:rPr>
          <w:rStyle w:val="5"/>
          <w:rFonts w:hint="eastAsia"/>
          <w:color w:val="FF8124"/>
          <w:sz w:val="24"/>
          <w:szCs w:val="24"/>
          <w:lang w:val="en-US" w:eastAsia="zh-CN"/>
        </w:rPr>
        <w:t>5</w:t>
      </w:r>
      <w:r>
        <w:rPr>
          <w:rStyle w:val="5"/>
          <w:color w:val="FF8124"/>
          <w:sz w:val="24"/>
          <w:szCs w:val="24"/>
        </w:rPr>
        <w:t>. 审核时间及费用</w:t>
      </w:r>
    </w:p>
    <w:p w14:paraId="41E517C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sz w:val="24"/>
          <w:szCs w:val="24"/>
        </w:rPr>
      </w:pPr>
      <w:r>
        <w:rPr>
          <w:sz w:val="24"/>
          <w:szCs w:val="24"/>
        </w:rPr>
        <w:t>虽然印度尼西亚没有快速审查程序，但印度尼西亚的注册会在大约 1 到 2 个月内进行审核，这比许多其他市场要快得多。印度尼西亚的注册费从 A 类的约 115 美元到 D 类的约 340 美元不等。</w:t>
      </w:r>
    </w:p>
    <w:p w14:paraId="468BB78E">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rStyle w:val="5"/>
          <w:color w:val="FF8124"/>
          <w:sz w:val="24"/>
          <w:szCs w:val="24"/>
        </w:rPr>
      </w:pPr>
      <w:r>
        <w:rPr>
          <w:rStyle w:val="5"/>
          <w:color w:val="FF8124"/>
          <w:sz w:val="24"/>
          <w:szCs w:val="24"/>
        </w:rPr>
        <w:t> 印度尼西亚电子目录策略和注册</w:t>
      </w:r>
    </w:p>
    <w:p w14:paraId="1AFEF312">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rightChars="0"/>
        <w:rPr>
          <w:sz w:val="24"/>
          <w:szCs w:val="24"/>
        </w:rPr>
      </w:pPr>
      <w:r>
        <w:rPr>
          <w:sz w:val="24"/>
          <w:szCs w:val="24"/>
        </w:rPr>
        <w:t>印度尼西亚取得销售成功的一个重要的因素是（政府采购）电子目录列表。该系统的建立旨在提高印度尼西亚政府采购（包括公立医院）的透明度并防止腐败。卫生部将允许制造商每天更新其定价，并自动批准列表更改。</w:t>
      </w:r>
    </w:p>
    <w:p w14:paraId="55A0F58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sz w:val="24"/>
          <w:szCs w:val="24"/>
        </w:rPr>
      </w:pPr>
      <w:r>
        <w:rPr>
          <w:sz w:val="24"/>
          <w:szCs w:val="24"/>
        </w:rPr>
        <w:t>这个政策变化大有裨益，受到医院、医疗保健机构和医疗器械制造商的欢迎，因为它加快了流程并允许制造商独立调整价格。指定注册的产品类别已扩大到1,482种医疗器械，在原国家系统下注册的产品无需重新注册到新系统，因为门户目前保持不变。</w:t>
      </w:r>
    </w:p>
    <w:p w14:paraId="40F91F9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sz w:val="24"/>
          <w:szCs w:val="24"/>
        </w:rPr>
      </w:pPr>
      <w:r>
        <w:rPr>
          <w:sz w:val="24"/>
          <w:szCs w:val="24"/>
        </w:rPr>
        <w:t>一旦卫生部为设备颁发进口许可证，许可证持有人就可以申请电子目录列表且没有政府申请费。</w:t>
      </w:r>
      <w:r>
        <w:rPr>
          <w:sz w:val="24"/>
          <w:szCs w:val="24"/>
        </w:rPr>
        <w:br w:type="textWrapping"/>
      </w:r>
      <w:r>
        <w:rPr>
          <w:sz w:val="24"/>
          <w:szCs w:val="24"/>
        </w:rPr>
        <w:t>电子目录系统也增加了印度尼西亚独立许可证持有的重要性，因为制造商可以直接参加政府采购，不会涉及经销商的利润。</w:t>
      </w:r>
    </w:p>
    <w:p w14:paraId="1B96015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sz w:val="24"/>
          <w:szCs w:val="24"/>
        </w:rPr>
      </w:pPr>
      <w:r>
        <w:rPr>
          <w:rStyle w:val="5"/>
          <w:rFonts w:hint="eastAsia"/>
          <w:color w:val="FF8124"/>
          <w:sz w:val="24"/>
          <w:szCs w:val="24"/>
          <w:lang w:val="en-US" w:eastAsia="zh-CN"/>
        </w:rPr>
        <w:t>7</w:t>
      </w:r>
      <w:r>
        <w:rPr>
          <w:rStyle w:val="5"/>
          <w:color w:val="FF8124"/>
          <w:sz w:val="24"/>
          <w:szCs w:val="24"/>
        </w:rPr>
        <w:t>. 印度尼西亚进口和清关</w:t>
      </w:r>
    </w:p>
    <w:p w14:paraId="78A504B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sz w:val="24"/>
          <w:szCs w:val="24"/>
        </w:rPr>
      </w:pPr>
      <w:r>
        <w:rPr>
          <w:sz w:val="24"/>
          <w:szCs w:val="24"/>
        </w:rPr>
        <w:t>在印度尼西亚，许可证持有人必须参与其持有进口许可证的医疗和体外诊断设备的进口和清关流程。 </w:t>
      </w:r>
    </w:p>
    <w:p w14:paraId="41921D56">
      <w:pPr>
        <w:spacing w:line="360" w:lineRule="auto"/>
      </w:pPr>
    </w:p>
    <w:p w14:paraId="123E1FA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rFonts w:hint="eastAsia" w:eastAsia="宋体"/>
          <w:lang w:eastAsia="zh-CN"/>
        </w:rPr>
      </w:pPr>
    </w:p>
    <w:p w14:paraId="0E00B6A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eastAsia="宋体"/>
          <w:lang w:eastAsia="zh-CN"/>
        </w:rPr>
      </w:pPr>
    </w:p>
    <w:p w14:paraId="203F23D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5"/>
                    <a:stretch>
                      <a:fillRect/>
                    </a:stretch>
                  </pic:blipFill>
                  <pic:spPr>
                    <a:xfrm>
                      <a:off x="0" y="0"/>
                      <a:ext cx="5210175" cy="7343775"/>
                    </a:xfrm>
                    <a:prstGeom prst="rect">
                      <a:avLst/>
                    </a:prstGeom>
                  </pic:spPr>
                </pic:pic>
              </a:graphicData>
            </a:graphic>
          </wp:inline>
        </w:drawing>
      </w:r>
    </w:p>
    <w:sectPr>
      <w:pgSz w:w="11906" w:h="16838"/>
      <w:pgMar w:top="400" w:right="446" w:bottom="478" w:left="5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B2B5090"/>
    <w:multiLevelType w:val="singleLevel"/>
    <w:tmpl w:val="DB2B5090"/>
    <w:lvl w:ilvl="0" w:tentative="0">
      <w:start w:val="6"/>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0MWYxNTI2MzhlODQ4YTE0NmFkN2IzNWE3M2I2NDAifQ=="/>
  </w:docVars>
  <w:rsids>
    <w:rsidRoot w:val="00000000"/>
    <w:rsid w:val="07E44909"/>
    <w:rsid w:val="19443C70"/>
    <w:rsid w:val="43673C4E"/>
    <w:rsid w:val="55A40E01"/>
    <w:rsid w:val="5B6948C3"/>
    <w:rsid w:val="7AEA0A53"/>
    <w:rsid w:val="7B9408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2162</Words>
  <Characters>2309</Characters>
  <Lines>0</Lines>
  <Paragraphs>0</Paragraphs>
  <TotalTime>8</TotalTime>
  <ScaleCrop>false</ScaleCrop>
  <LinksUpToDate>false</LinksUpToDate>
  <CharactersWithSpaces>2425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2022-08-02T06:05:00Z</dcterms:created>
  <dc:creator>BIO218</dc:creator>
  <cp:lastModifiedBy>太极箫客</cp:lastModifiedBy>
  <dcterms:modified xsi:type="dcterms:W3CDTF">2025-08-14T06:43:47Z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F25EB1257BBB4B17BB7F22DE9FEB6E39</vt:lpwstr>
  </property>
  <property fmtid="{D5CDD505-2E9C-101B-9397-08002B2CF9AE}" pid="4" name="KSOTemplateDocerSaveRecord">
    <vt:lpwstr>eyJoZGlkIjoiMDJiMzI3ODBiNTFmMWRjNDUyMjM1ZmZjODY5NDc2MWMiLCJ1c2VySWQiOiI0NTQ4Nzg1NzAifQ==</vt:lpwstr>
  </property>
</Properties>
</file>