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41A65">
      <w:pPr>
        <w:adjustRightInd w:val="0"/>
        <w:snapToGrid w:val="0"/>
        <w:spacing w:before="0" w:beforeLines="0" w:line="288" w:lineRule="auto"/>
        <w:jc w:val="center"/>
        <w:rPr>
          <w:rFonts w:ascii="Arial" w:hAnsi="Arial" w:eastAsia="宋体" w:cs="Arial"/>
          <w:b/>
          <w:sz w:val="36"/>
        </w:rPr>
      </w:pPr>
      <w:bookmarkStart w:id="4" w:name="_GoBack"/>
      <w:bookmarkEnd w:id="4"/>
    </w:p>
    <w:p w14:paraId="0BEFB6D4">
      <w:pPr>
        <w:adjustRightInd w:val="0"/>
        <w:snapToGrid w:val="0"/>
        <w:spacing w:before="0" w:beforeLines="0" w:line="288" w:lineRule="auto"/>
        <w:jc w:val="center"/>
        <w:rPr>
          <w:rFonts w:ascii="Arial" w:hAnsi="Arial" w:eastAsia="宋体" w:cs="Arial"/>
          <w:b/>
          <w:sz w:val="48"/>
        </w:rPr>
      </w:pPr>
      <w:r>
        <w:rPr>
          <w:rFonts w:ascii="Arial" w:hAnsi="Arial" w:eastAsia="宋体" w:cs="Arial"/>
          <w:b/>
          <w:sz w:val="48"/>
        </w:rPr>
        <w:t>协同开发抗菌药物和抗菌药物</w:t>
      </w:r>
      <w:r>
        <w:rPr>
          <w:rFonts w:ascii="Arial" w:hAnsi="Arial" w:eastAsia="宋体" w:cs="Arial"/>
          <w:b/>
          <w:sz w:val="48"/>
        </w:rPr>
        <w:br w:type="textWrapping"/>
      </w:r>
      <w:r>
        <w:rPr>
          <w:rFonts w:ascii="Arial" w:hAnsi="Arial" w:eastAsia="宋体" w:cs="Arial"/>
          <w:b/>
          <w:sz w:val="48"/>
        </w:rPr>
        <w:t>敏感性试验器械</w:t>
      </w:r>
    </w:p>
    <w:p w14:paraId="67B1C534">
      <w:pPr>
        <w:pBdr>
          <w:bottom w:val="single" w:color="auto" w:sz="4" w:space="1"/>
        </w:pBdr>
        <w:adjustRightInd w:val="0"/>
        <w:snapToGrid w:val="0"/>
        <w:spacing w:before="0" w:beforeLines="0" w:line="288" w:lineRule="auto"/>
        <w:rPr>
          <w:rFonts w:ascii="Arial" w:hAnsi="Arial" w:eastAsia="宋体" w:cs="Arial"/>
          <w:b/>
          <w:sz w:val="13"/>
        </w:rPr>
      </w:pPr>
    </w:p>
    <w:p w14:paraId="131717BE">
      <w:pPr>
        <w:adjustRightInd w:val="0"/>
        <w:snapToGrid w:val="0"/>
        <w:spacing w:before="156" w:line="288" w:lineRule="auto"/>
        <w:jc w:val="center"/>
        <w:rPr>
          <w:rFonts w:ascii="Arial" w:hAnsi="Arial" w:eastAsia="宋体" w:cs="Arial"/>
          <w:b/>
          <w:sz w:val="48"/>
        </w:rPr>
      </w:pPr>
      <w:r>
        <w:rPr>
          <w:rFonts w:ascii="Arial" w:hAnsi="Arial" w:eastAsia="宋体" w:cs="Arial"/>
          <w:b/>
          <w:sz w:val="48"/>
        </w:rPr>
        <w:t>行业</w:t>
      </w:r>
      <w:r>
        <w:rPr>
          <w:rFonts w:hint="eastAsia" w:ascii="Arial" w:hAnsi="Arial" w:eastAsia="宋体" w:cs="Arial"/>
          <w:b/>
          <w:sz w:val="48"/>
        </w:rPr>
        <w:t>及</w:t>
      </w:r>
      <w:r>
        <w:rPr>
          <w:rFonts w:ascii="Arial" w:hAnsi="Arial" w:eastAsia="宋体" w:cs="Arial"/>
          <w:b/>
          <w:sz w:val="48"/>
        </w:rPr>
        <w:t>食品药品监督管理局</w:t>
      </w:r>
      <w:r>
        <w:rPr>
          <w:rFonts w:ascii="Arial" w:hAnsi="Arial" w:eastAsia="宋体" w:cs="Arial"/>
          <w:b/>
          <w:sz w:val="48"/>
        </w:rPr>
        <w:br w:type="textWrapping"/>
      </w:r>
      <w:r>
        <w:rPr>
          <w:rFonts w:ascii="Arial" w:hAnsi="Arial" w:eastAsia="宋体" w:cs="Arial"/>
          <w:b/>
          <w:sz w:val="48"/>
        </w:rPr>
        <w:t>工作人员指南草案</w:t>
      </w:r>
    </w:p>
    <w:p w14:paraId="53CE8B4F">
      <w:pPr>
        <w:adjustRightInd w:val="0"/>
        <w:snapToGrid w:val="0"/>
        <w:spacing w:before="0" w:beforeLines="0" w:line="288" w:lineRule="auto"/>
        <w:rPr>
          <w:rFonts w:ascii="Arial" w:hAnsi="Arial" w:eastAsia="宋体" w:cs="Arial"/>
        </w:rPr>
      </w:pPr>
    </w:p>
    <w:p w14:paraId="7D56A767">
      <w:pPr>
        <w:adjustRightInd w:val="0"/>
        <w:snapToGrid w:val="0"/>
        <w:spacing w:before="0" w:beforeLines="0" w:line="288" w:lineRule="auto"/>
        <w:jc w:val="center"/>
        <w:rPr>
          <w:rFonts w:ascii="Arial" w:hAnsi="Arial" w:eastAsia="宋体" w:cs="Arial"/>
          <w:b/>
          <w:i/>
          <w:sz w:val="28"/>
          <w:szCs w:val="28"/>
        </w:rPr>
      </w:pPr>
      <w:r>
        <w:rPr>
          <w:rFonts w:ascii="Arial" w:hAnsi="Arial" w:eastAsia="宋体" w:cs="Arial"/>
          <w:b/>
          <w:i/>
          <w:sz w:val="28"/>
          <w:szCs w:val="28"/>
        </w:rPr>
        <w:t>指南草案</w:t>
      </w:r>
    </w:p>
    <w:p w14:paraId="2B7F9C2F">
      <w:pPr>
        <w:adjustRightInd w:val="0"/>
        <w:snapToGrid w:val="0"/>
        <w:spacing w:before="0" w:beforeLines="0" w:line="288" w:lineRule="auto"/>
        <w:rPr>
          <w:rFonts w:ascii="Arial" w:hAnsi="Arial" w:eastAsia="宋体" w:cs="Arial"/>
          <w:sz w:val="28"/>
          <w:szCs w:val="28"/>
        </w:rPr>
      </w:pPr>
    </w:p>
    <w:p w14:paraId="014C6878">
      <w:pPr>
        <w:adjustRightInd w:val="0"/>
        <w:snapToGrid w:val="0"/>
        <w:spacing w:before="0" w:beforeLines="0" w:line="288" w:lineRule="auto"/>
        <w:jc w:val="center"/>
        <w:rPr>
          <w:rFonts w:ascii="Arial" w:hAnsi="Arial" w:eastAsia="宋体" w:cs="Arial"/>
          <w:b/>
          <w:sz w:val="28"/>
          <w:szCs w:val="28"/>
        </w:rPr>
      </w:pPr>
      <w:r>
        <w:rPr>
          <w:rFonts w:ascii="Arial" w:hAnsi="Arial" w:eastAsia="宋体" w:cs="Arial"/>
          <w:b/>
          <w:sz w:val="28"/>
          <w:szCs w:val="28"/>
        </w:rPr>
        <w:t>本指导性文件公布的目的仅用于征询意见、建议用途。</w:t>
      </w:r>
    </w:p>
    <w:p w14:paraId="7761FF5C">
      <w:pPr>
        <w:adjustRightInd w:val="0"/>
        <w:snapToGrid w:val="0"/>
        <w:spacing w:before="0" w:beforeLines="0" w:line="288" w:lineRule="auto"/>
        <w:jc w:val="center"/>
        <w:rPr>
          <w:rFonts w:ascii="Arial" w:hAnsi="Arial" w:eastAsia="宋体" w:cs="Arial"/>
          <w:b/>
          <w:sz w:val="28"/>
          <w:szCs w:val="28"/>
        </w:rPr>
      </w:pPr>
    </w:p>
    <w:p w14:paraId="6E1BE41A">
      <w:pPr>
        <w:adjustRightInd w:val="0"/>
        <w:snapToGrid w:val="0"/>
        <w:spacing w:before="0" w:beforeLines="0" w:line="288" w:lineRule="auto"/>
        <w:jc w:val="center"/>
        <w:rPr>
          <w:rFonts w:ascii="Arial" w:hAnsi="Arial" w:eastAsia="宋体" w:cs="Arial"/>
          <w:b/>
          <w:sz w:val="28"/>
          <w:szCs w:val="28"/>
        </w:rPr>
      </w:pPr>
      <w:r>
        <w:rPr>
          <w:rFonts w:ascii="Arial" w:hAnsi="Arial" w:eastAsia="宋体" w:cs="Arial"/>
          <w:b/>
          <w:sz w:val="28"/>
          <w:szCs w:val="28"/>
        </w:rPr>
        <w:t>文档发布日期：2016年9月21日</w:t>
      </w:r>
    </w:p>
    <w:p w14:paraId="1727162D">
      <w:pPr>
        <w:adjustRightInd w:val="0"/>
        <w:snapToGrid w:val="0"/>
        <w:spacing w:before="0" w:beforeLines="0" w:line="288" w:lineRule="auto"/>
        <w:jc w:val="both"/>
        <w:rPr>
          <w:rFonts w:ascii="Arial" w:hAnsi="Arial" w:eastAsia="宋体" w:cs="Arial"/>
          <w:sz w:val="24"/>
        </w:rPr>
      </w:pPr>
    </w:p>
    <w:p w14:paraId="505EB93C">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针对本草案文档的评论和建议应在联邦公报发布通告宣布提供指南草案后的60天内提交。电子评论请提交至</w:t>
      </w:r>
      <w:r>
        <w:fldChar w:fldCharType="begin"/>
      </w:r>
      <w:r>
        <w:instrText xml:space="preserve"> HYPERLINK "http://www.regulations.gov" </w:instrText>
      </w:r>
      <w:r>
        <w:fldChar w:fldCharType="separate"/>
      </w:r>
      <w:r>
        <w:rPr>
          <w:rStyle w:val="11"/>
          <w:rFonts w:ascii="Arial" w:hAnsi="Arial" w:eastAsia="宋体" w:cs="Arial"/>
          <w:sz w:val="24"/>
        </w:rPr>
        <w:t>http://www.regulations.gov</w:t>
      </w:r>
      <w:r>
        <w:rPr>
          <w:rStyle w:val="11"/>
          <w:rFonts w:ascii="Arial" w:hAnsi="Arial" w:eastAsia="宋体" w:cs="Arial"/>
          <w:sz w:val="24"/>
        </w:rPr>
        <w:fldChar w:fldCharType="end"/>
      </w:r>
      <w:r>
        <w:rPr>
          <w:rFonts w:ascii="Arial" w:hAnsi="Arial" w:eastAsia="宋体" w:cs="Arial"/>
          <w:sz w:val="24"/>
        </w:rPr>
        <w:t>。书面评论请提交至食品药品监督管理局案卷管理处（HFA-305）</w:t>
      </w:r>
      <w:r>
        <w:rPr>
          <w:rFonts w:hint="eastAsia" w:ascii="Arial" w:hAnsi="Arial" w:eastAsia="宋体" w:cs="Arial"/>
          <w:sz w:val="24"/>
        </w:rPr>
        <w:t>（</w:t>
      </w:r>
      <w:r>
        <w:rPr>
          <w:rFonts w:ascii="Arial" w:hAnsi="Arial" w:eastAsia="宋体" w:cs="Arial"/>
          <w:sz w:val="24"/>
        </w:rPr>
        <w:t>5630 Fishers Lane，rm.1061，Rockville，MD 20852</w:t>
      </w:r>
      <w:r>
        <w:rPr>
          <w:rFonts w:hint="eastAsia" w:ascii="Arial" w:hAnsi="Arial" w:eastAsia="宋体" w:cs="Arial"/>
          <w:sz w:val="24"/>
        </w:rPr>
        <w:t>）。</w:t>
      </w:r>
      <w:r>
        <w:rPr>
          <w:rFonts w:ascii="Arial" w:hAnsi="Arial" w:eastAsia="宋体" w:cs="Arial"/>
          <w:sz w:val="24"/>
        </w:rPr>
        <w:t>所有评论应当注明案卷编号，该编号列于宣布提供指南的联邦公告中。</w:t>
      </w:r>
    </w:p>
    <w:p w14:paraId="15D4530B">
      <w:pPr>
        <w:adjustRightInd w:val="0"/>
        <w:snapToGrid w:val="0"/>
        <w:spacing w:before="0" w:beforeLines="0" w:line="288" w:lineRule="auto"/>
        <w:jc w:val="both"/>
        <w:rPr>
          <w:rFonts w:ascii="Arial" w:hAnsi="Arial" w:eastAsia="宋体" w:cs="Arial"/>
          <w:sz w:val="24"/>
        </w:rPr>
      </w:pPr>
    </w:p>
    <w:p w14:paraId="22D3B1CA">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针对CDRH相关的文档问题，请联系Ribhi Shawar，电话：301-796- 6698或电子邮箱：</w:t>
      </w:r>
      <w:r>
        <w:fldChar w:fldCharType="begin"/>
      </w:r>
      <w:r>
        <w:instrText xml:space="preserve"> HYPERLINK "mailto:ribhi.shawar@fda.hhs.gov" </w:instrText>
      </w:r>
      <w:r>
        <w:fldChar w:fldCharType="separate"/>
      </w:r>
      <w:r>
        <w:rPr>
          <w:rStyle w:val="11"/>
          <w:rFonts w:ascii="Arial" w:hAnsi="Arial" w:eastAsia="宋体" w:cs="Arial"/>
          <w:sz w:val="24"/>
        </w:rPr>
        <w:t>ribhi.shawar@fda.hhs.gov</w:t>
      </w:r>
      <w:r>
        <w:rPr>
          <w:rStyle w:val="11"/>
          <w:rFonts w:ascii="Arial" w:hAnsi="Arial" w:eastAsia="宋体" w:cs="Arial"/>
          <w:sz w:val="24"/>
        </w:rPr>
        <w:fldChar w:fldCharType="end"/>
      </w:r>
      <w:r>
        <w:rPr>
          <w:rFonts w:hint="eastAsia" w:ascii="Arial" w:hAnsi="Arial" w:eastAsia="宋体" w:cs="Arial"/>
          <w:sz w:val="24"/>
        </w:rPr>
        <w:t>。</w:t>
      </w:r>
      <w:r>
        <w:rPr>
          <w:rFonts w:ascii="Arial" w:hAnsi="Arial" w:eastAsia="宋体" w:cs="Arial"/>
          <w:sz w:val="24"/>
        </w:rPr>
        <w:t>针对CDER相关的问题，请联系Joseph Toerner，电话：301- 796-1400或电子邮箱：</w:t>
      </w:r>
      <w:r>
        <w:fldChar w:fldCharType="begin"/>
      </w:r>
      <w:r>
        <w:instrText xml:space="preserve"> HYPERLINK "mailto:joseph.toerner@fda.hhs.gov" </w:instrText>
      </w:r>
      <w:r>
        <w:fldChar w:fldCharType="separate"/>
      </w:r>
      <w:r>
        <w:rPr>
          <w:rStyle w:val="11"/>
          <w:rFonts w:ascii="Arial" w:hAnsi="Arial" w:eastAsia="宋体" w:cs="Arial"/>
          <w:sz w:val="24"/>
        </w:rPr>
        <w:t>joseph.toerner@fda.hhs.gov</w:t>
      </w:r>
      <w:r>
        <w:rPr>
          <w:rStyle w:val="11"/>
          <w:rFonts w:ascii="Arial" w:hAnsi="Arial" w:eastAsia="宋体" w:cs="Arial"/>
          <w:sz w:val="24"/>
        </w:rPr>
        <w:fldChar w:fldCharType="end"/>
      </w:r>
      <w:r>
        <w:rPr>
          <w:rFonts w:ascii="Arial" w:hAnsi="Arial" w:eastAsia="宋体" w:cs="Arial"/>
          <w:sz w:val="24"/>
        </w:rPr>
        <w:t>。</w:t>
      </w:r>
    </w:p>
    <w:p w14:paraId="5ADC91D0">
      <w:pPr>
        <w:adjustRightInd w:val="0"/>
        <w:snapToGrid w:val="0"/>
        <w:spacing w:before="0" w:beforeLines="0" w:line="288" w:lineRule="auto"/>
        <w:jc w:val="both"/>
        <w:rPr>
          <w:rFonts w:ascii="Arial" w:hAnsi="Arial" w:eastAsia="宋体" w:cs="Arial"/>
          <w:sz w:val="24"/>
        </w:rPr>
      </w:pPr>
    </w:p>
    <w:p w14:paraId="7E1775EE">
      <w:pPr>
        <w:adjustRightInd w:val="0"/>
        <w:snapToGrid w:val="0"/>
        <w:spacing w:before="0" w:beforeLines="0" w:line="288" w:lineRule="auto"/>
        <w:jc w:val="both"/>
        <w:rPr>
          <w:rFonts w:ascii="Arial" w:hAnsi="Arial" w:eastAsia="宋体" w:cs="Arial"/>
          <w:sz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14:paraId="2BBC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center"/>
          </w:tcPr>
          <w:p w14:paraId="259F0137">
            <w:pPr>
              <w:adjustRightInd w:val="0"/>
              <w:snapToGrid w:val="0"/>
              <w:spacing w:before="0" w:beforeLines="0" w:line="288" w:lineRule="auto"/>
              <w:jc w:val="both"/>
              <w:rPr>
                <w:rFonts w:ascii="Arial" w:hAnsi="Arial" w:eastAsia="宋体" w:cs="Arial"/>
                <w:sz w:val="24"/>
              </w:rPr>
            </w:pPr>
            <w:r>
              <w:rPr>
                <w:rFonts w:ascii="Arial" w:hAnsi="Arial" w:cs="Arial"/>
              </w:rPr>
              <w:drawing>
                <wp:inline distT="0" distB="0" distL="0" distR="0">
                  <wp:extent cx="2609215" cy="61849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609524" cy="619048"/>
                          </a:xfrm>
                          <a:prstGeom prst="rect">
                            <a:avLst/>
                          </a:prstGeom>
                        </pic:spPr>
                      </pic:pic>
                    </a:graphicData>
                  </a:graphic>
                </wp:inline>
              </w:drawing>
            </w:r>
          </w:p>
        </w:tc>
        <w:tc>
          <w:tcPr>
            <w:tcW w:w="4927" w:type="dxa"/>
          </w:tcPr>
          <w:p w14:paraId="54D71476">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美国卫生</w:t>
            </w:r>
            <w:r>
              <w:rPr>
                <w:rFonts w:hint="eastAsia" w:ascii="Arial" w:hAnsi="Arial" w:eastAsia="宋体" w:cs="Arial"/>
                <w:b/>
                <w:sz w:val="24"/>
              </w:rPr>
              <w:t>和人类服务署</w:t>
            </w:r>
          </w:p>
          <w:p w14:paraId="0E06B213">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食品药品监督管理局</w:t>
            </w:r>
          </w:p>
          <w:p w14:paraId="0CD108BA">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器械和放射</w:t>
            </w:r>
            <w:r>
              <w:rPr>
                <w:rFonts w:hint="eastAsia" w:ascii="Arial" w:hAnsi="Arial" w:eastAsia="宋体" w:cs="Arial"/>
                <w:b/>
                <w:sz w:val="24"/>
              </w:rPr>
              <w:t>卫生</w:t>
            </w:r>
            <w:r>
              <w:rPr>
                <w:rFonts w:ascii="Arial" w:hAnsi="Arial" w:eastAsia="宋体" w:cs="Arial"/>
                <w:b/>
                <w:sz w:val="24"/>
              </w:rPr>
              <w:t xml:space="preserve">中心 </w:t>
            </w:r>
          </w:p>
          <w:p w14:paraId="69188E14">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药物评估与研究中心</w:t>
            </w:r>
          </w:p>
        </w:tc>
      </w:tr>
    </w:tbl>
    <w:p w14:paraId="4D3797B2">
      <w:pPr>
        <w:adjustRightInd w:val="0"/>
        <w:snapToGrid w:val="0"/>
        <w:spacing w:before="0" w:beforeLines="0" w:line="288" w:lineRule="auto"/>
        <w:jc w:val="both"/>
        <w:rPr>
          <w:rFonts w:ascii="Arial" w:hAnsi="Arial" w:eastAsia="宋体" w:cs="Arial"/>
          <w:sz w:val="24"/>
        </w:rPr>
      </w:pPr>
    </w:p>
    <w:p w14:paraId="5A754597">
      <w:pPr>
        <w:spacing w:before="156"/>
        <w:rPr>
          <w:rFonts w:ascii="Arial" w:hAnsi="Arial" w:eastAsia="宋体" w:cs="Arial"/>
          <w:sz w:val="24"/>
        </w:rPr>
      </w:pPr>
      <w:r>
        <w:rPr>
          <w:rFonts w:ascii="Arial" w:hAnsi="Arial" w:eastAsia="宋体" w:cs="Arial"/>
          <w:sz w:val="24"/>
        </w:rPr>
        <w:br w:type="page"/>
      </w:r>
    </w:p>
    <w:p w14:paraId="1CDBA478">
      <w:pPr>
        <w:adjustRightInd w:val="0"/>
        <w:snapToGrid w:val="0"/>
        <w:spacing w:before="0" w:beforeLines="0" w:line="288" w:lineRule="auto"/>
        <w:jc w:val="both"/>
        <w:rPr>
          <w:rFonts w:ascii="Arial" w:hAnsi="Arial" w:eastAsia="宋体" w:cs="Arial"/>
          <w:sz w:val="24"/>
        </w:rPr>
      </w:pPr>
    </w:p>
    <w:p w14:paraId="138AAF08">
      <w:pPr>
        <w:adjustRightInd w:val="0"/>
        <w:snapToGrid w:val="0"/>
        <w:spacing w:before="0" w:beforeLines="0" w:line="288" w:lineRule="auto"/>
        <w:jc w:val="center"/>
        <w:rPr>
          <w:rFonts w:ascii="Arial" w:hAnsi="Arial" w:eastAsia="宋体" w:cs="Arial"/>
          <w:b/>
          <w:sz w:val="48"/>
        </w:rPr>
      </w:pPr>
      <w:r>
        <w:rPr>
          <w:rFonts w:ascii="Arial" w:hAnsi="Arial" w:eastAsia="宋体" w:cs="Arial"/>
          <w:b/>
          <w:sz w:val="48"/>
        </w:rPr>
        <w:t>引言</w:t>
      </w:r>
    </w:p>
    <w:p w14:paraId="6BFA4939">
      <w:pPr>
        <w:adjustRightInd w:val="0"/>
        <w:snapToGrid w:val="0"/>
        <w:spacing w:before="0" w:beforeLines="0" w:line="288" w:lineRule="auto"/>
        <w:jc w:val="both"/>
        <w:rPr>
          <w:rFonts w:ascii="Arial" w:hAnsi="Arial" w:eastAsia="宋体" w:cs="Arial"/>
          <w:sz w:val="24"/>
        </w:rPr>
      </w:pPr>
    </w:p>
    <w:p w14:paraId="07C19A4C">
      <w:pPr>
        <w:adjustRightInd w:val="0"/>
        <w:snapToGrid w:val="0"/>
        <w:spacing w:before="0" w:beforeLines="0" w:line="288" w:lineRule="auto"/>
        <w:jc w:val="both"/>
        <w:rPr>
          <w:rFonts w:ascii="Arial" w:hAnsi="Arial" w:eastAsia="宋体" w:cs="Arial"/>
          <w:sz w:val="24"/>
        </w:rPr>
      </w:pPr>
    </w:p>
    <w:p w14:paraId="15F88617">
      <w:pPr>
        <w:adjustRightInd w:val="0"/>
        <w:snapToGrid w:val="0"/>
        <w:spacing w:before="0" w:beforeLines="0" w:line="288" w:lineRule="auto"/>
        <w:jc w:val="both"/>
        <w:rPr>
          <w:rFonts w:ascii="Arial" w:hAnsi="Arial" w:eastAsia="宋体" w:cs="Arial"/>
          <w:b/>
          <w:sz w:val="36"/>
        </w:rPr>
      </w:pPr>
      <w:r>
        <w:rPr>
          <w:rFonts w:hint="eastAsia" w:ascii="Arial" w:hAnsi="Arial" w:eastAsia="宋体" w:cs="Arial"/>
          <w:b/>
          <w:sz w:val="36"/>
        </w:rPr>
        <w:t>其他</w:t>
      </w:r>
      <w:r>
        <w:rPr>
          <w:rFonts w:ascii="Arial" w:hAnsi="Arial" w:eastAsia="宋体" w:cs="Arial"/>
          <w:b/>
          <w:sz w:val="36"/>
        </w:rPr>
        <w:t>副本</w:t>
      </w:r>
    </w:p>
    <w:p w14:paraId="4EE0EA04">
      <w:pPr>
        <w:adjustRightInd w:val="0"/>
        <w:snapToGrid w:val="0"/>
        <w:spacing w:before="0" w:beforeLines="0" w:line="288" w:lineRule="auto"/>
        <w:jc w:val="both"/>
        <w:rPr>
          <w:rFonts w:ascii="Arial" w:hAnsi="Arial" w:eastAsia="宋体" w:cs="Arial"/>
          <w:sz w:val="24"/>
        </w:rPr>
      </w:pPr>
    </w:p>
    <w:p w14:paraId="528272EE">
      <w:pPr>
        <w:adjustRightInd w:val="0"/>
        <w:snapToGrid w:val="0"/>
        <w:spacing w:before="0" w:beforeLines="0" w:line="288" w:lineRule="auto"/>
        <w:jc w:val="both"/>
        <w:rPr>
          <w:rFonts w:ascii="Arial" w:hAnsi="Arial" w:eastAsia="宋体" w:cs="Arial"/>
          <w:sz w:val="24"/>
        </w:rPr>
      </w:pPr>
      <w:r>
        <w:rPr>
          <w:rFonts w:hint="eastAsia" w:ascii="Arial" w:hAnsi="Arial" w:eastAsia="宋体" w:cs="Arial"/>
          <w:sz w:val="24"/>
        </w:rPr>
        <w:t>其他</w:t>
      </w:r>
      <w:r>
        <w:rPr>
          <w:rFonts w:ascii="Arial" w:hAnsi="Arial" w:eastAsia="宋体" w:cs="Arial"/>
          <w:sz w:val="24"/>
        </w:rPr>
        <w:t>副本可从互联网获得。贵公司还可以向</w:t>
      </w:r>
      <w:r>
        <w:fldChar w:fldCharType="begin"/>
      </w:r>
      <w:r>
        <w:instrText xml:space="preserve"> HYPERLINK "mailto:CDRH-Guidance@fda.hhs.gov" </w:instrText>
      </w:r>
      <w:r>
        <w:fldChar w:fldCharType="separate"/>
      </w:r>
      <w:r>
        <w:rPr>
          <w:rStyle w:val="11"/>
          <w:rFonts w:ascii="Arial" w:hAnsi="Arial" w:eastAsia="宋体" w:cs="Arial"/>
          <w:sz w:val="24"/>
        </w:rPr>
        <w:t>CDRH-Guidance@fda.hhs.gov</w:t>
      </w:r>
      <w:r>
        <w:rPr>
          <w:rStyle w:val="11"/>
          <w:rFonts w:ascii="Arial" w:hAnsi="Arial" w:eastAsia="宋体" w:cs="Arial"/>
          <w:sz w:val="24"/>
        </w:rPr>
        <w:fldChar w:fldCharType="end"/>
      </w:r>
      <w:r>
        <w:rPr>
          <w:rFonts w:ascii="Arial" w:hAnsi="Arial" w:eastAsia="宋体" w:cs="Arial"/>
          <w:sz w:val="24"/>
        </w:rPr>
        <w:t>发送电子邮件请求，以接收本指南副本。请使用文档编号1400061来标识贵公司所要求获得的指南。</w:t>
      </w:r>
    </w:p>
    <w:p w14:paraId="53FFFA61">
      <w:pPr>
        <w:adjustRightInd w:val="0"/>
        <w:snapToGrid w:val="0"/>
        <w:spacing w:before="0" w:beforeLines="0" w:line="288" w:lineRule="auto"/>
        <w:jc w:val="both"/>
        <w:rPr>
          <w:rFonts w:ascii="Arial" w:hAnsi="Arial" w:eastAsia="宋体" w:cs="Arial"/>
          <w:sz w:val="24"/>
        </w:rPr>
      </w:pPr>
    </w:p>
    <w:p w14:paraId="55F4A298">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本指导性文件的附加副本可从以下地址获得：</w:t>
      </w:r>
    </w:p>
    <w:p w14:paraId="70DDA587">
      <w:pPr>
        <w:adjustRightInd w:val="0"/>
        <w:snapToGrid w:val="0"/>
        <w:spacing w:before="0" w:beforeLines="0" w:line="288" w:lineRule="auto"/>
        <w:jc w:val="both"/>
        <w:rPr>
          <w:rFonts w:ascii="Arial" w:hAnsi="Arial" w:eastAsia="宋体" w:cs="Arial"/>
          <w:sz w:val="24"/>
        </w:rPr>
      </w:pPr>
    </w:p>
    <w:p w14:paraId="3E93620E">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药物评价和研究中心</w:t>
      </w:r>
    </w:p>
    <w:p w14:paraId="4B6CA2CD">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药物信息司</w:t>
      </w:r>
    </w:p>
    <w:p w14:paraId="6F3DAD09">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 xml:space="preserve">10903 New Hampshire Ave.，Bldg. 51，rm.2201 </w:t>
      </w:r>
    </w:p>
    <w:p w14:paraId="4691C906">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Silver Spring，MD 20993-0002</w:t>
      </w:r>
    </w:p>
    <w:p w14:paraId="64B5F36B">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 xml:space="preserve">Tel：301-796-3400；电话：301-847-8714；电子邮箱：druginfo@fda.hhs.gov </w:t>
      </w:r>
    </w:p>
    <w:p w14:paraId="033CBA46">
      <w:pPr>
        <w:adjustRightInd w:val="0"/>
        <w:snapToGrid w:val="0"/>
        <w:spacing w:before="0" w:beforeLines="0" w:line="288" w:lineRule="auto"/>
        <w:jc w:val="both"/>
        <w:rPr>
          <w:rFonts w:ascii="Arial" w:hAnsi="Arial" w:eastAsia="宋体" w:cs="Arial"/>
          <w:sz w:val="24"/>
        </w:rPr>
      </w:pPr>
      <w:r>
        <w:fldChar w:fldCharType="begin"/>
      </w:r>
      <w:r>
        <w:instrText xml:space="preserve"> HYPERLINK "http://www.fda.gov/Drugs/GuidanceComplianceRegulatoryInformation/Guidances/de%20fault.htm" </w:instrText>
      </w:r>
      <w:r>
        <w:fldChar w:fldCharType="separate"/>
      </w:r>
      <w:r>
        <w:rPr>
          <w:rStyle w:val="11"/>
          <w:rFonts w:ascii="Arial" w:hAnsi="Arial" w:eastAsia="宋体" w:cs="Arial"/>
          <w:sz w:val="24"/>
        </w:rPr>
        <w:t>http://www.fda.gov/Drugs/GuidanceComplianceRegulatoryInformation/Guidances/de fault.htm</w:t>
      </w:r>
      <w:r>
        <w:rPr>
          <w:rStyle w:val="11"/>
          <w:rFonts w:ascii="Arial" w:hAnsi="Arial" w:eastAsia="宋体" w:cs="Arial"/>
          <w:sz w:val="24"/>
        </w:rPr>
        <w:fldChar w:fldCharType="end"/>
      </w:r>
      <w:r>
        <w:rPr>
          <w:rFonts w:ascii="Arial" w:hAnsi="Arial" w:eastAsia="宋体" w:cs="Arial"/>
          <w:sz w:val="24"/>
        </w:rPr>
        <w:t xml:space="preserve"> </w:t>
      </w:r>
    </w:p>
    <w:p w14:paraId="27402592">
      <w:pPr>
        <w:adjustRightInd w:val="0"/>
        <w:snapToGrid w:val="0"/>
        <w:spacing w:before="0" w:beforeLines="0" w:line="288" w:lineRule="auto"/>
        <w:jc w:val="both"/>
        <w:rPr>
          <w:rFonts w:ascii="Arial" w:hAnsi="Arial" w:eastAsia="宋体" w:cs="Arial"/>
          <w:sz w:val="24"/>
        </w:rPr>
      </w:pPr>
    </w:p>
    <w:p w14:paraId="23160385">
      <w:pPr>
        <w:spacing w:before="156"/>
        <w:rPr>
          <w:rFonts w:ascii="Arial" w:hAnsi="Arial" w:eastAsia="宋体" w:cs="Arial"/>
          <w:sz w:val="24"/>
        </w:rPr>
      </w:pPr>
      <w:r>
        <w:rPr>
          <w:rFonts w:ascii="Arial" w:hAnsi="Arial" w:eastAsia="宋体" w:cs="Arial"/>
          <w:sz w:val="24"/>
        </w:rPr>
        <w:br w:type="page"/>
      </w:r>
    </w:p>
    <w:p w14:paraId="2E1FD3F2">
      <w:pPr>
        <w:adjustRightInd w:val="0"/>
        <w:snapToGrid w:val="0"/>
        <w:spacing w:before="0" w:beforeLines="0" w:line="288" w:lineRule="auto"/>
        <w:jc w:val="both"/>
        <w:rPr>
          <w:rFonts w:ascii="Arial" w:hAnsi="Arial" w:eastAsia="宋体" w:cs="Arial"/>
          <w:sz w:val="24"/>
        </w:rPr>
      </w:pPr>
    </w:p>
    <w:p w14:paraId="75B97DF0">
      <w:pPr>
        <w:adjustRightInd w:val="0"/>
        <w:snapToGrid w:val="0"/>
        <w:spacing w:before="0" w:beforeLines="0" w:line="288" w:lineRule="auto"/>
        <w:jc w:val="center"/>
        <w:rPr>
          <w:rFonts w:ascii="Arial" w:hAnsi="Arial" w:eastAsia="宋体" w:cs="Arial"/>
          <w:b/>
          <w:sz w:val="28"/>
        </w:rPr>
      </w:pPr>
      <w:r>
        <w:rPr>
          <w:rFonts w:ascii="Arial" w:hAnsi="Arial" w:eastAsia="宋体" w:cs="Arial"/>
          <w:b/>
          <w:sz w:val="28"/>
        </w:rPr>
        <w:t>目录</w:t>
      </w:r>
    </w:p>
    <w:p w14:paraId="7A5232ED">
      <w:pPr>
        <w:adjustRightInd w:val="0"/>
        <w:snapToGrid w:val="0"/>
        <w:spacing w:before="0" w:beforeLines="0" w:line="288" w:lineRule="auto"/>
        <w:jc w:val="both"/>
        <w:rPr>
          <w:rFonts w:ascii="Arial" w:hAnsi="Arial" w:eastAsia="宋体" w:cs="Arial"/>
          <w:sz w:val="24"/>
        </w:rPr>
      </w:pPr>
    </w:p>
    <w:p w14:paraId="04AD0003">
      <w:pPr>
        <w:pStyle w:val="5"/>
        <w:tabs>
          <w:tab w:val="left" w:pos="420"/>
          <w:tab w:val="right" w:leader="dot" w:pos="9628"/>
        </w:tabs>
        <w:spacing w:before="156"/>
      </w:pPr>
      <w:r>
        <w:rPr>
          <w:rFonts w:ascii="Arial" w:hAnsi="Arial" w:eastAsia="宋体" w:cs="Arial"/>
          <w:sz w:val="24"/>
          <w:szCs w:val="24"/>
        </w:rPr>
        <w:fldChar w:fldCharType="begin"/>
      </w:r>
      <w:r>
        <w:rPr>
          <w:rFonts w:ascii="Arial" w:hAnsi="Arial" w:eastAsia="宋体" w:cs="Arial"/>
          <w:sz w:val="24"/>
          <w:szCs w:val="24"/>
        </w:rPr>
        <w:instrText xml:space="preserve"> TOC \o "1-1" \h \z \u </w:instrText>
      </w:r>
      <w:r>
        <w:rPr>
          <w:rFonts w:ascii="Arial" w:hAnsi="Arial" w:eastAsia="宋体" w:cs="Arial"/>
          <w:sz w:val="24"/>
          <w:szCs w:val="24"/>
        </w:rPr>
        <w:fldChar w:fldCharType="separate"/>
      </w:r>
      <w:r>
        <w:fldChar w:fldCharType="begin"/>
      </w:r>
      <w:r>
        <w:instrText xml:space="preserve"> HYPERLINK \l "_Toc495687859" </w:instrText>
      </w:r>
      <w:r>
        <w:fldChar w:fldCharType="separate"/>
      </w:r>
      <w:r>
        <w:rPr>
          <w:rStyle w:val="11"/>
          <w:rFonts w:ascii="Arial" w:hAnsi="Arial" w:eastAsia="宋体" w:cs="Arial"/>
          <w:b/>
        </w:rPr>
        <w:t>I.</w:t>
      </w:r>
      <w:r>
        <w:tab/>
      </w:r>
      <w:r>
        <w:rPr>
          <w:rStyle w:val="11"/>
          <w:rFonts w:hint="eastAsia" w:ascii="Arial" w:hAnsi="Arial" w:eastAsia="宋体" w:cs="Arial"/>
          <w:b/>
        </w:rPr>
        <w:t>引言</w:t>
      </w:r>
      <w:r>
        <w:tab/>
      </w:r>
      <w:r>
        <w:fldChar w:fldCharType="begin"/>
      </w:r>
      <w:r>
        <w:instrText xml:space="preserve"> PAGEREF _Toc495687859 \h </w:instrText>
      </w:r>
      <w:r>
        <w:fldChar w:fldCharType="separate"/>
      </w:r>
      <w:r>
        <w:t>1</w:t>
      </w:r>
      <w:r>
        <w:fldChar w:fldCharType="end"/>
      </w:r>
      <w:r>
        <w:fldChar w:fldCharType="end"/>
      </w:r>
    </w:p>
    <w:p w14:paraId="7DF66D26">
      <w:pPr>
        <w:pStyle w:val="5"/>
        <w:tabs>
          <w:tab w:val="left" w:pos="420"/>
          <w:tab w:val="right" w:leader="dot" w:pos="9628"/>
        </w:tabs>
        <w:spacing w:before="156"/>
      </w:pPr>
      <w:r>
        <w:fldChar w:fldCharType="begin"/>
      </w:r>
      <w:r>
        <w:instrText xml:space="preserve"> HYPERLINK \l "_Toc495687860" </w:instrText>
      </w:r>
      <w:r>
        <w:fldChar w:fldCharType="separate"/>
      </w:r>
      <w:r>
        <w:rPr>
          <w:rStyle w:val="11"/>
          <w:rFonts w:ascii="Arial" w:hAnsi="Arial" w:eastAsia="宋体" w:cs="Arial"/>
          <w:b/>
        </w:rPr>
        <w:t>II.</w:t>
      </w:r>
      <w:r>
        <w:tab/>
      </w:r>
      <w:r>
        <w:rPr>
          <w:rStyle w:val="11"/>
          <w:rFonts w:hint="eastAsia" w:ascii="Arial" w:hAnsi="Arial" w:eastAsia="宋体" w:cs="Arial"/>
          <w:b/>
        </w:rPr>
        <w:t>背景</w:t>
      </w:r>
      <w:r>
        <w:tab/>
      </w:r>
      <w:r>
        <w:fldChar w:fldCharType="begin"/>
      </w:r>
      <w:r>
        <w:instrText xml:space="preserve"> PAGEREF _Toc495687860 \h </w:instrText>
      </w:r>
      <w:r>
        <w:fldChar w:fldCharType="separate"/>
      </w:r>
      <w:r>
        <w:t>2</w:t>
      </w:r>
      <w:r>
        <w:fldChar w:fldCharType="end"/>
      </w:r>
      <w:r>
        <w:fldChar w:fldCharType="end"/>
      </w:r>
    </w:p>
    <w:p w14:paraId="624582D8">
      <w:pPr>
        <w:pStyle w:val="5"/>
        <w:tabs>
          <w:tab w:val="left" w:pos="630"/>
          <w:tab w:val="right" w:leader="dot" w:pos="9628"/>
        </w:tabs>
        <w:spacing w:before="156"/>
      </w:pPr>
      <w:r>
        <w:fldChar w:fldCharType="begin"/>
      </w:r>
      <w:r>
        <w:instrText xml:space="preserve"> HYPERLINK \l "_Toc495687861" </w:instrText>
      </w:r>
      <w:r>
        <w:fldChar w:fldCharType="separate"/>
      </w:r>
      <w:r>
        <w:rPr>
          <w:rStyle w:val="11"/>
          <w:rFonts w:ascii="Arial" w:hAnsi="Arial" w:eastAsia="宋体" w:cs="Arial"/>
          <w:b/>
        </w:rPr>
        <w:t>III.</w:t>
      </w:r>
      <w:r>
        <w:tab/>
      </w:r>
      <w:r>
        <w:rPr>
          <w:rStyle w:val="11"/>
          <w:rFonts w:hint="eastAsia" w:ascii="Arial" w:hAnsi="Arial" w:eastAsia="宋体" w:cs="Arial"/>
          <w:b/>
        </w:rPr>
        <w:t>抗菌药物申办方和</w:t>
      </w:r>
      <w:r>
        <w:rPr>
          <w:rStyle w:val="11"/>
          <w:rFonts w:ascii="Arial" w:hAnsi="Arial" w:eastAsia="宋体" w:cs="Arial"/>
          <w:b/>
        </w:rPr>
        <w:t>AST</w:t>
      </w:r>
      <w:r>
        <w:rPr>
          <w:rStyle w:val="11"/>
          <w:rFonts w:hint="eastAsia" w:ascii="Arial" w:hAnsi="Arial" w:eastAsia="宋体" w:cs="Arial"/>
          <w:b/>
        </w:rPr>
        <w:t>器械制造商之间的互动</w:t>
      </w:r>
      <w:r>
        <w:tab/>
      </w:r>
      <w:r>
        <w:fldChar w:fldCharType="begin"/>
      </w:r>
      <w:r>
        <w:instrText xml:space="preserve"> PAGEREF _Toc495687861 \h </w:instrText>
      </w:r>
      <w:r>
        <w:fldChar w:fldCharType="separate"/>
      </w:r>
      <w:r>
        <w:t>3</w:t>
      </w:r>
      <w:r>
        <w:fldChar w:fldCharType="end"/>
      </w:r>
      <w:r>
        <w:fldChar w:fldCharType="end"/>
      </w:r>
    </w:p>
    <w:p w14:paraId="046C9022">
      <w:pPr>
        <w:pStyle w:val="5"/>
        <w:tabs>
          <w:tab w:val="left" w:pos="630"/>
          <w:tab w:val="right" w:leader="dot" w:pos="9628"/>
        </w:tabs>
        <w:spacing w:before="156"/>
      </w:pPr>
      <w:r>
        <w:fldChar w:fldCharType="begin"/>
      </w:r>
      <w:r>
        <w:instrText xml:space="preserve"> HYPERLINK \l "_Toc495687862" </w:instrText>
      </w:r>
      <w:r>
        <w:fldChar w:fldCharType="separate"/>
      </w:r>
      <w:r>
        <w:rPr>
          <w:rStyle w:val="11"/>
          <w:rFonts w:ascii="Arial" w:hAnsi="Arial" w:eastAsia="宋体" w:cs="Arial"/>
          <w:b/>
        </w:rPr>
        <w:t>IV.</w:t>
      </w:r>
      <w:r>
        <w:tab/>
      </w:r>
      <w:r>
        <w:rPr>
          <w:rStyle w:val="11"/>
          <w:rFonts w:hint="eastAsia" w:ascii="Arial" w:hAnsi="Arial" w:eastAsia="宋体" w:cs="Arial"/>
          <w:b/>
        </w:rPr>
        <w:t>协调开发抗菌药物和</w:t>
      </w:r>
      <w:r>
        <w:rPr>
          <w:rStyle w:val="11"/>
          <w:rFonts w:ascii="Arial" w:hAnsi="Arial" w:eastAsia="宋体" w:cs="Arial"/>
          <w:b/>
        </w:rPr>
        <w:t>AST</w:t>
      </w:r>
      <w:r>
        <w:rPr>
          <w:rStyle w:val="11"/>
          <w:rFonts w:hint="eastAsia" w:ascii="Arial" w:hAnsi="Arial" w:eastAsia="宋体" w:cs="Arial"/>
          <w:b/>
        </w:rPr>
        <w:t>器械的考虑因素</w:t>
      </w:r>
      <w:r>
        <w:tab/>
      </w:r>
      <w:r>
        <w:fldChar w:fldCharType="begin"/>
      </w:r>
      <w:r>
        <w:instrText xml:space="preserve"> PAGEREF _Toc495687862 \h </w:instrText>
      </w:r>
      <w:r>
        <w:fldChar w:fldCharType="separate"/>
      </w:r>
      <w:r>
        <w:t>4</w:t>
      </w:r>
      <w:r>
        <w:fldChar w:fldCharType="end"/>
      </w:r>
      <w:r>
        <w:fldChar w:fldCharType="end"/>
      </w:r>
    </w:p>
    <w:p w14:paraId="1E86E557">
      <w:pPr>
        <w:adjustRightInd w:val="0"/>
        <w:snapToGrid w:val="0"/>
        <w:spacing w:before="0" w:beforeLines="0" w:line="288" w:lineRule="auto"/>
        <w:jc w:val="both"/>
        <w:rPr>
          <w:rFonts w:ascii="Arial" w:hAnsi="Arial" w:eastAsia="宋体" w:cs="Arial"/>
          <w:sz w:val="24"/>
        </w:rPr>
      </w:pPr>
      <w:r>
        <w:rPr>
          <w:rFonts w:ascii="Arial" w:hAnsi="Arial" w:eastAsia="宋体" w:cs="Arial"/>
          <w:sz w:val="24"/>
          <w:szCs w:val="24"/>
        </w:rPr>
        <w:fldChar w:fldCharType="end"/>
      </w:r>
    </w:p>
    <w:p w14:paraId="1A865BE5">
      <w:pPr>
        <w:adjustRightInd w:val="0"/>
        <w:snapToGrid w:val="0"/>
        <w:spacing w:before="0" w:beforeLines="0" w:line="288" w:lineRule="auto"/>
        <w:jc w:val="both"/>
        <w:rPr>
          <w:rFonts w:ascii="Arial" w:hAnsi="Arial" w:eastAsia="宋体" w:cs="Arial"/>
          <w:sz w:val="24"/>
        </w:rPr>
      </w:pPr>
    </w:p>
    <w:p w14:paraId="27C9A8F3">
      <w:pPr>
        <w:adjustRightInd w:val="0"/>
        <w:snapToGrid w:val="0"/>
        <w:spacing w:before="0" w:beforeLines="0" w:line="288" w:lineRule="auto"/>
        <w:jc w:val="both"/>
        <w:rPr>
          <w:rFonts w:ascii="Arial" w:hAnsi="Arial" w:eastAsia="宋体" w:cs="Arial"/>
          <w:sz w:val="24"/>
        </w:rPr>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992" w:gutter="0"/>
          <w:cols w:space="425" w:num="1"/>
          <w:docGrid w:type="lines" w:linePitch="312" w:charSpace="0"/>
        </w:sectPr>
      </w:pPr>
    </w:p>
    <w:p w14:paraId="09485C93">
      <w:pPr>
        <w:adjustRightInd w:val="0"/>
        <w:snapToGrid w:val="0"/>
        <w:spacing w:before="0" w:beforeLines="0" w:line="288" w:lineRule="auto"/>
        <w:jc w:val="center"/>
        <w:rPr>
          <w:rFonts w:ascii="Arial" w:hAnsi="Arial" w:eastAsia="宋体" w:cs="Arial"/>
          <w:b/>
          <w:sz w:val="48"/>
        </w:rPr>
      </w:pPr>
      <w:r>
        <w:rPr>
          <w:rFonts w:ascii="Arial" w:hAnsi="Arial" w:eastAsia="宋体" w:cs="Arial"/>
          <w:b/>
          <w:sz w:val="48"/>
        </w:rPr>
        <w:t>协同开发抗菌药物和抗菌药物</w:t>
      </w:r>
      <w:r>
        <w:rPr>
          <w:rFonts w:ascii="Arial" w:hAnsi="Arial" w:eastAsia="宋体" w:cs="Arial"/>
          <w:b/>
          <w:sz w:val="48"/>
        </w:rPr>
        <w:br w:type="textWrapping"/>
      </w:r>
      <w:r>
        <w:rPr>
          <w:rFonts w:ascii="Arial" w:hAnsi="Arial" w:eastAsia="宋体" w:cs="Arial"/>
          <w:b/>
          <w:sz w:val="48"/>
        </w:rPr>
        <w:t>敏感性试验器械</w:t>
      </w:r>
    </w:p>
    <w:p w14:paraId="4653AB5B">
      <w:pPr>
        <w:adjustRightInd w:val="0"/>
        <w:snapToGrid w:val="0"/>
        <w:spacing w:before="0" w:beforeLines="0" w:line="288" w:lineRule="auto"/>
        <w:rPr>
          <w:rFonts w:ascii="Arial" w:hAnsi="Arial" w:eastAsia="宋体" w:cs="Arial"/>
          <w:b/>
          <w:sz w:val="13"/>
        </w:rPr>
      </w:pPr>
    </w:p>
    <w:p w14:paraId="01104488">
      <w:pPr>
        <w:pBdr>
          <w:top w:val="single" w:color="auto" w:sz="4" w:space="1"/>
        </w:pBdr>
        <w:adjustRightInd w:val="0"/>
        <w:snapToGrid w:val="0"/>
        <w:spacing w:before="0" w:beforeLines="0" w:line="288" w:lineRule="auto"/>
        <w:rPr>
          <w:rFonts w:ascii="Arial" w:hAnsi="Arial" w:eastAsia="宋体" w:cs="Arial"/>
          <w:b/>
          <w:sz w:val="13"/>
        </w:rPr>
      </w:pPr>
    </w:p>
    <w:p w14:paraId="12E1FACE">
      <w:pPr>
        <w:adjustRightInd w:val="0"/>
        <w:snapToGrid w:val="0"/>
        <w:spacing w:before="156" w:line="288" w:lineRule="auto"/>
        <w:jc w:val="center"/>
        <w:rPr>
          <w:rFonts w:ascii="Arial" w:hAnsi="Arial" w:eastAsia="宋体" w:cs="Arial"/>
          <w:b/>
          <w:sz w:val="48"/>
        </w:rPr>
      </w:pPr>
      <w:r>
        <w:rPr>
          <w:rFonts w:ascii="Arial" w:hAnsi="Arial" w:eastAsia="宋体" w:cs="Arial"/>
          <w:b/>
          <w:sz w:val="48"/>
        </w:rPr>
        <w:t>行业</w:t>
      </w:r>
      <w:r>
        <w:rPr>
          <w:rFonts w:hint="eastAsia" w:ascii="Arial" w:hAnsi="Arial" w:eastAsia="宋体" w:cs="Arial"/>
          <w:b/>
          <w:sz w:val="48"/>
        </w:rPr>
        <w:t>及</w:t>
      </w:r>
      <w:r>
        <w:rPr>
          <w:rFonts w:ascii="Arial" w:hAnsi="Arial" w:eastAsia="宋体" w:cs="Arial"/>
          <w:b/>
          <w:sz w:val="48"/>
        </w:rPr>
        <w:t>食品药品监督管理局</w:t>
      </w:r>
      <w:r>
        <w:rPr>
          <w:rFonts w:ascii="Arial" w:hAnsi="Arial" w:eastAsia="宋体" w:cs="Arial"/>
          <w:b/>
          <w:sz w:val="48"/>
        </w:rPr>
        <w:br w:type="textWrapping"/>
      </w:r>
      <w:r>
        <w:rPr>
          <w:rFonts w:ascii="Arial" w:hAnsi="Arial" w:eastAsia="宋体" w:cs="Arial"/>
          <w:b/>
          <w:sz w:val="48"/>
        </w:rPr>
        <w:t>工作人员指南草案</w:t>
      </w:r>
    </w:p>
    <w:p w14:paraId="5831582D">
      <w:pPr>
        <w:adjustRightInd w:val="0"/>
        <w:snapToGrid w:val="0"/>
        <w:spacing w:before="0" w:beforeLines="0" w:line="288" w:lineRule="auto"/>
        <w:jc w:val="both"/>
        <w:rPr>
          <w:rFonts w:ascii="Arial" w:hAnsi="Arial" w:eastAsia="宋体" w:cs="Arial"/>
          <w:sz w:val="24"/>
        </w:rPr>
      </w:pPr>
    </w:p>
    <w:p w14:paraId="1B030A6D">
      <w:pPr>
        <w:adjustRightInd w:val="0"/>
        <w:snapToGrid w:val="0"/>
        <w:spacing w:before="0" w:beforeLines="0" w:line="288" w:lineRule="auto"/>
        <w:jc w:val="both"/>
        <w:rPr>
          <w:rFonts w:ascii="Arial" w:hAnsi="Arial" w:eastAsia="宋体" w:cs="Arial"/>
          <w:sz w:val="24"/>
        </w:rPr>
      </w:pPr>
    </w:p>
    <w:tbl>
      <w:tblPr>
        <w:tblStyle w:val="8"/>
        <w:tblW w:w="0" w:type="auto"/>
        <w:tblInd w:w="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autofit"/>
        <w:tblCellMar>
          <w:top w:w="108" w:type="dxa"/>
          <w:left w:w="108" w:type="dxa"/>
          <w:bottom w:w="108" w:type="dxa"/>
          <w:right w:w="108" w:type="dxa"/>
        </w:tblCellMar>
      </w:tblPr>
      <w:tblGrid>
        <w:gridCol w:w="9854"/>
      </w:tblGrid>
      <w:tr w14:paraId="0FC022B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108" w:type="dxa"/>
            <w:left w:w="108" w:type="dxa"/>
            <w:bottom w:w="108" w:type="dxa"/>
            <w:right w:w="108" w:type="dxa"/>
          </w:tblCellMar>
        </w:tblPrEx>
        <w:tc>
          <w:tcPr>
            <w:tcW w:w="9854" w:type="dxa"/>
          </w:tcPr>
          <w:p w14:paraId="05598F2A">
            <w:pPr>
              <w:adjustRightInd w:val="0"/>
              <w:snapToGrid w:val="0"/>
              <w:spacing w:before="0" w:beforeLines="0" w:line="288" w:lineRule="auto"/>
              <w:jc w:val="both"/>
              <w:rPr>
                <w:rFonts w:ascii="Arial" w:hAnsi="Arial" w:eastAsia="宋体" w:cs="Arial"/>
                <w:b/>
                <w:i/>
                <w:sz w:val="24"/>
              </w:rPr>
            </w:pPr>
            <w:r>
              <w:rPr>
                <w:rFonts w:ascii="Arial" w:hAnsi="Arial" w:eastAsia="宋体" w:cs="Arial"/>
                <w:b/>
                <w:i/>
                <w:sz w:val="24"/>
              </w:rPr>
              <w:t>本指南定稿时，将代表食品药品监督管理局（FDA或本机构）对此主题的最新见解。其不会为任何人创造或赋予任何权利，也不对FDA或公众具有约束力。如果替代方法满足适用的法律、法规的要求，可以使用替代方法。如果希望讨论一种替代方法，请联系本指南标题页上列出的负责实施本指南的FDA工作人员或办公室。</w:t>
            </w:r>
          </w:p>
        </w:tc>
      </w:tr>
    </w:tbl>
    <w:p w14:paraId="6AE72BDB">
      <w:pPr>
        <w:adjustRightInd w:val="0"/>
        <w:snapToGrid w:val="0"/>
        <w:spacing w:before="0" w:beforeLines="0" w:line="288" w:lineRule="auto"/>
        <w:jc w:val="both"/>
        <w:rPr>
          <w:rFonts w:ascii="Arial" w:hAnsi="Arial" w:eastAsia="宋体" w:cs="Arial"/>
          <w:sz w:val="24"/>
        </w:rPr>
      </w:pPr>
    </w:p>
    <w:p w14:paraId="4E5D554F">
      <w:pPr>
        <w:adjustRightInd w:val="0"/>
        <w:snapToGrid w:val="0"/>
        <w:spacing w:before="0" w:beforeLines="0" w:line="288" w:lineRule="auto"/>
        <w:ind w:left="723" w:hanging="723" w:hangingChars="200"/>
        <w:jc w:val="both"/>
        <w:outlineLvl w:val="0"/>
        <w:rPr>
          <w:rFonts w:ascii="Arial" w:hAnsi="Arial" w:eastAsia="宋体" w:cs="Arial"/>
          <w:b/>
          <w:sz w:val="36"/>
        </w:rPr>
      </w:pPr>
      <w:bookmarkStart w:id="0" w:name="_Toc495687859"/>
      <w:r>
        <w:rPr>
          <w:rFonts w:ascii="Arial" w:hAnsi="Arial" w:eastAsia="宋体" w:cs="Arial"/>
          <w:b/>
          <w:sz w:val="36"/>
        </w:rPr>
        <w:t>I.</w:t>
      </w:r>
      <w:r>
        <w:rPr>
          <w:rFonts w:ascii="Arial" w:hAnsi="Arial" w:eastAsia="宋体" w:cs="Arial"/>
          <w:b/>
          <w:sz w:val="36"/>
        </w:rPr>
        <w:tab/>
      </w:r>
      <w:r>
        <w:rPr>
          <w:rFonts w:ascii="Arial" w:hAnsi="Arial" w:eastAsia="宋体" w:cs="Arial"/>
          <w:b/>
          <w:sz w:val="36"/>
        </w:rPr>
        <w:t>引言</w:t>
      </w:r>
      <w:bookmarkEnd w:id="0"/>
    </w:p>
    <w:p w14:paraId="5667C251">
      <w:pPr>
        <w:adjustRightInd w:val="0"/>
        <w:snapToGrid w:val="0"/>
        <w:spacing w:before="0" w:beforeLines="0" w:line="288" w:lineRule="auto"/>
        <w:jc w:val="both"/>
        <w:rPr>
          <w:rFonts w:ascii="Arial" w:hAnsi="Arial" w:eastAsia="宋体" w:cs="Arial"/>
          <w:sz w:val="24"/>
        </w:rPr>
      </w:pPr>
    </w:p>
    <w:p w14:paraId="26786F26">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定稿</w:t>
      </w:r>
      <w:r>
        <w:rPr>
          <w:rFonts w:hint="eastAsia" w:ascii="Arial" w:hAnsi="Arial" w:eastAsia="宋体" w:cs="Arial"/>
          <w:sz w:val="24"/>
        </w:rPr>
        <w:t>后</w:t>
      </w:r>
      <w:r>
        <w:rPr>
          <w:rFonts w:ascii="Arial" w:hAnsi="Arial" w:eastAsia="宋体" w:cs="Arial"/>
          <w:sz w:val="24"/>
        </w:rPr>
        <w:t>，本指南</w:t>
      </w:r>
      <w:r>
        <w:rPr>
          <w:rFonts w:hint="eastAsia" w:ascii="Arial" w:hAnsi="Arial" w:eastAsia="宋体" w:cs="Arial"/>
          <w:sz w:val="24"/>
        </w:rPr>
        <w:t>旨辅助</w:t>
      </w:r>
      <w:r>
        <w:rPr>
          <w:rFonts w:ascii="Arial" w:hAnsi="Arial" w:eastAsia="宋体" w:cs="Arial"/>
          <w:sz w:val="24"/>
        </w:rPr>
        <w:t>计划开发新型抗菌药物和抗菌药物敏感性试验（AST）器械</w:t>
      </w:r>
      <w:r>
        <w:rPr>
          <w:rFonts w:hint="eastAsia" w:ascii="Arial" w:hAnsi="Arial" w:eastAsia="宋体" w:cs="Arial"/>
          <w:sz w:val="24"/>
        </w:rPr>
        <w:t>，</w:t>
      </w:r>
      <w:r>
        <w:rPr>
          <w:rFonts w:ascii="Arial" w:hAnsi="Arial" w:eastAsia="宋体" w:cs="Arial"/>
          <w:sz w:val="24"/>
        </w:rPr>
        <w:t>并试图协调开发</w:t>
      </w:r>
      <w:r>
        <w:rPr>
          <w:rFonts w:hint="eastAsia" w:ascii="Arial" w:hAnsi="Arial" w:eastAsia="宋体" w:cs="Arial"/>
          <w:sz w:val="24"/>
        </w:rPr>
        <w:t>这些</w:t>
      </w:r>
      <w:r>
        <w:rPr>
          <w:rFonts w:ascii="Arial" w:hAnsi="Arial" w:eastAsia="宋体" w:cs="Arial"/>
          <w:sz w:val="24"/>
        </w:rPr>
        <w:t>产品的药物申办方和器械制造商，</w:t>
      </w:r>
      <w:r>
        <w:rPr>
          <w:rFonts w:hint="eastAsia" w:ascii="Arial" w:hAnsi="Arial" w:eastAsia="宋体" w:cs="Arial"/>
          <w:sz w:val="24"/>
        </w:rPr>
        <w:t>以保证</w:t>
      </w:r>
      <w:r>
        <w:rPr>
          <w:rFonts w:ascii="Arial" w:hAnsi="Arial" w:eastAsia="宋体" w:cs="Arial"/>
          <w:sz w:val="24"/>
        </w:rPr>
        <w:t>AST器械在新药批准时或不久后获得许可。</w:t>
      </w:r>
    </w:p>
    <w:p w14:paraId="08055AAF">
      <w:pPr>
        <w:adjustRightInd w:val="0"/>
        <w:snapToGrid w:val="0"/>
        <w:spacing w:before="0" w:beforeLines="0" w:line="288" w:lineRule="auto"/>
        <w:jc w:val="both"/>
        <w:rPr>
          <w:rFonts w:ascii="Arial" w:hAnsi="Arial" w:eastAsia="宋体" w:cs="Arial"/>
          <w:sz w:val="24"/>
        </w:rPr>
      </w:pPr>
    </w:p>
    <w:p w14:paraId="1B3098FD">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具体来说，本指南旨在</w:t>
      </w:r>
      <w:r>
        <w:rPr>
          <w:rFonts w:hint="eastAsia" w:ascii="Arial" w:hAnsi="Arial" w:eastAsia="宋体" w:cs="Arial"/>
          <w:sz w:val="24"/>
        </w:rPr>
        <w:t>完成</w:t>
      </w:r>
      <w:r>
        <w:rPr>
          <w:rFonts w:ascii="Arial" w:hAnsi="Arial" w:eastAsia="宋体" w:cs="Arial"/>
          <w:sz w:val="24"/>
        </w:rPr>
        <w:t>以下几点：</w:t>
      </w:r>
    </w:p>
    <w:p w14:paraId="4BCAC429">
      <w:pPr>
        <w:adjustRightInd w:val="0"/>
        <w:snapToGrid w:val="0"/>
        <w:spacing w:before="0" w:beforeLines="0" w:line="288" w:lineRule="auto"/>
        <w:jc w:val="both"/>
        <w:rPr>
          <w:rFonts w:ascii="Arial" w:hAnsi="Arial" w:eastAsia="宋体" w:cs="Arial"/>
          <w:sz w:val="24"/>
        </w:rPr>
      </w:pPr>
    </w:p>
    <w:p w14:paraId="7C375BA6">
      <w:pPr>
        <w:pStyle w:val="16"/>
        <w:numPr>
          <w:ilvl w:val="0"/>
          <w:numId w:val="1"/>
        </w:numPr>
        <w:adjustRightInd w:val="0"/>
        <w:snapToGrid w:val="0"/>
        <w:spacing w:before="0" w:beforeLines="0" w:line="288" w:lineRule="auto"/>
        <w:ind w:left="851" w:hanging="425" w:firstLineChars="0"/>
        <w:jc w:val="both"/>
        <w:rPr>
          <w:rFonts w:ascii="Arial" w:hAnsi="Arial" w:eastAsia="宋体" w:cs="Arial"/>
          <w:sz w:val="24"/>
        </w:rPr>
      </w:pPr>
      <w:r>
        <w:rPr>
          <w:rFonts w:ascii="Arial" w:hAnsi="Arial" w:eastAsia="宋体" w:cs="Arial"/>
          <w:sz w:val="24"/>
        </w:rPr>
        <w:t>描述药物申办方和器械制造商为协调开发新型抗菌药物和AST器械进行的互动；</w:t>
      </w:r>
    </w:p>
    <w:p w14:paraId="39C25B7D">
      <w:pPr>
        <w:adjustRightInd w:val="0"/>
        <w:snapToGrid w:val="0"/>
        <w:spacing w:before="0" w:beforeLines="0" w:line="288" w:lineRule="auto"/>
        <w:ind w:left="851" w:hanging="425"/>
        <w:jc w:val="both"/>
        <w:rPr>
          <w:rFonts w:ascii="Arial" w:hAnsi="Arial" w:eastAsia="宋体" w:cs="Arial"/>
          <w:sz w:val="24"/>
        </w:rPr>
      </w:pPr>
    </w:p>
    <w:p w14:paraId="390F263E">
      <w:pPr>
        <w:pStyle w:val="16"/>
        <w:numPr>
          <w:ilvl w:val="0"/>
          <w:numId w:val="1"/>
        </w:numPr>
        <w:adjustRightInd w:val="0"/>
        <w:snapToGrid w:val="0"/>
        <w:spacing w:before="0" w:beforeLines="0" w:line="288" w:lineRule="auto"/>
        <w:ind w:left="851" w:hanging="425" w:firstLineChars="0"/>
        <w:jc w:val="both"/>
        <w:rPr>
          <w:rFonts w:ascii="Arial" w:hAnsi="Arial" w:eastAsia="宋体" w:cs="Arial"/>
          <w:sz w:val="24"/>
        </w:rPr>
      </w:pPr>
      <w:r>
        <w:rPr>
          <w:rFonts w:ascii="Arial" w:hAnsi="Arial" w:eastAsia="宋体" w:cs="Arial"/>
          <w:sz w:val="24"/>
        </w:rPr>
        <w:t>解释试图在抗菌药物批准时或不久后获得AST器械许可时向CDER和CDRH提交单独申请的考虑因素；以及</w:t>
      </w:r>
    </w:p>
    <w:p w14:paraId="5DB7BF78">
      <w:pPr>
        <w:adjustRightInd w:val="0"/>
        <w:snapToGrid w:val="0"/>
        <w:spacing w:before="0" w:beforeLines="0" w:line="288" w:lineRule="auto"/>
        <w:ind w:left="851" w:hanging="425"/>
        <w:jc w:val="both"/>
        <w:rPr>
          <w:rFonts w:ascii="Arial" w:hAnsi="Arial" w:eastAsia="宋体" w:cs="Arial"/>
          <w:sz w:val="24"/>
        </w:rPr>
      </w:pPr>
    </w:p>
    <w:p w14:paraId="5AB02117">
      <w:pPr>
        <w:pStyle w:val="16"/>
        <w:numPr>
          <w:ilvl w:val="0"/>
          <w:numId w:val="1"/>
        </w:numPr>
        <w:adjustRightInd w:val="0"/>
        <w:snapToGrid w:val="0"/>
        <w:spacing w:before="0" w:beforeLines="0" w:line="288" w:lineRule="auto"/>
        <w:ind w:left="851" w:hanging="425" w:firstLineChars="0"/>
        <w:jc w:val="both"/>
        <w:rPr>
          <w:rFonts w:ascii="Arial" w:hAnsi="Arial" w:eastAsia="宋体" w:cs="Arial"/>
          <w:sz w:val="24"/>
        </w:rPr>
      </w:pPr>
      <w:r>
        <w:rPr>
          <w:rFonts w:ascii="Arial" w:hAnsi="Arial" w:eastAsia="宋体" w:cs="Arial"/>
          <w:sz w:val="24"/>
        </w:rPr>
        <w:t>说明新型抗菌药物和AST器械的审查将保持独立，且协调开发不影响任一产品的MDUFA和PDUFA审查安排。</w:t>
      </w:r>
    </w:p>
    <w:p w14:paraId="0045A176">
      <w:pPr>
        <w:adjustRightInd w:val="0"/>
        <w:snapToGrid w:val="0"/>
        <w:spacing w:before="0" w:beforeLines="0" w:line="288" w:lineRule="auto"/>
        <w:jc w:val="both"/>
        <w:rPr>
          <w:rFonts w:ascii="Arial" w:hAnsi="Arial" w:eastAsia="宋体" w:cs="Arial"/>
          <w:sz w:val="24"/>
        </w:rPr>
      </w:pPr>
    </w:p>
    <w:p w14:paraId="77F33B4F">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FDA指导性文件，包括本指南</w:t>
      </w:r>
      <w:r>
        <w:rPr>
          <w:rFonts w:hint="eastAsia" w:ascii="Arial" w:hAnsi="Arial" w:eastAsia="宋体" w:cs="Arial"/>
          <w:sz w:val="24"/>
        </w:rPr>
        <w:t>在内</w:t>
      </w:r>
      <w:r>
        <w:rPr>
          <w:rFonts w:ascii="Arial" w:hAnsi="Arial" w:eastAsia="宋体" w:cs="Arial"/>
          <w:sz w:val="24"/>
        </w:rPr>
        <w:t>，不构成具有法律强制力的责任。相反，指南表明了本审查机构对某一主题的最新见解，除非引用具体的法规或法律要求，否则只应视为建议。在本审查机构指南中使用词语</w:t>
      </w:r>
      <w:r>
        <w:rPr>
          <w:rFonts w:ascii="宋体" w:hAnsi="宋体" w:eastAsia="宋体" w:cs="Arial"/>
          <w:sz w:val="24"/>
        </w:rPr>
        <w:t>“</w:t>
      </w:r>
      <w:r>
        <w:rPr>
          <w:rFonts w:ascii="Arial" w:hAnsi="Arial" w:eastAsia="宋体" w:cs="Arial"/>
          <w:sz w:val="24"/>
        </w:rPr>
        <w:t>应</w:t>
      </w:r>
      <w:r>
        <w:rPr>
          <w:rFonts w:ascii="宋体" w:hAnsi="宋体" w:eastAsia="宋体" w:cs="Arial"/>
          <w:sz w:val="24"/>
        </w:rPr>
        <w:t>”</w:t>
      </w:r>
      <w:r>
        <w:rPr>
          <w:rFonts w:ascii="Arial" w:hAnsi="Arial" w:eastAsia="宋体" w:cs="Arial"/>
          <w:sz w:val="24"/>
        </w:rPr>
        <w:t>是指建议或推荐进行某一事项，并非强制要求。</w:t>
      </w:r>
    </w:p>
    <w:p w14:paraId="4D288DE6">
      <w:pPr>
        <w:adjustRightInd w:val="0"/>
        <w:snapToGrid w:val="0"/>
        <w:spacing w:before="0" w:beforeLines="0" w:line="288" w:lineRule="auto"/>
        <w:jc w:val="both"/>
        <w:rPr>
          <w:rFonts w:ascii="Arial" w:hAnsi="Arial" w:eastAsia="宋体" w:cs="Arial"/>
          <w:sz w:val="24"/>
        </w:rPr>
      </w:pPr>
    </w:p>
    <w:p w14:paraId="040E2EB5">
      <w:pPr>
        <w:adjustRightInd w:val="0"/>
        <w:snapToGrid w:val="0"/>
        <w:spacing w:before="0" w:beforeLines="0" w:line="288" w:lineRule="auto"/>
        <w:jc w:val="both"/>
        <w:rPr>
          <w:rFonts w:ascii="Arial" w:hAnsi="Arial" w:eastAsia="宋体" w:cs="Arial"/>
          <w:sz w:val="24"/>
        </w:rPr>
      </w:pPr>
    </w:p>
    <w:p w14:paraId="6C1EC67D">
      <w:pPr>
        <w:adjustRightInd w:val="0"/>
        <w:snapToGrid w:val="0"/>
        <w:spacing w:before="0" w:beforeLines="0" w:line="288" w:lineRule="auto"/>
        <w:ind w:left="723" w:hanging="723" w:hangingChars="200"/>
        <w:jc w:val="both"/>
        <w:outlineLvl w:val="0"/>
        <w:rPr>
          <w:rFonts w:ascii="Arial" w:hAnsi="Arial" w:eastAsia="宋体" w:cs="Arial"/>
          <w:b/>
          <w:sz w:val="36"/>
        </w:rPr>
      </w:pPr>
      <w:bookmarkStart w:id="1" w:name="_Toc495687860"/>
      <w:r>
        <w:rPr>
          <w:rFonts w:ascii="Arial" w:hAnsi="Arial" w:eastAsia="宋体" w:cs="Arial"/>
          <w:b/>
          <w:sz w:val="36"/>
        </w:rPr>
        <w:t>II.</w:t>
      </w:r>
      <w:r>
        <w:rPr>
          <w:rFonts w:ascii="Arial" w:hAnsi="Arial" w:eastAsia="宋体" w:cs="Arial"/>
          <w:b/>
          <w:sz w:val="36"/>
        </w:rPr>
        <w:tab/>
      </w:r>
      <w:r>
        <w:rPr>
          <w:rFonts w:ascii="Arial" w:hAnsi="Arial" w:eastAsia="宋体" w:cs="Arial"/>
          <w:b/>
          <w:sz w:val="36"/>
        </w:rPr>
        <w:t>背景</w:t>
      </w:r>
      <w:bookmarkEnd w:id="1"/>
    </w:p>
    <w:p w14:paraId="60C7CB47">
      <w:pPr>
        <w:adjustRightInd w:val="0"/>
        <w:snapToGrid w:val="0"/>
        <w:spacing w:before="0" w:beforeLines="0" w:line="288" w:lineRule="auto"/>
        <w:jc w:val="both"/>
        <w:rPr>
          <w:rFonts w:ascii="Arial" w:hAnsi="Arial" w:eastAsia="宋体" w:cs="Arial"/>
          <w:sz w:val="24"/>
        </w:rPr>
      </w:pPr>
    </w:p>
    <w:p w14:paraId="6A7A281C">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抗菌药物敏感性试验对于支持新型抗菌药物开发和此类</w:t>
      </w:r>
      <w:r>
        <w:rPr>
          <w:rFonts w:hint="eastAsia" w:ascii="Arial" w:hAnsi="Arial" w:eastAsia="宋体" w:cs="Arial"/>
          <w:sz w:val="24"/>
        </w:rPr>
        <w:t>药物</w:t>
      </w:r>
      <w:r>
        <w:rPr>
          <w:rFonts w:ascii="Arial" w:hAnsi="Arial" w:eastAsia="宋体" w:cs="Arial"/>
          <w:sz w:val="24"/>
        </w:rPr>
        <w:t>的后续临床应用至关重要。除需通报抗菌药物的适当临床应用外，流行病学研究中使用的抗菌药物敏感性试验可以鉴定是否存在药物抗性并监控抗菌药物敏感性的总体</w:t>
      </w:r>
      <w:r>
        <w:rPr>
          <w:rFonts w:hint="eastAsia" w:ascii="Arial" w:hAnsi="Arial" w:eastAsia="宋体" w:cs="Arial"/>
          <w:sz w:val="24"/>
        </w:rPr>
        <w:t>人群</w:t>
      </w:r>
      <w:r>
        <w:rPr>
          <w:rFonts w:ascii="Arial" w:hAnsi="Arial" w:eastAsia="宋体" w:cs="Arial"/>
          <w:sz w:val="24"/>
        </w:rPr>
        <w:t>变化。</w:t>
      </w:r>
    </w:p>
    <w:p w14:paraId="5711E693">
      <w:pPr>
        <w:adjustRightInd w:val="0"/>
        <w:snapToGrid w:val="0"/>
        <w:spacing w:before="0" w:beforeLines="0" w:line="288" w:lineRule="auto"/>
        <w:jc w:val="both"/>
        <w:rPr>
          <w:rFonts w:ascii="Arial" w:hAnsi="Arial" w:eastAsia="宋体" w:cs="Arial"/>
          <w:sz w:val="24"/>
        </w:rPr>
      </w:pPr>
    </w:p>
    <w:p w14:paraId="4C2625E8">
      <w:pPr>
        <w:adjustRightInd w:val="0"/>
        <w:snapToGrid w:val="0"/>
        <w:spacing w:before="0" w:beforeLines="0" w:line="288" w:lineRule="auto"/>
        <w:jc w:val="both"/>
        <w:rPr>
          <w:rFonts w:ascii="Arial" w:hAnsi="Arial" w:eastAsia="宋体" w:cs="Arial"/>
          <w:sz w:val="24"/>
        </w:rPr>
      </w:pPr>
      <w:r>
        <w:rPr>
          <w:rFonts w:hint="eastAsia" w:ascii="Arial" w:hAnsi="Arial" w:eastAsia="宋体" w:cs="Arial"/>
          <w:sz w:val="24"/>
        </w:rPr>
        <w:t>一般</w:t>
      </w:r>
      <w:r>
        <w:rPr>
          <w:rFonts w:ascii="Arial" w:hAnsi="Arial" w:eastAsia="宋体" w:cs="Arial"/>
          <w:sz w:val="24"/>
        </w:rPr>
        <w:t>需独立开发抗菌药物和用于测试从临床标本分离的细菌性病原体对抗菌药物的体外敏感性的AST器械，且AST器械的开发往往在药物批准后进行。协调开发新型抗菌药物和AST器械可能减少批准新型抗菌药物和许可用于测试病原体对药物产品的体外敏感性的AST器械之间的时间。在抗菌药物和AST器械开发期间，协调开发还可能有益于药物申办方和器械制造商。药物申办方可能因可获得可在临床研究中应用的AST器械技术而获益。同样，AST器械制造商也可能因可获得药物开发期间获得的可能有助于器械确认的临床样品和分离物而获益。此类收益可能特别适用于通过检测微生物抗性标志物来推测抗菌药物耐性的分子基和其他器械。</w:t>
      </w:r>
    </w:p>
    <w:p w14:paraId="7163E44B">
      <w:pPr>
        <w:adjustRightInd w:val="0"/>
        <w:snapToGrid w:val="0"/>
        <w:spacing w:before="0" w:beforeLines="0" w:line="288" w:lineRule="auto"/>
        <w:jc w:val="both"/>
        <w:rPr>
          <w:rFonts w:ascii="Arial" w:hAnsi="Arial" w:eastAsia="宋体" w:cs="Arial"/>
          <w:sz w:val="24"/>
        </w:rPr>
      </w:pPr>
    </w:p>
    <w:p w14:paraId="1C307564">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AST器械由CDRH监管。此类器械包括AST纸片，</w:t>
      </w:r>
      <w:r>
        <w:rPr>
          <w:rStyle w:val="12"/>
          <w:rFonts w:ascii="Arial" w:hAnsi="Arial" w:eastAsia="宋体" w:cs="Arial"/>
          <w:sz w:val="24"/>
        </w:rPr>
        <w:footnoteReference w:id="0"/>
      </w:r>
      <w:r>
        <w:rPr>
          <w:rFonts w:ascii="Arial" w:hAnsi="Arial" w:eastAsia="宋体" w:cs="Arial"/>
          <w:sz w:val="24"/>
        </w:rPr>
        <w:t>自动化AST系统，</w:t>
      </w:r>
      <w:r>
        <w:rPr>
          <w:rStyle w:val="12"/>
          <w:rFonts w:ascii="Arial" w:hAnsi="Arial" w:eastAsia="宋体" w:cs="Arial"/>
          <w:sz w:val="24"/>
        </w:rPr>
        <w:footnoteReference w:id="1"/>
      </w:r>
      <w:r>
        <w:rPr>
          <w:rFonts w:ascii="Arial" w:hAnsi="Arial" w:eastAsia="宋体" w:cs="Arial"/>
          <w:sz w:val="24"/>
        </w:rPr>
        <w:t>和用于测试细菌性病原体对抗菌药物的体外敏感性的其他器械。一般来说，对于首次引入商业销售的AST器械或对已许可AST器械进行更改或修改（此类修改可能会严重影响器械的安全性或有效性），需要提交上市前通知（510（k））提交材料。请参见联邦食品、</w:t>
      </w:r>
      <w:r>
        <w:rPr>
          <w:rFonts w:hint="eastAsia" w:ascii="Arial" w:hAnsi="Arial" w:eastAsia="宋体" w:cs="Arial"/>
          <w:sz w:val="24"/>
        </w:rPr>
        <w:t>药品</w:t>
      </w:r>
      <w:r>
        <w:rPr>
          <w:rFonts w:ascii="Arial" w:hAnsi="Arial" w:eastAsia="宋体" w:cs="Arial"/>
          <w:sz w:val="24"/>
        </w:rPr>
        <w:t>和化妆品法案（FD＆C</w:t>
      </w:r>
      <w:r>
        <w:rPr>
          <w:rFonts w:hint="eastAsia" w:ascii="Arial" w:hAnsi="Arial" w:eastAsia="宋体" w:cs="Arial"/>
          <w:sz w:val="24"/>
        </w:rPr>
        <w:t>法案</w:t>
      </w:r>
      <w:r>
        <w:rPr>
          <w:rFonts w:ascii="Arial" w:hAnsi="Arial" w:eastAsia="宋体" w:cs="Arial"/>
          <w:sz w:val="24"/>
        </w:rPr>
        <w:t>）第510（k）、513（f）和513（i）节；21 CFR 807.81.例如，当试图向自动化AST系统使用的现有AST面板中添加已批准的新型抗菌药物时，通常需要提交510（k）提交材料，因为这可能会严重影响器械的安全性或有效性并且是对该器械预期用途的重大更改或修改。新型抗菌药物NDA获得批准后，通常需为此类AST器械向FDA提供510（k）提交材料。NDA批准和为并入新型抗菌药物的AST器械提交510（k）之间的时间主要是制造商开发和使用新型抗菌药物测试AST器械及准备必要监管提交材料的时间。</w:t>
      </w:r>
    </w:p>
    <w:p w14:paraId="1201A425">
      <w:pPr>
        <w:spacing w:before="156"/>
        <w:rPr>
          <w:rFonts w:ascii="Arial" w:hAnsi="Arial" w:eastAsia="宋体" w:cs="Arial"/>
          <w:sz w:val="24"/>
        </w:rPr>
      </w:pPr>
      <w:r>
        <w:rPr>
          <w:rFonts w:ascii="Arial" w:hAnsi="Arial" w:eastAsia="宋体" w:cs="Arial"/>
          <w:sz w:val="24"/>
        </w:rPr>
        <w:br w:type="page"/>
      </w:r>
    </w:p>
    <w:p w14:paraId="19F4F1F5">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减少批准新的NDA和许可相关AST器械之间的时间将使此类AST器械能够快速在临床上用于评估体外病原体敏感性。这也适用于使用传统AST器械鉴定基因标志物或表型抗性相关突变的分子基或其他测定。</w:t>
      </w:r>
    </w:p>
    <w:p w14:paraId="62059C44">
      <w:pPr>
        <w:spacing w:before="156"/>
        <w:rPr>
          <w:rFonts w:ascii="Arial" w:hAnsi="Arial" w:eastAsia="宋体" w:cs="Arial"/>
          <w:sz w:val="24"/>
        </w:rPr>
      </w:pPr>
    </w:p>
    <w:p w14:paraId="4C6C8062">
      <w:pPr>
        <w:adjustRightInd w:val="0"/>
        <w:snapToGrid w:val="0"/>
        <w:spacing w:before="0" w:beforeLines="0" w:line="288" w:lineRule="auto"/>
        <w:rPr>
          <w:rFonts w:ascii="Arial" w:hAnsi="Arial" w:eastAsia="宋体" w:cs="Arial"/>
          <w:sz w:val="24"/>
        </w:rPr>
      </w:pPr>
      <w:r>
        <w:rPr>
          <w:rFonts w:ascii="Arial" w:hAnsi="Arial" w:eastAsia="宋体" w:cs="Arial"/>
          <w:sz w:val="24"/>
        </w:rPr>
        <w:t>有其他几个FDA指南值得新型抗菌药物产品或AST器械开发者注意。指南</w:t>
      </w:r>
      <w:r>
        <w:rPr>
          <w:rFonts w:ascii="宋体" w:hAnsi="宋体" w:eastAsia="宋体" w:cs="Arial"/>
          <w:sz w:val="24"/>
        </w:rPr>
        <w:t>“</w:t>
      </w:r>
      <w:r>
        <w:rPr>
          <w:rFonts w:ascii="Arial" w:hAnsi="Arial" w:eastAsia="宋体" w:cs="Arial"/>
          <w:sz w:val="24"/>
        </w:rPr>
        <w:t>系统性抗菌药物产品的微生物学数据——开发、分析和实施</w:t>
      </w:r>
      <w:r>
        <w:rPr>
          <w:rFonts w:ascii="宋体" w:hAnsi="宋体" w:eastAsia="宋体" w:cs="Arial"/>
          <w:sz w:val="24"/>
        </w:rPr>
        <w:t>”</w:t>
      </w:r>
      <w:r>
        <w:rPr>
          <w:rFonts w:ascii="Arial" w:hAnsi="Arial" w:eastAsia="宋体" w:cs="Arial"/>
          <w:sz w:val="24"/>
        </w:rPr>
        <w:t>（网址</w:t>
      </w:r>
      <w:r>
        <w:fldChar w:fldCharType="begin"/>
      </w:r>
      <w:r>
        <w:instrText xml:space="preserve"> HYPERLINK "http://www.fda.gov/downloads/Drugs/GuidanceComplianceRegulatoryInformation/Guidances/UCM182288.pdf" </w:instrText>
      </w:r>
      <w:r>
        <w:fldChar w:fldCharType="separate"/>
      </w:r>
      <w:r>
        <w:rPr>
          <w:rStyle w:val="11"/>
          <w:rFonts w:ascii="Arial" w:hAnsi="Arial" w:eastAsia="宋体" w:cs="Arial"/>
          <w:sz w:val="24"/>
        </w:rPr>
        <w:t>http://www.fda.gov/downloads/Drugs/GuidanceComplianceRegulatoryInformation/Guidances/UCM182288.pdf</w:t>
      </w:r>
      <w:r>
        <w:rPr>
          <w:rStyle w:val="11"/>
          <w:rFonts w:ascii="Arial" w:hAnsi="Arial" w:eastAsia="宋体" w:cs="Arial"/>
          <w:sz w:val="24"/>
        </w:rPr>
        <w:fldChar w:fldCharType="end"/>
      </w:r>
      <w:r>
        <w:rPr>
          <w:rFonts w:ascii="Arial" w:hAnsi="Arial" w:eastAsia="宋体" w:cs="Arial"/>
          <w:sz w:val="24"/>
        </w:rPr>
        <w:t>）涉及FDA建议在开发新型抗菌药物产品时提交的微生物学数据。指南</w:t>
      </w:r>
      <w:r>
        <w:rPr>
          <w:rFonts w:ascii="宋体" w:hAnsi="宋体" w:eastAsia="宋体" w:cs="Arial"/>
          <w:sz w:val="24"/>
        </w:rPr>
        <w:t>“</w:t>
      </w:r>
      <w:r>
        <w:rPr>
          <w:rFonts w:ascii="Arial" w:hAnsi="Arial" w:eastAsia="宋体" w:cs="Arial"/>
          <w:sz w:val="24"/>
        </w:rPr>
        <w:t>II类特殊控制指导性文件：抗菌药物敏感性试验（AST）系统</w:t>
      </w:r>
      <w:r>
        <w:rPr>
          <w:rFonts w:ascii="宋体" w:hAnsi="宋体" w:eastAsia="宋体" w:cs="Arial"/>
          <w:sz w:val="24"/>
        </w:rPr>
        <w:t>”</w:t>
      </w:r>
      <w:r>
        <w:rPr>
          <w:rFonts w:ascii="Arial" w:hAnsi="Arial" w:eastAsia="宋体" w:cs="Arial"/>
          <w:sz w:val="24"/>
        </w:rPr>
        <w:t>（网址：</w:t>
      </w:r>
      <w:r>
        <w:fldChar w:fldCharType="begin"/>
      </w:r>
      <w:r>
        <w:instrText xml:space="preserve"> HYPERLINK "http://www.fda.gov/medicaldevices/identifies%20specificdeviceregulationandguidance/guidancedocuments/ucm080564.htm" </w:instrText>
      </w:r>
      <w:r>
        <w:fldChar w:fldCharType="separate"/>
      </w:r>
      <w:r>
        <w:rPr>
          <w:rStyle w:val="11"/>
          <w:rFonts w:ascii="Arial" w:hAnsi="Arial" w:eastAsia="宋体" w:cs="Arial"/>
          <w:sz w:val="24"/>
        </w:rPr>
        <w:t>http://www.fda.gov/medicaldevices/identifies specificdeviceregulationandguidance/guidancedocuments/ucm080564.htm</w:t>
      </w:r>
      <w:r>
        <w:rPr>
          <w:rStyle w:val="11"/>
          <w:rFonts w:ascii="Arial" w:hAnsi="Arial" w:eastAsia="宋体" w:cs="Arial"/>
          <w:sz w:val="24"/>
        </w:rPr>
        <w:fldChar w:fldCharType="end"/>
      </w:r>
      <w:r>
        <w:rPr>
          <w:rFonts w:ascii="Arial" w:hAnsi="Arial" w:eastAsia="宋体" w:cs="Arial"/>
          <w:sz w:val="24"/>
        </w:rPr>
        <w:t>）介绍了与自动化短期培养周期AST系统相关的风险，并描述了如果制造商遵守并结合一般控制措施，通常会在上市这种器械前解决此类AST器械相关风险的措施。还有解决相关问题的FDA指南，例如开发可能包括抗性标志物检测的分子多重测定。</w:t>
      </w:r>
    </w:p>
    <w:p w14:paraId="20ED773A">
      <w:pPr>
        <w:adjustRightInd w:val="0"/>
        <w:snapToGrid w:val="0"/>
        <w:spacing w:before="0" w:beforeLines="0" w:line="288" w:lineRule="auto"/>
        <w:jc w:val="both"/>
        <w:rPr>
          <w:rFonts w:ascii="Arial" w:hAnsi="Arial" w:eastAsia="宋体" w:cs="Arial"/>
          <w:sz w:val="24"/>
        </w:rPr>
      </w:pPr>
    </w:p>
    <w:p w14:paraId="0EAF02B0">
      <w:pPr>
        <w:adjustRightInd w:val="0"/>
        <w:snapToGrid w:val="0"/>
        <w:spacing w:before="0" w:beforeLines="0" w:line="288" w:lineRule="auto"/>
        <w:rPr>
          <w:rFonts w:ascii="Arial" w:hAnsi="Arial" w:eastAsia="宋体" w:cs="Arial"/>
          <w:sz w:val="24"/>
        </w:rPr>
      </w:pPr>
      <w:r>
        <w:rPr>
          <w:rFonts w:ascii="Arial" w:hAnsi="Arial" w:eastAsia="宋体" w:cs="Arial"/>
          <w:sz w:val="24"/>
        </w:rPr>
        <w:t>如本指南所述，协调开发抗菌药物和AST器械与FDA指南</w:t>
      </w:r>
      <w:r>
        <w:rPr>
          <w:rFonts w:ascii="宋体" w:hAnsi="宋体" w:eastAsia="宋体" w:cs="Arial"/>
          <w:sz w:val="24"/>
        </w:rPr>
        <w:t>“</w:t>
      </w:r>
      <w:r>
        <w:rPr>
          <w:rFonts w:ascii="Arial" w:hAnsi="Arial" w:eastAsia="宋体" w:cs="Arial"/>
          <w:sz w:val="24"/>
        </w:rPr>
        <w:t>体外伴随诊断器械；行业和食品药品监督管理局工作人员指南</w:t>
      </w:r>
      <w:r>
        <w:rPr>
          <w:rFonts w:ascii="宋体" w:hAnsi="宋体" w:eastAsia="宋体" w:cs="Arial"/>
          <w:sz w:val="24"/>
        </w:rPr>
        <w:t>”</w:t>
      </w:r>
      <w:r>
        <w:rPr>
          <w:rFonts w:ascii="Arial" w:hAnsi="Arial" w:eastAsia="宋体" w:cs="Arial"/>
          <w:sz w:val="24"/>
        </w:rPr>
        <w:t>（网址：</w:t>
      </w:r>
      <w:r>
        <w:fldChar w:fldCharType="begin"/>
      </w:r>
      <w:r>
        <w:instrText xml:space="preserve"> HYPERLINK "http://www.fda.gov/downloads/MedicalDevices/DeviceRegulationandGuidance/GuidanceDocuments/UCM262327.pdf" </w:instrText>
      </w:r>
      <w:r>
        <w:fldChar w:fldCharType="separate"/>
      </w:r>
      <w:r>
        <w:rPr>
          <w:rStyle w:val="11"/>
          <w:rFonts w:ascii="Arial" w:hAnsi="Arial" w:eastAsia="宋体" w:cs="Arial"/>
          <w:sz w:val="24"/>
        </w:rPr>
        <w:t>http://www.fda.gov/downloads/MedicalDevices/DeviceRegulationandGuidance/GuidanceDocuments/UCM262327.pdf</w:t>
      </w:r>
      <w:r>
        <w:rPr>
          <w:rStyle w:val="11"/>
          <w:rFonts w:ascii="Arial" w:hAnsi="Arial" w:eastAsia="宋体" w:cs="Arial"/>
          <w:sz w:val="24"/>
        </w:rPr>
        <w:fldChar w:fldCharType="end"/>
      </w:r>
      <w:r>
        <w:rPr>
          <w:rFonts w:ascii="Arial" w:hAnsi="Arial" w:eastAsia="宋体" w:cs="Arial"/>
          <w:sz w:val="24"/>
        </w:rPr>
        <w:t>）中的体外伴随诊断器械讨论不同。如本指南所述，FDA</w:t>
      </w:r>
      <w:r>
        <w:rPr>
          <w:rFonts w:hint="eastAsia" w:ascii="Arial" w:hAnsi="Arial" w:eastAsia="宋体" w:cs="Arial"/>
          <w:sz w:val="24"/>
        </w:rPr>
        <w:t>一般</w:t>
      </w:r>
      <w:r>
        <w:rPr>
          <w:rFonts w:ascii="Arial" w:hAnsi="Arial" w:eastAsia="宋体" w:cs="Arial"/>
          <w:sz w:val="24"/>
        </w:rPr>
        <w:t>不将微生物学诊断视为伴随诊断器械，即</w:t>
      </w:r>
      <w:r>
        <w:rPr>
          <w:rFonts w:ascii="宋体" w:hAnsi="宋体" w:eastAsia="宋体" w:cs="Arial"/>
          <w:sz w:val="24"/>
        </w:rPr>
        <w:t>“</w:t>
      </w:r>
      <w:r>
        <w:rPr>
          <w:rFonts w:ascii="Arial" w:hAnsi="Arial" w:eastAsia="宋体" w:cs="Arial"/>
          <w:sz w:val="24"/>
        </w:rPr>
        <w:t>作为提供对于安全和有效使用相应治疗产品至关重要的信息的体外诊断器械</w:t>
      </w:r>
      <w:r>
        <w:rPr>
          <w:rFonts w:ascii="宋体" w:hAnsi="宋体" w:eastAsia="宋体" w:cs="Arial"/>
          <w:sz w:val="24"/>
        </w:rPr>
        <w:t>”</w:t>
      </w:r>
      <w:r>
        <w:rPr>
          <w:rFonts w:ascii="Arial" w:hAnsi="Arial" w:eastAsia="宋体" w:cs="Arial"/>
          <w:sz w:val="24"/>
        </w:rPr>
        <w:t>（着重强调）。</w:t>
      </w:r>
    </w:p>
    <w:p w14:paraId="748D19CC">
      <w:pPr>
        <w:adjustRightInd w:val="0"/>
        <w:snapToGrid w:val="0"/>
        <w:spacing w:before="0" w:beforeLines="0" w:line="288" w:lineRule="auto"/>
        <w:jc w:val="both"/>
        <w:rPr>
          <w:rFonts w:ascii="Arial" w:hAnsi="Arial" w:eastAsia="宋体" w:cs="Arial"/>
          <w:sz w:val="24"/>
        </w:rPr>
      </w:pPr>
    </w:p>
    <w:p w14:paraId="20EB6717">
      <w:pPr>
        <w:adjustRightInd w:val="0"/>
        <w:snapToGrid w:val="0"/>
        <w:spacing w:before="0" w:beforeLines="0" w:line="288" w:lineRule="auto"/>
        <w:jc w:val="both"/>
        <w:rPr>
          <w:rFonts w:ascii="Arial" w:hAnsi="Arial" w:eastAsia="宋体" w:cs="Arial"/>
          <w:sz w:val="24"/>
        </w:rPr>
      </w:pPr>
    </w:p>
    <w:p w14:paraId="7A3D944D">
      <w:pPr>
        <w:adjustRightInd w:val="0"/>
        <w:snapToGrid w:val="0"/>
        <w:spacing w:before="0" w:beforeLines="0" w:line="288" w:lineRule="auto"/>
        <w:ind w:left="723" w:hanging="723" w:hangingChars="200"/>
        <w:jc w:val="both"/>
        <w:outlineLvl w:val="0"/>
        <w:rPr>
          <w:rFonts w:ascii="Arial" w:hAnsi="Arial" w:eastAsia="宋体" w:cs="Arial"/>
          <w:b/>
          <w:sz w:val="36"/>
        </w:rPr>
      </w:pPr>
      <w:bookmarkStart w:id="2" w:name="_Toc495687861"/>
      <w:r>
        <w:rPr>
          <w:rFonts w:ascii="Arial" w:hAnsi="Arial" w:eastAsia="宋体" w:cs="Arial"/>
          <w:b/>
          <w:sz w:val="36"/>
        </w:rPr>
        <w:t>III.</w:t>
      </w:r>
      <w:r>
        <w:rPr>
          <w:rFonts w:ascii="Arial" w:hAnsi="Arial" w:eastAsia="宋体" w:cs="Arial"/>
          <w:b/>
          <w:sz w:val="36"/>
        </w:rPr>
        <w:tab/>
      </w:r>
      <w:r>
        <w:rPr>
          <w:rFonts w:ascii="Arial" w:hAnsi="Arial" w:eastAsia="宋体" w:cs="Arial"/>
          <w:b/>
          <w:sz w:val="36"/>
        </w:rPr>
        <w:t>抗菌药物申办方和AST器械制造商之间的互动</w:t>
      </w:r>
      <w:bookmarkEnd w:id="2"/>
    </w:p>
    <w:p w14:paraId="22B136B5">
      <w:pPr>
        <w:adjustRightInd w:val="0"/>
        <w:snapToGrid w:val="0"/>
        <w:spacing w:before="0" w:beforeLines="0" w:line="288" w:lineRule="auto"/>
        <w:jc w:val="both"/>
        <w:rPr>
          <w:rFonts w:ascii="Arial" w:hAnsi="Arial" w:eastAsia="宋体" w:cs="Arial"/>
          <w:sz w:val="24"/>
        </w:rPr>
      </w:pPr>
    </w:p>
    <w:p w14:paraId="20454100">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FDA鼓励抗菌药物申办方和AST器械制造商相互讨论抗菌药物开发期间的协调开发机会。此类讨论应在药物开发早期进行，以便在药物产品临床试验期间获得有助于AST器械开发的信息。此方法可广泛用于各种类型的AST器械，包括AST肉汤稀释面板、纸片扩散或与抗菌试验系统一起使用的梯度扩散器械，或可鉴定与抗菌敏感性降低相关的突变的新型或现有分子基器械。此类互动可以以多种形式进行，无需限于单个器械制造商。</w:t>
      </w:r>
    </w:p>
    <w:p w14:paraId="01C1E997">
      <w:pPr>
        <w:spacing w:before="156"/>
        <w:rPr>
          <w:rFonts w:ascii="Arial" w:hAnsi="Arial" w:eastAsia="宋体" w:cs="Arial"/>
          <w:sz w:val="24"/>
        </w:rPr>
      </w:pPr>
      <w:r>
        <w:rPr>
          <w:rFonts w:ascii="Arial" w:hAnsi="Arial" w:eastAsia="宋体" w:cs="Arial"/>
          <w:sz w:val="24"/>
        </w:rPr>
        <w:br w:type="page"/>
      </w:r>
    </w:p>
    <w:p w14:paraId="48B7B504">
      <w:pPr>
        <w:adjustRightInd w:val="0"/>
        <w:snapToGrid w:val="0"/>
        <w:spacing w:before="0" w:beforeLines="0" w:line="288" w:lineRule="auto"/>
        <w:jc w:val="both"/>
        <w:rPr>
          <w:rFonts w:ascii="Arial" w:hAnsi="Arial" w:eastAsia="宋体" w:cs="Arial"/>
          <w:sz w:val="24"/>
        </w:rPr>
      </w:pPr>
    </w:p>
    <w:p w14:paraId="6E115767">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向多个器械制造商提供药物供其在AST器械开发期间使用可能会增加临床实验室在药物批准时或不久后AST器械的</w:t>
      </w:r>
      <w:r>
        <w:rPr>
          <w:rFonts w:hint="eastAsia" w:ascii="Arial" w:hAnsi="Arial" w:eastAsia="宋体" w:cs="Arial"/>
          <w:sz w:val="24"/>
        </w:rPr>
        <w:t>可用</w:t>
      </w:r>
      <w:r>
        <w:rPr>
          <w:rFonts w:ascii="Arial" w:hAnsi="Arial" w:eastAsia="宋体" w:cs="Arial"/>
          <w:sz w:val="24"/>
        </w:rPr>
        <w:t>性。</w:t>
      </w:r>
    </w:p>
    <w:p w14:paraId="3E42FF58">
      <w:pPr>
        <w:adjustRightInd w:val="0"/>
        <w:snapToGrid w:val="0"/>
        <w:spacing w:before="0" w:beforeLines="0" w:line="288" w:lineRule="auto"/>
        <w:jc w:val="both"/>
        <w:rPr>
          <w:rFonts w:ascii="Arial" w:hAnsi="Arial" w:eastAsia="宋体" w:cs="Arial"/>
          <w:sz w:val="24"/>
        </w:rPr>
      </w:pPr>
    </w:p>
    <w:p w14:paraId="18963174">
      <w:pPr>
        <w:adjustRightInd w:val="0"/>
        <w:snapToGrid w:val="0"/>
        <w:spacing w:before="0" w:beforeLines="0" w:line="288" w:lineRule="auto"/>
        <w:ind w:left="723" w:hanging="723" w:hangingChars="200"/>
        <w:jc w:val="both"/>
        <w:outlineLvl w:val="0"/>
        <w:rPr>
          <w:rFonts w:ascii="Arial" w:hAnsi="Arial" w:eastAsia="宋体" w:cs="Arial"/>
          <w:b/>
          <w:sz w:val="36"/>
        </w:rPr>
      </w:pPr>
      <w:bookmarkStart w:id="3" w:name="_Toc495687862"/>
      <w:r>
        <w:rPr>
          <w:rFonts w:ascii="Arial" w:hAnsi="Arial" w:eastAsia="宋体" w:cs="Arial"/>
          <w:b/>
          <w:sz w:val="36"/>
        </w:rPr>
        <w:t>IV.</w:t>
      </w:r>
      <w:r>
        <w:rPr>
          <w:rFonts w:ascii="Arial" w:hAnsi="Arial" w:eastAsia="宋体" w:cs="Arial"/>
          <w:b/>
          <w:sz w:val="36"/>
        </w:rPr>
        <w:tab/>
      </w:r>
      <w:r>
        <w:rPr>
          <w:rFonts w:ascii="Arial" w:hAnsi="Arial" w:eastAsia="宋体" w:cs="Arial"/>
          <w:b/>
          <w:sz w:val="36"/>
        </w:rPr>
        <w:t>协调开发抗菌药物和AST器械的考虑因素</w:t>
      </w:r>
      <w:bookmarkEnd w:id="3"/>
    </w:p>
    <w:p w14:paraId="39F7754D">
      <w:pPr>
        <w:adjustRightInd w:val="0"/>
        <w:snapToGrid w:val="0"/>
        <w:spacing w:before="0" w:beforeLines="0" w:line="288" w:lineRule="auto"/>
        <w:jc w:val="both"/>
        <w:rPr>
          <w:rFonts w:ascii="Arial" w:hAnsi="Arial" w:eastAsia="宋体" w:cs="Arial"/>
          <w:sz w:val="24"/>
        </w:rPr>
      </w:pPr>
    </w:p>
    <w:p w14:paraId="76D2E9B6">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抗菌药物和AST器械的协调开发取决于抗菌药物申办方和AST器械制造商之间的商议结果。本机构建议，如果进行协调开发，药物申办方和AST器械制造商应分别向CDER和CDRH提交协调开发计划，供其审查和评论。</w:t>
      </w:r>
      <w:r>
        <w:rPr>
          <w:rStyle w:val="12"/>
          <w:rFonts w:ascii="Arial" w:hAnsi="Arial" w:eastAsia="宋体" w:cs="Arial"/>
          <w:sz w:val="24"/>
        </w:rPr>
        <w:footnoteReference w:id="2"/>
      </w:r>
      <w:r>
        <w:rPr>
          <w:rFonts w:ascii="Arial" w:hAnsi="Arial" w:eastAsia="宋体" w:cs="Arial"/>
          <w:sz w:val="24"/>
        </w:rPr>
        <w:t>FDA还鼓励药物申办方和器械制造商与CDER和CDRH的人员开展联合会议，以解决影响药物和AST器械的协调开发问题。通常应由AST器械制造商通过CDRH预提交程序申请进行此类会议，此外，该过程也可用于获取关于开发中AST器械的建议。应使用CDRH预提交程序与CDRH沟通抗菌药物和AST器械的协调开发计划。此外，药物申办方应在试验用新药申请（IND）中提交此类信息。</w:t>
      </w:r>
    </w:p>
    <w:p w14:paraId="65D580E2">
      <w:pPr>
        <w:adjustRightInd w:val="0"/>
        <w:snapToGrid w:val="0"/>
        <w:spacing w:before="0" w:beforeLines="0" w:line="288" w:lineRule="auto"/>
        <w:jc w:val="both"/>
        <w:rPr>
          <w:rFonts w:ascii="Arial" w:hAnsi="Arial" w:eastAsia="宋体" w:cs="Arial"/>
          <w:sz w:val="24"/>
        </w:rPr>
      </w:pPr>
    </w:p>
    <w:p w14:paraId="4622189B">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一般来说，如果满足21 CFR 812.2（c）（3）的要求和条件，则在研究AST器械时无需获得器械临床研究豁免（IDE）。如果开发中AST器械（例如，快速敏感性试验器械）用于临床试验招募，</w:t>
      </w:r>
      <w:r>
        <w:rPr>
          <w:rFonts w:hint="eastAsia" w:ascii="Arial" w:hAnsi="Arial" w:eastAsia="宋体" w:cs="Arial"/>
          <w:sz w:val="24"/>
        </w:rPr>
        <w:t>则</w:t>
      </w:r>
      <w:r>
        <w:rPr>
          <w:rFonts w:ascii="Arial" w:hAnsi="Arial" w:eastAsia="宋体" w:cs="Arial"/>
          <w:sz w:val="24"/>
        </w:rPr>
        <w:t>可能需要为该器械获得IDE（21 CFR 第812部分）。</w:t>
      </w:r>
      <w:r>
        <w:rPr>
          <w:rStyle w:val="12"/>
          <w:rFonts w:ascii="Arial" w:hAnsi="Arial" w:eastAsia="宋体" w:cs="Arial"/>
          <w:sz w:val="24"/>
        </w:rPr>
        <w:footnoteReference w:id="3"/>
      </w:r>
      <w:r>
        <w:rPr>
          <w:rFonts w:ascii="Arial" w:hAnsi="Arial" w:eastAsia="宋体" w:cs="Arial"/>
          <w:sz w:val="24"/>
        </w:rPr>
        <w:t>具体可通过预提交程序与CDRH进行讨论。</w:t>
      </w:r>
    </w:p>
    <w:p w14:paraId="127DD945">
      <w:pPr>
        <w:adjustRightInd w:val="0"/>
        <w:snapToGrid w:val="0"/>
        <w:spacing w:before="0" w:beforeLines="0" w:line="288" w:lineRule="auto"/>
        <w:jc w:val="both"/>
        <w:rPr>
          <w:rFonts w:ascii="Arial" w:hAnsi="Arial" w:eastAsia="宋体" w:cs="Arial"/>
          <w:sz w:val="24"/>
        </w:rPr>
      </w:pPr>
    </w:p>
    <w:p w14:paraId="6F5AF7D4">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如果决定协调开发药物和AST器械，CDRH可以与CDER进行沟通，并在NDA审查过程中审查510（k）提交材料，以提高在药物批准时或不久后许可AST器械的可能性。对于应在药物批准时或不久后进行的器械许可，应尽早提交AST器械510（k）提交材料，以留出足够时间供FDA完成审查。在510（k）提交材料中，药物申办方应适当允许FDA交叉参考NDA的信息，以方便AST器械审查。</w:t>
      </w:r>
    </w:p>
    <w:p w14:paraId="0863F3B5">
      <w:pPr>
        <w:adjustRightInd w:val="0"/>
        <w:snapToGrid w:val="0"/>
        <w:spacing w:before="0" w:beforeLines="0" w:line="288" w:lineRule="auto"/>
        <w:jc w:val="both"/>
        <w:rPr>
          <w:rFonts w:ascii="Arial" w:hAnsi="Arial" w:eastAsia="宋体" w:cs="Arial"/>
          <w:sz w:val="24"/>
        </w:rPr>
      </w:pPr>
    </w:p>
    <w:p w14:paraId="7A37E4B8">
      <w:pPr>
        <w:spacing w:before="156"/>
        <w:rPr>
          <w:rFonts w:ascii="Arial" w:hAnsi="Arial" w:eastAsia="宋体" w:cs="Arial"/>
          <w:sz w:val="24"/>
        </w:rPr>
      </w:pPr>
      <w:r>
        <w:rPr>
          <w:rFonts w:ascii="Arial" w:hAnsi="Arial" w:eastAsia="宋体" w:cs="Arial"/>
          <w:sz w:val="24"/>
        </w:rPr>
        <w:br w:type="page"/>
      </w:r>
    </w:p>
    <w:p w14:paraId="56784B7A">
      <w:pPr>
        <w:adjustRightInd w:val="0"/>
        <w:snapToGrid w:val="0"/>
        <w:spacing w:before="0" w:beforeLines="0" w:line="288" w:lineRule="auto"/>
        <w:jc w:val="both"/>
        <w:rPr>
          <w:rFonts w:ascii="Arial" w:hAnsi="Arial" w:eastAsia="宋体" w:cs="Arial"/>
          <w:sz w:val="24"/>
        </w:rPr>
      </w:pPr>
    </w:p>
    <w:p w14:paraId="01601395">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尽管决定进行协调开发，FDA仍可独立作出有关抗菌药物和AST器械的审查决定，</w:t>
      </w:r>
      <w:r>
        <w:rPr>
          <w:rFonts w:hint="eastAsia" w:ascii="Arial" w:hAnsi="Arial" w:eastAsia="宋体" w:cs="Arial"/>
          <w:sz w:val="24"/>
        </w:rPr>
        <w:t>即</w:t>
      </w:r>
      <w:r>
        <w:rPr>
          <w:rFonts w:ascii="Arial" w:hAnsi="Arial" w:eastAsia="宋体" w:cs="Arial"/>
          <w:sz w:val="24"/>
        </w:rPr>
        <w:t>协调开发抗菌药物产品和AST器械将不会影响本机构的审查、审查安排或任一产品的批准或许可（如果适用）</w:t>
      </w:r>
      <w:r>
        <w:rPr>
          <w:rFonts w:hint="eastAsia" w:ascii="Arial" w:hAnsi="Arial" w:eastAsia="宋体" w:cs="Arial"/>
          <w:sz w:val="24"/>
        </w:rPr>
        <w:t>而非</w:t>
      </w:r>
      <w:r>
        <w:rPr>
          <w:rFonts w:ascii="Arial" w:hAnsi="Arial" w:eastAsia="宋体" w:cs="Arial"/>
          <w:sz w:val="24"/>
        </w:rPr>
        <w:t>在药物批准时或不久后促进AST器械</w:t>
      </w:r>
      <w:r>
        <w:rPr>
          <w:rFonts w:hint="eastAsia" w:ascii="Arial" w:hAnsi="Arial" w:eastAsia="宋体" w:cs="Arial"/>
          <w:sz w:val="24"/>
        </w:rPr>
        <w:t>的</w:t>
      </w:r>
      <w:r>
        <w:rPr>
          <w:rFonts w:ascii="Arial" w:hAnsi="Arial" w:eastAsia="宋体" w:cs="Arial"/>
          <w:sz w:val="24"/>
        </w:rPr>
        <w:t>许可</w:t>
      </w:r>
      <w:r>
        <w:rPr>
          <w:rFonts w:hint="eastAsia" w:ascii="Arial" w:hAnsi="Arial" w:eastAsia="宋体" w:cs="Arial"/>
          <w:sz w:val="24"/>
        </w:rPr>
        <w:t>。</w:t>
      </w:r>
    </w:p>
    <w:p w14:paraId="0DAAEEB1">
      <w:pPr>
        <w:adjustRightInd w:val="0"/>
        <w:snapToGrid w:val="0"/>
        <w:spacing w:before="0" w:beforeLines="0" w:line="288" w:lineRule="auto"/>
        <w:jc w:val="center"/>
        <w:rPr>
          <w:rFonts w:hint="eastAsia" w:eastAsia="宋体"/>
          <w:lang w:eastAsia="zh-CN"/>
        </w:rPr>
      </w:pPr>
    </w:p>
    <w:p w14:paraId="0A00C965">
      <w:pPr>
        <w:adjustRightInd w:val="0"/>
        <w:snapToGrid w:val="0"/>
        <w:spacing w:before="0" w:beforeLines="0" w:line="288" w:lineRule="auto"/>
        <w:jc w:val="center"/>
        <w:rPr>
          <w:rFonts w:hint="eastAsia" w:eastAsia="宋体"/>
          <w:lang w:eastAsia="zh-CN"/>
        </w:rPr>
      </w:pPr>
    </w:p>
    <w:p w14:paraId="2E05CAFA">
      <w:pPr>
        <w:adjustRightInd w:val="0"/>
        <w:snapToGrid w:val="0"/>
        <w:spacing w:before="0" w:beforeLines="0"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10"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3F44">
    <w:pPr>
      <w:pStyle w:val="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5F0">
    <w:pPr>
      <w:pStyle w:val="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E829">
    <w:pPr>
      <w:pStyle w:val="3"/>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2EDF">
    <w:pPr>
      <w:pStyle w:val="3"/>
      <w:spacing w:before="120"/>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5</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14:paraId="4577062C">
      <w:pPr>
        <w:pStyle w:val="6"/>
        <w:spacing w:before="156"/>
        <w:rPr>
          <w:rFonts w:ascii="Arial" w:hAnsi="Arial" w:cs="Arial"/>
        </w:rPr>
      </w:pPr>
      <w:r>
        <w:rPr>
          <w:rStyle w:val="12"/>
          <w:rFonts w:ascii="Arial" w:hAnsi="Arial" w:cs="Arial"/>
        </w:rPr>
        <w:footnoteRef/>
      </w:r>
      <w:r>
        <w:rPr>
          <w:rFonts w:ascii="Arial" w:hAnsi="Arial" w:cs="Arial"/>
        </w:rPr>
        <w:t xml:space="preserve"> 21 CFR 866.1620。</w:t>
      </w:r>
    </w:p>
  </w:footnote>
  <w:footnote w:id="1">
    <w:p w14:paraId="32D147B8">
      <w:pPr>
        <w:pStyle w:val="6"/>
        <w:spacing w:before="156"/>
        <w:rPr>
          <w:rFonts w:ascii="Arial" w:hAnsi="Arial" w:cs="Arial"/>
        </w:rPr>
      </w:pPr>
      <w:r>
        <w:rPr>
          <w:rStyle w:val="12"/>
          <w:rFonts w:ascii="Arial" w:hAnsi="Arial" w:cs="Arial"/>
        </w:rPr>
        <w:footnoteRef/>
      </w:r>
      <w:r>
        <w:rPr>
          <w:rFonts w:ascii="Arial" w:hAnsi="Arial" w:cs="Arial"/>
        </w:rPr>
        <w:t xml:space="preserve"> 21 CFR 866.1645。</w:t>
      </w:r>
    </w:p>
  </w:footnote>
  <w:footnote w:id="2">
    <w:p w14:paraId="6A5D659E">
      <w:pPr>
        <w:pStyle w:val="6"/>
        <w:spacing w:before="156"/>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CDRH对器械开发的反馈可以通过预提交程序获得。请参见行业</w:t>
      </w:r>
      <w:r>
        <w:rPr>
          <w:rFonts w:hint="eastAsia" w:ascii="Arial" w:hAnsi="Arial" w:eastAsia="宋体" w:cs="Arial"/>
        </w:rPr>
        <w:t>及</w:t>
      </w:r>
      <w:r>
        <w:rPr>
          <w:rFonts w:ascii="Arial" w:hAnsi="Arial" w:eastAsia="宋体" w:cs="Arial"/>
        </w:rPr>
        <w:t>食品药品监督管理局工作人员指南，医疗器械提交材料的反馈要求：食品药品监督管理局工作人员预提交程序和会议，网址:</w:t>
      </w:r>
      <w:r>
        <w:rPr>
          <w:rFonts w:hint="eastAsia" w:ascii="Arial" w:hAnsi="Arial" w:eastAsia="宋体" w:cs="Arial"/>
        </w:rPr>
        <w:t xml:space="preserve"> </w:t>
      </w:r>
      <w:r>
        <w:fldChar w:fldCharType="begin"/>
      </w:r>
      <w:r>
        <w:instrText xml:space="preserve"> HYPERLINK "http://www.fda.gov/downloads/MedicalDevices/DeviceRegulationandGuidance/GuidanceDocuments/UCM311176.pdf" </w:instrText>
      </w:r>
      <w:r>
        <w:fldChar w:fldCharType="separate"/>
      </w:r>
      <w:r>
        <w:rPr>
          <w:rStyle w:val="11"/>
          <w:rFonts w:hint="eastAsia" w:ascii="Arial" w:hAnsi="Arial" w:eastAsia="宋体" w:cs="Arial"/>
        </w:rPr>
        <w:t>http://www.fda.gov/downloads/MedicalDevices/DeviceRegulationandGuidance/GuidanceDocuments/UCM311176.pdf</w:t>
      </w:r>
      <w:r>
        <w:rPr>
          <w:rStyle w:val="11"/>
          <w:rFonts w:hint="eastAsia" w:ascii="Arial" w:hAnsi="Arial" w:eastAsia="宋体" w:cs="Arial"/>
        </w:rPr>
        <w:fldChar w:fldCharType="end"/>
      </w:r>
      <w:r>
        <w:rPr>
          <w:rFonts w:ascii="Arial" w:hAnsi="Arial" w:eastAsia="宋体" w:cs="Arial"/>
        </w:rPr>
        <w:t xml:space="preserve"> 。有关抗菌产品办公室CDER IND前咨询程序的信息，请访问</w:t>
      </w:r>
      <w:r>
        <w:fldChar w:fldCharType="begin"/>
      </w:r>
      <w:r>
        <w:instrText xml:space="preserve"> HYPERLINK "http://www.fda.gov/Drugs/DevelopmentApprovalProcess/HowDrugsareDevelopedandApproved/ApprovalAppli%20.cations/InvestigationalNewDrugINDApplication/Overview/default.htm" </w:instrText>
      </w:r>
      <w:r>
        <w:fldChar w:fldCharType="separate"/>
      </w:r>
      <w:r>
        <w:rPr>
          <w:rStyle w:val="11"/>
          <w:rFonts w:hint="eastAsia" w:ascii="Arial" w:hAnsi="Arial" w:eastAsia="宋体" w:cs="Arial"/>
        </w:rPr>
        <w:t>http://www.fda.gov/Drugs/Developmen</w:t>
      </w:r>
      <w:r>
        <w:rPr>
          <w:rStyle w:val="11"/>
          <w:rFonts w:ascii="Arial" w:hAnsi="Arial" w:eastAsia="宋体" w:cs="Arial"/>
        </w:rPr>
        <w:t>tApprovalProcess/HowDrugsareDevelopedandApproved/ApprovalAppli .cations/InvestigationalNewDrugINDApplication/Overview/default.htm</w:t>
      </w:r>
      <w:r>
        <w:rPr>
          <w:rStyle w:val="11"/>
          <w:rFonts w:ascii="Arial" w:hAnsi="Arial" w:eastAsia="宋体" w:cs="Arial"/>
        </w:rPr>
        <w:fldChar w:fldCharType="end"/>
      </w:r>
      <w:r>
        <w:rPr>
          <w:rFonts w:hint="eastAsia" w:ascii="Arial" w:hAnsi="Arial" w:eastAsia="宋体" w:cs="Arial"/>
        </w:rPr>
        <w:t xml:space="preserve"> </w:t>
      </w:r>
    </w:p>
  </w:footnote>
  <w:footnote w:id="3">
    <w:p w14:paraId="6C810528">
      <w:pPr>
        <w:pStyle w:val="6"/>
        <w:spacing w:before="156"/>
        <w:jc w:val="both"/>
        <w:rPr>
          <w:rFonts w:ascii="Arial" w:hAnsi="Arial" w:cs="Arial"/>
        </w:rPr>
      </w:pPr>
      <w:r>
        <w:rPr>
          <w:rStyle w:val="12"/>
          <w:rFonts w:ascii="Arial" w:hAnsi="Arial" w:cs="Arial"/>
        </w:rPr>
        <w:footnoteRef/>
      </w:r>
      <w:r>
        <w:rPr>
          <w:rFonts w:ascii="Arial" w:hAnsi="Arial" w:eastAsia="宋体" w:cs="Arial"/>
        </w:rPr>
        <w:t xml:space="preserve">对于适用于药物开发的IND要求，请参阅IND法规和相关CDER材料，如“开发和批准过程（药物）”，网址: </w:t>
      </w:r>
      <w:r>
        <w:fldChar w:fldCharType="begin"/>
      </w:r>
      <w:r>
        <w:instrText xml:space="preserve"> HYPERLINK "http://www.fda.gov/Drugs/DevelopmentApprovalProcess/default.htm" </w:instrText>
      </w:r>
      <w:r>
        <w:fldChar w:fldCharType="separate"/>
      </w:r>
      <w:r>
        <w:rPr>
          <w:rStyle w:val="11"/>
          <w:rFonts w:hint="eastAsia" w:ascii="Arial" w:hAnsi="Arial" w:eastAsia="宋体" w:cs="Arial"/>
        </w:rPr>
        <w:t>http://www.fda.gov/Drugs/DevelopmentApprovalProcess/default.htm</w:t>
      </w:r>
      <w:r>
        <w:rPr>
          <w:rStyle w:val="11"/>
          <w:rFonts w:hint="eastAsia" w:ascii="Arial" w:hAnsi="Arial" w:eastAsia="宋体" w:cs="Arial"/>
        </w:rPr>
        <w:fldChar w:fldCharType="end"/>
      </w:r>
      <w:r>
        <w:rPr>
          <w:rFonts w:hint="eastAsia" w:ascii="Arial" w:hAnsi="Arial" w:eastAsia="宋体"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6484">
    <w:pPr>
      <w:pStyle w:val="4"/>
      <w:pBdr>
        <w:bottom w:val="none" w:color="auto" w:sz="0" w:space="0"/>
      </w:pBdr>
      <w:adjustRightInd w:val="0"/>
      <w:spacing w:before="0" w:beforeLines="0" w:line="288" w:lineRule="auto"/>
      <w:rPr>
        <w:rFonts w:ascii="Arial" w:hAnsi="Arial" w:cs="Arial"/>
        <w:b/>
        <w:i/>
        <w:sz w:val="24"/>
      </w:rPr>
    </w:pPr>
    <w:r>
      <w:rPr>
        <w:rFonts w:hint="eastAsia" w:ascii="Arial" w:hAnsi="Arial" w:cs="Arial"/>
        <w:b/>
        <w:i/>
        <w:sz w:val="24"/>
      </w:rPr>
      <w:t>所含建议不具约束力</w:t>
    </w:r>
  </w:p>
  <w:p w14:paraId="2FB8C98A">
    <w:pPr>
      <w:pStyle w:val="4"/>
      <w:pBdr>
        <w:bottom w:val="none" w:color="auto" w:sz="0" w:space="0"/>
      </w:pBdr>
      <w:adjustRightInd w:val="0"/>
      <w:spacing w:before="0" w:beforeLines="0" w:line="288" w:lineRule="auto"/>
      <w:rPr>
        <w:rFonts w:ascii="Arial" w:hAnsi="Arial" w:cs="Arial"/>
        <w:b/>
        <w:i/>
        <w:sz w:val="24"/>
      </w:rPr>
    </w:pPr>
  </w:p>
  <w:p w14:paraId="38F0C10C">
    <w:pPr>
      <w:pStyle w:val="4"/>
      <w:pBdr>
        <w:bottom w:val="none" w:color="auto" w:sz="0" w:space="0"/>
      </w:pBdr>
      <w:adjustRightInd w:val="0"/>
      <w:spacing w:before="0" w:beforeLines="0" w:line="288" w:lineRule="auto"/>
      <w:rPr>
        <w:rFonts w:ascii="Arial" w:hAnsi="Arial" w:cs="Arial"/>
        <w:b/>
        <w:i/>
        <w:sz w:val="24"/>
      </w:rPr>
    </w:pPr>
    <w:r>
      <w:rPr>
        <w:rFonts w:ascii="Arial" w:hAnsi="Arial" w:cs="Arial"/>
        <w:b/>
        <w:i/>
        <w:sz w:val="24"/>
      </w:rPr>
      <w:t>草案-不用于实施</w:t>
    </w:r>
  </w:p>
  <w:p w14:paraId="356F54EC">
    <w:pPr>
      <w:pStyle w:val="4"/>
      <w:pBdr>
        <w:bottom w:val="none" w:color="auto" w:sz="0" w:space="0"/>
      </w:pBdr>
      <w:adjustRightInd w:val="0"/>
      <w:spacing w:before="0" w:beforeLines="0" w:line="288" w:lineRule="auto"/>
      <w:rPr>
        <w:rFonts w:ascii="Arial" w:hAnsi="Arial" w:cs="Arial"/>
        <w:b/>
        <w:i/>
        <w:sz w:val="24"/>
      </w:rPr>
    </w:pPr>
    <w:r>
      <w:drawing>
        <wp:anchor distT="0" distB="0" distL="114300" distR="114300" simplePos="0" relativeHeight="251659264" behindDoc="0" locked="0" layoutInCell="1" allowOverlap="1">
          <wp:simplePos x="0" y="0"/>
          <wp:positionH relativeFrom="column">
            <wp:posOffset>165735</wp:posOffset>
          </wp:positionH>
          <wp:positionV relativeFrom="paragraph">
            <wp:posOffset>1632585</wp:posOffset>
          </wp:positionV>
          <wp:extent cx="5488305" cy="5198110"/>
          <wp:effectExtent l="0" t="0" r="0" b="25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8047" cy="519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C19C">
    <w:pPr>
      <w:pStyle w:val="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C3EE">
    <w:pPr>
      <w:pStyle w:val="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B52D2"/>
    <w:multiLevelType w:val="multilevel"/>
    <w:tmpl w:val="563B52D2"/>
    <w:lvl w:ilvl="0" w:tentative="0">
      <w:start w:val="0"/>
      <w:numFmt w:val="bullet"/>
      <w:lvlText w:val=""/>
      <w:lvlJc w:val="left"/>
      <w:pPr>
        <w:ind w:left="420" w:hanging="420"/>
      </w:pPr>
      <w:rPr>
        <w:rFonts w:hint="default" w:ascii="Wingdings 2" w:hAnsi="Wingdings 2"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10"/>
    <w:rsid w:val="00022F36"/>
    <w:rsid w:val="0008197F"/>
    <w:rsid w:val="000E6728"/>
    <w:rsid w:val="00187E28"/>
    <w:rsid w:val="00197953"/>
    <w:rsid w:val="001F75DB"/>
    <w:rsid w:val="00280F63"/>
    <w:rsid w:val="002A0A10"/>
    <w:rsid w:val="002F5AF0"/>
    <w:rsid w:val="00394AAE"/>
    <w:rsid w:val="003A69DF"/>
    <w:rsid w:val="00422414"/>
    <w:rsid w:val="004229C5"/>
    <w:rsid w:val="00424B7C"/>
    <w:rsid w:val="004555DB"/>
    <w:rsid w:val="004637CD"/>
    <w:rsid w:val="004F708C"/>
    <w:rsid w:val="0050013A"/>
    <w:rsid w:val="00521C66"/>
    <w:rsid w:val="00670425"/>
    <w:rsid w:val="006728BC"/>
    <w:rsid w:val="00736BAD"/>
    <w:rsid w:val="007D6C09"/>
    <w:rsid w:val="008C5382"/>
    <w:rsid w:val="00996290"/>
    <w:rsid w:val="00A44167"/>
    <w:rsid w:val="00B82452"/>
    <w:rsid w:val="00C047CD"/>
    <w:rsid w:val="00C33530"/>
    <w:rsid w:val="00C724BE"/>
    <w:rsid w:val="00C764D9"/>
    <w:rsid w:val="00DA6D9F"/>
    <w:rsid w:val="00DB014E"/>
    <w:rsid w:val="00E452E3"/>
    <w:rsid w:val="00F34988"/>
    <w:rsid w:val="00F3528B"/>
    <w:rsid w:val="22A5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pPr>
      <w:spacing w:before="0"/>
    </w:pPr>
    <w:rPr>
      <w:sz w:val="18"/>
      <w:szCs w:val="18"/>
    </w:rPr>
  </w:style>
  <w:style w:type="paragraph" w:styleId="3">
    <w:name w:val="footer"/>
    <w:basedOn w:val="1"/>
    <w:link w:val="14"/>
    <w:unhideWhenUsed/>
    <w:qFormat/>
    <w:uiPriority w:val="99"/>
    <w:pPr>
      <w:tabs>
        <w:tab w:val="center" w:pos="4153"/>
        <w:tab w:val="right" w:pos="8306"/>
      </w:tabs>
      <w:snapToGrid w:val="0"/>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style>
  <w:style w:type="paragraph" w:styleId="6">
    <w:name w:val="footnote text"/>
    <w:basedOn w:val="1"/>
    <w:link w:val="17"/>
    <w:semiHidden/>
    <w:unhideWhenUsed/>
    <w:qFormat/>
    <w:uiPriority w:val="99"/>
    <w:pPr>
      <w:snapToGrid w:val="0"/>
    </w:pPr>
    <w:rPr>
      <w:sz w:val="18"/>
      <w:szCs w:val="18"/>
    </w:rPr>
  </w:style>
  <w:style w:type="table" w:styleId="8">
    <w:name w:val="Table Grid"/>
    <w:basedOn w:val="7"/>
    <w:qFormat/>
    <w:uiPriority w:val="59"/>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line number"/>
    <w:basedOn w:val="9"/>
    <w:semiHidden/>
    <w:unhideWhenUsed/>
    <w:qFormat/>
    <w:uiPriority w:val="99"/>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footnote reference"/>
    <w:basedOn w:val="9"/>
    <w:semiHidden/>
    <w:unhideWhenUsed/>
    <w:qFormat/>
    <w:uiPriority w:val="99"/>
    <w:rPr>
      <w:vertAlign w:val="superscript"/>
    </w:rPr>
  </w:style>
  <w:style w:type="character" w:customStyle="1" w:styleId="13">
    <w:name w:val="页眉 Char"/>
    <w:basedOn w:val="9"/>
    <w:link w:val="4"/>
    <w:qFormat/>
    <w:uiPriority w:val="99"/>
    <w:rPr>
      <w:sz w:val="18"/>
      <w:szCs w:val="18"/>
    </w:rPr>
  </w:style>
  <w:style w:type="character" w:customStyle="1" w:styleId="14">
    <w:name w:val="页脚 Char"/>
    <w:basedOn w:val="9"/>
    <w:link w:val="3"/>
    <w:qFormat/>
    <w:uiPriority w:val="99"/>
    <w:rPr>
      <w:sz w:val="18"/>
      <w:szCs w:val="18"/>
    </w:rPr>
  </w:style>
  <w:style w:type="character" w:customStyle="1" w:styleId="15">
    <w:name w:val="批注框文本 Char"/>
    <w:basedOn w:val="9"/>
    <w:link w:val="2"/>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脚注文本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F4C9-4295-41F6-9DFC-6F116510C49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3096</Words>
  <Characters>4038</Characters>
  <Lines>36</Lines>
  <Paragraphs>10</Paragraphs>
  <TotalTime>2</TotalTime>
  <ScaleCrop>false</ScaleCrop>
  <LinksUpToDate>false</LinksUpToDate>
  <CharactersWithSpaces>4075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2017-10-16T11:03:00Z</dcterms:created>
  <dc:creator>xbany</dc:creator>
  <cp:lastModifiedBy>太极箫客</cp:lastModifiedBy>
  <dcterms:modified xsi:type="dcterms:W3CDTF">2025-08-14T06:43:27Z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77DD1833898F4909875288B97FC616D9_12</vt:lpwstr>
  </property>
</Properties>
</file>