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83FB8">
      <w:pPr>
        <w:pBdr>
          <w:bottom w:val="single" w:color="auto" w:sz="4" w:space="1"/>
        </w:pBdr>
        <w:shd w:val="clear" w:color="auto" w:fill="FFFFFF"/>
        <w:topLinePunct/>
        <w:autoSpaceDE/>
        <w:autoSpaceDN/>
        <w:adjustRightInd/>
        <w:jc w:val="center"/>
        <w:rPr>
          <w:rFonts w:eastAsia="宋体"/>
          <w:b/>
          <w:bCs/>
          <w:color w:val="000000"/>
          <w:sz w:val="44"/>
          <w:szCs w:val="44"/>
        </w:rPr>
      </w:pPr>
      <w:bookmarkStart w:id="12" w:name="_GoBack"/>
      <w:bookmarkEnd w:id="12"/>
      <w:r>
        <w:rPr>
          <w:rFonts w:eastAsia="宋体"/>
          <w:b/>
          <w:color w:val="000000"/>
          <w:sz w:val="44"/>
          <w:szCs w:val="44"/>
        </w:rPr>
        <w:t>医疗器械附件 - 说明附件和分类途径</w:t>
      </w:r>
    </w:p>
    <w:p w14:paraId="00015A54">
      <w:pPr>
        <w:shd w:val="clear" w:color="auto" w:fill="FFFFFF"/>
        <w:topLinePunct/>
        <w:autoSpaceDE/>
        <w:autoSpaceDN/>
        <w:adjustRightInd/>
        <w:jc w:val="center"/>
        <w:rPr>
          <w:rFonts w:eastAsia="宋体"/>
          <w:b/>
          <w:bCs/>
          <w:color w:val="000000"/>
          <w:sz w:val="44"/>
          <w:szCs w:val="44"/>
        </w:rPr>
      </w:pPr>
      <w:r>
        <w:rPr>
          <w:rFonts w:eastAsia="宋体"/>
          <w:b/>
          <w:color w:val="000000"/>
          <w:sz w:val="44"/>
          <w:szCs w:val="44"/>
        </w:rPr>
        <w:t>行业和美国食品药品监督管理局工作人员指南</w:t>
      </w:r>
    </w:p>
    <w:p w14:paraId="0D7C2285">
      <w:pPr>
        <w:shd w:val="clear" w:color="auto" w:fill="FFFFFF"/>
        <w:topLinePunct/>
        <w:autoSpaceDE/>
        <w:autoSpaceDN/>
        <w:adjustRightInd/>
        <w:jc w:val="center"/>
        <w:rPr>
          <w:rFonts w:eastAsia="宋体"/>
          <w:b/>
          <w:color w:val="000000"/>
          <w:sz w:val="24"/>
          <w:szCs w:val="24"/>
        </w:rPr>
      </w:pPr>
    </w:p>
    <w:p w14:paraId="4EF2EBE2">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文件发布日期：2017年12月20日</w:t>
      </w:r>
    </w:p>
    <w:p w14:paraId="2D90F257">
      <w:pPr>
        <w:shd w:val="clear" w:color="auto" w:fill="FFFFFF"/>
        <w:topLinePunct/>
        <w:autoSpaceDE/>
        <w:autoSpaceDN/>
        <w:adjustRightInd/>
        <w:jc w:val="center"/>
        <w:rPr>
          <w:rFonts w:eastAsia="宋体"/>
          <w:b/>
          <w:color w:val="000000"/>
          <w:sz w:val="24"/>
          <w:szCs w:val="24"/>
        </w:rPr>
      </w:pPr>
    </w:p>
    <w:p w14:paraId="58500CC0">
      <w:pPr>
        <w:shd w:val="clear" w:color="auto" w:fill="FFFFFF"/>
        <w:topLinePunct/>
        <w:autoSpaceDE/>
        <w:autoSpaceDN/>
        <w:adjustRightInd/>
        <w:jc w:val="center"/>
        <w:rPr>
          <w:rFonts w:eastAsia="宋体"/>
          <w:b/>
          <w:color w:val="000000"/>
          <w:sz w:val="24"/>
          <w:szCs w:val="24"/>
        </w:rPr>
      </w:pPr>
      <w:r>
        <w:rPr>
          <w:rFonts w:eastAsia="宋体"/>
          <w:b/>
          <w:color w:val="000000"/>
          <w:sz w:val="24"/>
          <w:szCs w:val="24"/>
        </w:rPr>
        <w:t>文件初始发布日期：2016年12月30日</w:t>
      </w:r>
    </w:p>
    <w:p w14:paraId="2CADBEC3">
      <w:pPr>
        <w:shd w:val="clear" w:color="auto" w:fill="FFFFFF"/>
        <w:topLinePunct/>
        <w:autoSpaceDE/>
        <w:autoSpaceDN/>
        <w:adjustRightInd/>
        <w:jc w:val="center"/>
        <w:rPr>
          <w:rFonts w:eastAsia="宋体"/>
          <w:sz w:val="24"/>
          <w:szCs w:val="24"/>
        </w:rPr>
      </w:pPr>
    </w:p>
    <w:p w14:paraId="12060CAD">
      <w:pPr>
        <w:shd w:val="clear" w:color="auto" w:fill="FFFFFF"/>
        <w:topLinePunct/>
        <w:autoSpaceDE/>
        <w:autoSpaceDN/>
        <w:adjustRightInd/>
        <w:jc w:val="center"/>
        <w:rPr>
          <w:rFonts w:eastAsia="宋体"/>
          <w:b/>
          <w:bCs/>
          <w:color w:val="000000"/>
          <w:sz w:val="24"/>
          <w:szCs w:val="24"/>
        </w:rPr>
      </w:pPr>
      <w:r>
        <w:rPr>
          <w:rFonts w:eastAsia="宋体"/>
          <w:b/>
          <w:color w:val="000000"/>
          <w:sz w:val="24"/>
          <w:szCs w:val="24"/>
        </w:rPr>
        <w:t>本文件取代2017年1月30日发布的《医疗器械附件 - 说明新附件类型的附件和分类途径》</w:t>
      </w:r>
    </w:p>
    <w:p w14:paraId="0D21040B">
      <w:pPr>
        <w:shd w:val="clear" w:color="auto" w:fill="FFFFFF"/>
        <w:topLinePunct/>
        <w:autoSpaceDE/>
        <w:autoSpaceDN/>
        <w:adjustRightInd/>
        <w:jc w:val="center"/>
        <w:rPr>
          <w:rFonts w:eastAsia="宋体"/>
          <w:b/>
          <w:bCs/>
          <w:color w:val="00000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9"/>
      </w:tblGrid>
      <w:tr w14:paraId="3E45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tcPr>
          <w:p w14:paraId="46A4E081">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除非显示当前有效的OMB控制编号，否则机构不得进行或发起信息收集，也不得要求患者针对信息收集给出回应。本次信息收集的OMB控制编号为0910-0823（失效日期为2019年9月30日）。</w:t>
            </w:r>
          </w:p>
        </w:tc>
      </w:tr>
    </w:tbl>
    <w:p w14:paraId="0D10461C">
      <w:pPr>
        <w:shd w:val="clear" w:color="auto" w:fill="FFFFFF"/>
        <w:topLinePunct/>
        <w:autoSpaceDE/>
        <w:autoSpaceDN/>
        <w:adjustRightInd/>
        <w:jc w:val="both"/>
        <w:rPr>
          <w:rFonts w:eastAsia="宋体"/>
          <w:sz w:val="24"/>
          <w:szCs w:val="24"/>
        </w:rPr>
      </w:pPr>
      <w:r>
        <w:rPr>
          <w:rFonts w:eastAsia="宋体"/>
          <w:b/>
          <w:sz w:val="24"/>
          <w:szCs w:val="24"/>
        </w:rPr>
        <w:t>请参阅本指南第VII节《文书削减法》（PRA）的额外声明。</w:t>
      </w:r>
    </w:p>
    <w:p w14:paraId="76C99546">
      <w:pPr>
        <w:shd w:val="clear" w:color="auto" w:fill="FFFFFF"/>
        <w:topLinePunct/>
        <w:autoSpaceDE/>
        <w:autoSpaceDN/>
        <w:adjustRightInd/>
        <w:ind w:firstLine="480" w:firstLineChars="200"/>
        <w:jc w:val="both"/>
        <w:rPr>
          <w:rFonts w:eastAsia="宋体"/>
          <w:sz w:val="24"/>
          <w:szCs w:val="24"/>
        </w:rPr>
      </w:pPr>
    </w:p>
    <w:p w14:paraId="445E5A77">
      <w:pPr>
        <w:shd w:val="clear" w:color="auto" w:fill="FFFFFF"/>
        <w:topLinePunct/>
        <w:autoSpaceDE/>
        <w:autoSpaceDN/>
        <w:adjustRightInd/>
        <w:ind w:firstLine="480" w:firstLineChars="200"/>
        <w:jc w:val="both"/>
        <w:rPr>
          <w:rFonts w:eastAsia="宋体"/>
          <w:color w:val="3333FF"/>
          <w:sz w:val="24"/>
          <w:szCs w:val="24"/>
        </w:rPr>
      </w:pPr>
      <w:r>
        <w:rPr>
          <w:rFonts w:eastAsia="宋体"/>
          <w:sz w:val="24"/>
          <w:szCs w:val="24"/>
        </w:rPr>
        <w:t>如对本文件有关CDRH监管器械的内容有任何疑问，请发送电子邮件至</w:t>
      </w:r>
      <w:r>
        <w:rPr>
          <w:rFonts w:eastAsia="宋体"/>
          <w:color w:val="3333FF"/>
          <w:sz w:val="24"/>
          <w:szCs w:val="24"/>
          <w:u w:val="single"/>
        </w:rPr>
        <w:t>CDRH-Guidance@fda.hhs.gov</w:t>
      </w:r>
      <w:r>
        <w:rPr>
          <w:rFonts w:eastAsia="宋体"/>
          <w:sz w:val="24"/>
          <w:szCs w:val="24"/>
        </w:rPr>
        <w:t>或致电（301）796-6900与中心主任办公室联系。</w:t>
      </w:r>
    </w:p>
    <w:p w14:paraId="2E70A3BB">
      <w:pPr>
        <w:shd w:val="clear" w:color="auto" w:fill="FFFFFF"/>
        <w:topLinePunct/>
        <w:autoSpaceDE/>
        <w:autoSpaceDN/>
        <w:adjustRightInd/>
        <w:ind w:firstLine="480" w:firstLineChars="200"/>
        <w:jc w:val="both"/>
        <w:rPr>
          <w:rFonts w:eastAsia="宋体"/>
          <w:color w:val="000000"/>
          <w:sz w:val="24"/>
          <w:szCs w:val="24"/>
        </w:rPr>
      </w:pPr>
    </w:p>
    <w:p w14:paraId="72C16D35">
      <w:pPr>
        <w:shd w:val="clear" w:color="auto" w:fill="FFFFFF"/>
        <w:topLinePunct/>
        <w:autoSpaceDE/>
        <w:autoSpaceDN/>
        <w:adjustRightInd/>
        <w:ind w:firstLine="480" w:firstLineChars="200"/>
        <w:jc w:val="both"/>
        <w:rPr>
          <w:rFonts w:eastAsia="宋体"/>
          <w:color w:val="3333FF"/>
          <w:sz w:val="24"/>
          <w:szCs w:val="24"/>
          <w:u w:val="single"/>
        </w:rPr>
      </w:pPr>
      <w:r>
        <w:rPr>
          <w:rFonts w:hint="eastAsia" w:eastAsia="宋体"/>
          <w:color w:val="000000"/>
          <w:sz w:val="24"/>
          <w:szCs w:val="24"/>
        </w:rPr>
        <w:t>如对本文件有关CBER监管器械的内容有任何疑问</w:t>
      </w:r>
      <w:r>
        <w:rPr>
          <w:rFonts w:eastAsia="宋体"/>
          <w:color w:val="000000"/>
          <w:sz w:val="24"/>
          <w:szCs w:val="24"/>
        </w:rPr>
        <w:t>，请发送电子邮件至</w:t>
      </w:r>
      <w:r>
        <w:fldChar w:fldCharType="begin"/>
      </w:r>
      <w:r>
        <w:instrText xml:space="preserve"> HYPERLINK "mailto:ocod@fda.hhs.gov" </w:instrText>
      </w:r>
      <w:r>
        <w:fldChar w:fldCharType="separate"/>
      </w:r>
      <w:r>
        <w:rPr>
          <w:rStyle w:val="15"/>
          <w:rFonts w:eastAsia="宋体"/>
          <w:sz w:val="24"/>
          <w:szCs w:val="24"/>
        </w:rPr>
        <w:t>ocod@fda.hhs.gov</w:t>
      </w:r>
      <w:r>
        <w:rPr>
          <w:rStyle w:val="15"/>
          <w:rFonts w:eastAsia="宋体"/>
          <w:sz w:val="24"/>
          <w:szCs w:val="24"/>
        </w:rPr>
        <w:fldChar w:fldCharType="end"/>
      </w:r>
      <w:r>
        <w:rPr>
          <w:rStyle w:val="15"/>
          <w:rFonts w:eastAsia="宋体"/>
          <w:sz w:val="24"/>
          <w:szCs w:val="24"/>
        </w:rPr>
        <w:t>或</w:t>
      </w:r>
      <w:r>
        <w:rPr>
          <w:rFonts w:eastAsia="宋体"/>
          <w:color w:val="000000"/>
          <w:sz w:val="24"/>
          <w:szCs w:val="24"/>
        </w:rPr>
        <w:t>致电1-800-835-4709或240-402-8010</w:t>
      </w:r>
      <w:r>
        <w:rPr>
          <w:rFonts w:hint="eastAsia" w:eastAsia="宋体"/>
          <w:color w:val="000000"/>
          <w:sz w:val="24"/>
          <w:szCs w:val="24"/>
        </w:rPr>
        <w:t>与</w:t>
      </w:r>
      <w:r>
        <w:rPr>
          <w:rFonts w:eastAsia="宋体"/>
          <w:color w:val="000000"/>
          <w:sz w:val="24"/>
          <w:szCs w:val="24"/>
        </w:rPr>
        <w:t>CBER的</w:t>
      </w:r>
      <w:r>
        <w:rPr>
          <w:rFonts w:hint="eastAsia" w:eastAsia="宋体"/>
          <w:color w:val="000000"/>
          <w:sz w:val="24"/>
          <w:szCs w:val="24"/>
        </w:rPr>
        <w:t>交流、外联和发展办公室</w:t>
      </w:r>
      <w:r>
        <w:rPr>
          <w:rFonts w:eastAsia="宋体"/>
          <w:color w:val="000000"/>
          <w:sz w:val="24"/>
          <w:szCs w:val="24"/>
        </w:rPr>
        <w:t>（OCOD）联系。</w:t>
      </w:r>
    </w:p>
    <w:p w14:paraId="01876C44">
      <w:pPr>
        <w:shd w:val="clear" w:color="auto" w:fill="FFFFFF"/>
        <w:topLinePunct/>
        <w:autoSpaceDE/>
        <w:autoSpaceDN/>
        <w:adjustRightInd/>
        <w:jc w:val="both"/>
        <w:rPr>
          <w:rFonts w:eastAsia="宋体"/>
          <w:sz w:val="24"/>
          <w:szCs w:val="24"/>
        </w:rPr>
      </w:pPr>
    </w:p>
    <w:p w14:paraId="4351104B">
      <w:pPr>
        <w:shd w:val="clear" w:color="auto" w:fill="FFFFFF"/>
        <w:topLinePunct/>
        <w:autoSpaceDE/>
        <w:autoSpaceDN/>
        <w:adjustRightInd/>
        <w:jc w:val="both"/>
        <w:rPr>
          <w:rFonts w:eastAsia="宋体"/>
          <w:sz w:val="24"/>
          <w:szCs w:val="24"/>
        </w:rPr>
      </w:pPr>
    </w:p>
    <w:p w14:paraId="17EAF1CE">
      <w:pPr>
        <w:shd w:val="clear" w:color="auto" w:fill="FFFFFF"/>
        <w:topLinePunct/>
        <w:autoSpaceDE/>
        <w:autoSpaceDN/>
        <w:adjustRightInd/>
        <w:jc w:val="both"/>
        <w:rPr>
          <w:rFonts w:eastAsia="宋体"/>
          <w:sz w:val="24"/>
          <w:szCs w:val="24"/>
        </w:rPr>
      </w:pPr>
    </w:p>
    <w:p w14:paraId="3C4E675F">
      <w:pPr>
        <w:shd w:val="clear" w:color="auto" w:fill="FFFFFF"/>
        <w:topLinePunct/>
        <w:autoSpaceDE/>
        <w:autoSpaceDN/>
        <w:adjustRightInd/>
        <w:jc w:val="both"/>
        <w:rPr>
          <w:rFonts w:eastAsia="宋体"/>
          <w:sz w:val="24"/>
          <w:szCs w:val="24"/>
        </w:rPr>
      </w:pPr>
    </w:p>
    <w:p w14:paraId="26E07FB4">
      <w:pPr>
        <w:shd w:val="clear" w:color="auto" w:fill="FFFFFF"/>
        <w:topLinePunct/>
        <w:autoSpaceDE/>
        <w:autoSpaceDN/>
        <w:adjustRightInd/>
        <w:jc w:val="both"/>
        <w:rPr>
          <w:rFonts w:eastAsia="宋体"/>
          <w:sz w:val="24"/>
          <w:szCs w:val="24"/>
        </w:rPr>
      </w:pPr>
    </w:p>
    <w:p w14:paraId="0D8FEE37">
      <w:pPr>
        <w:shd w:val="clear" w:color="auto" w:fill="FFFFFF"/>
        <w:topLinePunct/>
        <w:autoSpaceDE/>
        <w:autoSpaceDN/>
        <w:adjustRightInd/>
        <w:jc w:val="both"/>
        <w:rPr>
          <w:rFonts w:eastAsia="宋体"/>
          <w:sz w:val="24"/>
          <w:szCs w:val="24"/>
        </w:rPr>
      </w:pPr>
    </w:p>
    <w:p w14:paraId="65B274F1">
      <w:pPr>
        <w:shd w:val="clear" w:color="auto" w:fill="FFFFFF"/>
        <w:topLinePunct/>
        <w:autoSpaceDE/>
        <w:autoSpaceDN/>
        <w:adjustRightInd/>
        <w:jc w:val="both"/>
        <w:rPr>
          <w:rFonts w:eastAsia="宋体"/>
          <w:sz w:val="24"/>
          <w:szCs w:val="24"/>
        </w:rPr>
      </w:pPr>
    </w:p>
    <w:p w14:paraId="0A3D2DE7">
      <w:pPr>
        <w:shd w:val="clear" w:color="auto" w:fill="FFFFFF"/>
        <w:topLinePunct/>
        <w:autoSpaceDE/>
        <w:autoSpaceDN/>
        <w:adjustRightInd/>
        <w:jc w:val="both"/>
        <w:rPr>
          <w:rFonts w:eastAsia="宋体"/>
          <w:sz w:val="24"/>
          <w:szCs w:val="24"/>
        </w:rPr>
      </w:pPr>
    </w:p>
    <w:p w14:paraId="2B4B21A3">
      <w:pPr>
        <w:shd w:val="clear" w:color="auto" w:fill="FFFFFF"/>
        <w:topLinePunct/>
        <w:autoSpaceDE/>
        <w:autoSpaceDN/>
        <w:adjustRightInd/>
        <w:jc w:val="both"/>
        <w:rPr>
          <w:rFonts w:eastAsia="宋体"/>
          <w:sz w:val="24"/>
          <w:szCs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4645"/>
      </w:tblGrid>
      <w:tr w14:paraId="5BAD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C562DB9">
            <w:pPr>
              <w:topLinePunct/>
              <w:autoSpaceDE/>
              <w:autoSpaceDN/>
              <w:adjustRightInd/>
              <w:jc w:val="both"/>
              <w:rPr>
                <w:rFonts w:eastAsia="宋体"/>
                <w:sz w:val="21"/>
                <w:szCs w:val="21"/>
              </w:rPr>
            </w:pPr>
            <w:r>
              <w:rPr>
                <w:rFonts w:eastAsia="宋体"/>
                <w:sz w:val="21"/>
                <w:szCs w:val="21"/>
              </w:rPr>
              <w:drawing>
                <wp:inline distT="0" distB="0" distL="0" distR="0">
                  <wp:extent cx="2905125" cy="753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935057" cy="760942"/>
                          </a:xfrm>
                          <a:prstGeom prst="rect">
                            <a:avLst/>
                          </a:prstGeom>
                        </pic:spPr>
                      </pic:pic>
                    </a:graphicData>
                  </a:graphic>
                </wp:inline>
              </w:drawing>
            </w:r>
          </w:p>
        </w:tc>
        <w:tc>
          <w:tcPr>
            <w:tcW w:w="4645" w:type="dxa"/>
          </w:tcPr>
          <w:p w14:paraId="1125054D">
            <w:pPr>
              <w:shd w:val="clear" w:color="auto" w:fill="FFFFFF"/>
              <w:topLinePunct/>
              <w:autoSpaceDE/>
              <w:autoSpaceDN/>
              <w:adjustRightInd/>
              <w:jc w:val="right"/>
              <w:rPr>
                <w:rFonts w:eastAsia="宋体"/>
                <w:sz w:val="21"/>
                <w:szCs w:val="21"/>
              </w:rPr>
            </w:pPr>
            <w:r>
              <w:rPr>
                <w:rFonts w:eastAsia="宋体"/>
                <w:b/>
                <w:color w:val="000000"/>
                <w:sz w:val="21"/>
                <w:szCs w:val="21"/>
              </w:rPr>
              <w:t>美国卫生与公共服务部</w:t>
            </w:r>
          </w:p>
          <w:p w14:paraId="54490E73">
            <w:pPr>
              <w:shd w:val="clear" w:color="auto" w:fill="FFFFFF"/>
              <w:topLinePunct/>
              <w:autoSpaceDE/>
              <w:autoSpaceDN/>
              <w:adjustRightInd/>
              <w:jc w:val="right"/>
              <w:rPr>
                <w:rFonts w:eastAsia="宋体"/>
                <w:sz w:val="21"/>
                <w:szCs w:val="21"/>
              </w:rPr>
            </w:pPr>
            <w:r>
              <w:rPr>
                <w:rFonts w:eastAsia="宋体"/>
                <w:b/>
                <w:color w:val="000000"/>
                <w:sz w:val="21"/>
                <w:szCs w:val="21"/>
              </w:rPr>
              <w:t>美国食品药品监督管理局</w:t>
            </w:r>
          </w:p>
          <w:p w14:paraId="11BC2374">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p w14:paraId="79A8CC2A">
            <w:pPr>
              <w:shd w:val="clear" w:color="auto" w:fill="FFFFFF"/>
              <w:topLinePunct/>
              <w:autoSpaceDE/>
              <w:autoSpaceDN/>
              <w:adjustRightInd/>
              <w:jc w:val="right"/>
              <w:rPr>
                <w:rFonts w:eastAsia="宋体"/>
                <w:sz w:val="21"/>
                <w:szCs w:val="21"/>
              </w:rPr>
            </w:pPr>
            <w:r>
              <w:rPr>
                <w:rFonts w:eastAsia="宋体"/>
                <w:b/>
                <w:color w:val="000000"/>
                <w:sz w:val="21"/>
                <w:szCs w:val="21"/>
              </w:rPr>
              <w:t>生物制品评价与研究中心</w:t>
            </w:r>
          </w:p>
        </w:tc>
      </w:tr>
    </w:tbl>
    <w:p w14:paraId="24A95F96">
      <w:pPr>
        <w:shd w:val="clear" w:color="auto" w:fill="FFFFFF"/>
        <w:topLinePunct/>
        <w:autoSpaceDE/>
        <w:autoSpaceDN/>
        <w:adjustRightInd/>
        <w:jc w:val="both"/>
        <w:rPr>
          <w:rFonts w:eastAsia="宋体"/>
          <w:sz w:val="24"/>
          <w:szCs w:val="24"/>
        </w:rPr>
        <w:sectPr>
          <w:pgSz w:w="11909" w:h="16834"/>
          <w:pgMar w:top="1134" w:right="1134" w:bottom="1134" w:left="1418" w:header="567" w:footer="567" w:gutter="0"/>
          <w:cols w:space="60" w:num="1"/>
          <w:docGrid w:type="lines" w:linePitch="364" w:charSpace="0"/>
        </w:sectPr>
      </w:pPr>
    </w:p>
    <w:p w14:paraId="10C4C979">
      <w:pPr>
        <w:shd w:val="clear" w:color="auto" w:fill="FFFFFF"/>
        <w:topLinePunct/>
        <w:autoSpaceDE/>
        <w:autoSpaceDN/>
        <w:adjustRightInd/>
        <w:jc w:val="center"/>
        <w:rPr>
          <w:rFonts w:eastAsia="宋体"/>
          <w:sz w:val="36"/>
          <w:szCs w:val="36"/>
        </w:rPr>
      </w:pPr>
      <w:r>
        <w:rPr>
          <w:rFonts w:eastAsia="宋体"/>
          <w:b/>
          <w:color w:val="000000"/>
          <w:sz w:val="36"/>
          <w:szCs w:val="36"/>
        </w:rPr>
        <w:t>前言</w:t>
      </w:r>
    </w:p>
    <w:p w14:paraId="6871E179">
      <w:pPr>
        <w:shd w:val="clear" w:color="auto" w:fill="FFFFFF"/>
        <w:topLinePunct/>
        <w:autoSpaceDE/>
        <w:autoSpaceDN/>
        <w:adjustRightInd/>
        <w:jc w:val="both"/>
        <w:rPr>
          <w:rFonts w:eastAsia="宋体"/>
          <w:sz w:val="32"/>
          <w:szCs w:val="32"/>
        </w:rPr>
      </w:pPr>
      <w:r>
        <w:rPr>
          <w:rFonts w:eastAsia="宋体"/>
          <w:b/>
          <w:color w:val="000000"/>
          <w:sz w:val="32"/>
          <w:szCs w:val="32"/>
        </w:rPr>
        <w:t>公众意见</w:t>
      </w:r>
    </w:p>
    <w:p w14:paraId="075469DF">
      <w:pPr>
        <w:autoSpaceDE/>
        <w:autoSpaceDN/>
        <w:adjustRightInd/>
        <w:ind w:firstLine="480" w:firstLineChars="200"/>
        <w:jc w:val="both"/>
        <w:rPr>
          <w:rFonts w:eastAsia="宋体"/>
          <w:color w:val="000000"/>
          <w:sz w:val="24"/>
          <w:szCs w:val="24"/>
        </w:rPr>
      </w:pPr>
      <w:r>
        <w:rPr>
          <w:rFonts w:eastAsia="宋体"/>
          <w:sz w:val="24"/>
          <w:szCs w:val="24"/>
          <w:lang w:eastAsia="en-US"/>
        </w:rPr>
        <w:t>电子版意见和建议可随时提交至</w:t>
      </w:r>
      <w:r>
        <w:fldChar w:fldCharType="begin"/>
      </w:r>
      <w:r>
        <w:instrText xml:space="preserve"> HYPERLINK "https://www.regulations.gov/" \h </w:instrText>
      </w:r>
      <w:r>
        <w:fldChar w:fldCharType="separate"/>
      </w:r>
      <w:r>
        <w:rPr>
          <w:rFonts w:eastAsia="宋体"/>
          <w:color w:val="0000FF"/>
          <w:sz w:val="24"/>
          <w:szCs w:val="24"/>
          <w:u w:val="single" w:color="0000FF"/>
          <w:lang w:eastAsia="en-US"/>
        </w:rPr>
        <w:t>http://www.regulations.gov</w:t>
      </w:r>
      <w:r>
        <w:rPr>
          <w:rFonts w:eastAsia="宋体"/>
          <w:color w:val="0000FF"/>
          <w:sz w:val="24"/>
          <w:szCs w:val="24"/>
          <w:u w:val="single" w:color="0000FF"/>
          <w:lang w:eastAsia="en-US"/>
        </w:rPr>
        <w:fldChar w:fldCharType="end"/>
      </w:r>
      <w:r>
        <w:rPr>
          <w:rFonts w:eastAsia="宋体"/>
          <w:sz w:val="24"/>
          <w:szCs w:val="24"/>
          <w:lang w:eastAsia="en-US"/>
        </w:rPr>
        <w:t>，供FDA审议。</w:t>
      </w:r>
      <w:r>
        <w:rPr>
          <w:rFonts w:eastAsia="宋体"/>
          <w:color w:val="000000"/>
          <w:sz w:val="24"/>
          <w:szCs w:val="24"/>
        </w:rPr>
        <w:t>可将书面意见提交至：美国食品药品监督管理局备案文件管理部，地址为5630 Fishers Lane, Room 1061, (HFA-305), Rockville, MD 20852。。</w:t>
      </w:r>
    </w:p>
    <w:p w14:paraId="50B1E4B5">
      <w:pPr>
        <w:autoSpaceDE/>
        <w:autoSpaceDN/>
        <w:adjustRightInd/>
        <w:ind w:firstLine="480" w:firstLineChars="200"/>
        <w:jc w:val="both"/>
        <w:rPr>
          <w:rFonts w:eastAsia="宋体"/>
          <w:color w:val="000000"/>
          <w:sz w:val="24"/>
          <w:szCs w:val="24"/>
        </w:rPr>
      </w:pPr>
    </w:p>
    <w:p w14:paraId="72F26D2F">
      <w:pPr>
        <w:autoSpaceDE/>
        <w:autoSpaceDN/>
        <w:adjustRightInd/>
        <w:ind w:firstLine="480" w:firstLineChars="200"/>
        <w:jc w:val="both"/>
        <w:rPr>
          <w:rFonts w:eastAsia="宋体"/>
          <w:color w:val="000000"/>
          <w:sz w:val="24"/>
          <w:szCs w:val="24"/>
        </w:rPr>
      </w:pPr>
      <w:r>
        <w:rPr>
          <w:rFonts w:eastAsia="宋体"/>
          <w:color w:val="000000"/>
          <w:sz w:val="24"/>
          <w:szCs w:val="24"/>
        </w:rPr>
        <w:t>所有意见或建议均应注明备案文件编号FDA-201</w:t>
      </w:r>
      <w:r>
        <w:rPr>
          <w:rFonts w:hint="eastAsia" w:eastAsia="宋体"/>
          <w:color w:val="000000"/>
          <w:sz w:val="24"/>
          <w:szCs w:val="24"/>
        </w:rPr>
        <w:t>5</w:t>
      </w:r>
      <w:r>
        <w:rPr>
          <w:rFonts w:eastAsia="宋体"/>
          <w:color w:val="000000"/>
          <w:sz w:val="24"/>
          <w:szCs w:val="24"/>
        </w:rPr>
        <w:t>-D-</w:t>
      </w:r>
      <w:r>
        <w:rPr>
          <w:rFonts w:hint="eastAsia" w:eastAsia="宋体"/>
          <w:color w:val="000000"/>
          <w:sz w:val="24"/>
          <w:szCs w:val="24"/>
        </w:rPr>
        <w:t>0025</w:t>
      </w:r>
      <w:r>
        <w:rPr>
          <w:rFonts w:eastAsia="宋体"/>
          <w:color w:val="000000"/>
          <w:sz w:val="24"/>
          <w:szCs w:val="24"/>
        </w:rPr>
        <w:t>。下次修订或更新本文件时，FDA将考虑实施该意见。</w:t>
      </w:r>
    </w:p>
    <w:p w14:paraId="68169D0E">
      <w:pPr>
        <w:autoSpaceDE/>
        <w:autoSpaceDN/>
        <w:adjustRightInd/>
        <w:jc w:val="both"/>
        <w:rPr>
          <w:rFonts w:eastAsia="宋体"/>
          <w:sz w:val="24"/>
          <w:szCs w:val="24"/>
        </w:rPr>
      </w:pPr>
    </w:p>
    <w:p w14:paraId="468FAAE7">
      <w:pPr>
        <w:shd w:val="clear" w:color="auto" w:fill="FFFFFF"/>
        <w:topLinePunct/>
        <w:autoSpaceDE/>
        <w:autoSpaceDN/>
        <w:adjustRightInd/>
        <w:jc w:val="both"/>
        <w:rPr>
          <w:rFonts w:eastAsia="宋体"/>
          <w:sz w:val="32"/>
          <w:szCs w:val="32"/>
        </w:rPr>
      </w:pPr>
      <w:r>
        <w:rPr>
          <w:rFonts w:eastAsia="宋体"/>
          <w:b/>
          <w:color w:val="000000"/>
          <w:sz w:val="32"/>
          <w:szCs w:val="32"/>
        </w:rPr>
        <w:t>更多副本</w:t>
      </w:r>
    </w:p>
    <w:p w14:paraId="0453A5E3">
      <w:pPr>
        <w:shd w:val="clear" w:color="auto" w:fill="FFFFFF"/>
        <w:topLinePunct/>
        <w:autoSpaceDE/>
        <w:autoSpaceDN/>
        <w:adjustRightInd/>
        <w:jc w:val="both"/>
        <w:rPr>
          <w:rFonts w:eastAsia="宋体"/>
          <w:b/>
          <w:color w:val="000000"/>
          <w:sz w:val="24"/>
          <w:szCs w:val="24"/>
        </w:rPr>
      </w:pPr>
    </w:p>
    <w:p w14:paraId="109C40E1">
      <w:pPr>
        <w:shd w:val="clear" w:color="auto" w:fill="FFFFFF"/>
        <w:topLinePunct/>
        <w:autoSpaceDE/>
        <w:autoSpaceDN/>
        <w:adjustRightInd/>
        <w:jc w:val="both"/>
        <w:rPr>
          <w:rFonts w:eastAsia="宋体"/>
          <w:sz w:val="24"/>
          <w:szCs w:val="24"/>
        </w:rPr>
      </w:pPr>
      <w:r>
        <w:rPr>
          <w:rFonts w:eastAsia="宋体"/>
          <w:b/>
          <w:color w:val="000000"/>
          <w:sz w:val="24"/>
          <w:szCs w:val="24"/>
        </w:rPr>
        <w:t>CDRH</w:t>
      </w:r>
    </w:p>
    <w:p w14:paraId="5571ACD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更多副本可通过互联网获取。您也可以发送电子邮件获取本指南的副本。请使用文件编号1770，注明您所要求获取的指南。</w:t>
      </w:r>
    </w:p>
    <w:p w14:paraId="180F9A1C">
      <w:pPr>
        <w:shd w:val="clear" w:color="auto" w:fill="FFFFFF"/>
        <w:topLinePunct/>
        <w:autoSpaceDE/>
        <w:autoSpaceDN/>
        <w:adjustRightInd/>
        <w:jc w:val="both"/>
        <w:rPr>
          <w:rFonts w:eastAsia="宋体"/>
          <w:b/>
          <w:color w:val="000000"/>
          <w:sz w:val="24"/>
          <w:szCs w:val="24"/>
        </w:rPr>
      </w:pPr>
    </w:p>
    <w:p w14:paraId="05016BD0">
      <w:pPr>
        <w:shd w:val="clear" w:color="auto" w:fill="FFFFFF"/>
        <w:topLinePunct/>
        <w:autoSpaceDE/>
        <w:autoSpaceDN/>
        <w:adjustRightInd/>
        <w:jc w:val="both"/>
        <w:rPr>
          <w:rFonts w:eastAsia="宋体"/>
          <w:sz w:val="24"/>
          <w:szCs w:val="24"/>
        </w:rPr>
      </w:pPr>
      <w:r>
        <w:rPr>
          <w:rFonts w:eastAsia="宋体"/>
          <w:b/>
          <w:color w:val="000000"/>
          <w:sz w:val="24"/>
          <w:szCs w:val="24"/>
        </w:rPr>
        <w:t>CBER</w:t>
      </w:r>
    </w:p>
    <w:p w14:paraId="2291AFA7">
      <w:pPr>
        <w:shd w:val="clear" w:color="auto" w:fill="FFFFFF"/>
        <w:topLinePunct/>
        <w:autoSpaceDE/>
        <w:autoSpaceDN/>
        <w:adjustRightInd/>
        <w:ind w:firstLine="480" w:firstLineChars="200"/>
        <w:rPr>
          <w:rFonts w:eastAsia="宋体"/>
          <w:sz w:val="24"/>
          <w:szCs w:val="24"/>
        </w:rPr>
      </w:pPr>
      <w:r>
        <w:rPr>
          <w:rFonts w:hint="eastAsia" w:eastAsia="宋体"/>
          <w:sz w:val="24"/>
          <w:szCs w:val="24"/>
        </w:rPr>
        <w:t>更多</w:t>
      </w:r>
      <w:r>
        <w:rPr>
          <w:rFonts w:eastAsia="宋体"/>
          <w:sz w:val="24"/>
          <w:szCs w:val="24"/>
        </w:rPr>
        <w:t>副本可通过以下途径获取：寄送信函至生物制品评价与研究中心（CBER），交流、外联和发展办公室（OCOD），地址</w:t>
      </w:r>
      <w:r>
        <w:rPr>
          <w:rFonts w:hint="eastAsia" w:eastAsia="宋体"/>
          <w:sz w:val="24"/>
          <w:szCs w:val="24"/>
        </w:rPr>
        <w:t>为</w:t>
      </w:r>
      <w:r>
        <w:rPr>
          <w:rFonts w:eastAsia="宋体"/>
          <w:sz w:val="24"/>
          <w:szCs w:val="24"/>
        </w:rPr>
        <w:t>10903 New Hampshire Ave., WO71, Room 3128, Silver Spring, MD 20903；或致电1-800-835-4709或240-402-8010，或发送电子邮件至</w:t>
      </w:r>
      <w:r>
        <w:rPr>
          <w:rFonts w:eastAsia="宋体"/>
          <w:color w:val="3333FF"/>
          <w:sz w:val="24"/>
          <w:szCs w:val="24"/>
          <w:u w:val="single"/>
        </w:rPr>
        <w:t>ocod@fda.hhs.gov</w:t>
      </w:r>
      <w:r>
        <w:rPr>
          <w:rFonts w:eastAsia="宋体"/>
          <w:sz w:val="24"/>
          <w:szCs w:val="24"/>
        </w:rPr>
        <w:t>，或登录网址</w:t>
      </w:r>
      <w:r>
        <w:rPr>
          <w:rFonts w:eastAsia="宋体"/>
          <w:color w:val="3333FF"/>
          <w:sz w:val="24"/>
          <w:szCs w:val="24"/>
          <w:u w:val="single"/>
        </w:rPr>
        <w:t>http://www.fda.gov/BiologicsBloodVaccines/GuidanceComplianceRegulatoryInformation/Guidances/default.htm</w:t>
      </w:r>
      <w:r>
        <w:rPr>
          <w:rFonts w:eastAsia="宋体"/>
          <w:sz w:val="24"/>
          <w:szCs w:val="24"/>
        </w:rPr>
        <w:t>。</w:t>
      </w:r>
    </w:p>
    <w:p w14:paraId="4A0C7023">
      <w:pPr>
        <w:widowControl/>
        <w:autoSpaceDE/>
        <w:autoSpaceDN/>
        <w:adjustRightInd/>
        <w:rPr>
          <w:rFonts w:eastAsia="宋体"/>
          <w:sz w:val="24"/>
          <w:szCs w:val="24"/>
        </w:rPr>
      </w:pPr>
      <w:r>
        <w:rPr>
          <w:rFonts w:eastAsia="宋体"/>
          <w:sz w:val="24"/>
          <w:szCs w:val="24"/>
        </w:rPr>
        <w:br w:type="page"/>
      </w:r>
    </w:p>
    <w:p w14:paraId="5A36B9B7">
      <w:pPr>
        <w:shd w:val="clear" w:color="auto" w:fill="FFFFFF"/>
        <w:topLinePunct/>
        <w:autoSpaceDE/>
        <w:autoSpaceDN/>
        <w:adjustRightInd/>
        <w:jc w:val="center"/>
        <w:rPr>
          <w:rFonts w:eastAsia="宋体"/>
          <w:sz w:val="36"/>
          <w:szCs w:val="36"/>
        </w:rPr>
      </w:pPr>
      <w:r>
        <w:rPr>
          <w:rFonts w:eastAsia="宋体"/>
          <w:b/>
          <w:color w:val="000000"/>
          <w:sz w:val="36"/>
          <w:szCs w:val="36"/>
        </w:rPr>
        <w:t>目录</w:t>
      </w:r>
    </w:p>
    <w:p w14:paraId="2EB778A9">
      <w:pPr>
        <w:pStyle w:val="8"/>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"_Toc97371716" </w:instrText>
      </w:r>
      <w:r>
        <w:fldChar w:fldCharType="separate"/>
      </w:r>
      <w:r>
        <w:rPr>
          <w:rStyle w:val="15"/>
        </w:rPr>
        <w:t>I.</w:t>
      </w:r>
      <w:r>
        <w:rPr>
          <w:rFonts w:asciiTheme="minorHAnsi" w:hAnsiTheme="minorHAnsi" w:eastAsiaTheme="minorEastAsia" w:cstheme="minorBidi"/>
          <w:kern w:val="2"/>
          <w:sz w:val="21"/>
          <w:szCs w:val="22"/>
          <w:lang w:bidi="he-IL"/>
        </w:rPr>
        <w:tab/>
      </w:r>
      <w:r>
        <w:rPr>
          <w:rStyle w:val="15"/>
          <w:rFonts w:hint="eastAsia"/>
        </w:rPr>
        <w:t>引言</w:t>
      </w:r>
      <w:r>
        <w:tab/>
      </w:r>
      <w:r>
        <w:fldChar w:fldCharType="begin"/>
      </w:r>
      <w:r>
        <w:instrText xml:space="preserve"> PAGEREF _Toc97371716 \h </w:instrText>
      </w:r>
      <w:r>
        <w:fldChar w:fldCharType="separate"/>
      </w:r>
      <w:r>
        <w:t>1</w:t>
      </w:r>
      <w:r>
        <w:fldChar w:fldCharType="end"/>
      </w:r>
      <w:r>
        <w:fldChar w:fldCharType="end"/>
      </w:r>
    </w:p>
    <w:p w14:paraId="4F9CBFC3">
      <w:pPr>
        <w:pStyle w:val="8"/>
        <w:rPr>
          <w:rFonts w:asciiTheme="minorHAnsi" w:hAnsiTheme="minorHAnsi" w:eastAsiaTheme="minorEastAsia" w:cstheme="minorBidi"/>
          <w:kern w:val="2"/>
          <w:sz w:val="21"/>
          <w:szCs w:val="22"/>
          <w:lang w:bidi="he-IL"/>
        </w:rPr>
      </w:pPr>
      <w:r>
        <w:fldChar w:fldCharType="begin"/>
      </w:r>
      <w:r>
        <w:instrText xml:space="preserve"> HYPERLINK \l "_Toc97371717" </w:instrText>
      </w:r>
      <w:r>
        <w:fldChar w:fldCharType="separate"/>
      </w:r>
      <w:r>
        <w:rPr>
          <w:rStyle w:val="15"/>
        </w:rPr>
        <w:t>II.</w:t>
      </w:r>
      <w:r>
        <w:rPr>
          <w:rFonts w:asciiTheme="minorHAnsi" w:hAnsiTheme="minorHAnsi" w:eastAsiaTheme="minorEastAsia" w:cstheme="minorBidi"/>
          <w:kern w:val="2"/>
          <w:sz w:val="21"/>
          <w:szCs w:val="22"/>
          <w:lang w:bidi="he-IL"/>
        </w:rPr>
        <w:tab/>
      </w:r>
      <w:r>
        <w:rPr>
          <w:rStyle w:val="15"/>
          <w:rFonts w:hint="eastAsia"/>
        </w:rPr>
        <w:t>背景</w:t>
      </w:r>
      <w:r>
        <w:tab/>
      </w:r>
      <w:r>
        <w:fldChar w:fldCharType="begin"/>
      </w:r>
      <w:r>
        <w:instrText xml:space="preserve"> PAGEREF _Toc97371717 \h </w:instrText>
      </w:r>
      <w:r>
        <w:fldChar w:fldCharType="separate"/>
      </w:r>
      <w:r>
        <w:t>2</w:t>
      </w:r>
      <w:r>
        <w:fldChar w:fldCharType="end"/>
      </w:r>
      <w:r>
        <w:fldChar w:fldCharType="end"/>
      </w:r>
    </w:p>
    <w:p w14:paraId="4B7589E9">
      <w:pPr>
        <w:pStyle w:val="8"/>
        <w:rPr>
          <w:rFonts w:asciiTheme="minorHAnsi" w:hAnsiTheme="minorHAnsi" w:eastAsiaTheme="minorEastAsia" w:cstheme="minorBidi"/>
          <w:kern w:val="2"/>
          <w:sz w:val="21"/>
          <w:szCs w:val="22"/>
          <w:lang w:bidi="he-IL"/>
        </w:rPr>
      </w:pPr>
      <w:r>
        <w:fldChar w:fldCharType="begin"/>
      </w:r>
      <w:r>
        <w:instrText xml:space="preserve"> HYPERLINK \l "_Toc97371718" </w:instrText>
      </w:r>
      <w:r>
        <w:fldChar w:fldCharType="separate"/>
      </w:r>
      <w:r>
        <w:rPr>
          <w:rStyle w:val="15"/>
        </w:rPr>
        <w:t>III.</w:t>
      </w:r>
      <w:r>
        <w:rPr>
          <w:rFonts w:asciiTheme="minorHAnsi" w:hAnsiTheme="minorHAnsi" w:eastAsiaTheme="minorEastAsia" w:cstheme="minorBidi"/>
          <w:kern w:val="2"/>
          <w:sz w:val="21"/>
          <w:szCs w:val="22"/>
          <w:lang w:bidi="he-IL"/>
        </w:rPr>
        <w:tab/>
      </w:r>
      <w:r>
        <w:rPr>
          <w:rStyle w:val="15"/>
          <w:rFonts w:hint="eastAsia"/>
        </w:rPr>
        <w:t>范围</w:t>
      </w:r>
      <w:r>
        <w:tab/>
      </w:r>
      <w:r>
        <w:fldChar w:fldCharType="begin"/>
      </w:r>
      <w:r>
        <w:instrText xml:space="preserve"> PAGEREF _Toc97371718 \h </w:instrText>
      </w:r>
      <w:r>
        <w:fldChar w:fldCharType="separate"/>
      </w:r>
      <w:r>
        <w:t>4</w:t>
      </w:r>
      <w:r>
        <w:fldChar w:fldCharType="end"/>
      </w:r>
      <w:r>
        <w:fldChar w:fldCharType="end"/>
      </w:r>
    </w:p>
    <w:p w14:paraId="773882F6">
      <w:pPr>
        <w:pStyle w:val="8"/>
        <w:rPr>
          <w:rFonts w:asciiTheme="minorHAnsi" w:hAnsiTheme="minorHAnsi" w:eastAsiaTheme="minorEastAsia" w:cstheme="minorBidi"/>
          <w:kern w:val="2"/>
          <w:sz w:val="21"/>
          <w:szCs w:val="22"/>
          <w:lang w:bidi="he-IL"/>
        </w:rPr>
      </w:pPr>
      <w:r>
        <w:fldChar w:fldCharType="begin"/>
      </w:r>
      <w:r>
        <w:instrText xml:space="preserve"> HYPERLINK \l "_Toc97371719" </w:instrText>
      </w:r>
      <w:r>
        <w:fldChar w:fldCharType="separate"/>
      </w:r>
      <w:r>
        <w:rPr>
          <w:rStyle w:val="15"/>
        </w:rPr>
        <w:t>IV.</w:t>
      </w:r>
      <w:r>
        <w:rPr>
          <w:rFonts w:asciiTheme="minorHAnsi" w:hAnsiTheme="minorHAnsi" w:eastAsiaTheme="minorEastAsia" w:cstheme="minorBidi"/>
          <w:kern w:val="2"/>
          <w:sz w:val="21"/>
          <w:szCs w:val="22"/>
          <w:lang w:bidi="he-IL"/>
        </w:rPr>
        <w:tab/>
      </w:r>
      <w:r>
        <w:rPr>
          <w:rStyle w:val="15"/>
          <w:rFonts w:hint="eastAsia"/>
        </w:rPr>
        <w:t>定义</w:t>
      </w:r>
      <w:r>
        <w:tab/>
      </w:r>
      <w:r>
        <w:fldChar w:fldCharType="begin"/>
      </w:r>
      <w:r>
        <w:instrText xml:space="preserve"> PAGEREF _Toc97371719 \h </w:instrText>
      </w:r>
      <w:r>
        <w:fldChar w:fldCharType="separate"/>
      </w:r>
      <w:r>
        <w:t>5</w:t>
      </w:r>
      <w:r>
        <w:fldChar w:fldCharType="end"/>
      </w:r>
      <w:r>
        <w:fldChar w:fldCharType="end"/>
      </w:r>
    </w:p>
    <w:p w14:paraId="4E0516F8">
      <w:pPr>
        <w:pStyle w:val="8"/>
        <w:rPr>
          <w:rFonts w:asciiTheme="minorHAnsi" w:hAnsiTheme="minorHAnsi" w:eastAsiaTheme="minorEastAsia" w:cstheme="minorBidi"/>
          <w:kern w:val="2"/>
          <w:sz w:val="21"/>
          <w:szCs w:val="22"/>
          <w:lang w:bidi="he-IL"/>
        </w:rPr>
      </w:pPr>
      <w:r>
        <w:fldChar w:fldCharType="begin"/>
      </w:r>
      <w:r>
        <w:instrText xml:space="preserve"> HYPERLINK \l "_Toc97371720" </w:instrText>
      </w:r>
      <w:r>
        <w:fldChar w:fldCharType="separate"/>
      </w:r>
      <w:r>
        <w:rPr>
          <w:rStyle w:val="15"/>
        </w:rPr>
        <w:t>V.</w:t>
      </w:r>
      <w:r>
        <w:rPr>
          <w:rFonts w:asciiTheme="minorHAnsi" w:hAnsiTheme="minorHAnsi" w:eastAsiaTheme="minorEastAsia" w:cstheme="minorBidi"/>
          <w:kern w:val="2"/>
          <w:sz w:val="21"/>
          <w:szCs w:val="22"/>
          <w:lang w:bidi="he-IL"/>
        </w:rPr>
        <w:tab/>
      </w:r>
      <w:r>
        <w:rPr>
          <w:rStyle w:val="15"/>
          <w:rFonts w:hint="eastAsia"/>
        </w:rPr>
        <w:t>附件分类政策</w:t>
      </w:r>
      <w:r>
        <w:tab/>
      </w:r>
      <w:r>
        <w:fldChar w:fldCharType="begin"/>
      </w:r>
      <w:r>
        <w:instrText xml:space="preserve"> PAGEREF _Toc97371720 \h </w:instrText>
      </w:r>
      <w:r>
        <w:fldChar w:fldCharType="separate"/>
      </w:r>
      <w:r>
        <w:t>6</w:t>
      </w:r>
      <w:r>
        <w:fldChar w:fldCharType="end"/>
      </w:r>
      <w:r>
        <w:fldChar w:fldCharType="end"/>
      </w:r>
    </w:p>
    <w:p w14:paraId="344F0ED2">
      <w:pPr>
        <w:pStyle w:val="10"/>
        <w:rPr>
          <w:rFonts w:asciiTheme="minorHAnsi" w:hAnsiTheme="minorHAnsi" w:eastAsiaTheme="minorEastAsia" w:cstheme="minorBidi"/>
          <w:kern w:val="2"/>
          <w:sz w:val="21"/>
          <w:szCs w:val="22"/>
          <w:lang w:bidi="he-IL"/>
        </w:rPr>
      </w:pPr>
      <w:r>
        <w:fldChar w:fldCharType="begin"/>
      </w:r>
      <w:r>
        <w:instrText xml:space="preserve"> HYPERLINK \l "_Toc97371721"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该物品是否为附件？</w:t>
      </w:r>
      <w:r>
        <w:tab/>
      </w:r>
      <w:r>
        <w:fldChar w:fldCharType="begin"/>
      </w:r>
      <w:r>
        <w:instrText xml:space="preserve"> PAGEREF _Toc97371721 \h </w:instrText>
      </w:r>
      <w:r>
        <w:fldChar w:fldCharType="separate"/>
      </w:r>
      <w:r>
        <w:t>6</w:t>
      </w:r>
      <w:r>
        <w:fldChar w:fldCharType="end"/>
      </w:r>
      <w:r>
        <w:fldChar w:fldCharType="end"/>
      </w:r>
    </w:p>
    <w:p w14:paraId="57F86940">
      <w:pPr>
        <w:pStyle w:val="10"/>
        <w:rPr>
          <w:rFonts w:asciiTheme="minorHAnsi" w:hAnsiTheme="minorHAnsi" w:eastAsiaTheme="minorEastAsia" w:cstheme="minorBidi"/>
          <w:kern w:val="2"/>
          <w:sz w:val="21"/>
          <w:szCs w:val="22"/>
          <w:lang w:bidi="he-IL"/>
        </w:rPr>
      </w:pPr>
      <w:r>
        <w:fldChar w:fldCharType="begin"/>
      </w:r>
      <w:r>
        <w:instrText xml:space="preserve"> HYPERLINK \l "_Toc97371722"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Fonts w:hint="eastAsia"/>
        </w:rPr>
        <w:t>当按预期用途与父器械联合使用时，该附件具有哪些风险，以及为合理保证其安全性和有效性需要哪些监管控制措施？</w:t>
      </w:r>
      <w:r>
        <w:tab/>
      </w:r>
      <w:r>
        <w:fldChar w:fldCharType="begin"/>
      </w:r>
      <w:r>
        <w:instrText xml:space="preserve"> PAGEREF _Toc97371722 \h </w:instrText>
      </w:r>
      <w:r>
        <w:fldChar w:fldCharType="separate"/>
      </w:r>
      <w:r>
        <w:t>8</w:t>
      </w:r>
      <w:r>
        <w:fldChar w:fldCharType="end"/>
      </w:r>
      <w:r>
        <w:fldChar w:fldCharType="end"/>
      </w:r>
    </w:p>
    <w:p w14:paraId="6FEAA9B8">
      <w:pPr>
        <w:pStyle w:val="8"/>
        <w:rPr>
          <w:rFonts w:asciiTheme="minorHAnsi" w:hAnsiTheme="minorHAnsi" w:eastAsiaTheme="minorEastAsia" w:cstheme="minorBidi"/>
          <w:kern w:val="2"/>
          <w:sz w:val="21"/>
          <w:szCs w:val="22"/>
          <w:lang w:bidi="he-IL"/>
        </w:rPr>
      </w:pPr>
      <w:r>
        <w:fldChar w:fldCharType="begin"/>
      </w:r>
      <w:r>
        <w:instrText xml:space="preserve"> HYPERLINK \l "_Toc97371723" </w:instrText>
      </w:r>
      <w:r>
        <w:fldChar w:fldCharType="separate"/>
      </w:r>
      <w:r>
        <w:rPr>
          <w:rStyle w:val="15"/>
        </w:rPr>
        <w:t>VI.</w:t>
      </w:r>
      <w:r>
        <w:rPr>
          <w:rFonts w:asciiTheme="minorHAnsi" w:hAnsiTheme="minorHAnsi" w:eastAsiaTheme="minorEastAsia" w:cstheme="minorBidi"/>
          <w:kern w:val="2"/>
          <w:sz w:val="21"/>
          <w:szCs w:val="22"/>
          <w:lang w:bidi="he-IL"/>
        </w:rPr>
        <w:tab/>
      </w:r>
      <w:r>
        <w:rPr>
          <w:rStyle w:val="15"/>
          <w:rFonts w:hint="eastAsia"/>
        </w:rPr>
        <w:t>附件分类过程</w:t>
      </w:r>
      <w:r>
        <w:tab/>
      </w:r>
      <w:r>
        <w:fldChar w:fldCharType="begin"/>
      </w:r>
      <w:r>
        <w:instrText xml:space="preserve"> PAGEREF _Toc97371723 \h </w:instrText>
      </w:r>
      <w:r>
        <w:fldChar w:fldCharType="separate"/>
      </w:r>
      <w:r>
        <w:t>8</w:t>
      </w:r>
      <w:r>
        <w:fldChar w:fldCharType="end"/>
      </w:r>
      <w:r>
        <w:fldChar w:fldCharType="end"/>
      </w:r>
    </w:p>
    <w:p w14:paraId="187DE026">
      <w:pPr>
        <w:pStyle w:val="10"/>
        <w:rPr>
          <w:rFonts w:asciiTheme="minorHAnsi" w:hAnsiTheme="minorHAnsi" w:eastAsiaTheme="minorEastAsia" w:cstheme="minorBidi"/>
          <w:kern w:val="2"/>
          <w:sz w:val="21"/>
          <w:szCs w:val="22"/>
          <w:lang w:bidi="he-IL"/>
        </w:rPr>
      </w:pPr>
      <w:r>
        <w:fldChar w:fldCharType="begin"/>
      </w:r>
      <w:r>
        <w:instrText xml:space="preserve"> HYPERLINK \l "_Toc97371724" </w:instrText>
      </w:r>
      <w:r>
        <w:fldChar w:fldCharType="separate"/>
      </w:r>
      <w:r>
        <w:rPr>
          <w:rStyle w:val="15"/>
        </w:rPr>
        <w:t>A.</w:t>
      </w:r>
      <w:r>
        <w:rPr>
          <w:rFonts w:asciiTheme="minorHAnsi" w:hAnsiTheme="minorHAnsi" w:eastAsiaTheme="minorEastAsia" w:cstheme="minorBidi"/>
          <w:kern w:val="2"/>
          <w:sz w:val="21"/>
          <w:szCs w:val="22"/>
          <w:lang w:bidi="he-IL"/>
        </w:rPr>
        <w:tab/>
      </w:r>
      <w:r>
        <w:rPr>
          <w:rStyle w:val="15"/>
          <w:rFonts w:hint="eastAsia"/>
        </w:rPr>
        <w:t>附件申请</w:t>
      </w:r>
      <w:r>
        <w:tab/>
      </w:r>
      <w:r>
        <w:fldChar w:fldCharType="begin"/>
      </w:r>
      <w:r>
        <w:instrText xml:space="preserve"> PAGEREF _Toc97371724 \h </w:instrText>
      </w:r>
      <w:r>
        <w:fldChar w:fldCharType="separate"/>
      </w:r>
      <w:r>
        <w:t>8</w:t>
      </w:r>
      <w:r>
        <w:fldChar w:fldCharType="end"/>
      </w:r>
      <w:r>
        <w:fldChar w:fldCharType="end"/>
      </w:r>
    </w:p>
    <w:p w14:paraId="300CBF4A">
      <w:pPr>
        <w:pStyle w:val="10"/>
        <w:rPr>
          <w:rFonts w:asciiTheme="minorHAnsi" w:hAnsiTheme="minorHAnsi" w:eastAsiaTheme="minorEastAsia" w:cstheme="minorBidi"/>
          <w:kern w:val="2"/>
          <w:sz w:val="21"/>
          <w:szCs w:val="22"/>
          <w:lang w:bidi="he-IL"/>
        </w:rPr>
      </w:pPr>
      <w:r>
        <w:fldChar w:fldCharType="begin"/>
      </w:r>
      <w:r>
        <w:instrText xml:space="preserve"> HYPERLINK \l "_Toc97371725" </w:instrText>
      </w:r>
      <w:r>
        <w:fldChar w:fldCharType="separate"/>
      </w:r>
      <w:r>
        <w:rPr>
          <w:rStyle w:val="15"/>
        </w:rPr>
        <w:t>B.</w:t>
      </w:r>
      <w:r>
        <w:rPr>
          <w:rFonts w:asciiTheme="minorHAnsi" w:hAnsiTheme="minorHAnsi" w:eastAsiaTheme="minorEastAsia" w:cstheme="minorBidi"/>
          <w:kern w:val="2"/>
          <w:sz w:val="21"/>
          <w:szCs w:val="22"/>
          <w:lang w:bidi="he-IL"/>
        </w:rPr>
        <w:tab/>
      </w:r>
      <w:r>
        <w:rPr>
          <w:rStyle w:val="15"/>
          <w:rFonts w:hint="eastAsia"/>
        </w:rPr>
        <w:t>通过新过程对新附件类型进行分类</w:t>
      </w:r>
      <w:r>
        <w:tab/>
      </w:r>
      <w:r>
        <w:fldChar w:fldCharType="begin"/>
      </w:r>
      <w:r>
        <w:instrText xml:space="preserve"> PAGEREF _Toc97371725 \h </w:instrText>
      </w:r>
      <w:r>
        <w:fldChar w:fldCharType="separate"/>
      </w:r>
      <w:r>
        <w:t>11</w:t>
      </w:r>
      <w:r>
        <w:fldChar w:fldCharType="end"/>
      </w:r>
      <w:r>
        <w:fldChar w:fldCharType="end"/>
      </w:r>
    </w:p>
    <w:p w14:paraId="7413372C">
      <w:pPr>
        <w:pStyle w:val="8"/>
        <w:rPr>
          <w:rFonts w:asciiTheme="minorHAnsi" w:hAnsiTheme="minorHAnsi" w:eastAsiaTheme="minorEastAsia" w:cstheme="minorBidi"/>
          <w:kern w:val="2"/>
          <w:sz w:val="21"/>
          <w:szCs w:val="22"/>
          <w:lang w:bidi="he-IL"/>
        </w:rPr>
      </w:pPr>
      <w:r>
        <w:fldChar w:fldCharType="begin"/>
      </w:r>
      <w:r>
        <w:instrText xml:space="preserve"> HYPERLINK \l "_Toc97371726" </w:instrText>
      </w:r>
      <w:r>
        <w:fldChar w:fldCharType="separate"/>
      </w:r>
      <w:r>
        <w:rPr>
          <w:rStyle w:val="15"/>
        </w:rPr>
        <w:t>VII.</w:t>
      </w:r>
      <w:r>
        <w:rPr>
          <w:rFonts w:asciiTheme="minorHAnsi" w:hAnsiTheme="minorHAnsi" w:eastAsiaTheme="minorEastAsia" w:cstheme="minorBidi"/>
          <w:kern w:val="2"/>
          <w:sz w:val="21"/>
          <w:szCs w:val="22"/>
          <w:lang w:bidi="he-IL"/>
        </w:rPr>
        <w:tab/>
      </w:r>
      <w:r>
        <w:rPr>
          <w:rStyle w:val="15"/>
        </w:rPr>
        <w:t>1995</w:t>
      </w:r>
      <w:r>
        <w:rPr>
          <w:rStyle w:val="15"/>
          <w:rFonts w:hint="eastAsia"/>
        </w:rPr>
        <w:t>年《文书削减法》</w:t>
      </w:r>
      <w:r>
        <w:tab/>
      </w:r>
      <w:r>
        <w:fldChar w:fldCharType="begin"/>
      </w:r>
      <w:r>
        <w:instrText xml:space="preserve"> PAGEREF _Toc97371726 \h </w:instrText>
      </w:r>
      <w:r>
        <w:fldChar w:fldCharType="separate"/>
      </w:r>
      <w:r>
        <w:t>12</w:t>
      </w:r>
      <w:r>
        <w:fldChar w:fldCharType="end"/>
      </w:r>
      <w:r>
        <w:fldChar w:fldCharType="end"/>
      </w:r>
    </w:p>
    <w:p w14:paraId="20388328">
      <w:pPr>
        <w:pStyle w:val="8"/>
        <w:rPr>
          <w:rFonts w:asciiTheme="minorHAnsi" w:hAnsiTheme="minorHAnsi" w:eastAsiaTheme="minorEastAsia" w:cstheme="minorBidi"/>
          <w:kern w:val="2"/>
          <w:sz w:val="21"/>
          <w:szCs w:val="22"/>
          <w:lang w:bidi="he-IL"/>
        </w:rPr>
      </w:pPr>
      <w:r>
        <w:fldChar w:fldCharType="begin"/>
      </w:r>
      <w:r>
        <w:instrText xml:space="preserve"> HYPERLINK \l "_Toc97371727" </w:instrText>
      </w:r>
      <w:r>
        <w:fldChar w:fldCharType="separate"/>
      </w:r>
      <w:r>
        <w:rPr>
          <w:rStyle w:val="15"/>
          <w:rFonts w:hint="eastAsia"/>
        </w:rPr>
        <w:t>附录</w:t>
      </w:r>
      <w:r>
        <w:rPr>
          <w:rStyle w:val="15"/>
        </w:rPr>
        <w:t xml:space="preserve">1 – </w:t>
      </w:r>
      <w:r>
        <w:rPr>
          <w:rStyle w:val="15"/>
          <w:rFonts w:hint="eastAsia"/>
        </w:rPr>
        <w:t>附件创新产品分类申请</w:t>
      </w:r>
      <w:r>
        <w:tab/>
      </w:r>
      <w:r>
        <w:fldChar w:fldCharType="begin"/>
      </w:r>
      <w:r>
        <w:instrText xml:space="preserve"> PAGEREF _Toc97371727 \h </w:instrText>
      </w:r>
      <w:r>
        <w:fldChar w:fldCharType="separate"/>
      </w:r>
      <w:r>
        <w:t>13</w:t>
      </w:r>
      <w:r>
        <w:fldChar w:fldCharType="end"/>
      </w:r>
      <w:r>
        <w:fldChar w:fldCharType="end"/>
      </w:r>
    </w:p>
    <w:p w14:paraId="6B3DE6AF">
      <w:pPr>
        <w:shd w:val="clear" w:color="auto" w:fill="FFFFFF"/>
        <w:topLinePunct/>
        <w:autoSpaceDE/>
        <w:autoSpaceDN/>
        <w:adjustRightInd/>
        <w:jc w:val="both"/>
        <w:rPr>
          <w:rFonts w:eastAsia="宋体"/>
          <w:sz w:val="24"/>
          <w:szCs w:val="24"/>
        </w:rPr>
      </w:pPr>
      <w:r>
        <w:rPr>
          <w:rFonts w:eastAsia="宋体"/>
          <w:sz w:val="24"/>
          <w:szCs w:val="24"/>
        </w:rPr>
        <w:fldChar w:fldCharType="end"/>
      </w:r>
    </w:p>
    <w:p w14:paraId="40C7BC50">
      <w:pPr>
        <w:widowControl/>
        <w:autoSpaceDE/>
        <w:autoSpaceDN/>
        <w:adjustRightInd/>
        <w:rPr>
          <w:rFonts w:eastAsia="宋体"/>
          <w:sz w:val="24"/>
          <w:szCs w:val="24"/>
        </w:rPr>
        <w:sectPr>
          <w:headerReference r:id="rId4" w:type="default"/>
          <w:footerReference r:id="rId5" w:type="default"/>
          <w:pgSz w:w="11909" w:h="16834"/>
          <w:pgMar w:top="1134" w:right="1134" w:bottom="1134" w:left="1418" w:header="567" w:footer="567" w:gutter="0"/>
          <w:pgNumType w:start="1"/>
          <w:cols w:space="60" w:num="1"/>
          <w:docGrid w:type="lines" w:linePitch="364" w:charSpace="0"/>
        </w:sectPr>
      </w:pPr>
    </w:p>
    <w:p w14:paraId="499022E7">
      <w:pPr>
        <w:pBdr>
          <w:bottom w:val="single" w:color="auto" w:sz="4" w:space="1"/>
        </w:pBdr>
        <w:shd w:val="clear" w:color="auto" w:fill="FFFFFF"/>
        <w:topLinePunct/>
        <w:autoSpaceDE/>
        <w:autoSpaceDN/>
        <w:adjustRightInd/>
        <w:jc w:val="center"/>
        <w:rPr>
          <w:rFonts w:eastAsia="宋体"/>
          <w:sz w:val="44"/>
          <w:szCs w:val="44"/>
        </w:rPr>
      </w:pPr>
      <w:r>
        <w:rPr>
          <w:rFonts w:eastAsia="宋体"/>
          <w:b/>
          <w:color w:val="000000"/>
          <w:sz w:val="44"/>
          <w:szCs w:val="44"/>
        </w:rPr>
        <w:t>医疗器械附件 - 说明附件和分类途径</w:t>
      </w:r>
    </w:p>
    <w:p w14:paraId="3997C997">
      <w:pPr>
        <w:shd w:val="clear" w:color="auto" w:fill="FFFFFF"/>
        <w:topLinePunct/>
        <w:autoSpaceDE/>
        <w:autoSpaceDN/>
        <w:adjustRightInd/>
        <w:jc w:val="center"/>
        <w:rPr>
          <w:rFonts w:eastAsia="宋体"/>
          <w:b/>
          <w:color w:val="000000"/>
          <w:sz w:val="44"/>
          <w:szCs w:val="44"/>
        </w:rPr>
      </w:pPr>
      <w:r>
        <w:rPr>
          <w:rFonts w:eastAsia="宋体"/>
          <w:b/>
          <w:color w:val="000000"/>
          <w:sz w:val="44"/>
          <w:szCs w:val="44"/>
        </w:rPr>
        <w:t>行业和美国食品药品监督管理局工作人员指南</w:t>
      </w:r>
    </w:p>
    <w:p w14:paraId="543473AD"/>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79A7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Borders>
              <w:top w:val="thinThickThinSmallGap" w:color="auto" w:sz="18" w:space="0"/>
              <w:left w:val="thinThickThinSmallGap" w:color="auto" w:sz="18" w:space="0"/>
              <w:bottom w:val="thinThickThinSmallGap" w:color="auto" w:sz="18" w:space="0"/>
              <w:right w:val="thinThickThinSmallGap" w:color="auto" w:sz="18" w:space="0"/>
            </w:tcBorders>
          </w:tcPr>
          <w:p w14:paraId="0F1D7F40">
            <w:pPr>
              <w:shd w:val="clear" w:color="auto" w:fill="FFFFFF"/>
              <w:topLinePunct/>
              <w:autoSpaceDE/>
              <w:autoSpaceDN/>
              <w:adjustRightInd/>
              <w:ind w:right="90" w:rightChars="45" w:firstLine="482" w:firstLineChars="200"/>
              <w:jc w:val="both"/>
              <w:rPr>
                <w:rFonts w:eastAsia="宋体"/>
                <w:sz w:val="24"/>
                <w:szCs w:val="24"/>
              </w:rPr>
            </w:pPr>
            <w:r>
              <w:rPr>
                <w:rFonts w:eastAsia="宋体"/>
                <w:b/>
                <w:i/>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256BBE4A">
      <w:pPr>
        <w:pStyle w:val="27"/>
        <w:snapToGrid/>
        <w:spacing w:before="0" w:beforeLines="0" w:after="0" w:afterLines="0"/>
      </w:pPr>
      <w:bookmarkStart w:id="0" w:name="_Toc97371716"/>
      <w:r>
        <w:t>引言</w:t>
      </w:r>
      <w:bookmarkEnd w:id="0"/>
    </w:p>
    <w:p w14:paraId="316FE8F0">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美国食品药品监督管理局（FDA）制定本文件，为行业和FDA工作人员提供有关医疗器械附件监管的指导。本指南旨在描述FDA的附件分类政策，并讨论该政策对通常作为其他医疗器械附件使用的器械的应用。此外，本指南解释了FDA通常认为</w:t>
      </w:r>
      <w:r>
        <w:rPr>
          <w:rFonts w:hint="eastAsia" w:eastAsia="宋体"/>
          <w:color w:val="000000"/>
          <w:sz w:val="24"/>
          <w:szCs w:val="24"/>
        </w:rPr>
        <w:t>属于</w:t>
      </w:r>
      <w:r>
        <w:rPr>
          <w:rFonts w:ascii="宋体" w:hAnsi="宋体" w:eastAsia="宋体"/>
          <w:color w:val="000000"/>
          <w:sz w:val="24"/>
          <w:szCs w:val="24"/>
        </w:rPr>
        <w:t>“</w:t>
      </w:r>
      <w:r>
        <w:rPr>
          <w:rFonts w:eastAsia="宋体"/>
          <w:color w:val="000000"/>
          <w:sz w:val="24"/>
          <w:szCs w:val="24"/>
        </w:rPr>
        <w:t>附件</w:t>
      </w:r>
      <w:r>
        <w:rPr>
          <w:rFonts w:ascii="宋体" w:hAnsi="宋体" w:eastAsia="宋体"/>
          <w:color w:val="000000"/>
          <w:sz w:val="24"/>
          <w:szCs w:val="24"/>
        </w:rPr>
        <w:t>”的器械类型</w:t>
      </w:r>
      <w:r>
        <w:rPr>
          <w:rFonts w:eastAsia="宋体"/>
          <w:color w:val="000000"/>
          <w:sz w:val="24"/>
          <w:szCs w:val="24"/>
        </w:rPr>
        <w:t>，并描述了《联邦食品、药品和化妆品法案》（《FD&amp;C法案》）第513(f)(6)节规定的程序，以对附件进行基于风险和监管控制的分类申请。</w:t>
      </w:r>
    </w:p>
    <w:p w14:paraId="7AA5A66F">
      <w:pPr>
        <w:shd w:val="clear" w:color="auto" w:fill="FFFFFF"/>
        <w:topLinePunct/>
        <w:autoSpaceDE/>
        <w:autoSpaceDN/>
        <w:adjustRightInd/>
        <w:ind w:firstLine="480" w:firstLineChars="200"/>
        <w:jc w:val="both"/>
        <w:rPr>
          <w:rFonts w:eastAsia="宋体"/>
          <w:color w:val="000000"/>
          <w:sz w:val="24"/>
          <w:szCs w:val="24"/>
        </w:rPr>
      </w:pPr>
    </w:p>
    <w:p w14:paraId="2D4800A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eastAsia="宋体"/>
          <w:color w:val="000000"/>
          <w:sz w:val="24"/>
          <w:szCs w:val="24"/>
        </w:rPr>
        <w:t>“</w:t>
      </w:r>
      <w:r>
        <w:rPr>
          <w:rFonts w:eastAsia="宋体"/>
          <w:i/>
          <w:iCs/>
          <w:color w:val="000000"/>
          <w:sz w:val="24"/>
          <w:szCs w:val="24"/>
        </w:rPr>
        <w:t>应</w:t>
      </w:r>
      <w:r>
        <w:rPr>
          <w:rFonts w:ascii="宋体" w:hAnsi="宋体" w:eastAsia="宋体"/>
          <w:color w:val="000000"/>
          <w:sz w:val="24"/>
          <w:szCs w:val="24"/>
        </w:rPr>
        <w:t>”</w:t>
      </w:r>
      <w:r>
        <w:rPr>
          <w:rFonts w:eastAsia="宋体"/>
          <w:color w:val="000000"/>
          <w:sz w:val="24"/>
          <w:szCs w:val="24"/>
        </w:rPr>
        <w:t>是指建议或推荐进行某一事项，并非强制要求</w:t>
      </w:r>
      <w:r>
        <w:rPr>
          <w:rFonts w:eastAsia="宋体"/>
          <w:sz w:val="24"/>
          <w:szCs w:val="24"/>
        </w:rPr>
        <w:t>。</w:t>
      </w:r>
    </w:p>
    <w:p w14:paraId="3FEEF120">
      <w:pPr>
        <w:shd w:val="clear" w:color="auto" w:fill="FFFFFF"/>
        <w:topLinePunct/>
        <w:autoSpaceDE/>
        <w:autoSpaceDN/>
        <w:adjustRightInd/>
        <w:ind w:firstLine="480" w:firstLineChars="200"/>
        <w:jc w:val="both"/>
        <w:rPr>
          <w:rFonts w:eastAsia="宋体"/>
          <w:color w:val="000000"/>
          <w:sz w:val="24"/>
          <w:szCs w:val="24"/>
        </w:rPr>
      </w:pPr>
    </w:p>
    <w:p w14:paraId="3E4EBD3F">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在本指南文件中，术语</w:t>
      </w:r>
      <w:r>
        <w:rPr>
          <w:rFonts w:ascii="宋体" w:hAnsi="宋体" w:eastAsia="宋体"/>
          <w:color w:val="000000"/>
          <w:sz w:val="24"/>
          <w:szCs w:val="24"/>
        </w:rPr>
        <w:t>“</w:t>
      </w:r>
      <w:r>
        <w:rPr>
          <w:rFonts w:eastAsia="宋体"/>
          <w:color w:val="000000"/>
          <w:sz w:val="24"/>
          <w:szCs w:val="24"/>
        </w:rPr>
        <w:t>我们</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我们的</w:t>
      </w:r>
      <w:r>
        <w:rPr>
          <w:rFonts w:ascii="宋体" w:hAnsi="宋体" w:eastAsia="宋体"/>
          <w:color w:val="000000"/>
          <w:sz w:val="24"/>
          <w:szCs w:val="24"/>
        </w:rPr>
        <w:t>”</w:t>
      </w:r>
      <w:r>
        <w:rPr>
          <w:rFonts w:eastAsia="宋体"/>
          <w:color w:val="000000"/>
          <w:sz w:val="24"/>
          <w:szCs w:val="24"/>
        </w:rPr>
        <w:t>均指FDA的医疗器械和辐射健康中心（CDRH）或生物制品评价与研究中心（CBER）参与附件分类过程审查和决策的FDA工作人员。</w:t>
      </w:r>
      <w:r>
        <w:rPr>
          <w:rFonts w:ascii="宋体" w:hAnsi="宋体" w:eastAsia="宋体"/>
          <w:color w:val="000000"/>
          <w:sz w:val="24"/>
          <w:szCs w:val="24"/>
        </w:rPr>
        <w:t>“</w:t>
      </w:r>
      <w:r>
        <w:rPr>
          <w:rFonts w:eastAsia="宋体"/>
          <w:color w:val="000000"/>
          <w:sz w:val="24"/>
          <w:szCs w:val="24"/>
        </w:rPr>
        <w:t>您</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您的</w:t>
      </w:r>
      <w:r>
        <w:rPr>
          <w:rFonts w:ascii="宋体" w:hAnsi="宋体" w:eastAsia="宋体"/>
          <w:color w:val="000000"/>
          <w:sz w:val="24"/>
          <w:szCs w:val="24"/>
        </w:rPr>
        <w:t>”</w:t>
      </w:r>
      <w:r>
        <w:rPr>
          <w:rFonts w:eastAsia="宋体"/>
          <w:color w:val="000000"/>
          <w:sz w:val="24"/>
          <w:szCs w:val="24"/>
        </w:rPr>
        <w:t>均指附件申请、创新产品分类和/或其他相关材料的提交者。</w:t>
      </w:r>
    </w:p>
    <w:p w14:paraId="6DBEEFE7">
      <w:pPr>
        <w:shd w:val="clear" w:color="auto" w:fill="FFFFFF"/>
        <w:topLinePunct/>
        <w:autoSpaceDE/>
        <w:autoSpaceDN/>
        <w:adjustRightInd/>
        <w:jc w:val="both"/>
        <w:rPr>
          <w:rFonts w:eastAsia="宋体"/>
          <w:sz w:val="24"/>
          <w:szCs w:val="24"/>
        </w:rPr>
      </w:pPr>
    </w:p>
    <w:p w14:paraId="51065ED6">
      <w:pPr>
        <w:widowControl/>
        <w:autoSpaceDE/>
        <w:autoSpaceDN/>
        <w:adjustRightInd/>
        <w:rPr>
          <w:rFonts w:eastAsia="宋体"/>
          <w:sz w:val="24"/>
          <w:szCs w:val="24"/>
        </w:rPr>
      </w:pPr>
      <w:r>
        <w:rPr>
          <w:rFonts w:eastAsia="宋体"/>
          <w:sz w:val="24"/>
          <w:szCs w:val="24"/>
        </w:rPr>
        <w:br w:type="page"/>
      </w:r>
    </w:p>
    <w:p w14:paraId="7C712390">
      <w:pPr>
        <w:pStyle w:val="26"/>
        <w:snapToGrid/>
        <w:spacing w:before="0" w:beforeLines="0" w:after="0" w:afterLines="0"/>
      </w:pPr>
      <w:bookmarkStart w:id="1" w:name="_Toc97371717"/>
      <w:r>
        <w:t>背景</w:t>
      </w:r>
      <w:bookmarkEnd w:id="1"/>
    </w:p>
    <w:p w14:paraId="1B6E33C4">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FDA有权管理这些附件，因为《FD&amp;C法案》第201(h)节规定的术语</w:t>
      </w:r>
      <w:r>
        <w:rPr>
          <w:rFonts w:ascii="宋体" w:hAnsi="宋体" w:eastAsia="宋体"/>
          <w:color w:val="000000"/>
          <w:sz w:val="24"/>
          <w:szCs w:val="24"/>
        </w:rPr>
        <w:t>“</w:t>
      </w:r>
      <w:r>
        <w:rPr>
          <w:rFonts w:eastAsia="宋体"/>
          <w:color w:val="000000"/>
          <w:sz w:val="24"/>
          <w:szCs w:val="24"/>
        </w:rPr>
        <w:t>器械</w:t>
      </w:r>
      <w:r>
        <w:rPr>
          <w:rFonts w:ascii="宋体" w:hAnsi="宋体" w:eastAsia="宋体"/>
          <w:color w:val="000000"/>
          <w:sz w:val="24"/>
          <w:szCs w:val="24"/>
        </w:rPr>
        <w:t>”</w:t>
      </w:r>
      <w:r>
        <w:rPr>
          <w:rFonts w:eastAsia="宋体"/>
          <w:color w:val="000000"/>
          <w:sz w:val="24"/>
          <w:szCs w:val="24"/>
        </w:rPr>
        <w:t>包括其他产品中的</w:t>
      </w:r>
      <w:r>
        <w:rPr>
          <w:rFonts w:ascii="宋体" w:hAnsi="宋体" w:eastAsia="宋体"/>
          <w:color w:val="000000"/>
          <w:sz w:val="24"/>
          <w:szCs w:val="24"/>
        </w:rPr>
        <w:t>“</w:t>
      </w:r>
      <w:r>
        <w:rPr>
          <w:rFonts w:eastAsia="宋体"/>
          <w:color w:val="000000"/>
          <w:sz w:val="24"/>
          <w:szCs w:val="24"/>
        </w:rPr>
        <w:t>附件</w:t>
      </w:r>
      <w:r>
        <w:rPr>
          <w:rFonts w:ascii="宋体" w:hAnsi="宋体" w:eastAsia="宋体"/>
          <w:color w:val="000000"/>
          <w:sz w:val="24"/>
          <w:szCs w:val="24"/>
        </w:rPr>
        <w:t>”</w:t>
      </w:r>
      <w:r>
        <w:rPr>
          <w:rFonts w:eastAsia="宋体"/>
          <w:color w:val="000000"/>
          <w:sz w:val="24"/>
          <w:szCs w:val="24"/>
        </w:rPr>
        <w:t>。</w:t>
      </w:r>
    </w:p>
    <w:p w14:paraId="4CA53BC1">
      <w:pPr>
        <w:shd w:val="clear" w:color="auto" w:fill="FFFFFF"/>
        <w:topLinePunct/>
        <w:autoSpaceDE/>
        <w:autoSpaceDN/>
        <w:adjustRightInd/>
        <w:ind w:left="400" w:leftChars="200" w:firstLine="480" w:firstLineChars="200"/>
        <w:jc w:val="both"/>
        <w:rPr>
          <w:rFonts w:eastAsia="宋体"/>
          <w:color w:val="000000"/>
          <w:sz w:val="24"/>
          <w:szCs w:val="24"/>
        </w:rPr>
      </w:pPr>
    </w:p>
    <w:p w14:paraId="6DC4A1C5">
      <w:pPr>
        <w:shd w:val="clear" w:color="auto" w:fill="FFFFFF"/>
        <w:topLinePunct/>
        <w:autoSpaceDE/>
        <w:autoSpaceDN/>
        <w:adjustRightInd/>
        <w:ind w:left="400" w:leftChars="200" w:firstLine="480" w:firstLineChars="200"/>
        <w:jc w:val="both"/>
        <w:rPr>
          <w:rFonts w:eastAsia="宋体"/>
          <w:color w:val="000000"/>
          <w:sz w:val="24"/>
          <w:szCs w:val="24"/>
        </w:rPr>
      </w:pPr>
      <w:r>
        <w:rPr>
          <w:rFonts w:ascii="宋体" w:hAnsi="宋体" w:eastAsia="宋体"/>
          <w:color w:val="000000"/>
          <w:sz w:val="24"/>
          <w:szCs w:val="24"/>
        </w:rPr>
        <w:t>“</w:t>
      </w:r>
      <w:r>
        <w:rPr>
          <w:rFonts w:eastAsia="宋体"/>
          <w:color w:val="000000"/>
          <w:sz w:val="24"/>
          <w:szCs w:val="24"/>
        </w:rPr>
        <w:t>器械</w:t>
      </w:r>
      <w:r>
        <w:rPr>
          <w:rFonts w:ascii="宋体" w:hAnsi="宋体" w:eastAsia="宋体"/>
          <w:color w:val="000000"/>
          <w:sz w:val="24"/>
          <w:szCs w:val="24"/>
        </w:rPr>
        <w:t>”</w:t>
      </w:r>
      <w:r>
        <w:rPr>
          <w:rFonts w:eastAsia="宋体"/>
          <w:color w:val="000000"/>
          <w:sz w:val="24"/>
          <w:szCs w:val="24"/>
        </w:rPr>
        <w:t>一词意为仪器、器具、机具、机器、器件、植入物、体外诊断试剂、或其它相似或相关物品，包括任何组件、配件、或附件，具体为：</w:t>
      </w:r>
    </w:p>
    <w:p w14:paraId="79F240DD">
      <w:pPr>
        <w:shd w:val="clear" w:color="auto" w:fill="FFFFFF"/>
        <w:topLinePunct/>
        <w:autoSpaceDE/>
        <w:autoSpaceDN/>
        <w:adjustRightInd/>
        <w:ind w:left="400" w:leftChars="200" w:firstLine="480" w:firstLineChars="200"/>
        <w:jc w:val="both"/>
        <w:rPr>
          <w:rFonts w:eastAsia="宋体"/>
          <w:sz w:val="24"/>
          <w:szCs w:val="24"/>
        </w:rPr>
      </w:pPr>
    </w:p>
    <w:p w14:paraId="2B7EEBEB">
      <w:pPr>
        <w:numPr>
          <w:ilvl w:val="0"/>
          <w:numId w:val="2"/>
        </w:numPr>
        <w:shd w:val="clear" w:color="auto" w:fill="FFFFFF"/>
        <w:topLinePunct/>
        <w:autoSpaceDE/>
        <w:autoSpaceDN/>
        <w:adjustRightInd/>
        <w:ind w:left="1520" w:leftChars="400" w:hanging="720" w:hangingChars="300"/>
        <w:jc w:val="both"/>
        <w:rPr>
          <w:rFonts w:eastAsia="宋体"/>
          <w:color w:val="000000"/>
          <w:sz w:val="24"/>
          <w:szCs w:val="24"/>
        </w:rPr>
      </w:pPr>
      <w:r>
        <w:rPr>
          <w:rFonts w:eastAsia="宋体"/>
          <w:color w:val="000000"/>
          <w:sz w:val="24"/>
          <w:szCs w:val="24"/>
        </w:rPr>
        <w:t>由官方国家处方局或美国药典或其两者的增补内容认定项；</w:t>
      </w:r>
    </w:p>
    <w:p w14:paraId="3F2D58D5">
      <w:pPr>
        <w:numPr>
          <w:ilvl w:val="0"/>
          <w:numId w:val="2"/>
        </w:numPr>
        <w:shd w:val="clear" w:color="auto" w:fill="FFFFFF"/>
        <w:topLinePunct/>
        <w:autoSpaceDE/>
        <w:autoSpaceDN/>
        <w:adjustRightInd/>
        <w:ind w:left="1520" w:leftChars="400" w:hanging="720" w:hangingChars="300"/>
        <w:jc w:val="both"/>
        <w:rPr>
          <w:rFonts w:eastAsia="宋体"/>
          <w:color w:val="000000"/>
          <w:sz w:val="24"/>
          <w:szCs w:val="24"/>
        </w:rPr>
      </w:pPr>
      <w:r>
        <w:rPr>
          <w:rFonts w:eastAsia="宋体"/>
          <w:color w:val="000000"/>
          <w:sz w:val="24"/>
          <w:szCs w:val="24"/>
        </w:rPr>
        <w:t>预期用于诊断疾病或其他症状，或用于治愈、缓解、治疗或预防人类或其他动物的疾病；或者</w:t>
      </w:r>
    </w:p>
    <w:p w14:paraId="49B5C1A3">
      <w:pPr>
        <w:numPr>
          <w:ilvl w:val="0"/>
          <w:numId w:val="2"/>
        </w:numPr>
        <w:shd w:val="clear" w:color="auto" w:fill="FFFFFF"/>
        <w:topLinePunct/>
        <w:autoSpaceDE/>
        <w:autoSpaceDN/>
        <w:adjustRightInd/>
        <w:ind w:left="1520" w:leftChars="400" w:hanging="720" w:hangingChars="300"/>
        <w:jc w:val="both"/>
        <w:rPr>
          <w:rFonts w:eastAsia="宋体"/>
          <w:color w:val="000000"/>
          <w:sz w:val="24"/>
          <w:szCs w:val="24"/>
        </w:rPr>
      </w:pPr>
      <w:r>
        <w:rPr>
          <w:rFonts w:eastAsia="宋体"/>
          <w:color w:val="000000"/>
          <w:sz w:val="24"/>
          <w:szCs w:val="24"/>
        </w:rPr>
        <w:t>预期影响人类或其他动物身体结构或任何机能；以及</w:t>
      </w:r>
    </w:p>
    <w:p w14:paraId="5DAF51C0">
      <w:pPr>
        <w:shd w:val="clear" w:color="auto" w:fill="FFFFFF"/>
        <w:topLinePunct/>
        <w:autoSpaceDE/>
        <w:autoSpaceDN/>
        <w:adjustRightInd/>
        <w:ind w:left="400" w:leftChars="200" w:firstLine="480" w:firstLineChars="200"/>
        <w:jc w:val="both"/>
        <w:rPr>
          <w:rFonts w:eastAsia="宋体"/>
          <w:color w:val="000000"/>
          <w:sz w:val="24"/>
          <w:szCs w:val="24"/>
        </w:rPr>
      </w:pPr>
    </w:p>
    <w:p w14:paraId="5CD27762">
      <w:pPr>
        <w:shd w:val="clear" w:color="auto" w:fill="FFFFFF"/>
        <w:topLinePunct/>
        <w:autoSpaceDE/>
        <w:autoSpaceDN/>
        <w:adjustRightInd/>
        <w:ind w:left="400" w:leftChars="200" w:firstLine="480" w:firstLineChars="200"/>
        <w:jc w:val="both"/>
        <w:rPr>
          <w:rFonts w:eastAsia="宋体"/>
          <w:color w:val="000000"/>
          <w:sz w:val="24"/>
          <w:szCs w:val="24"/>
        </w:rPr>
      </w:pPr>
      <w:r>
        <w:rPr>
          <w:rFonts w:eastAsia="宋体"/>
          <w:color w:val="000000"/>
          <w:sz w:val="24"/>
          <w:szCs w:val="24"/>
        </w:rPr>
        <w:t>不依赖人体或其他动物体内或身体上的化学作用达到其主要预期用途，也不依赖代谢来满足其主要预期用途。</w:t>
      </w:r>
    </w:p>
    <w:p w14:paraId="29E00925">
      <w:pPr>
        <w:shd w:val="clear" w:color="auto" w:fill="FFFFFF"/>
        <w:topLinePunct/>
        <w:autoSpaceDE/>
        <w:autoSpaceDN/>
        <w:adjustRightInd/>
        <w:ind w:left="400" w:leftChars="200" w:firstLine="480" w:firstLineChars="200"/>
        <w:jc w:val="both"/>
        <w:rPr>
          <w:rFonts w:eastAsia="宋体"/>
          <w:sz w:val="24"/>
          <w:szCs w:val="24"/>
        </w:rPr>
      </w:pPr>
    </w:p>
    <w:p w14:paraId="113ADD6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所有符合上述</w:t>
      </w:r>
      <w:r>
        <w:rPr>
          <w:rFonts w:ascii="宋体" w:hAnsi="宋体" w:eastAsia="宋体"/>
          <w:color w:val="000000"/>
          <w:sz w:val="24"/>
          <w:szCs w:val="24"/>
        </w:rPr>
        <w:t>“</w:t>
      </w:r>
      <w:r>
        <w:rPr>
          <w:rFonts w:eastAsia="宋体"/>
          <w:color w:val="000000"/>
          <w:sz w:val="24"/>
          <w:szCs w:val="24"/>
        </w:rPr>
        <w:t>器械</w:t>
      </w:r>
      <w:r>
        <w:rPr>
          <w:rFonts w:ascii="宋体" w:hAnsi="宋体" w:eastAsia="宋体"/>
          <w:color w:val="000000"/>
          <w:sz w:val="24"/>
          <w:szCs w:val="24"/>
        </w:rPr>
        <w:t>”</w:t>
      </w:r>
      <w:r>
        <w:rPr>
          <w:rFonts w:eastAsia="宋体"/>
          <w:color w:val="000000"/>
          <w:sz w:val="24"/>
          <w:szCs w:val="24"/>
        </w:rPr>
        <w:t>定义的物品（包括附件）均受《FD&amp;C法案》的监管。因此，本指南描述了FDA通常认为属于附件的器械类型，并讨论了这些附件基于风险和监管控制的分类范例。这些信息有望为附件分类提供更高透明度，并将帮助FDA工作人员和行业确保这些器械受到FDA适当水平的监管监督。</w:t>
      </w:r>
    </w:p>
    <w:p w14:paraId="12CB947B">
      <w:pPr>
        <w:shd w:val="clear" w:color="auto" w:fill="FFFFFF"/>
        <w:topLinePunct/>
        <w:autoSpaceDE/>
        <w:autoSpaceDN/>
        <w:adjustRightInd/>
        <w:ind w:firstLine="480" w:firstLineChars="200"/>
        <w:jc w:val="both"/>
        <w:rPr>
          <w:rFonts w:eastAsia="宋体"/>
          <w:color w:val="000000"/>
          <w:sz w:val="24"/>
          <w:szCs w:val="24"/>
        </w:rPr>
      </w:pPr>
    </w:p>
    <w:p w14:paraId="1A4C29A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传统上，FDA确定器械附件类型的分类采取以下两种方式之一：</w:t>
      </w:r>
    </w:p>
    <w:p w14:paraId="270BE377">
      <w:pPr>
        <w:shd w:val="clear" w:color="auto" w:fill="FFFFFF"/>
        <w:topLinePunct/>
        <w:autoSpaceDE/>
        <w:autoSpaceDN/>
        <w:adjustRightInd/>
        <w:ind w:firstLine="480" w:firstLineChars="200"/>
        <w:jc w:val="both"/>
        <w:rPr>
          <w:rFonts w:eastAsia="宋体"/>
          <w:sz w:val="24"/>
          <w:szCs w:val="24"/>
        </w:rPr>
      </w:pPr>
    </w:p>
    <w:p w14:paraId="76E6F42F">
      <w:pPr>
        <w:pStyle w:val="21"/>
        <w:numPr>
          <w:ilvl w:val="0"/>
          <w:numId w:val="3"/>
        </w:numPr>
        <w:shd w:val="clear" w:color="auto" w:fill="FFFFFF"/>
        <w:topLinePunct/>
        <w:autoSpaceDE/>
        <w:autoSpaceDN/>
        <w:adjustRightInd/>
        <w:ind w:left="704" w:leftChars="100" w:hanging="504" w:hangingChars="210"/>
        <w:jc w:val="both"/>
        <w:rPr>
          <w:rFonts w:eastAsia="宋体"/>
          <w:sz w:val="24"/>
          <w:szCs w:val="24"/>
        </w:rPr>
      </w:pPr>
      <w:r>
        <w:rPr>
          <w:rFonts w:eastAsia="宋体"/>
          <w:i/>
          <w:color w:val="000000"/>
          <w:sz w:val="24"/>
          <w:szCs w:val="24"/>
        </w:rPr>
        <w:t>首先，通过纳入与父器械相同的分类，可以是：</w:t>
      </w:r>
    </w:p>
    <w:p w14:paraId="0E22093A">
      <w:pPr>
        <w:pStyle w:val="21"/>
        <w:shd w:val="clear" w:color="auto" w:fill="FFFFFF"/>
        <w:topLinePunct/>
        <w:autoSpaceDE/>
        <w:autoSpaceDN/>
        <w:adjustRightInd/>
        <w:ind w:left="1273" w:firstLine="0" w:firstLineChars="0"/>
        <w:jc w:val="both"/>
        <w:rPr>
          <w:rFonts w:eastAsia="宋体"/>
          <w:sz w:val="24"/>
          <w:szCs w:val="24"/>
        </w:rPr>
      </w:pPr>
    </w:p>
    <w:p w14:paraId="1532AD55">
      <w:pPr>
        <w:pStyle w:val="21"/>
        <w:numPr>
          <w:ilvl w:val="0"/>
          <w:numId w:val="4"/>
        </w:numPr>
        <w:shd w:val="clear" w:color="auto" w:fill="FFFFFF"/>
        <w:topLinePunct/>
        <w:autoSpaceDE/>
        <w:autoSpaceDN/>
        <w:adjustRightInd/>
        <w:ind w:left="1272" w:leftChars="424" w:hanging="424" w:hangingChars="177"/>
        <w:jc w:val="both"/>
        <w:rPr>
          <w:rFonts w:eastAsia="宋体"/>
          <w:sz w:val="24"/>
          <w:szCs w:val="24"/>
        </w:rPr>
      </w:pPr>
      <w:r>
        <w:rPr>
          <w:rFonts w:eastAsia="宋体"/>
          <w:i/>
          <w:sz w:val="24"/>
          <w:szCs w:val="24"/>
        </w:rPr>
        <w:t>（1）通过510(k)上市前通知许可操作</w:t>
      </w:r>
      <w:r>
        <w:rPr>
          <w:rFonts w:eastAsia="宋体"/>
          <w:sz w:val="24"/>
          <w:szCs w:val="24"/>
        </w:rPr>
        <w:t>。</w:t>
      </w:r>
      <w:r>
        <w:rPr>
          <w:rFonts w:eastAsia="宋体"/>
          <w:color w:val="000000"/>
          <w:sz w:val="24"/>
          <w:szCs w:val="24"/>
        </w:rPr>
        <w:t>在该情况下，分类法规的名称仅识别父器械。然而，FDA可通过510(k)申请发现父器械的附件实质等同于具有相同预期用途和技术特征的同品种父器械，或未引起不同安全性和有效性问题的不同技术特征，或之前已根据父器械的分类法规批准的具有相同预期用途和技术特征的同品种附件，或未引起不同安全性和有效性问题的不同技术特征。因此，这些附件将归入与父器械相同的分类。同样，当父器械分类法规仅识别某些附件，FDA可通过委托方的510(k)申请来确定更多附件归入该法规，证明带新附件的父器械实质等同于带同品种附件的父器械。</w:t>
      </w:r>
    </w:p>
    <w:p w14:paraId="1139322A">
      <w:pPr>
        <w:pStyle w:val="21"/>
        <w:numPr>
          <w:ilvl w:val="0"/>
          <w:numId w:val="4"/>
        </w:numPr>
        <w:shd w:val="clear" w:color="auto" w:fill="FFFFFF"/>
        <w:topLinePunct/>
        <w:autoSpaceDE/>
        <w:autoSpaceDN/>
        <w:adjustRightInd/>
        <w:ind w:left="1272" w:leftChars="424" w:hanging="424" w:hangingChars="177"/>
        <w:jc w:val="both"/>
        <w:rPr>
          <w:rFonts w:eastAsia="宋体"/>
          <w:i/>
          <w:sz w:val="24"/>
          <w:szCs w:val="24"/>
        </w:rPr>
      </w:pPr>
      <w:r>
        <w:rPr>
          <w:rFonts w:eastAsia="宋体"/>
          <w:i/>
          <w:sz w:val="24"/>
          <w:szCs w:val="24"/>
        </w:rPr>
        <w:br w:type="page"/>
      </w:r>
    </w:p>
    <w:p w14:paraId="4AC8A400">
      <w:pPr>
        <w:pStyle w:val="21"/>
        <w:shd w:val="clear" w:color="auto" w:fill="FFFFFF"/>
        <w:topLinePunct/>
        <w:autoSpaceDE/>
        <w:autoSpaceDN/>
        <w:adjustRightInd/>
        <w:ind w:left="1273" w:firstLine="0" w:firstLineChars="0"/>
        <w:jc w:val="both"/>
        <w:rPr>
          <w:rFonts w:eastAsia="宋体"/>
          <w:sz w:val="24"/>
          <w:szCs w:val="24"/>
        </w:rPr>
      </w:pPr>
    </w:p>
    <w:p w14:paraId="54304BE7">
      <w:pPr>
        <w:pStyle w:val="21"/>
        <w:numPr>
          <w:ilvl w:val="0"/>
          <w:numId w:val="4"/>
        </w:numPr>
        <w:shd w:val="clear" w:color="auto" w:fill="FFFFFF"/>
        <w:topLinePunct/>
        <w:autoSpaceDE/>
        <w:autoSpaceDN/>
        <w:adjustRightInd/>
        <w:ind w:left="1272" w:leftChars="424" w:hanging="424" w:hangingChars="177"/>
        <w:jc w:val="both"/>
        <w:rPr>
          <w:rFonts w:eastAsia="宋体"/>
          <w:sz w:val="24"/>
          <w:szCs w:val="24"/>
        </w:rPr>
      </w:pPr>
      <w:r>
        <w:rPr>
          <w:rFonts w:eastAsia="宋体"/>
          <w:i/>
          <w:sz w:val="24"/>
          <w:szCs w:val="24"/>
        </w:rPr>
        <w:t>（2）通过上市前批准申请（PMA）操作</w:t>
      </w:r>
      <w:r>
        <w:rPr>
          <w:rFonts w:eastAsia="宋体"/>
          <w:sz w:val="24"/>
          <w:szCs w:val="24"/>
        </w:rPr>
        <w:t>。</w:t>
      </w:r>
      <w:r>
        <w:rPr>
          <w:rFonts w:eastAsia="宋体"/>
          <w:color w:val="000000"/>
          <w:sz w:val="24"/>
          <w:szCs w:val="24"/>
        </w:rPr>
        <w:t>已</w:t>
      </w:r>
      <w:r>
        <w:rPr>
          <w:rFonts w:eastAsia="宋体"/>
          <w:i/>
          <w:color w:val="000000"/>
          <w:sz w:val="24"/>
          <w:szCs w:val="24"/>
        </w:rPr>
        <w:t>获批</w:t>
      </w:r>
      <w:r>
        <w:rPr>
          <w:rFonts w:eastAsia="宋体"/>
          <w:color w:val="000000"/>
          <w:sz w:val="24"/>
          <w:szCs w:val="24"/>
        </w:rPr>
        <w:t>III类器械的附件也可在PMA中得到批准，在该情况下，这些附件将与父器械一起保持在III类；或者</w:t>
      </w:r>
    </w:p>
    <w:p w14:paraId="0E487B1B">
      <w:pPr>
        <w:pStyle w:val="21"/>
        <w:shd w:val="clear" w:color="auto" w:fill="FFFFFF"/>
        <w:topLinePunct/>
        <w:autoSpaceDE/>
        <w:autoSpaceDN/>
        <w:adjustRightInd/>
        <w:ind w:left="1273" w:firstLine="0" w:firstLineChars="0"/>
        <w:jc w:val="both"/>
        <w:rPr>
          <w:rFonts w:eastAsia="宋体"/>
          <w:sz w:val="24"/>
          <w:szCs w:val="24"/>
        </w:rPr>
      </w:pPr>
    </w:p>
    <w:p w14:paraId="5BDCB555">
      <w:pPr>
        <w:pStyle w:val="21"/>
        <w:numPr>
          <w:ilvl w:val="0"/>
          <w:numId w:val="4"/>
        </w:numPr>
        <w:shd w:val="clear" w:color="auto" w:fill="FFFFFF"/>
        <w:topLinePunct/>
        <w:autoSpaceDE/>
        <w:autoSpaceDN/>
        <w:adjustRightInd/>
        <w:ind w:left="1272" w:leftChars="424" w:hanging="424" w:hangingChars="177"/>
        <w:jc w:val="both"/>
        <w:rPr>
          <w:rFonts w:eastAsia="宋体"/>
          <w:sz w:val="24"/>
          <w:szCs w:val="24"/>
        </w:rPr>
      </w:pPr>
      <w:r>
        <w:rPr>
          <w:rFonts w:eastAsia="宋体"/>
          <w:i/>
          <w:sz w:val="24"/>
          <w:szCs w:val="24"/>
        </w:rPr>
        <w:t>（3）通过明确纳入父器械的分类法规</w:t>
      </w:r>
      <w:r>
        <w:rPr>
          <w:rStyle w:val="17"/>
          <w:rFonts w:eastAsia="宋体"/>
          <w:i/>
          <w:sz w:val="24"/>
          <w:szCs w:val="24"/>
        </w:rPr>
        <w:footnoteReference w:id="0"/>
      </w:r>
      <w:r>
        <w:rPr>
          <w:rFonts w:eastAsia="宋体"/>
          <w:i/>
          <w:sz w:val="24"/>
          <w:szCs w:val="24"/>
        </w:rPr>
        <w:t>或创新产品分类命令</w:t>
      </w:r>
      <w:r>
        <w:rPr>
          <w:rStyle w:val="17"/>
          <w:rFonts w:eastAsia="宋体"/>
          <w:i/>
          <w:sz w:val="24"/>
          <w:szCs w:val="24"/>
        </w:rPr>
        <w:footnoteReference w:id="1"/>
      </w:r>
      <w:r>
        <w:rPr>
          <w:rFonts w:eastAsia="宋体"/>
          <w:i/>
          <w:sz w:val="24"/>
          <w:szCs w:val="24"/>
        </w:rPr>
        <w:t>。</w:t>
      </w:r>
      <w:r>
        <w:rPr>
          <w:rFonts w:eastAsia="宋体"/>
          <w:color w:val="000000"/>
          <w:sz w:val="24"/>
          <w:szCs w:val="24"/>
        </w:rPr>
        <w:t>在该情况下，分类法规的标题应具体引用父器械类型和相应附件的名称。这些分类法规或命令通常将附件置于与父器械相同的基于风险和监管控制的分类中（例如，I类、II类或III类），但有时会将附件归入基于风险和监管控制的不同分类。</w:t>
      </w:r>
    </w:p>
    <w:p w14:paraId="0DA76BE4">
      <w:pPr>
        <w:pStyle w:val="21"/>
        <w:shd w:val="clear" w:color="auto" w:fill="FFFFFF"/>
        <w:topLinePunct/>
        <w:autoSpaceDE/>
        <w:autoSpaceDN/>
        <w:adjustRightInd/>
        <w:ind w:left="704" w:firstLine="0" w:firstLineChars="0"/>
        <w:jc w:val="both"/>
        <w:rPr>
          <w:rFonts w:eastAsia="宋体"/>
          <w:sz w:val="24"/>
          <w:szCs w:val="24"/>
        </w:rPr>
      </w:pPr>
    </w:p>
    <w:p w14:paraId="3D25649B">
      <w:pPr>
        <w:pStyle w:val="21"/>
        <w:numPr>
          <w:ilvl w:val="0"/>
          <w:numId w:val="3"/>
        </w:numPr>
        <w:shd w:val="clear" w:color="auto" w:fill="FFFFFF"/>
        <w:topLinePunct/>
        <w:autoSpaceDE/>
        <w:autoSpaceDN/>
        <w:adjustRightInd/>
        <w:ind w:left="704" w:leftChars="100" w:hanging="504" w:hangingChars="210"/>
        <w:jc w:val="both"/>
        <w:rPr>
          <w:rFonts w:eastAsia="宋体"/>
          <w:sz w:val="24"/>
          <w:szCs w:val="24"/>
        </w:rPr>
      </w:pPr>
      <w:r>
        <w:rPr>
          <w:rFonts w:eastAsia="宋体"/>
          <w:i/>
          <w:color w:val="000000"/>
          <w:sz w:val="24"/>
          <w:szCs w:val="24"/>
        </w:rPr>
        <w:t>其次，通过为附件发布独家单一分类法规</w:t>
      </w:r>
      <w:r>
        <w:rPr>
          <w:rFonts w:eastAsia="宋体"/>
          <w:sz w:val="24"/>
          <w:szCs w:val="24"/>
        </w:rPr>
        <w:t>。</w:t>
      </w:r>
      <w:r>
        <w:rPr>
          <w:rFonts w:eastAsia="宋体"/>
          <w:color w:val="000000"/>
          <w:sz w:val="24"/>
          <w:szCs w:val="24"/>
        </w:rPr>
        <w:t>在该情况下，FDA已决定附件的分类法规应与相应父器械的分类法规分离。传统上可将该分类类型视为可与多个父器械联合使用或具有独特独立功能的附件类型。根据第二种方式，FDA可考虑为特定类别的附件发布单独分类法规，这些附件被认定为具有与父器械不同的风险特征，因此需要不同程度的监管控制，以合理保证附件的安全性和有效性。</w:t>
      </w:r>
    </w:p>
    <w:p w14:paraId="6AE2BC54">
      <w:pPr>
        <w:shd w:val="clear" w:color="auto" w:fill="FFFFFF"/>
        <w:topLinePunct/>
        <w:autoSpaceDE/>
        <w:autoSpaceDN/>
        <w:adjustRightInd/>
        <w:ind w:firstLine="480" w:firstLineChars="200"/>
        <w:jc w:val="both"/>
        <w:rPr>
          <w:rFonts w:eastAsia="宋体"/>
          <w:color w:val="000000"/>
          <w:sz w:val="24"/>
          <w:szCs w:val="24"/>
        </w:rPr>
      </w:pPr>
    </w:p>
    <w:p w14:paraId="5E91694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2017年8月18日，《2017年FDA再授权法案》（公法115-52）对《FD&amp;C法案》第513(f)节进行了修订，规定</w:t>
      </w:r>
      <w:r>
        <w:rPr>
          <w:rFonts w:ascii="宋体" w:hAnsi="宋体" w:eastAsia="宋体"/>
          <w:color w:val="000000"/>
          <w:sz w:val="24"/>
          <w:szCs w:val="24"/>
        </w:rPr>
        <w:t>“</w:t>
      </w:r>
      <w:r>
        <w:rPr>
          <w:rFonts w:eastAsia="宋体"/>
          <w:color w:val="000000"/>
          <w:sz w:val="24"/>
          <w:szCs w:val="24"/>
        </w:rPr>
        <w:t>部长应依据附件在按预期用途使用时的风险以及为附件的安全性和有效性提供合理保证所需的监管控制水平......根据[第513节]对附件进行分类，尽管此类附件具有预期与任何其他器械联合使用的分类。</w:t>
      </w:r>
      <w:r>
        <w:rPr>
          <w:rFonts w:ascii="宋体" w:hAnsi="宋体" w:eastAsia="宋体"/>
          <w:color w:val="000000"/>
          <w:sz w:val="24"/>
          <w:szCs w:val="24"/>
        </w:rPr>
        <w:t>”</w:t>
      </w:r>
      <w:r>
        <w:rPr>
          <w:rFonts w:eastAsia="宋体"/>
          <w:color w:val="000000"/>
          <w:sz w:val="24"/>
          <w:szCs w:val="24"/>
        </w:rPr>
        <w:t>因此，附属器械的分类与非附属器械的分类一样，应反映该器械在按预期用途使用时的风险，以及为其安全性和有效性提供合理保证所需的监管控制水平。当附件按预期用途与父器械联合使用且符合父器械类别所属标准时，适合将该附件归入与其父器械相同的类别。然而，一些附件的风险状况可能低于其父器械的风险状况，因此，可能需要在较低等级中进行监管。例如，III类父器械的附件可能构成较低风险，可通过一般控制或一般与特殊控制进行缓解，因此可作为I类或II类进行监管。</w:t>
      </w:r>
    </w:p>
    <w:p w14:paraId="197D96C9">
      <w:pPr>
        <w:shd w:val="clear" w:color="auto" w:fill="FFFFFF"/>
        <w:topLinePunct/>
        <w:autoSpaceDE/>
        <w:autoSpaceDN/>
        <w:adjustRightInd/>
        <w:ind w:left="480" w:hanging="480" w:hangingChars="200"/>
        <w:jc w:val="both"/>
        <w:rPr>
          <w:rFonts w:eastAsia="宋体"/>
          <w:sz w:val="24"/>
          <w:szCs w:val="24"/>
        </w:rPr>
      </w:pPr>
    </w:p>
    <w:p w14:paraId="192CA763">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611E3E41">
      <w:pPr>
        <w:pStyle w:val="26"/>
        <w:snapToGrid/>
        <w:spacing w:before="0" w:beforeLines="0" w:after="0" w:afterLines="0"/>
      </w:pPr>
      <w:bookmarkStart w:id="2" w:name="_Toc97371718"/>
      <w:r>
        <w:t>范围</w:t>
      </w:r>
      <w:bookmarkEnd w:id="2"/>
    </w:p>
    <w:p w14:paraId="604733C7">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本指南文件描述了FDA通常视为</w:t>
      </w:r>
      <w:r>
        <w:rPr>
          <w:rFonts w:ascii="宋体" w:hAnsi="宋体" w:eastAsia="宋体"/>
          <w:color w:val="000000"/>
          <w:sz w:val="24"/>
          <w:szCs w:val="24"/>
        </w:rPr>
        <w:t>“</w:t>
      </w:r>
      <w:r>
        <w:rPr>
          <w:rFonts w:eastAsia="宋体"/>
          <w:color w:val="000000"/>
          <w:sz w:val="24"/>
          <w:szCs w:val="24"/>
        </w:rPr>
        <w:t>附件</w:t>
      </w:r>
      <w:r>
        <w:rPr>
          <w:rFonts w:ascii="宋体" w:hAnsi="宋体" w:eastAsia="宋体"/>
          <w:color w:val="000000"/>
          <w:sz w:val="24"/>
          <w:szCs w:val="24"/>
        </w:rPr>
        <w:t>”</w:t>
      </w:r>
      <w:r>
        <w:rPr>
          <w:rFonts w:eastAsia="宋体"/>
          <w:color w:val="000000"/>
          <w:sz w:val="24"/>
          <w:szCs w:val="24"/>
        </w:rPr>
        <w:t>的物品，以及《FD&amp;C法案》中基于风险和监管控制的分类框架如何适用于其他医疗器械的附件。在本指南中，我们描述了用于确定所有符合附件定义的物品的适用风险的考虑因素。本指南仅适用于符合《FD&amp;C法案》第201(h)节规定的器械定义的物品。</w:t>
      </w:r>
    </w:p>
    <w:p w14:paraId="175FCCB1">
      <w:pPr>
        <w:shd w:val="clear" w:color="auto" w:fill="FFFFFF"/>
        <w:topLinePunct/>
        <w:autoSpaceDE/>
        <w:autoSpaceDN/>
        <w:adjustRightInd/>
        <w:ind w:firstLine="480" w:firstLineChars="200"/>
        <w:jc w:val="both"/>
        <w:rPr>
          <w:rFonts w:eastAsia="宋体"/>
          <w:color w:val="000000"/>
          <w:sz w:val="24"/>
          <w:szCs w:val="24"/>
        </w:rPr>
      </w:pPr>
    </w:p>
    <w:p w14:paraId="269A564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此外，本指南还描述了根据《FD&amp;C法案》第513(f)(6)节规定的附件分类过程的使用，该过程提供了申请对下列物品进行适当分类（或创新产品分类）的机制 –</w:t>
      </w:r>
    </w:p>
    <w:p w14:paraId="513C649D">
      <w:pPr>
        <w:shd w:val="clear" w:color="auto" w:fill="FFFFFF"/>
        <w:topLinePunct/>
        <w:autoSpaceDE/>
        <w:autoSpaceDN/>
        <w:adjustRightInd/>
        <w:ind w:firstLine="480" w:firstLineChars="200"/>
        <w:jc w:val="both"/>
        <w:rPr>
          <w:rFonts w:eastAsia="宋体"/>
          <w:sz w:val="24"/>
          <w:szCs w:val="24"/>
        </w:rPr>
      </w:pPr>
    </w:p>
    <w:p w14:paraId="09EC9460">
      <w:pPr>
        <w:pStyle w:val="21"/>
        <w:numPr>
          <w:ilvl w:val="0"/>
          <w:numId w:val="3"/>
        </w:numPr>
        <w:shd w:val="clear" w:color="auto" w:fill="FFFFFF"/>
        <w:topLinePunct/>
        <w:autoSpaceDE/>
        <w:autoSpaceDN/>
        <w:adjustRightInd/>
        <w:ind w:left="904" w:leftChars="200" w:hanging="504" w:hangingChars="210"/>
        <w:jc w:val="both"/>
        <w:rPr>
          <w:rFonts w:eastAsia="宋体"/>
          <w:sz w:val="24"/>
          <w:szCs w:val="24"/>
        </w:rPr>
      </w:pPr>
      <w:r>
        <w:rPr>
          <w:rFonts w:ascii="宋体" w:hAnsi="宋体" w:eastAsia="宋体"/>
          <w:color w:val="000000"/>
          <w:sz w:val="24"/>
          <w:szCs w:val="24"/>
        </w:rPr>
        <w:t>“</w:t>
      </w:r>
      <w:r>
        <w:rPr>
          <w:rFonts w:eastAsia="宋体"/>
          <w:color w:val="000000"/>
          <w:sz w:val="24"/>
          <w:szCs w:val="24"/>
        </w:rPr>
        <w:t>包括在根据第515节提出的上市前批准申请或根据第510(k)节提出的报告中，以便对[预期与该附件联合使用的]器械进行审批，并且部长未将该附件与另一器械进行区分的附件</w:t>
      </w:r>
      <w:r>
        <w:rPr>
          <w:rFonts w:ascii="宋体" w:hAnsi="宋体" w:eastAsia="宋体"/>
          <w:color w:val="000000"/>
          <w:sz w:val="24"/>
          <w:szCs w:val="24"/>
        </w:rPr>
        <w:t>”</w:t>
      </w:r>
      <w:r>
        <w:rPr>
          <w:rStyle w:val="17"/>
          <w:rFonts w:eastAsia="宋体"/>
          <w:color w:val="000000"/>
          <w:sz w:val="24"/>
          <w:szCs w:val="24"/>
        </w:rPr>
        <w:footnoteReference w:id="2"/>
      </w:r>
      <w:r>
        <w:rPr>
          <w:rFonts w:eastAsia="宋体"/>
          <w:color w:val="000000"/>
          <w:sz w:val="24"/>
          <w:szCs w:val="24"/>
        </w:rPr>
        <w:t>，以及</w:t>
      </w:r>
    </w:p>
    <w:p w14:paraId="5404CB4A">
      <w:pPr>
        <w:pStyle w:val="21"/>
        <w:numPr>
          <w:ilvl w:val="0"/>
          <w:numId w:val="3"/>
        </w:numPr>
        <w:shd w:val="clear" w:color="auto" w:fill="FFFFFF"/>
        <w:topLinePunct/>
        <w:autoSpaceDE/>
        <w:autoSpaceDN/>
        <w:adjustRightInd/>
        <w:ind w:left="904" w:leftChars="200" w:hanging="504" w:hangingChars="210"/>
        <w:jc w:val="both"/>
        <w:rPr>
          <w:rFonts w:eastAsia="宋体"/>
          <w:sz w:val="24"/>
          <w:szCs w:val="24"/>
        </w:rPr>
      </w:pPr>
      <w:r>
        <w:rPr>
          <w:rFonts w:ascii="宋体" w:hAnsi="宋体" w:eastAsia="宋体"/>
          <w:color w:val="000000"/>
          <w:sz w:val="24"/>
          <w:szCs w:val="24"/>
        </w:rPr>
        <w:t>“</w:t>
      </w:r>
      <w:r>
        <w:rPr>
          <w:rFonts w:eastAsia="宋体"/>
          <w:color w:val="000000"/>
          <w:sz w:val="24"/>
          <w:szCs w:val="24"/>
        </w:rPr>
        <w:t xml:space="preserve">通过根据第515(c)节对其他此类器械的申请、根据第510(k)节的报告或根据[513(f)(2)节]的分类申请，作为另一器械提交的一部分[已]获得销售许可，预期与包括该附件的器械联合使用的附件... </w:t>
      </w:r>
      <w:r>
        <w:rPr>
          <w:rFonts w:ascii="宋体" w:hAnsi="宋体" w:eastAsia="宋体"/>
          <w:color w:val="000000"/>
          <w:sz w:val="24"/>
          <w:szCs w:val="24"/>
        </w:rPr>
        <w:t>”</w:t>
      </w:r>
      <w:r>
        <w:rPr>
          <w:rStyle w:val="17"/>
          <w:rFonts w:eastAsia="宋体"/>
          <w:color w:val="000000"/>
          <w:sz w:val="24"/>
          <w:szCs w:val="24"/>
        </w:rPr>
        <w:footnoteReference w:id="3"/>
      </w:r>
    </w:p>
    <w:p w14:paraId="14ECAB5C">
      <w:pPr>
        <w:shd w:val="clear" w:color="auto" w:fill="FFFFFF"/>
        <w:topLinePunct/>
        <w:autoSpaceDE/>
        <w:autoSpaceDN/>
        <w:adjustRightInd/>
        <w:ind w:firstLine="480" w:firstLineChars="200"/>
        <w:jc w:val="both"/>
        <w:rPr>
          <w:rFonts w:eastAsia="宋体"/>
          <w:color w:val="000000"/>
          <w:sz w:val="24"/>
          <w:szCs w:val="24"/>
        </w:rPr>
      </w:pPr>
    </w:p>
    <w:p w14:paraId="56F7BA5C">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虽然存在其他机制来申请附件的适当分类，但本指南侧重于《FD&amp;C法案》第513(f)(6)节所述的附件分类过程。例如，对于一个新附件类型（即一个之前未根据《FD&amp;C法案》进行分类，未根据510(k)申请批准上市，也未在PMA中获得批准的附件类型），可使用第513(f)(2)节规定的创新产品分类过程，以获得此类附件的分类。</w:t>
      </w:r>
      <w:r>
        <w:rPr>
          <w:rStyle w:val="17"/>
          <w:rFonts w:eastAsia="宋体"/>
          <w:color w:val="000000"/>
          <w:sz w:val="24"/>
          <w:szCs w:val="24"/>
        </w:rPr>
        <w:footnoteReference w:id="4"/>
      </w:r>
      <w:r>
        <w:rPr>
          <w:rFonts w:eastAsia="宋体"/>
          <w:color w:val="000000"/>
          <w:sz w:val="24"/>
          <w:szCs w:val="24"/>
        </w:rPr>
        <w:t>此外，已按法规或命令分类的附件类型，或已获得PMA批准或510(k)许可的附件制造商，可根据《FD&amp;C法案》的适用条款寻求创新产品分类</w:t>
      </w:r>
      <w:r>
        <w:rPr>
          <w:rStyle w:val="17"/>
          <w:rFonts w:eastAsia="宋体"/>
          <w:color w:val="000000"/>
          <w:sz w:val="24"/>
          <w:szCs w:val="24"/>
        </w:rPr>
        <w:footnoteReference w:id="5"/>
      </w:r>
      <w:r>
        <w:rPr>
          <w:rFonts w:eastAsia="宋体"/>
          <w:color w:val="000000"/>
          <w:sz w:val="24"/>
          <w:szCs w:val="24"/>
        </w:rPr>
        <w:t>或豁免提交510(k)通知</w:t>
      </w:r>
      <w:r>
        <w:rPr>
          <w:rStyle w:val="17"/>
          <w:rFonts w:eastAsia="宋体"/>
          <w:color w:val="000000"/>
          <w:sz w:val="24"/>
          <w:szCs w:val="24"/>
        </w:rPr>
        <w:footnoteReference w:id="6"/>
      </w:r>
      <w:r>
        <w:rPr>
          <w:rFonts w:eastAsia="宋体"/>
          <w:color w:val="000000"/>
          <w:sz w:val="24"/>
          <w:szCs w:val="24"/>
        </w:rPr>
        <w:t>的要求。</w:t>
      </w:r>
    </w:p>
    <w:p w14:paraId="5676B778">
      <w:pPr>
        <w:shd w:val="clear" w:color="auto" w:fill="FFFFFF"/>
        <w:topLinePunct/>
        <w:autoSpaceDE/>
        <w:autoSpaceDN/>
        <w:adjustRightInd/>
        <w:ind w:firstLine="480" w:firstLineChars="200"/>
        <w:jc w:val="both"/>
        <w:rPr>
          <w:rFonts w:eastAsia="宋体"/>
          <w:color w:val="000000"/>
          <w:sz w:val="24"/>
          <w:szCs w:val="24"/>
        </w:rPr>
      </w:pPr>
    </w:p>
    <w:p w14:paraId="78B54B83">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FDA预期将本指南所讨论的基于风险和监管控制的分类范例应用于所有符合附件定义的软件产品，包括那些可能也符合</w:t>
      </w:r>
      <w:r>
        <w:rPr>
          <w:rFonts w:ascii="宋体" w:hAnsi="宋体" w:eastAsia="宋体"/>
          <w:color w:val="000000"/>
          <w:sz w:val="24"/>
          <w:szCs w:val="24"/>
        </w:rPr>
        <w:t>“</w:t>
      </w:r>
      <w:r>
        <w:rPr>
          <w:rFonts w:eastAsia="宋体"/>
          <w:color w:val="000000"/>
          <w:sz w:val="24"/>
          <w:szCs w:val="24"/>
        </w:rPr>
        <w:t>医疗器械独立软件（SaMD）</w:t>
      </w:r>
      <w:r>
        <w:rPr>
          <w:rFonts w:ascii="宋体" w:hAnsi="宋体" w:eastAsia="宋体"/>
          <w:color w:val="000000"/>
          <w:sz w:val="24"/>
          <w:szCs w:val="24"/>
        </w:rPr>
        <w:t>”</w:t>
      </w:r>
      <w:r>
        <w:rPr>
          <w:rFonts w:eastAsia="宋体"/>
          <w:color w:val="000000"/>
          <w:sz w:val="24"/>
          <w:szCs w:val="24"/>
        </w:rPr>
        <w:t>定义的产品。</w:t>
      </w:r>
    </w:p>
    <w:p w14:paraId="73E75BF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br w:type="page"/>
      </w:r>
    </w:p>
    <w:p w14:paraId="73844354">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作为FDA国际趋同工作的一部分，国际医疗器械监管论坛（IMDRF）采用SaMD定义：</w:t>
      </w:r>
      <w:r>
        <w:rPr>
          <w:rFonts w:ascii="宋体" w:hAnsi="宋体" w:eastAsia="宋体"/>
          <w:color w:val="000000"/>
          <w:sz w:val="24"/>
          <w:szCs w:val="24"/>
        </w:rPr>
        <w:t>“</w:t>
      </w:r>
      <w:r>
        <w:rPr>
          <w:rFonts w:eastAsia="宋体"/>
          <w:color w:val="000000"/>
          <w:sz w:val="24"/>
          <w:szCs w:val="24"/>
        </w:rPr>
        <w:t>不属于医疗器械硬件的一部分，但预期能够执行一个或多个医疗用途的软件。</w:t>
      </w:r>
      <w:r>
        <w:rPr>
          <w:rFonts w:ascii="宋体" w:hAnsi="宋体" w:eastAsia="宋体"/>
          <w:color w:val="000000"/>
          <w:sz w:val="24"/>
          <w:szCs w:val="24"/>
        </w:rPr>
        <w:t>”</w:t>
      </w:r>
      <w:r>
        <w:rPr>
          <w:rStyle w:val="17"/>
          <w:rFonts w:eastAsia="宋体"/>
          <w:color w:val="000000"/>
          <w:sz w:val="24"/>
          <w:szCs w:val="24"/>
        </w:rPr>
        <w:footnoteReference w:id="7"/>
      </w:r>
    </w:p>
    <w:p w14:paraId="30D63601">
      <w:pPr>
        <w:shd w:val="clear" w:color="auto" w:fill="FFFFFF"/>
        <w:topLinePunct/>
        <w:autoSpaceDE/>
        <w:autoSpaceDN/>
        <w:adjustRightInd/>
        <w:ind w:firstLine="480" w:firstLineChars="200"/>
        <w:jc w:val="both"/>
        <w:rPr>
          <w:rFonts w:eastAsia="宋体"/>
          <w:color w:val="000000"/>
          <w:sz w:val="24"/>
          <w:szCs w:val="24"/>
        </w:rPr>
      </w:pPr>
    </w:p>
    <w:p w14:paraId="1CF60DE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符合《FD&amp;C法案》规定的器械定义的SaMD受FDA的监管。然而，符合该器械定义并使用医疗器械数据的SaMD并不自动成为本指南中的附件。例如，将旨在分析放射图像或分析器械产生的特定数据参数（如血压数据或心率数据）的独立软件程序视为SaMD，但不会将其视为支持、补充和/或增强数据产生器械的性能，因此，这些SaMD不会成为附件。</w:t>
      </w:r>
    </w:p>
    <w:p w14:paraId="236968A3">
      <w:pPr>
        <w:shd w:val="clear" w:color="auto" w:fill="FFFFFF"/>
        <w:topLinePunct/>
        <w:autoSpaceDE/>
        <w:autoSpaceDN/>
        <w:adjustRightInd/>
        <w:ind w:firstLine="480" w:firstLineChars="200"/>
        <w:jc w:val="both"/>
        <w:rPr>
          <w:rFonts w:eastAsia="宋体"/>
          <w:color w:val="000000"/>
          <w:sz w:val="24"/>
          <w:szCs w:val="24"/>
        </w:rPr>
      </w:pPr>
    </w:p>
    <w:p w14:paraId="2283EC1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在某些情况下，符合SaMD定义的软件可与其他器械联合使用（例如，作为模块）。在这些情况下，如果SaMD支持、补充和/或增强一个或多个父器械的性能，也可将其视为附件，如下文第IV节所述。</w:t>
      </w:r>
    </w:p>
    <w:p w14:paraId="1DDFFA3A">
      <w:pPr>
        <w:shd w:val="clear" w:color="auto" w:fill="FFFFFF"/>
        <w:topLinePunct/>
        <w:autoSpaceDE/>
        <w:autoSpaceDN/>
        <w:adjustRightInd/>
        <w:ind w:firstLine="480" w:firstLineChars="200"/>
        <w:jc w:val="both"/>
        <w:rPr>
          <w:rFonts w:eastAsia="宋体"/>
          <w:color w:val="000000"/>
          <w:sz w:val="24"/>
          <w:szCs w:val="24"/>
        </w:rPr>
      </w:pPr>
    </w:p>
    <w:p w14:paraId="783BE4F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无论SaMD是否使用其他器械的数据或与其他器械联合使用，FDA预期将本指南所讨论的基于风险和监管控制的分类范例应用于所有符合SaMD定义并符合附件定义的软件产品。</w:t>
      </w:r>
    </w:p>
    <w:p w14:paraId="5276161B">
      <w:pPr>
        <w:shd w:val="clear" w:color="auto" w:fill="FFFFFF"/>
        <w:topLinePunct/>
        <w:autoSpaceDE/>
        <w:autoSpaceDN/>
        <w:adjustRightInd/>
        <w:ind w:firstLine="480" w:firstLineChars="200"/>
        <w:jc w:val="both"/>
        <w:rPr>
          <w:rFonts w:eastAsia="宋体"/>
          <w:sz w:val="24"/>
          <w:szCs w:val="24"/>
        </w:rPr>
      </w:pPr>
    </w:p>
    <w:p w14:paraId="2CCAB2BD">
      <w:pPr>
        <w:pStyle w:val="26"/>
        <w:snapToGrid/>
        <w:spacing w:before="0" w:beforeLines="0" w:after="0" w:afterLines="0"/>
      </w:pPr>
      <w:bookmarkStart w:id="3" w:name="_Toc97371719"/>
      <w:r>
        <w:t>定义</w:t>
      </w:r>
      <w:bookmarkEnd w:id="3"/>
    </w:p>
    <w:p w14:paraId="7737D7B2">
      <w:pPr>
        <w:shd w:val="clear" w:color="auto" w:fill="FFFFFF"/>
        <w:topLinePunct/>
        <w:autoSpaceDE/>
        <w:autoSpaceDN/>
        <w:adjustRightInd/>
        <w:jc w:val="both"/>
        <w:rPr>
          <w:rFonts w:eastAsia="宋体"/>
          <w:sz w:val="24"/>
          <w:szCs w:val="24"/>
        </w:rPr>
      </w:pPr>
      <w:r>
        <w:rPr>
          <w:rFonts w:eastAsia="宋体"/>
          <w:b/>
          <w:sz w:val="24"/>
          <w:szCs w:val="24"/>
        </w:rPr>
        <w:t>附件：</w:t>
      </w:r>
      <w:r>
        <w:rPr>
          <w:rFonts w:eastAsia="宋体"/>
          <w:sz w:val="24"/>
          <w:szCs w:val="24"/>
        </w:rPr>
        <w:t>旨在支持、补充和/或增强一个或多个父器械性能的成品器械。</w:t>
      </w:r>
    </w:p>
    <w:p w14:paraId="348F41B6">
      <w:pPr>
        <w:shd w:val="clear" w:color="auto" w:fill="FFFFFF"/>
        <w:topLinePunct/>
        <w:autoSpaceDE/>
        <w:autoSpaceDN/>
        <w:adjustRightInd/>
        <w:jc w:val="both"/>
        <w:rPr>
          <w:rFonts w:eastAsia="宋体"/>
          <w:b/>
          <w:color w:val="000000"/>
          <w:sz w:val="24"/>
          <w:szCs w:val="24"/>
        </w:rPr>
      </w:pPr>
    </w:p>
    <w:p w14:paraId="345ABC1B">
      <w:pPr>
        <w:shd w:val="clear" w:color="auto" w:fill="FFFFFF"/>
        <w:topLinePunct/>
        <w:autoSpaceDE/>
        <w:autoSpaceDN/>
        <w:adjustRightInd/>
        <w:jc w:val="both"/>
        <w:rPr>
          <w:rFonts w:eastAsia="宋体"/>
          <w:sz w:val="24"/>
          <w:szCs w:val="24"/>
        </w:rPr>
      </w:pPr>
      <w:r>
        <w:rPr>
          <w:rFonts w:eastAsia="宋体"/>
          <w:b/>
          <w:color w:val="000000"/>
          <w:sz w:val="24"/>
          <w:szCs w:val="24"/>
        </w:rPr>
        <w:t>组件（21 CFR 820.3(c)）：</w:t>
      </w:r>
      <w:r>
        <w:rPr>
          <w:rFonts w:ascii="宋体" w:hAnsi="宋体" w:eastAsia="宋体"/>
          <w:sz w:val="24"/>
          <w:szCs w:val="24"/>
        </w:rPr>
        <w:t>“</w:t>
      </w:r>
      <w:r>
        <w:rPr>
          <w:rFonts w:eastAsia="宋体"/>
          <w:sz w:val="24"/>
          <w:szCs w:val="24"/>
        </w:rPr>
        <w:t>属于包装好并贴标签的成品医疗器械的一部分的[任何]原材料、物质、片断、部分、软件、固件、标签或装配件。</w:t>
      </w:r>
      <w:r>
        <w:rPr>
          <w:rFonts w:ascii="宋体" w:hAnsi="宋体" w:eastAsia="宋体"/>
          <w:sz w:val="24"/>
          <w:szCs w:val="24"/>
        </w:rPr>
        <w:t>”</w:t>
      </w:r>
    </w:p>
    <w:p w14:paraId="76D8B742">
      <w:pPr>
        <w:shd w:val="clear" w:color="auto" w:fill="FFFFFF"/>
        <w:topLinePunct/>
        <w:autoSpaceDE/>
        <w:autoSpaceDN/>
        <w:adjustRightInd/>
        <w:jc w:val="both"/>
        <w:rPr>
          <w:rFonts w:eastAsia="宋体"/>
          <w:b/>
          <w:sz w:val="24"/>
          <w:szCs w:val="24"/>
        </w:rPr>
      </w:pPr>
    </w:p>
    <w:p w14:paraId="17EF15C7">
      <w:pPr>
        <w:shd w:val="clear" w:color="auto" w:fill="FFFFFF"/>
        <w:topLinePunct/>
        <w:autoSpaceDE/>
        <w:autoSpaceDN/>
        <w:adjustRightInd/>
        <w:jc w:val="both"/>
        <w:rPr>
          <w:rFonts w:eastAsia="宋体"/>
          <w:sz w:val="24"/>
          <w:szCs w:val="24"/>
        </w:rPr>
      </w:pPr>
      <w:r>
        <w:rPr>
          <w:rFonts w:eastAsia="宋体"/>
          <w:b/>
          <w:sz w:val="24"/>
          <w:szCs w:val="24"/>
        </w:rPr>
        <w:t>成品器械（21 CFR 820.3(</w:t>
      </w:r>
      <w:r>
        <w:rPr>
          <w:rFonts w:hint="eastAsia" w:eastAsia="宋体"/>
          <w:b/>
          <w:sz w:val="24"/>
          <w:szCs w:val="24"/>
        </w:rPr>
        <w:t>I</w:t>
      </w:r>
      <w:r>
        <w:rPr>
          <w:rFonts w:eastAsia="宋体"/>
          <w:b/>
          <w:sz w:val="24"/>
          <w:szCs w:val="24"/>
        </w:rPr>
        <w:t>)）：</w:t>
      </w:r>
      <w:r>
        <w:rPr>
          <w:rFonts w:ascii="宋体" w:hAnsi="宋体" w:eastAsia="宋体"/>
          <w:sz w:val="24"/>
          <w:szCs w:val="24"/>
        </w:rPr>
        <w:t>“</w:t>
      </w:r>
      <w:r>
        <w:rPr>
          <w:rFonts w:eastAsia="宋体"/>
          <w:sz w:val="24"/>
          <w:szCs w:val="24"/>
        </w:rPr>
        <w:t>无论是否经包装、贴标签或灭菌，适合使用或能够运行的[任何]器械或任何器械附件。</w:t>
      </w:r>
      <w:r>
        <w:rPr>
          <w:rFonts w:ascii="宋体" w:hAnsi="宋体" w:eastAsia="宋体"/>
          <w:sz w:val="24"/>
          <w:szCs w:val="24"/>
        </w:rPr>
        <w:t>”</w:t>
      </w:r>
      <w:r>
        <w:rPr>
          <w:rStyle w:val="17"/>
          <w:rFonts w:eastAsia="宋体"/>
          <w:sz w:val="24"/>
          <w:szCs w:val="24"/>
        </w:rPr>
        <w:footnoteReference w:id="8"/>
      </w:r>
    </w:p>
    <w:p w14:paraId="72FB5E80">
      <w:pPr>
        <w:shd w:val="clear" w:color="auto" w:fill="FFFFFF"/>
        <w:topLinePunct/>
        <w:autoSpaceDE/>
        <w:autoSpaceDN/>
        <w:adjustRightInd/>
        <w:jc w:val="both"/>
        <w:rPr>
          <w:rFonts w:eastAsia="宋体"/>
          <w:b/>
          <w:sz w:val="24"/>
          <w:szCs w:val="24"/>
        </w:rPr>
      </w:pPr>
    </w:p>
    <w:p w14:paraId="4A232F16">
      <w:pPr>
        <w:shd w:val="clear" w:color="auto" w:fill="FFFFFF"/>
        <w:topLinePunct/>
        <w:autoSpaceDE/>
        <w:autoSpaceDN/>
        <w:adjustRightInd/>
        <w:jc w:val="both"/>
        <w:rPr>
          <w:rFonts w:eastAsia="宋体"/>
          <w:color w:val="000000"/>
          <w:sz w:val="24"/>
          <w:szCs w:val="24"/>
        </w:rPr>
      </w:pPr>
      <w:r>
        <w:rPr>
          <w:rFonts w:eastAsia="宋体"/>
          <w:b/>
          <w:sz w:val="24"/>
          <w:szCs w:val="24"/>
        </w:rPr>
        <w:t>父器械：</w:t>
      </w:r>
      <w:r>
        <w:rPr>
          <w:rFonts w:eastAsia="宋体"/>
          <w:sz w:val="24"/>
          <w:szCs w:val="24"/>
        </w:rPr>
        <w:t>其性能由一个或多个附件支持、补充和/或增强的成品器械。</w:t>
      </w:r>
    </w:p>
    <w:p w14:paraId="5D9CABF4">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E7D9A7D">
      <w:pPr>
        <w:pStyle w:val="2"/>
        <w:snapToGrid/>
        <w:spacing w:before="0" w:beforeLines="0" w:after="0" w:afterLines="0"/>
      </w:pPr>
      <w:bookmarkStart w:id="4" w:name="_Toc97371720"/>
      <w:r>
        <w:t>附件分类政策</w:t>
      </w:r>
      <w:bookmarkEnd w:id="4"/>
    </w:p>
    <w:p w14:paraId="139C880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管理附件分类的政策受《FD&amp;C法案》规定的基于风险和监管控制计划的约束，FDA使用该计划对所有医疗器械进行分类。附件风险是指附件按预期用途与相应父器械联合使用时所带来的风险。为了对附件进行分类，FDA应解决以下两个问题：</w:t>
      </w:r>
    </w:p>
    <w:p w14:paraId="30655AB3">
      <w:pPr>
        <w:shd w:val="clear" w:color="auto" w:fill="FFFFFF"/>
        <w:topLinePunct/>
        <w:autoSpaceDE/>
        <w:autoSpaceDN/>
        <w:adjustRightInd/>
        <w:ind w:firstLine="480" w:firstLineChars="200"/>
        <w:jc w:val="both"/>
        <w:rPr>
          <w:rFonts w:eastAsia="宋体"/>
          <w:sz w:val="24"/>
          <w:szCs w:val="24"/>
        </w:rPr>
      </w:pPr>
    </w:p>
    <w:p w14:paraId="771A32A0">
      <w:pPr>
        <w:numPr>
          <w:ilvl w:val="0"/>
          <w:numId w:val="5"/>
        </w:numPr>
        <w:shd w:val="clear" w:color="auto" w:fill="FFFFFF"/>
        <w:tabs>
          <w:tab w:val="left" w:pos="720"/>
        </w:tabs>
        <w:topLinePunct/>
        <w:autoSpaceDE/>
        <w:autoSpaceDN/>
        <w:ind w:left="880" w:leftChars="200" w:hanging="480" w:hangingChars="200"/>
        <w:jc w:val="both"/>
        <w:rPr>
          <w:rFonts w:eastAsia="宋体"/>
          <w:color w:val="000000"/>
          <w:sz w:val="24"/>
          <w:szCs w:val="24"/>
        </w:rPr>
      </w:pPr>
      <w:r>
        <w:rPr>
          <w:rFonts w:eastAsia="宋体"/>
          <w:color w:val="000000"/>
          <w:sz w:val="24"/>
          <w:szCs w:val="24"/>
        </w:rPr>
        <w:t>该物品是否是附件？</w:t>
      </w:r>
    </w:p>
    <w:p w14:paraId="43152108">
      <w:pPr>
        <w:numPr>
          <w:ilvl w:val="0"/>
          <w:numId w:val="5"/>
        </w:numPr>
        <w:shd w:val="clear" w:color="auto" w:fill="FFFFFF"/>
        <w:tabs>
          <w:tab w:val="left" w:pos="720"/>
        </w:tabs>
        <w:topLinePunct/>
        <w:autoSpaceDE/>
        <w:autoSpaceDN/>
        <w:ind w:left="880" w:leftChars="200" w:hanging="480" w:hangingChars="200"/>
        <w:jc w:val="both"/>
        <w:rPr>
          <w:rFonts w:eastAsia="宋体"/>
          <w:color w:val="000000"/>
          <w:sz w:val="24"/>
          <w:szCs w:val="24"/>
        </w:rPr>
      </w:pPr>
      <w:r>
        <w:rPr>
          <w:rFonts w:eastAsia="宋体"/>
          <w:color w:val="000000"/>
          <w:sz w:val="24"/>
          <w:szCs w:val="24"/>
        </w:rPr>
        <w:t>当按预期用途与父器械联合使用时，该附件具有哪些风险，以及为合理保证其安全性和有效性需要哪些监管措施？</w:t>
      </w:r>
    </w:p>
    <w:p w14:paraId="3B5544CB">
      <w:pPr>
        <w:shd w:val="clear" w:color="auto" w:fill="FFFFFF"/>
        <w:topLinePunct/>
        <w:autoSpaceDE/>
        <w:autoSpaceDN/>
        <w:adjustRightInd/>
        <w:ind w:firstLine="480" w:firstLineChars="200"/>
        <w:jc w:val="both"/>
        <w:rPr>
          <w:rFonts w:eastAsia="宋体"/>
          <w:color w:val="000000"/>
          <w:sz w:val="24"/>
          <w:szCs w:val="24"/>
        </w:rPr>
      </w:pPr>
    </w:p>
    <w:p w14:paraId="1CA101F5">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对这两个问题的回答为根据《FD&amp;C法案》第513(a)(1)节的标准对潜在附件进行基于风险和监管控制的分类提供了依据。在适当情况下，可根据相应父器械的相同法规对单个附件进行分类，或者对其进行独立监管。以下各子节提供了关于附件基于风险和监管控制的分类的进一步详情和考虑因素。</w:t>
      </w:r>
    </w:p>
    <w:p w14:paraId="513CE953">
      <w:pPr>
        <w:shd w:val="clear" w:color="auto" w:fill="FFFFFF"/>
        <w:topLinePunct/>
        <w:autoSpaceDE/>
        <w:autoSpaceDN/>
        <w:adjustRightInd/>
        <w:ind w:firstLine="480" w:firstLineChars="200"/>
        <w:jc w:val="both"/>
        <w:rPr>
          <w:rFonts w:eastAsia="宋体"/>
          <w:sz w:val="24"/>
          <w:szCs w:val="24"/>
        </w:rPr>
      </w:pPr>
    </w:p>
    <w:p w14:paraId="67D4C382">
      <w:pPr>
        <w:pStyle w:val="3"/>
        <w:snapToGrid/>
        <w:spacing w:before="0" w:beforeLines="0" w:after="0" w:afterLines="0"/>
        <w:rPr>
          <w:rFonts w:cs="Times New Roman"/>
        </w:rPr>
      </w:pPr>
      <w:bookmarkStart w:id="5" w:name="_Toc97371721"/>
      <w:r>
        <w:rPr>
          <w:rFonts w:cs="Times New Roman"/>
        </w:rPr>
        <w:t>A.</w:t>
      </w:r>
      <w:r>
        <w:rPr>
          <w:rFonts w:cs="Times New Roman"/>
        </w:rPr>
        <w:tab/>
      </w:r>
      <w:r>
        <w:rPr>
          <w:rFonts w:cs="Times New Roman"/>
        </w:rPr>
        <w:t>该物品是否为附件？</w:t>
      </w:r>
      <w:bookmarkEnd w:id="5"/>
    </w:p>
    <w:p w14:paraId="28CFFD3B">
      <w:pPr>
        <w:shd w:val="clear" w:color="auto" w:fill="FFFFFF"/>
        <w:topLinePunct/>
        <w:autoSpaceDE/>
        <w:autoSpaceDN/>
        <w:adjustRightInd/>
        <w:ind w:left="708" w:leftChars="354" w:firstLine="480" w:firstLineChars="200"/>
        <w:jc w:val="both"/>
        <w:rPr>
          <w:rFonts w:eastAsia="宋体"/>
          <w:color w:val="000000"/>
          <w:sz w:val="24"/>
          <w:szCs w:val="24"/>
        </w:rPr>
      </w:pPr>
    </w:p>
    <w:p w14:paraId="685D3235">
      <w:pPr>
        <w:shd w:val="clear" w:color="auto" w:fill="FFFFFF"/>
        <w:topLinePunct/>
        <w:autoSpaceDE/>
        <w:autoSpaceDN/>
        <w:adjustRightInd/>
        <w:ind w:left="708" w:leftChars="354" w:firstLine="480" w:firstLineChars="200"/>
        <w:jc w:val="both"/>
        <w:rPr>
          <w:rFonts w:eastAsia="宋体"/>
          <w:color w:val="000000"/>
          <w:sz w:val="24"/>
          <w:szCs w:val="24"/>
        </w:rPr>
      </w:pPr>
      <w:r>
        <w:rPr>
          <w:rFonts w:eastAsia="宋体"/>
          <w:color w:val="000000"/>
          <w:sz w:val="24"/>
          <w:szCs w:val="24"/>
        </w:rPr>
        <w:t>在附件分类过程中，首先分析所考虑的物品是否为本指南文件所述附件。我们认为附件是指符合以下条件的物品：</w:t>
      </w:r>
    </w:p>
    <w:p w14:paraId="4E327F5F">
      <w:pPr>
        <w:shd w:val="clear" w:color="auto" w:fill="FFFFFF"/>
        <w:topLinePunct/>
        <w:autoSpaceDE/>
        <w:autoSpaceDN/>
        <w:adjustRightInd/>
        <w:ind w:left="708" w:leftChars="354" w:firstLine="480" w:firstLineChars="200"/>
        <w:jc w:val="both"/>
        <w:rPr>
          <w:rFonts w:eastAsia="宋体"/>
          <w:sz w:val="24"/>
          <w:szCs w:val="24"/>
        </w:rPr>
      </w:pPr>
    </w:p>
    <w:p w14:paraId="5A5C0F3E">
      <w:pPr>
        <w:shd w:val="clear" w:color="auto" w:fill="FFFFFF"/>
        <w:topLinePunct/>
        <w:autoSpaceDE/>
        <w:autoSpaceDN/>
        <w:adjustRightInd/>
        <w:ind w:left="1984" w:leftChars="721" w:hanging="542" w:hangingChars="225"/>
        <w:jc w:val="both"/>
        <w:rPr>
          <w:rFonts w:eastAsia="宋体"/>
          <w:sz w:val="24"/>
          <w:szCs w:val="24"/>
        </w:rPr>
      </w:pPr>
      <w:r>
        <w:rPr>
          <w:rFonts w:eastAsia="宋体"/>
          <w:b/>
          <w:color w:val="000000"/>
          <w:sz w:val="24"/>
          <w:szCs w:val="24"/>
        </w:rPr>
        <w:t>1.</w:t>
      </w:r>
      <w:r>
        <w:rPr>
          <w:rFonts w:eastAsia="宋体"/>
          <w:b/>
          <w:color w:val="000000"/>
          <w:sz w:val="24"/>
          <w:szCs w:val="24"/>
        </w:rPr>
        <w:tab/>
      </w:r>
      <w:r>
        <w:rPr>
          <w:rFonts w:eastAsia="宋体"/>
          <w:b/>
          <w:color w:val="000000"/>
          <w:sz w:val="24"/>
          <w:szCs w:val="24"/>
        </w:rPr>
        <w:t>预期与一个或多个父器械联合使用。</w:t>
      </w:r>
    </w:p>
    <w:p w14:paraId="024D4F89">
      <w:pPr>
        <w:shd w:val="clear" w:color="auto" w:fill="FFFFFF"/>
        <w:topLinePunct/>
        <w:autoSpaceDE/>
        <w:autoSpaceDN/>
        <w:adjustRightInd/>
        <w:ind w:left="1984" w:leftChars="992" w:firstLine="480" w:firstLineChars="200"/>
        <w:jc w:val="both"/>
        <w:rPr>
          <w:rFonts w:eastAsia="宋体"/>
          <w:color w:val="000000"/>
          <w:sz w:val="24"/>
          <w:szCs w:val="24"/>
        </w:rPr>
      </w:pPr>
    </w:p>
    <w:p w14:paraId="18C19E42">
      <w:pPr>
        <w:shd w:val="clear" w:color="auto" w:fill="FFFFFF"/>
        <w:topLinePunct/>
        <w:autoSpaceDE/>
        <w:autoSpaceDN/>
        <w:adjustRightInd/>
        <w:ind w:left="1984" w:leftChars="992" w:firstLine="480" w:firstLineChars="200"/>
        <w:jc w:val="both"/>
        <w:rPr>
          <w:rFonts w:eastAsia="宋体"/>
          <w:sz w:val="24"/>
          <w:szCs w:val="24"/>
        </w:rPr>
      </w:pPr>
      <w:r>
        <w:rPr>
          <w:rFonts w:eastAsia="宋体"/>
          <w:color w:val="000000"/>
          <w:sz w:val="24"/>
          <w:szCs w:val="24"/>
        </w:rPr>
        <w:t>FDA希望该物品是否预期与父器械联合使用一般由潜在附属器械的标签和宣传材料（而不是由父器械的标签和宣传材料）决定。如果标签、宣传材料或其他预期用途的证据表明某物品预期与父器械（特定品牌或器械类型）联合使用，并支持、补充和/或增强该器械，则FDA通常将该物品视为附件，因此其属于《FD&amp;C法案》第201(h)节所定义的</w:t>
      </w:r>
      <w:r>
        <w:rPr>
          <w:rFonts w:ascii="宋体" w:hAnsi="宋体" w:eastAsia="宋体"/>
          <w:color w:val="000000"/>
          <w:sz w:val="24"/>
          <w:szCs w:val="24"/>
        </w:rPr>
        <w:t>“</w:t>
      </w:r>
      <w:r>
        <w:rPr>
          <w:rFonts w:eastAsia="宋体"/>
          <w:color w:val="000000"/>
          <w:sz w:val="24"/>
          <w:szCs w:val="24"/>
        </w:rPr>
        <w:t>器械</w:t>
      </w:r>
      <w:r>
        <w:rPr>
          <w:rFonts w:ascii="宋体" w:hAnsi="宋体" w:eastAsia="宋体"/>
          <w:color w:val="000000"/>
          <w:sz w:val="24"/>
          <w:szCs w:val="24"/>
        </w:rPr>
        <w:t>”</w:t>
      </w:r>
      <w:r>
        <w:rPr>
          <w:rFonts w:eastAsia="宋体"/>
          <w:color w:val="000000"/>
          <w:sz w:val="24"/>
          <w:szCs w:val="24"/>
        </w:rPr>
        <w:t>。此类器械包括那些标记为</w:t>
      </w:r>
      <w:r>
        <w:rPr>
          <w:rFonts w:ascii="宋体" w:hAnsi="宋体" w:eastAsia="宋体"/>
          <w:color w:val="000000"/>
          <w:sz w:val="24"/>
          <w:szCs w:val="24"/>
        </w:rPr>
        <w:t>“</w:t>
      </w:r>
      <w:r>
        <w:rPr>
          <w:rFonts w:eastAsia="宋体"/>
          <w:color w:val="000000"/>
          <w:sz w:val="24"/>
          <w:szCs w:val="24"/>
        </w:rPr>
        <w:t>可选</w:t>
      </w:r>
      <w:r>
        <w:rPr>
          <w:rFonts w:ascii="宋体" w:hAnsi="宋体" w:eastAsia="宋体"/>
          <w:color w:val="000000"/>
          <w:sz w:val="24"/>
          <w:szCs w:val="24"/>
        </w:rPr>
        <w:t>”</w:t>
      </w:r>
      <w:r>
        <w:rPr>
          <w:rFonts w:eastAsia="宋体"/>
          <w:color w:val="000000"/>
          <w:sz w:val="24"/>
          <w:szCs w:val="24"/>
        </w:rPr>
        <w:t>的物品。</w:t>
      </w:r>
    </w:p>
    <w:p w14:paraId="6AF0DD16">
      <w:pPr>
        <w:shd w:val="clear" w:color="auto" w:fill="FFFFFF"/>
        <w:topLinePunct/>
        <w:autoSpaceDE/>
        <w:autoSpaceDN/>
        <w:adjustRightInd/>
        <w:ind w:left="1984" w:leftChars="992" w:firstLine="480" w:firstLineChars="200"/>
        <w:jc w:val="both"/>
        <w:rPr>
          <w:rFonts w:eastAsia="宋体"/>
          <w:color w:val="000000"/>
          <w:sz w:val="24"/>
          <w:szCs w:val="24"/>
        </w:rPr>
      </w:pPr>
    </w:p>
    <w:p w14:paraId="56E1108F">
      <w:pPr>
        <w:shd w:val="clear" w:color="auto" w:fill="FFFFFF"/>
        <w:topLinePunct/>
        <w:autoSpaceDE/>
        <w:autoSpaceDN/>
        <w:adjustRightInd/>
        <w:ind w:left="1984" w:leftChars="992" w:firstLine="480" w:firstLineChars="200"/>
        <w:jc w:val="both"/>
        <w:rPr>
          <w:rFonts w:eastAsia="宋体"/>
          <w:color w:val="000000"/>
          <w:sz w:val="24"/>
          <w:szCs w:val="24"/>
        </w:rPr>
      </w:pPr>
      <w:r>
        <w:rPr>
          <w:rFonts w:eastAsia="宋体"/>
          <w:color w:val="000000"/>
          <w:sz w:val="24"/>
          <w:szCs w:val="24"/>
        </w:rPr>
        <w:t>应注意，FDA通常不会将仅可与器械联合使用而不符合附件定义的物品视为附件。例如，FDA通常不会将作为一般应用平台的手机（包括作为医疗器械的移动医疗应用）或用于显示医疗数据的现成电脑显示器视为附件，除非它们预期专用于此类医疗器械。</w:t>
      </w:r>
    </w:p>
    <w:p w14:paraId="13451BD6">
      <w:pPr>
        <w:widowControl/>
        <w:autoSpaceDE/>
        <w:autoSpaceDN/>
        <w:adjustRightInd/>
        <w:rPr>
          <w:rFonts w:eastAsia="宋体"/>
          <w:color w:val="000000"/>
          <w:sz w:val="24"/>
          <w:szCs w:val="24"/>
        </w:rPr>
      </w:pPr>
      <w:r>
        <w:rPr>
          <w:rFonts w:eastAsia="宋体"/>
          <w:color w:val="000000"/>
          <w:sz w:val="24"/>
          <w:szCs w:val="24"/>
        </w:rPr>
        <w:br w:type="page"/>
      </w:r>
    </w:p>
    <w:p w14:paraId="5D49AB12">
      <w:pPr>
        <w:shd w:val="clear" w:color="auto" w:fill="FFFFFF"/>
        <w:topLinePunct/>
        <w:autoSpaceDE/>
        <w:autoSpaceDN/>
        <w:adjustRightInd/>
        <w:ind w:left="1984" w:leftChars="721" w:hanging="542" w:hangingChars="225"/>
        <w:jc w:val="both"/>
        <w:rPr>
          <w:rFonts w:eastAsia="宋体"/>
          <w:sz w:val="24"/>
          <w:szCs w:val="24"/>
        </w:rPr>
      </w:pPr>
      <w:r>
        <w:rPr>
          <w:rFonts w:eastAsia="宋体"/>
          <w:b/>
          <w:color w:val="000000"/>
          <w:sz w:val="24"/>
          <w:szCs w:val="24"/>
        </w:rPr>
        <w:t>2.</w:t>
      </w:r>
      <w:r>
        <w:rPr>
          <w:rFonts w:eastAsia="宋体"/>
          <w:b/>
          <w:color w:val="000000"/>
          <w:sz w:val="24"/>
          <w:szCs w:val="24"/>
        </w:rPr>
        <w:tab/>
      </w:r>
      <w:r>
        <w:rPr>
          <w:rFonts w:eastAsia="宋体"/>
          <w:b/>
          <w:color w:val="000000"/>
          <w:sz w:val="24"/>
          <w:szCs w:val="24"/>
        </w:rPr>
        <w:t>预期用于支持、补充和/或增强一个或多个父器械的性能。</w:t>
      </w:r>
    </w:p>
    <w:p w14:paraId="355E762D">
      <w:pPr>
        <w:shd w:val="clear" w:color="auto" w:fill="FFFFFF"/>
        <w:topLinePunct/>
        <w:autoSpaceDE/>
        <w:autoSpaceDN/>
        <w:adjustRightInd/>
        <w:ind w:left="1984" w:leftChars="992" w:firstLine="480" w:firstLineChars="200"/>
        <w:jc w:val="both"/>
        <w:rPr>
          <w:rFonts w:eastAsia="宋体"/>
          <w:sz w:val="24"/>
          <w:szCs w:val="24"/>
        </w:rPr>
      </w:pPr>
    </w:p>
    <w:p w14:paraId="6E34B292">
      <w:pPr>
        <w:shd w:val="clear" w:color="auto" w:fill="FFFFFF"/>
        <w:topLinePunct/>
        <w:autoSpaceDE/>
        <w:autoSpaceDN/>
        <w:adjustRightInd/>
        <w:ind w:left="1984" w:leftChars="992" w:firstLine="480" w:firstLineChars="200"/>
        <w:jc w:val="both"/>
        <w:rPr>
          <w:rFonts w:eastAsia="宋体"/>
          <w:sz w:val="24"/>
          <w:szCs w:val="24"/>
        </w:rPr>
      </w:pPr>
      <w:r>
        <w:rPr>
          <w:rFonts w:eastAsia="宋体"/>
          <w:sz w:val="24"/>
          <w:szCs w:val="24"/>
        </w:rPr>
        <w:t>器械通过确保或促进父器械按照其预期用途执行来</w:t>
      </w:r>
      <w:r>
        <w:rPr>
          <w:rFonts w:eastAsia="宋体"/>
          <w:i/>
          <w:color w:val="000000"/>
          <w:sz w:val="24"/>
          <w:szCs w:val="24"/>
        </w:rPr>
        <w:t>支持</w:t>
      </w:r>
      <w:r>
        <w:rPr>
          <w:rFonts w:eastAsia="宋体"/>
          <w:sz w:val="24"/>
          <w:szCs w:val="24"/>
        </w:rPr>
        <w:t>父器械的性能。</w:t>
      </w:r>
      <w:r>
        <w:rPr>
          <w:rFonts w:eastAsia="宋体"/>
          <w:color w:val="000000"/>
          <w:sz w:val="24"/>
          <w:szCs w:val="24"/>
        </w:rPr>
        <w:t>例如，旨在为目标位置和神经刺激器之间的导线创建管道的神经刺激器械用隧道工具，通过促进其向目标神经组织提供刺激来支持神经刺激器。在该情况下，必须配备该附件，以使父器械达到其预期用途。输液泵支架还通过将药物或液体和其他输液附件牢固地固定在适当高度且便于患者或护理人员接触，来支持父器械（输液泵）的预期用途。在该情况下，父器械可在无附件的情况下执行其预期用途，但附件仍支持该器械的性能。</w:t>
      </w:r>
    </w:p>
    <w:p w14:paraId="03E87D62">
      <w:pPr>
        <w:shd w:val="clear" w:color="auto" w:fill="FFFFFF"/>
        <w:topLinePunct/>
        <w:autoSpaceDE/>
        <w:autoSpaceDN/>
        <w:adjustRightInd/>
        <w:ind w:left="1984" w:leftChars="992" w:firstLine="480" w:firstLineChars="200"/>
        <w:jc w:val="both"/>
        <w:rPr>
          <w:rFonts w:eastAsia="宋体"/>
          <w:color w:val="000000"/>
          <w:sz w:val="24"/>
          <w:szCs w:val="24"/>
        </w:rPr>
      </w:pPr>
    </w:p>
    <w:p w14:paraId="76B36D7E">
      <w:pPr>
        <w:shd w:val="clear" w:color="auto" w:fill="FFFFFF"/>
        <w:topLinePunct/>
        <w:autoSpaceDE/>
        <w:autoSpaceDN/>
        <w:adjustRightInd/>
        <w:ind w:left="1984" w:leftChars="992" w:firstLine="480" w:firstLineChars="200"/>
        <w:jc w:val="both"/>
        <w:rPr>
          <w:rFonts w:eastAsia="宋体"/>
          <w:sz w:val="24"/>
          <w:szCs w:val="24"/>
        </w:rPr>
      </w:pPr>
      <w:r>
        <w:rPr>
          <w:rFonts w:eastAsia="宋体"/>
          <w:color w:val="000000"/>
          <w:sz w:val="24"/>
          <w:szCs w:val="24"/>
        </w:rPr>
        <w:t>如果器械增加新功能或使用父器械的新方法，而不改变父器械的预期用途，则该器械可补充父器械的性能。例如，脉搏血氧仪允许多参数监测仪显示血氧饱和度，但不改变其预期用途，即记录和显示多个生理参数。同样，用于将已批准的经导管心脏瓣膜插入较小病变动脉的新球囊导管可</w:t>
      </w:r>
      <w:r>
        <w:rPr>
          <w:rFonts w:eastAsia="宋体"/>
          <w:sz w:val="24"/>
          <w:szCs w:val="24"/>
        </w:rPr>
        <w:t>补充</w:t>
      </w:r>
      <w:r>
        <w:rPr>
          <w:rFonts w:eastAsia="宋体"/>
          <w:color w:val="000000"/>
          <w:sz w:val="24"/>
          <w:szCs w:val="24"/>
        </w:rPr>
        <w:t>父器械的预期用途。球囊导管通过将可接受父器械的患者群体扩展至那些动脉直径较小的患者（如女性）来补充经导管心脏瓣膜的预期用途。</w:t>
      </w:r>
    </w:p>
    <w:p w14:paraId="091ED4B3">
      <w:pPr>
        <w:shd w:val="clear" w:color="auto" w:fill="FFFFFF"/>
        <w:topLinePunct/>
        <w:autoSpaceDE/>
        <w:autoSpaceDN/>
        <w:adjustRightInd/>
        <w:ind w:left="1984" w:leftChars="992" w:firstLine="480" w:firstLineChars="200"/>
        <w:jc w:val="both"/>
        <w:rPr>
          <w:rFonts w:eastAsia="宋体"/>
          <w:sz w:val="24"/>
          <w:szCs w:val="24"/>
        </w:rPr>
      </w:pPr>
    </w:p>
    <w:p w14:paraId="5C7C6EB0">
      <w:pPr>
        <w:shd w:val="clear" w:color="auto" w:fill="FFFFFF"/>
        <w:topLinePunct/>
        <w:autoSpaceDE/>
        <w:autoSpaceDN/>
        <w:adjustRightInd/>
        <w:ind w:left="1984" w:leftChars="992" w:firstLine="480" w:firstLineChars="200"/>
        <w:jc w:val="both"/>
        <w:rPr>
          <w:rFonts w:eastAsia="宋体"/>
          <w:sz w:val="24"/>
          <w:szCs w:val="24"/>
        </w:rPr>
      </w:pPr>
      <w:r>
        <w:rPr>
          <w:rFonts w:eastAsia="宋体"/>
          <w:sz w:val="24"/>
          <w:szCs w:val="24"/>
        </w:rPr>
        <w:t>器械通过使器械更安全或更有效地执行其预期用途来</w:t>
      </w:r>
      <w:r>
        <w:rPr>
          <w:rFonts w:eastAsia="宋体"/>
          <w:i/>
          <w:color w:val="000000"/>
          <w:sz w:val="24"/>
          <w:szCs w:val="24"/>
        </w:rPr>
        <w:t>增强</w:t>
      </w:r>
      <w:r>
        <w:rPr>
          <w:rFonts w:eastAsia="宋体"/>
          <w:sz w:val="24"/>
          <w:szCs w:val="24"/>
        </w:rPr>
        <w:t>父器械的性能。</w:t>
      </w:r>
      <w:r>
        <w:rPr>
          <w:rFonts w:eastAsia="宋体"/>
          <w:i/>
          <w:color w:val="000000"/>
          <w:sz w:val="24"/>
          <w:szCs w:val="24"/>
        </w:rPr>
        <w:t>增强</w:t>
      </w:r>
      <w:r>
        <w:rPr>
          <w:rFonts w:eastAsia="宋体"/>
          <w:sz w:val="24"/>
          <w:szCs w:val="24"/>
        </w:rPr>
        <w:t>包括通过使父器械更快速地执行或改善器械使用者的可用性或便利性来提高其性能。</w:t>
      </w:r>
      <w:r>
        <w:rPr>
          <w:rFonts w:eastAsia="宋体"/>
          <w:color w:val="000000"/>
          <w:sz w:val="24"/>
          <w:szCs w:val="24"/>
        </w:rPr>
        <w:t>例如，导丝通过提高父器械的精密度及减少患者风险来提高切骨仪器的性能。同样，增加颜色或反差滤光片以增强由成像器械产生的原始图像的软件程序，通过使其更有效地执行来增强父器械的性能。</w:t>
      </w:r>
    </w:p>
    <w:p w14:paraId="7ED27E10">
      <w:pPr>
        <w:shd w:val="clear" w:color="auto" w:fill="FFFFFF"/>
        <w:topLinePunct/>
        <w:autoSpaceDE/>
        <w:autoSpaceDN/>
        <w:adjustRightInd/>
        <w:ind w:left="1984" w:leftChars="992" w:firstLine="480" w:firstLineChars="200"/>
        <w:jc w:val="both"/>
        <w:rPr>
          <w:rFonts w:eastAsia="宋体"/>
          <w:color w:val="000000"/>
          <w:sz w:val="24"/>
          <w:szCs w:val="24"/>
        </w:rPr>
      </w:pPr>
    </w:p>
    <w:p w14:paraId="2CAF2FC7">
      <w:pPr>
        <w:shd w:val="clear" w:color="auto" w:fill="FFFFFF"/>
        <w:topLinePunct/>
        <w:autoSpaceDE/>
        <w:autoSpaceDN/>
        <w:adjustRightInd/>
        <w:ind w:left="1984" w:leftChars="992" w:firstLine="480" w:firstLineChars="200"/>
        <w:jc w:val="both"/>
        <w:rPr>
          <w:rFonts w:eastAsia="宋体"/>
          <w:sz w:val="24"/>
          <w:szCs w:val="24"/>
        </w:rPr>
      </w:pPr>
      <w:r>
        <w:rPr>
          <w:rFonts w:eastAsia="宋体"/>
          <w:color w:val="000000"/>
          <w:sz w:val="24"/>
          <w:szCs w:val="24"/>
        </w:rPr>
        <w:t>在实践中，支持、补充或增强父器械的器械之间的区别比较微妙，许多符合附件定义的器械可能执行这些事项中的一项或多项。</w:t>
      </w:r>
      <w:r>
        <w:rPr>
          <w:rFonts w:eastAsia="宋体"/>
          <w:sz w:val="24"/>
          <w:szCs w:val="24"/>
        </w:rPr>
        <w:t>因此，如果该器械旨在支持、补充</w:t>
      </w:r>
      <w:r>
        <w:rPr>
          <w:rFonts w:eastAsia="宋体"/>
          <w:i/>
          <w:color w:val="000000"/>
          <w:sz w:val="24"/>
          <w:szCs w:val="24"/>
        </w:rPr>
        <w:t>和/或</w:t>
      </w:r>
      <w:r>
        <w:rPr>
          <w:rFonts w:eastAsia="宋体"/>
          <w:sz w:val="24"/>
          <w:szCs w:val="24"/>
        </w:rPr>
        <w:t>增强一个或多个父器械的性能，我们预期可将该器械视为附件，无论该器械是必需项还是可选项。</w:t>
      </w:r>
    </w:p>
    <w:p w14:paraId="6C3B1E00">
      <w:pPr>
        <w:shd w:val="clear" w:color="auto" w:fill="FFFFFF"/>
        <w:topLinePunct/>
        <w:autoSpaceDE/>
        <w:autoSpaceDN/>
        <w:adjustRightInd/>
        <w:ind w:left="1984" w:leftChars="992" w:firstLine="480" w:firstLineChars="200"/>
        <w:jc w:val="both"/>
        <w:rPr>
          <w:rFonts w:eastAsia="宋体"/>
          <w:color w:val="000000"/>
          <w:sz w:val="24"/>
          <w:szCs w:val="24"/>
        </w:rPr>
      </w:pPr>
    </w:p>
    <w:p w14:paraId="4CD119AF">
      <w:pPr>
        <w:shd w:val="clear" w:color="auto" w:fill="FFFFFF"/>
        <w:topLinePunct/>
        <w:autoSpaceDE/>
        <w:autoSpaceDN/>
        <w:adjustRightInd/>
        <w:ind w:left="1984" w:leftChars="992" w:firstLine="480" w:firstLineChars="200"/>
        <w:jc w:val="both"/>
        <w:rPr>
          <w:rFonts w:eastAsia="宋体"/>
          <w:color w:val="000000"/>
          <w:sz w:val="24"/>
          <w:szCs w:val="24"/>
        </w:rPr>
      </w:pPr>
      <w:r>
        <w:rPr>
          <w:rFonts w:eastAsia="宋体"/>
          <w:color w:val="000000"/>
          <w:sz w:val="24"/>
          <w:szCs w:val="24"/>
        </w:rPr>
        <w:br w:type="page"/>
      </w:r>
    </w:p>
    <w:p w14:paraId="57C8B6F7">
      <w:pPr>
        <w:shd w:val="clear" w:color="auto" w:fill="FFFFFF"/>
        <w:topLinePunct/>
        <w:autoSpaceDE/>
        <w:autoSpaceDN/>
        <w:adjustRightInd/>
        <w:ind w:left="1984" w:leftChars="992" w:firstLine="480" w:firstLineChars="200"/>
        <w:jc w:val="both"/>
        <w:rPr>
          <w:rFonts w:eastAsia="宋体"/>
          <w:sz w:val="24"/>
          <w:szCs w:val="24"/>
        </w:rPr>
      </w:pPr>
      <w:r>
        <w:rPr>
          <w:rFonts w:eastAsia="宋体"/>
          <w:color w:val="000000"/>
          <w:sz w:val="24"/>
          <w:szCs w:val="24"/>
        </w:rPr>
        <w:t>有些产品并非预期专用于医疗器械，但仍可与医疗器械联合使用，且不符合附件定义，如果此类器械并非《FD&amp;C法案》第201(h)节规定的器械，则不值得独立分类。例如，非特定器械的现成替代部件（如电池、USB电缆、电脑鼠标等）可与医疗器械联合使用，但FDA预期不将这些产品视为附件或医疗器械。</w:t>
      </w:r>
    </w:p>
    <w:p w14:paraId="4A1FFB1F">
      <w:pPr>
        <w:widowControl/>
        <w:autoSpaceDE/>
        <w:autoSpaceDN/>
        <w:adjustRightInd/>
        <w:rPr>
          <w:rFonts w:eastAsia="宋体"/>
          <w:b/>
          <w:bCs/>
          <w:sz w:val="24"/>
          <w:szCs w:val="24"/>
        </w:rPr>
      </w:pPr>
    </w:p>
    <w:p w14:paraId="47F1A27D">
      <w:pPr>
        <w:pStyle w:val="3"/>
        <w:snapToGrid/>
        <w:spacing w:before="0" w:beforeLines="0" w:after="0" w:afterLines="0"/>
        <w:rPr>
          <w:rFonts w:cs="Times New Roman"/>
        </w:rPr>
      </w:pPr>
      <w:bookmarkStart w:id="6" w:name="_Toc97371722"/>
      <w:r>
        <w:rPr>
          <w:rFonts w:cs="Times New Roman"/>
        </w:rPr>
        <w:t>B.</w:t>
      </w:r>
      <w:r>
        <w:rPr>
          <w:rFonts w:cs="Times New Roman"/>
        </w:rPr>
        <w:tab/>
      </w:r>
      <w:r>
        <w:rPr>
          <w:rFonts w:cs="Times New Roman"/>
        </w:rPr>
        <w:t>当按预期用途与父器械联合使用时，该附件具有哪些风险，以及为合理保证其安全性和有效性需要哪些监管控制措施？</w:t>
      </w:r>
      <w:bookmarkEnd w:id="6"/>
    </w:p>
    <w:p w14:paraId="32FADF4F">
      <w:pPr>
        <w:shd w:val="clear" w:color="auto" w:fill="FFFFFF"/>
        <w:topLinePunct/>
        <w:autoSpaceDE/>
        <w:autoSpaceDN/>
        <w:adjustRightInd/>
        <w:ind w:left="708" w:leftChars="354" w:firstLine="480" w:firstLineChars="200"/>
        <w:jc w:val="both"/>
        <w:rPr>
          <w:rFonts w:eastAsia="宋体"/>
          <w:color w:val="000000"/>
          <w:sz w:val="24"/>
          <w:szCs w:val="24"/>
        </w:rPr>
      </w:pPr>
    </w:p>
    <w:p w14:paraId="1BF3612A">
      <w:pPr>
        <w:shd w:val="clear" w:color="auto" w:fill="FFFFFF"/>
        <w:topLinePunct/>
        <w:autoSpaceDE/>
        <w:autoSpaceDN/>
        <w:adjustRightInd/>
        <w:ind w:left="708" w:leftChars="354" w:firstLine="480" w:firstLineChars="200"/>
        <w:jc w:val="both"/>
        <w:rPr>
          <w:rFonts w:eastAsia="宋体"/>
          <w:sz w:val="24"/>
          <w:szCs w:val="24"/>
        </w:rPr>
      </w:pPr>
      <w:r>
        <w:rPr>
          <w:rFonts w:eastAsia="宋体"/>
          <w:color w:val="000000"/>
          <w:sz w:val="24"/>
          <w:szCs w:val="24"/>
        </w:rPr>
        <w:t>根据本指南所述的政策，FDA将根据附件的预期用途来确定附件的风险以及为其安全性和有效性提供合理保证所需的监管控制措施，其方式与确定非附属器械的方式相同。由于附件预期与一个或多个父器械联合使用并对其进行支持、补充和/或增强，因此FDA将确定附件在与父器械类型联合使用时的风险。</w:t>
      </w:r>
    </w:p>
    <w:p w14:paraId="5D55B689">
      <w:pPr>
        <w:shd w:val="clear" w:color="auto" w:fill="FFFFFF"/>
        <w:topLinePunct/>
        <w:autoSpaceDE/>
        <w:autoSpaceDN/>
        <w:adjustRightInd/>
        <w:ind w:left="708" w:leftChars="354" w:firstLine="480" w:firstLineChars="200"/>
        <w:jc w:val="both"/>
        <w:rPr>
          <w:rFonts w:eastAsia="宋体"/>
          <w:color w:val="000000"/>
          <w:sz w:val="24"/>
          <w:szCs w:val="24"/>
        </w:rPr>
      </w:pPr>
    </w:p>
    <w:p w14:paraId="62E3543C">
      <w:pPr>
        <w:shd w:val="clear" w:color="auto" w:fill="FFFFFF"/>
        <w:topLinePunct/>
        <w:autoSpaceDE/>
        <w:autoSpaceDN/>
        <w:adjustRightInd/>
        <w:ind w:left="708" w:leftChars="354" w:firstLine="480" w:firstLineChars="200"/>
        <w:jc w:val="both"/>
        <w:rPr>
          <w:rFonts w:eastAsia="宋体"/>
          <w:color w:val="000000"/>
          <w:sz w:val="24"/>
          <w:szCs w:val="24"/>
        </w:rPr>
      </w:pPr>
      <w:r>
        <w:rPr>
          <w:rFonts w:eastAsia="宋体"/>
          <w:color w:val="000000"/>
          <w:sz w:val="24"/>
          <w:szCs w:val="24"/>
        </w:rPr>
        <w:t>根据附件与父器械的使用情况来确定附件的风险，并不意味着父器械的所有风险均归咎于附件；附件的风险状况可能与父器械的风险状况截然不同，因此在监管分类上也应有所区别。</w:t>
      </w:r>
      <w:r>
        <w:rPr>
          <w:rFonts w:eastAsia="宋体"/>
          <w:sz w:val="24"/>
          <w:szCs w:val="24"/>
        </w:rPr>
        <w:t>在确定附件的分类时，FDA将评价附件对父器械的影响所带来的风险，以及附件独立于其父器械的任何特有风险。</w:t>
      </w:r>
      <w:r>
        <w:rPr>
          <w:rFonts w:eastAsia="宋体"/>
          <w:color w:val="000000"/>
          <w:sz w:val="24"/>
          <w:szCs w:val="24"/>
        </w:rPr>
        <w:t>与任何其他器械的分类一样，控制附属器械与父器械联合使用的这些风险所需的监管控制类型将决定附件的监管等级。</w:t>
      </w:r>
    </w:p>
    <w:p w14:paraId="3C4881A2">
      <w:pPr>
        <w:shd w:val="clear" w:color="auto" w:fill="FFFFFF"/>
        <w:topLinePunct/>
        <w:autoSpaceDE/>
        <w:autoSpaceDN/>
        <w:adjustRightInd/>
        <w:ind w:left="708" w:leftChars="354" w:firstLine="480" w:firstLineChars="200"/>
        <w:jc w:val="both"/>
        <w:rPr>
          <w:rFonts w:eastAsia="宋体"/>
          <w:sz w:val="24"/>
          <w:szCs w:val="24"/>
        </w:rPr>
      </w:pPr>
    </w:p>
    <w:p w14:paraId="462362AE">
      <w:pPr>
        <w:pStyle w:val="26"/>
        <w:snapToGrid/>
        <w:spacing w:before="0" w:beforeLines="0" w:after="0" w:afterLines="0"/>
      </w:pPr>
      <w:bookmarkStart w:id="7" w:name="_Toc97371723"/>
      <w:r>
        <w:t>附件分类过程</w:t>
      </w:r>
      <w:bookmarkEnd w:id="7"/>
    </w:p>
    <w:p w14:paraId="5CEF827B">
      <w:pPr>
        <w:shd w:val="clear" w:color="auto" w:fill="FFFFFF"/>
        <w:topLinePunct/>
        <w:autoSpaceDE/>
        <w:autoSpaceDN/>
        <w:adjustRightInd/>
        <w:ind w:left="708" w:leftChars="354" w:firstLine="480" w:firstLineChars="200"/>
        <w:jc w:val="both"/>
        <w:rPr>
          <w:rFonts w:eastAsia="宋体"/>
          <w:color w:val="000000"/>
          <w:sz w:val="24"/>
          <w:szCs w:val="24"/>
        </w:rPr>
      </w:pPr>
    </w:p>
    <w:p w14:paraId="568D81BB">
      <w:pPr>
        <w:pStyle w:val="3"/>
        <w:snapToGrid/>
        <w:spacing w:before="0" w:beforeLines="0" w:after="0" w:afterLines="0"/>
        <w:rPr>
          <w:rFonts w:cs="Times New Roman"/>
        </w:rPr>
      </w:pPr>
      <w:bookmarkStart w:id="8" w:name="_Toc97371724"/>
      <w:r>
        <w:rPr>
          <w:rFonts w:cs="Times New Roman"/>
        </w:rPr>
        <w:t>A.</w:t>
      </w:r>
      <w:r>
        <w:rPr>
          <w:rFonts w:cs="Times New Roman"/>
        </w:rPr>
        <w:tab/>
      </w:r>
      <w:r>
        <w:rPr>
          <w:rFonts w:cs="Times New Roman"/>
        </w:rPr>
        <w:t>附件申请</w:t>
      </w:r>
      <w:bookmarkEnd w:id="8"/>
    </w:p>
    <w:p w14:paraId="44A1F1DA">
      <w:pPr>
        <w:shd w:val="clear" w:color="auto" w:fill="FFFFFF"/>
        <w:topLinePunct/>
        <w:autoSpaceDE/>
        <w:autoSpaceDN/>
        <w:adjustRightInd/>
        <w:ind w:left="708" w:leftChars="354" w:firstLine="480" w:firstLineChars="200"/>
        <w:jc w:val="both"/>
        <w:rPr>
          <w:rFonts w:eastAsia="宋体"/>
          <w:color w:val="000000"/>
          <w:sz w:val="24"/>
          <w:szCs w:val="24"/>
        </w:rPr>
      </w:pPr>
    </w:p>
    <w:p w14:paraId="0DB6B894">
      <w:pPr>
        <w:shd w:val="clear" w:color="auto" w:fill="FFFFFF"/>
        <w:topLinePunct/>
        <w:autoSpaceDE/>
        <w:autoSpaceDN/>
        <w:adjustRightInd/>
        <w:ind w:left="708" w:leftChars="354" w:firstLine="480" w:firstLineChars="200"/>
        <w:jc w:val="both"/>
        <w:rPr>
          <w:rFonts w:eastAsia="宋体"/>
          <w:sz w:val="24"/>
          <w:szCs w:val="24"/>
        </w:rPr>
      </w:pPr>
      <w:r>
        <w:rPr>
          <w:rFonts w:eastAsia="宋体"/>
          <w:color w:val="000000"/>
          <w:sz w:val="24"/>
          <w:szCs w:val="24"/>
        </w:rPr>
        <w:t>可根据《FD&amp;C法案》第513(f)(6)节的规定，通过下列所述附件申请类型，申请对合法上市附件或新附件类型进行适当分类或创新产品分类。请注意，FDA预期将附件申请作为Q-申请进行跟踪。</w:t>
      </w:r>
    </w:p>
    <w:p w14:paraId="3373ECEC">
      <w:pPr>
        <w:shd w:val="clear" w:color="auto" w:fill="FFFFFF"/>
        <w:topLinePunct/>
        <w:autoSpaceDE/>
        <w:autoSpaceDN/>
        <w:adjustRightInd/>
        <w:ind w:left="708" w:leftChars="354" w:firstLine="480" w:firstLineChars="200"/>
        <w:jc w:val="both"/>
        <w:rPr>
          <w:rFonts w:eastAsia="宋体"/>
          <w:color w:val="000000"/>
          <w:sz w:val="24"/>
          <w:szCs w:val="24"/>
        </w:rPr>
      </w:pPr>
    </w:p>
    <w:p w14:paraId="35D3D0D8">
      <w:pPr>
        <w:shd w:val="clear" w:color="auto" w:fill="FFFFFF"/>
        <w:topLinePunct/>
        <w:autoSpaceDE/>
        <w:autoSpaceDN/>
        <w:adjustRightInd/>
        <w:ind w:left="708" w:leftChars="354" w:firstLine="480" w:firstLineChars="200"/>
        <w:jc w:val="both"/>
        <w:rPr>
          <w:rFonts w:eastAsia="宋体"/>
          <w:sz w:val="24"/>
          <w:szCs w:val="24"/>
        </w:rPr>
      </w:pPr>
      <w:r>
        <w:rPr>
          <w:rFonts w:eastAsia="宋体"/>
          <w:color w:val="000000"/>
          <w:sz w:val="24"/>
          <w:szCs w:val="24"/>
        </w:rPr>
        <w:t>对于受CDRH监管的器械，附件申请应提交至：</w:t>
      </w:r>
    </w:p>
    <w:p w14:paraId="0154FA65">
      <w:pPr>
        <w:shd w:val="clear" w:color="auto" w:fill="FFFFFF"/>
        <w:topLinePunct/>
        <w:autoSpaceDE/>
        <w:autoSpaceDN/>
        <w:adjustRightInd/>
        <w:ind w:left="1984" w:leftChars="992"/>
        <w:jc w:val="both"/>
        <w:rPr>
          <w:rFonts w:eastAsia="宋体"/>
          <w:color w:val="000000"/>
          <w:sz w:val="24"/>
          <w:szCs w:val="24"/>
        </w:rPr>
      </w:pPr>
    </w:p>
    <w:p w14:paraId="19FFC876">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美国食品药品监督管理局</w:t>
      </w:r>
    </w:p>
    <w:p w14:paraId="04BA101E">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医疗器械和辐射健康中心</w:t>
      </w:r>
    </w:p>
    <w:p w14:paraId="7108F9AE">
      <w:pPr>
        <w:shd w:val="clear" w:color="auto" w:fill="FFFFFF"/>
        <w:topLinePunct/>
        <w:autoSpaceDE/>
        <w:autoSpaceDN/>
        <w:adjustRightInd/>
        <w:ind w:left="1984" w:leftChars="992"/>
        <w:jc w:val="both"/>
        <w:rPr>
          <w:rFonts w:eastAsia="宋体"/>
          <w:sz w:val="24"/>
          <w:szCs w:val="24"/>
        </w:rPr>
      </w:pPr>
      <w:r>
        <w:rPr>
          <w:rFonts w:eastAsia="宋体"/>
          <w:color w:val="000000"/>
          <w:sz w:val="24"/>
          <w:szCs w:val="24"/>
        </w:rPr>
        <w:t>文件控制中心 – WO66-G609</w:t>
      </w:r>
    </w:p>
    <w:p w14:paraId="005F7D8E">
      <w:pPr>
        <w:shd w:val="clear" w:color="auto" w:fill="FFFFFF"/>
        <w:topLinePunct/>
        <w:autoSpaceDE/>
        <w:autoSpaceDN/>
        <w:adjustRightInd/>
        <w:ind w:left="1984" w:leftChars="992"/>
        <w:jc w:val="both"/>
        <w:rPr>
          <w:rFonts w:eastAsia="宋体"/>
          <w:sz w:val="24"/>
          <w:szCs w:val="24"/>
        </w:rPr>
      </w:pPr>
      <w:r>
        <w:rPr>
          <w:rFonts w:eastAsia="宋体"/>
          <w:color w:val="000000"/>
          <w:sz w:val="24"/>
          <w:szCs w:val="24"/>
        </w:rPr>
        <w:t>10903 New Hampshire Ave</w:t>
      </w:r>
    </w:p>
    <w:p w14:paraId="6A604F14">
      <w:pPr>
        <w:shd w:val="clear" w:color="auto" w:fill="FFFFFF"/>
        <w:topLinePunct/>
        <w:autoSpaceDE/>
        <w:autoSpaceDN/>
        <w:adjustRightInd/>
        <w:ind w:left="1984" w:leftChars="992"/>
        <w:jc w:val="both"/>
        <w:rPr>
          <w:rFonts w:eastAsia="宋体"/>
          <w:sz w:val="24"/>
          <w:szCs w:val="24"/>
        </w:rPr>
      </w:pPr>
      <w:r>
        <w:rPr>
          <w:rFonts w:eastAsia="宋体"/>
          <w:color w:val="000000"/>
          <w:sz w:val="24"/>
          <w:szCs w:val="24"/>
        </w:rPr>
        <w:t>Silver Spring, Maryland 20993-0002</w:t>
      </w:r>
    </w:p>
    <w:p w14:paraId="0BC6AFB3">
      <w:pPr>
        <w:widowControl/>
        <w:autoSpaceDE/>
        <w:autoSpaceDN/>
        <w:adjustRightInd/>
        <w:rPr>
          <w:rFonts w:eastAsia="宋体"/>
          <w:color w:val="000000"/>
          <w:sz w:val="24"/>
          <w:szCs w:val="24"/>
        </w:rPr>
      </w:pPr>
      <w:r>
        <w:rPr>
          <w:rFonts w:eastAsia="宋体"/>
          <w:color w:val="000000"/>
          <w:sz w:val="24"/>
          <w:szCs w:val="24"/>
        </w:rPr>
        <w:br w:type="page"/>
      </w:r>
    </w:p>
    <w:p w14:paraId="604F2A6F">
      <w:pPr>
        <w:shd w:val="clear" w:color="auto" w:fill="FFFFFF"/>
        <w:topLinePunct/>
        <w:autoSpaceDE/>
        <w:autoSpaceDN/>
        <w:adjustRightInd/>
        <w:ind w:left="708" w:leftChars="354" w:firstLine="480" w:firstLineChars="200"/>
        <w:jc w:val="both"/>
        <w:rPr>
          <w:rFonts w:eastAsia="宋体"/>
          <w:sz w:val="24"/>
          <w:szCs w:val="24"/>
        </w:rPr>
      </w:pPr>
      <w:r>
        <w:rPr>
          <w:rFonts w:eastAsia="宋体"/>
          <w:color w:val="000000"/>
          <w:sz w:val="24"/>
          <w:szCs w:val="24"/>
        </w:rPr>
        <w:t>对于受CBER监管的器械，附件申请应提交至：</w:t>
      </w:r>
    </w:p>
    <w:p w14:paraId="3416B44E">
      <w:pPr>
        <w:shd w:val="clear" w:color="auto" w:fill="FFFFFF"/>
        <w:topLinePunct/>
        <w:autoSpaceDE/>
        <w:autoSpaceDN/>
        <w:adjustRightInd/>
        <w:ind w:left="1984" w:leftChars="992"/>
        <w:jc w:val="both"/>
        <w:rPr>
          <w:rFonts w:eastAsia="宋体"/>
          <w:color w:val="000000"/>
          <w:sz w:val="24"/>
          <w:szCs w:val="24"/>
        </w:rPr>
      </w:pPr>
    </w:p>
    <w:p w14:paraId="0E214CA9">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美国食品药品监督管理局</w:t>
      </w:r>
    </w:p>
    <w:p w14:paraId="501FB180">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生物制品评价与研究中心</w:t>
      </w:r>
    </w:p>
    <w:p w14:paraId="7B70EE0B">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文件控制中心</w:t>
      </w:r>
    </w:p>
    <w:p w14:paraId="1B594A3B">
      <w:pPr>
        <w:shd w:val="clear" w:color="auto" w:fill="FFFFFF"/>
        <w:topLinePunct/>
        <w:autoSpaceDE/>
        <w:autoSpaceDN/>
        <w:adjustRightInd/>
        <w:ind w:left="1984" w:leftChars="992"/>
        <w:jc w:val="both"/>
        <w:rPr>
          <w:rFonts w:eastAsia="宋体"/>
          <w:color w:val="000000"/>
          <w:sz w:val="24"/>
          <w:szCs w:val="24"/>
        </w:rPr>
      </w:pPr>
      <w:r>
        <w:rPr>
          <w:rFonts w:eastAsia="宋体"/>
          <w:color w:val="000000"/>
          <w:sz w:val="24"/>
          <w:szCs w:val="24"/>
        </w:rPr>
        <w:t>10903 New Hampshire Ave.</w:t>
      </w:r>
    </w:p>
    <w:p w14:paraId="2FDED725">
      <w:pPr>
        <w:shd w:val="clear" w:color="auto" w:fill="FFFFFF"/>
        <w:topLinePunct/>
        <w:autoSpaceDE/>
        <w:autoSpaceDN/>
        <w:adjustRightInd/>
        <w:ind w:left="1984" w:leftChars="992"/>
        <w:jc w:val="both"/>
        <w:rPr>
          <w:rFonts w:eastAsia="宋体"/>
          <w:color w:val="000000"/>
          <w:sz w:val="24"/>
          <w:szCs w:val="24"/>
          <w:lang w:val="de-DE"/>
        </w:rPr>
      </w:pPr>
      <w:r>
        <w:rPr>
          <w:rFonts w:eastAsia="宋体"/>
          <w:color w:val="000000"/>
          <w:sz w:val="24"/>
          <w:szCs w:val="24"/>
          <w:lang w:val="de-DE"/>
        </w:rPr>
        <w:t>WO71-G112</w:t>
      </w:r>
    </w:p>
    <w:p w14:paraId="0C9ED8B3">
      <w:pPr>
        <w:shd w:val="clear" w:color="auto" w:fill="FFFFFF"/>
        <w:topLinePunct/>
        <w:autoSpaceDE/>
        <w:autoSpaceDN/>
        <w:adjustRightInd/>
        <w:ind w:left="1984" w:leftChars="992"/>
        <w:jc w:val="both"/>
        <w:rPr>
          <w:rFonts w:eastAsia="宋体"/>
          <w:color w:val="000000"/>
          <w:sz w:val="24"/>
          <w:szCs w:val="24"/>
          <w:lang w:val="de-DE"/>
        </w:rPr>
      </w:pPr>
      <w:r>
        <w:rPr>
          <w:rFonts w:eastAsia="宋体"/>
          <w:color w:val="000000"/>
          <w:sz w:val="24"/>
          <w:szCs w:val="24"/>
          <w:lang w:val="de-DE"/>
        </w:rPr>
        <w:t>Silver Spring, Maryland 20993-0002</w:t>
      </w:r>
    </w:p>
    <w:p w14:paraId="660FF657">
      <w:pPr>
        <w:shd w:val="clear" w:color="auto" w:fill="FFFFFF"/>
        <w:topLinePunct/>
        <w:autoSpaceDE/>
        <w:autoSpaceDN/>
        <w:adjustRightInd/>
        <w:ind w:left="1984" w:leftChars="992"/>
        <w:jc w:val="both"/>
        <w:rPr>
          <w:rFonts w:eastAsia="宋体"/>
          <w:sz w:val="24"/>
          <w:szCs w:val="24"/>
          <w:lang w:val="de-DE"/>
        </w:rPr>
      </w:pPr>
    </w:p>
    <w:p w14:paraId="44EC065F">
      <w:pPr>
        <w:shd w:val="clear" w:color="auto" w:fill="FFFFFF"/>
        <w:topLinePunct/>
        <w:autoSpaceDE/>
        <w:autoSpaceDN/>
        <w:adjustRightInd/>
        <w:ind w:left="1984" w:leftChars="721" w:hanging="542" w:hangingChars="225"/>
        <w:jc w:val="both"/>
        <w:rPr>
          <w:rFonts w:eastAsia="宋体"/>
          <w:sz w:val="24"/>
          <w:szCs w:val="24"/>
        </w:rPr>
      </w:pPr>
      <w:r>
        <w:rPr>
          <w:rFonts w:eastAsia="宋体"/>
          <w:b/>
          <w:color w:val="000000"/>
          <w:sz w:val="24"/>
          <w:szCs w:val="24"/>
        </w:rPr>
        <w:t>1.</w:t>
      </w:r>
      <w:r>
        <w:rPr>
          <w:rFonts w:eastAsia="宋体"/>
          <w:b/>
          <w:color w:val="000000"/>
          <w:sz w:val="24"/>
          <w:szCs w:val="24"/>
        </w:rPr>
        <w:tab/>
      </w:r>
      <w:r>
        <w:rPr>
          <w:rFonts w:eastAsia="宋体"/>
          <w:b/>
          <w:color w:val="000000"/>
          <w:sz w:val="24"/>
          <w:szCs w:val="24"/>
        </w:rPr>
        <w:t>新附件类型</w:t>
      </w:r>
    </w:p>
    <w:p w14:paraId="0D6A636E">
      <w:pPr>
        <w:shd w:val="clear" w:color="auto" w:fill="FFFFFF"/>
        <w:topLinePunct/>
        <w:autoSpaceDE/>
        <w:autoSpaceDN/>
        <w:adjustRightInd/>
        <w:ind w:left="1984" w:leftChars="992" w:firstLine="480" w:firstLineChars="200"/>
        <w:jc w:val="both"/>
        <w:rPr>
          <w:rFonts w:eastAsia="宋体"/>
          <w:color w:val="000000"/>
          <w:sz w:val="24"/>
          <w:szCs w:val="24"/>
        </w:rPr>
      </w:pPr>
    </w:p>
    <w:p w14:paraId="2DBD3EF5">
      <w:pPr>
        <w:shd w:val="clear" w:color="auto" w:fill="FFFFFF"/>
        <w:topLinePunct/>
        <w:autoSpaceDE/>
        <w:autoSpaceDN/>
        <w:adjustRightInd/>
        <w:ind w:left="1984" w:leftChars="992" w:firstLine="480" w:firstLineChars="200"/>
        <w:jc w:val="both"/>
        <w:rPr>
          <w:rFonts w:eastAsia="宋体"/>
          <w:sz w:val="24"/>
          <w:szCs w:val="24"/>
        </w:rPr>
      </w:pPr>
      <w:r>
        <w:rPr>
          <w:rFonts w:eastAsia="宋体"/>
          <w:color w:val="000000"/>
          <w:sz w:val="24"/>
          <w:szCs w:val="24"/>
        </w:rPr>
        <w:t>根据《FD&amp;C法案》第513(f)(6)(</w:t>
      </w:r>
      <w:r>
        <w:rPr>
          <w:rFonts w:hint="eastAsia" w:eastAsia="宋体"/>
          <w:color w:val="000000"/>
          <w:sz w:val="24"/>
          <w:szCs w:val="24"/>
        </w:rPr>
        <w:t>C</w:t>
      </w:r>
      <w:r>
        <w:rPr>
          <w:rFonts w:eastAsia="宋体"/>
          <w:color w:val="000000"/>
          <w:sz w:val="24"/>
          <w:szCs w:val="24"/>
        </w:rPr>
        <w:t>)节的规定，如果附件未明确归类于另一个器械，您可以提交附件申请，对包含在PMA、PMA补充文件或510(k)中的附件进行适当分类。新附件申请适用于之前未根据《FD&amp;C法案》分类、未根据510(k)申请获批准上市或未在PMA中获批准的附件类型。该申请应与父器械申请一起提交，并包括一封明确指出该申请包括</w:t>
      </w:r>
      <w:r>
        <w:rPr>
          <w:rFonts w:ascii="宋体" w:hAnsi="宋体" w:eastAsia="宋体"/>
          <w:color w:val="000000"/>
          <w:sz w:val="24"/>
          <w:szCs w:val="24"/>
        </w:rPr>
        <w:t>“</w:t>
      </w:r>
      <w:r>
        <w:rPr>
          <w:rFonts w:eastAsia="宋体"/>
          <w:color w:val="000000"/>
          <w:sz w:val="24"/>
          <w:szCs w:val="24"/>
        </w:rPr>
        <w:t>新附件申请</w:t>
      </w:r>
      <w:r>
        <w:rPr>
          <w:rFonts w:ascii="宋体" w:hAnsi="宋体" w:eastAsia="宋体"/>
          <w:color w:val="000000"/>
          <w:sz w:val="24"/>
          <w:szCs w:val="24"/>
        </w:rPr>
        <w:t>”</w:t>
      </w:r>
      <w:r>
        <w:rPr>
          <w:rFonts w:eastAsia="宋体"/>
          <w:color w:val="000000"/>
          <w:sz w:val="24"/>
          <w:szCs w:val="24"/>
        </w:rPr>
        <w:t>的说明信。</w:t>
      </w:r>
      <w:r>
        <w:rPr>
          <w:rFonts w:eastAsia="宋体"/>
          <w:sz w:val="24"/>
          <w:szCs w:val="24"/>
        </w:rPr>
        <w:t>说明信和/或申请中还应明确指出该附件的拟议分类（即I类或II类）。</w:t>
      </w:r>
      <w:r>
        <w:rPr>
          <w:rFonts w:eastAsia="宋体"/>
          <w:color w:val="000000"/>
          <w:sz w:val="24"/>
          <w:szCs w:val="24"/>
        </w:rPr>
        <w:t>此外，该申请应根据最小负担原则提供必要信息，以确定附件在按预期用途与父器械联合使用时的风险状况，如上文第V.B.节所述。请注意，如果根据《FD&amp;C法案》第513(a)(1)(B)节</w:t>
      </w:r>
      <w:r>
        <w:rPr>
          <w:rStyle w:val="17"/>
          <w:rFonts w:eastAsia="宋体"/>
          <w:color w:val="000000"/>
          <w:sz w:val="24"/>
          <w:szCs w:val="24"/>
        </w:rPr>
        <w:footnoteReference w:id="9"/>
      </w:r>
      <w:r>
        <w:rPr>
          <w:rFonts w:eastAsia="宋体"/>
          <w:color w:val="000000"/>
          <w:sz w:val="24"/>
          <w:szCs w:val="24"/>
        </w:rPr>
        <w:t>的规定需要采取特殊控制措施，则要求将附件归入II类的申请必须包括一份特殊控制措施的初步方案草案。</w:t>
      </w:r>
    </w:p>
    <w:p w14:paraId="45751979">
      <w:pPr>
        <w:shd w:val="clear" w:color="auto" w:fill="FFFFFF"/>
        <w:topLinePunct/>
        <w:autoSpaceDE/>
        <w:autoSpaceDN/>
        <w:adjustRightInd/>
        <w:ind w:left="1984" w:leftChars="992" w:firstLine="480" w:firstLineChars="200"/>
        <w:jc w:val="both"/>
        <w:rPr>
          <w:rFonts w:eastAsia="宋体"/>
          <w:color w:val="000000"/>
          <w:sz w:val="24"/>
          <w:szCs w:val="24"/>
        </w:rPr>
      </w:pPr>
    </w:p>
    <w:p w14:paraId="38FD52C2">
      <w:pPr>
        <w:rPr>
          <w:color w:val="3333FF"/>
          <w:sz w:val="21"/>
          <w:szCs w:val="21"/>
          <w:u w:val="single"/>
        </w:rPr>
      </w:pPr>
      <w:r>
        <w:rPr>
          <w:rFonts w:eastAsia="宋体"/>
          <w:color w:val="000000"/>
          <w:sz w:val="24"/>
          <w:szCs w:val="24"/>
        </w:rPr>
        <w:t>由于FDA就特定问题提供的反馈意见对于引导产品开发和/或申请筹备而言至关重要，则提交预审申请是适宜之举，因此我们建议您提交预审申请以要求获得对拟议附件申请的反馈。</w:t>
      </w:r>
      <w:r>
        <w:rPr>
          <w:rFonts w:eastAsia="宋体"/>
          <w:sz w:val="24"/>
          <w:szCs w:val="24"/>
        </w:rPr>
        <w:t>如需了解更多信息，请参阅FDA指导文件《</w:t>
      </w:r>
      <w:r>
        <w:rPr>
          <w:rFonts w:eastAsia="宋体"/>
          <w:color w:val="3333FF"/>
          <w:sz w:val="24"/>
          <w:szCs w:val="24"/>
          <w:u w:val="single"/>
        </w:rPr>
        <w:t>请求获取医疗器械申请的反馈意见：预申请项目及与美国食品药品监督管理局工作人员</w:t>
      </w:r>
      <w:r>
        <w:rPr>
          <w:rFonts w:hint="eastAsia" w:eastAsia="宋体"/>
          <w:color w:val="3333FF"/>
          <w:sz w:val="24"/>
          <w:szCs w:val="24"/>
          <w:u w:val="single"/>
        </w:rPr>
        <w:t>的</w:t>
      </w:r>
      <w:r>
        <w:rPr>
          <w:rFonts w:eastAsia="宋体"/>
          <w:color w:val="3333FF"/>
          <w:sz w:val="24"/>
          <w:szCs w:val="24"/>
          <w:u w:val="single"/>
        </w:rPr>
        <w:t>会议-面向行业和美国食品药品监督管理局工作人员的指南</w:t>
      </w:r>
      <w:r>
        <w:rPr>
          <w:rFonts w:eastAsia="宋体"/>
          <w:sz w:val="24"/>
          <w:szCs w:val="24"/>
        </w:rPr>
        <w:t>》。</w:t>
      </w:r>
      <w:r>
        <w:rPr>
          <w:rFonts w:eastAsia="宋体"/>
          <w:sz w:val="24"/>
          <w:szCs w:val="24"/>
          <w:u w:val="single"/>
        </w:rPr>
        <w:t>（</w:t>
      </w:r>
      <w:r>
        <w:rPr>
          <w:rFonts w:eastAsia="宋体"/>
          <w:color w:val="3333FF"/>
          <w:sz w:val="24"/>
          <w:szCs w:val="24"/>
          <w:u w:val="single"/>
        </w:rPr>
        <w:t>https://www.fda.gov/downloads/MedicalDevices/DeviceRegulationandGuidance/ GuidanceDocuments/UCM311176.pdf</w:t>
      </w:r>
      <w:r>
        <w:rPr>
          <w:rFonts w:eastAsia="宋体"/>
          <w:sz w:val="24"/>
          <w:szCs w:val="24"/>
          <w:u w:val="single"/>
        </w:rPr>
        <w:t>）</w:t>
      </w:r>
      <w:r>
        <w:rPr>
          <w:rFonts w:eastAsia="宋体"/>
          <w:sz w:val="24"/>
          <w:szCs w:val="24"/>
        </w:rPr>
        <w:t>。</w:t>
      </w:r>
      <w:r>
        <w:rPr>
          <w:rFonts w:eastAsia="宋体"/>
          <w:color w:val="000000"/>
          <w:sz w:val="24"/>
          <w:szCs w:val="24"/>
        </w:rPr>
        <w:t>FDA必须在对提交申请的上市前申请作出决定的同时，批准或拒绝新附件申请。</w:t>
      </w:r>
      <w:r>
        <w:rPr>
          <w:rStyle w:val="17"/>
          <w:rFonts w:eastAsia="宋体"/>
          <w:color w:val="000000"/>
          <w:sz w:val="24"/>
          <w:szCs w:val="24"/>
        </w:rPr>
        <w:footnoteReference w:id="10"/>
      </w:r>
      <w:r>
        <w:rPr>
          <w:rFonts w:eastAsia="宋体"/>
          <w:color w:val="000000"/>
          <w:sz w:val="24"/>
          <w:szCs w:val="24"/>
        </w:rPr>
        <w:t>如果新附件申请获得批准，我们将向您发出命令，为该附件的指定预期用途和任何与该附件有相同预期用途的附件建立新分类。从批准命令生效之日起，申请者可立即开始销售接受一般控制和任何已确定的特殊控制的器械。如果新附件申请被拒绝，但与之一起提交的上市前申请获得批准或许可，则该附件可合法上市，但会将其视为与父器械属于相同分类。</w:t>
      </w:r>
    </w:p>
    <w:p w14:paraId="7D25EC52">
      <w:pPr>
        <w:shd w:val="clear" w:color="auto" w:fill="FFFFFF"/>
        <w:topLinePunct/>
        <w:autoSpaceDE/>
        <w:autoSpaceDN/>
        <w:adjustRightInd/>
        <w:jc w:val="both"/>
        <w:rPr>
          <w:rFonts w:eastAsia="宋体"/>
          <w:sz w:val="24"/>
          <w:szCs w:val="24"/>
        </w:rPr>
      </w:pPr>
    </w:p>
    <w:p w14:paraId="32E80F95">
      <w:pPr>
        <w:shd w:val="clear" w:color="auto" w:fill="FFFFFF"/>
        <w:topLinePunct/>
        <w:autoSpaceDE/>
        <w:autoSpaceDN/>
        <w:adjustRightInd/>
        <w:ind w:left="1984" w:leftChars="721" w:hanging="542" w:hangingChars="225"/>
        <w:jc w:val="both"/>
        <w:rPr>
          <w:rFonts w:eastAsia="宋体"/>
          <w:sz w:val="24"/>
          <w:szCs w:val="24"/>
        </w:rPr>
      </w:pPr>
      <w:r>
        <w:rPr>
          <w:rFonts w:eastAsia="宋体"/>
          <w:b/>
          <w:color w:val="000000"/>
          <w:sz w:val="24"/>
          <w:szCs w:val="24"/>
        </w:rPr>
        <w:t>2.</w:t>
      </w:r>
      <w:r>
        <w:rPr>
          <w:rFonts w:eastAsia="宋体"/>
          <w:b/>
          <w:color w:val="000000"/>
          <w:sz w:val="24"/>
          <w:szCs w:val="24"/>
        </w:rPr>
        <w:tab/>
      </w:r>
      <w:r>
        <w:rPr>
          <w:rFonts w:eastAsia="宋体"/>
          <w:b/>
          <w:color w:val="000000"/>
          <w:sz w:val="24"/>
          <w:szCs w:val="24"/>
        </w:rPr>
        <w:t>现有附件类型</w:t>
      </w:r>
    </w:p>
    <w:p w14:paraId="6B3C48B5">
      <w:pPr>
        <w:shd w:val="clear" w:color="auto" w:fill="FFFFFF"/>
        <w:topLinePunct/>
        <w:autoSpaceDE/>
        <w:autoSpaceDN/>
        <w:adjustRightInd/>
        <w:ind w:left="1984" w:leftChars="992" w:firstLine="480" w:firstLineChars="200"/>
        <w:jc w:val="both"/>
        <w:rPr>
          <w:rFonts w:eastAsia="宋体"/>
          <w:color w:val="000000"/>
          <w:sz w:val="24"/>
          <w:szCs w:val="24"/>
        </w:rPr>
      </w:pPr>
    </w:p>
    <w:p w14:paraId="17E5AE49">
      <w:pPr>
        <w:shd w:val="clear" w:color="auto" w:fill="FFFFFF"/>
        <w:topLinePunct/>
        <w:autoSpaceDE/>
        <w:autoSpaceDN/>
        <w:adjustRightInd/>
        <w:ind w:left="1984" w:leftChars="992" w:firstLine="480" w:firstLineChars="200"/>
        <w:jc w:val="both"/>
        <w:rPr>
          <w:rFonts w:eastAsia="宋体"/>
          <w:color w:val="000000"/>
          <w:sz w:val="24"/>
          <w:szCs w:val="24"/>
          <w:vertAlign w:val="superscript"/>
        </w:rPr>
      </w:pPr>
      <w:r>
        <w:rPr>
          <w:rFonts w:eastAsia="宋体"/>
          <w:color w:val="000000"/>
          <w:sz w:val="24"/>
          <w:szCs w:val="24"/>
        </w:rPr>
        <w:t>根据《FD&amp;C法案》第513(f)(6)(D)节的规定，您可通过上市前申请或对此类其他器械的创新产品分类申请（称为</w:t>
      </w:r>
      <w:r>
        <w:rPr>
          <w:rFonts w:ascii="宋体" w:hAnsi="宋体" w:eastAsia="宋体"/>
          <w:color w:val="000000"/>
          <w:sz w:val="24"/>
          <w:szCs w:val="24"/>
        </w:rPr>
        <w:t>“</w:t>
      </w:r>
      <w:r>
        <w:rPr>
          <w:rFonts w:eastAsia="宋体"/>
          <w:color w:val="000000"/>
          <w:sz w:val="24"/>
          <w:szCs w:val="24"/>
        </w:rPr>
        <w:t>现有附件类型</w:t>
      </w:r>
      <w:r>
        <w:rPr>
          <w:rFonts w:ascii="宋体" w:hAnsi="宋体" w:eastAsia="宋体"/>
          <w:color w:val="000000"/>
          <w:sz w:val="24"/>
          <w:szCs w:val="24"/>
        </w:rPr>
        <w:t>”</w:t>
      </w:r>
      <w:r>
        <w:rPr>
          <w:rFonts w:eastAsia="宋体"/>
          <w:color w:val="000000"/>
          <w:sz w:val="24"/>
          <w:szCs w:val="24"/>
        </w:rPr>
        <w:t>）提交附件申请，对作为另一器械申请的一部分已获上市许可的附件进行适当分类，所涉及的附件预期与该器械联合使用。该附件申请应包括一封明确指出该申请是</w:t>
      </w:r>
      <w:r>
        <w:rPr>
          <w:rFonts w:ascii="宋体" w:hAnsi="宋体" w:eastAsia="宋体"/>
          <w:color w:val="000000"/>
          <w:sz w:val="24"/>
          <w:szCs w:val="24"/>
        </w:rPr>
        <w:t>“</w:t>
      </w:r>
      <w:r>
        <w:rPr>
          <w:rFonts w:eastAsia="宋体"/>
          <w:color w:val="000000"/>
          <w:sz w:val="24"/>
          <w:szCs w:val="24"/>
        </w:rPr>
        <w:t>现有附件申请</w:t>
      </w:r>
      <w:r>
        <w:rPr>
          <w:rFonts w:ascii="宋体" w:hAnsi="宋体" w:eastAsia="宋体"/>
          <w:color w:val="000000"/>
          <w:sz w:val="24"/>
          <w:szCs w:val="24"/>
        </w:rPr>
        <w:t>”</w:t>
      </w:r>
      <w:r>
        <w:rPr>
          <w:rFonts w:eastAsia="宋体"/>
          <w:color w:val="000000"/>
          <w:sz w:val="24"/>
          <w:szCs w:val="24"/>
        </w:rPr>
        <w:t>的说明信。说明信和/或申请中还应明确指出该附件的拟议分类（即I类或II类）以及当前分类。现有附件申请应包括根据最小负担原则提供的必要信息，以确定附件在按预期用途与已识别父器械联合使用时的风险状况，如上文第V.B.节所述。请注意，如果根据《FD&amp;C法案》第513(a)(1)(B)节</w:t>
      </w:r>
      <w:r>
        <w:rPr>
          <w:rStyle w:val="17"/>
          <w:rFonts w:eastAsia="宋体"/>
          <w:color w:val="000000"/>
          <w:sz w:val="24"/>
          <w:szCs w:val="24"/>
        </w:rPr>
        <w:footnoteReference w:id="11"/>
      </w:r>
      <w:r>
        <w:rPr>
          <w:rFonts w:eastAsia="宋体"/>
          <w:color w:val="000000"/>
          <w:sz w:val="24"/>
          <w:szCs w:val="24"/>
        </w:rPr>
        <w:t>的规定需要采取特殊控制措施，则要求将附件归入II类的申请必须包括一份特殊控制措施的初步方案草案。提交现有附件申请之前，FDA将根据要求提供一次会议机会，以讨论附件的适当分类。</w:t>
      </w:r>
      <w:r>
        <w:rPr>
          <w:rStyle w:val="17"/>
          <w:rFonts w:eastAsia="宋体"/>
          <w:color w:val="000000"/>
          <w:sz w:val="24"/>
          <w:szCs w:val="24"/>
        </w:rPr>
        <w:footnoteReference w:id="12"/>
      </w:r>
    </w:p>
    <w:p w14:paraId="02BE354E">
      <w:pPr>
        <w:shd w:val="clear" w:color="auto" w:fill="FFFFFF"/>
        <w:topLinePunct/>
        <w:autoSpaceDE/>
        <w:autoSpaceDN/>
        <w:adjustRightInd/>
        <w:ind w:left="1984" w:leftChars="992" w:firstLine="480" w:firstLineChars="200"/>
        <w:jc w:val="both"/>
        <w:rPr>
          <w:rFonts w:eastAsia="宋体"/>
          <w:color w:val="000000"/>
          <w:sz w:val="24"/>
          <w:szCs w:val="24"/>
        </w:rPr>
      </w:pPr>
    </w:p>
    <w:p w14:paraId="56A5614E">
      <w:pPr>
        <w:rPr>
          <w:color w:val="3333FF"/>
          <w:sz w:val="21"/>
          <w:szCs w:val="21"/>
          <w:u w:val="single"/>
        </w:rPr>
      </w:pPr>
      <w:r>
        <w:rPr>
          <w:rFonts w:eastAsia="宋体"/>
          <w:color w:val="000000"/>
          <w:sz w:val="24"/>
          <w:szCs w:val="24"/>
        </w:rPr>
        <w:t>由于FDA就特定问题提供的反馈意见对于引导产品开发和/或申请筹备而言至关重要，则提交预审申请是适宜之举，因此我们建议您提交预审申请以要求获得对拟议附件申请的反馈。</w:t>
      </w:r>
      <w:r>
        <w:rPr>
          <w:rFonts w:eastAsia="宋体"/>
          <w:sz w:val="24"/>
          <w:szCs w:val="24"/>
        </w:rPr>
        <w:t>如需了解更多信息，请参阅FDA指导文件《</w:t>
      </w:r>
      <w:r>
        <w:rPr>
          <w:rFonts w:eastAsia="宋体"/>
          <w:color w:val="3333FF"/>
          <w:sz w:val="24"/>
          <w:szCs w:val="24"/>
          <w:u w:val="single"/>
        </w:rPr>
        <w:t>请求获取医疗器械申请的反馈意见：预申请项目及与美国食品药品监督管理局工作人员</w:t>
      </w:r>
      <w:r>
        <w:rPr>
          <w:rFonts w:hint="eastAsia" w:eastAsia="宋体"/>
          <w:color w:val="3333FF"/>
          <w:sz w:val="24"/>
          <w:szCs w:val="24"/>
          <w:u w:val="single"/>
        </w:rPr>
        <w:t>的</w:t>
      </w:r>
      <w:r>
        <w:rPr>
          <w:rFonts w:eastAsia="宋体"/>
          <w:color w:val="3333FF"/>
          <w:sz w:val="24"/>
          <w:szCs w:val="24"/>
          <w:u w:val="single"/>
        </w:rPr>
        <w:t>会议-面向行业和美国食品药品监督管理局工作人员的指南</w:t>
      </w:r>
      <w:r>
        <w:rPr>
          <w:rFonts w:eastAsia="宋体"/>
          <w:sz w:val="24"/>
          <w:szCs w:val="24"/>
        </w:rPr>
        <w:t>》。</w:t>
      </w:r>
      <w:r>
        <w:rPr>
          <w:rFonts w:hint="eastAsia" w:eastAsia="宋体"/>
          <w:sz w:val="24"/>
          <w:szCs w:val="24"/>
        </w:rPr>
        <w:br w:type="textWrapping"/>
      </w:r>
      <w:r>
        <w:rPr>
          <w:rFonts w:eastAsia="宋体"/>
          <w:sz w:val="24"/>
          <w:szCs w:val="24"/>
          <w:u w:val="single"/>
        </w:rPr>
        <w:t>（</w:t>
      </w:r>
      <w:r>
        <w:rPr>
          <w:rFonts w:eastAsia="宋体"/>
          <w:color w:val="3333FF"/>
          <w:sz w:val="24"/>
          <w:szCs w:val="24"/>
          <w:u w:val="single"/>
        </w:rPr>
        <w:t>https://www.fda.gov/downloads/MedicalDevices/DeviceRegulationandGuidance/ GuidanceDocuments/UCM311176.pdf</w:t>
      </w:r>
      <w:r>
        <w:rPr>
          <w:rFonts w:eastAsia="宋体"/>
          <w:sz w:val="24"/>
          <w:szCs w:val="24"/>
          <w:u w:val="single"/>
        </w:rPr>
        <w:t>）</w:t>
      </w:r>
      <w:r>
        <w:rPr>
          <w:rFonts w:eastAsia="宋体"/>
          <w:sz w:val="24"/>
          <w:szCs w:val="24"/>
        </w:rPr>
        <w:t>。</w:t>
      </w:r>
    </w:p>
    <w:p w14:paraId="560F9407">
      <w:pPr>
        <w:shd w:val="clear" w:color="auto" w:fill="FFFFFF"/>
        <w:topLinePunct/>
        <w:autoSpaceDE/>
        <w:autoSpaceDN/>
        <w:adjustRightInd/>
        <w:ind w:left="1984" w:leftChars="992" w:firstLine="480" w:firstLineChars="200"/>
        <w:jc w:val="both"/>
        <w:rPr>
          <w:rFonts w:eastAsia="宋体"/>
          <w:sz w:val="24"/>
          <w:szCs w:val="24"/>
        </w:rPr>
      </w:pPr>
    </w:p>
    <w:p w14:paraId="6CA2647F">
      <w:pPr>
        <w:shd w:val="clear" w:color="auto" w:fill="FFFFFF"/>
        <w:topLinePunct/>
        <w:autoSpaceDE/>
        <w:autoSpaceDN/>
        <w:adjustRightInd/>
        <w:ind w:left="1984" w:leftChars="992" w:firstLine="480" w:firstLineChars="200"/>
        <w:jc w:val="both"/>
        <w:rPr>
          <w:rFonts w:eastAsia="宋体"/>
          <w:color w:val="000000"/>
          <w:sz w:val="24"/>
          <w:szCs w:val="24"/>
        </w:rPr>
      </w:pPr>
      <w:r>
        <w:rPr>
          <w:rFonts w:eastAsia="宋体"/>
          <w:sz w:val="24"/>
          <w:szCs w:val="24"/>
        </w:rPr>
        <w:t>FDA必须在收到申请的85天之内批准或拒绝现有附件类型的附件申请。</w:t>
      </w:r>
      <w:r>
        <w:rPr>
          <w:rStyle w:val="17"/>
          <w:rFonts w:eastAsia="宋体"/>
          <w:sz w:val="24"/>
          <w:szCs w:val="24"/>
        </w:rPr>
        <w:footnoteReference w:id="13"/>
      </w:r>
      <w:r>
        <w:rPr>
          <w:rFonts w:eastAsia="宋体"/>
          <w:color w:val="000000"/>
          <w:sz w:val="24"/>
          <w:szCs w:val="24"/>
        </w:rPr>
        <w:t>如果该申请获得批准，我们将向您发出批准附件申请并确定器械分类（I类或II类）的书面命令。然后，我们将在《联邦公报》上发布公示该决定的最终命令，因此器械的识别、分类和适用要求将被编入《美国联邦法规》第21篇（器械分类位于第862-892部分）。如果FDA不同意申请中提交的分类建议，我们将提供一份书面答复，其中包括对拒绝申请的详细说明和理由。</w:t>
      </w:r>
    </w:p>
    <w:p w14:paraId="24F19005">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04538D2A">
      <w:pPr>
        <w:shd w:val="clear" w:color="auto" w:fill="FFFFFF"/>
        <w:topLinePunct/>
        <w:autoSpaceDE/>
        <w:autoSpaceDN/>
        <w:adjustRightInd/>
        <w:ind w:left="480" w:hanging="480" w:hangingChars="200"/>
        <w:jc w:val="both"/>
        <w:rPr>
          <w:rFonts w:eastAsia="宋体"/>
          <w:sz w:val="24"/>
          <w:szCs w:val="24"/>
        </w:rPr>
      </w:pPr>
    </w:p>
    <w:p w14:paraId="622ECAEF">
      <w:pPr>
        <w:pStyle w:val="3"/>
        <w:snapToGrid/>
        <w:spacing w:before="0" w:beforeLines="0" w:after="0" w:afterLines="0"/>
        <w:rPr>
          <w:rFonts w:cs="Times New Roman"/>
        </w:rPr>
      </w:pPr>
      <w:bookmarkStart w:id="9" w:name="_Toc97371725"/>
      <w:r>
        <w:rPr>
          <w:rFonts w:cs="Times New Roman"/>
        </w:rPr>
        <w:t>B.</w:t>
      </w:r>
      <w:r>
        <w:rPr>
          <w:rFonts w:cs="Times New Roman"/>
        </w:rPr>
        <w:tab/>
      </w:r>
      <w:r>
        <w:rPr>
          <w:rFonts w:cs="Times New Roman"/>
        </w:rPr>
        <w:t>通过新过程对新附件类型进行分类</w:t>
      </w:r>
      <w:bookmarkEnd w:id="9"/>
    </w:p>
    <w:p w14:paraId="7E5DF3AD">
      <w:pPr>
        <w:shd w:val="clear" w:color="auto" w:fill="FFFFFF"/>
        <w:topLinePunct/>
        <w:autoSpaceDE/>
        <w:autoSpaceDN/>
        <w:adjustRightInd/>
        <w:ind w:left="708" w:leftChars="354" w:firstLine="480" w:firstLineChars="200"/>
        <w:jc w:val="both"/>
        <w:rPr>
          <w:rFonts w:eastAsia="宋体"/>
          <w:color w:val="000000"/>
          <w:sz w:val="24"/>
          <w:szCs w:val="24"/>
        </w:rPr>
      </w:pPr>
    </w:p>
    <w:p w14:paraId="14329EFA">
      <w:pPr>
        <w:shd w:val="clear" w:color="auto" w:fill="FFFFFF"/>
        <w:topLinePunct/>
        <w:autoSpaceDE/>
        <w:autoSpaceDN/>
        <w:adjustRightInd/>
        <w:ind w:left="708" w:leftChars="354" w:firstLine="480" w:firstLineChars="200"/>
        <w:jc w:val="both"/>
        <w:rPr>
          <w:rFonts w:eastAsia="宋体"/>
          <w:color w:val="000000"/>
          <w:sz w:val="24"/>
          <w:szCs w:val="24"/>
        </w:rPr>
      </w:pPr>
      <w:r>
        <w:rPr>
          <w:rFonts w:eastAsia="宋体"/>
          <w:color w:val="000000"/>
          <w:sz w:val="24"/>
          <w:szCs w:val="24"/>
        </w:rPr>
        <w:t>除第513(f)(6)节规定的附件要求外，您还可以利用《FD&amp;C法案》第513(f)(2)节规定的新分类过程，要求对新附件类型进行基于风险和监管控制的分类。为了被认定为新附件类型，所考虑的附件不应根据现有分类法规进行分类，也不应该作为该附件类型的任何已批准PMA或已许可510(k)的主题。该创新产品分类过程为通过一般控制或一般和特殊控制提供安全性和有效性的合理保证、但也为未合法上市的同品种器械的低至中度风险附件提供了I类或II类分类的途径。有关创新产品分类过程的其他信息，请参见《创新产品分类过程（III类器械自动认定评价）；面向行业和美国食品药品监督管理局工作人员的指南》。</w:t>
      </w:r>
      <w:r>
        <w:rPr>
          <w:rFonts w:hint="eastAsia" w:eastAsia="宋体"/>
          <w:color w:val="000000"/>
          <w:sz w:val="24"/>
          <w:szCs w:val="24"/>
        </w:rPr>
        <w:br w:type="textWrapping"/>
      </w:r>
      <w:r>
        <w:rPr>
          <w:rFonts w:eastAsia="宋体"/>
          <w:color w:val="000000"/>
          <w:sz w:val="24"/>
          <w:szCs w:val="24"/>
        </w:rPr>
        <w:t>（https://www.fda.gov/ucm/groups/fdagov-public/@fdagov-meddev-gen/documents/document/ucm080197.pdf）。有关FDA建议在新附件类型重新申请中提交的信息，也请参见附录1（如下）。</w:t>
      </w:r>
    </w:p>
    <w:p w14:paraId="755A3E89">
      <w:pPr>
        <w:shd w:val="clear" w:color="auto" w:fill="FFFFFF"/>
        <w:topLinePunct/>
        <w:autoSpaceDE/>
        <w:autoSpaceDN/>
        <w:adjustRightInd/>
        <w:ind w:left="708" w:leftChars="354" w:firstLine="480" w:firstLineChars="200"/>
        <w:jc w:val="both"/>
        <w:rPr>
          <w:rFonts w:eastAsia="宋体"/>
          <w:sz w:val="24"/>
          <w:szCs w:val="24"/>
        </w:rPr>
      </w:pPr>
    </w:p>
    <w:p w14:paraId="14E298C0">
      <w:pPr>
        <w:shd w:val="clear" w:color="auto" w:fill="FFFFFF"/>
        <w:topLinePunct/>
        <w:autoSpaceDE/>
        <w:autoSpaceDN/>
        <w:adjustRightInd/>
        <w:ind w:left="708" w:leftChars="354" w:firstLine="480" w:firstLineChars="200"/>
        <w:jc w:val="both"/>
        <w:rPr>
          <w:rFonts w:eastAsia="宋体"/>
          <w:color w:val="000000"/>
          <w:sz w:val="24"/>
          <w:szCs w:val="24"/>
        </w:rPr>
      </w:pPr>
      <w:r>
        <w:rPr>
          <w:rFonts w:eastAsia="宋体"/>
          <w:sz w:val="24"/>
          <w:szCs w:val="24"/>
        </w:rPr>
        <w:t>FDA必须在申请后120天之内以书面命令的形式对作为重新申请主题的器械做出分类决定。</w:t>
      </w:r>
      <w:r>
        <w:rPr>
          <w:rStyle w:val="17"/>
          <w:rFonts w:eastAsia="宋体"/>
          <w:sz w:val="24"/>
          <w:szCs w:val="24"/>
        </w:rPr>
        <w:footnoteReference w:id="14"/>
      </w:r>
      <w:r>
        <w:rPr>
          <w:rFonts w:eastAsia="宋体"/>
          <w:color w:val="000000"/>
          <w:sz w:val="24"/>
          <w:szCs w:val="24"/>
        </w:rPr>
        <w:t>如果提交者证明符合《FD&amp;C法案》第513(a)(1)(A)或(B)节的标准（即一般控制或一般和特殊控制提供合理安全性和有效性保证的附件），FDA将批准</w:t>
      </w:r>
      <w:r>
        <w:rPr>
          <w:rFonts w:hint="eastAsia" w:eastAsia="宋体"/>
          <w:color w:val="000000"/>
          <w:sz w:val="24"/>
          <w:szCs w:val="24"/>
        </w:rPr>
        <w:t>创新产品</w:t>
      </w:r>
      <w:r>
        <w:rPr>
          <w:rFonts w:eastAsia="宋体"/>
          <w:color w:val="000000"/>
          <w:sz w:val="24"/>
          <w:szCs w:val="24"/>
        </w:rPr>
        <w:t>分类申请，将新附件（和附件类型）归入I类或II类。然后，该附件可立即上市，并作为未来510(k)上市前通知的同品种器械（如适用）。FDA将在《联邦公报》上发布公告，宣布分类和必要监管控制措施，以合理保证附件的安全性和有效性。如果创新产品分类申请被拒绝，</w:t>
      </w:r>
      <w:r>
        <w:rPr>
          <w:rStyle w:val="17"/>
          <w:rFonts w:eastAsia="宋体"/>
          <w:color w:val="000000"/>
          <w:sz w:val="24"/>
          <w:szCs w:val="24"/>
        </w:rPr>
        <w:footnoteReference w:id="15"/>
      </w:r>
      <w:r>
        <w:rPr>
          <w:rFonts w:eastAsia="宋体"/>
          <w:sz w:val="24"/>
          <w:szCs w:val="24"/>
        </w:rPr>
        <w:t>根据《FD&amp;C法案》第513(f)(1)节的规定，该附件仍属于III类，在委托方提交PMA并获得FDA批准之前不得上市。</w:t>
      </w:r>
    </w:p>
    <w:p w14:paraId="540ABB91">
      <w:pPr>
        <w:shd w:val="clear" w:color="auto" w:fill="FFFFFF"/>
        <w:topLinePunct/>
        <w:autoSpaceDE/>
        <w:autoSpaceDN/>
        <w:adjustRightInd/>
        <w:jc w:val="both"/>
        <w:rPr>
          <w:rFonts w:eastAsia="宋体"/>
          <w:color w:val="000000"/>
          <w:sz w:val="24"/>
          <w:szCs w:val="24"/>
        </w:rPr>
      </w:pPr>
    </w:p>
    <w:p w14:paraId="3ACA7DE5">
      <w:pPr>
        <w:shd w:val="clear" w:color="auto" w:fill="FFFFFF"/>
        <w:topLinePunct/>
        <w:autoSpaceDE/>
        <w:autoSpaceDN/>
        <w:adjustRightInd/>
        <w:jc w:val="both"/>
        <w:rPr>
          <w:rFonts w:eastAsia="宋体"/>
          <w:color w:val="000000"/>
          <w:sz w:val="24"/>
          <w:szCs w:val="24"/>
        </w:rPr>
      </w:pPr>
    </w:p>
    <w:p w14:paraId="5305850D">
      <w:pPr>
        <w:shd w:val="clear" w:color="auto" w:fill="FFFFFF"/>
        <w:topLinePunct/>
        <w:autoSpaceDE/>
        <w:autoSpaceDN/>
        <w:adjustRightInd/>
        <w:ind w:left="480" w:hanging="480" w:hangingChars="200"/>
        <w:jc w:val="both"/>
        <w:rPr>
          <w:rFonts w:eastAsia="宋体"/>
          <w:color w:val="000000"/>
          <w:sz w:val="24"/>
          <w:szCs w:val="24"/>
        </w:rPr>
      </w:pPr>
    </w:p>
    <w:p w14:paraId="51516DF8">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3BF4B0CA">
      <w:pPr>
        <w:pStyle w:val="27"/>
        <w:snapToGrid/>
        <w:spacing w:before="0" w:beforeLines="0" w:after="0" w:afterLines="0"/>
      </w:pPr>
      <w:bookmarkStart w:id="10" w:name="_Toc97371726"/>
      <w:r>
        <w:t>1995年《文书削减法》</w:t>
      </w:r>
      <w:bookmarkEnd w:id="10"/>
    </w:p>
    <w:p w14:paraId="221E165E">
      <w:pPr>
        <w:shd w:val="clear" w:color="auto" w:fill="FFFFFF"/>
        <w:topLinePunct/>
        <w:autoSpaceDE/>
        <w:autoSpaceDN/>
        <w:adjustRightInd/>
        <w:ind w:firstLine="480" w:firstLineChars="200"/>
        <w:jc w:val="both"/>
        <w:rPr>
          <w:rFonts w:eastAsia="宋体"/>
          <w:color w:val="000000"/>
          <w:sz w:val="24"/>
          <w:szCs w:val="24"/>
        </w:rPr>
      </w:pPr>
    </w:p>
    <w:p w14:paraId="352F0C3A">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本指南包含信息收集规定，须按照1995年《文书削减法》（《美国法典》第44篇第3501-3520条）由预算管理办公室（OMB）对此类规定进行审查。</w:t>
      </w:r>
    </w:p>
    <w:p w14:paraId="774CCCB7">
      <w:pPr>
        <w:shd w:val="clear" w:color="auto" w:fill="FFFFFF"/>
        <w:topLinePunct/>
        <w:autoSpaceDE/>
        <w:autoSpaceDN/>
        <w:adjustRightInd/>
        <w:ind w:firstLine="480" w:firstLineChars="200"/>
        <w:jc w:val="both"/>
        <w:rPr>
          <w:rFonts w:eastAsia="宋体"/>
          <w:color w:val="000000"/>
          <w:sz w:val="24"/>
          <w:szCs w:val="24"/>
        </w:rPr>
      </w:pPr>
    </w:p>
    <w:p w14:paraId="68F4D48D">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估计完成信息收集所需的时间为平均每个响应180小时，其中包括审查指令、搜索现有数据源、收集所需数据以及完成和审查信息收集所需的时间。请将有关耗时估计的意见发送至：</w:t>
      </w:r>
    </w:p>
    <w:p w14:paraId="58568E00">
      <w:pPr>
        <w:shd w:val="clear" w:color="auto" w:fill="FFFFFF"/>
        <w:topLinePunct/>
        <w:autoSpaceDE/>
        <w:autoSpaceDN/>
        <w:adjustRightInd/>
        <w:ind w:firstLine="480" w:firstLineChars="200"/>
        <w:jc w:val="both"/>
        <w:rPr>
          <w:rFonts w:eastAsia="宋体"/>
          <w:color w:val="000000"/>
          <w:sz w:val="24"/>
          <w:szCs w:val="24"/>
        </w:rPr>
      </w:pPr>
    </w:p>
    <w:p w14:paraId="138B0A0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美国卫生与公众服务部</w:t>
      </w:r>
    </w:p>
    <w:p w14:paraId="580B879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美国食品药品监督管理局</w:t>
      </w:r>
    </w:p>
    <w:p w14:paraId="4D5E047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首席信息官办公室</w:t>
      </w:r>
    </w:p>
    <w:p w14:paraId="2ADE7485">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《文书削减法》（PRA）工作人员</w:t>
      </w:r>
    </w:p>
    <w:p w14:paraId="3328CEA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PRAStaff@fda.hhs.gov</w:t>
      </w:r>
    </w:p>
    <w:p w14:paraId="0B928A38">
      <w:pPr>
        <w:shd w:val="clear" w:color="auto" w:fill="FFFFFF"/>
        <w:topLinePunct/>
        <w:autoSpaceDE/>
        <w:autoSpaceDN/>
        <w:adjustRightInd/>
        <w:ind w:firstLine="480" w:firstLineChars="200"/>
        <w:jc w:val="both"/>
        <w:rPr>
          <w:rFonts w:eastAsia="宋体"/>
          <w:color w:val="000000"/>
          <w:sz w:val="24"/>
          <w:szCs w:val="24"/>
        </w:rPr>
      </w:pPr>
    </w:p>
    <w:p w14:paraId="3F8BFF28">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除非显示当前有效的OMB控制编号，否则机构不得进行或发起信息收集，也不得要求患者针对信息收集给出回应。本次信息收集的OMB控制编号为0910-0823（失效日期为2019年9月30日）。</w:t>
      </w:r>
    </w:p>
    <w:p w14:paraId="78C8875B">
      <w:pPr>
        <w:shd w:val="clear" w:color="auto" w:fill="FFFFFF"/>
        <w:topLinePunct/>
        <w:autoSpaceDE/>
        <w:autoSpaceDN/>
        <w:adjustRightInd/>
        <w:jc w:val="both"/>
        <w:rPr>
          <w:rFonts w:eastAsia="宋体"/>
          <w:sz w:val="24"/>
          <w:szCs w:val="24"/>
        </w:rPr>
      </w:pPr>
    </w:p>
    <w:p w14:paraId="3FFDA87E">
      <w:pPr>
        <w:widowControl/>
        <w:autoSpaceDE/>
        <w:autoSpaceDN/>
        <w:adjustRightInd/>
        <w:rPr>
          <w:rFonts w:eastAsia="宋体"/>
          <w:sz w:val="24"/>
          <w:szCs w:val="24"/>
        </w:rPr>
      </w:pPr>
      <w:r>
        <w:rPr>
          <w:rFonts w:eastAsia="宋体"/>
          <w:sz w:val="24"/>
          <w:szCs w:val="24"/>
        </w:rPr>
        <w:br w:type="page"/>
      </w:r>
    </w:p>
    <w:p w14:paraId="0135BC20">
      <w:pPr>
        <w:pStyle w:val="27"/>
        <w:numPr>
          <w:ilvl w:val="0"/>
          <w:numId w:val="0"/>
        </w:numPr>
        <w:snapToGrid/>
        <w:spacing w:before="0" w:beforeLines="0" w:after="0" w:afterLines="0"/>
        <w:ind w:left="720" w:hanging="720"/>
      </w:pPr>
      <w:bookmarkStart w:id="11" w:name="_Toc97371727"/>
      <w:r>
        <w:t>附录1 – 附件</w:t>
      </w:r>
      <w:bookmarkEnd w:id="11"/>
      <w:r>
        <w:t>创新产品分类申请</w:t>
      </w:r>
    </w:p>
    <w:p w14:paraId="057EBCA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制造商或其他相关方可根据《FD&amp;C法案》第513(f)(2)节提交创新产品分类申请（以下简称</w:t>
      </w:r>
      <w:r>
        <w:rPr>
          <w:rFonts w:ascii="宋体" w:hAnsi="宋体" w:eastAsia="宋体"/>
          <w:color w:val="000000"/>
          <w:sz w:val="24"/>
          <w:szCs w:val="24"/>
        </w:rPr>
        <w:t>“</w:t>
      </w:r>
      <w:r>
        <w:rPr>
          <w:rFonts w:eastAsia="宋体"/>
          <w:color w:val="000000"/>
          <w:sz w:val="24"/>
          <w:szCs w:val="24"/>
        </w:rPr>
        <w:t>创新产品分类</w:t>
      </w:r>
      <w:r>
        <w:rPr>
          <w:rFonts w:ascii="宋体" w:hAnsi="宋体" w:eastAsia="宋体"/>
          <w:color w:val="000000"/>
          <w:sz w:val="24"/>
          <w:szCs w:val="24"/>
        </w:rPr>
        <w:t>”</w:t>
      </w:r>
      <w:r>
        <w:rPr>
          <w:rFonts w:eastAsia="宋体"/>
          <w:color w:val="000000"/>
          <w:sz w:val="24"/>
          <w:szCs w:val="24"/>
        </w:rPr>
        <w:t>），寻求FDA对新型附件适当的基于风险和监管控制分类的决定。该过程也被称为</w:t>
      </w:r>
      <w:r>
        <w:rPr>
          <w:rFonts w:hint="eastAsia" w:eastAsia="宋体"/>
          <w:color w:val="000000"/>
          <w:sz w:val="24"/>
          <w:szCs w:val="24"/>
        </w:rPr>
        <w:t>创新产品</w:t>
      </w:r>
      <w:r>
        <w:rPr>
          <w:rFonts w:eastAsia="宋体"/>
          <w:color w:val="000000"/>
          <w:sz w:val="24"/>
          <w:szCs w:val="24"/>
        </w:rPr>
        <w:t>分类过程。</w:t>
      </w:r>
      <w:r>
        <w:rPr>
          <w:rStyle w:val="17"/>
          <w:rFonts w:eastAsia="宋体"/>
          <w:color w:val="000000"/>
          <w:sz w:val="24"/>
          <w:szCs w:val="24"/>
        </w:rPr>
        <w:footnoteReference w:id="16"/>
      </w:r>
    </w:p>
    <w:p w14:paraId="45CD621D">
      <w:pPr>
        <w:shd w:val="clear" w:color="auto" w:fill="FFFFFF"/>
        <w:topLinePunct/>
        <w:autoSpaceDE/>
        <w:autoSpaceDN/>
        <w:adjustRightInd/>
        <w:ind w:firstLine="480" w:firstLineChars="200"/>
        <w:jc w:val="both"/>
        <w:rPr>
          <w:rFonts w:eastAsia="宋体"/>
          <w:sz w:val="24"/>
          <w:szCs w:val="24"/>
        </w:rPr>
      </w:pPr>
    </w:p>
    <w:p w14:paraId="6A17AF13">
      <w:pPr>
        <w:shd w:val="clear" w:color="auto" w:fill="FFFFFF"/>
        <w:topLinePunct/>
        <w:autoSpaceDE/>
        <w:autoSpaceDN/>
        <w:adjustRightInd/>
        <w:ind w:firstLine="480" w:firstLineChars="200"/>
        <w:jc w:val="both"/>
        <w:rPr>
          <w:rFonts w:eastAsia="宋体"/>
          <w:sz w:val="24"/>
          <w:szCs w:val="24"/>
        </w:rPr>
      </w:pPr>
      <w:r>
        <w:rPr>
          <w:rFonts w:eastAsia="宋体"/>
          <w:sz w:val="24"/>
          <w:szCs w:val="24"/>
        </w:rPr>
        <w:t>为了简化附件创新产品分类的申请和评价，以便仅提交和审查评估附件安全性和有效性的必要信息，我们建议提供下列信息：</w:t>
      </w:r>
    </w:p>
    <w:p w14:paraId="7339DA9C">
      <w:pPr>
        <w:shd w:val="clear" w:color="auto" w:fill="FFFFFF"/>
        <w:topLinePunct/>
        <w:autoSpaceDE/>
        <w:autoSpaceDN/>
        <w:adjustRightInd/>
        <w:ind w:firstLine="480" w:firstLineChars="200"/>
        <w:jc w:val="both"/>
        <w:rPr>
          <w:rFonts w:eastAsia="宋体"/>
          <w:sz w:val="24"/>
          <w:szCs w:val="24"/>
        </w:rPr>
      </w:pPr>
    </w:p>
    <w:p w14:paraId="29A46CE3">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明确指出这是</w:t>
      </w:r>
      <w:r>
        <w:rPr>
          <w:rFonts w:eastAsia="宋体"/>
          <w:b/>
          <w:color w:val="000000"/>
          <w:sz w:val="24"/>
          <w:szCs w:val="24"/>
        </w:rPr>
        <w:t>新</w:t>
      </w:r>
      <w:r>
        <w:rPr>
          <w:rFonts w:eastAsia="宋体"/>
          <w:color w:val="000000"/>
          <w:sz w:val="24"/>
          <w:szCs w:val="24"/>
        </w:rPr>
        <w:t>附属器械类型的创新产品分类申请；</w:t>
      </w:r>
    </w:p>
    <w:p w14:paraId="23F21A28">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器械信息和总结：</w:t>
      </w:r>
    </w:p>
    <w:p w14:paraId="19E23445">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相关父器械的描述；</w:t>
      </w:r>
    </w:p>
    <w:p w14:paraId="15FBF656">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对附件与特定父器械、多个父器械或某类器械兼容能力的描述；</w:t>
      </w:r>
    </w:p>
    <w:p w14:paraId="7E260EB7">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对附件技术特征的描述，该技术特征可确保附件与特定父器械、多个父器械或某类器械的兼容性；</w:t>
      </w:r>
    </w:p>
    <w:p w14:paraId="150F7BA4">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对附件如何支持、补充和/或增强父器械性能的描述。</w:t>
      </w:r>
    </w:p>
    <w:p w14:paraId="0E07117B">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识别附件所兼容的父产品，包括型号、连接器类型等；</w:t>
      </w:r>
    </w:p>
    <w:p w14:paraId="4036596D">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分类总结和建议：</w:t>
      </w:r>
    </w:p>
    <w:p w14:paraId="001177DA">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分类总结应包括说明该附属器械不符合任何已识别父器械分类的理由；</w:t>
      </w:r>
    </w:p>
    <w:p w14:paraId="392FA416">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识别附属器械对健康造成的风险；以及</w:t>
      </w:r>
      <w:r>
        <w:rPr>
          <w:rFonts w:eastAsia="宋体"/>
          <w:sz w:val="24"/>
          <w:szCs w:val="24"/>
        </w:rPr>
        <w:br w:type="textWrapping"/>
      </w:r>
      <w:r>
        <w:rPr>
          <w:rFonts w:eastAsia="宋体"/>
          <w:sz w:val="24"/>
          <w:szCs w:val="24"/>
        </w:rPr>
        <w:t>拟议缓解措施；</w:t>
      </w:r>
    </w:p>
    <w:p w14:paraId="73B6BB2E">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拟议控制：</w:t>
      </w:r>
    </w:p>
    <w:p w14:paraId="4437BD5C">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对于拟议II类器械，采用充分缓解健康风险的一般和特殊控制清单，包括附属器械与父器械的兼容性，以及拟议特殊控制如何为附属器械的安全性和有效性提供合理保证的描述；</w:t>
      </w:r>
    </w:p>
    <w:p w14:paraId="296850C2">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对于拟议I类器械，确定仅应用一般控制将如何充分缓解健康风险，并为附属器械的安全性和有效性提供合理保证；</w:t>
      </w:r>
    </w:p>
    <w:p w14:paraId="21EEF041">
      <w:pPr>
        <w:pStyle w:val="21"/>
        <w:numPr>
          <w:ilvl w:val="1"/>
          <w:numId w:val="6"/>
        </w:numPr>
        <w:shd w:val="clear" w:color="auto" w:fill="FFFFFF"/>
        <w:tabs>
          <w:tab w:val="left" w:pos="1440"/>
        </w:tabs>
        <w:topLinePunct/>
        <w:autoSpaceDE/>
        <w:autoSpaceDN/>
        <w:adjustRightInd/>
        <w:ind w:left="1304" w:leftChars="400" w:hanging="504" w:hangingChars="210"/>
        <w:jc w:val="both"/>
        <w:rPr>
          <w:rFonts w:eastAsia="宋体"/>
          <w:sz w:val="24"/>
          <w:szCs w:val="24"/>
        </w:rPr>
      </w:pPr>
      <w:r>
        <w:rPr>
          <w:rFonts w:eastAsia="宋体"/>
          <w:color w:val="000000"/>
          <w:sz w:val="24"/>
          <w:szCs w:val="24"/>
        </w:rPr>
        <w:t>支持创新产品分类的性能数据总结：</w:t>
      </w:r>
    </w:p>
    <w:p w14:paraId="6683B5EB">
      <w:pPr>
        <w:pStyle w:val="21"/>
        <w:numPr>
          <w:ilvl w:val="0"/>
          <w:numId w:val="7"/>
        </w:numPr>
        <w:shd w:val="clear" w:color="auto" w:fill="FFFFFF"/>
        <w:topLinePunct/>
        <w:autoSpaceDE/>
        <w:autoSpaceDN/>
        <w:adjustRightInd/>
        <w:ind w:left="1842" w:leftChars="669" w:hanging="504" w:hangingChars="210"/>
        <w:jc w:val="both"/>
        <w:rPr>
          <w:rFonts w:eastAsia="宋体"/>
          <w:sz w:val="24"/>
          <w:szCs w:val="24"/>
        </w:rPr>
      </w:pPr>
      <w:r>
        <w:rPr>
          <w:rFonts w:eastAsia="宋体"/>
          <w:color w:val="000000"/>
          <w:sz w:val="24"/>
          <w:szCs w:val="24"/>
        </w:rPr>
        <w:t>参考所有关于附属器械和/或附件联合父器械的合理已知相关数据和信息（包括新信息），无论该信息对拟议分类有利还是不利；以及</w:t>
      </w:r>
    </w:p>
    <w:p w14:paraId="64BC0089">
      <w:pPr>
        <w:shd w:val="clear" w:color="auto" w:fill="FFFFFF"/>
        <w:topLinePunct/>
        <w:autoSpaceDE/>
        <w:autoSpaceDN/>
        <w:adjustRightInd/>
        <w:ind w:left="480" w:hanging="480" w:hangingChars="200"/>
        <w:rPr>
          <w:rFonts w:eastAsia="宋体"/>
          <w:sz w:val="24"/>
          <w:szCs w:val="24"/>
        </w:rPr>
      </w:pPr>
      <w:r>
        <w:rPr>
          <w:rFonts w:eastAsia="宋体"/>
          <w:sz w:val="24"/>
          <w:szCs w:val="24"/>
        </w:rPr>
        <w:br w:type="page"/>
      </w:r>
    </w:p>
    <w:p w14:paraId="1B6D716C">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附件标签，并附有与父器械联合使用的充分说明：</w:t>
      </w:r>
    </w:p>
    <w:p w14:paraId="50A4F40E">
      <w:pPr>
        <w:pStyle w:val="21"/>
        <w:numPr>
          <w:ilvl w:val="0"/>
          <w:numId w:val="7"/>
        </w:numPr>
        <w:shd w:val="clear" w:color="auto" w:fill="FFFFFF"/>
        <w:topLinePunct/>
        <w:autoSpaceDE/>
        <w:autoSpaceDN/>
        <w:adjustRightInd/>
        <w:ind w:left="1842" w:leftChars="669" w:hanging="504" w:hangingChars="210"/>
        <w:contextualSpacing/>
        <w:jc w:val="both"/>
        <w:rPr>
          <w:rFonts w:eastAsia="宋体"/>
          <w:sz w:val="24"/>
          <w:szCs w:val="24"/>
        </w:rPr>
      </w:pPr>
      <w:r>
        <w:rPr>
          <w:rFonts w:eastAsia="宋体"/>
          <w:color w:val="000000"/>
          <w:sz w:val="24"/>
          <w:szCs w:val="24"/>
        </w:rPr>
        <w:t>包括解决新附属器械和父器械的兼容性问题的标签说明（包括任何支持兼容性的相关性能数据）；以及</w:t>
      </w:r>
    </w:p>
    <w:p w14:paraId="6333A349">
      <w:pPr>
        <w:pStyle w:val="21"/>
        <w:numPr>
          <w:ilvl w:val="0"/>
          <w:numId w:val="7"/>
        </w:numPr>
        <w:shd w:val="clear" w:color="auto" w:fill="FFFFFF"/>
        <w:topLinePunct/>
        <w:autoSpaceDE/>
        <w:autoSpaceDN/>
        <w:adjustRightInd/>
        <w:ind w:left="1842" w:leftChars="669" w:hanging="504" w:hangingChars="210"/>
        <w:contextualSpacing/>
        <w:jc w:val="both"/>
        <w:rPr>
          <w:rFonts w:eastAsia="宋体"/>
          <w:sz w:val="24"/>
          <w:szCs w:val="24"/>
        </w:rPr>
      </w:pPr>
      <w:r>
        <w:rPr>
          <w:rFonts w:eastAsia="宋体"/>
          <w:color w:val="000000"/>
          <w:sz w:val="24"/>
          <w:szCs w:val="24"/>
        </w:rPr>
        <w:t>包括附件的相关技术特征。</w:t>
      </w:r>
    </w:p>
    <w:p w14:paraId="454A3751">
      <w:pPr>
        <w:shd w:val="clear" w:color="auto" w:fill="FFFFFF"/>
        <w:topLinePunct/>
        <w:autoSpaceDE/>
        <w:autoSpaceDN/>
        <w:adjustRightInd/>
        <w:contextualSpacing/>
        <w:rPr>
          <w:rFonts w:eastAsia="宋体"/>
          <w:color w:val="000000"/>
          <w:sz w:val="24"/>
          <w:szCs w:val="24"/>
        </w:rPr>
      </w:pPr>
    </w:p>
    <w:p w14:paraId="4F0C1E6E">
      <w:pPr>
        <w:shd w:val="clear" w:color="auto" w:fill="FFFFFF"/>
        <w:topLinePunct/>
        <w:autoSpaceDE/>
        <w:autoSpaceDN/>
        <w:adjustRightInd/>
        <w:ind w:firstLine="480" w:firstLineChars="200"/>
        <w:contextualSpacing/>
        <w:rPr>
          <w:rFonts w:eastAsia="宋体"/>
          <w:sz w:val="24"/>
          <w:szCs w:val="24"/>
        </w:rPr>
      </w:pPr>
      <w:r>
        <w:rPr>
          <w:rFonts w:eastAsia="宋体"/>
          <w:color w:val="000000"/>
          <w:sz w:val="24"/>
          <w:szCs w:val="24"/>
        </w:rPr>
        <w:t>在准备新型附件的创新产品分类申请时，我们建议您查阅公开发表信息，包括最近批准的CDRH重新申请决定总结文件，相关链接请参见本网站：</w:t>
      </w:r>
      <w:r>
        <w:rPr>
          <w:rFonts w:eastAsia="宋体"/>
          <w:color w:val="3333FF"/>
          <w:sz w:val="24"/>
          <w:szCs w:val="24"/>
          <w:u w:val="single"/>
        </w:rPr>
        <w:t>http://www.fda.gov/AboutFDA/CentersOffices/OfficeofMedicalProductsandTobacco/CDRH/ CDRHTransparency/ucm232269.htm</w:t>
      </w:r>
      <w:r>
        <w:rPr>
          <w:rFonts w:eastAsia="宋体"/>
          <w:sz w:val="24"/>
          <w:szCs w:val="24"/>
        </w:rPr>
        <w:t>。</w:t>
      </w:r>
    </w:p>
    <w:p w14:paraId="4B38ECE0">
      <w:pPr>
        <w:shd w:val="clear" w:color="auto" w:fill="FFFFFF"/>
        <w:topLinePunct/>
        <w:autoSpaceDE/>
        <w:autoSpaceDN/>
        <w:adjustRightInd/>
        <w:ind w:firstLine="480" w:firstLineChars="200"/>
        <w:contextualSpacing/>
        <w:rPr>
          <w:rFonts w:eastAsia="宋体"/>
          <w:color w:val="3333FF"/>
          <w:sz w:val="24"/>
          <w:szCs w:val="24"/>
        </w:rPr>
      </w:pPr>
    </w:p>
    <w:p w14:paraId="1EF845EB">
      <w:pPr>
        <w:shd w:val="clear" w:color="auto" w:fill="FFFFFF"/>
        <w:topLinePunct/>
        <w:autoSpaceDE/>
        <w:autoSpaceDN/>
        <w:adjustRightInd/>
        <w:ind w:firstLine="480" w:firstLineChars="200"/>
        <w:contextualSpacing/>
        <w:jc w:val="both"/>
        <w:rPr>
          <w:rFonts w:eastAsia="宋体"/>
          <w:color w:val="000000"/>
          <w:sz w:val="24"/>
          <w:szCs w:val="24"/>
        </w:rPr>
      </w:pPr>
      <w:r>
        <w:rPr>
          <w:rFonts w:eastAsia="宋体"/>
          <w:color w:val="000000"/>
          <w:sz w:val="24"/>
          <w:szCs w:val="24"/>
        </w:rPr>
        <w:t>为进一步简化和促进FDA对附件创新产品分类申请的审查，我们建议您提供一份包含下列信息的执行总结文件草案：</w:t>
      </w:r>
    </w:p>
    <w:p w14:paraId="61E42E08">
      <w:pPr>
        <w:shd w:val="clear" w:color="auto" w:fill="FFFFFF"/>
        <w:topLinePunct/>
        <w:autoSpaceDE/>
        <w:autoSpaceDN/>
        <w:adjustRightInd/>
        <w:contextualSpacing/>
        <w:jc w:val="both"/>
        <w:rPr>
          <w:rFonts w:eastAsia="宋体"/>
          <w:sz w:val="24"/>
          <w:szCs w:val="24"/>
        </w:rPr>
      </w:pPr>
    </w:p>
    <w:p w14:paraId="359F07B0">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行政信息；</w:t>
      </w:r>
    </w:p>
    <w:p w14:paraId="30F6B112">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以拟议识别语言编写的新分类法规或命令；</w:t>
      </w:r>
    </w:p>
    <w:p w14:paraId="02F3D9FB">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附属器械总结，包括附件的详细描述，包括任何必要技术特征和附件与父器械的兼容性信息；</w:t>
      </w:r>
    </w:p>
    <w:p w14:paraId="5FFE2EE0">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支持拟议分类建议的性能数据总结；</w:t>
      </w:r>
    </w:p>
    <w:p w14:paraId="3559262A">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风险和缓解信息：对于I类附属器械，解释一般控制如何充分缓解任何健康风险；对于II类附属器械，列出风险和缓解措施，包括缓解健康风险所需的特殊控制；以及</w:t>
      </w:r>
    </w:p>
    <w:p w14:paraId="3819DB1F">
      <w:pPr>
        <w:pStyle w:val="21"/>
        <w:numPr>
          <w:ilvl w:val="1"/>
          <w:numId w:val="6"/>
        </w:numPr>
        <w:shd w:val="clear" w:color="auto" w:fill="FFFFFF"/>
        <w:tabs>
          <w:tab w:val="left" w:pos="1440"/>
        </w:tabs>
        <w:topLinePunct/>
        <w:autoSpaceDE/>
        <w:autoSpaceDN/>
        <w:adjustRightInd/>
        <w:ind w:left="1304" w:leftChars="400" w:hanging="504" w:hangingChars="210"/>
        <w:contextualSpacing/>
        <w:jc w:val="both"/>
        <w:rPr>
          <w:rFonts w:eastAsia="宋体"/>
          <w:sz w:val="24"/>
          <w:szCs w:val="24"/>
        </w:rPr>
      </w:pPr>
      <w:r>
        <w:rPr>
          <w:rFonts w:eastAsia="宋体"/>
          <w:color w:val="000000"/>
          <w:sz w:val="24"/>
          <w:szCs w:val="24"/>
        </w:rPr>
        <w:t>受益/风险考虑因素。</w:t>
      </w:r>
      <w:r>
        <w:rPr>
          <w:rStyle w:val="17"/>
          <w:rFonts w:eastAsia="宋体"/>
          <w:color w:val="000000"/>
          <w:sz w:val="24"/>
          <w:szCs w:val="24"/>
        </w:rPr>
        <w:footnoteReference w:id="17"/>
      </w:r>
    </w:p>
    <w:p w14:paraId="52F80123">
      <w:pPr>
        <w:shd w:val="clear" w:color="auto" w:fill="FFFFFF"/>
        <w:topLinePunct/>
        <w:autoSpaceDE/>
        <w:autoSpaceDN/>
        <w:adjustRightInd/>
        <w:jc w:val="both"/>
        <w:rPr>
          <w:rFonts w:eastAsia="宋体"/>
          <w:color w:val="000000"/>
          <w:sz w:val="24"/>
          <w:szCs w:val="24"/>
          <w:vertAlign w:val="superscript"/>
        </w:rPr>
      </w:pPr>
    </w:p>
    <w:p w14:paraId="0F50837E">
      <w:pPr>
        <w:shd w:val="clear" w:color="auto" w:fill="FFFFFF"/>
        <w:topLinePunct/>
        <w:autoSpaceDE/>
        <w:autoSpaceDN/>
        <w:adjustRightInd/>
        <w:jc w:val="both"/>
        <w:rPr>
          <w:rFonts w:eastAsia="宋体"/>
          <w:color w:val="000000"/>
          <w:sz w:val="24"/>
          <w:szCs w:val="24"/>
          <w:vertAlign w:val="superscript"/>
        </w:rPr>
      </w:pPr>
    </w:p>
    <w:p w14:paraId="1ED14235">
      <w:pPr>
        <w:shd w:val="clear" w:color="auto" w:fill="FFFFFF"/>
        <w:topLinePunct/>
        <w:autoSpaceDE/>
        <w:autoSpaceDN/>
        <w:adjustRightInd/>
        <w:jc w:val="both"/>
        <w:rPr>
          <w:rFonts w:eastAsia="宋体"/>
          <w:color w:val="000000"/>
          <w:sz w:val="24"/>
          <w:szCs w:val="24"/>
          <w:vertAlign w:val="superscript"/>
        </w:rPr>
      </w:pPr>
    </w:p>
    <w:p w14:paraId="3DD8E5FB">
      <w:pPr>
        <w:pBdr>
          <w:bottom w:val="single" w:color="auto" w:sz="4" w:space="1"/>
        </w:pBdr>
        <w:shd w:val="clear" w:color="auto" w:fill="FFFFFF"/>
        <w:topLinePunct/>
        <w:autoSpaceDE/>
        <w:autoSpaceDN/>
        <w:adjustRightInd/>
        <w:jc w:val="center"/>
        <w:rPr>
          <w:rFonts w:hint="eastAsia" w:eastAsia="宋体"/>
          <w:lang w:eastAsia="zh-CN"/>
        </w:rPr>
      </w:pPr>
    </w:p>
    <w:p w14:paraId="7E1A41EE">
      <w:pPr>
        <w:pBdr>
          <w:bottom w:val="single" w:color="auto" w:sz="4" w:space="1"/>
        </w:pBdr>
        <w:shd w:val="clear" w:color="auto" w:fill="FFFFFF"/>
        <w:topLinePunct/>
        <w:autoSpaceDE/>
        <w:autoSpaceDN/>
        <w:adjustRightInd/>
        <w:jc w:val="center"/>
        <w:rPr>
          <w:rFonts w:hint="eastAsia" w:eastAsia="宋体"/>
          <w:lang w:eastAsia="zh-CN"/>
        </w:rPr>
      </w:pPr>
    </w:p>
    <w:p w14:paraId="7A834FF5">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9" w:h="16834"/>
      <w:pgMar w:top="1134" w:right="1134" w:bottom="1134" w:left="1418" w:header="567" w:footer="567" w:gutter="0"/>
      <w:pgNumType w:start="1"/>
      <w:cols w:space="6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1AE5">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322679"/>
      <w:docPartObj>
        <w:docPartGallery w:val="AutoText"/>
      </w:docPartObj>
    </w:sdtPr>
    <w:sdtContent>
      <w:p w14:paraId="6044B06C">
        <w:pPr>
          <w:pStyle w:val="6"/>
          <w:jc w:val="right"/>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14:paraId="3916D150">
      <w:pPr>
        <w:pStyle w:val="9"/>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《FD&amp;C法案》第513(d)节、《美国法典》第21篇第360c(d)项。</w:t>
      </w:r>
    </w:p>
  </w:footnote>
  <w:footnote w:id="1">
    <w:p w14:paraId="14F0F539">
      <w:pPr>
        <w:pStyle w:val="9"/>
        <w:rPr>
          <w:rFonts w:eastAsia="宋体"/>
          <w:sz w:val="21"/>
          <w:szCs w:val="21"/>
        </w:rPr>
      </w:pPr>
      <w:r>
        <w:rPr>
          <w:rStyle w:val="17"/>
          <w:rFonts w:eastAsia="宋体"/>
          <w:sz w:val="21"/>
          <w:szCs w:val="21"/>
        </w:rPr>
        <w:footnoteRef/>
      </w:r>
      <w:r>
        <w:rPr>
          <w:rFonts w:eastAsia="宋体"/>
          <w:color w:val="000000"/>
          <w:sz w:val="21"/>
          <w:szCs w:val="21"/>
        </w:rPr>
        <w:t>《FD&amp;C法案》第513(e)和第513(f)(3)节、《美国法典》第21篇第360c(e)项和(f)(3)项描述了两个创新产品分类过程。在《2012年美国食品药品监督管理局安全和创新法案（FDASIA）》发布之前，FDA根据《FD&amp;C法案》（《美国法典》第21篇第360c(e)项）第513(e)节通过制定规则对器械进行创新产品分类；FDASIA将此改为命令过程。</w:t>
      </w:r>
    </w:p>
  </w:footnote>
  <w:footnote w:id="2">
    <w:p w14:paraId="0CCEB03B">
      <w:pPr>
        <w:pStyle w:val="9"/>
        <w:rPr>
          <w:rFonts w:eastAsia="宋体"/>
          <w:sz w:val="21"/>
          <w:szCs w:val="21"/>
        </w:rPr>
      </w:pPr>
      <w:r>
        <w:rPr>
          <w:rStyle w:val="17"/>
          <w:rFonts w:eastAsia="宋体"/>
          <w:sz w:val="21"/>
          <w:szCs w:val="21"/>
        </w:rPr>
        <w:footnoteRef/>
      </w:r>
      <w:r>
        <w:rPr>
          <w:rFonts w:eastAsia="宋体"/>
          <w:i/>
          <w:iCs/>
          <w:sz w:val="21"/>
          <w:szCs w:val="21"/>
        </w:rPr>
        <w:t>参见</w:t>
      </w:r>
      <w:r>
        <w:rPr>
          <w:rFonts w:eastAsia="宋体"/>
          <w:sz w:val="21"/>
          <w:szCs w:val="21"/>
        </w:rPr>
        <w:t>《FD&amp;C法案》第513(f)(6)(</w:t>
      </w:r>
      <w:r>
        <w:rPr>
          <w:rFonts w:hint="eastAsia" w:eastAsia="宋体"/>
          <w:sz w:val="21"/>
          <w:szCs w:val="21"/>
        </w:rPr>
        <w:t>C</w:t>
      </w:r>
      <w:r>
        <w:rPr>
          <w:rFonts w:eastAsia="宋体"/>
          <w:sz w:val="21"/>
          <w:szCs w:val="21"/>
        </w:rPr>
        <w:t>)(i)节。</w:t>
      </w:r>
    </w:p>
  </w:footnote>
  <w:footnote w:id="3">
    <w:p w14:paraId="45B91E06">
      <w:pPr>
        <w:pStyle w:val="9"/>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《FD&amp;C法案》第513(f)(6)(D)节。</w:t>
      </w:r>
    </w:p>
  </w:footnote>
  <w:footnote w:id="4">
    <w:p w14:paraId="361E9779">
      <w:pPr>
        <w:pStyle w:val="9"/>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《FD&amp;C法案》第513(f)(6)(</w:t>
      </w:r>
      <w:r>
        <w:rPr>
          <w:rFonts w:hint="eastAsia" w:eastAsia="宋体"/>
          <w:color w:val="000000"/>
          <w:sz w:val="21"/>
          <w:szCs w:val="21"/>
        </w:rPr>
        <w:t>E</w:t>
      </w:r>
      <w:r>
        <w:rPr>
          <w:rFonts w:eastAsia="宋体"/>
          <w:color w:val="000000"/>
          <w:sz w:val="21"/>
          <w:szCs w:val="21"/>
        </w:rPr>
        <w:t>)节。</w:t>
      </w:r>
    </w:p>
  </w:footnote>
  <w:footnote w:id="5">
    <w:p w14:paraId="275AB6C6">
      <w:pPr>
        <w:pStyle w:val="9"/>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《FD&amp;C法案》第513(e)节和第513(f)(3)节。</w:t>
      </w:r>
    </w:p>
  </w:footnote>
  <w:footnote w:id="6">
    <w:p w14:paraId="78D70C72">
      <w:pPr>
        <w:pStyle w:val="9"/>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《FD&amp;C法案》第510(m)节。</w:t>
      </w:r>
    </w:p>
  </w:footnote>
  <w:footnote w:id="7">
    <w:p w14:paraId="04FCDAAB">
      <w:pPr>
        <w:shd w:val="clear" w:color="auto" w:fill="FFFFFF"/>
        <w:topLinePunct/>
        <w:autoSpaceDE/>
        <w:autoSpaceDN/>
        <w:adjustRightInd/>
        <w:snapToGrid w:val="0"/>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IMDRF SaMD WG/N10终稿：医疗器械独立软件：关键定义（</w:t>
      </w:r>
      <w:r>
        <w:rPr>
          <w:rFonts w:eastAsia="宋体"/>
          <w:color w:val="3333FF"/>
          <w:sz w:val="21"/>
          <w:szCs w:val="21"/>
          <w:u w:val="single"/>
        </w:rPr>
        <w:t>http://www.imdrf.org/docs/imdrf/final/technical/imdrf-tech-131209-samd-key-definitions-140901.pdf</w:t>
      </w:r>
      <w:r>
        <w:rPr>
          <w:rFonts w:eastAsia="宋体"/>
          <w:color w:val="000000"/>
          <w:sz w:val="21"/>
          <w:szCs w:val="21"/>
        </w:rPr>
        <w:t>）。</w:t>
      </w:r>
    </w:p>
  </w:footnote>
  <w:footnote w:id="8">
    <w:p w14:paraId="5C73FF69">
      <w:pPr>
        <w:pStyle w:val="9"/>
        <w:rPr>
          <w:rFonts w:eastAsia="宋体"/>
          <w:sz w:val="21"/>
          <w:szCs w:val="21"/>
        </w:rPr>
      </w:pPr>
      <w:r>
        <w:rPr>
          <w:rStyle w:val="17"/>
          <w:rFonts w:eastAsia="宋体"/>
          <w:sz w:val="21"/>
          <w:szCs w:val="21"/>
        </w:rPr>
        <w:footnoteRef/>
      </w:r>
      <w:r>
        <w:rPr>
          <w:rFonts w:eastAsia="宋体"/>
          <w:color w:val="000000"/>
          <w:sz w:val="21"/>
          <w:szCs w:val="21"/>
        </w:rPr>
        <w:t>请注意，《质量体系最终规则》（61 FR 52609，1996年10月7日）的序言称</w:t>
      </w:r>
      <w:r>
        <w:rPr>
          <w:rFonts w:ascii="宋体" w:hAnsi="宋体" w:eastAsia="宋体"/>
          <w:color w:val="000000"/>
          <w:sz w:val="21"/>
          <w:szCs w:val="21"/>
        </w:rPr>
        <w:t>“</w:t>
      </w:r>
      <w:r>
        <w:rPr>
          <w:rFonts w:eastAsia="宋体"/>
          <w:color w:val="000000"/>
          <w:sz w:val="21"/>
          <w:szCs w:val="21"/>
        </w:rPr>
        <w:t>为了更清晰地阐明其意图，FDA已修改定义，增加所有能够运行的器械（包括那些即使还没有最终形式也能使用的器械）属于</w:t>
      </w:r>
      <w:r>
        <w:rPr>
          <w:rFonts w:ascii="宋体" w:hAnsi="宋体" w:eastAsia="宋体"/>
          <w:color w:val="000000"/>
          <w:sz w:val="21"/>
          <w:szCs w:val="21"/>
        </w:rPr>
        <w:t>“</w:t>
      </w:r>
      <w:r>
        <w:rPr>
          <w:rFonts w:eastAsia="宋体"/>
          <w:color w:val="000000"/>
          <w:sz w:val="21"/>
          <w:szCs w:val="21"/>
        </w:rPr>
        <w:t>成品器械</w:t>
      </w:r>
      <w:r>
        <w:rPr>
          <w:rFonts w:ascii="宋体" w:hAnsi="宋体" w:eastAsia="宋体"/>
          <w:color w:val="000000"/>
          <w:sz w:val="21"/>
          <w:szCs w:val="21"/>
        </w:rPr>
        <w:t>”</w:t>
      </w:r>
      <w:r>
        <w:rPr>
          <w:rFonts w:eastAsia="宋体"/>
          <w:color w:val="000000"/>
          <w:sz w:val="21"/>
          <w:szCs w:val="21"/>
        </w:rPr>
        <w:t>的条款。例如，已制造或组装且仅需经过灭菌、处理、检查和测试，或由购买者/制造商进行包装或贴标签的器械显然不属于组件，但目前处于可使用状态，因此其符合</w:t>
      </w:r>
      <w:r>
        <w:rPr>
          <w:rFonts w:ascii="宋体" w:hAnsi="宋体" w:eastAsia="宋体"/>
          <w:color w:val="000000"/>
          <w:sz w:val="21"/>
          <w:szCs w:val="21"/>
        </w:rPr>
        <w:t>“</w:t>
      </w:r>
      <w:r>
        <w:rPr>
          <w:rFonts w:eastAsia="宋体"/>
          <w:color w:val="000000"/>
          <w:sz w:val="21"/>
          <w:szCs w:val="21"/>
        </w:rPr>
        <w:t>成品器械</w:t>
      </w:r>
      <w:r>
        <w:rPr>
          <w:rFonts w:ascii="宋体" w:hAnsi="宋体" w:eastAsia="宋体"/>
          <w:color w:val="000000"/>
          <w:sz w:val="21"/>
          <w:szCs w:val="21"/>
        </w:rPr>
        <w:t>”</w:t>
      </w:r>
      <w:r>
        <w:rPr>
          <w:rFonts w:eastAsia="宋体"/>
          <w:color w:val="000000"/>
          <w:sz w:val="21"/>
          <w:szCs w:val="21"/>
        </w:rPr>
        <w:t>的定义。</w:t>
      </w:r>
      <w:r>
        <w:rPr>
          <w:rFonts w:ascii="宋体" w:hAnsi="宋体" w:eastAsia="宋体"/>
          <w:color w:val="000000"/>
          <w:sz w:val="21"/>
          <w:szCs w:val="21"/>
        </w:rPr>
        <w:t>”</w:t>
      </w:r>
    </w:p>
  </w:footnote>
  <w:footnote w:id="9">
    <w:p w14:paraId="05B60533">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《FD&amp;C法案》第513(f)(6)(C)(i)(III)节。</w:t>
      </w:r>
    </w:p>
  </w:footnote>
  <w:footnote w:id="10">
    <w:p w14:paraId="3F96CDA7">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sz w:val="21"/>
          <w:szCs w:val="21"/>
        </w:rPr>
        <w:t>参见</w:t>
      </w:r>
      <w:r>
        <w:rPr>
          <w:rFonts w:eastAsia="宋体"/>
          <w:sz w:val="21"/>
          <w:szCs w:val="21"/>
        </w:rPr>
        <w:t>《FD&amp;C法案》第513(f)(6)(C)(ii)节。</w:t>
      </w:r>
    </w:p>
  </w:footnote>
  <w:footnote w:id="11">
    <w:p w14:paraId="63C04EA5">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《FD&amp;C法案》第513(f)(6)(D)(ii)节。</w:t>
      </w:r>
    </w:p>
  </w:footnote>
  <w:footnote w:id="12">
    <w:p w14:paraId="0374D7CB">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sz w:val="21"/>
          <w:szCs w:val="21"/>
        </w:rPr>
        <w:t>参见</w:t>
      </w:r>
      <w:r>
        <w:rPr>
          <w:rFonts w:eastAsia="宋体"/>
          <w:sz w:val="21"/>
          <w:szCs w:val="21"/>
        </w:rPr>
        <w:t>《FD&amp;C法案》第513(f)(6)(D)(ii)节。</w:t>
      </w:r>
    </w:p>
  </w:footnote>
  <w:footnote w:id="13">
    <w:p w14:paraId="6759DF71">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《FD&amp;C法案》第513(f)(6)(D)(iii)节。</w:t>
      </w:r>
    </w:p>
  </w:footnote>
  <w:footnote w:id="14">
    <w:p w14:paraId="7CEF46A0">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i/>
          <w:iCs/>
          <w:color w:val="000000"/>
          <w:sz w:val="21"/>
          <w:szCs w:val="21"/>
        </w:rPr>
        <w:t>参见</w:t>
      </w:r>
      <w:r>
        <w:rPr>
          <w:rFonts w:eastAsia="宋体"/>
          <w:color w:val="000000"/>
          <w:sz w:val="21"/>
          <w:szCs w:val="21"/>
        </w:rPr>
        <w:t>《FD&amp;C法案》第513(f)(2)(A)(iii)节。</w:t>
      </w:r>
    </w:p>
  </w:footnote>
  <w:footnote w:id="15">
    <w:p w14:paraId="1E053265">
      <w:pPr>
        <w:shd w:val="clear" w:color="auto" w:fill="FFFFFF"/>
        <w:topLinePunct/>
        <w:autoSpaceDE/>
        <w:autoSpaceDN/>
        <w:adjustRightInd/>
        <w:snapToGrid w:val="0"/>
        <w:jc w:val="both"/>
        <w:rPr>
          <w:rFonts w:eastAsia="宋体"/>
          <w:sz w:val="21"/>
          <w:szCs w:val="21"/>
        </w:rPr>
      </w:pPr>
      <w:r>
        <w:rPr>
          <w:rStyle w:val="17"/>
          <w:rFonts w:eastAsia="宋体"/>
          <w:sz w:val="21"/>
          <w:szCs w:val="21"/>
        </w:rPr>
        <w:footnoteRef/>
      </w:r>
      <w:r>
        <w:rPr>
          <w:rFonts w:eastAsia="宋体"/>
          <w:color w:val="000000"/>
          <w:sz w:val="21"/>
          <w:szCs w:val="21"/>
        </w:rPr>
        <w:t>如果因为创新产品分类创新产品分类申请中提供的性能数据不支持一般控制或一般和特殊控制可以适当地缓解健康识别风险，以便为器械提供合理安全性和有效性保证，或其他原因，则创新产品分类创新产品分类申请可能被拒绝。</w:t>
      </w:r>
    </w:p>
  </w:footnote>
  <w:footnote w:id="16">
    <w:p w14:paraId="140B2667">
      <w:pPr>
        <w:pStyle w:val="9"/>
        <w:rPr>
          <w:rFonts w:eastAsia="宋体"/>
          <w:sz w:val="21"/>
          <w:szCs w:val="21"/>
        </w:rPr>
      </w:pPr>
      <w:r>
        <w:rPr>
          <w:rStyle w:val="17"/>
          <w:rFonts w:eastAsia="宋体"/>
          <w:sz w:val="21"/>
          <w:szCs w:val="21"/>
        </w:rPr>
        <w:footnoteRef/>
      </w:r>
      <w:r>
        <w:rPr>
          <w:rFonts w:eastAsia="宋体"/>
          <w:i/>
          <w:color w:val="000000"/>
          <w:sz w:val="21"/>
          <w:szCs w:val="21"/>
        </w:rPr>
        <w:t>参见</w:t>
      </w:r>
      <w:r>
        <w:rPr>
          <w:rFonts w:eastAsia="宋体"/>
          <w:color w:val="000000"/>
          <w:sz w:val="21"/>
          <w:szCs w:val="21"/>
        </w:rPr>
        <w:t>《创新产品分类过程（III类器械自动认定评价）；面向行业和美国食品药品监督管理局工作人员的指南》（https://www.fda.gov/ucm/groups/fdagov-public/@fdagov-meddev-gen/documents/document/ucm080197.pdf）。</w:t>
      </w:r>
    </w:p>
  </w:footnote>
  <w:footnote w:id="17">
    <w:p w14:paraId="088CD1CC">
      <w:pPr>
        <w:pStyle w:val="9"/>
        <w:rPr>
          <w:rFonts w:eastAsia="宋体"/>
          <w:sz w:val="21"/>
          <w:szCs w:val="21"/>
        </w:rPr>
      </w:pPr>
      <w:r>
        <w:rPr>
          <w:rStyle w:val="17"/>
          <w:rFonts w:eastAsia="宋体"/>
          <w:sz w:val="21"/>
          <w:szCs w:val="21"/>
        </w:rPr>
        <w:footnoteRef/>
      </w:r>
      <w:r>
        <w:rPr>
          <w:rFonts w:eastAsia="宋体"/>
          <w:color w:val="000000"/>
          <w:sz w:val="21"/>
          <w:szCs w:val="21"/>
        </w:rPr>
        <w:t>有关受益风险判定和考虑因素的信息，请参见FDA指南《面向行业和美国食品药品监督管理局工作人员的指南 - 医疗器械上市前批准和创新产品分类中判定风险受益时需要考虑的因素》，相关链接请参见本网站：</w:t>
      </w:r>
      <w:r>
        <w:rPr>
          <w:rFonts w:eastAsia="宋体"/>
          <w:color w:val="3333FF"/>
          <w:sz w:val="21"/>
          <w:szCs w:val="21"/>
          <w:u w:val="single"/>
        </w:rPr>
        <w:t>https://www.fda.gov/downloads/MedicalDevices/DeviceRegulationandGuidance/GuidanceDocuments/UCM517504.pdf</w:t>
      </w:r>
      <w:r>
        <w:rPr>
          <w:rFonts w:eastAsia="宋体"/>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6931">
    <w:pPr>
      <w:shd w:val="clear" w:color="auto" w:fill="FFFFFF"/>
      <w:topLinePunct/>
      <w:autoSpaceDE/>
      <w:autoSpaceDN/>
      <w:adjustRightInd/>
      <w:jc w:val="center"/>
      <w:rPr>
        <w:rFonts w:eastAsia="宋体"/>
        <w:sz w:val="21"/>
        <w:szCs w:val="21"/>
      </w:rPr>
    </w:pPr>
    <w:r>
      <w:rPr>
        <w:rFonts w:eastAsia="宋体"/>
        <w:b/>
        <w:i/>
        <w:color w:val="000000"/>
        <w:sz w:val="21"/>
      </w:rPr>
      <w:t>所含建议不具约束力</w:t>
    </w:r>
  </w:p>
  <w:p w14:paraId="46704555">
    <w:pPr>
      <w:pStyle w:val="7"/>
      <w:pBdr>
        <w:bottom w:val="none" w:color="auto" w:sz="0" w:space="0"/>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B2618"/>
    <w:multiLevelType w:val="multilevel"/>
    <w:tmpl w:val="04BB26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CED5628"/>
    <w:multiLevelType w:val="multilevel"/>
    <w:tmpl w:val="1CED5628"/>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D88116F"/>
    <w:multiLevelType w:val="singleLevel"/>
    <w:tmpl w:val="1D88116F"/>
    <w:lvl w:ilvl="0" w:tentative="0">
      <w:start w:val="1"/>
      <w:numFmt w:val="decimal"/>
      <w:lvlText w:val="%1."/>
      <w:legacy w:legacy="1" w:legacySpace="0" w:legacyIndent="360"/>
      <w:lvlJc w:val="left"/>
      <w:rPr>
        <w:rFonts w:hint="default" w:ascii="Times New Roman" w:hAnsi="Times New Roman" w:cs="Times New Roman"/>
      </w:rPr>
    </w:lvl>
  </w:abstractNum>
  <w:abstractNum w:abstractNumId="3">
    <w:nsid w:val="4E9B4EB5"/>
    <w:multiLevelType w:val="singleLevel"/>
    <w:tmpl w:val="4E9B4EB5"/>
    <w:lvl w:ilvl="0" w:tentative="0">
      <w:start w:val="1"/>
      <w:numFmt w:val="decimal"/>
      <w:lvlText w:val="（%1）"/>
      <w:lvlJc w:val="left"/>
      <w:pPr>
        <w:ind w:left="420" w:hanging="420"/>
      </w:pPr>
      <w:rPr>
        <w:rFonts w:hint="default" w:ascii="Times New Roman" w:hAnsi="Times New Roman" w:eastAsia="宋体" w:cs="Times New Roman"/>
        <w:w w:val="100"/>
        <w:sz w:val="24"/>
        <w:szCs w:val="24"/>
      </w:rPr>
    </w:lvl>
  </w:abstractNum>
  <w:abstractNum w:abstractNumId="4">
    <w:nsid w:val="541C7289"/>
    <w:multiLevelType w:val="multilevel"/>
    <w:tmpl w:val="541C7289"/>
    <w:lvl w:ilvl="0" w:tentative="0">
      <w:start w:val="1"/>
      <w:numFmt w:val="upperRoman"/>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74506F"/>
    <w:multiLevelType w:val="multilevel"/>
    <w:tmpl w:val="6274506F"/>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4B12751"/>
    <w:multiLevelType w:val="multilevel"/>
    <w:tmpl w:val="64B12751"/>
    <w:lvl w:ilvl="0" w:tentative="0">
      <w:start w:val="1"/>
      <w:numFmt w:val="bullet"/>
      <w:lvlText w:val="○"/>
      <w:lvlJc w:val="left"/>
      <w:pPr>
        <w:ind w:left="420" w:hanging="420"/>
      </w:pPr>
      <w:rPr>
        <w:rFonts w:hint="default" w:ascii="Times New Roman" w:hAnsi="Times New Roman" w:cs="Times New Roman"/>
      </w:rPr>
    </w:lvl>
    <w:lvl w:ilvl="1" w:tentative="0">
      <w:start w:val="0"/>
      <w:numFmt w:val="bullet"/>
      <w:lvlText w:val="·"/>
      <w:lvlJc w:val="left"/>
      <w:pPr>
        <w:ind w:left="1860" w:hanging="1440"/>
      </w:pPr>
      <w:rPr>
        <w:rFonts w:hint="default" w:ascii="Times New Roman" w:hAnsi="Times New Roman" w:eastAsia="宋体" w:cs="Times New Roman"/>
        <w:color w:val="000000"/>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36"/>
    <w:footnote w:id="3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D9"/>
    <w:rsid w:val="00000B8C"/>
    <w:rsid w:val="00007BF3"/>
    <w:rsid w:val="000111EE"/>
    <w:rsid w:val="0001359E"/>
    <w:rsid w:val="000532CC"/>
    <w:rsid w:val="00057FAD"/>
    <w:rsid w:val="00062C8B"/>
    <w:rsid w:val="000718F4"/>
    <w:rsid w:val="00084363"/>
    <w:rsid w:val="00085B6B"/>
    <w:rsid w:val="00100432"/>
    <w:rsid w:val="00111DF1"/>
    <w:rsid w:val="00125446"/>
    <w:rsid w:val="00133006"/>
    <w:rsid w:val="00137837"/>
    <w:rsid w:val="00152CB1"/>
    <w:rsid w:val="00153C46"/>
    <w:rsid w:val="0019203D"/>
    <w:rsid w:val="00192D38"/>
    <w:rsid w:val="001B4AD1"/>
    <w:rsid w:val="001C4F54"/>
    <w:rsid w:val="00223E28"/>
    <w:rsid w:val="00271EF3"/>
    <w:rsid w:val="002857D8"/>
    <w:rsid w:val="002907BC"/>
    <w:rsid w:val="00292C97"/>
    <w:rsid w:val="002955A9"/>
    <w:rsid w:val="002A7CE1"/>
    <w:rsid w:val="002C3592"/>
    <w:rsid w:val="002D6A24"/>
    <w:rsid w:val="002E50E6"/>
    <w:rsid w:val="00302C95"/>
    <w:rsid w:val="0036631D"/>
    <w:rsid w:val="00366627"/>
    <w:rsid w:val="00366766"/>
    <w:rsid w:val="0037172F"/>
    <w:rsid w:val="003A0271"/>
    <w:rsid w:val="003C0850"/>
    <w:rsid w:val="003D2B4B"/>
    <w:rsid w:val="003E3472"/>
    <w:rsid w:val="00403604"/>
    <w:rsid w:val="00413050"/>
    <w:rsid w:val="0043286E"/>
    <w:rsid w:val="00435989"/>
    <w:rsid w:val="004437D7"/>
    <w:rsid w:val="004476FA"/>
    <w:rsid w:val="0045323E"/>
    <w:rsid w:val="00456AD9"/>
    <w:rsid w:val="00483268"/>
    <w:rsid w:val="00484C77"/>
    <w:rsid w:val="00496631"/>
    <w:rsid w:val="00497CAA"/>
    <w:rsid w:val="004C3917"/>
    <w:rsid w:val="004C39C1"/>
    <w:rsid w:val="004F4A57"/>
    <w:rsid w:val="00501C23"/>
    <w:rsid w:val="00502562"/>
    <w:rsid w:val="00512450"/>
    <w:rsid w:val="005124E4"/>
    <w:rsid w:val="00526875"/>
    <w:rsid w:val="00531773"/>
    <w:rsid w:val="005430B6"/>
    <w:rsid w:val="00552564"/>
    <w:rsid w:val="005741FD"/>
    <w:rsid w:val="00591D9C"/>
    <w:rsid w:val="005925D1"/>
    <w:rsid w:val="005A373F"/>
    <w:rsid w:val="005B2C64"/>
    <w:rsid w:val="005D2576"/>
    <w:rsid w:val="005D6BB9"/>
    <w:rsid w:val="006043D0"/>
    <w:rsid w:val="00625433"/>
    <w:rsid w:val="00631C22"/>
    <w:rsid w:val="00634740"/>
    <w:rsid w:val="00636A34"/>
    <w:rsid w:val="006605C0"/>
    <w:rsid w:val="0068426A"/>
    <w:rsid w:val="0069260E"/>
    <w:rsid w:val="006A120D"/>
    <w:rsid w:val="006C6F46"/>
    <w:rsid w:val="006F1CB2"/>
    <w:rsid w:val="006F2907"/>
    <w:rsid w:val="00714671"/>
    <w:rsid w:val="007218AD"/>
    <w:rsid w:val="00730901"/>
    <w:rsid w:val="00742149"/>
    <w:rsid w:val="00746A17"/>
    <w:rsid w:val="007506D6"/>
    <w:rsid w:val="00762F5E"/>
    <w:rsid w:val="007977F1"/>
    <w:rsid w:val="007A6B2B"/>
    <w:rsid w:val="007B3CAB"/>
    <w:rsid w:val="007D4CD8"/>
    <w:rsid w:val="007E20DF"/>
    <w:rsid w:val="007E393B"/>
    <w:rsid w:val="008161C5"/>
    <w:rsid w:val="00857090"/>
    <w:rsid w:val="00864B9B"/>
    <w:rsid w:val="00883730"/>
    <w:rsid w:val="008A5C71"/>
    <w:rsid w:val="008B7A22"/>
    <w:rsid w:val="008C46FA"/>
    <w:rsid w:val="008D3245"/>
    <w:rsid w:val="008D4B49"/>
    <w:rsid w:val="008F0902"/>
    <w:rsid w:val="009172AE"/>
    <w:rsid w:val="0093282F"/>
    <w:rsid w:val="00952AF9"/>
    <w:rsid w:val="00975896"/>
    <w:rsid w:val="009B0BFC"/>
    <w:rsid w:val="009B23A7"/>
    <w:rsid w:val="009D1939"/>
    <w:rsid w:val="009D3620"/>
    <w:rsid w:val="009D6FB1"/>
    <w:rsid w:val="00A163B0"/>
    <w:rsid w:val="00A2367F"/>
    <w:rsid w:val="00A34B46"/>
    <w:rsid w:val="00A35AB3"/>
    <w:rsid w:val="00A5006E"/>
    <w:rsid w:val="00A92A5F"/>
    <w:rsid w:val="00A95976"/>
    <w:rsid w:val="00AD2D40"/>
    <w:rsid w:val="00AF1220"/>
    <w:rsid w:val="00AF4FFF"/>
    <w:rsid w:val="00B150D4"/>
    <w:rsid w:val="00B46384"/>
    <w:rsid w:val="00B956D0"/>
    <w:rsid w:val="00BA67AE"/>
    <w:rsid w:val="00BB08C7"/>
    <w:rsid w:val="00BC0A92"/>
    <w:rsid w:val="00BD34D7"/>
    <w:rsid w:val="00BF5409"/>
    <w:rsid w:val="00C17B3B"/>
    <w:rsid w:val="00C2207C"/>
    <w:rsid w:val="00C2336E"/>
    <w:rsid w:val="00C302B6"/>
    <w:rsid w:val="00C31FD2"/>
    <w:rsid w:val="00C34374"/>
    <w:rsid w:val="00C377BA"/>
    <w:rsid w:val="00C47ED6"/>
    <w:rsid w:val="00C520D9"/>
    <w:rsid w:val="00C5354D"/>
    <w:rsid w:val="00C62910"/>
    <w:rsid w:val="00C767A9"/>
    <w:rsid w:val="00C8680F"/>
    <w:rsid w:val="00CC7ED7"/>
    <w:rsid w:val="00CD4119"/>
    <w:rsid w:val="00CD4E38"/>
    <w:rsid w:val="00CF0F96"/>
    <w:rsid w:val="00CF43F0"/>
    <w:rsid w:val="00D006F8"/>
    <w:rsid w:val="00D16322"/>
    <w:rsid w:val="00D332BF"/>
    <w:rsid w:val="00D555D0"/>
    <w:rsid w:val="00D7649B"/>
    <w:rsid w:val="00D76F9F"/>
    <w:rsid w:val="00D87313"/>
    <w:rsid w:val="00DE10BB"/>
    <w:rsid w:val="00E2165F"/>
    <w:rsid w:val="00E36F25"/>
    <w:rsid w:val="00E4284D"/>
    <w:rsid w:val="00E73D4F"/>
    <w:rsid w:val="00E86D35"/>
    <w:rsid w:val="00E97CE6"/>
    <w:rsid w:val="00EB17F4"/>
    <w:rsid w:val="00ED2C33"/>
    <w:rsid w:val="00EF23C4"/>
    <w:rsid w:val="00F15898"/>
    <w:rsid w:val="00F42CA2"/>
    <w:rsid w:val="00F46371"/>
    <w:rsid w:val="00F534D9"/>
    <w:rsid w:val="00F67A0F"/>
    <w:rsid w:val="00F7212E"/>
    <w:rsid w:val="00FC0D2F"/>
    <w:rsid w:val="00FC5A1C"/>
    <w:rsid w:val="00FD3AA9"/>
    <w:rsid w:val="6B6033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2"/>
    <w:autoRedefine/>
    <w:qFormat/>
    <w:uiPriority w:val="9"/>
    <w:pPr>
      <w:keepNext/>
      <w:numPr>
        <w:ilvl w:val="0"/>
        <w:numId w:val="1"/>
      </w:numPr>
      <w:topLinePunct/>
      <w:autoSpaceDE/>
      <w:autoSpaceDN/>
      <w:snapToGrid w:val="0"/>
      <w:spacing w:before="120" w:beforeLines="50" w:after="120" w:afterLines="50"/>
      <w:jc w:val="both"/>
      <w:outlineLvl w:val="0"/>
    </w:pPr>
    <w:rPr>
      <w:rFonts w:eastAsia="宋体"/>
      <w:b/>
      <w:bCs/>
      <w:kern w:val="44"/>
      <w:sz w:val="32"/>
      <w:szCs w:val="32"/>
    </w:rPr>
  </w:style>
  <w:style w:type="paragraph" w:styleId="3">
    <w:name w:val="heading 2"/>
    <w:basedOn w:val="1"/>
    <w:next w:val="1"/>
    <w:link w:val="24"/>
    <w:autoRedefine/>
    <w:unhideWhenUsed/>
    <w:qFormat/>
    <w:uiPriority w:val="9"/>
    <w:pPr>
      <w:keepNext/>
      <w:topLinePunct/>
      <w:autoSpaceDE/>
      <w:autoSpaceDN/>
      <w:snapToGrid w:val="0"/>
      <w:spacing w:before="120" w:beforeLines="50" w:after="120" w:afterLines="50"/>
      <w:ind w:left="1418" w:leftChars="355" w:hanging="708" w:hangingChars="252"/>
      <w:jc w:val="both"/>
      <w:outlineLvl w:val="1"/>
    </w:pPr>
    <w:rPr>
      <w:rFonts w:eastAsia="宋体"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uiPriority w:val="99"/>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uiPriority w:val="99"/>
    <w:pPr>
      <w:tabs>
        <w:tab w:val="center" w:pos="4153"/>
        <w:tab w:val="right" w:pos="8306"/>
      </w:tabs>
      <w:snapToGrid w:val="0"/>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right" w:leader="dot" w:pos="9356"/>
      </w:tabs>
      <w:topLinePunct/>
      <w:autoSpaceDE/>
      <w:autoSpaceDN/>
      <w:ind w:left="480" w:hanging="480" w:hangingChars="200"/>
      <w:jc w:val="both"/>
    </w:pPr>
    <w:rPr>
      <w:rFonts w:eastAsia="宋体"/>
      <w:sz w:val="24"/>
    </w:rPr>
  </w:style>
  <w:style w:type="paragraph" w:styleId="9">
    <w:name w:val="footnote text"/>
    <w:basedOn w:val="1"/>
    <w:link w:val="28"/>
    <w:semiHidden/>
    <w:unhideWhenUsed/>
    <w:uiPriority w:val="99"/>
    <w:pPr>
      <w:snapToGrid w:val="0"/>
    </w:pPr>
    <w:rPr>
      <w:sz w:val="18"/>
      <w:szCs w:val="18"/>
    </w:rPr>
  </w:style>
  <w:style w:type="paragraph" w:styleId="10">
    <w:name w:val="toc 2"/>
    <w:basedOn w:val="1"/>
    <w:next w:val="1"/>
    <w:autoRedefine/>
    <w:unhideWhenUsed/>
    <w:uiPriority w:val="39"/>
    <w:pPr>
      <w:tabs>
        <w:tab w:val="left" w:pos="880"/>
        <w:tab w:val="right" w:leader="dot" w:pos="9356"/>
      </w:tabs>
      <w:topLinePunct/>
      <w:autoSpaceDE/>
      <w:autoSpaceDN/>
      <w:adjustRightInd/>
      <w:ind w:left="400" w:leftChars="200"/>
      <w:jc w:val="both"/>
    </w:pPr>
    <w:rPr>
      <w:rFonts w:eastAsia="宋体"/>
      <w:sz w:val="24"/>
    </w:rPr>
  </w:style>
  <w:style w:type="paragraph" w:styleId="11">
    <w:name w:val="annotation subject"/>
    <w:basedOn w:val="4"/>
    <w:next w:val="4"/>
    <w:link w:val="30"/>
    <w:semiHidden/>
    <w:unhideWhenUsed/>
    <w:uiPriority w:val="99"/>
    <w:rPr>
      <w:b/>
      <w:bCs/>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styleId="17">
    <w:name w:val="footnote reference"/>
    <w:basedOn w:val="14"/>
    <w:semiHidden/>
    <w:unhideWhenUsed/>
    <w:qFormat/>
    <w:uiPriority w:val="99"/>
    <w:rPr>
      <w:vertAlign w:val="superscript"/>
    </w:rPr>
  </w:style>
  <w:style w:type="character" w:customStyle="1" w:styleId="18">
    <w:name w:val="页眉 Char"/>
    <w:basedOn w:val="14"/>
    <w:link w:val="7"/>
    <w:uiPriority w:val="99"/>
    <w:rPr>
      <w:rFonts w:ascii="Times New Roman" w:hAnsi="Times New Roman" w:cs="Times New Roman"/>
      <w:kern w:val="0"/>
      <w:sz w:val="18"/>
      <w:szCs w:val="18"/>
    </w:rPr>
  </w:style>
  <w:style w:type="character" w:customStyle="1" w:styleId="19">
    <w:name w:val="页脚 Char"/>
    <w:basedOn w:val="14"/>
    <w:link w:val="6"/>
    <w:qFormat/>
    <w:uiPriority w:val="99"/>
    <w:rPr>
      <w:rFonts w:ascii="Times New Roman" w:hAnsi="Times New Roman" w:cs="Times New Roman"/>
      <w:kern w:val="0"/>
      <w:sz w:val="18"/>
      <w:szCs w:val="18"/>
    </w:rPr>
  </w:style>
  <w:style w:type="character" w:customStyle="1" w:styleId="20">
    <w:name w:val="批注框文本 Char"/>
    <w:basedOn w:val="14"/>
    <w:link w:val="5"/>
    <w:semiHidden/>
    <w:qFormat/>
    <w:uiPriority w:val="99"/>
    <w:rPr>
      <w:rFonts w:ascii="Times New Roman" w:hAnsi="Times New Roman" w:cs="Times New Roman"/>
      <w:kern w:val="0"/>
      <w:sz w:val="18"/>
      <w:szCs w:val="18"/>
    </w:rPr>
  </w:style>
  <w:style w:type="paragraph" w:styleId="21">
    <w:name w:val="List Paragraph"/>
    <w:basedOn w:val="1"/>
    <w:qFormat/>
    <w:uiPriority w:val="34"/>
    <w:pPr>
      <w:ind w:firstLine="420" w:firstLineChars="200"/>
    </w:pPr>
  </w:style>
  <w:style w:type="character" w:customStyle="1" w:styleId="22">
    <w:name w:val="标题 1 Char"/>
    <w:basedOn w:val="14"/>
    <w:link w:val="2"/>
    <w:uiPriority w:val="9"/>
    <w:rPr>
      <w:rFonts w:ascii="Times New Roman" w:hAnsi="Times New Roman" w:eastAsia="宋体" w:cs="Times New Roman"/>
      <w:b/>
      <w:bCs/>
      <w:kern w:val="44"/>
      <w:sz w:val="32"/>
      <w:szCs w:val="32"/>
    </w:rPr>
  </w:style>
  <w:style w:type="paragraph" w:styleId="23">
    <w:name w:val="No Spacing"/>
    <w:qFormat/>
    <w:uiPriority w:val="1"/>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character" w:customStyle="1" w:styleId="24">
    <w:name w:val="标题 2 Char"/>
    <w:basedOn w:val="14"/>
    <w:link w:val="3"/>
    <w:qFormat/>
    <w:uiPriority w:val="9"/>
    <w:rPr>
      <w:rFonts w:ascii="Times New Roman" w:hAnsi="Times New Roman" w:eastAsia="宋体" w:cstheme="majorBidi"/>
      <w:b/>
      <w:bCs/>
      <w:kern w:val="0"/>
      <w:sz w:val="28"/>
      <w:szCs w:val="28"/>
    </w:rPr>
  </w:style>
  <w:style w:type="paragraph" w:customStyle="1" w:styleId="25">
    <w:name w:val="Revision"/>
    <w:hidden/>
    <w:semiHidden/>
    <w:uiPriority w:val="99"/>
    <w:rPr>
      <w:rFonts w:ascii="Times New Roman" w:hAnsi="Times New Roman" w:cs="Times New Roman" w:eastAsiaTheme="minorEastAsia"/>
      <w:kern w:val="0"/>
      <w:sz w:val="20"/>
      <w:szCs w:val="20"/>
      <w:lang w:val="en-US" w:eastAsia="zh-CN" w:bidi="ar-SA"/>
    </w:rPr>
  </w:style>
  <w:style w:type="paragraph" w:customStyle="1" w:styleId="26">
    <w:name w:val="样式1"/>
    <w:basedOn w:val="2"/>
    <w:qFormat/>
    <w:uiPriority w:val="0"/>
  </w:style>
  <w:style w:type="paragraph" w:customStyle="1" w:styleId="27">
    <w:name w:val="样式2"/>
    <w:basedOn w:val="26"/>
    <w:qFormat/>
    <w:uiPriority w:val="0"/>
  </w:style>
  <w:style w:type="character" w:customStyle="1" w:styleId="28">
    <w:name w:val="脚注文本 Char"/>
    <w:basedOn w:val="14"/>
    <w:link w:val="9"/>
    <w:semiHidden/>
    <w:uiPriority w:val="99"/>
    <w:rPr>
      <w:rFonts w:ascii="Times New Roman" w:hAnsi="Times New Roman" w:cs="Times New Roman"/>
      <w:kern w:val="0"/>
      <w:sz w:val="18"/>
      <w:szCs w:val="18"/>
    </w:rPr>
  </w:style>
  <w:style w:type="character" w:customStyle="1" w:styleId="29">
    <w:name w:val="批注文字 Char"/>
    <w:basedOn w:val="14"/>
    <w:link w:val="4"/>
    <w:semiHidden/>
    <w:uiPriority w:val="99"/>
    <w:rPr>
      <w:rFonts w:ascii="Times New Roman" w:hAnsi="Times New Roman" w:cs="Times New Roman"/>
      <w:kern w:val="0"/>
      <w:sz w:val="20"/>
      <w:szCs w:val="20"/>
    </w:rPr>
  </w:style>
  <w:style w:type="character" w:customStyle="1" w:styleId="30">
    <w:name w:val="批注主题 Char"/>
    <w:basedOn w:val="29"/>
    <w:link w:val="11"/>
    <w:semiHidden/>
    <w:uiPriority w:val="99"/>
    <w:rPr>
      <w:rFonts w:ascii="Times New Roman" w:hAnsi="Times New Roman" w:cs="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AF31-ABC6-41D2-8184-CC8B6E7884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9086</Words>
  <Characters>10722</Characters>
  <Lines>84</Lines>
  <Paragraphs>23</Paragraphs>
  <TotalTime>21</TotalTime>
  <ScaleCrop>false</ScaleCrop>
  <LinksUpToDate>false</LinksUpToDate>
  <CharactersWithSpaces>10804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2022-03-11T06:01:00Z</dcterms:created>
  <dc:creator>Administrator</dc:creator>
  <cp:lastModifiedBy>太极箫客</cp:lastModifiedBy>
  <dcterms:modified xsi:type="dcterms:W3CDTF">2025-08-14T06:43:06Z</dcterms:modified>
  <dc:title>Medical Device Accessories - Describing Acessories and Classification Pathways - Guidance for Industry and FDA Staff</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7DAE05D71DBA49EA8645637DE91DB547_12</vt:lpwstr>
  </property>
</Properties>
</file>