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1BC9">
      <w:pPr>
        <w:widowControl/>
        <w:shd w:val="clear" w:color="auto" w:fill="FFFFFF"/>
        <w:spacing w:after="210"/>
        <w:jc w:val="center"/>
        <w:outlineLvl w:val="0"/>
        <w:rPr>
          <w:rFonts w:ascii="Microsoft YaHei UI" w:hAnsi="Microsoft YaHei UI" w:eastAsia="Microsoft YaHei UI" w:cs="宋体"/>
          <w:b/>
          <w:bCs/>
          <w:color w:val="333333"/>
          <w:spacing w:val="8"/>
          <w:kern w:val="36"/>
          <w:sz w:val="33"/>
          <w:szCs w:val="33"/>
        </w:rPr>
      </w:pPr>
      <w:bookmarkStart w:id="0" w:name="_GoBack"/>
      <w:bookmarkEnd w:id="0"/>
      <w:r>
        <w:rPr>
          <w:rFonts w:hint="eastAsia" w:ascii="Microsoft YaHei UI" w:hAnsi="Microsoft YaHei UI" w:eastAsia="Microsoft YaHei UI" w:cs="宋体"/>
          <w:b/>
          <w:bCs/>
          <w:color w:val="333333"/>
          <w:spacing w:val="8"/>
          <w:kern w:val="36"/>
          <w:sz w:val="33"/>
          <w:szCs w:val="33"/>
        </w:rPr>
        <w:t>医疗器械软件注册审查指导原则修订变化对比表</w:t>
      </w:r>
    </w:p>
    <w:p w14:paraId="05B8622C">
      <w:pPr>
        <w:widowControl/>
        <w:shd w:val="clear" w:color="auto" w:fill="FFFFFF"/>
        <w:rPr>
          <w:rFonts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w:t>
      </w:r>
      <w:r>
        <w:rPr>
          <w:rFonts w:hint="eastAsia" w:ascii="Microsoft YaHei UI" w:hAnsi="Microsoft YaHei UI" w:eastAsia="Microsoft YaHei UI" w:cs="宋体"/>
          <w:color w:val="333333"/>
          <w:spacing w:val="8"/>
          <w:kern w:val="0"/>
          <w:sz w:val="23"/>
          <w:szCs w:val="23"/>
        </w:rPr>
        <w:t> 近日，国家药监局器械审中心发布《医疗器械软件注册审查指导原则》（2022年修订版），新修订的软件注册审查指导原则，对医疗器械软件的概念、生存周期、软件验证、测试、确认和功能用途等内容和要求都做修订，新旧医疗器械软件注册审查指导原则对比表供医疗器械企业参考。</w:t>
      </w:r>
    </w:p>
    <w:tbl>
      <w:tblPr>
        <w:tblStyle w:val="4"/>
        <w:tblW w:w="5000" w:type="pct"/>
        <w:tblInd w:w="0" w:type="dxa"/>
        <w:shd w:val="clear" w:color="auto" w:fill="FFFFFF"/>
        <w:tblLayout w:type="autofit"/>
        <w:tblCellMar>
          <w:top w:w="0" w:type="dxa"/>
          <w:left w:w="0" w:type="dxa"/>
          <w:bottom w:w="0" w:type="dxa"/>
          <w:right w:w="0" w:type="dxa"/>
        </w:tblCellMar>
      </w:tblPr>
      <w:tblGrid>
        <w:gridCol w:w="1447"/>
        <w:gridCol w:w="3204"/>
        <w:gridCol w:w="3865"/>
      </w:tblGrid>
      <w:tr w14:paraId="367CC5B5">
        <w:tblPrEx>
          <w:tblCellMar>
            <w:top w:w="0" w:type="dxa"/>
            <w:left w:w="0" w:type="dxa"/>
            <w:bottom w:w="0" w:type="dxa"/>
            <w:right w:w="0" w:type="dxa"/>
          </w:tblCellMar>
        </w:tblPrEx>
        <w:tc>
          <w:tcPr>
            <w:tcW w:w="850"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9AEAEF">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序号及项目</w:t>
            </w:r>
          </w:p>
        </w:tc>
        <w:tc>
          <w:tcPr>
            <w:tcW w:w="1881"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B33881A">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旧版</w:t>
            </w:r>
          </w:p>
        </w:tc>
        <w:tc>
          <w:tcPr>
            <w:tcW w:w="226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2F9068A">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新版</w:t>
            </w:r>
          </w:p>
        </w:tc>
      </w:tr>
      <w:tr w14:paraId="4CEF9958">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BB987F8">
            <w:pPr>
              <w:widowControl/>
              <w:wordWrap w:val="0"/>
              <w:rPr>
                <w:rFonts w:ascii="Microsoft YaHei UI" w:hAnsi="Microsoft YaHei UI" w:eastAsia="Microsoft YaHei UI" w:cs="宋体"/>
                <w:color w:val="333333"/>
                <w:spacing w:val="8"/>
                <w:kern w:val="0"/>
                <w:sz w:val="26"/>
                <w:szCs w:val="26"/>
              </w:rPr>
            </w:pPr>
            <w:r>
              <w:rPr>
                <w:rFonts w:ascii="Calibri" w:hAnsi="Calibri" w:eastAsia="宋体" w:cs="Calibri"/>
                <w:color w:val="333333"/>
                <w:spacing w:val="8"/>
                <w:kern w:val="0"/>
                <w:sz w:val="18"/>
                <w:szCs w:val="18"/>
              </w:rPr>
              <w:t>1</w:t>
            </w:r>
            <w:r>
              <w:rPr>
                <w:rFonts w:hint="eastAsia" w:ascii="宋体" w:hAnsi="宋体" w:eastAsia="宋体" w:cs="宋体"/>
                <w:color w:val="333333"/>
                <w:spacing w:val="8"/>
                <w:kern w:val="0"/>
                <w:sz w:val="18"/>
                <w:szCs w:val="18"/>
              </w:rPr>
              <w:t>指导原则的地位</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7A21F6B">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本指导原则是医疗器械软件的通用指导原则</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19C1C1F">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本指导原则是</w:t>
            </w:r>
            <w:r>
              <w:rPr>
                <w:rFonts w:hint="eastAsia" w:ascii="仿宋_GB2312" w:hAnsi="Microsoft YaHei UI" w:eastAsia="仿宋_GB2312" w:cs="宋体"/>
                <w:color w:val="FF0000"/>
                <w:spacing w:val="8"/>
                <w:kern w:val="0"/>
                <w:sz w:val="18"/>
                <w:szCs w:val="18"/>
              </w:rPr>
              <w:t>数字医疗（</w:t>
            </w:r>
            <w:r>
              <w:rPr>
                <w:rFonts w:ascii="Calibri" w:hAnsi="Calibri" w:eastAsia="仿宋_GB2312" w:cs="Calibri"/>
                <w:color w:val="FF0000"/>
                <w:spacing w:val="8"/>
                <w:kern w:val="0"/>
                <w:sz w:val="18"/>
                <w:szCs w:val="18"/>
              </w:rPr>
              <w:t>Digital Health</w:t>
            </w:r>
            <w:r>
              <w:rPr>
                <w:rFonts w:hint="eastAsia" w:ascii="仿宋_GB2312" w:hAnsi="Microsoft YaHei UI" w:eastAsia="仿宋_GB2312" w:cs="宋体"/>
                <w:color w:val="FF0000"/>
                <w:spacing w:val="8"/>
                <w:kern w:val="0"/>
                <w:sz w:val="18"/>
                <w:szCs w:val="18"/>
              </w:rPr>
              <w:t>）指导原则体系的基础指导原则</w:t>
            </w:r>
            <w:r>
              <w:rPr>
                <w:rFonts w:hint="eastAsia" w:ascii="仿宋_GB2312" w:hAnsi="Microsoft YaHei UI" w:eastAsia="仿宋_GB2312" w:cs="宋体"/>
                <w:color w:val="333333"/>
                <w:spacing w:val="8"/>
                <w:kern w:val="0"/>
                <w:sz w:val="18"/>
                <w:szCs w:val="18"/>
              </w:rPr>
              <w:t>，亦是医疗器械软件的通用指导原则</w:t>
            </w:r>
          </w:p>
        </w:tc>
      </w:tr>
      <w:tr w14:paraId="77E4833F">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EDA94C5">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w:t>
            </w:r>
            <w:r>
              <w:rPr>
                <w:rFonts w:hint="eastAsia" w:ascii="宋体" w:hAnsi="宋体" w:eastAsia="宋体" w:cs="Calibri"/>
                <w:color w:val="333333"/>
                <w:spacing w:val="8"/>
                <w:kern w:val="0"/>
                <w:sz w:val="18"/>
                <w:szCs w:val="18"/>
              </w:rPr>
              <w:t>范围</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28A0E33">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本指导原则适用于医疗器械软件的注册申报，包括第二类、第三类医疗器械产品，适用的软件开发方式包括自主开发、部分采用现成软件和全部采用现成软件。</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54FA30D">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本指导原则适用于医疗器械软件的注册申报，包括第二、三类独立软件和含有软件组件的医疗器械（包括体外诊断医疗器械）；适用于自研软件、现成软件的注册申报。</w:t>
            </w:r>
          </w:p>
          <w:p w14:paraId="1B2F127A">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18"/>
                <w:szCs w:val="18"/>
              </w:rPr>
              <w:t>本指导原则也可用作医疗器械软件、质量管理软件的体系核查参考。</w:t>
            </w:r>
          </w:p>
        </w:tc>
      </w:tr>
      <w:tr w14:paraId="51DE03B3">
        <w:tblPrEx>
          <w:shd w:val="clear" w:color="auto" w:fill="FFFFFF"/>
          <w:tblCellMar>
            <w:top w:w="0" w:type="dxa"/>
            <w:left w:w="0" w:type="dxa"/>
            <w:bottom w:w="0" w:type="dxa"/>
            <w:right w:w="0" w:type="dxa"/>
          </w:tblCellMar>
        </w:tblPrEx>
        <w:tc>
          <w:tcPr>
            <w:tcW w:w="850"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48BF92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w:t>
            </w:r>
            <w:r>
              <w:rPr>
                <w:rFonts w:hint="eastAsia" w:ascii="宋体" w:hAnsi="宋体" w:eastAsia="宋体" w:cs="Calibri"/>
                <w:color w:val="333333"/>
                <w:spacing w:val="8"/>
                <w:kern w:val="0"/>
                <w:sz w:val="18"/>
                <w:szCs w:val="18"/>
              </w:rPr>
              <w:t>主要概念</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8E325C3">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D2C91B1">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医用中间件是医疗器械软件正常运行所必需的，故作为医疗器械软件的组成部分予以考虑。</w:t>
            </w:r>
          </w:p>
        </w:tc>
      </w:tr>
      <w:tr w14:paraId="213C8499">
        <w:tblPrEx>
          <w:shd w:val="clear" w:color="auto" w:fill="FFFFFF"/>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4D40C00B">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81453EA">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EE423C1">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Calibri" w:eastAsia="仿宋_GB2312" w:cs="Calibri"/>
                <w:color w:val="FF0000"/>
                <w:spacing w:val="8"/>
                <w:kern w:val="0"/>
                <w:sz w:val="18"/>
                <w:szCs w:val="18"/>
              </w:rPr>
              <w:t>有些支持软件（如</w:t>
            </w:r>
            <w:r>
              <w:rPr>
                <w:rFonts w:ascii="Calibri" w:hAnsi="Calibri" w:eastAsia="Microsoft YaHei UI" w:cs="Calibri"/>
                <w:color w:val="FF0000"/>
                <w:spacing w:val="8"/>
                <w:kern w:val="0"/>
                <w:sz w:val="18"/>
                <w:szCs w:val="18"/>
              </w:rPr>
              <w:t>VTK</w:t>
            </w:r>
            <w:r>
              <w:rPr>
                <w:rFonts w:hint="eastAsia" w:ascii="仿宋_GB2312" w:hAnsi="Calibri" w:eastAsia="仿宋_GB2312" w:cs="Calibri"/>
                <w:color w:val="FF0000"/>
                <w:spacing w:val="8"/>
                <w:kern w:val="0"/>
                <w:sz w:val="18"/>
                <w:szCs w:val="18"/>
              </w:rPr>
              <w:t>、</w:t>
            </w:r>
            <w:r>
              <w:rPr>
                <w:rFonts w:ascii="Calibri" w:hAnsi="Calibri" w:eastAsia="Microsoft YaHei UI" w:cs="Calibri"/>
                <w:color w:val="FF0000"/>
                <w:spacing w:val="8"/>
                <w:kern w:val="0"/>
                <w:sz w:val="18"/>
                <w:szCs w:val="18"/>
              </w:rPr>
              <w:t>ITK</w:t>
            </w:r>
            <w:r>
              <w:rPr>
                <w:rFonts w:hint="eastAsia" w:ascii="仿宋_GB2312" w:hAnsi="Calibri" w:eastAsia="仿宋_GB2312" w:cs="Calibri"/>
                <w:color w:val="FF0000"/>
                <w:spacing w:val="8"/>
                <w:kern w:val="0"/>
                <w:sz w:val="18"/>
                <w:szCs w:val="18"/>
              </w:rPr>
              <w:t>）自带算法库，医疗器械软件开发过程已将算法库</w:t>
            </w:r>
            <w:r>
              <w:rPr>
                <w:rFonts w:hint="eastAsia" w:ascii="仿宋_GB2312" w:hAnsi="Microsoft YaHei UI" w:eastAsia="仿宋_GB2312" w:cs="宋体"/>
                <w:color w:val="FF0000"/>
                <w:spacing w:val="8"/>
                <w:kern w:val="0"/>
                <w:sz w:val="18"/>
                <w:szCs w:val="18"/>
              </w:rPr>
              <w:t>相关内容集成于自身内部，故医疗器械软件正常运行需要这些支持软件的支持。</w:t>
            </w:r>
          </w:p>
        </w:tc>
      </w:tr>
      <w:tr w14:paraId="35924D8A">
        <w:tblPrEx>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29B7A11F">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4ACFD4E">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B7E410B">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必备软件</w:t>
            </w:r>
            <w:r>
              <w:rPr>
                <w:rFonts w:ascii="Calibri" w:hAnsi="Calibri" w:eastAsia="Microsoft YaHei UI" w:cs="Calibri"/>
                <w:color w:val="FF0000"/>
                <w:spacing w:val="8"/>
                <w:kern w:val="0"/>
                <w:sz w:val="18"/>
                <w:szCs w:val="18"/>
              </w:rPr>
              <w:t>: </w:t>
            </w:r>
            <w:r>
              <w:rPr>
                <w:rFonts w:hint="eastAsia" w:ascii="仿宋_GB2312" w:hAnsi="Calibri" w:eastAsia="仿宋_GB2312" w:cs="Calibri"/>
                <w:color w:val="FF0000"/>
                <w:spacing w:val="8"/>
                <w:kern w:val="0"/>
                <w:sz w:val="18"/>
                <w:szCs w:val="18"/>
              </w:rPr>
              <w:t>医疗器械软件正常运行所必需的其他</w:t>
            </w:r>
            <w:r>
              <w:rPr>
                <w:rFonts w:hint="eastAsia" w:ascii="仿宋_GB2312" w:hAnsi="Microsoft YaHei UI" w:eastAsia="仿宋_GB2312" w:cs="宋体"/>
                <w:color w:val="FF0000"/>
                <w:spacing w:val="8"/>
                <w:kern w:val="0"/>
                <w:sz w:val="18"/>
                <w:szCs w:val="18"/>
              </w:rPr>
              <w:t>的医疗器械软件及医用中间件</w:t>
            </w:r>
          </w:p>
        </w:tc>
      </w:tr>
      <w:tr w14:paraId="13A71989">
        <w:tblPrEx>
          <w:shd w:val="clear" w:color="auto" w:fill="FFFFFF"/>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48B57B6D">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54CEBB2">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2FB0979">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外部软件环境</w:t>
            </w:r>
            <w:r>
              <w:rPr>
                <w:rFonts w:ascii="Calibri" w:hAnsi="Calibri" w:eastAsia="Microsoft YaHei UI" w:cs="Calibri"/>
                <w:color w:val="FF0000"/>
                <w:spacing w:val="8"/>
                <w:kern w:val="0"/>
                <w:sz w:val="18"/>
                <w:szCs w:val="18"/>
              </w:rPr>
              <w:t>: </w:t>
            </w:r>
            <w:r>
              <w:rPr>
                <w:rFonts w:hint="eastAsia" w:ascii="仿宋_GB2312" w:hAnsi="Calibri" w:eastAsia="仿宋_GB2312" w:cs="Calibri"/>
                <w:color w:val="FF0000"/>
                <w:spacing w:val="8"/>
                <w:kern w:val="0"/>
                <w:sz w:val="18"/>
                <w:szCs w:val="18"/>
              </w:rPr>
              <w:t>正常运行所必需的系统软件、通用应用软件、通用中间件、支持软件</w:t>
            </w:r>
          </w:p>
        </w:tc>
      </w:tr>
      <w:tr w14:paraId="081FCEE5">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C8B678D">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4.</w:t>
            </w:r>
            <w:r>
              <w:rPr>
                <w:rFonts w:hint="eastAsia" w:ascii="宋体" w:hAnsi="宋体" w:eastAsia="宋体" w:cs="Calibri"/>
                <w:color w:val="333333"/>
                <w:spacing w:val="8"/>
                <w:kern w:val="0"/>
                <w:sz w:val="18"/>
                <w:szCs w:val="18"/>
              </w:rPr>
              <w:t>生存周期</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104A56">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A级提供软件开发生存周期计划摘要，描述开发各阶段的划分情况和工作任务。B级在A级基础上提供配置管理计划摘要和维护计划摘要，描述所用的工具和流程。C级在B级基础上提供设计历史文档集索引表（DHF）。</w:t>
            </w:r>
          </w:p>
          <w:p w14:paraId="1B00B556">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生存周期也可提交制造商软件生存周期过程文件或YY/T 0664《医疗器械软件软件生存周期过程》等过程标准的核查表，用于替代相应描述。</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53973E5">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软件生存周期（又称软件生命周期）是指软件系统从概念定义至停止使用的时间周期，</w:t>
            </w:r>
            <w:r>
              <w:rPr>
                <w:rFonts w:hint="eastAsia" w:ascii="仿宋_GB2312" w:hAnsi="Microsoft YaHei UI" w:eastAsia="仿宋_GB2312" w:cs="宋体"/>
                <w:color w:val="FF0000"/>
                <w:spacing w:val="8"/>
                <w:kern w:val="0"/>
                <w:sz w:val="18"/>
                <w:szCs w:val="18"/>
              </w:rPr>
              <w:t>包括软件开发策划、软件需求分析、软件设计、软件编码、软件测试、软件发布、软件部署、软件维护、软件停运等阶段。</w:t>
            </w:r>
          </w:p>
        </w:tc>
      </w:tr>
      <w:tr w14:paraId="7D1F8F2B">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750CB3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5.</w:t>
            </w:r>
            <w:r>
              <w:rPr>
                <w:rFonts w:hint="eastAsia" w:ascii="宋体" w:hAnsi="宋体" w:eastAsia="宋体" w:cs="Calibri"/>
                <w:color w:val="333333"/>
                <w:spacing w:val="8"/>
                <w:kern w:val="0"/>
                <w:sz w:val="18"/>
                <w:szCs w:val="18"/>
              </w:rPr>
              <w:t>生存周期模型</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1917E70">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5AC46A9">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软件生存周期模型是指一组包含过程、活动和任务的框架，跨越从软件需求分析到软件停运的软件生存周期过程，每个过程可细分为若干活动，每个活动又可细分为若干任务。</w:t>
            </w:r>
          </w:p>
        </w:tc>
      </w:tr>
      <w:tr w14:paraId="1CCFFF7B">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EC45EC1">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6.</w:t>
            </w:r>
            <w:r>
              <w:rPr>
                <w:rFonts w:hint="eastAsia" w:ascii="宋体" w:hAnsi="宋体" w:eastAsia="宋体" w:cs="Calibri"/>
                <w:color w:val="333333"/>
                <w:spacing w:val="8"/>
                <w:kern w:val="0"/>
                <w:sz w:val="18"/>
                <w:szCs w:val="18"/>
              </w:rPr>
              <w:t>软件验证</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E73EEF4">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验证是指通过提供客观证据认定软件某开发阶段的输出满足输入要求，包括代码检查、设计评审、测试等质量保证活动。</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0A2BC25">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软件验证是指通过提供客观证据认定软件开发、软件维护某一阶段的输出满足输入要求。软件验证包括源代码审核、</w:t>
            </w:r>
            <w:r>
              <w:rPr>
                <w:rFonts w:hint="eastAsia" w:ascii="宋体" w:hAnsi="宋体" w:eastAsia="宋体" w:cs="宋体"/>
                <w:color w:val="FF0000"/>
                <w:spacing w:val="8"/>
                <w:kern w:val="0"/>
                <w:sz w:val="18"/>
                <w:szCs w:val="18"/>
              </w:rPr>
              <w:t>静态和动态分析/测试、单元测试、集成测试、系统测试、</w:t>
            </w:r>
            <w:r>
              <w:rPr>
                <w:rFonts w:hint="eastAsia" w:ascii="宋体" w:hAnsi="宋体" w:eastAsia="宋体" w:cs="宋体"/>
                <w:color w:val="333333"/>
                <w:spacing w:val="8"/>
                <w:kern w:val="0"/>
                <w:sz w:val="18"/>
                <w:szCs w:val="18"/>
              </w:rPr>
              <w:t>设计评审等系列活动，是软件确认的基础。</w:t>
            </w:r>
          </w:p>
          <w:p w14:paraId="4E187F14">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 </w:t>
            </w:r>
          </w:p>
        </w:tc>
      </w:tr>
      <w:tr w14:paraId="054F44E7">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288C3A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7.</w:t>
            </w:r>
            <w:r>
              <w:rPr>
                <w:rFonts w:hint="eastAsia" w:ascii="宋体" w:hAnsi="宋体" w:eastAsia="宋体" w:cs="Calibri"/>
                <w:color w:val="333333"/>
                <w:spacing w:val="8"/>
                <w:kern w:val="0"/>
                <w:sz w:val="18"/>
                <w:szCs w:val="18"/>
              </w:rPr>
              <w:t>软件测试</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3C70A2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A</w:t>
            </w:r>
            <w:r>
              <w:rPr>
                <w:rFonts w:hint="eastAsia" w:ascii="仿宋_GB2312" w:hAnsi="Calibri" w:eastAsia="仿宋_GB2312" w:cs="Calibri"/>
                <w:color w:val="333333"/>
                <w:spacing w:val="8"/>
                <w:kern w:val="0"/>
                <w:sz w:val="18"/>
                <w:szCs w:val="18"/>
              </w:rPr>
              <w:t>级提供系统测试、用户测试的计划和报告摘要，描述测试的条件、工具、方法、通过准则和结果。</w:t>
            </w:r>
            <w:r>
              <w:rPr>
                <w:rFonts w:ascii="Calibri" w:hAnsi="Calibri" w:eastAsia="Microsoft YaHei UI" w:cs="Calibri"/>
                <w:color w:val="333333"/>
                <w:spacing w:val="8"/>
                <w:kern w:val="0"/>
                <w:sz w:val="18"/>
                <w:szCs w:val="18"/>
              </w:rPr>
              <w:t>B</w:t>
            </w:r>
            <w:r>
              <w:rPr>
                <w:rFonts w:hint="eastAsia" w:ascii="仿宋_GB2312" w:hAnsi="Calibri" w:eastAsia="仿宋_GB2312" w:cs="Calibri"/>
                <w:color w:val="333333"/>
                <w:spacing w:val="8"/>
                <w:kern w:val="0"/>
                <w:sz w:val="18"/>
                <w:szCs w:val="18"/>
              </w:rPr>
              <w:t>级提供系统测试、用户测试的计划和报告，概述开发各阶段的验证活动，描述所用的工具、方法和任务。</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5DD5968">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软件测试是软件质量保证的基本措施，也是软件验证、软件确认的重要方法，从不同角度有不同分类方法。</w:t>
            </w:r>
          </w:p>
          <w:p w14:paraId="17BB9917">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单元测试是对软件单元进行测试，通常采用白盒测试</w:t>
            </w:r>
            <w:r>
              <w:rPr>
                <w:rFonts w:ascii="Calibri" w:hAnsi="Calibri" w:eastAsia="Microsoft YaHei UI" w:cs="Calibri"/>
                <w:color w:val="FF0000"/>
                <w:spacing w:val="8"/>
                <w:kern w:val="0"/>
                <w:sz w:val="18"/>
                <w:szCs w:val="18"/>
              </w:rPr>
              <w:t>. </w:t>
            </w:r>
            <w:r>
              <w:rPr>
                <w:rFonts w:hint="eastAsia" w:ascii="仿宋_GB2312" w:hAnsi="Calibri" w:eastAsia="仿宋_GB2312" w:cs="Calibri"/>
                <w:color w:val="FF0000"/>
                <w:spacing w:val="8"/>
                <w:kern w:val="0"/>
                <w:sz w:val="18"/>
                <w:szCs w:val="18"/>
              </w:rPr>
              <w:t>集成测试是对软件项（由若干软件单元组成</w:t>
            </w:r>
            <w:r>
              <w:rPr>
                <w:rFonts w:hint="eastAsia" w:ascii="仿宋_GB2312" w:hAnsi="Microsoft YaHei UI" w:eastAsia="仿宋_GB2312" w:cs="宋体"/>
                <w:color w:val="FF0000"/>
                <w:spacing w:val="8"/>
                <w:kern w:val="0"/>
                <w:sz w:val="18"/>
                <w:szCs w:val="18"/>
              </w:rPr>
              <w:t>，即软件模块）进行测试，白盒测试、黑盒测试、灰盒测试相结合；系统测试是对软件系统（由若干软件项组成）进行测试，通常采用黑盒测试，其从测试内容角度又可分为功能测试、性能测试、并发测试、压力测试、接口测试、内存测试、兼容性测试、用户界面测试、安装卸载测试、安全测试等。</w:t>
            </w:r>
          </w:p>
          <w:p w14:paraId="12ECC493">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内部测试是指注册申请人实施的测试，包括单元测试、集成测试、系统测试</w:t>
            </w:r>
            <w:r>
              <w:rPr>
                <w:rFonts w:hint="eastAsia" w:ascii="仿宋_GB2312" w:hAnsi="Microsoft YaHei UI" w:eastAsia="仿宋_GB2312" w:cs="宋体"/>
                <w:color w:val="333333"/>
                <w:spacing w:val="8"/>
                <w:kern w:val="0"/>
                <w:sz w:val="18"/>
                <w:szCs w:val="18"/>
              </w:rPr>
              <w:t>，</w:t>
            </w:r>
            <w:r>
              <w:rPr>
                <w:rFonts w:hint="eastAsia" w:ascii="仿宋_GB2312" w:hAnsi="Microsoft YaHei UI" w:eastAsia="仿宋_GB2312" w:cs="宋体"/>
                <w:color w:val="FF0000"/>
                <w:spacing w:val="8"/>
                <w:kern w:val="0"/>
                <w:sz w:val="18"/>
                <w:szCs w:val="18"/>
              </w:rPr>
              <w:t>白盒测试、黑盒测试、灰盒测试相结合；用户测试是指预期用户在真实或模拟使用场景对软件系统进行测试，采用黑盒测试；第三方测试是指第三方机构对软件系统进行测试，通常采用黑盒测试。</w:t>
            </w:r>
          </w:p>
          <w:p w14:paraId="203DFE3E">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回归测试是指用于确定软件更新没有产生不良影响且未引入风险不可接受新缺陷的软件测试。</w:t>
            </w:r>
          </w:p>
        </w:tc>
      </w:tr>
      <w:tr w14:paraId="29F0EB21">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D13041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8.</w:t>
            </w:r>
            <w:r>
              <w:rPr>
                <w:rFonts w:hint="eastAsia" w:ascii="宋体" w:hAnsi="宋体" w:eastAsia="宋体" w:cs="Calibri"/>
                <w:color w:val="333333"/>
                <w:spacing w:val="8"/>
                <w:kern w:val="0"/>
                <w:sz w:val="18"/>
                <w:szCs w:val="18"/>
              </w:rPr>
              <w:t>软件确认</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D91E78F">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确认是指通过提供客观证据认定软件满足用户需求和预期用途，通常是指在真实或模拟使用环境进行的用户测试。</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16D520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软件确认是基于过程控制的设计确认，包括用户测试、</w:t>
            </w:r>
            <w:r>
              <w:rPr>
                <w:rFonts w:hint="eastAsia" w:ascii="仿宋_GB2312" w:hAnsi="Microsoft YaHei UI" w:eastAsia="仿宋_GB2312" w:cs="宋体"/>
                <w:color w:val="FF0000"/>
                <w:spacing w:val="8"/>
                <w:kern w:val="0"/>
                <w:sz w:val="18"/>
                <w:szCs w:val="18"/>
              </w:rPr>
              <w:t>临床评价、设计评审等</w:t>
            </w:r>
            <w:r>
              <w:rPr>
                <w:rFonts w:hint="eastAsia" w:ascii="仿宋_GB2312" w:hAnsi="Microsoft YaHei UI" w:eastAsia="仿宋_GB2312" w:cs="宋体"/>
                <w:color w:val="333333"/>
                <w:spacing w:val="8"/>
                <w:kern w:val="0"/>
                <w:sz w:val="18"/>
                <w:szCs w:val="18"/>
              </w:rPr>
              <w:t>系列活动，即要保证软件满足用户需求和预期用途，</w:t>
            </w:r>
            <w:r>
              <w:rPr>
                <w:rFonts w:hint="eastAsia" w:ascii="仿宋_GB2312" w:hAnsi="Microsoft YaHei UI" w:eastAsia="仿宋_GB2312" w:cs="宋体"/>
                <w:color w:val="FF0000"/>
                <w:spacing w:val="8"/>
                <w:kern w:val="0"/>
                <w:sz w:val="18"/>
                <w:szCs w:val="18"/>
              </w:rPr>
              <w:t>又要确保软件已知剩余缺陷的风险均可接受。</w:t>
            </w:r>
          </w:p>
        </w:tc>
      </w:tr>
      <w:tr w14:paraId="6E9F4DFF">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A790BE2">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9.</w:t>
            </w:r>
            <w:r>
              <w:rPr>
                <w:rFonts w:hint="eastAsia" w:ascii="宋体" w:hAnsi="宋体" w:eastAsia="宋体" w:cs="Calibri"/>
                <w:color w:val="333333"/>
                <w:spacing w:val="8"/>
                <w:kern w:val="0"/>
                <w:sz w:val="18"/>
                <w:szCs w:val="18"/>
              </w:rPr>
              <w:t>软件可追溯分析报告</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0C9AE1A">
            <w:pPr>
              <w:widowControl/>
              <w:wordWrap w:val="0"/>
              <w:rPr>
                <w:rFonts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0000"/>
                <w:spacing w:val="8"/>
                <w:kern w:val="0"/>
                <w:sz w:val="18"/>
                <w:szCs w:val="18"/>
              </w:rPr>
              <w:t>C</w:t>
            </w:r>
            <w:r>
              <w:rPr>
                <w:rFonts w:hint="eastAsia" w:ascii="宋体" w:hAnsi="宋体" w:eastAsia="宋体" w:cs="宋体"/>
                <w:color w:val="FF0000"/>
                <w:spacing w:val="8"/>
                <w:kern w:val="0"/>
                <w:sz w:val="18"/>
                <w:szCs w:val="18"/>
              </w:rPr>
              <w:t>级</w:t>
            </w:r>
            <w:r>
              <w:rPr>
                <w:rFonts w:hint="eastAsia" w:ascii="宋体" w:hAnsi="宋体" w:eastAsia="宋体" w:cs="宋体"/>
                <w:color w:val="333333"/>
                <w:spacing w:val="8"/>
                <w:kern w:val="0"/>
                <w:sz w:val="18"/>
                <w:szCs w:val="18"/>
              </w:rPr>
              <w:t>在</w:t>
            </w:r>
            <w:r>
              <w:rPr>
                <w:rFonts w:ascii="Times New Roman" w:hAnsi="Times New Roman" w:eastAsia="Microsoft YaHei UI" w:cs="Times New Roman"/>
                <w:color w:val="333333"/>
                <w:spacing w:val="8"/>
                <w:kern w:val="0"/>
                <w:sz w:val="18"/>
                <w:szCs w:val="18"/>
              </w:rPr>
              <w:t>B</w:t>
            </w:r>
            <w:r>
              <w:rPr>
                <w:rFonts w:hint="eastAsia" w:ascii="宋体" w:hAnsi="宋体" w:eastAsia="宋体" w:cs="宋体"/>
                <w:color w:val="333333"/>
                <w:spacing w:val="8"/>
                <w:kern w:val="0"/>
                <w:sz w:val="18"/>
                <w:szCs w:val="18"/>
              </w:rPr>
              <w:t>级基础上提供可追溯性分析报告（追溯需求规范、设计规范、测试、风险管理的关系表）。</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428DC7C">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注册申请人应建立软件可追溯性分析过程，规范软件可追溯性分析相关活动要求，以保证软件验证、软件确认的质量。考虑到行业实际情况，源代码追溯分析活动追溯至软件单元（列明名称）即可。</w:t>
            </w:r>
          </w:p>
        </w:tc>
      </w:tr>
      <w:tr w14:paraId="0C5DD749">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0801E61">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10.</w:t>
            </w:r>
            <w:r>
              <w:rPr>
                <w:rFonts w:hint="eastAsia" w:ascii="宋体" w:hAnsi="宋体" w:eastAsia="宋体" w:cs="Calibri"/>
                <w:color w:val="333333"/>
                <w:spacing w:val="8"/>
                <w:kern w:val="0"/>
                <w:sz w:val="18"/>
                <w:szCs w:val="18"/>
              </w:rPr>
              <w:t>软件完整版本和</w:t>
            </w:r>
            <w:r>
              <w:rPr>
                <w:rFonts w:ascii="Calibri" w:hAnsi="Calibri" w:eastAsia="Microsoft YaHei UI" w:cs="Calibri"/>
                <w:color w:val="333333"/>
                <w:spacing w:val="8"/>
                <w:kern w:val="0"/>
                <w:sz w:val="18"/>
                <w:szCs w:val="18"/>
              </w:rPr>
              <w:t>UDI</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E1A5B0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42436F9">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Calibri"/>
                <w:color w:val="FF0000"/>
                <w:spacing w:val="8"/>
                <w:kern w:val="0"/>
                <w:sz w:val="18"/>
                <w:szCs w:val="18"/>
              </w:rPr>
              <w:t>从医疗器械唯一标识（</w:t>
            </w:r>
            <w:r>
              <w:rPr>
                <w:rFonts w:ascii="Calibri" w:hAnsi="Calibri" w:eastAsia="Microsoft YaHei UI" w:cs="Calibri"/>
                <w:color w:val="FF0000"/>
                <w:spacing w:val="8"/>
                <w:kern w:val="0"/>
                <w:sz w:val="18"/>
                <w:szCs w:val="18"/>
              </w:rPr>
              <w:t>UDI</w:t>
            </w:r>
            <w:r>
              <w:rPr>
                <w:rFonts w:hint="eastAsia" w:ascii="宋体" w:hAnsi="宋体" w:eastAsia="宋体" w:cs="Calibri"/>
                <w:color w:val="FF0000"/>
                <w:spacing w:val="8"/>
                <w:kern w:val="0"/>
                <w:sz w:val="18"/>
                <w:szCs w:val="18"/>
              </w:rPr>
              <w:t>）角度，软件完整版本属于生产标识（</w:t>
            </w:r>
            <w:r>
              <w:rPr>
                <w:rFonts w:ascii="Calibri" w:hAnsi="Calibri" w:eastAsia="Microsoft YaHei UI" w:cs="Calibri"/>
                <w:color w:val="FF0000"/>
                <w:spacing w:val="8"/>
                <w:kern w:val="0"/>
                <w:sz w:val="18"/>
                <w:szCs w:val="18"/>
              </w:rPr>
              <w:t>PI</w:t>
            </w:r>
            <w:r>
              <w:rPr>
                <w:rFonts w:hint="eastAsia" w:ascii="宋体" w:hAnsi="宋体" w:eastAsia="宋体" w:cs="Calibri"/>
                <w:color w:val="FF0000"/>
                <w:spacing w:val="8"/>
                <w:kern w:val="0"/>
                <w:sz w:val="18"/>
                <w:szCs w:val="18"/>
              </w:rPr>
              <w:t>）的组成部分。</w:t>
            </w:r>
          </w:p>
        </w:tc>
      </w:tr>
      <w:tr w14:paraId="71A3AA8B">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718C36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11. </w:t>
            </w:r>
            <w:r>
              <w:rPr>
                <w:rFonts w:hint="eastAsia" w:ascii="仿宋_GB2312" w:hAnsi="Calibri" w:eastAsia="仿宋_GB2312" w:cs="Calibri"/>
                <w:color w:val="333333"/>
                <w:spacing w:val="8"/>
                <w:kern w:val="0"/>
                <w:sz w:val="18"/>
                <w:szCs w:val="18"/>
              </w:rPr>
              <w:t>检测报告</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C0DA6AD">
            <w:pPr>
              <w:widowControl/>
              <w:wordWrap w:val="0"/>
              <w:rPr>
                <w:rFonts w:ascii="Microsoft YaHei UI" w:hAnsi="Microsoft YaHei UI" w:eastAsia="Microsoft YaHei UI" w:cs="宋体"/>
                <w:color w:val="333333"/>
                <w:spacing w:val="8"/>
                <w:kern w:val="0"/>
                <w:sz w:val="26"/>
                <w:szCs w:val="26"/>
              </w:rPr>
            </w:pP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2C02DA4">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检测报告提供软件版本界面照片或列明软件版本信息，有用户界面的软件体现软件发布版本、软件完整版本，无用户界面的软件体现软件完整版本。说明书注明软件发布版本。</w:t>
            </w:r>
          </w:p>
        </w:tc>
      </w:tr>
      <w:tr w14:paraId="62B9CDF9">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ED278A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12.</w:t>
            </w:r>
            <w:r>
              <w:rPr>
                <w:rFonts w:hint="eastAsia" w:ascii="宋体" w:hAnsi="宋体" w:eastAsia="宋体" w:cs="Calibri"/>
                <w:color w:val="333333"/>
                <w:spacing w:val="8"/>
                <w:kern w:val="0"/>
                <w:sz w:val="18"/>
                <w:szCs w:val="18"/>
              </w:rPr>
              <w:t>软件算法</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6B76B5">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核心算法是指实现软件核心功能（软件在预期使用环境完成预期用途所必需的功能）所必需的算法，包括但不限于成像算法、后处理算法和人工智能算法。其中成像算法是指用于获取医学图像或数据的算法，后处理算法是指改变原始医学图像或数据产生新临床信息的算法，人工智能算法是指采用人工智能技术进行医学图像或数据分析的算法。</w:t>
            </w:r>
          </w:p>
          <w:p w14:paraId="44B5E801">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算法类型包括公认成熟算法和全新算法。其中公认成熟算法是指源自公开文献资料、原理简单明确、上市多年且无不良事件的算法，而全新算法是指源自临床研究、科学研究的新算法。</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1923792">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软件算法从重要性角度可分为</w:t>
            </w:r>
            <w:r>
              <w:rPr>
                <w:rFonts w:hint="eastAsia" w:ascii="仿宋_GB2312" w:hAnsi="Microsoft YaHei UI" w:eastAsia="仿宋_GB2312" w:cs="宋体"/>
                <w:color w:val="FF0000"/>
                <w:spacing w:val="8"/>
                <w:kern w:val="0"/>
                <w:sz w:val="18"/>
                <w:szCs w:val="18"/>
              </w:rPr>
              <w:t>核心算法和非核心算法</w:t>
            </w:r>
            <w:r>
              <w:rPr>
                <w:rFonts w:hint="eastAsia" w:ascii="仿宋_GB2312" w:hAnsi="Microsoft YaHei UI" w:eastAsia="仿宋_GB2312" w:cs="宋体"/>
                <w:color w:val="333333"/>
                <w:spacing w:val="8"/>
                <w:kern w:val="0"/>
                <w:sz w:val="18"/>
                <w:szCs w:val="18"/>
              </w:rPr>
              <w:t>，其中核心算法是指实现软件核心功能所必需的算法，反之即为非核心算法。</w:t>
            </w:r>
          </w:p>
          <w:p w14:paraId="316AA146">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从复杂性角度可分为</w:t>
            </w:r>
            <w:r>
              <w:rPr>
                <w:rFonts w:hint="eastAsia" w:ascii="仿宋_GB2312" w:hAnsi="Microsoft YaHei UI" w:eastAsia="仿宋_GB2312" w:cs="宋体"/>
                <w:color w:val="FF0000"/>
                <w:spacing w:val="8"/>
                <w:kern w:val="0"/>
                <w:sz w:val="18"/>
                <w:szCs w:val="18"/>
              </w:rPr>
              <w:t>简单算法和复杂算法</w:t>
            </w:r>
            <w:r>
              <w:rPr>
                <w:rFonts w:hint="eastAsia" w:ascii="仿宋_GB2312" w:hAnsi="Microsoft YaHei UI" w:eastAsia="仿宋_GB2312" w:cs="宋体"/>
                <w:color w:val="333333"/>
                <w:spacing w:val="8"/>
                <w:kern w:val="0"/>
                <w:sz w:val="18"/>
                <w:szCs w:val="18"/>
              </w:rPr>
              <w:t>，前者原理简单明确或基于成熟公式，后者通常基于模型研究，存在诸多假设条件且影响因素较多，同时二者在算法规模、参数数量、运算速度等方面亦存在差异。从可解释性角度可分为</w:t>
            </w:r>
            <w:r>
              <w:rPr>
                <w:rFonts w:hint="eastAsia" w:ascii="仿宋_GB2312" w:hAnsi="Microsoft YaHei UI" w:eastAsia="仿宋_GB2312" w:cs="宋体"/>
                <w:color w:val="FF0000"/>
                <w:spacing w:val="8"/>
                <w:kern w:val="0"/>
                <w:sz w:val="18"/>
                <w:szCs w:val="18"/>
              </w:rPr>
              <w:t>白盒算法和黑盒算法</w:t>
            </w:r>
            <w:r>
              <w:rPr>
                <w:rFonts w:hint="eastAsia" w:ascii="仿宋_GB2312" w:hAnsi="Microsoft YaHei UI" w:eastAsia="仿宋_GB2312" w:cs="宋体"/>
                <w:color w:val="333333"/>
                <w:spacing w:val="8"/>
                <w:kern w:val="0"/>
                <w:sz w:val="18"/>
                <w:szCs w:val="18"/>
              </w:rPr>
              <w:t>，前者可与现有知识建立关联，后者难与现有知识建立关联，前者可解释性优于后者。</w:t>
            </w:r>
          </w:p>
        </w:tc>
      </w:tr>
      <w:tr w14:paraId="5A10E444">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1FB79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12.</w:t>
            </w:r>
            <w:r>
              <w:rPr>
                <w:rFonts w:hint="eastAsia" w:ascii="宋体" w:hAnsi="宋体" w:eastAsia="宋体" w:cs="Calibri"/>
                <w:color w:val="333333"/>
                <w:spacing w:val="8"/>
                <w:kern w:val="0"/>
                <w:sz w:val="18"/>
                <w:szCs w:val="18"/>
              </w:rPr>
              <w:t>软件功能</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4D3693D">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78F7EB">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软件功能从不同角度出发有不同分类方法。从重要性角度可分为</w:t>
            </w:r>
            <w:r>
              <w:rPr>
                <w:rFonts w:hint="eastAsia" w:ascii="仿宋_GB2312" w:hAnsi="Microsoft YaHei UI" w:eastAsia="仿宋_GB2312" w:cs="宋体"/>
                <w:color w:val="FF0000"/>
                <w:spacing w:val="8"/>
                <w:kern w:val="0"/>
                <w:sz w:val="18"/>
                <w:szCs w:val="18"/>
              </w:rPr>
              <w:t>核心功能和非核心功能</w:t>
            </w:r>
            <w:r>
              <w:rPr>
                <w:rFonts w:hint="eastAsia" w:ascii="仿宋_GB2312" w:hAnsi="Microsoft YaHei UI" w:eastAsia="仿宋_GB2312" w:cs="宋体"/>
                <w:color w:val="333333"/>
                <w:spacing w:val="8"/>
                <w:kern w:val="0"/>
                <w:sz w:val="18"/>
                <w:szCs w:val="18"/>
              </w:rPr>
              <w:t>，其中核心功能是指软件在预期使用场景完成预期用途所必需的功能，反之即为非核心功能。</w:t>
            </w:r>
          </w:p>
          <w:p w14:paraId="74CBB308">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从技术特征角度大体上可分为处理功能、控制功能、安全功能，其中处理功能是指加工医疗器械数据（即医疗器械产生的用于医疗用途的客观数据）或基于模型计算（如辐射剂量模型、药代模型）的功能，</w:t>
            </w:r>
            <w:r>
              <w:rPr>
                <w:rFonts w:hint="eastAsia" w:ascii="仿宋_GB2312" w:hAnsi="Calibri" w:eastAsia="仿宋_GB2312" w:cs="Calibri"/>
                <w:color w:val="FF0000"/>
                <w:spacing w:val="8"/>
                <w:kern w:val="0"/>
                <w:sz w:val="18"/>
                <w:szCs w:val="18"/>
              </w:rPr>
              <w:t>控制功能是指控制</w:t>
            </w:r>
            <w:r>
              <w:rPr>
                <w:rFonts w:ascii="Calibri" w:hAnsi="Calibri" w:eastAsia="Microsoft YaHei UI" w:cs="Calibri"/>
                <w:color w:val="FF0000"/>
                <w:spacing w:val="8"/>
                <w:kern w:val="0"/>
                <w:sz w:val="18"/>
                <w:szCs w:val="18"/>
              </w:rPr>
              <w:t>/</w:t>
            </w:r>
            <w:r>
              <w:rPr>
                <w:rFonts w:hint="eastAsia" w:ascii="仿宋_GB2312" w:hAnsi="Calibri" w:eastAsia="仿宋_GB2312" w:cs="Calibri"/>
                <w:color w:val="FF0000"/>
                <w:spacing w:val="8"/>
                <w:kern w:val="0"/>
                <w:sz w:val="18"/>
                <w:szCs w:val="18"/>
              </w:rPr>
              <w:t>驱动医疗器械硬件运行的功能，</w:t>
            </w:r>
            <w:r>
              <w:rPr>
                <w:rFonts w:hint="eastAsia" w:ascii="仿宋_GB2312" w:hAnsi="Microsoft YaHei UI" w:eastAsia="仿宋_GB2312" w:cs="宋体"/>
                <w:color w:val="FF0000"/>
                <w:spacing w:val="8"/>
                <w:kern w:val="0"/>
                <w:sz w:val="18"/>
                <w:szCs w:val="18"/>
              </w:rPr>
              <w:t>安全功能是指保证医疗器械安全性的功能。</w:t>
            </w:r>
          </w:p>
          <w:p w14:paraId="45A030BE">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处理功能从数据流角度又可分为前处理功能和后处理功能，前者是指采集人体解剖、生理信息生成医疗器械数据过程的处理功能，后者是指利用医疗器械数据生成诊疗信息或进行医疗干预过程的处理功能</w:t>
            </w:r>
            <w:r>
              <w:rPr>
                <w:rFonts w:ascii="Calibri" w:hAnsi="Calibri" w:eastAsia="仿宋_GB2312" w:cs="Calibri"/>
                <w:color w:val="FF0000"/>
                <w:spacing w:val="8"/>
                <w:kern w:val="0"/>
                <w:sz w:val="18"/>
                <w:szCs w:val="18"/>
              </w:rPr>
              <w:t>; </w:t>
            </w:r>
            <w:r>
              <w:rPr>
                <w:rFonts w:hint="eastAsia" w:ascii="仿宋_GB2312" w:hAnsi="Microsoft YaHei UI" w:eastAsia="仿宋_GB2312" w:cs="宋体"/>
                <w:color w:val="FF0000"/>
                <w:spacing w:val="8"/>
                <w:kern w:val="0"/>
                <w:sz w:val="18"/>
                <w:szCs w:val="18"/>
              </w:rPr>
              <w:t>后处理功能从复杂性角度又可分为简单功能和复杂功能，前者是指对现有医疗信息进行操作而非生成新医疗信息的功能，后者是指生成新医疗信息的功能</w:t>
            </w:r>
            <w:r>
              <w:rPr>
                <w:rFonts w:ascii="Calibri" w:hAnsi="Calibri" w:eastAsia="仿宋_GB2312" w:cs="Calibri"/>
                <w:color w:val="FF0000"/>
                <w:spacing w:val="8"/>
                <w:kern w:val="0"/>
                <w:sz w:val="18"/>
                <w:szCs w:val="18"/>
              </w:rPr>
              <w:t>;</w:t>
            </w:r>
          </w:p>
          <w:p w14:paraId="2D7AC62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从监管范围角度可分为医疗器械功能和非医疗器械功能，其中医疗器械功能是指可用作医疗器械界定依据的软件功能，反之即为非医疗器械功能，实现医疗器械功能所必需的患者信息管理功能属于医疗器械功能。二者尽量通过模块化设计予以拆分，若在技术上无法拆分需将非医疗器械功能作为医疗器械软件的组成部分予以整体考虑。</w:t>
            </w:r>
          </w:p>
        </w:tc>
      </w:tr>
      <w:tr w14:paraId="5B85A69F">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511E895">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13. </w:t>
            </w:r>
            <w:r>
              <w:rPr>
                <w:rFonts w:hint="eastAsia" w:ascii="仿宋_GB2312" w:hAnsi="Calibri" w:eastAsia="仿宋_GB2312" w:cs="Calibri"/>
                <w:color w:val="333333"/>
                <w:spacing w:val="8"/>
                <w:kern w:val="0"/>
                <w:sz w:val="18"/>
                <w:szCs w:val="18"/>
              </w:rPr>
              <w:t>软件用途</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B147AD7">
            <w:pPr>
              <w:widowControl/>
              <w:wordWrap w:val="0"/>
              <w:rPr>
                <w:rFonts w:ascii="Microsoft YaHei UI" w:hAnsi="Microsoft YaHei UI" w:eastAsia="Microsoft YaHei UI" w:cs="宋体"/>
                <w:color w:val="333333"/>
                <w:spacing w:val="8"/>
                <w:kern w:val="0"/>
                <w:sz w:val="26"/>
                <w:szCs w:val="26"/>
              </w:rPr>
            </w:pP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BB9545C">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软件用途通常可分为辅助决策和非辅助决策，其中辅助决策是指通过提供诊疗活动建议辅助用户（如医务人员、患者）进行医疗决策</w:t>
            </w:r>
            <w:r>
              <w:rPr>
                <w:rFonts w:ascii="Calibri" w:hAnsi="Calibri" w:eastAsia="仿宋_GB2312" w:cs="Calibri"/>
                <w:color w:val="FF0000"/>
                <w:spacing w:val="8"/>
                <w:kern w:val="0"/>
                <w:sz w:val="18"/>
                <w:szCs w:val="18"/>
              </w:rPr>
              <w:t>;</w:t>
            </w:r>
            <w:r>
              <w:rPr>
                <w:rFonts w:hint="eastAsia" w:ascii="仿宋_GB2312" w:hAnsi="Microsoft YaHei UI" w:eastAsia="仿宋_GB2312" w:cs="宋体"/>
                <w:color w:val="FF0000"/>
                <w:spacing w:val="8"/>
                <w:kern w:val="0"/>
                <w:sz w:val="18"/>
                <w:szCs w:val="18"/>
              </w:rPr>
              <w:t>仅提供医疗参考信息而不进行医疗决策即为非辅助决策</w:t>
            </w:r>
            <w:r>
              <w:rPr>
                <w:rFonts w:ascii="Calibri" w:hAnsi="Calibri" w:eastAsia="Microsoft YaHei UI" w:cs="Calibri"/>
                <w:color w:val="FF0000"/>
                <w:spacing w:val="8"/>
                <w:kern w:val="0"/>
                <w:sz w:val="18"/>
                <w:szCs w:val="18"/>
              </w:rPr>
              <w:t>.</w:t>
            </w:r>
          </w:p>
          <w:p w14:paraId="1FE6277D">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实时性角度均可细分为实时和非实时，前者风险通常高于后者。故软件功能从软件用途角度又可分为辅助决策类功能和非辅助决策类功能、实时功能和非实时功能。</w:t>
            </w:r>
          </w:p>
        </w:tc>
      </w:tr>
      <w:tr w14:paraId="76004AC0">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156152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14</w:t>
            </w:r>
            <w:r>
              <w:rPr>
                <w:rFonts w:hint="eastAsia" w:ascii="宋体" w:hAnsi="宋体" w:eastAsia="宋体" w:cs="Calibri"/>
                <w:color w:val="333333"/>
                <w:spacing w:val="8"/>
                <w:kern w:val="0"/>
                <w:sz w:val="18"/>
                <w:szCs w:val="18"/>
              </w:rPr>
              <w:t>安全性级别确定依据</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E764884">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安全性级别应结合软件的预期用途、使用环境和核心功能（软件在预期使用环境完成预期用途所必需的功能）进行判定。其中预期用途主要考虑软件的临床用途（如诊断、治疗、监护、筛查等）和重要程度（如重要作用、辅助作用、补充作用等），使用环境主要考虑软件的使用场所（</w:t>
            </w:r>
            <w:r>
              <w:rPr>
                <w:rFonts w:hint="eastAsia" w:ascii="仿宋_GB2312" w:hAnsi="Microsoft YaHei UI" w:eastAsia="仿宋_GB2312" w:cs="宋体"/>
                <w:color w:val="FF0000"/>
                <w:spacing w:val="8"/>
                <w:kern w:val="0"/>
                <w:sz w:val="18"/>
                <w:szCs w:val="18"/>
              </w:rPr>
              <w:t>如医院、家庭等</w:t>
            </w:r>
            <w:r>
              <w:rPr>
                <w:rFonts w:hint="eastAsia" w:ascii="仿宋_GB2312" w:hAnsi="Microsoft YaHei UI" w:eastAsia="仿宋_GB2312" w:cs="宋体"/>
                <w:color w:val="333333"/>
                <w:spacing w:val="8"/>
                <w:kern w:val="0"/>
                <w:sz w:val="18"/>
                <w:szCs w:val="18"/>
              </w:rPr>
              <w:t>）、疾病类型（如严重性、紧迫性、传染性等）、患者人群（如成人、儿童、老年、</w:t>
            </w:r>
            <w:r>
              <w:rPr>
                <w:rFonts w:hint="eastAsia" w:ascii="仿宋_GB2312" w:hAnsi="Microsoft YaHei UI" w:eastAsia="仿宋_GB2312" w:cs="宋体"/>
                <w:color w:val="FF0000"/>
                <w:spacing w:val="8"/>
                <w:kern w:val="0"/>
                <w:sz w:val="18"/>
                <w:szCs w:val="18"/>
              </w:rPr>
              <w:t>女性</w:t>
            </w:r>
            <w:r>
              <w:rPr>
                <w:rFonts w:hint="eastAsia" w:ascii="仿宋_GB2312" w:hAnsi="Microsoft YaHei UI" w:eastAsia="仿宋_GB2312" w:cs="宋体"/>
                <w:color w:val="333333"/>
                <w:spacing w:val="8"/>
                <w:kern w:val="0"/>
                <w:sz w:val="18"/>
                <w:szCs w:val="18"/>
              </w:rPr>
              <w:t>等）和用户类型（如专业用户、</w:t>
            </w:r>
            <w:r>
              <w:rPr>
                <w:rFonts w:hint="eastAsia" w:ascii="仿宋_GB2312" w:hAnsi="Microsoft YaHei UI" w:eastAsia="仿宋_GB2312" w:cs="宋体"/>
                <w:color w:val="FF0000"/>
                <w:spacing w:val="8"/>
                <w:kern w:val="0"/>
                <w:sz w:val="18"/>
                <w:szCs w:val="18"/>
              </w:rPr>
              <w:t>普通用户</w:t>
            </w:r>
            <w:r>
              <w:rPr>
                <w:rFonts w:hint="eastAsia" w:ascii="仿宋_GB2312" w:hAnsi="Calibri" w:eastAsia="仿宋_GB2312" w:cs="Calibri"/>
                <w:color w:val="333333"/>
                <w:spacing w:val="8"/>
                <w:kern w:val="0"/>
                <w:sz w:val="18"/>
                <w:szCs w:val="18"/>
              </w:rPr>
              <w:t>、患者等），核心功能主要考虑软件的功能类型（如控制驱动、处理分析等）、实现方法（如</w:t>
            </w:r>
            <w:r>
              <w:rPr>
                <w:rFonts w:ascii="Calibri" w:hAnsi="Calibri" w:eastAsia="Microsoft YaHei UI" w:cs="Calibri"/>
                <w:color w:val="333333"/>
                <w:spacing w:val="8"/>
                <w:kern w:val="0"/>
                <w:sz w:val="18"/>
                <w:szCs w:val="18"/>
              </w:rPr>
              <w:t>CT</w:t>
            </w:r>
            <w:r>
              <w:rPr>
                <w:rFonts w:hint="eastAsia" w:ascii="仿宋_GB2312" w:hAnsi="Calibri" w:eastAsia="仿宋_GB2312" w:cs="Calibri"/>
                <w:color w:val="333333"/>
                <w:spacing w:val="8"/>
                <w:kern w:val="0"/>
                <w:sz w:val="18"/>
                <w:szCs w:val="18"/>
              </w:rPr>
              <w:t>图像重建采用滤波反投影算法还是迭代算法，异常识别采用常规图像处理算法还是人工智能算法等）和复杂程度（如算法规模、参数数量、运算速度等）。</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AC8D781">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软件安全性级别可结合软件的预期用途、使用场景、核心功能进行综合判定。其中，预期用途主要考虑软件的用途类型（如治疗、诊断、监护、筛查）、重要程度（如重要作用、参考作用、补充作用）、</w:t>
            </w:r>
            <w:r>
              <w:rPr>
                <w:rFonts w:hint="eastAsia" w:ascii="仿宋_GB2312" w:hAnsi="Microsoft YaHei UI" w:eastAsia="仿宋_GB2312" w:cs="宋体"/>
                <w:color w:val="FF0000"/>
                <w:spacing w:val="8"/>
                <w:kern w:val="0"/>
                <w:sz w:val="18"/>
                <w:szCs w:val="18"/>
              </w:rPr>
              <w:t>紧迫程度（如危重情形、严重情形、普通情形）</w:t>
            </w:r>
            <w:r>
              <w:rPr>
                <w:rFonts w:hint="eastAsia" w:ascii="仿宋_GB2312" w:hAnsi="Microsoft YaHei UI" w:eastAsia="仿宋_GB2312" w:cs="宋体"/>
                <w:color w:val="333333"/>
                <w:spacing w:val="8"/>
                <w:kern w:val="0"/>
                <w:sz w:val="18"/>
                <w:szCs w:val="18"/>
              </w:rPr>
              <w:t>、</w:t>
            </w:r>
            <w:r>
              <w:rPr>
                <w:rFonts w:hint="eastAsia" w:ascii="仿宋_GB2312" w:hAnsi="Microsoft YaHei UI" w:eastAsia="仿宋_GB2312" w:cs="宋体"/>
                <w:color w:val="FF0000"/>
                <w:spacing w:val="8"/>
                <w:kern w:val="0"/>
                <w:sz w:val="18"/>
                <w:szCs w:val="18"/>
              </w:rPr>
              <w:t>成熟程度（成熟、全新）等因素</w:t>
            </w:r>
            <w:r>
              <w:rPr>
                <w:rFonts w:hint="eastAsia" w:ascii="仿宋_GB2312" w:hAnsi="Microsoft YaHei UI" w:eastAsia="仿宋_GB2312" w:cs="宋体"/>
                <w:color w:val="333333"/>
                <w:spacing w:val="8"/>
                <w:kern w:val="0"/>
                <w:sz w:val="18"/>
                <w:szCs w:val="18"/>
              </w:rPr>
              <w:t>，使用场景主要考虑软件的使用场所（</w:t>
            </w:r>
            <w:r>
              <w:rPr>
                <w:rFonts w:hint="eastAsia" w:ascii="仿宋_GB2312" w:hAnsi="Microsoft YaHei UI" w:eastAsia="仿宋_GB2312" w:cs="宋体"/>
                <w:color w:val="FF0000"/>
                <w:spacing w:val="8"/>
                <w:kern w:val="0"/>
                <w:sz w:val="18"/>
                <w:szCs w:val="18"/>
              </w:rPr>
              <w:t>如门诊、手术、住院、急救、家庭、转运、公共场所</w:t>
            </w:r>
            <w:r>
              <w:rPr>
                <w:rFonts w:hint="eastAsia" w:ascii="仿宋_GB2312" w:hAnsi="Microsoft YaHei UI" w:eastAsia="仿宋_GB2312" w:cs="宋体"/>
                <w:color w:val="333333"/>
                <w:spacing w:val="8"/>
                <w:kern w:val="0"/>
                <w:sz w:val="18"/>
                <w:szCs w:val="18"/>
              </w:rPr>
              <w:t>）、疾病特征（如严重性、紧迫性、传染性）、适用人群（如成人、儿童、老人、</w:t>
            </w:r>
            <w:r>
              <w:rPr>
                <w:rFonts w:hint="eastAsia" w:ascii="仿宋_GB2312" w:hAnsi="Microsoft YaHei UI" w:eastAsia="仿宋_GB2312" w:cs="宋体"/>
                <w:color w:val="FF0000"/>
                <w:spacing w:val="8"/>
                <w:kern w:val="0"/>
                <w:sz w:val="18"/>
                <w:szCs w:val="18"/>
              </w:rPr>
              <w:t>孕妇</w:t>
            </w:r>
            <w:r>
              <w:rPr>
                <w:rFonts w:hint="eastAsia" w:ascii="仿宋_GB2312" w:hAnsi="Microsoft YaHei UI" w:eastAsia="仿宋_GB2312" w:cs="宋体"/>
                <w:color w:val="333333"/>
                <w:spacing w:val="8"/>
                <w:kern w:val="0"/>
                <w:sz w:val="18"/>
                <w:szCs w:val="18"/>
              </w:rPr>
              <w:t>）、目标用户（如医务人员、患者）等因素，核心功能主要考虑软件的功能类型</w:t>
            </w:r>
            <w:r>
              <w:rPr>
                <w:rFonts w:hint="eastAsia" w:ascii="仿宋_GB2312" w:hAnsi="Microsoft YaHei UI" w:eastAsia="仿宋_GB2312" w:cs="宋体"/>
                <w:color w:val="FF0000"/>
                <w:spacing w:val="8"/>
                <w:kern w:val="0"/>
                <w:sz w:val="18"/>
                <w:szCs w:val="18"/>
              </w:rPr>
              <w:t>（如重要程度、技术特征、复杂程度、成熟程度）</w:t>
            </w:r>
            <w:r>
              <w:rPr>
                <w:rFonts w:hint="eastAsia" w:ascii="仿宋_GB2312" w:hAnsi="Microsoft YaHei UI" w:eastAsia="仿宋_GB2312" w:cs="宋体"/>
                <w:color w:val="333333"/>
                <w:spacing w:val="8"/>
                <w:kern w:val="0"/>
                <w:sz w:val="18"/>
                <w:szCs w:val="18"/>
              </w:rPr>
              <w:t>、核心算法（如重要程度、复杂程度、可解释性、成熟程度）、</w:t>
            </w:r>
            <w:r>
              <w:rPr>
                <w:rFonts w:hint="eastAsia" w:ascii="仿宋_GB2312" w:hAnsi="Microsoft YaHei UI" w:eastAsia="仿宋_GB2312" w:cs="宋体"/>
                <w:color w:val="FF0000"/>
                <w:spacing w:val="8"/>
                <w:kern w:val="0"/>
                <w:sz w:val="18"/>
                <w:szCs w:val="18"/>
              </w:rPr>
              <w:t>输入输出（输入数据如医学图像、生理参数、体外诊断等数据，输出结果如处理、测量、分析等结果）</w:t>
            </w:r>
            <w:r>
              <w:rPr>
                <w:rFonts w:hint="eastAsia" w:ascii="仿宋_GB2312" w:hAnsi="Microsoft YaHei UI" w:eastAsia="仿宋_GB2312" w:cs="宋体"/>
                <w:color w:val="333333"/>
                <w:spacing w:val="8"/>
                <w:kern w:val="0"/>
                <w:sz w:val="18"/>
                <w:szCs w:val="18"/>
              </w:rPr>
              <w:t>、</w:t>
            </w:r>
            <w:r>
              <w:rPr>
                <w:rFonts w:hint="eastAsia" w:ascii="仿宋_GB2312" w:hAnsi="Microsoft YaHei UI" w:eastAsia="仿宋_GB2312" w:cs="宋体"/>
                <w:color w:val="FF0000"/>
                <w:spacing w:val="8"/>
                <w:kern w:val="0"/>
                <w:sz w:val="18"/>
                <w:szCs w:val="18"/>
              </w:rPr>
              <w:t>接口（如应用程序接口（</w:t>
            </w:r>
            <w:r>
              <w:rPr>
                <w:rFonts w:ascii="Calibri" w:hAnsi="Calibri" w:eastAsia="仿宋_GB2312" w:cs="Calibri"/>
                <w:color w:val="FF0000"/>
                <w:spacing w:val="8"/>
                <w:kern w:val="0"/>
                <w:sz w:val="18"/>
                <w:szCs w:val="18"/>
              </w:rPr>
              <w:t>API</w:t>
            </w:r>
            <w:r>
              <w:rPr>
                <w:rFonts w:hint="eastAsia" w:ascii="仿宋_GB2312" w:hAnsi="Microsoft YaHei UI" w:eastAsia="仿宋_GB2312" w:cs="宋体"/>
                <w:color w:val="FF0000"/>
                <w:spacing w:val="8"/>
                <w:kern w:val="0"/>
                <w:sz w:val="18"/>
                <w:szCs w:val="18"/>
              </w:rPr>
              <w:t>）、数据接口、产品接口）等因素。</w:t>
            </w:r>
          </w:p>
        </w:tc>
      </w:tr>
      <w:tr w14:paraId="6183ADD1">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4408E42">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15. </w:t>
            </w:r>
            <w:r>
              <w:rPr>
                <w:rFonts w:hint="eastAsia" w:ascii="楷体_GB2312" w:hAnsi="Calibri" w:eastAsia="楷体_GB2312" w:cs="Calibri"/>
                <w:color w:val="333333"/>
                <w:spacing w:val="8"/>
                <w:kern w:val="0"/>
                <w:sz w:val="18"/>
                <w:szCs w:val="18"/>
              </w:rPr>
              <w:t>全生命周期</w:t>
            </w:r>
            <w:r>
              <w:rPr>
                <w:rFonts w:hint="eastAsia" w:ascii="楷体_GB2312" w:hAnsi="Microsoft YaHei UI" w:eastAsia="楷体_GB2312" w:cs="宋体"/>
                <w:color w:val="333333"/>
                <w:spacing w:val="8"/>
                <w:kern w:val="0"/>
                <w:sz w:val="18"/>
                <w:szCs w:val="18"/>
              </w:rPr>
              <w:t>质控</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B9E19AC">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B4BAEF5">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上市前开展充分有效的软件验证与确认活动，识别软件可预见的风险并将其降至可接受水平。上市后继续开展软件质量保证工作，结合用户投诉、不良事件和召回等情况识别前期未预见的风险，并采取必要措施保证软件质量；同时，基于软件更新需求的评估，实施软件更新活动以满足用户新需求，并开展与之相适宜的软件验证与确认活动，以保证软件更新质量；此外，软件停运考虑用户告知与后续服务、数据迁移、患者数据与隐私保护等要求。</w:t>
            </w:r>
          </w:p>
        </w:tc>
      </w:tr>
      <w:tr w14:paraId="23118FCD">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3B0095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16</w:t>
            </w:r>
            <w:r>
              <w:rPr>
                <w:rFonts w:hint="eastAsia" w:ascii="宋体" w:hAnsi="宋体" w:eastAsia="宋体" w:cs="Calibri"/>
                <w:color w:val="333333"/>
                <w:spacing w:val="8"/>
                <w:kern w:val="0"/>
                <w:sz w:val="18"/>
                <w:szCs w:val="18"/>
              </w:rPr>
              <w:t>软件更新</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362FCFC">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软件版本控制中的各种更新。</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7903A18">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需考虑现成软件组件和外部软件环境的更新，并开展外部软件环境更新的影响评估工作。</w:t>
            </w:r>
          </w:p>
        </w:tc>
      </w:tr>
      <w:tr w14:paraId="74504F3F">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3C6603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17.</w:t>
            </w:r>
            <w:r>
              <w:rPr>
                <w:rFonts w:ascii="Calibri" w:hAnsi="Calibri" w:eastAsia="黑体" w:cs="Calibri"/>
                <w:color w:val="333333"/>
                <w:spacing w:val="8"/>
                <w:kern w:val="0"/>
                <w:sz w:val="18"/>
                <w:szCs w:val="18"/>
              </w:rPr>
              <w:t> </w:t>
            </w:r>
            <w:r>
              <w:rPr>
                <w:rFonts w:hint="eastAsia" w:ascii="黑体" w:hAnsi="黑体" w:eastAsia="黑体" w:cs="宋体"/>
                <w:color w:val="333333"/>
                <w:spacing w:val="8"/>
                <w:kern w:val="0"/>
                <w:sz w:val="18"/>
                <w:szCs w:val="18"/>
              </w:rPr>
              <w:t>质量管理软件</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C663FC1">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9A888E3">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质量管理软件是指医疗器械质量管理所用的应用软件，非医疗器械软件，无需申报注册。质量管理软件与医疗器械软件在技术层面具有相同之处，故可参照医疗器械软件相关要求考虑质量管理软件的确认要求。</w:t>
            </w:r>
          </w:p>
          <w:p w14:paraId="719821A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质量管理软件参照医疗器械软件可分为类独立软件和类软件组件，前者包括设计开发所用软件、流程管理所用软件等，后者包括生产设备所含软件、检验设备所含软件等。</w:t>
            </w:r>
          </w:p>
        </w:tc>
      </w:tr>
      <w:tr w14:paraId="18374010">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7FD11A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18.</w:t>
            </w:r>
            <w:r>
              <w:rPr>
                <w:rFonts w:hint="eastAsia" w:ascii="宋体" w:hAnsi="宋体" w:eastAsia="宋体" w:cs="Calibri"/>
                <w:color w:val="333333"/>
                <w:spacing w:val="8"/>
                <w:kern w:val="0"/>
                <w:sz w:val="18"/>
                <w:szCs w:val="18"/>
              </w:rPr>
              <w:t>独立软件注册单元划分</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29B37EA">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不同预期用途的独立软件应作为不同注册单元，按照预期用途大体上可分为</w:t>
            </w:r>
            <w:r>
              <w:rPr>
                <w:rFonts w:hint="eastAsia" w:ascii="仿宋_GB2312" w:hAnsi="Microsoft YaHei UI" w:eastAsia="仿宋_GB2312" w:cs="宋体"/>
                <w:color w:val="FF0000"/>
                <w:spacing w:val="8"/>
                <w:kern w:val="0"/>
                <w:sz w:val="18"/>
                <w:szCs w:val="18"/>
              </w:rPr>
              <w:t>治疗计划类</w:t>
            </w:r>
            <w:r>
              <w:rPr>
                <w:rFonts w:hint="eastAsia" w:ascii="仿宋_GB2312" w:hAnsi="Microsoft YaHei UI" w:eastAsia="仿宋_GB2312" w:cs="宋体"/>
                <w:color w:val="333333"/>
                <w:spacing w:val="8"/>
                <w:kern w:val="0"/>
                <w:sz w:val="18"/>
                <w:szCs w:val="18"/>
              </w:rPr>
              <w:t>、诊断类、监护类和</w:t>
            </w:r>
            <w:r>
              <w:rPr>
                <w:rFonts w:hint="eastAsia" w:ascii="仿宋_GB2312" w:hAnsi="Microsoft YaHei UI" w:eastAsia="仿宋_GB2312" w:cs="宋体"/>
                <w:color w:val="FF0000"/>
                <w:spacing w:val="8"/>
                <w:kern w:val="0"/>
                <w:sz w:val="18"/>
                <w:szCs w:val="18"/>
              </w:rPr>
              <w:t>信息管理</w:t>
            </w:r>
            <w:r>
              <w:rPr>
                <w:rFonts w:hint="eastAsia" w:ascii="仿宋_GB2312" w:hAnsi="Microsoft YaHei UI" w:eastAsia="仿宋_GB2312" w:cs="宋体"/>
                <w:color w:val="333333"/>
                <w:spacing w:val="8"/>
                <w:kern w:val="0"/>
                <w:sz w:val="18"/>
                <w:szCs w:val="18"/>
              </w:rPr>
              <w:t>类。</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7BCFCB4">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不同预期用途的独立软件作为不同注册单元，按照预期用途可分为辅助决策类和非辅助决策类，每类又可细分为治疗、诊断、监护、</w:t>
            </w:r>
            <w:r>
              <w:rPr>
                <w:rFonts w:hint="eastAsia" w:ascii="仿宋_GB2312" w:hAnsi="Microsoft YaHei UI" w:eastAsia="仿宋_GB2312" w:cs="宋体"/>
                <w:color w:val="FF0000"/>
                <w:spacing w:val="8"/>
                <w:kern w:val="0"/>
                <w:sz w:val="18"/>
                <w:szCs w:val="18"/>
              </w:rPr>
              <w:t>筛查等</w:t>
            </w:r>
            <w:r>
              <w:rPr>
                <w:rFonts w:hint="eastAsia" w:ascii="仿宋_GB2312" w:hAnsi="Microsoft YaHei UI" w:eastAsia="仿宋_GB2312" w:cs="宋体"/>
                <w:color w:val="333333"/>
                <w:spacing w:val="8"/>
                <w:kern w:val="0"/>
                <w:sz w:val="18"/>
                <w:szCs w:val="18"/>
              </w:rPr>
              <w:t>情形。</w:t>
            </w:r>
          </w:p>
        </w:tc>
      </w:tr>
      <w:tr w14:paraId="4EF5E378">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AA161E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19.</w:t>
            </w:r>
            <w:r>
              <w:rPr>
                <w:rFonts w:hint="eastAsia" w:ascii="仿宋_GB2312" w:hAnsi="Calibri" w:eastAsia="仿宋_GB2312" w:cs="Calibri"/>
                <w:color w:val="333333"/>
                <w:spacing w:val="8"/>
                <w:kern w:val="0"/>
                <w:sz w:val="18"/>
                <w:szCs w:val="18"/>
              </w:rPr>
              <w:t>检测单元划分原则</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C35CEAF">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独立软件检测单元原则上与注册单元相同</w:t>
            </w:r>
          </w:p>
          <w:p w14:paraId="7746DB66">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有多个运行环境或多个发布版本，则每个互不兼容的运行环境（含云计算）或每个互不涵盖的发布版本均需作为一个检测单元。</w:t>
            </w:r>
          </w:p>
          <w:p w14:paraId="745BD15C">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 </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17BB9A0">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独立软件检测单元原则上与注册单元相同</w:t>
            </w:r>
          </w:p>
          <w:p w14:paraId="028CE4B4">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有多个运行环境或多个发布版本，则每个互不兼容的运行环境（含云计算）或每个互不涵盖的发布版本均需作为一个检测单元。</w:t>
            </w:r>
          </w:p>
          <w:p w14:paraId="722E7BFF">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若软件核心功能相同但核心算法类型不同，则每类核心算法所对应的核心功能均需检测（检测对象为核心功能而非核心算法）。</w:t>
            </w:r>
          </w:p>
          <w:p w14:paraId="7C57CA3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同理，若软件核心功能相同但核心算法类型不同，则每类核心算法所对应的核心功能均需检测。</w:t>
            </w:r>
          </w:p>
        </w:tc>
      </w:tr>
      <w:tr w14:paraId="0C1BB3B8">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A2448B0">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20.</w:t>
            </w:r>
            <w:r>
              <w:rPr>
                <w:rFonts w:hint="eastAsia" w:ascii="仿宋_GB2312" w:hAnsi="Calibri" w:eastAsia="仿宋_GB2312" w:cs="Calibri"/>
                <w:color w:val="333333"/>
                <w:spacing w:val="8"/>
                <w:kern w:val="0"/>
                <w:sz w:val="18"/>
                <w:szCs w:val="18"/>
              </w:rPr>
              <w:t>临床评价</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D055676">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独立软件</w:t>
            </w:r>
            <w:r>
              <w:rPr>
                <w:rFonts w:hint="eastAsia" w:ascii="Microsoft YaHei UI" w:hAnsi="Microsoft YaHei UI" w:eastAsia="Microsoft YaHei UI" w:cs="宋体"/>
                <w:color w:val="333333"/>
                <w:spacing w:val="8"/>
                <w:kern w:val="0"/>
                <w:sz w:val="18"/>
                <w:szCs w:val="18"/>
              </w:rPr>
              <w:t>应依据《医疗器械临床评价技术指导原则》提交临床评价资料，不适用条款说明理由。对于采用人工智能算法实现的功能（如计算机辅助检测、分类和诊断等</w:t>
            </w:r>
            <w:r>
              <w:rPr>
                <w:rFonts w:ascii="Times New Roman" w:hAnsi="Times New Roman" w:eastAsia="Microsoft YaHei UI" w:cs="Times New Roman"/>
                <w:color w:val="333333"/>
                <w:spacing w:val="8"/>
                <w:kern w:val="0"/>
                <w:sz w:val="18"/>
                <w:szCs w:val="18"/>
              </w:rPr>
              <w:t>CAD</w:t>
            </w:r>
            <w:r>
              <w:rPr>
                <w:rFonts w:hint="eastAsia" w:ascii="仿宋_GB2312" w:hAnsi="Microsoft YaHei UI" w:eastAsia="仿宋_GB2312" w:cs="宋体"/>
                <w:color w:val="333333"/>
                <w:spacing w:val="8"/>
                <w:kern w:val="0"/>
                <w:sz w:val="18"/>
                <w:szCs w:val="18"/>
              </w:rPr>
              <w:t>类功能），应提交基于临床试验的临床评价资料。</w:t>
            </w:r>
          </w:p>
          <w:p w14:paraId="00D2D47F">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制造商可以选取已上市医疗器械产品所含的同类软件功能进行实质等同对比。</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32EC7B5">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独立软件通常</w:t>
            </w:r>
            <w:r>
              <w:rPr>
                <w:rFonts w:hint="eastAsia" w:ascii="仿宋_GB2312" w:hAnsi="Microsoft YaHei UI" w:eastAsia="仿宋_GB2312" w:cs="宋体"/>
                <w:color w:val="FF0000"/>
                <w:spacing w:val="8"/>
                <w:kern w:val="0"/>
                <w:sz w:val="18"/>
                <w:szCs w:val="18"/>
              </w:rPr>
              <w:t>基于软件功能进行临床评价</w:t>
            </w:r>
            <w:r>
              <w:rPr>
                <w:rFonts w:hint="eastAsia" w:ascii="仿宋_GB2312" w:hAnsi="Microsoft YaHei UI" w:eastAsia="仿宋_GB2312" w:cs="宋体"/>
                <w:color w:val="333333"/>
                <w:spacing w:val="8"/>
                <w:kern w:val="0"/>
                <w:sz w:val="18"/>
                <w:szCs w:val="18"/>
              </w:rPr>
              <w:t>，必要时可</w:t>
            </w:r>
            <w:r>
              <w:rPr>
                <w:rFonts w:hint="eastAsia" w:ascii="仿宋_GB2312" w:hAnsi="Microsoft YaHei UI" w:eastAsia="仿宋_GB2312" w:cs="宋体"/>
                <w:color w:val="FF0000"/>
                <w:spacing w:val="8"/>
                <w:kern w:val="0"/>
                <w:sz w:val="18"/>
                <w:szCs w:val="18"/>
              </w:rPr>
              <w:t>基于软件算法</w:t>
            </w:r>
            <w:r>
              <w:rPr>
                <w:rFonts w:hint="eastAsia" w:ascii="仿宋_GB2312" w:hAnsi="Microsoft YaHei UI" w:eastAsia="仿宋_GB2312" w:cs="宋体"/>
                <w:color w:val="333333"/>
                <w:spacing w:val="8"/>
                <w:kern w:val="0"/>
                <w:sz w:val="18"/>
                <w:szCs w:val="18"/>
              </w:rPr>
              <w:t>进行临床评价。</w:t>
            </w:r>
            <w:r>
              <w:rPr>
                <w:rFonts w:hint="eastAsia" w:ascii="仿宋_GB2312" w:hAnsi="Microsoft YaHei UI" w:eastAsia="仿宋_GB2312" w:cs="宋体"/>
                <w:color w:val="FF0000"/>
                <w:spacing w:val="8"/>
                <w:kern w:val="0"/>
                <w:sz w:val="18"/>
                <w:szCs w:val="18"/>
              </w:rPr>
              <w:t>临床评价需结合独立软件的预期用途和成熟度予以综合考虑，可选择已上市医疗器械所含同类软件功能进行同品种医疗器械比对。</w:t>
            </w:r>
          </w:p>
          <w:p w14:paraId="24B02DBE">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非辅助决策类软件功能基于核心功能进行同品种医疗器械比对</w:t>
            </w:r>
            <w:r>
              <w:rPr>
                <w:rFonts w:hint="eastAsia" w:ascii="仿宋_GB2312" w:hAnsi="Microsoft YaHei UI" w:eastAsia="仿宋_GB2312" w:cs="宋体"/>
                <w:color w:val="333333"/>
                <w:spacing w:val="8"/>
                <w:kern w:val="0"/>
                <w:sz w:val="18"/>
                <w:szCs w:val="18"/>
              </w:rPr>
              <w:t>。</w:t>
            </w:r>
            <w:r>
              <w:rPr>
                <w:rFonts w:hint="eastAsia" w:ascii="仿宋_GB2312" w:hAnsi="Microsoft YaHei UI" w:eastAsia="仿宋_GB2312" w:cs="宋体"/>
                <w:color w:val="FF0000"/>
                <w:spacing w:val="8"/>
                <w:kern w:val="0"/>
                <w:sz w:val="18"/>
                <w:szCs w:val="18"/>
              </w:rPr>
              <w:t>全新的核心算法、核心功能、预期用途原则上均需开展临床评价。</w:t>
            </w:r>
            <w:r>
              <w:rPr>
                <w:rFonts w:hint="eastAsia" w:ascii="仿宋_GB2312" w:hAnsi="Microsoft YaHei UI" w:eastAsia="仿宋_GB2312" w:cs="宋体"/>
                <w:color w:val="333333"/>
                <w:spacing w:val="8"/>
                <w:kern w:val="0"/>
                <w:sz w:val="18"/>
                <w:szCs w:val="18"/>
              </w:rPr>
              <w:t>简单操作类、单纯流程优化类软件功能可通过非临床证据予以评价。</w:t>
            </w:r>
          </w:p>
          <w:p w14:paraId="15D79FD7">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辅助决策类软件功能基于核心算法进行同品种医疗器械比对</w:t>
            </w:r>
            <w:r>
              <w:rPr>
                <w:rFonts w:hint="eastAsia" w:ascii="仿宋_GB2312" w:hAnsi="Microsoft YaHei UI" w:eastAsia="仿宋_GB2312" w:cs="宋体"/>
                <w:color w:val="333333"/>
                <w:spacing w:val="8"/>
                <w:kern w:val="0"/>
                <w:sz w:val="18"/>
                <w:szCs w:val="18"/>
              </w:rPr>
              <w:t>，</w:t>
            </w:r>
            <w:r>
              <w:rPr>
                <w:rFonts w:hint="eastAsia" w:ascii="仿宋_GB2312" w:hAnsi="Microsoft YaHei UI" w:eastAsia="仿宋_GB2312" w:cs="宋体"/>
                <w:color w:val="FF0000"/>
                <w:spacing w:val="8"/>
                <w:kern w:val="0"/>
                <w:sz w:val="18"/>
                <w:szCs w:val="18"/>
              </w:rPr>
              <w:t>所选同品种医疗器械的临床证据原则上需基于临床试验（含回顾性研究，下同）</w:t>
            </w:r>
            <w:r>
              <w:rPr>
                <w:rFonts w:hint="eastAsia" w:ascii="仿宋_GB2312" w:hAnsi="Microsoft YaHei UI" w:eastAsia="仿宋_GB2312" w:cs="宋体"/>
                <w:color w:val="333333"/>
                <w:spacing w:val="8"/>
                <w:kern w:val="0"/>
                <w:sz w:val="18"/>
                <w:szCs w:val="18"/>
              </w:rPr>
              <w:t>。全</w:t>
            </w:r>
            <w:r>
              <w:rPr>
                <w:rFonts w:hint="eastAsia" w:ascii="仿宋_GB2312" w:hAnsi="Microsoft YaHei UI" w:eastAsia="仿宋_GB2312" w:cs="宋体"/>
                <w:color w:val="FF0000"/>
                <w:spacing w:val="8"/>
                <w:kern w:val="0"/>
                <w:sz w:val="18"/>
                <w:szCs w:val="18"/>
              </w:rPr>
              <w:t>新的核心算法、核心功能、预期用途原则上均需开展临床试验。临床试验若采用阳性对照设计，可选择预期用途相同且核心算法或核心功能等同的独立软件进行对照。</w:t>
            </w:r>
          </w:p>
        </w:tc>
      </w:tr>
      <w:tr w14:paraId="01556A3C">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DCA42F2">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w:t>
            </w:r>
            <w:r>
              <w:rPr>
                <w:rFonts w:hint="eastAsia" w:ascii="宋体" w:hAnsi="宋体" w:eastAsia="宋体" w:cs="Calibri"/>
                <w:color w:val="333333"/>
                <w:spacing w:val="8"/>
                <w:kern w:val="0"/>
                <w:sz w:val="18"/>
                <w:szCs w:val="18"/>
              </w:rPr>
              <w:t>网络安全</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376F65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5D68267">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医疗器械网络安全需从网络安全角度综合考虑信息安全和数据安全。医疗器械软件若具备电子数据交换、远程访问与控制、用户访问三种功能当中一种及以上功能，均需考虑网络安全问题，具体要求详见医疗器械网络安全相关指导原则。</w:t>
            </w:r>
          </w:p>
        </w:tc>
      </w:tr>
      <w:tr w14:paraId="3412D48D">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4D937D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22. </w:t>
            </w:r>
            <w:r>
              <w:rPr>
                <w:rFonts w:hint="eastAsia" w:ascii="楷体_GB2312" w:hAnsi="Calibri" w:eastAsia="楷体_GB2312" w:cs="Calibri"/>
                <w:color w:val="333333"/>
                <w:spacing w:val="8"/>
                <w:kern w:val="0"/>
                <w:sz w:val="18"/>
                <w:szCs w:val="18"/>
              </w:rPr>
              <w:t>人因</w:t>
            </w:r>
            <w:r>
              <w:rPr>
                <w:rFonts w:hint="eastAsia" w:ascii="楷体_GB2312" w:hAnsi="Microsoft YaHei UI" w:eastAsia="楷体_GB2312" w:cs="宋体"/>
                <w:color w:val="333333"/>
                <w:spacing w:val="8"/>
                <w:kern w:val="0"/>
                <w:sz w:val="18"/>
                <w:szCs w:val="18"/>
              </w:rPr>
              <w:t>与可用性</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C402E36">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539C3A2">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建议加强医疗器械软件用户界面的人因设计以提升可用性，将用户错误使用的风险降至可接受水平，具体要求详见医疗器械人因设计相关指导原则。</w:t>
            </w:r>
          </w:p>
        </w:tc>
      </w:tr>
      <w:tr w14:paraId="2B02A132">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170EFA0">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23. </w:t>
            </w:r>
            <w:r>
              <w:rPr>
                <w:rFonts w:hint="eastAsia" w:ascii="楷体_GB2312" w:hAnsi="Calibri" w:eastAsia="楷体_GB2312" w:cs="Calibri"/>
                <w:color w:val="333333"/>
                <w:spacing w:val="8"/>
                <w:kern w:val="0"/>
                <w:sz w:val="18"/>
                <w:szCs w:val="18"/>
              </w:rPr>
              <w:t>互操作性</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4A5B51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4226AF6">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互操作性（又称互用性）是指医疗器械与其他医疗器械或通用设备通过电子接口交换并使用信息的能力。其中电子接口包含硬件接口和软件接口，信息包括但不限于医学图像、生理参数、体外诊断等数据和控制指令。</w:t>
            </w:r>
          </w:p>
          <w:p w14:paraId="076E2D3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互操作性重点关注医疗器械软件的接口设计及其风险，接口包括内部接口和外部接口，前者是指软件模块之间的接口，后者是指供用户调用的接口，分体式医疗器械各独立部分的内部接口视为外部接口，如服务器与客户端、主机与从机的内部接口。从用户角度出发软件接口若无明示均指外部接口。</w:t>
            </w:r>
          </w:p>
          <w:p w14:paraId="28C98C9F">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注册申请人需考虑软件接口的需求分析、风险管理、验证与</w:t>
            </w:r>
            <w:r>
              <w:rPr>
                <w:rFonts w:hint="eastAsia" w:ascii="仿宋_GB2312" w:hAnsi="Microsoft YaHei UI" w:eastAsia="仿宋_GB2312" w:cs="宋体"/>
                <w:color w:val="FF0000"/>
                <w:kern w:val="0"/>
                <w:sz w:val="18"/>
                <w:szCs w:val="18"/>
              </w:rPr>
              <w:t>确认、维护计划</w:t>
            </w:r>
            <w:r>
              <w:rPr>
                <w:rFonts w:hint="eastAsia" w:ascii="仿宋_GB2312" w:hAnsi="Microsoft YaHei UI" w:eastAsia="仿宋_GB2312" w:cs="宋体"/>
                <w:color w:val="FF0000"/>
                <w:spacing w:val="8"/>
                <w:kern w:val="0"/>
                <w:sz w:val="18"/>
                <w:szCs w:val="18"/>
              </w:rPr>
              <w:t>等活动要求，以及说明书与标签的设计要求。</w:t>
            </w:r>
          </w:p>
          <w:p w14:paraId="572469FB">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注册申请人可单独提交一份互操作性研究资料，内容包括基本信息、需求规范、风险管理、验证与确认、维护计划；亦可在自研软件研究报告相关条款中体现软件接口要求，</w:t>
            </w:r>
          </w:p>
        </w:tc>
      </w:tr>
      <w:tr w14:paraId="2EFED71B">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EEEBAE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24.</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测量功能</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786060A">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BA295B4">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测量功能（又称量化、定量功能）可分为图形学测量功能、客观物理测量功能，前者基于图形学间接反映客观事物的测量结果，后者直接反映客观事物的测量结果。无论何种测量功能均需结合测量的误差、不确定度等因素，明确测量准确性指标，如线性度、精度、重复性、再现性、范围限值、显示误差等。</w:t>
            </w:r>
          </w:p>
          <w:p w14:paraId="2756260F">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注册申请人需提供测量准确性的研究资料，并在说明书中向用户告知。此外，客观物理测量还需在产品技术要求中明确准确性指标，图形学测量还需在说明书中提供关于测量准确性的警示信息。</w:t>
            </w:r>
          </w:p>
        </w:tc>
      </w:tr>
      <w:tr w14:paraId="7AEDC4EE">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18EEF7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25</w:t>
            </w:r>
            <w:r>
              <w:rPr>
                <w:rFonts w:hint="eastAsia" w:ascii="宋体" w:hAnsi="宋体" w:eastAsia="宋体" w:cs="宋体"/>
                <w:color w:val="333333"/>
                <w:spacing w:val="8"/>
                <w:kern w:val="0"/>
                <w:sz w:val="18"/>
                <w:szCs w:val="18"/>
              </w:rPr>
              <w:t>．</w:t>
            </w:r>
            <w:r>
              <w:rPr>
                <w:rFonts w:hint="eastAsia" w:ascii="楷体_GB2312" w:hAnsi="Microsoft YaHei UI" w:eastAsia="楷体_GB2312" w:cs="宋体"/>
                <w:color w:val="333333"/>
                <w:spacing w:val="8"/>
                <w:kern w:val="0"/>
                <w:sz w:val="18"/>
                <w:szCs w:val="18"/>
              </w:rPr>
              <w:t>远程访问与控制</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3866F9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773E440">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对于远程访问与控制（含远程维护与升级）功能，需明确相关功能的性能指标要求和网络安全要求，具体要求详见医疗器械网络安全相关指导原则。</w:t>
            </w:r>
          </w:p>
          <w:p w14:paraId="74083BDF">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注册申请人需在软件研究资料、网络安全研究资料中提供相应研究资料，在产品技术要求中明确性能指标要求，并在说明书中向用户告知相应功能的使用要求（含网络安全）。</w:t>
            </w:r>
          </w:p>
        </w:tc>
      </w:tr>
      <w:tr w14:paraId="58AC5787">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EA8E676">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26.</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非医疗器械功能</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09DE40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442C6DA">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医疗器械软件若在技术上能够拆分非医疗器械功能，即采用模块化设计区分医疗器械功能和非医疗器械功能，则产品结构组成不应包含非医疗器械功能模块，说明书若含有非医疗器械功能应予以删除或注明为非医疗器械功能，产品技术要求不应含有非医疗器械功能。</w:t>
            </w:r>
          </w:p>
          <w:p w14:paraId="50D363E6">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医疗器械软件若在技术上无法拆分非医疗器械功能，需将非医疗器械功能作为自身组成部分予以整体考虑，重点关注非医疗器械功能对于医疗器械软件的影响及其风险。</w:t>
            </w:r>
          </w:p>
        </w:tc>
      </w:tr>
      <w:tr w14:paraId="4825FCB1">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6A6C23D">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27.</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植入物产品设计软件</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676831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B8FD688">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由于植入式医疗器械风险较高，植入物产品设计软件属于质量管理软件，故可参照严重级别的成品软件、自研软件要求提交软件研究资料，</w:t>
            </w:r>
          </w:p>
        </w:tc>
      </w:tr>
      <w:tr w14:paraId="2EE6B6FA">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45BF19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28.</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异常处理</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650C950">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447BB3B">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异常处理（</w:t>
            </w:r>
            <w:r>
              <w:rPr>
                <w:rFonts w:ascii="Calibri" w:hAnsi="Calibri" w:eastAsia="仿宋_GB2312" w:cs="Calibri"/>
                <w:color w:val="FF0000"/>
                <w:spacing w:val="8"/>
                <w:kern w:val="0"/>
                <w:sz w:val="18"/>
                <w:szCs w:val="18"/>
              </w:rPr>
              <w:t>Exception handling</w:t>
            </w:r>
            <w:r>
              <w:rPr>
                <w:rFonts w:hint="eastAsia" w:ascii="仿宋_GB2312" w:hAnsi="Microsoft YaHei UI" w:eastAsia="仿宋_GB2312" w:cs="宋体"/>
                <w:color w:val="FF0000"/>
                <w:spacing w:val="8"/>
                <w:kern w:val="0"/>
                <w:sz w:val="18"/>
                <w:szCs w:val="18"/>
              </w:rPr>
              <w:t>）用于处理软件出现的异常状况，及时将软件异常信息告知用户，以采取风险控制措施保证安全有效性。</w:t>
            </w:r>
          </w:p>
        </w:tc>
      </w:tr>
      <w:tr w14:paraId="49383AA7">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40667EA">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29.</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功能安全与软件可靠性</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4CD66B4">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6E9FA68">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考虑到行业实际情况，功能安全、软件可靠性暂不要求，待时机成熟时纳入考量。建议注册申请人参考相关标准要求加强功能安全、软件可靠性的设计工作，若已开展相应工作可在软件研究资料中予以提供。</w:t>
            </w:r>
          </w:p>
        </w:tc>
      </w:tr>
      <w:tr w14:paraId="399BCE9A">
        <w:tblPrEx>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2EEE77">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30.</w:t>
            </w:r>
            <w:r>
              <w:rPr>
                <w:rFonts w:ascii="Calibri" w:hAnsi="Calibri" w:eastAsia="楷体_GB2312" w:cs="Calibri"/>
                <w:color w:val="333333"/>
                <w:spacing w:val="8"/>
                <w:kern w:val="0"/>
                <w:sz w:val="18"/>
                <w:szCs w:val="18"/>
              </w:rPr>
              <w:t> GB/T 25000.51</w:t>
            </w:r>
            <w:r>
              <w:rPr>
                <w:rFonts w:hint="eastAsia" w:ascii="楷体_GB2312" w:hAnsi="Microsoft YaHei UI" w:eastAsia="楷体_GB2312" w:cs="宋体"/>
                <w:color w:val="333333"/>
                <w:spacing w:val="8"/>
                <w:kern w:val="0"/>
                <w:sz w:val="18"/>
                <w:szCs w:val="18"/>
              </w:rPr>
              <w:t>实施要求</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C7EFDE1">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独立软件写入产品技术要求，“使用质量”不适用。</w:t>
            </w:r>
          </w:p>
          <w:p w14:paraId="0EDE98DA">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软件组件不要求。</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C9A9D31">
            <w:pPr>
              <w:widowControl/>
              <w:wordWrap w:val="0"/>
              <w:ind w:firstLine="420"/>
              <w:rPr>
                <w:rFonts w:ascii="Microsoft YaHei UI" w:hAnsi="Microsoft YaHei UI" w:eastAsia="Microsoft YaHei UI" w:cs="宋体"/>
                <w:color w:val="333333"/>
                <w:spacing w:val="8"/>
                <w:kern w:val="0"/>
                <w:sz w:val="26"/>
                <w:szCs w:val="26"/>
              </w:rPr>
            </w:pPr>
            <w:r>
              <w:rPr>
                <w:rFonts w:ascii="Calibri" w:hAnsi="Calibri" w:eastAsia="仿宋_GB2312" w:cs="Calibri"/>
                <w:color w:val="333333"/>
                <w:spacing w:val="8"/>
                <w:kern w:val="0"/>
                <w:sz w:val="18"/>
                <w:szCs w:val="18"/>
              </w:rPr>
              <w:t>GB/T 25000.51</w:t>
            </w:r>
            <w:r>
              <w:rPr>
                <w:rFonts w:hint="eastAsia" w:ascii="仿宋_GB2312" w:hAnsi="Microsoft YaHei UI" w:eastAsia="仿宋_GB2312" w:cs="宋体"/>
                <w:color w:val="333333"/>
                <w:spacing w:val="8"/>
                <w:kern w:val="0"/>
                <w:sz w:val="18"/>
                <w:szCs w:val="18"/>
              </w:rPr>
              <w:t>适用于医疗器械软件，</w:t>
            </w:r>
            <w:r>
              <w:rPr>
                <w:rFonts w:hint="eastAsia" w:ascii="仿宋_GB2312" w:hAnsi="Microsoft YaHei UI" w:eastAsia="仿宋_GB2312" w:cs="宋体"/>
                <w:color w:val="FF0000"/>
                <w:spacing w:val="8"/>
                <w:kern w:val="0"/>
                <w:sz w:val="18"/>
                <w:szCs w:val="18"/>
              </w:rPr>
              <w:t>其中“产品说明要求”、“用户文档集要求”适用于说明书，“软件质量要求”适用于软件本身，同时“使用质量”不适用。</w:t>
            </w:r>
          </w:p>
          <w:p w14:paraId="228D2AE8">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在技术要求中删除</w:t>
            </w:r>
            <w:r>
              <w:rPr>
                <w:rFonts w:ascii="Calibri" w:hAnsi="Calibri" w:eastAsia="仿宋_GB2312" w:cs="Calibri"/>
                <w:color w:val="FF0000"/>
                <w:spacing w:val="8"/>
                <w:kern w:val="0"/>
                <w:sz w:val="18"/>
                <w:szCs w:val="18"/>
              </w:rPr>
              <w:t>GB/T 25000.51</w:t>
            </w:r>
            <w:r>
              <w:rPr>
                <w:rFonts w:hint="eastAsia" w:ascii="仿宋_GB2312" w:hAnsi="Microsoft YaHei UI" w:eastAsia="仿宋_GB2312" w:cs="宋体"/>
                <w:color w:val="FF0000"/>
                <w:spacing w:val="8"/>
                <w:kern w:val="0"/>
                <w:sz w:val="18"/>
                <w:szCs w:val="18"/>
              </w:rPr>
              <w:t>，注册申请人需在软件研究资料中提交</w:t>
            </w:r>
            <w:r>
              <w:rPr>
                <w:rFonts w:ascii="Calibri" w:hAnsi="Calibri" w:eastAsia="仿宋_GB2312" w:cs="Calibri"/>
                <w:color w:val="FF0000"/>
                <w:spacing w:val="8"/>
                <w:kern w:val="0"/>
                <w:sz w:val="18"/>
                <w:szCs w:val="18"/>
              </w:rPr>
              <w:t>GB/T 25000.51</w:t>
            </w:r>
            <w:r>
              <w:rPr>
                <w:rFonts w:hint="eastAsia" w:ascii="仿宋_GB2312" w:hAnsi="Microsoft YaHei UI" w:eastAsia="仿宋_GB2312" w:cs="宋体"/>
                <w:color w:val="FF0000"/>
                <w:spacing w:val="8"/>
                <w:kern w:val="0"/>
                <w:sz w:val="18"/>
                <w:szCs w:val="18"/>
              </w:rPr>
              <w:t>自测报告，亦可提交自检报告或检验报告代替自测报告</w:t>
            </w:r>
            <w:r>
              <w:rPr>
                <w:rFonts w:ascii="Calibri" w:hAnsi="Calibri" w:eastAsia="仿宋_GB2312" w:cs="Calibri"/>
                <w:color w:val="FF0000"/>
                <w:spacing w:val="8"/>
                <w:kern w:val="0"/>
                <w:sz w:val="18"/>
                <w:szCs w:val="18"/>
              </w:rPr>
              <w:t>.</w:t>
            </w:r>
          </w:p>
          <w:p w14:paraId="1CB3D269">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软件组件也应按</w:t>
            </w:r>
            <w:r>
              <w:rPr>
                <w:rFonts w:ascii="Calibri" w:hAnsi="Calibri" w:eastAsia="仿宋_GB2312" w:cs="Calibri"/>
                <w:color w:val="FF0000"/>
                <w:spacing w:val="8"/>
                <w:kern w:val="0"/>
                <w:sz w:val="18"/>
                <w:szCs w:val="18"/>
              </w:rPr>
              <w:t>GB/T 25000.51</w:t>
            </w:r>
            <w:r>
              <w:rPr>
                <w:rFonts w:hint="eastAsia" w:ascii="仿宋_GB2312" w:hAnsi="Microsoft YaHei UI" w:eastAsia="仿宋_GB2312" w:cs="宋体"/>
                <w:color w:val="FF0000"/>
                <w:spacing w:val="8"/>
                <w:kern w:val="0"/>
                <w:sz w:val="18"/>
                <w:szCs w:val="18"/>
              </w:rPr>
              <w:t>进行检测。</w:t>
            </w:r>
          </w:p>
        </w:tc>
      </w:tr>
      <w:tr w14:paraId="7B7161D2">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951B639">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31.</w:t>
            </w:r>
            <w:r>
              <w:rPr>
                <w:rFonts w:ascii="Calibri" w:hAnsi="Calibri" w:eastAsia="楷体_GB2312" w:cs="Calibri"/>
                <w:color w:val="333333"/>
                <w:spacing w:val="8"/>
                <w:kern w:val="0"/>
                <w:sz w:val="18"/>
                <w:szCs w:val="18"/>
              </w:rPr>
              <w:t> </w:t>
            </w:r>
            <w:r>
              <w:rPr>
                <w:rFonts w:hint="eastAsia" w:ascii="楷体_GB2312" w:hAnsi="Microsoft YaHei UI" w:eastAsia="楷体_GB2312" w:cs="宋体"/>
                <w:color w:val="333333"/>
                <w:spacing w:val="8"/>
                <w:kern w:val="0"/>
                <w:sz w:val="18"/>
                <w:szCs w:val="18"/>
              </w:rPr>
              <w:t>进口医疗器械软件</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EC87F1A">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CC0CC7B">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进口医疗器械软件若存在中外差异，如语言差异、软件功能删减、适用范围缩减等，需在软件研究资料中提交本次申报软件与原产国获准上市版本软件的中外差异说明材料。</w:t>
            </w:r>
          </w:p>
        </w:tc>
      </w:tr>
      <w:tr w14:paraId="09314834">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7C2BF02">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32</w:t>
            </w:r>
            <w:r>
              <w:rPr>
                <w:rFonts w:hint="eastAsia" w:ascii="宋体" w:hAnsi="宋体" w:eastAsia="宋体" w:cs="Calibri"/>
                <w:color w:val="333333"/>
                <w:spacing w:val="8"/>
                <w:kern w:val="0"/>
                <w:sz w:val="18"/>
                <w:szCs w:val="18"/>
              </w:rPr>
              <w:t>软件研究报告</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526842C">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软件描述文档</w:t>
            </w:r>
          </w:p>
          <w:p w14:paraId="01A95AAA">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软件标识</w:t>
            </w:r>
          </w:p>
          <w:p w14:paraId="5907D49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 </w:t>
            </w:r>
          </w:p>
          <w:p w14:paraId="1C73A4D6">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物理拓扑</w:t>
            </w:r>
          </w:p>
          <w:p w14:paraId="1B876DFA">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需求规范：</w:t>
            </w:r>
            <w:r>
              <w:rPr>
                <w:rFonts w:ascii="Calibri" w:hAnsi="Calibri" w:eastAsia="仿宋_GB2312" w:cs="Calibri"/>
                <w:color w:val="333333"/>
                <w:spacing w:val="8"/>
                <w:kern w:val="0"/>
                <w:sz w:val="18"/>
                <w:szCs w:val="18"/>
              </w:rPr>
              <w:t>A</w:t>
            </w:r>
            <w:r>
              <w:rPr>
                <w:rFonts w:hint="eastAsia" w:ascii="仿宋_GB2312" w:hAnsi="Microsoft YaHei UI" w:eastAsia="仿宋_GB2312" w:cs="宋体"/>
                <w:color w:val="333333"/>
                <w:spacing w:val="8"/>
                <w:kern w:val="0"/>
                <w:sz w:val="18"/>
                <w:szCs w:val="18"/>
              </w:rPr>
              <w:t>级提供需求规范摘要，</w:t>
            </w:r>
            <w:r>
              <w:rPr>
                <w:rFonts w:ascii="Calibri" w:hAnsi="Calibri" w:eastAsia="仿宋_GB2312" w:cs="Calibri"/>
                <w:color w:val="333333"/>
                <w:spacing w:val="8"/>
                <w:kern w:val="0"/>
                <w:sz w:val="18"/>
                <w:szCs w:val="18"/>
              </w:rPr>
              <w:t>B</w:t>
            </w:r>
            <w:r>
              <w:rPr>
                <w:rFonts w:hint="eastAsia" w:ascii="仿宋_GB2312" w:hAnsi="Microsoft YaHei UI" w:eastAsia="仿宋_GB2312" w:cs="宋体"/>
                <w:color w:val="333333"/>
                <w:spacing w:val="8"/>
                <w:kern w:val="0"/>
                <w:sz w:val="18"/>
                <w:szCs w:val="18"/>
              </w:rPr>
              <w:t>，</w:t>
            </w:r>
            <w:r>
              <w:rPr>
                <w:rFonts w:ascii="Calibri" w:hAnsi="Calibri" w:eastAsia="仿宋_GB2312" w:cs="Calibri"/>
                <w:color w:val="333333"/>
                <w:spacing w:val="8"/>
                <w:kern w:val="0"/>
                <w:sz w:val="18"/>
                <w:szCs w:val="18"/>
              </w:rPr>
              <w:t>c</w:t>
            </w:r>
            <w:r>
              <w:rPr>
                <w:rFonts w:hint="eastAsia" w:ascii="仿宋_GB2312" w:hAnsi="Microsoft YaHei UI" w:eastAsia="仿宋_GB2312" w:cs="宋体"/>
                <w:color w:val="333333"/>
                <w:spacing w:val="8"/>
                <w:kern w:val="0"/>
                <w:sz w:val="18"/>
                <w:szCs w:val="18"/>
              </w:rPr>
              <w:t>级需要软件需求规范文档</w:t>
            </w:r>
          </w:p>
          <w:p w14:paraId="3592C731">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验证与确认：</w:t>
            </w:r>
            <w:r>
              <w:rPr>
                <w:rFonts w:ascii="Calibri" w:hAnsi="Calibri" w:eastAsia="仿宋_GB2312" w:cs="Calibri"/>
                <w:color w:val="333333"/>
                <w:spacing w:val="8"/>
                <w:kern w:val="0"/>
                <w:sz w:val="18"/>
                <w:szCs w:val="18"/>
              </w:rPr>
              <w:t>A</w:t>
            </w:r>
            <w:r>
              <w:rPr>
                <w:rFonts w:hint="eastAsia" w:ascii="仿宋_GB2312" w:hAnsi="Microsoft YaHei UI" w:eastAsia="仿宋_GB2312" w:cs="宋体"/>
                <w:color w:val="333333"/>
                <w:spacing w:val="8"/>
                <w:kern w:val="0"/>
                <w:sz w:val="18"/>
                <w:szCs w:val="18"/>
              </w:rPr>
              <w:t>级提供</w:t>
            </w:r>
            <w:r>
              <w:rPr>
                <w:rFonts w:hint="eastAsia" w:ascii="仿宋_GB2312" w:hAnsi="Microsoft YaHei UI" w:eastAsia="仿宋_GB2312" w:cs="宋体"/>
                <w:color w:val="FF0000"/>
                <w:spacing w:val="8"/>
                <w:kern w:val="0"/>
                <w:sz w:val="18"/>
                <w:szCs w:val="18"/>
              </w:rPr>
              <w:t>测试计划与报告</w:t>
            </w:r>
            <w:r>
              <w:rPr>
                <w:rFonts w:hint="eastAsia" w:ascii="仿宋_GB2312" w:hAnsi="Microsoft YaHei UI" w:eastAsia="仿宋_GB2312" w:cs="宋体"/>
                <w:color w:val="333333"/>
                <w:spacing w:val="8"/>
                <w:kern w:val="0"/>
                <w:sz w:val="18"/>
                <w:szCs w:val="18"/>
              </w:rPr>
              <w:t>摘要，</w:t>
            </w:r>
            <w:r>
              <w:rPr>
                <w:rFonts w:ascii="Calibri" w:hAnsi="Calibri" w:eastAsia="仿宋_GB2312" w:cs="Calibri"/>
                <w:color w:val="333333"/>
                <w:spacing w:val="8"/>
                <w:kern w:val="0"/>
                <w:sz w:val="18"/>
                <w:szCs w:val="18"/>
              </w:rPr>
              <w:t>B</w:t>
            </w:r>
            <w:r>
              <w:rPr>
                <w:rFonts w:hint="eastAsia" w:ascii="仿宋_GB2312" w:hAnsi="Microsoft YaHei UI" w:eastAsia="仿宋_GB2312" w:cs="宋体"/>
                <w:color w:val="333333"/>
                <w:spacing w:val="8"/>
                <w:kern w:val="0"/>
                <w:sz w:val="18"/>
                <w:szCs w:val="18"/>
              </w:rPr>
              <w:t>，</w:t>
            </w:r>
            <w:r>
              <w:rPr>
                <w:rFonts w:ascii="Calibri" w:hAnsi="Calibri" w:eastAsia="仿宋_GB2312" w:cs="Calibri"/>
                <w:color w:val="333333"/>
                <w:spacing w:val="8"/>
                <w:kern w:val="0"/>
                <w:sz w:val="18"/>
                <w:szCs w:val="18"/>
              </w:rPr>
              <w:t>c</w:t>
            </w:r>
            <w:r>
              <w:rPr>
                <w:rFonts w:hint="eastAsia" w:ascii="仿宋_GB2312" w:hAnsi="Microsoft YaHei UI" w:eastAsia="仿宋_GB2312" w:cs="宋体"/>
                <w:color w:val="333333"/>
                <w:spacing w:val="8"/>
                <w:kern w:val="0"/>
                <w:sz w:val="18"/>
                <w:szCs w:val="18"/>
              </w:rPr>
              <w:t>级需要</w:t>
            </w:r>
            <w:r>
              <w:rPr>
                <w:rFonts w:hint="eastAsia" w:ascii="仿宋_GB2312" w:hAnsi="Microsoft YaHei UI" w:eastAsia="仿宋_GB2312" w:cs="宋体"/>
                <w:color w:val="FF0000"/>
                <w:spacing w:val="8"/>
                <w:kern w:val="0"/>
                <w:sz w:val="18"/>
                <w:szCs w:val="18"/>
              </w:rPr>
              <w:t>测试计划与报告</w:t>
            </w:r>
            <w:r>
              <w:rPr>
                <w:rFonts w:hint="eastAsia" w:ascii="仿宋_GB2312" w:hAnsi="Microsoft YaHei UI" w:eastAsia="仿宋_GB2312" w:cs="宋体"/>
                <w:color w:val="333333"/>
                <w:spacing w:val="8"/>
                <w:kern w:val="0"/>
                <w:sz w:val="18"/>
                <w:szCs w:val="18"/>
              </w:rPr>
              <w:t>文档</w:t>
            </w:r>
          </w:p>
          <w:p w14:paraId="5AF0858E">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可追溯性分析：</w:t>
            </w:r>
            <w:r>
              <w:rPr>
                <w:rFonts w:ascii="Calibri" w:hAnsi="Calibri" w:eastAsia="仿宋_GB2312" w:cs="Calibri"/>
                <w:color w:val="333333"/>
                <w:spacing w:val="8"/>
                <w:kern w:val="0"/>
                <w:sz w:val="18"/>
                <w:szCs w:val="18"/>
              </w:rPr>
              <w:t>C</w:t>
            </w:r>
            <w:r>
              <w:rPr>
                <w:rFonts w:hint="eastAsia" w:ascii="仿宋_GB2312" w:hAnsi="Microsoft YaHei UI" w:eastAsia="仿宋_GB2312" w:cs="宋体"/>
                <w:color w:val="333333"/>
                <w:spacing w:val="8"/>
                <w:kern w:val="0"/>
                <w:sz w:val="18"/>
                <w:szCs w:val="18"/>
              </w:rPr>
              <w:t>级提供可追溯分析报告</w:t>
            </w:r>
          </w:p>
          <w:p w14:paraId="584081DC">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 </w:t>
            </w:r>
          </w:p>
          <w:p w14:paraId="3DC2B6A1">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临床评价</w:t>
            </w:r>
          </w:p>
          <w:p w14:paraId="71E512EE">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 </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C14297F">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自研软件研究报告</w:t>
            </w:r>
          </w:p>
          <w:p w14:paraId="2C88E2DA">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增加：</w:t>
            </w:r>
            <w:r>
              <w:rPr>
                <w:rFonts w:ascii="Calibri" w:hAnsi="Calibri" w:eastAsia="仿宋_GB2312" w:cs="Calibri"/>
                <w:color w:val="FF0000"/>
                <w:spacing w:val="8"/>
                <w:kern w:val="0"/>
                <w:sz w:val="18"/>
                <w:szCs w:val="18"/>
              </w:rPr>
              <w:t>HASH</w:t>
            </w:r>
            <w:r>
              <w:rPr>
                <w:rFonts w:hint="eastAsia" w:ascii="仿宋_GB2312" w:hAnsi="Microsoft YaHei UI" w:eastAsia="仿宋_GB2312" w:cs="宋体"/>
                <w:color w:val="FF0000"/>
                <w:spacing w:val="8"/>
                <w:kern w:val="0"/>
                <w:sz w:val="18"/>
                <w:szCs w:val="18"/>
              </w:rPr>
              <w:t>值，删除：适用范围、禁忌症</w:t>
            </w:r>
          </w:p>
          <w:p w14:paraId="1A738676">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增加：必备软件的物理连接关系</w:t>
            </w:r>
          </w:p>
          <w:p w14:paraId="5CFA185C">
            <w:pPr>
              <w:widowControl/>
              <w:wordWrap w:val="0"/>
              <w:rPr>
                <w:rFonts w:ascii="Microsoft YaHei UI" w:hAnsi="Microsoft YaHei UI" w:eastAsia="Microsoft YaHei UI" w:cs="宋体"/>
                <w:color w:val="333333"/>
                <w:spacing w:val="8"/>
                <w:kern w:val="0"/>
                <w:sz w:val="26"/>
                <w:szCs w:val="26"/>
              </w:rPr>
            </w:pPr>
            <w:r>
              <w:rPr>
                <w:rFonts w:ascii="Calibri" w:hAnsi="Calibri" w:eastAsia="仿宋_GB2312" w:cs="Calibri"/>
                <w:color w:val="FF0000"/>
                <w:spacing w:val="8"/>
                <w:kern w:val="0"/>
                <w:sz w:val="18"/>
                <w:szCs w:val="18"/>
              </w:rPr>
              <w:t>A,B,C</w:t>
            </w:r>
            <w:r>
              <w:rPr>
                <w:rFonts w:hint="eastAsia" w:ascii="仿宋_GB2312" w:hAnsi="Microsoft YaHei UI" w:eastAsia="仿宋_GB2312" w:cs="宋体"/>
                <w:color w:val="FF0000"/>
                <w:spacing w:val="8"/>
                <w:kern w:val="0"/>
                <w:sz w:val="18"/>
                <w:szCs w:val="18"/>
              </w:rPr>
              <w:t>级均需提供</w:t>
            </w:r>
            <w:r>
              <w:rPr>
                <w:rFonts w:hint="eastAsia" w:ascii="仿宋_GB2312" w:hAnsi="Microsoft YaHei UI" w:eastAsia="仿宋_GB2312" w:cs="宋体"/>
                <w:color w:val="333333"/>
                <w:spacing w:val="8"/>
                <w:kern w:val="0"/>
                <w:sz w:val="18"/>
                <w:szCs w:val="18"/>
              </w:rPr>
              <w:t>软件需求规范文档</w:t>
            </w:r>
          </w:p>
          <w:p w14:paraId="018563C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75529C44">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7D41D303">
            <w:pPr>
              <w:widowControl/>
              <w:wordWrap w:val="0"/>
              <w:rPr>
                <w:rFonts w:ascii="Microsoft YaHei UI" w:hAnsi="Microsoft YaHei UI" w:eastAsia="Microsoft YaHei UI" w:cs="宋体"/>
                <w:color w:val="333333"/>
                <w:spacing w:val="8"/>
                <w:kern w:val="0"/>
                <w:sz w:val="26"/>
                <w:szCs w:val="26"/>
              </w:rPr>
            </w:pPr>
            <w:r>
              <w:rPr>
                <w:rFonts w:ascii="Calibri" w:hAnsi="Calibri" w:eastAsia="仿宋_GB2312" w:cs="Calibri"/>
                <w:color w:val="FF0000"/>
                <w:spacing w:val="8"/>
                <w:kern w:val="0"/>
                <w:sz w:val="18"/>
                <w:szCs w:val="18"/>
              </w:rPr>
              <w:t>A,B,C</w:t>
            </w:r>
            <w:r>
              <w:rPr>
                <w:rFonts w:hint="eastAsia" w:ascii="仿宋_GB2312" w:hAnsi="Microsoft YaHei UI" w:eastAsia="仿宋_GB2312" w:cs="宋体"/>
                <w:color w:val="FF0000"/>
                <w:spacing w:val="8"/>
                <w:kern w:val="0"/>
                <w:sz w:val="18"/>
                <w:szCs w:val="18"/>
              </w:rPr>
              <w:t>级均需提供测试计划与报告全文</w:t>
            </w:r>
          </w:p>
          <w:p w14:paraId="61491EA3">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4D29397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418F6E4A">
            <w:pPr>
              <w:widowControl/>
              <w:wordWrap w:val="0"/>
              <w:rPr>
                <w:rFonts w:ascii="Microsoft YaHei UI" w:hAnsi="Microsoft YaHei UI" w:eastAsia="Microsoft YaHei UI" w:cs="宋体"/>
                <w:color w:val="333333"/>
                <w:spacing w:val="8"/>
                <w:kern w:val="0"/>
                <w:sz w:val="26"/>
                <w:szCs w:val="26"/>
              </w:rPr>
            </w:pPr>
            <w:r>
              <w:rPr>
                <w:rFonts w:ascii="Calibri" w:hAnsi="Calibri" w:eastAsia="仿宋_GB2312" w:cs="Calibri"/>
                <w:color w:val="FF0000"/>
                <w:spacing w:val="8"/>
                <w:kern w:val="0"/>
                <w:sz w:val="18"/>
                <w:szCs w:val="18"/>
              </w:rPr>
              <w:t>A,B,C</w:t>
            </w:r>
            <w:r>
              <w:rPr>
                <w:rFonts w:hint="eastAsia" w:ascii="仿宋_GB2312" w:hAnsi="Microsoft YaHei UI" w:eastAsia="仿宋_GB2312" w:cs="宋体"/>
                <w:color w:val="FF0000"/>
                <w:spacing w:val="8"/>
                <w:kern w:val="0"/>
                <w:sz w:val="18"/>
                <w:szCs w:val="18"/>
              </w:rPr>
              <w:t>均需要提交可追溯分析报告</w:t>
            </w:r>
          </w:p>
          <w:p w14:paraId="3686ECB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71340E88">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FF0000"/>
                <w:spacing w:val="8"/>
                <w:kern w:val="0"/>
                <w:sz w:val="18"/>
                <w:szCs w:val="18"/>
              </w:rPr>
              <w:t> </w:t>
            </w:r>
          </w:p>
          <w:p w14:paraId="751E6061">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删除临床评价</w:t>
            </w:r>
          </w:p>
          <w:p w14:paraId="29645583">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增加：结论描述</w:t>
            </w:r>
          </w:p>
        </w:tc>
      </w:tr>
      <w:tr w14:paraId="14EDE0E0">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2AB9C8D">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33. </w:t>
            </w:r>
            <w:r>
              <w:rPr>
                <w:rFonts w:hint="eastAsia" w:ascii="仿宋_GB2312" w:hAnsi="Calibri" w:eastAsia="仿宋_GB2312" w:cs="Calibri"/>
                <w:color w:val="333333"/>
                <w:spacing w:val="8"/>
                <w:kern w:val="0"/>
                <w:sz w:val="18"/>
                <w:szCs w:val="18"/>
              </w:rPr>
              <w:t>外部软件环境</w:t>
            </w:r>
            <w:r>
              <w:rPr>
                <w:rFonts w:hint="eastAsia" w:ascii="仿宋_GB2312" w:hAnsi="Microsoft YaHei UI" w:eastAsia="仿宋_GB2312" w:cs="宋体"/>
                <w:color w:val="333333"/>
                <w:spacing w:val="8"/>
                <w:kern w:val="0"/>
                <w:sz w:val="18"/>
                <w:szCs w:val="18"/>
              </w:rPr>
              <w:t>评估报告</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CA1A6C3">
            <w:pPr>
              <w:widowControl/>
              <w:wordWrap w:val="0"/>
              <w:rPr>
                <w:rFonts w:ascii="Microsoft YaHei UI" w:hAnsi="Microsoft YaHei UI" w:eastAsia="Microsoft YaHei UI" w:cs="宋体"/>
                <w:color w:val="333333"/>
                <w:spacing w:val="8"/>
                <w:kern w:val="0"/>
                <w:sz w:val="26"/>
                <w:szCs w:val="26"/>
              </w:rPr>
            </w:pP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0876300">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外部软件环境评估报告用于医疗器械软件外部软件环境（含云计算）的评估，适用于医疗器械软件的初次发布和再次发布，内容框架详见表</w:t>
            </w:r>
            <w:r>
              <w:rPr>
                <w:rFonts w:ascii="Calibri" w:hAnsi="Calibri" w:eastAsia="仿宋_GB2312" w:cs="Calibri"/>
                <w:color w:val="FF0000"/>
                <w:spacing w:val="8"/>
                <w:kern w:val="0"/>
                <w:sz w:val="18"/>
                <w:szCs w:val="18"/>
              </w:rPr>
              <w:t>3</w:t>
            </w:r>
            <w:r>
              <w:rPr>
                <w:rFonts w:hint="eastAsia" w:ascii="仿宋_GB2312" w:hAnsi="Microsoft YaHei UI" w:eastAsia="仿宋_GB2312" w:cs="宋体"/>
                <w:color w:val="FF0000"/>
                <w:spacing w:val="8"/>
                <w:kern w:val="0"/>
                <w:sz w:val="18"/>
                <w:szCs w:val="18"/>
              </w:rPr>
              <w:t>，包括安全性级别、软件标识、功能用途、运行环境、风险管理、验收管理、维护计划、结论，详尽程度取决于软件安全性级别。</w:t>
            </w:r>
          </w:p>
        </w:tc>
      </w:tr>
      <w:tr w14:paraId="7032C0F1">
        <w:tblPrEx>
          <w:shd w:val="clear" w:color="auto" w:fill="FFFFFF"/>
          <w:tblCellMar>
            <w:top w:w="0" w:type="dxa"/>
            <w:left w:w="0" w:type="dxa"/>
            <w:bottom w:w="0" w:type="dxa"/>
            <w:right w:w="0" w:type="dxa"/>
          </w:tblCellMar>
        </w:tblPrEx>
        <w:tc>
          <w:tcPr>
            <w:tcW w:w="850"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4D8BE2E">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34.</w:t>
            </w:r>
            <w:r>
              <w:rPr>
                <w:rFonts w:hint="eastAsia" w:ascii="宋体" w:hAnsi="宋体" w:eastAsia="宋体" w:cs="Calibri"/>
                <w:color w:val="333333"/>
                <w:spacing w:val="8"/>
                <w:kern w:val="0"/>
                <w:sz w:val="18"/>
                <w:szCs w:val="18"/>
              </w:rPr>
              <w:t>独立软件产品技术要求</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A04A529">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2.1.1 </w:t>
            </w:r>
            <w:r>
              <w:rPr>
                <w:rFonts w:hint="eastAsia" w:ascii="宋体" w:hAnsi="宋体" w:eastAsia="宋体" w:cs="Calibri"/>
                <w:color w:val="333333"/>
                <w:spacing w:val="8"/>
                <w:kern w:val="0"/>
                <w:sz w:val="18"/>
                <w:szCs w:val="18"/>
              </w:rPr>
              <w:t>处理对象</w:t>
            </w:r>
          </w:p>
          <w:p w14:paraId="6F40BD14">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Calibri"/>
                <w:color w:val="333333"/>
                <w:spacing w:val="8"/>
                <w:kern w:val="0"/>
                <w:sz w:val="18"/>
                <w:szCs w:val="18"/>
              </w:rPr>
              <w:t>明确软件的处理对象类型，如图像（如</w:t>
            </w:r>
            <w:r>
              <w:rPr>
                <w:rFonts w:ascii="Calibri" w:hAnsi="Calibri" w:eastAsia="Microsoft YaHei UI" w:cs="Calibri"/>
                <w:color w:val="333333"/>
                <w:spacing w:val="8"/>
                <w:kern w:val="0"/>
                <w:sz w:val="18"/>
                <w:szCs w:val="18"/>
              </w:rPr>
              <w:t>CT</w:t>
            </w:r>
            <w:r>
              <w:rPr>
                <w:rFonts w:hint="eastAsia" w:ascii="宋体" w:hAnsi="宋体" w:eastAsia="宋体" w:cs="Calibri"/>
                <w:color w:val="333333"/>
                <w:spacing w:val="8"/>
                <w:kern w:val="0"/>
                <w:sz w:val="18"/>
                <w:szCs w:val="18"/>
              </w:rPr>
              <w:t>、</w:t>
            </w:r>
            <w:r>
              <w:rPr>
                <w:rFonts w:ascii="Calibri" w:hAnsi="Calibri" w:eastAsia="Microsoft YaHei UI" w:cs="Calibri"/>
                <w:color w:val="333333"/>
                <w:spacing w:val="8"/>
                <w:kern w:val="0"/>
                <w:sz w:val="18"/>
                <w:szCs w:val="18"/>
              </w:rPr>
              <w:t>MRI</w:t>
            </w:r>
            <w:r>
              <w:rPr>
                <w:rFonts w:hint="eastAsia" w:ascii="宋体" w:hAnsi="宋体" w:eastAsia="宋体" w:cs="Calibri"/>
                <w:color w:val="333333"/>
                <w:spacing w:val="8"/>
                <w:kern w:val="0"/>
                <w:sz w:val="18"/>
                <w:szCs w:val="18"/>
              </w:rPr>
              <w:t>、</w:t>
            </w:r>
            <w:r>
              <w:rPr>
                <w:rFonts w:ascii="Calibri" w:hAnsi="Calibri" w:eastAsia="Microsoft YaHei UI" w:cs="Calibri"/>
                <w:color w:val="333333"/>
                <w:spacing w:val="8"/>
                <w:kern w:val="0"/>
                <w:sz w:val="18"/>
                <w:szCs w:val="18"/>
              </w:rPr>
              <w:t>X-ray</w:t>
            </w:r>
            <w:r>
              <w:rPr>
                <w:rFonts w:hint="eastAsia" w:ascii="宋体" w:hAnsi="宋体" w:eastAsia="宋体" w:cs="Calibri"/>
                <w:color w:val="333333"/>
                <w:spacing w:val="8"/>
                <w:kern w:val="0"/>
                <w:sz w:val="18"/>
                <w:szCs w:val="18"/>
              </w:rPr>
              <w:t>、</w:t>
            </w:r>
            <w:r>
              <w:rPr>
                <w:rFonts w:ascii="Calibri" w:hAnsi="Calibri" w:eastAsia="Microsoft YaHei UI" w:cs="Calibri"/>
                <w:color w:val="333333"/>
                <w:spacing w:val="8"/>
                <w:kern w:val="0"/>
                <w:sz w:val="18"/>
                <w:szCs w:val="18"/>
              </w:rPr>
              <w:t>PET</w:t>
            </w:r>
            <w:r>
              <w:rPr>
                <w:rFonts w:hint="eastAsia" w:ascii="宋体" w:hAnsi="宋体" w:eastAsia="宋体" w:cs="Calibri"/>
                <w:color w:val="333333"/>
                <w:spacing w:val="8"/>
                <w:kern w:val="0"/>
                <w:sz w:val="18"/>
                <w:szCs w:val="18"/>
              </w:rPr>
              <w:t>、</w:t>
            </w:r>
            <w:r>
              <w:rPr>
                <w:rFonts w:ascii="Calibri" w:hAnsi="Calibri" w:eastAsia="Microsoft YaHei UI" w:cs="Calibri"/>
                <w:color w:val="333333"/>
                <w:spacing w:val="8"/>
                <w:kern w:val="0"/>
                <w:sz w:val="18"/>
                <w:szCs w:val="18"/>
              </w:rPr>
              <w:t>US</w:t>
            </w:r>
            <w:r>
              <w:rPr>
                <w:rFonts w:hint="eastAsia" w:ascii="宋体" w:hAnsi="宋体" w:eastAsia="宋体" w:cs="Calibri"/>
                <w:color w:val="333333"/>
                <w:spacing w:val="8"/>
                <w:kern w:val="0"/>
                <w:sz w:val="18"/>
                <w:szCs w:val="18"/>
              </w:rPr>
              <w:t>等）、数据（如心电、血压、血氧、血糖等）</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1A2A865">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2.1.3 </w:t>
            </w:r>
            <w:r>
              <w:rPr>
                <w:rFonts w:hint="eastAsia" w:ascii="宋体" w:hAnsi="宋体" w:eastAsia="宋体" w:cs="Calibri"/>
                <w:color w:val="333333"/>
                <w:spacing w:val="8"/>
                <w:kern w:val="0"/>
                <w:sz w:val="18"/>
                <w:szCs w:val="18"/>
              </w:rPr>
              <w:t>输入输出</w:t>
            </w:r>
          </w:p>
          <w:p w14:paraId="7822F58B">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明确软件的输入数据类型（如医学图像、生理参数、体外诊断等数据）、输出结果类型（如处理、测量、分析等结果）。</w:t>
            </w:r>
          </w:p>
        </w:tc>
      </w:tr>
      <w:tr w14:paraId="0263C921">
        <w:tblPrEx>
          <w:shd w:val="clear" w:color="auto" w:fill="FFFFFF"/>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6620C9AC">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2E5A986">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2.1.3 </w:t>
            </w:r>
            <w:r>
              <w:rPr>
                <w:rFonts w:hint="eastAsia" w:ascii="宋体" w:hAnsi="宋体" w:eastAsia="宋体" w:cs="Calibri"/>
                <w:color w:val="333333"/>
                <w:spacing w:val="8"/>
                <w:kern w:val="0"/>
                <w:sz w:val="18"/>
                <w:szCs w:val="18"/>
              </w:rPr>
              <w:t>数据接口</w:t>
            </w:r>
          </w:p>
          <w:p w14:paraId="0FA52B96">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Calibri"/>
                <w:color w:val="333333"/>
                <w:spacing w:val="8"/>
                <w:kern w:val="0"/>
                <w:sz w:val="18"/>
                <w:szCs w:val="18"/>
              </w:rPr>
              <w:t>明确软件的通用数据接口（如</w:t>
            </w:r>
            <w:r>
              <w:rPr>
                <w:rFonts w:ascii="Calibri" w:hAnsi="Calibri" w:eastAsia="Microsoft YaHei UI" w:cs="Calibri"/>
                <w:color w:val="333333"/>
                <w:spacing w:val="8"/>
                <w:kern w:val="0"/>
                <w:sz w:val="18"/>
                <w:szCs w:val="18"/>
              </w:rPr>
              <w:t>Dicom</w:t>
            </w:r>
            <w:r>
              <w:rPr>
                <w:rFonts w:hint="eastAsia" w:ascii="宋体" w:hAnsi="宋体" w:eastAsia="宋体" w:cs="Calibri"/>
                <w:color w:val="333333"/>
                <w:spacing w:val="8"/>
                <w:kern w:val="0"/>
                <w:sz w:val="18"/>
                <w:szCs w:val="18"/>
              </w:rPr>
              <w:t>、</w:t>
            </w:r>
            <w:r>
              <w:rPr>
                <w:rFonts w:ascii="Calibri" w:hAnsi="Calibri" w:eastAsia="Microsoft YaHei UI" w:cs="Calibri"/>
                <w:color w:val="333333"/>
                <w:spacing w:val="8"/>
                <w:kern w:val="0"/>
                <w:sz w:val="18"/>
                <w:szCs w:val="18"/>
              </w:rPr>
              <w:t>HL7</w:t>
            </w:r>
            <w:r>
              <w:rPr>
                <w:rFonts w:hint="eastAsia" w:ascii="宋体" w:hAnsi="宋体" w:eastAsia="宋体" w:cs="Calibri"/>
                <w:color w:val="333333"/>
                <w:spacing w:val="8"/>
                <w:kern w:val="0"/>
                <w:sz w:val="18"/>
                <w:szCs w:val="18"/>
              </w:rPr>
              <w:t>）、产品接口（可联合使用的独立软件、医疗器械硬件）</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E85CBE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2.1.4 </w:t>
            </w:r>
            <w:r>
              <w:rPr>
                <w:rFonts w:hint="eastAsia" w:ascii="宋体" w:hAnsi="宋体" w:eastAsia="宋体" w:cs="宋体"/>
                <w:color w:val="333333"/>
                <w:spacing w:val="8"/>
                <w:kern w:val="0"/>
                <w:sz w:val="18"/>
                <w:szCs w:val="18"/>
              </w:rPr>
              <w:t>接口</w:t>
            </w:r>
          </w:p>
          <w:p w14:paraId="7DECD993">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明确软件供用户调用的应用程序接口（</w:t>
            </w:r>
            <w:r>
              <w:rPr>
                <w:rFonts w:ascii="Calibri" w:hAnsi="Calibri" w:eastAsia="宋体" w:cs="Calibri"/>
                <w:color w:val="333333"/>
                <w:spacing w:val="8"/>
                <w:kern w:val="0"/>
                <w:sz w:val="18"/>
                <w:szCs w:val="18"/>
              </w:rPr>
              <w:t>API</w:t>
            </w:r>
            <w:r>
              <w:rPr>
                <w:rFonts w:hint="eastAsia" w:ascii="宋体" w:hAnsi="宋体" w:eastAsia="宋体" w:cs="宋体"/>
                <w:color w:val="333333"/>
                <w:spacing w:val="8"/>
                <w:kern w:val="0"/>
                <w:sz w:val="18"/>
                <w:szCs w:val="18"/>
              </w:rPr>
              <w:t>）、数据接口（含传输协议、存储格式，如</w:t>
            </w:r>
            <w:r>
              <w:rPr>
                <w:rFonts w:ascii="Calibri" w:hAnsi="Calibri" w:eastAsia="宋体" w:cs="Calibri"/>
                <w:color w:val="333333"/>
                <w:spacing w:val="8"/>
                <w:kern w:val="0"/>
                <w:sz w:val="18"/>
                <w:szCs w:val="18"/>
              </w:rPr>
              <w:t>DICOM</w:t>
            </w:r>
            <w:r>
              <w:rPr>
                <w:rFonts w:hint="eastAsia" w:ascii="宋体" w:hAnsi="宋体" w:eastAsia="宋体" w:cs="宋体"/>
                <w:color w:val="333333"/>
                <w:spacing w:val="8"/>
                <w:kern w:val="0"/>
                <w:sz w:val="18"/>
                <w:szCs w:val="18"/>
              </w:rPr>
              <w:t>、</w:t>
            </w:r>
            <w:r>
              <w:rPr>
                <w:rFonts w:ascii="Calibri" w:hAnsi="Calibri" w:eastAsia="宋体" w:cs="Calibri"/>
                <w:color w:val="333333"/>
                <w:spacing w:val="8"/>
                <w:kern w:val="0"/>
                <w:sz w:val="18"/>
                <w:szCs w:val="18"/>
              </w:rPr>
              <w:t>HL7</w:t>
            </w:r>
            <w:r>
              <w:rPr>
                <w:rFonts w:hint="eastAsia" w:ascii="宋体" w:hAnsi="宋体" w:eastAsia="宋体" w:cs="宋体"/>
                <w:color w:val="333333"/>
                <w:spacing w:val="8"/>
                <w:kern w:val="0"/>
                <w:sz w:val="18"/>
                <w:szCs w:val="18"/>
              </w:rPr>
              <w:t>、</w:t>
            </w:r>
            <w:r>
              <w:rPr>
                <w:rFonts w:ascii="Calibri" w:hAnsi="Calibri" w:eastAsia="宋体" w:cs="Calibri"/>
                <w:color w:val="333333"/>
                <w:spacing w:val="8"/>
                <w:kern w:val="0"/>
                <w:sz w:val="18"/>
                <w:szCs w:val="18"/>
              </w:rPr>
              <w:t>JPG</w:t>
            </w:r>
            <w:r>
              <w:rPr>
                <w:rFonts w:hint="eastAsia" w:ascii="宋体" w:hAnsi="宋体" w:eastAsia="宋体" w:cs="宋体"/>
                <w:color w:val="333333"/>
                <w:spacing w:val="8"/>
                <w:kern w:val="0"/>
                <w:sz w:val="18"/>
                <w:szCs w:val="18"/>
              </w:rPr>
              <w:t>、</w:t>
            </w:r>
            <w:r>
              <w:rPr>
                <w:rFonts w:ascii="Calibri" w:hAnsi="Calibri" w:eastAsia="宋体" w:cs="Calibri"/>
                <w:color w:val="333333"/>
                <w:spacing w:val="8"/>
                <w:kern w:val="0"/>
                <w:sz w:val="18"/>
                <w:szCs w:val="18"/>
              </w:rPr>
              <w:t>PNG</w:t>
            </w:r>
            <w:r>
              <w:rPr>
                <w:rFonts w:hint="eastAsia" w:ascii="宋体" w:hAnsi="宋体" w:eastAsia="宋体" w:cs="宋体"/>
                <w:color w:val="333333"/>
                <w:spacing w:val="8"/>
                <w:kern w:val="0"/>
                <w:sz w:val="18"/>
                <w:szCs w:val="18"/>
              </w:rPr>
              <w:t>、私有协议与格式）、产品接口（可联合使用的其他医疗器械独立软件、医疗器械硬件产品）。</w:t>
            </w:r>
          </w:p>
        </w:tc>
      </w:tr>
      <w:tr w14:paraId="672FCC87">
        <w:tblPrEx>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492799AE">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F3F85E0">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2.1.4 </w:t>
            </w:r>
            <w:r>
              <w:rPr>
                <w:rFonts w:hint="eastAsia" w:ascii="宋体" w:hAnsi="宋体" w:eastAsia="宋体" w:cs="Calibri"/>
                <w:color w:val="333333"/>
                <w:spacing w:val="8"/>
                <w:kern w:val="0"/>
                <w:sz w:val="18"/>
                <w:szCs w:val="18"/>
              </w:rPr>
              <w:t>特定软硬件</w:t>
            </w:r>
          </w:p>
          <w:p w14:paraId="12FFAECE">
            <w:pPr>
              <w:widowControl/>
              <w:wordWrap w:val="0"/>
              <w:ind w:firstLine="42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明确软件完成预期用途所必备的独立软件、医疗器械硬件</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5E1D2CC">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2.1.5 </w:t>
            </w:r>
            <w:r>
              <w:rPr>
                <w:rFonts w:hint="eastAsia" w:ascii="宋体" w:hAnsi="宋体" w:eastAsia="宋体" w:cs="Calibri"/>
                <w:color w:val="333333"/>
                <w:spacing w:val="8"/>
                <w:kern w:val="0"/>
                <w:sz w:val="18"/>
                <w:szCs w:val="18"/>
              </w:rPr>
              <w:t>必备软硬件</w:t>
            </w:r>
          </w:p>
          <w:p w14:paraId="7360E4A0">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明确软件正常运行所必需的其他的医疗器械独立软件（名称、型号规格、发布版本）及医用中间件（名称、型号规格、发布版本）、医疗器械硬件产品（名称、型号规格）。</w:t>
            </w:r>
          </w:p>
        </w:tc>
      </w:tr>
      <w:tr w14:paraId="773AADA5">
        <w:tblPrEx>
          <w:shd w:val="clear" w:color="auto" w:fill="FFFFFF"/>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2FC6415E">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3C68352">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1A8C844">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2.1.11</w:t>
            </w:r>
            <w:r>
              <w:rPr>
                <w:rFonts w:hint="eastAsia" w:ascii="宋体" w:hAnsi="宋体" w:eastAsia="宋体" w:cs="宋体"/>
                <w:color w:val="333333"/>
                <w:spacing w:val="8"/>
                <w:kern w:val="0"/>
                <w:sz w:val="18"/>
                <w:szCs w:val="18"/>
              </w:rPr>
              <w:t>用户差错防御</w:t>
            </w:r>
          </w:p>
          <w:p w14:paraId="5317AC9F">
            <w:pPr>
              <w:widowControl/>
              <w:wordWrap w:val="0"/>
              <w:ind w:firstLine="420"/>
              <w:rPr>
                <w:rFonts w:ascii="Microsoft YaHei UI" w:hAnsi="Microsoft YaHei UI" w:eastAsia="Microsoft YaHei UI" w:cs="宋体"/>
                <w:color w:val="333333"/>
                <w:spacing w:val="8"/>
                <w:kern w:val="0"/>
                <w:sz w:val="26"/>
                <w:szCs w:val="26"/>
              </w:rPr>
            </w:pPr>
            <w:r>
              <w:rPr>
                <w:rFonts w:hint="eastAsia" w:ascii="宋体" w:hAnsi="宋体" w:eastAsia="宋体" w:cs="宋体"/>
                <w:color w:val="333333"/>
                <w:spacing w:val="8"/>
                <w:kern w:val="0"/>
                <w:sz w:val="18"/>
                <w:szCs w:val="18"/>
              </w:rPr>
              <w:t>明确软件对导致严重后果的用户操作错误的防御能力。</w:t>
            </w:r>
          </w:p>
          <w:p w14:paraId="4E463A62">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 </w:t>
            </w:r>
          </w:p>
        </w:tc>
      </w:tr>
      <w:tr w14:paraId="5CF0AB29">
        <w:tblPrEx>
          <w:shd w:val="clear" w:color="auto" w:fill="FFFFFF"/>
          <w:tblCellMar>
            <w:top w:w="0" w:type="dxa"/>
            <w:left w:w="0" w:type="dxa"/>
            <w:bottom w:w="0" w:type="dxa"/>
            <w:right w:w="0" w:type="dxa"/>
          </w:tblCellMar>
        </w:tblPrEx>
        <w:tc>
          <w:tcPr>
            <w:tcW w:w="850" w:type="pct"/>
            <w:vMerge w:val="continue"/>
            <w:tcBorders>
              <w:top w:val="nil"/>
              <w:left w:val="single" w:color="auto" w:sz="6" w:space="0"/>
              <w:bottom w:val="single" w:color="auto" w:sz="6" w:space="0"/>
              <w:right w:val="single" w:color="auto" w:sz="6" w:space="0"/>
            </w:tcBorders>
            <w:shd w:val="clear" w:color="auto" w:fill="FFFFFF"/>
            <w:vAlign w:val="center"/>
          </w:tcPr>
          <w:p w14:paraId="2124904C">
            <w:pPr>
              <w:widowControl/>
              <w:rPr>
                <w:rFonts w:ascii="Microsoft YaHei UI" w:hAnsi="Microsoft YaHei UI" w:eastAsia="Microsoft YaHei UI" w:cs="宋体"/>
                <w:color w:val="333333"/>
                <w:spacing w:val="8"/>
                <w:kern w:val="0"/>
                <w:sz w:val="26"/>
                <w:szCs w:val="26"/>
              </w:rPr>
            </w:pP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2C0891B">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2.2 </w:t>
            </w:r>
            <w:r>
              <w:rPr>
                <w:rFonts w:hint="eastAsia" w:ascii="宋体" w:hAnsi="宋体" w:eastAsia="宋体" w:cs="Calibri"/>
                <w:color w:val="333333"/>
                <w:spacing w:val="8"/>
                <w:kern w:val="0"/>
                <w:sz w:val="18"/>
                <w:szCs w:val="18"/>
              </w:rPr>
              <w:t>质量要求</w:t>
            </w:r>
          </w:p>
          <w:p w14:paraId="7F588DF2">
            <w:pPr>
              <w:widowControl/>
              <w:wordWrap w:val="0"/>
              <w:rPr>
                <w:rFonts w:ascii="Microsoft YaHei UI" w:hAnsi="Microsoft YaHei UI" w:eastAsia="Microsoft YaHei UI" w:cs="宋体"/>
                <w:color w:val="333333"/>
                <w:spacing w:val="8"/>
                <w:kern w:val="0"/>
                <w:sz w:val="26"/>
                <w:szCs w:val="26"/>
              </w:rPr>
            </w:pPr>
            <w:r>
              <w:rPr>
                <w:rFonts w:hint="eastAsia" w:ascii="宋体" w:hAnsi="宋体" w:eastAsia="宋体" w:cs="Calibri"/>
                <w:color w:val="333333"/>
                <w:spacing w:val="8"/>
                <w:kern w:val="0"/>
                <w:sz w:val="18"/>
                <w:szCs w:val="18"/>
              </w:rPr>
              <w:t>符合</w:t>
            </w:r>
            <w:r>
              <w:rPr>
                <w:rFonts w:ascii="Calibri" w:hAnsi="Calibri" w:eastAsia="Microsoft YaHei UI" w:cs="Calibri"/>
                <w:color w:val="333333"/>
                <w:spacing w:val="8"/>
                <w:kern w:val="0"/>
                <w:sz w:val="18"/>
                <w:szCs w:val="18"/>
              </w:rPr>
              <w:t>GB/T 25000.51</w:t>
            </w:r>
            <w:r>
              <w:rPr>
                <w:rFonts w:hint="eastAsia" w:ascii="宋体" w:hAnsi="宋体" w:eastAsia="宋体" w:cs="Calibri"/>
                <w:color w:val="333333"/>
                <w:spacing w:val="8"/>
                <w:kern w:val="0"/>
                <w:sz w:val="18"/>
                <w:szCs w:val="18"/>
              </w:rPr>
              <w:t>第</w:t>
            </w:r>
            <w:r>
              <w:rPr>
                <w:rFonts w:ascii="Calibri" w:hAnsi="Calibri" w:eastAsia="Microsoft YaHei UI" w:cs="Calibri"/>
                <w:color w:val="333333"/>
                <w:spacing w:val="8"/>
                <w:kern w:val="0"/>
                <w:sz w:val="18"/>
                <w:szCs w:val="18"/>
              </w:rPr>
              <w:t>5</w:t>
            </w:r>
            <w:r>
              <w:rPr>
                <w:rFonts w:hint="eastAsia" w:ascii="宋体" w:hAnsi="宋体" w:eastAsia="宋体" w:cs="Calibri"/>
                <w:color w:val="333333"/>
                <w:spacing w:val="8"/>
                <w:kern w:val="0"/>
                <w:sz w:val="18"/>
                <w:szCs w:val="18"/>
              </w:rPr>
              <w:t>章要求</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34A8583">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w:t>
            </w:r>
          </w:p>
        </w:tc>
      </w:tr>
      <w:tr w14:paraId="2BC1CA95">
        <w:tblPrEx>
          <w:shd w:val="clear" w:color="auto" w:fill="FFFFFF"/>
          <w:tblCellMar>
            <w:top w:w="0" w:type="dxa"/>
            <w:left w:w="0" w:type="dxa"/>
            <w:bottom w:w="0" w:type="dxa"/>
            <w:right w:w="0" w:type="dxa"/>
          </w:tblCellMar>
        </w:tblPrEx>
        <w:tc>
          <w:tcPr>
            <w:tcW w:w="85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7E3230F">
            <w:pPr>
              <w:widowControl/>
              <w:wordWrap w:val="0"/>
              <w:rPr>
                <w:rFonts w:ascii="Microsoft YaHei UI" w:hAnsi="Microsoft YaHei UI" w:eastAsia="Microsoft YaHei UI" w:cs="宋体"/>
                <w:color w:val="333333"/>
                <w:spacing w:val="8"/>
                <w:kern w:val="0"/>
                <w:sz w:val="26"/>
                <w:szCs w:val="26"/>
              </w:rPr>
            </w:pPr>
            <w:r>
              <w:rPr>
                <w:rFonts w:ascii="Calibri" w:hAnsi="Calibri" w:eastAsia="Microsoft YaHei UI" w:cs="Calibri"/>
                <w:color w:val="333333"/>
                <w:spacing w:val="8"/>
                <w:kern w:val="0"/>
                <w:sz w:val="18"/>
                <w:szCs w:val="18"/>
              </w:rPr>
              <w:t>35</w:t>
            </w:r>
            <w:r>
              <w:rPr>
                <w:rFonts w:hint="eastAsia" w:ascii="宋体" w:hAnsi="宋体" w:eastAsia="宋体" w:cs="Calibri"/>
                <w:color w:val="333333"/>
                <w:spacing w:val="8"/>
                <w:kern w:val="0"/>
                <w:sz w:val="18"/>
                <w:szCs w:val="18"/>
              </w:rPr>
              <w:t>说明书</w:t>
            </w:r>
          </w:p>
        </w:tc>
        <w:tc>
          <w:tcPr>
            <w:tcW w:w="1881"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FC4B4C9">
            <w:pPr>
              <w:widowControl/>
              <w:wordWrap w:val="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说明书应符合相关的法规、规范性文件、国家标准、行业标准的要求，体现软件全部功能（包含安全功能），明确软件发布版本。</w:t>
            </w:r>
          </w:p>
        </w:tc>
        <w:tc>
          <w:tcPr>
            <w:tcW w:w="2269"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8588805">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FF0000"/>
                <w:spacing w:val="8"/>
                <w:kern w:val="0"/>
                <w:sz w:val="18"/>
                <w:szCs w:val="18"/>
              </w:rPr>
              <w:t>说明书逐项说明每个软件接口的预期用户、使用场景、预期用途、技术特征、使用限制、故障应对措施。根据风险控制要求，标签明确关键软件接口的技术特征、使用限制。</w:t>
            </w:r>
          </w:p>
          <w:p w14:paraId="3766EB2E">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明确软件发布版本。</w:t>
            </w:r>
          </w:p>
          <w:p w14:paraId="02590281">
            <w:pPr>
              <w:widowControl/>
              <w:wordWrap w:val="0"/>
              <w:ind w:firstLine="420"/>
              <w:rPr>
                <w:rFonts w:ascii="Microsoft YaHei UI" w:hAnsi="Microsoft YaHei UI" w:eastAsia="Microsoft YaHei UI" w:cs="宋体"/>
                <w:color w:val="333333"/>
                <w:spacing w:val="8"/>
                <w:kern w:val="0"/>
                <w:sz w:val="26"/>
                <w:szCs w:val="26"/>
              </w:rPr>
            </w:pPr>
            <w:r>
              <w:rPr>
                <w:rFonts w:hint="eastAsia" w:ascii="仿宋_GB2312" w:hAnsi="Microsoft YaHei UI" w:eastAsia="仿宋_GB2312" w:cs="宋体"/>
                <w:color w:val="333333"/>
                <w:spacing w:val="8"/>
                <w:kern w:val="0"/>
                <w:sz w:val="18"/>
                <w:szCs w:val="18"/>
              </w:rPr>
              <w:t>说明书必要时需明确外部软件环境所含全部现成软件的交付、安装、设置、配置、更新以及使用限制、警示提示等内容。</w:t>
            </w:r>
          </w:p>
        </w:tc>
      </w:tr>
    </w:tbl>
    <w:p w14:paraId="007F43F8"/>
    <w:p w14:paraId="70313106">
      <w:pPr>
        <w:widowControl/>
        <w:shd w:val="clear" w:color="auto" w:fill="FFFFFF"/>
        <w:spacing w:after="210"/>
        <w:jc w:val="center"/>
        <w:outlineLvl w:val="0"/>
        <w:rPr>
          <w:rFonts w:hint="eastAsia" w:eastAsia="等线"/>
          <w:lang w:eastAsia="zh-CN"/>
        </w:rPr>
      </w:pPr>
    </w:p>
    <w:p w14:paraId="7E9FCC2F">
      <w:pPr>
        <w:widowControl/>
        <w:shd w:val="clear" w:color="auto" w:fill="FFFFFF"/>
        <w:spacing w:after="210"/>
        <w:jc w:val="center"/>
        <w:outlineLvl w:val="0"/>
        <w:rPr>
          <w:rFonts w:hint="eastAsia" w:eastAsia="等线"/>
          <w:lang w:eastAsia="zh-CN"/>
        </w:rPr>
      </w:pPr>
    </w:p>
    <w:p w14:paraId="76342238">
      <w:pPr>
        <w:widowControl/>
        <w:shd w:val="clear" w:color="auto" w:fill="FFFFFF"/>
        <w:spacing w:after="21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64"/>
    <w:rsid w:val="00383AF8"/>
    <w:rsid w:val="005E3864"/>
    <w:rsid w:val="00752442"/>
    <w:rsid w:val="00D9795E"/>
    <w:rsid w:val="6EC2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字符"/>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7592</Words>
  <Characters>7834</Characters>
  <Lines>57</Lines>
  <Paragraphs>16</Paragraphs>
  <TotalTime>2</TotalTime>
  <ScaleCrop>false</ScaleCrop>
  <LinksUpToDate>false</LinksUpToDate>
  <CharactersWithSpaces>7884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2022-03-11T04:20:00Z</dcterms:created>
  <dc:creator>韩 健春</dc:creator>
  <cp:lastModifiedBy>太极箫客</cp:lastModifiedBy>
  <dcterms:modified xsi:type="dcterms:W3CDTF">2025-08-14T06:42:53Z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57C56D3121E244509969A530C50296DF_12</vt:lpwstr>
  </property>
</Properties>
</file>